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50" w:rsidRDefault="00F41C1D" w:rsidP="00396A50">
      <w:pPr>
        <w:pStyle w:val="Default"/>
        <w:ind w:left="560"/>
        <w:jc w:val="center"/>
        <w:rPr>
          <w:b/>
          <w:bCs/>
          <w:sz w:val="28"/>
          <w:szCs w:val="28"/>
        </w:rPr>
      </w:pPr>
      <w:bookmarkStart w:id="0" w:name="_GoBack"/>
      <w:bookmarkEnd w:id="0"/>
      <w:proofErr w:type="spellStart"/>
      <w:r w:rsidRPr="00F41C1D">
        <w:rPr>
          <w:b/>
          <w:bCs/>
          <w:sz w:val="28"/>
          <w:szCs w:val="28"/>
        </w:rPr>
        <w:t>ASIC</w:t>
      </w:r>
      <w:proofErr w:type="spellEnd"/>
      <w:r w:rsidRPr="00F41C1D">
        <w:rPr>
          <w:b/>
          <w:bCs/>
          <w:sz w:val="28"/>
          <w:szCs w:val="28"/>
        </w:rPr>
        <w:t xml:space="preserve"> Corporations (Facilitating Electronic Delivery of Financial Services Disclosure) Instrument 2015</w:t>
      </w:r>
      <w:r w:rsidR="00281C91">
        <w:rPr>
          <w:b/>
          <w:bCs/>
          <w:sz w:val="28"/>
          <w:szCs w:val="28"/>
        </w:rPr>
        <w:t>/</w:t>
      </w:r>
      <w:r w:rsidR="00D03930">
        <w:rPr>
          <w:b/>
          <w:bCs/>
          <w:sz w:val="28"/>
          <w:szCs w:val="28"/>
        </w:rPr>
        <w:t>647</w:t>
      </w:r>
    </w:p>
    <w:p w:rsidR="00862740" w:rsidRDefault="00862740" w:rsidP="00396A50">
      <w:pPr>
        <w:pStyle w:val="Default"/>
        <w:ind w:left="560"/>
        <w:jc w:val="center"/>
        <w:rPr>
          <w:b/>
          <w:bCs/>
          <w:sz w:val="28"/>
          <w:szCs w:val="28"/>
        </w:rPr>
      </w:pPr>
    </w:p>
    <w:p w:rsidR="00862740" w:rsidRDefault="00862740" w:rsidP="00862740">
      <w:pPr>
        <w:pStyle w:val="Default"/>
        <w:ind w:left="560"/>
        <w:jc w:val="center"/>
        <w:rPr>
          <w:b/>
          <w:bCs/>
          <w:sz w:val="28"/>
          <w:szCs w:val="28"/>
        </w:rPr>
      </w:pPr>
      <w:proofErr w:type="spellStart"/>
      <w:r w:rsidRPr="00F41C1D">
        <w:rPr>
          <w:b/>
          <w:bCs/>
          <w:sz w:val="28"/>
          <w:szCs w:val="28"/>
        </w:rPr>
        <w:t>ASIC</w:t>
      </w:r>
      <w:proofErr w:type="spellEnd"/>
      <w:r w:rsidRPr="00F41C1D">
        <w:rPr>
          <w:b/>
          <w:bCs/>
          <w:sz w:val="28"/>
          <w:szCs w:val="28"/>
        </w:rPr>
        <w:t xml:space="preserve"> Corporations (</w:t>
      </w:r>
      <w:r>
        <w:rPr>
          <w:b/>
          <w:bCs/>
          <w:sz w:val="28"/>
          <w:szCs w:val="28"/>
        </w:rPr>
        <w:t>Repeal)</w:t>
      </w:r>
      <w:r w:rsidRPr="00F41C1D">
        <w:rPr>
          <w:b/>
          <w:bCs/>
          <w:sz w:val="28"/>
          <w:szCs w:val="28"/>
        </w:rPr>
        <w:t xml:space="preserve"> Instrument 2015</w:t>
      </w:r>
      <w:r>
        <w:rPr>
          <w:b/>
          <w:bCs/>
          <w:sz w:val="28"/>
          <w:szCs w:val="28"/>
        </w:rPr>
        <w:t>/681</w:t>
      </w:r>
    </w:p>
    <w:p w:rsidR="00862740" w:rsidRDefault="00862740" w:rsidP="00396A50">
      <w:pPr>
        <w:pStyle w:val="Default"/>
        <w:ind w:left="560"/>
        <w:jc w:val="center"/>
        <w:rPr>
          <w:sz w:val="28"/>
          <w:szCs w:val="28"/>
        </w:rPr>
      </w:pPr>
    </w:p>
    <w:p w:rsidR="00396A50" w:rsidRDefault="00396A50" w:rsidP="00396A50">
      <w:pPr>
        <w:pStyle w:val="Default"/>
        <w:ind w:left="560"/>
        <w:jc w:val="center"/>
        <w:rPr>
          <w:sz w:val="28"/>
          <w:szCs w:val="28"/>
        </w:rPr>
      </w:pPr>
      <w:r>
        <w:rPr>
          <w:b/>
          <w:bCs/>
          <w:sz w:val="28"/>
          <w:szCs w:val="28"/>
        </w:rPr>
        <w:t xml:space="preserve">EXPLANATORY STATEMENT </w:t>
      </w:r>
    </w:p>
    <w:p w:rsidR="00396A50" w:rsidRPr="006B38DB" w:rsidRDefault="00396A50" w:rsidP="00396A50">
      <w:pPr>
        <w:pStyle w:val="Default"/>
        <w:spacing w:before="200"/>
        <w:jc w:val="center"/>
      </w:pPr>
      <w:r w:rsidRPr="006B38DB">
        <w:t xml:space="preserve">Prepared by the Australian Securities and Investments Commission </w:t>
      </w:r>
    </w:p>
    <w:p w:rsidR="00396A50" w:rsidRPr="006B38DB" w:rsidRDefault="00396A50" w:rsidP="00396A50">
      <w:pPr>
        <w:pStyle w:val="Default"/>
        <w:spacing w:before="200"/>
        <w:jc w:val="center"/>
      </w:pPr>
      <w:r w:rsidRPr="006B38DB">
        <w:rPr>
          <w:i/>
          <w:iCs/>
        </w:rPr>
        <w:t xml:space="preserve">Corporations Act 2001 </w:t>
      </w:r>
    </w:p>
    <w:p w:rsidR="00396A50" w:rsidRDefault="00396A50" w:rsidP="00396A50">
      <w:pPr>
        <w:spacing w:before="100" w:beforeAutospacing="1" w:after="100" w:afterAutospacing="1" w:line="240" w:lineRule="auto"/>
        <w:rPr>
          <w:rFonts w:ascii="Times New Roman" w:eastAsia="Times New Roman" w:hAnsi="Times New Roman" w:cs="Times New Roman"/>
          <w:sz w:val="24"/>
          <w:szCs w:val="24"/>
          <w:lang w:eastAsia="en-AU"/>
        </w:rPr>
      </w:pPr>
      <w:r w:rsidRPr="006B38DB">
        <w:rPr>
          <w:rFonts w:ascii="Times New Roman" w:hAnsi="Times New Roman" w:cs="Times New Roman"/>
          <w:sz w:val="24"/>
          <w:szCs w:val="24"/>
        </w:rPr>
        <w:t>The Australian Securities and Investments Commission (</w:t>
      </w:r>
      <w:proofErr w:type="spellStart"/>
      <w:r w:rsidRPr="00A91570">
        <w:rPr>
          <w:rFonts w:ascii="Times New Roman" w:hAnsi="Times New Roman" w:cs="Times New Roman"/>
          <w:b/>
          <w:i/>
          <w:sz w:val="24"/>
          <w:szCs w:val="24"/>
        </w:rPr>
        <w:t>ASIC</w:t>
      </w:r>
      <w:proofErr w:type="spellEnd"/>
      <w:r w:rsidRPr="006B38DB">
        <w:rPr>
          <w:rFonts w:ascii="Times New Roman" w:hAnsi="Times New Roman" w:cs="Times New Roman"/>
          <w:sz w:val="24"/>
          <w:szCs w:val="24"/>
        </w:rPr>
        <w:t xml:space="preserve">) makes </w:t>
      </w:r>
      <w:proofErr w:type="spellStart"/>
      <w:r w:rsidR="003046AF" w:rsidRPr="003046AF">
        <w:rPr>
          <w:rFonts w:ascii="Times New Roman" w:hAnsi="Times New Roman" w:cs="Times New Roman"/>
          <w:sz w:val="24"/>
          <w:szCs w:val="24"/>
        </w:rPr>
        <w:t>ASIC</w:t>
      </w:r>
      <w:proofErr w:type="spellEnd"/>
      <w:r w:rsidR="003046AF" w:rsidRPr="003046AF">
        <w:rPr>
          <w:rFonts w:ascii="Times New Roman" w:hAnsi="Times New Roman" w:cs="Times New Roman"/>
          <w:sz w:val="24"/>
          <w:szCs w:val="24"/>
        </w:rPr>
        <w:t xml:space="preserve"> Corporations (Facilitating Electronic Delivery of Financial Services Disclosure) Instrument 2015/</w:t>
      </w:r>
      <w:r w:rsidR="00D03930">
        <w:rPr>
          <w:rFonts w:ascii="Times New Roman" w:hAnsi="Times New Roman" w:cs="Times New Roman"/>
          <w:sz w:val="24"/>
          <w:szCs w:val="24"/>
        </w:rPr>
        <w:t>647</w:t>
      </w:r>
      <w:r w:rsidR="00862740">
        <w:rPr>
          <w:rFonts w:ascii="Times New Roman" w:hAnsi="Times New Roman" w:cs="Times New Roman"/>
          <w:sz w:val="24"/>
          <w:szCs w:val="24"/>
        </w:rPr>
        <w:t xml:space="preserve"> (the </w:t>
      </w:r>
      <w:r w:rsidR="00862740">
        <w:rPr>
          <w:rFonts w:ascii="Times New Roman" w:hAnsi="Times New Roman" w:cs="Times New Roman"/>
          <w:b/>
          <w:i/>
          <w:sz w:val="24"/>
          <w:szCs w:val="24"/>
        </w:rPr>
        <w:t>principal instrument)</w:t>
      </w:r>
      <w:r w:rsidR="00862740">
        <w:rPr>
          <w:rFonts w:ascii="Times New Roman" w:hAnsi="Times New Roman" w:cs="Times New Roman"/>
          <w:b/>
          <w:sz w:val="24"/>
          <w:szCs w:val="24"/>
        </w:rPr>
        <w:t xml:space="preserve"> </w:t>
      </w:r>
      <w:r w:rsidR="00862740">
        <w:rPr>
          <w:rFonts w:ascii="Times New Roman" w:hAnsi="Times New Roman" w:cs="Times New Roman"/>
          <w:sz w:val="24"/>
          <w:szCs w:val="24"/>
        </w:rPr>
        <w:t xml:space="preserve">and </w:t>
      </w:r>
      <w:r w:rsidR="003046AF" w:rsidRPr="003046AF">
        <w:rPr>
          <w:rFonts w:ascii="Times New Roman" w:hAnsi="Times New Roman" w:cs="Times New Roman"/>
          <w:sz w:val="24"/>
          <w:szCs w:val="24"/>
        </w:rPr>
        <w:t xml:space="preserve"> </w:t>
      </w:r>
      <w:proofErr w:type="spellStart"/>
      <w:r w:rsidR="00862740" w:rsidRPr="00862740">
        <w:rPr>
          <w:rFonts w:ascii="Times New Roman" w:eastAsia="Times New Roman" w:hAnsi="Times New Roman" w:cs="Times New Roman"/>
          <w:sz w:val="24"/>
          <w:szCs w:val="24"/>
          <w:lang w:eastAsia="en-AU"/>
        </w:rPr>
        <w:t>ASIC</w:t>
      </w:r>
      <w:proofErr w:type="spellEnd"/>
      <w:r w:rsidR="00862740" w:rsidRPr="00862740">
        <w:rPr>
          <w:rFonts w:ascii="Times New Roman" w:eastAsia="Times New Roman" w:hAnsi="Times New Roman" w:cs="Times New Roman"/>
          <w:sz w:val="24"/>
          <w:szCs w:val="24"/>
          <w:lang w:eastAsia="en-AU"/>
        </w:rPr>
        <w:t xml:space="preserve"> Corporations (Repeal) Instrument 2015/681</w:t>
      </w:r>
      <w:r w:rsidR="00862740">
        <w:rPr>
          <w:rFonts w:ascii="Times New Roman" w:eastAsia="Times New Roman" w:hAnsi="Times New Roman" w:cs="Times New Roman"/>
          <w:sz w:val="24"/>
          <w:szCs w:val="24"/>
          <w:lang w:eastAsia="en-AU"/>
        </w:rPr>
        <w:t xml:space="preserve"> (the </w:t>
      </w:r>
      <w:r w:rsidR="00862740">
        <w:rPr>
          <w:rFonts w:ascii="Times New Roman" w:eastAsia="Times New Roman" w:hAnsi="Times New Roman" w:cs="Times New Roman"/>
          <w:b/>
          <w:i/>
          <w:sz w:val="24"/>
          <w:szCs w:val="24"/>
          <w:lang w:eastAsia="en-AU"/>
        </w:rPr>
        <w:t xml:space="preserve">repealing instrument) </w:t>
      </w:r>
      <w:r w:rsidRPr="006B38DB">
        <w:rPr>
          <w:rFonts w:ascii="Times New Roman" w:hAnsi="Times New Roman" w:cs="Times New Roman"/>
          <w:sz w:val="24"/>
          <w:szCs w:val="24"/>
        </w:rPr>
        <w:t xml:space="preserve">under </w:t>
      </w:r>
      <w:r w:rsidRPr="00445821">
        <w:rPr>
          <w:rFonts w:ascii="Times New Roman" w:eastAsia="Times New Roman" w:hAnsi="Times New Roman" w:cs="Times New Roman"/>
          <w:sz w:val="24"/>
          <w:szCs w:val="24"/>
          <w:lang w:eastAsia="en-AU"/>
        </w:rPr>
        <w:t xml:space="preserve">paragraphs 951B(1)(c) and 1020F(1)(c) of the </w:t>
      </w:r>
      <w:r w:rsidRPr="00445821">
        <w:rPr>
          <w:rFonts w:ascii="Times New Roman" w:eastAsia="Times New Roman" w:hAnsi="Times New Roman" w:cs="Times New Roman"/>
          <w:i/>
          <w:iCs/>
          <w:sz w:val="24"/>
          <w:szCs w:val="24"/>
          <w:lang w:eastAsia="en-AU"/>
        </w:rPr>
        <w:t>Corporations Act 2001</w:t>
      </w:r>
      <w:r w:rsidRPr="00445821">
        <w:rPr>
          <w:rFonts w:ascii="Times New Roman" w:eastAsia="Times New Roman" w:hAnsi="Times New Roman" w:cs="Times New Roman"/>
          <w:sz w:val="24"/>
          <w:szCs w:val="24"/>
          <w:lang w:eastAsia="en-AU"/>
        </w:rPr>
        <w:t xml:space="preserve"> (the Act). </w:t>
      </w:r>
    </w:p>
    <w:p w:rsidR="00396A50" w:rsidRPr="00445821" w:rsidRDefault="00396A50" w:rsidP="00396A50">
      <w:pPr>
        <w:spacing w:before="100" w:beforeAutospacing="1" w:after="100" w:afterAutospacing="1" w:line="240" w:lineRule="auto"/>
        <w:rPr>
          <w:rFonts w:ascii="Times New Roman" w:eastAsia="Times New Roman" w:hAnsi="Times New Roman" w:cs="Times New Roman"/>
          <w:sz w:val="24"/>
          <w:szCs w:val="24"/>
          <w:lang w:eastAsia="en-AU"/>
        </w:rPr>
      </w:pPr>
      <w:r w:rsidRPr="00445821">
        <w:rPr>
          <w:rFonts w:ascii="Times New Roman" w:eastAsia="Times New Roman" w:hAnsi="Times New Roman" w:cs="Times New Roman"/>
          <w:sz w:val="24"/>
          <w:szCs w:val="24"/>
          <w:lang w:eastAsia="en-AU"/>
        </w:rPr>
        <w:t xml:space="preserve">Paragraph 951B(1)(c) provides that </w:t>
      </w:r>
      <w:proofErr w:type="spellStart"/>
      <w:r w:rsidRPr="00445821">
        <w:rPr>
          <w:rFonts w:ascii="Times New Roman" w:eastAsia="Times New Roman" w:hAnsi="Times New Roman" w:cs="Times New Roman"/>
          <w:sz w:val="24"/>
          <w:szCs w:val="24"/>
          <w:lang w:eastAsia="en-AU"/>
        </w:rPr>
        <w:t>ASIC</w:t>
      </w:r>
      <w:proofErr w:type="spellEnd"/>
      <w:r w:rsidRPr="00445821">
        <w:rPr>
          <w:rFonts w:ascii="Times New Roman" w:eastAsia="Times New Roman" w:hAnsi="Times New Roman" w:cs="Times New Roman"/>
          <w:sz w:val="24"/>
          <w:szCs w:val="24"/>
          <w:lang w:eastAsia="en-AU"/>
        </w:rPr>
        <w:t xml:space="preserve"> may declare that Part 7.7 of the Act applies in relation to a person or a financial product, or a class of persons or financial products, as if specified provisions of that Part were omitted, modified or varied as specified in the declaration. </w:t>
      </w:r>
    </w:p>
    <w:p w:rsidR="00396A50" w:rsidRPr="00445821" w:rsidRDefault="00396A50" w:rsidP="00396A50">
      <w:pPr>
        <w:spacing w:before="100" w:beforeAutospacing="1" w:after="100" w:afterAutospacing="1" w:line="240" w:lineRule="auto"/>
        <w:rPr>
          <w:rFonts w:ascii="Times New Roman" w:eastAsia="Times New Roman" w:hAnsi="Times New Roman" w:cs="Times New Roman"/>
          <w:sz w:val="24"/>
          <w:szCs w:val="24"/>
          <w:lang w:eastAsia="en-AU"/>
        </w:rPr>
      </w:pPr>
      <w:r w:rsidRPr="00445821">
        <w:rPr>
          <w:rFonts w:ascii="Times New Roman" w:eastAsia="Times New Roman" w:hAnsi="Times New Roman" w:cs="Times New Roman"/>
          <w:sz w:val="24"/>
          <w:szCs w:val="24"/>
          <w:lang w:eastAsia="en-AU"/>
        </w:rPr>
        <w:t xml:space="preserve">Paragraph 1020F(1)(c) provides that </w:t>
      </w:r>
      <w:proofErr w:type="spellStart"/>
      <w:r w:rsidRPr="00445821">
        <w:rPr>
          <w:rFonts w:ascii="Times New Roman" w:eastAsia="Times New Roman" w:hAnsi="Times New Roman" w:cs="Times New Roman"/>
          <w:sz w:val="24"/>
          <w:szCs w:val="24"/>
          <w:lang w:eastAsia="en-AU"/>
        </w:rPr>
        <w:t>ASIC</w:t>
      </w:r>
      <w:proofErr w:type="spellEnd"/>
      <w:r w:rsidRPr="00445821">
        <w:rPr>
          <w:rFonts w:ascii="Times New Roman" w:eastAsia="Times New Roman" w:hAnsi="Times New Roman" w:cs="Times New Roman"/>
          <w:sz w:val="24"/>
          <w:szCs w:val="24"/>
          <w:lang w:eastAsia="en-AU"/>
        </w:rPr>
        <w:t xml:space="preserve"> may declare that Part 7.9 of the Act applies in relation to a person or a financial product, or a class of persons or financial products, as if specified provisions of that Part were omitted, modified or varied as specified in the declaration. </w:t>
      </w:r>
    </w:p>
    <w:p w:rsidR="00396A50" w:rsidRDefault="00396A50" w:rsidP="00396A50">
      <w:pPr>
        <w:pStyle w:val="Default"/>
        <w:spacing w:before="360" w:after="60"/>
        <w:rPr>
          <w:rFonts w:ascii="Arial" w:hAnsi="Arial" w:cs="Arial"/>
          <w:sz w:val="23"/>
          <w:szCs w:val="23"/>
        </w:rPr>
      </w:pPr>
      <w:r>
        <w:rPr>
          <w:rFonts w:ascii="Arial" w:hAnsi="Arial" w:cs="Arial"/>
          <w:b/>
          <w:bCs/>
          <w:sz w:val="23"/>
          <w:szCs w:val="23"/>
        </w:rPr>
        <w:t xml:space="preserve">1. Background </w:t>
      </w:r>
    </w:p>
    <w:p w:rsidR="001D5AFB" w:rsidRDefault="001D5AFB" w:rsidP="001D5AFB">
      <w:pPr>
        <w:autoSpaceDE w:val="0"/>
        <w:autoSpaceDN w:val="0"/>
        <w:adjustRightInd w:val="0"/>
        <w:spacing w:after="0" w:line="240" w:lineRule="auto"/>
        <w:rPr>
          <w:rFonts w:ascii="Times New Roman" w:hAnsi="Times New Roman" w:cs="Times New Roman"/>
          <w:sz w:val="24"/>
          <w:szCs w:val="24"/>
        </w:rPr>
      </w:pPr>
    </w:p>
    <w:p w:rsidR="00975AA5" w:rsidRPr="00B9712C" w:rsidRDefault="001D5AFB" w:rsidP="001D5A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Parts 7.6</w:t>
      </w:r>
      <w:r w:rsidR="004866E9">
        <w:rPr>
          <w:rFonts w:ascii="Times New Roman" w:hAnsi="Times New Roman" w:cs="Times New Roman"/>
          <w:sz w:val="24"/>
          <w:szCs w:val="24"/>
        </w:rPr>
        <w:t>–</w:t>
      </w:r>
      <w:r>
        <w:rPr>
          <w:rFonts w:ascii="Times New Roman" w:hAnsi="Times New Roman" w:cs="Times New Roman"/>
          <w:sz w:val="24"/>
          <w:szCs w:val="24"/>
        </w:rPr>
        <w:t xml:space="preserve">7.9 of the Act permit a wide range of financial services disclosure </w:t>
      </w:r>
      <w:r w:rsidR="00BC3F17">
        <w:rPr>
          <w:rFonts w:ascii="Times New Roman" w:hAnsi="Times New Roman" w:cs="Times New Roman"/>
          <w:sz w:val="24"/>
          <w:szCs w:val="24"/>
        </w:rPr>
        <w:t xml:space="preserve">documents </w:t>
      </w:r>
      <w:r>
        <w:rPr>
          <w:rFonts w:ascii="Times New Roman" w:hAnsi="Times New Roman" w:cs="Times New Roman"/>
          <w:sz w:val="24"/>
          <w:szCs w:val="24"/>
        </w:rPr>
        <w:t>to be</w:t>
      </w:r>
      <w:r w:rsidR="00D04769">
        <w:rPr>
          <w:rFonts w:ascii="Times New Roman" w:hAnsi="Times New Roman" w:cs="Times New Roman"/>
          <w:sz w:val="24"/>
          <w:szCs w:val="24"/>
        </w:rPr>
        <w:t xml:space="preserve"> </w:t>
      </w:r>
      <w:r>
        <w:rPr>
          <w:rFonts w:ascii="Times New Roman" w:hAnsi="Times New Roman" w:cs="Times New Roman"/>
          <w:sz w:val="24"/>
          <w:szCs w:val="24"/>
        </w:rPr>
        <w:t xml:space="preserve">delivered </w:t>
      </w:r>
      <w:r w:rsidR="00520323">
        <w:rPr>
          <w:rFonts w:ascii="Times New Roman" w:hAnsi="Times New Roman" w:cs="Times New Roman"/>
          <w:sz w:val="24"/>
          <w:szCs w:val="24"/>
        </w:rPr>
        <w:t>electronically</w:t>
      </w:r>
      <w:r>
        <w:rPr>
          <w:rFonts w:ascii="Times New Roman" w:hAnsi="Times New Roman" w:cs="Times New Roman"/>
          <w:sz w:val="24"/>
          <w:szCs w:val="24"/>
        </w:rPr>
        <w:t xml:space="preserve">. These </w:t>
      </w:r>
      <w:r w:rsidR="007F4DB8">
        <w:rPr>
          <w:rFonts w:ascii="Times New Roman" w:hAnsi="Times New Roman" w:cs="Times New Roman"/>
          <w:sz w:val="24"/>
          <w:szCs w:val="24"/>
        </w:rPr>
        <w:t xml:space="preserve">disclosure </w:t>
      </w:r>
      <w:r w:rsidR="003A59FC">
        <w:rPr>
          <w:rFonts w:ascii="Times New Roman" w:hAnsi="Times New Roman" w:cs="Times New Roman"/>
          <w:sz w:val="24"/>
          <w:szCs w:val="24"/>
        </w:rPr>
        <w:t xml:space="preserve">documents </w:t>
      </w:r>
      <w:r>
        <w:rPr>
          <w:rFonts w:ascii="Times New Roman" w:hAnsi="Times New Roman" w:cs="Times New Roman"/>
          <w:sz w:val="24"/>
          <w:szCs w:val="24"/>
        </w:rPr>
        <w:t>include a Financial Services Guide (</w:t>
      </w:r>
      <w:proofErr w:type="spellStart"/>
      <w:r>
        <w:rPr>
          <w:rFonts w:ascii="Times New Roman" w:hAnsi="Times New Roman" w:cs="Times New Roman"/>
          <w:sz w:val="24"/>
          <w:szCs w:val="24"/>
        </w:rPr>
        <w:t>FSG</w:t>
      </w:r>
      <w:proofErr w:type="spellEnd"/>
      <w:r>
        <w:rPr>
          <w:rFonts w:ascii="Times New Roman" w:hAnsi="Times New Roman" w:cs="Times New Roman"/>
          <w:sz w:val="24"/>
          <w:szCs w:val="24"/>
        </w:rPr>
        <w:t xml:space="preserve">), Supplementary </w:t>
      </w:r>
      <w:proofErr w:type="spellStart"/>
      <w:r>
        <w:rPr>
          <w:rFonts w:ascii="Times New Roman" w:hAnsi="Times New Roman" w:cs="Times New Roman"/>
          <w:sz w:val="24"/>
          <w:szCs w:val="24"/>
        </w:rPr>
        <w:t>FSG</w:t>
      </w:r>
      <w:proofErr w:type="spellEnd"/>
      <w:r>
        <w:rPr>
          <w:rFonts w:ascii="Times New Roman" w:hAnsi="Times New Roman" w:cs="Times New Roman"/>
          <w:sz w:val="24"/>
          <w:szCs w:val="24"/>
        </w:rPr>
        <w:t>, Product Disclosure Statement (</w:t>
      </w:r>
      <w:proofErr w:type="spellStart"/>
      <w:r>
        <w:rPr>
          <w:rFonts w:ascii="Times New Roman" w:hAnsi="Times New Roman" w:cs="Times New Roman"/>
          <w:sz w:val="24"/>
          <w:szCs w:val="24"/>
        </w:rPr>
        <w:t>PDS</w:t>
      </w:r>
      <w:proofErr w:type="spellEnd"/>
      <w:r w:rsidRPr="00B9712C">
        <w:rPr>
          <w:rFonts w:ascii="Times New Roman" w:hAnsi="Times New Roman" w:cs="Times New Roman"/>
          <w:sz w:val="24"/>
          <w:szCs w:val="24"/>
        </w:rPr>
        <w:t xml:space="preserve">), </w:t>
      </w:r>
      <w:r w:rsidR="008E3A37" w:rsidRPr="00B9712C">
        <w:rPr>
          <w:rFonts w:ascii="Times New Roman" w:hAnsi="Times New Roman" w:cs="Times New Roman"/>
          <w:sz w:val="24"/>
          <w:szCs w:val="24"/>
        </w:rPr>
        <w:t xml:space="preserve">Supplementary </w:t>
      </w:r>
      <w:proofErr w:type="spellStart"/>
      <w:r w:rsidR="008E3A37" w:rsidRPr="00B9712C">
        <w:rPr>
          <w:rFonts w:ascii="Times New Roman" w:hAnsi="Times New Roman" w:cs="Times New Roman"/>
          <w:sz w:val="24"/>
          <w:szCs w:val="24"/>
        </w:rPr>
        <w:t>PDSs</w:t>
      </w:r>
      <w:proofErr w:type="spellEnd"/>
      <w:r w:rsidR="008E3A37" w:rsidRPr="00B9712C">
        <w:rPr>
          <w:rFonts w:ascii="Times New Roman" w:hAnsi="Times New Roman" w:cs="Times New Roman"/>
          <w:sz w:val="24"/>
          <w:szCs w:val="24"/>
        </w:rPr>
        <w:t xml:space="preserve">, Replacement </w:t>
      </w:r>
      <w:proofErr w:type="spellStart"/>
      <w:r w:rsidR="008E3A37" w:rsidRPr="00B9712C">
        <w:rPr>
          <w:rFonts w:ascii="Times New Roman" w:hAnsi="Times New Roman" w:cs="Times New Roman"/>
          <w:sz w:val="24"/>
          <w:szCs w:val="24"/>
        </w:rPr>
        <w:t>PDSs</w:t>
      </w:r>
      <w:proofErr w:type="spellEnd"/>
      <w:r w:rsidR="008E3A37" w:rsidRPr="00B9712C">
        <w:rPr>
          <w:rFonts w:ascii="Times New Roman" w:hAnsi="Times New Roman" w:cs="Times New Roman"/>
          <w:sz w:val="24"/>
          <w:szCs w:val="24"/>
        </w:rPr>
        <w:t xml:space="preserve">, </w:t>
      </w:r>
      <w:r w:rsidR="00AB617A" w:rsidRPr="00B9712C">
        <w:rPr>
          <w:rFonts w:ascii="Times New Roman" w:hAnsi="Times New Roman" w:cs="Times New Roman"/>
          <w:sz w:val="24"/>
          <w:szCs w:val="24"/>
        </w:rPr>
        <w:t xml:space="preserve">additional product information on request, </w:t>
      </w:r>
      <w:r w:rsidRPr="00B9712C">
        <w:rPr>
          <w:rFonts w:ascii="Times New Roman" w:hAnsi="Times New Roman" w:cs="Times New Roman"/>
          <w:sz w:val="24"/>
          <w:szCs w:val="24"/>
        </w:rPr>
        <w:t>Statement of Advice (</w:t>
      </w:r>
      <w:proofErr w:type="spellStart"/>
      <w:r w:rsidRPr="00B9712C">
        <w:rPr>
          <w:rFonts w:ascii="Times New Roman" w:hAnsi="Times New Roman" w:cs="Times New Roman"/>
          <w:sz w:val="24"/>
          <w:szCs w:val="24"/>
        </w:rPr>
        <w:t>SOA</w:t>
      </w:r>
      <w:proofErr w:type="spellEnd"/>
      <w:r w:rsidRPr="00B9712C">
        <w:rPr>
          <w:rFonts w:ascii="Times New Roman" w:hAnsi="Times New Roman" w:cs="Times New Roman"/>
          <w:sz w:val="24"/>
          <w:szCs w:val="24"/>
        </w:rPr>
        <w:t>)</w:t>
      </w:r>
      <w:r w:rsidR="00975AA5" w:rsidRPr="00B9712C">
        <w:rPr>
          <w:rFonts w:ascii="Times New Roman" w:hAnsi="Times New Roman" w:cs="Times New Roman"/>
          <w:sz w:val="24"/>
          <w:szCs w:val="24"/>
        </w:rPr>
        <w:t xml:space="preserve">, </w:t>
      </w:r>
      <w:proofErr w:type="spellStart"/>
      <w:r w:rsidR="00975AA5" w:rsidRPr="00B9712C">
        <w:rPr>
          <w:rFonts w:ascii="Times New Roman" w:hAnsi="Times New Roman" w:cs="Times New Roman"/>
          <w:sz w:val="24"/>
          <w:szCs w:val="24"/>
        </w:rPr>
        <w:t>CGS</w:t>
      </w:r>
      <w:proofErr w:type="spellEnd"/>
      <w:r w:rsidR="00106AE2">
        <w:rPr>
          <w:rFonts w:ascii="Times New Roman" w:hAnsi="Times New Roman" w:cs="Times New Roman"/>
          <w:sz w:val="24"/>
          <w:szCs w:val="24"/>
        </w:rPr>
        <w:t xml:space="preserve"> </w:t>
      </w:r>
      <w:r w:rsidR="00A91570">
        <w:rPr>
          <w:rFonts w:ascii="Times New Roman" w:hAnsi="Times New Roman" w:cs="Times New Roman"/>
          <w:sz w:val="24"/>
          <w:szCs w:val="24"/>
        </w:rPr>
        <w:t>d</w:t>
      </w:r>
      <w:r w:rsidR="00975AA5" w:rsidRPr="00B9712C">
        <w:rPr>
          <w:rFonts w:ascii="Times New Roman" w:hAnsi="Times New Roman" w:cs="Times New Roman"/>
          <w:sz w:val="24"/>
          <w:szCs w:val="24"/>
        </w:rPr>
        <w:t xml:space="preserve">epository </w:t>
      </w:r>
      <w:r w:rsidR="00A91570">
        <w:rPr>
          <w:rFonts w:ascii="Times New Roman" w:hAnsi="Times New Roman" w:cs="Times New Roman"/>
          <w:sz w:val="24"/>
          <w:szCs w:val="24"/>
        </w:rPr>
        <w:t>i</w:t>
      </w:r>
      <w:r w:rsidR="00975AA5" w:rsidRPr="00B9712C">
        <w:rPr>
          <w:rFonts w:ascii="Times New Roman" w:hAnsi="Times New Roman" w:cs="Times New Roman"/>
          <w:sz w:val="24"/>
          <w:szCs w:val="24"/>
        </w:rPr>
        <w:t xml:space="preserve">nterest </w:t>
      </w:r>
      <w:r w:rsidR="00A91570">
        <w:rPr>
          <w:rFonts w:ascii="Times New Roman" w:hAnsi="Times New Roman" w:cs="Times New Roman"/>
          <w:sz w:val="24"/>
          <w:szCs w:val="24"/>
        </w:rPr>
        <w:t>i</w:t>
      </w:r>
      <w:r w:rsidR="00857DA4" w:rsidRPr="00B9712C">
        <w:rPr>
          <w:rFonts w:ascii="Times New Roman" w:hAnsi="Times New Roman" w:cs="Times New Roman"/>
          <w:sz w:val="24"/>
          <w:szCs w:val="24"/>
        </w:rPr>
        <w:t xml:space="preserve">nformation </w:t>
      </w:r>
      <w:r w:rsidR="00A91570">
        <w:rPr>
          <w:rFonts w:ascii="Times New Roman" w:hAnsi="Times New Roman" w:cs="Times New Roman"/>
          <w:sz w:val="24"/>
          <w:szCs w:val="24"/>
        </w:rPr>
        <w:t>s</w:t>
      </w:r>
      <w:r w:rsidR="00975AA5" w:rsidRPr="00B9712C">
        <w:rPr>
          <w:rFonts w:ascii="Times New Roman" w:hAnsi="Times New Roman" w:cs="Times New Roman"/>
          <w:sz w:val="24"/>
          <w:szCs w:val="24"/>
        </w:rPr>
        <w:t xml:space="preserve">tatements, </w:t>
      </w:r>
      <w:r w:rsidR="000966E0">
        <w:rPr>
          <w:rFonts w:ascii="Times New Roman" w:hAnsi="Times New Roman" w:cs="Times New Roman"/>
          <w:sz w:val="24"/>
          <w:szCs w:val="24"/>
        </w:rPr>
        <w:t>p</w:t>
      </w:r>
      <w:r w:rsidR="00975AA5" w:rsidRPr="00B9712C">
        <w:rPr>
          <w:rFonts w:ascii="Times New Roman" w:hAnsi="Times New Roman" w:cs="Times New Roman"/>
          <w:sz w:val="24"/>
          <w:szCs w:val="24"/>
        </w:rPr>
        <w:t xml:space="preserve">eriodic </w:t>
      </w:r>
      <w:r w:rsidR="000966E0">
        <w:rPr>
          <w:rFonts w:ascii="Times New Roman" w:hAnsi="Times New Roman" w:cs="Times New Roman"/>
          <w:sz w:val="24"/>
          <w:szCs w:val="24"/>
        </w:rPr>
        <w:t>s</w:t>
      </w:r>
      <w:r w:rsidR="00975AA5" w:rsidRPr="00B9712C">
        <w:rPr>
          <w:rFonts w:ascii="Times New Roman" w:hAnsi="Times New Roman" w:cs="Times New Roman"/>
          <w:sz w:val="24"/>
          <w:szCs w:val="24"/>
        </w:rPr>
        <w:t xml:space="preserve">tatements, </w:t>
      </w:r>
      <w:r w:rsidR="007F4DB8" w:rsidRPr="00B9712C">
        <w:rPr>
          <w:rFonts w:ascii="Times New Roman" w:hAnsi="Times New Roman" w:cs="Times New Roman"/>
          <w:sz w:val="24"/>
          <w:szCs w:val="24"/>
        </w:rPr>
        <w:t xml:space="preserve">certain </w:t>
      </w:r>
      <w:r w:rsidR="00437E43" w:rsidRPr="00B9712C">
        <w:rPr>
          <w:rFonts w:ascii="Times New Roman" w:hAnsi="Times New Roman" w:cs="Times New Roman"/>
          <w:sz w:val="24"/>
          <w:szCs w:val="24"/>
        </w:rPr>
        <w:t xml:space="preserve">additional disclosures by trustees of superannuation entities, </w:t>
      </w:r>
      <w:r w:rsidR="00975AA5" w:rsidRPr="00B9712C">
        <w:rPr>
          <w:rFonts w:ascii="Times New Roman" w:hAnsi="Times New Roman" w:cs="Times New Roman"/>
          <w:sz w:val="24"/>
          <w:szCs w:val="24"/>
        </w:rPr>
        <w:t>and ongoing disclosure</w:t>
      </w:r>
      <w:r w:rsidR="007F4DB8" w:rsidRPr="00B9712C">
        <w:rPr>
          <w:rFonts w:ascii="Times New Roman" w:hAnsi="Times New Roman" w:cs="Times New Roman"/>
          <w:sz w:val="24"/>
          <w:szCs w:val="24"/>
        </w:rPr>
        <w:t xml:space="preserve"> </w:t>
      </w:r>
      <w:r w:rsidR="00933A7B" w:rsidRPr="00B9712C">
        <w:rPr>
          <w:rFonts w:ascii="Times New Roman" w:hAnsi="Times New Roman" w:cs="Times New Roman"/>
          <w:sz w:val="24"/>
          <w:szCs w:val="24"/>
        </w:rPr>
        <w:t xml:space="preserve">by issuers of material changes and significant events </w:t>
      </w:r>
      <w:r w:rsidR="007F4DB8" w:rsidRPr="00B9712C">
        <w:rPr>
          <w:rFonts w:ascii="Times New Roman" w:hAnsi="Times New Roman" w:cs="Times New Roman"/>
          <w:sz w:val="24"/>
          <w:szCs w:val="24"/>
        </w:rPr>
        <w:t xml:space="preserve">relating to </w:t>
      </w:r>
      <w:r w:rsidR="00933A7B" w:rsidRPr="00B9712C">
        <w:rPr>
          <w:rFonts w:ascii="Times New Roman" w:hAnsi="Times New Roman" w:cs="Times New Roman"/>
          <w:sz w:val="24"/>
          <w:szCs w:val="24"/>
        </w:rPr>
        <w:t xml:space="preserve">a </w:t>
      </w:r>
      <w:r w:rsidR="007F4DB8" w:rsidRPr="00B9712C">
        <w:rPr>
          <w:rFonts w:ascii="Times New Roman" w:hAnsi="Times New Roman" w:cs="Times New Roman"/>
          <w:sz w:val="24"/>
          <w:szCs w:val="24"/>
        </w:rPr>
        <w:t>financial product</w:t>
      </w:r>
      <w:r w:rsidR="00975AA5" w:rsidRPr="00B9712C">
        <w:rPr>
          <w:rFonts w:ascii="Times New Roman" w:hAnsi="Times New Roman" w:cs="Times New Roman"/>
          <w:sz w:val="24"/>
          <w:szCs w:val="24"/>
        </w:rPr>
        <w:t>.</w:t>
      </w:r>
    </w:p>
    <w:p w:rsidR="008E37CA" w:rsidRPr="00B9712C" w:rsidRDefault="008E37CA" w:rsidP="001D5AFB">
      <w:pPr>
        <w:autoSpaceDE w:val="0"/>
        <w:autoSpaceDN w:val="0"/>
        <w:adjustRightInd w:val="0"/>
        <w:spacing w:after="0" w:line="240" w:lineRule="auto"/>
        <w:rPr>
          <w:rFonts w:ascii="Times New Roman" w:hAnsi="Times New Roman" w:cs="Times New Roman"/>
          <w:sz w:val="24"/>
          <w:szCs w:val="24"/>
        </w:rPr>
      </w:pPr>
    </w:p>
    <w:p w:rsidR="00F5052E" w:rsidRPr="00B9712C" w:rsidRDefault="001D5AFB" w:rsidP="00EE004B">
      <w:pPr>
        <w:autoSpaceDE w:val="0"/>
        <w:autoSpaceDN w:val="0"/>
        <w:adjustRightInd w:val="0"/>
        <w:spacing w:after="0" w:line="240" w:lineRule="auto"/>
        <w:rPr>
          <w:rFonts w:ascii="Times New Roman" w:hAnsi="Times New Roman" w:cs="Times New Roman"/>
          <w:sz w:val="24"/>
          <w:szCs w:val="24"/>
        </w:rPr>
      </w:pPr>
      <w:r w:rsidRPr="00B9712C">
        <w:rPr>
          <w:rFonts w:ascii="Times New Roman" w:hAnsi="Times New Roman" w:cs="Times New Roman"/>
          <w:sz w:val="24"/>
          <w:szCs w:val="24"/>
        </w:rPr>
        <w:t xml:space="preserve">An </w:t>
      </w:r>
      <w:proofErr w:type="spellStart"/>
      <w:r w:rsidRPr="00B9712C">
        <w:rPr>
          <w:rFonts w:ascii="Times New Roman" w:hAnsi="Times New Roman" w:cs="Times New Roman"/>
          <w:sz w:val="24"/>
          <w:szCs w:val="24"/>
        </w:rPr>
        <w:t>FSG</w:t>
      </w:r>
      <w:proofErr w:type="spellEnd"/>
      <w:r w:rsidRPr="00B9712C">
        <w:rPr>
          <w:rFonts w:ascii="Times New Roman" w:hAnsi="Times New Roman" w:cs="Times New Roman"/>
          <w:sz w:val="24"/>
          <w:szCs w:val="24"/>
        </w:rPr>
        <w:t xml:space="preserve"> is a document that explains to a</w:t>
      </w:r>
      <w:r w:rsidR="00EE004B" w:rsidRPr="00B9712C">
        <w:rPr>
          <w:rFonts w:ascii="Times New Roman" w:hAnsi="Times New Roman" w:cs="Times New Roman"/>
          <w:sz w:val="24"/>
          <w:szCs w:val="24"/>
        </w:rPr>
        <w:t xml:space="preserve"> retail</w:t>
      </w:r>
      <w:r w:rsidRPr="00B9712C">
        <w:rPr>
          <w:rFonts w:ascii="Times New Roman" w:hAnsi="Times New Roman" w:cs="Times New Roman"/>
          <w:sz w:val="24"/>
          <w:szCs w:val="24"/>
        </w:rPr>
        <w:t xml:space="preserve"> investor what financial services they can access from a provider. Generally, it must be given before the services are offered. A Supplementary </w:t>
      </w:r>
      <w:proofErr w:type="spellStart"/>
      <w:r w:rsidRPr="00B9712C">
        <w:rPr>
          <w:rFonts w:ascii="Times New Roman" w:hAnsi="Times New Roman" w:cs="Times New Roman"/>
          <w:sz w:val="24"/>
          <w:szCs w:val="24"/>
        </w:rPr>
        <w:t>FSG</w:t>
      </w:r>
      <w:proofErr w:type="spellEnd"/>
      <w:r w:rsidRPr="00B9712C">
        <w:rPr>
          <w:rFonts w:ascii="Times New Roman" w:hAnsi="Times New Roman" w:cs="Times New Roman"/>
          <w:sz w:val="24"/>
          <w:szCs w:val="24"/>
        </w:rPr>
        <w:t xml:space="preserve"> is a document that updates the information contained in the </w:t>
      </w:r>
      <w:proofErr w:type="spellStart"/>
      <w:r w:rsidRPr="00B9712C">
        <w:rPr>
          <w:rFonts w:ascii="Times New Roman" w:hAnsi="Times New Roman" w:cs="Times New Roman"/>
          <w:sz w:val="24"/>
          <w:szCs w:val="24"/>
        </w:rPr>
        <w:t>FSG</w:t>
      </w:r>
      <w:proofErr w:type="spellEnd"/>
      <w:r w:rsidRPr="00B9712C">
        <w:rPr>
          <w:rFonts w:ascii="Times New Roman" w:hAnsi="Times New Roman" w:cs="Times New Roman"/>
          <w:sz w:val="24"/>
          <w:szCs w:val="24"/>
        </w:rPr>
        <w:t xml:space="preserve"> or corrects a misleading or deceptive statement or an omission in the </w:t>
      </w:r>
      <w:proofErr w:type="spellStart"/>
      <w:r w:rsidRPr="00B9712C">
        <w:rPr>
          <w:rFonts w:ascii="Times New Roman" w:hAnsi="Times New Roman" w:cs="Times New Roman"/>
          <w:sz w:val="24"/>
          <w:szCs w:val="24"/>
        </w:rPr>
        <w:t>FSG</w:t>
      </w:r>
      <w:proofErr w:type="spellEnd"/>
      <w:r w:rsidRPr="00B9712C">
        <w:rPr>
          <w:rFonts w:ascii="Times New Roman" w:hAnsi="Times New Roman" w:cs="Times New Roman"/>
          <w:sz w:val="24"/>
          <w:szCs w:val="24"/>
        </w:rPr>
        <w:t xml:space="preserve">. </w:t>
      </w:r>
    </w:p>
    <w:p w:rsidR="00F5052E" w:rsidRPr="00B9712C" w:rsidRDefault="00F5052E" w:rsidP="00EE004B">
      <w:pPr>
        <w:autoSpaceDE w:val="0"/>
        <w:autoSpaceDN w:val="0"/>
        <w:adjustRightInd w:val="0"/>
        <w:spacing w:after="0" w:line="240" w:lineRule="auto"/>
        <w:rPr>
          <w:rFonts w:ascii="Times New Roman" w:hAnsi="Times New Roman" w:cs="Times New Roman"/>
          <w:sz w:val="24"/>
          <w:szCs w:val="24"/>
        </w:rPr>
      </w:pPr>
    </w:p>
    <w:p w:rsidR="00F5052E" w:rsidRDefault="001D5AFB" w:rsidP="00EE004B">
      <w:pPr>
        <w:autoSpaceDE w:val="0"/>
        <w:autoSpaceDN w:val="0"/>
        <w:adjustRightInd w:val="0"/>
        <w:spacing w:after="0" w:line="240" w:lineRule="auto"/>
        <w:rPr>
          <w:rFonts w:ascii="Times New Roman" w:hAnsi="Times New Roman" w:cs="Times New Roman"/>
          <w:sz w:val="24"/>
          <w:szCs w:val="24"/>
        </w:rPr>
      </w:pPr>
      <w:r w:rsidRPr="00B9712C">
        <w:rPr>
          <w:rFonts w:ascii="Times New Roman" w:hAnsi="Times New Roman" w:cs="Times New Roman"/>
          <w:sz w:val="24"/>
          <w:szCs w:val="24"/>
        </w:rPr>
        <w:t xml:space="preserve">A </w:t>
      </w:r>
      <w:proofErr w:type="spellStart"/>
      <w:r w:rsidRPr="00B9712C">
        <w:rPr>
          <w:rFonts w:ascii="Times New Roman" w:hAnsi="Times New Roman" w:cs="Times New Roman"/>
          <w:sz w:val="24"/>
          <w:szCs w:val="24"/>
        </w:rPr>
        <w:t>PDS</w:t>
      </w:r>
      <w:proofErr w:type="spellEnd"/>
      <w:r w:rsidRPr="00B9712C">
        <w:rPr>
          <w:sz w:val="23"/>
          <w:szCs w:val="23"/>
        </w:rPr>
        <w:t xml:space="preserve"> </w:t>
      </w:r>
      <w:r w:rsidRPr="00B9712C">
        <w:rPr>
          <w:rFonts w:ascii="Times New Roman" w:hAnsi="Times New Roman" w:cs="Times New Roman"/>
          <w:sz w:val="24"/>
          <w:szCs w:val="24"/>
        </w:rPr>
        <w:t>is a document that explains to a</w:t>
      </w:r>
      <w:r w:rsidR="00EE004B" w:rsidRPr="00B9712C">
        <w:rPr>
          <w:rFonts w:ascii="Times New Roman" w:hAnsi="Times New Roman" w:cs="Times New Roman"/>
          <w:sz w:val="24"/>
          <w:szCs w:val="24"/>
        </w:rPr>
        <w:t xml:space="preserve"> retail </w:t>
      </w:r>
      <w:r w:rsidRPr="00B9712C">
        <w:rPr>
          <w:rFonts w:ascii="Times New Roman" w:hAnsi="Times New Roman" w:cs="Times New Roman"/>
          <w:sz w:val="24"/>
          <w:szCs w:val="24"/>
        </w:rPr>
        <w:t xml:space="preserve">investor what financial product they are buying. Generally, it must be given when the financial product is offered. </w:t>
      </w:r>
      <w:r w:rsidR="00AB617A" w:rsidRPr="00B9712C">
        <w:rPr>
          <w:rFonts w:ascii="Times New Roman" w:hAnsi="Times New Roman" w:cs="Times New Roman"/>
          <w:sz w:val="24"/>
          <w:szCs w:val="24"/>
        </w:rPr>
        <w:t xml:space="preserve">A product provider is also obliged to provide further information relating to the product on request. </w:t>
      </w:r>
      <w:r w:rsidR="000004A2" w:rsidRPr="00B9712C">
        <w:rPr>
          <w:rFonts w:ascii="Times New Roman" w:hAnsi="Times New Roman" w:cs="Times New Roman"/>
          <w:sz w:val="24"/>
          <w:szCs w:val="24"/>
        </w:rPr>
        <w:t xml:space="preserve">A Supplementary </w:t>
      </w:r>
      <w:proofErr w:type="spellStart"/>
      <w:r w:rsidR="000004A2" w:rsidRPr="00B9712C">
        <w:rPr>
          <w:rFonts w:ascii="Times New Roman" w:hAnsi="Times New Roman" w:cs="Times New Roman"/>
          <w:sz w:val="24"/>
          <w:szCs w:val="24"/>
        </w:rPr>
        <w:t>PDS</w:t>
      </w:r>
      <w:proofErr w:type="spellEnd"/>
      <w:r w:rsidR="000004A2" w:rsidRPr="00B9712C">
        <w:rPr>
          <w:rFonts w:ascii="Times New Roman" w:hAnsi="Times New Roman" w:cs="Times New Roman"/>
          <w:sz w:val="24"/>
          <w:szCs w:val="24"/>
        </w:rPr>
        <w:t xml:space="preserve"> corrects, updates or amends the information in a </w:t>
      </w:r>
      <w:proofErr w:type="spellStart"/>
      <w:r w:rsidR="000004A2" w:rsidRPr="00B9712C">
        <w:rPr>
          <w:rFonts w:ascii="Times New Roman" w:hAnsi="Times New Roman" w:cs="Times New Roman"/>
          <w:sz w:val="24"/>
          <w:szCs w:val="24"/>
        </w:rPr>
        <w:t>PDS</w:t>
      </w:r>
      <w:proofErr w:type="spellEnd"/>
      <w:r w:rsidR="000004A2" w:rsidRPr="00B9712C">
        <w:rPr>
          <w:rFonts w:ascii="Times New Roman" w:hAnsi="Times New Roman" w:cs="Times New Roman"/>
          <w:sz w:val="24"/>
          <w:szCs w:val="24"/>
        </w:rPr>
        <w:t xml:space="preserve">. A Replacement </w:t>
      </w:r>
      <w:proofErr w:type="spellStart"/>
      <w:r w:rsidR="000004A2" w:rsidRPr="00B9712C">
        <w:rPr>
          <w:rFonts w:ascii="Times New Roman" w:hAnsi="Times New Roman" w:cs="Times New Roman"/>
          <w:sz w:val="24"/>
          <w:szCs w:val="24"/>
        </w:rPr>
        <w:t>PDS</w:t>
      </w:r>
      <w:proofErr w:type="spellEnd"/>
      <w:r w:rsidR="000004A2" w:rsidRPr="00B9712C">
        <w:rPr>
          <w:rFonts w:ascii="Times New Roman" w:hAnsi="Times New Roman" w:cs="Times New Roman"/>
          <w:sz w:val="24"/>
          <w:szCs w:val="24"/>
        </w:rPr>
        <w:t xml:space="preserve"> replaces an earlier </w:t>
      </w:r>
      <w:proofErr w:type="spellStart"/>
      <w:r w:rsidR="000004A2" w:rsidRPr="00B9712C">
        <w:rPr>
          <w:rFonts w:ascii="Times New Roman" w:hAnsi="Times New Roman" w:cs="Times New Roman"/>
          <w:sz w:val="24"/>
          <w:szCs w:val="24"/>
        </w:rPr>
        <w:t>PDS</w:t>
      </w:r>
      <w:proofErr w:type="spellEnd"/>
      <w:r w:rsidR="000004A2" w:rsidRPr="00B9712C">
        <w:rPr>
          <w:rFonts w:ascii="Times New Roman" w:hAnsi="Times New Roman" w:cs="Times New Roman"/>
          <w:sz w:val="24"/>
          <w:szCs w:val="24"/>
        </w:rPr>
        <w:t>.</w:t>
      </w:r>
    </w:p>
    <w:p w:rsidR="00F5052E" w:rsidRDefault="00F5052E" w:rsidP="00EE004B">
      <w:pPr>
        <w:autoSpaceDE w:val="0"/>
        <w:autoSpaceDN w:val="0"/>
        <w:adjustRightInd w:val="0"/>
        <w:spacing w:after="0" w:line="240" w:lineRule="auto"/>
        <w:rPr>
          <w:rFonts w:ascii="Times New Roman" w:hAnsi="Times New Roman" w:cs="Times New Roman"/>
          <w:sz w:val="24"/>
          <w:szCs w:val="24"/>
        </w:rPr>
      </w:pPr>
    </w:p>
    <w:p w:rsidR="001F41AB" w:rsidRPr="00F46458" w:rsidRDefault="001D5AFB" w:rsidP="00EE004B">
      <w:pPr>
        <w:autoSpaceDE w:val="0"/>
        <w:autoSpaceDN w:val="0"/>
        <w:adjustRightInd w:val="0"/>
        <w:spacing w:after="0" w:line="240" w:lineRule="auto"/>
        <w:rPr>
          <w:sz w:val="23"/>
          <w:szCs w:val="23"/>
        </w:rPr>
      </w:pPr>
      <w:r w:rsidRPr="00F46458">
        <w:rPr>
          <w:rFonts w:ascii="Times New Roman" w:hAnsi="Times New Roman" w:cs="Times New Roman"/>
          <w:sz w:val="24"/>
          <w:szCs w:val="24"/>
        </w:rPr>
        <w:lastRenderedPageBreak/>
        <w:t>A</w:t>
      </w:r>
      <w:r w:rsidR="00BC232A">
        <w:rPr>
          <w:rFonts w:ascii="Times New Roman" w:hAnsi="Times New Roman" w:cs="Times New Roman"/>
          <w:sz w:val="24"/>
          <w:szCs w:val="24"/>
        </w:rPr>
        <w:t>n</w:t>
      </w:r>
      <w:r w:rsidRPr="00F46458">
        <w:rPr>
          <w:rFonts w:ascii="Times New Roman" w:hAnsi="Times New Roman" w:cs="Times New Roman"/>
          <w:sz w:val="24"/>
          <w:szCs w:val="24"/>
        </w:rPr>
        <w:t xml:space="preserve"> </w:t>
      </w:r>
      <w:proofErr w:type="spellStart"/>
      <w:r w:rsidRPr="00F46458">
        <w:rPr>
          <w:rFonts w:ascii="Times New Roman" w:hAnsi="Times New Roman" w:cs="Times New Roman"/>
          <w:sz w:val="24"/>
          <w:szCs w:val="24"/>
        </w:rPr>
        <w:t>SOA</w:t>
      </w:r>
      <w:proofErr w:type="spellEnd"/>
      <w:r w:rsidRPr="00F46458">
        <w:rPr>
          <w:rFonts w:ascii="Times New Roman" w:hAnsi="Times New Roman" w:cs="Times New Roman"/>
          <w:sz w:val="24"/>
          <w:szCs w:val="24"/>
        </w:rPr>
        <w:t xml:space="preserve"> is a document that explains to a</w:t>
      </w:r>
      <w:r w:rsidR="00EE004B" w:rsidRPr="00F46458">
        <w:rPr>
          <w:rFonts w:ascii="Times New Roman" w:hAnsi="Times New Roman" w:cs="Times New Roman"/>
          <w:sz w:val="24"/>
          <w:szCs w:val="24"/>
        </w:rPr>
        <w:t xml:space="preserve"> retail investor</w:t>
      </w:r>
      <w:r w:rsidRPr="00F46458">
        <w:rPr>
          <w:rFonts w:ascii="Times New Roman" w:hAnsi="Times New Roman" w:cs="Times New Roman"/>
          <w:sz w:val="24"/>
          <w:szCs w:val="24"/>
        </w:rPr>
        <w:t xml:space="preserve"> what personal advice they are being given in relation to financial services or financial products. Generally it must be given at the same time as the advice.</w:t>
      </w:r>
      <w:r w:rsidRPr="00F46458">
        <w:rPr>
          <w:sz w:val="23"/>
          <w:szCs w:val="23"/>
        </w:rPr>
        <w:t xml:space="preserve">  </w:t>
      </w:r>
    </w:p>
    <w:p w:rsidR="001F41AB" w:rsidRPr="00F46458" w:rsidRDefault="001F41AB" w:rsidP="00EE004B">
      <w:pPr>
        <w:autoSpaceDE w:val="0"/>
        <w:autoSpaceDN w:val="0"/>
        <w:adjustRightInd w:val="0"/>
        <w:spacing w:after="0" w:line="240" w:lineRule="auto"/>
        <w:rPr>
          <w:sz w:val="23"/>
          <w:szCs w:val="23"/>
        </w:rPr>
      </w:pPr>
    </w:p>
    <w:p w:rsidR="00130E80" w:rsidRPr="00F46458" w:rsidRDefault="00EE004B" w:rsidP="00EE004B">
      <w:pPr>
        <w:autoSpaceDE w:val="0"/>
        <w:autoSpaceDN w:val="0"/>
        <w:adjustRightInd w:val="0"/>
        <w:spacing w:after="0" w:line="240" w:lineRule="auto"/>
        <w:rPr>
          <w:rFonts w:ascii="Times New Roman" w:hAnsi="Times New Roman" w:cs="Times New Roman"/>
          <w:sz w:val="24"/>
          <w:szCs w:val="24"/>
        </w:rPr>
      </w:pPr>
      <w:r w:rsidRPr="00F46458">
        <w:rPr>
          <w:rFonts w:ascii="Times New Roman" w:hAnsi="Times New Roman" w:cs="Times New Roman"/>
          <w:sz w:val="24"/>
          <w:szCs w:val="24"/>
        </w:rPr>
        <w:t xml:space="preserve">A </w:t>
      </w:r>
      <w:proofErr w:type="spellStart"/>
      <w:r w:rsidRPr="00F46458">
        <w:rPr>
          <w:rFonts w:ascii="Times New Roman" w:hAnsi="Times New Roman" w:cs="Times New Roman"/>
          <w:sz w:val="24"/>
          <w:szCs w:val="24"/>
        </w:rPr>
        <w:t>CGS</w:t>
      </w:r>
      <w:proofErr w:type="spellEnd"/>
      <w:r w:rsidRPr="00F46458">
        <w:rPr>
          <w:rFonts w:ascii="Times New Roman" w:hAnsi="Times New Roman" w:cs="Times New Roman"/>
          <w:sz w:val="24"/>
          <w:szCs w:val="24"/>
        </w:rPr>
        <w:t xml:space="preserve"> Depository Interest Information Statement is a document </w:t>
      </w:r>
      <w:r w:rsidR="000966E0">
        <w:rPr>
          <w:rFonts w:ascii="Times New Roman" w:hAnsi="Times New Roman" w:cs="Times New Roman"/>
          <w:sz w:val="24"/>
          <w:szCs w:val="24"/>
        </w:rPr>
        <w:t xml:space="preserve">prepared by the Commonwealth that </w:t>
      </w:r>
      <w:r w:rsidRPr="00F46458">
        <w:rPr>
          <w:rFonts w:ascii="Times New Roman" w:hAnsi="Times New Roman" w:cs="Times New Roman"/>
          <w:sz w:val="24"/>
          <w:szCs w:val="24"/>
        </w:rPr>
        <w:t>contain</w:t>
      </w:r>
      <w:r w:rsidR="000966E0">
        <w:rPr>
          <w:rFonts w:ascii="Times New Roman" w:hAnsi="Times New Roman" w:cs="Times New Roman"/>
          <w:sz w:val="24"/>
          <w:szCs w:val="24"/>
        </w:rPr>
        <w:t>s</w:t>
      </w:r>
      <w:r w:rsidRPr="00F46458">
        <w:rPr>
          <w:rFonts w:ascii="Times New Roman" w:hAnsi="Times New Roman" w:cs="Times New Roman"/>
          <w:sz w:val="24"/>
          <w:szCs w:val="24"/>
        </w:rPr>
        <w:t xml:space="preserve"> </w:t>
      </w:r>
      <w:r w:rsidR="000966E0">
        <w:rPr>
          <w:rFonts w:ascii="Times New Roman" w:hAnsi="Times New Roman" w:cs="Times New Roman"/>
          <w:sz w:val="24"/>
          <w:szCs w:val="24"/>
        </w:rPr>
        <w:t xml:space="preserve">information about </w:t>
      </w:r>
      <w:proofErr w:type="spellStart"/>
      <w:r w:rsidR="000966E0">
        <w:rPr>
          <w:rFonts w:ascii="Times New Roman" w:hAnsi="Times New Roman" w:cs="Times New Roman"/>
          <w:sz w:val="24"/>
          <w:szCs w:val="24"/>
        </w:rPr>
        <w:t>CGS</w:t>
      </w:r>
      <w:proofErr w:type="spellEnd"/>
      <w:r w:rsidR="000966E0">
        <w:rPr>
          <w:rFonts w:ascii="Times New Roman" w:hAnsi="Times New Roman" w:cs="Times New Roman"/>
          <w:sz w:val="24"/>
          <w:szCs w:val="24"/>
        </w:rPr>
        <w:t xml:space="preserve"> depository interests in a class</w:t>
      </w:r>
      <w:r w:rsidRPr="00F46458">
        <w:rPr>
          <w:rFonts w:ascii="Times New Roman" w:hAnsi="Times New Roman" w:cs="Times New Roman"/>
          <w:sz w:val="24"/>
          <w:szCs w:val="24"/>
        </w:rPr>
        <w:t xml:space="preserve">. It is provided to a retail investor in circumstances where personal advice given to the retail investor recommends acquisition of </w:t>
      </w:r>
      <w:proofErr w:type="spellStart"/>
      <w:r w:rsidR="000966E0">
        <w:rPr>
          <w:rFonts w:ascii="Times New Roman" w:hAnsi="Times New Roman" w:cs="Times New Roman"/>
          <w:sz w:val="24"/>
          <w:szCs w:val="24"/>
        </w:rPr>
        <w:t>CGS</w:t>
      </w:r>
      <w:proofErr w:type="spellEnd"/>
      <w:r w:rsidR="000966E0">
        <w:rPr>
          <w:rFonts w:ascii="Times New Roman" w:hAnsi="Times New Roman" w:cs="Times New Roman"/>
          <w:sz w:val="24"/>
          <w:szCs w:val="24"/>
        </w:rPr>
        <w:t xml:space="preserve"> depository interests</w:t>
      </w:r>
      <w:r w:rsidRPr="00F46458">
        <w:rPr>
          <w:rFonts w:ascii="Times New Roman" w:hAnsi="Times New Roman" w:cs="Times New Roman"/>
          <w:sz w:val="24"/>
          <w:szCs w:val="24"/>
        </w:rPr>
        <w:t>.</w:t>
      </w:r>
      <w:r w:rsidR="00B64ABC" w:rsidRPr="00F46458">
        <w:rPr>
          <w:rFonts w:ascii="Times New Roman" w:hAnsi="Times New Roman" w:cs="Times New Roman"/>
          <w:sz w:val="24"/>
          <w:szCs w:val="24"/>
        </w:rPr>
        <w:t xml:space="preserve"> </w:t>
      </w:r>
      <w:r w:rsidR="000004A2">
        <w:rPr>
          <w:rFonts w:ascii="Times New Roman" w:hAnsi="Times New Roman" w:cs="Times New Roman"/>
          <w:sz w:val="24"/>
          <w:szCs w:val="24"/>
        </w:rPr>
        <w:t>(Division 5C of Part 7.9)</w:t>
      </w:r>
    </w:p>
    <w:p w:rsidR="00130E80" w:rsidRPr="00F46458" w:rsidRDefault="00130E80" w:rsidP="00EE004B">
      <w:pPr>
        <w:autoSpaceDE w:val="0"/>
        <w:autoSpaceDN w:val="0"/>
        <w:adjustRightInd w:val="0"/>
        <w:spacing w:after="0" w:line="240" w:lineRule="auto"/>
        <w:rPr>
          <w:rFonts w:ascii="Times New Roman" w:hAnsi="Times New Roman" w:cs="Times New Roman"/>
          <w:sz w:val="24"/>
          <w:szCs w:val="24"/>
        </w:rPr>
      </w:pPr>
    </w:p>
    <w:p w:rsidR="00EE004B" w:rsidRPr="00F46458" w:rsidRDefault="00B64ABC" w:rsidP="00EE004B">
      <w:pPr>
        <w:autoSpaceDE w:val="0"/>
        <w:autoSpaceDN w:val="0"/>
        <w:adjustRightInd w:val="0"/>
        <w:spacing w:after="0" w:line="240" w:lineRule="auto"/>
        <w:rPr>
          <w:rFonts w:ascii="Times New Roman" w:hAnsi="Times New Roman" w:cs="Times New Roman"/>
          <w:sz w:val="24"/>
          <w:szCs w:val="24"/>
        </w:rPr>
      </w:pPr>
      <w:r w:rsidRPr="00F46458">
        <w:rPr>
          <w:rFonts w:ascii="Times New Roman" w:hAnsi="Times New Roman" w:cs="Times New Roman"/>
          <w:sz w:val="24"/>
          <w:szCs w:val="24"/>
        </w:rPr>
        <w:t xml:space="preserve">Periodic </w:t>
      </w:r>
      <w:r w:rsidR="000966E0">
        <w:rPr>
          <w:rFonts w:ascii="Times New Roman" w:hAnsi="Times New Roman" w:cs="Times New Roman"/>
          <w:sz w:val="24"/>
          <w:szCs w:val="24"/>
        </w:rPr>
        <w:t>s</w:t>
      </w:r>
      <w:r w:rsidRPr="00F46458">
        <w:rPr>
          <w:rFonts w:ascii="Times New Roman" w:hAnsi="Times New Roman" w:cs="Times New Roman"/>
          <w:sz w:val="24"/>
          <w:szCs w:val="24"/>
        </w:rPr>
        <w:t>tatements are documents provided to retail investors to help them understand their investment in superannuation, managed investment, retirement savings, first home saver, investment life</w:t>
      </w:r>
      <w:r w:rsidR="00703EA8" w:rsidRPr="00F46458">
        <w:rPr>
          <w:rFonts w:ascii="Times New Roman" w:hAnsi="Times New Roman" w:cs="Times New Roman"/>
          <w:sz w:val="24"/>
          <w:szCs w:val="24"/>
        </w:rPr>
        <w:t xml:space="preserve"> insurance</w:t>
      </w:r>
      <w:r w:rsidRPr="00F46458">
        <w:rPr>
          <w:rFonts w:ascii="Times New Roman" w:hAnsi="Times New Roman" w:cs="Times New Roman"/>
          <w:sz w:val="24"/>
          <w:szCs w:val="24"/>
        </w:rPr>
        <w:t>, margin lending or deposit account</w:t>
      </w:r>
      <w:r w:rsidR="00703EA8" w:rsidRPr="00F46458">
        <w:rPr>
          <w:rFonts w:ascii="Times New Roman" w:hAnsi="Times New Roman" w:cs="Times New Roman"/>
          <w:sz w:val="24"/>
          <w:szCs w:val="24"/>
        </w:rPr>
        <w:t>s</w:t>
      </w:r>
      <w:r w:rsidRPr="00F46458">
        <w:rPr>
          <w:rFonts w:ascii="Times New Roman" w:hAnsi="Times New Roman" w:cs="Times New Roman"/>
          <w:sz w:val="24"/>
          <w:szCs w:val="24"/>
        </w:rPr>
        <w:t xml:space="preserve">. </w:t>
      </w:r>
      <w:r w:rsidR="00CC2532">
        <w:rPr>
          <w:rFonts w:ascii="Times New Roman" w:hAnsi="Times New Roman" w:cs="Times New Roman"/>
          <w:sz w:val="24"/>
          <w:szCs w:val="24"/>
        </w:rPr>
        <w:t xml:space="preserve">A </w:t>
      </w:r>
      <w:r w:rsidR="000966E0">
        <w:rPr>
          <w:rFonts w:ascii="Times New Roman" w:hAnsi="Times New Roman" w:cs="Times New Roman"/>
          <w:sz w:val="24"/>
          <w:szCs w:val="24"/>
        </w:rPr>
        <w:t>p</w:t>
      </w:r>
      <w:r w:rsidR="00CC2532">
        <w:rPr>
          <w:rFonts w:ascii="Times New Roman" w:hAnsi="Times New Roman" w:cs="Times New Roman"/>
          <w:sz w:val="24"/>
          <w:szCs w:val="24"/>
        </w:rPr>
        <w:t xml:space="preserve">eriodic </w:t>
      </w:r>
      <w:r w:rsidR="000966E0">
        <w:rPr>
          <w:rFonts w:ascii="Times New Roman" w:hAnsi="Times New Roman" w:cs="Times New Roman"/>
          <w:sz w:val="24"/>
          <w:szCs w:val="24"/>
        </w:rPr>
        <w:t>s</w:t>
      </w:r>
      <w:r w:rsidR="00CC2532">
        <w:rPr>
          <w:rFonts w:ascii="Times New Roman" w:hAnsi="Times New Roman" w:cs="Times New Roman"/>
          <w:sz w:val="24"/>
          <w:szCs w:val="24"/>
        </w:rPr>
        <w:t>tatement</w:t>
      </w:r>
      <w:r w:rsidRPr="00F46458">
        <w:rPr>
          <w:rFonts w:ascii="Times New Roman" w:hAnsi="Times New Roman" w:cs="Times New Roman"/>
          <w:sz w:val="24"/>
          <w:szCs w:val="24"/>
        </w:rPr>
        <w:t xml:space="preserve"> is provided for a period (not exceeding one year) </w:t>
      </w:r>
      <w:r w:rsidR="00703EA8" w:rsidRPr="00F46458">
        <w:rPr>
          <w:rFonts w:ascii="Times New Roman" w:hAnsi="Times New Roman" w:cs="Times New Roman"/>
          <w:sz w:val="24"/>
          <w:szCs w:val="24"/>
        </w:rPr>
        <w:t xml:space="preserve">that </w:t>
      </w:r>
      <w:r w:rsidR="00C73912" w:rsidRPr="00F46458">
        <w:rPr>
          <w:rFonts w:ascii="Times New Roman" w:hAnsi="Times New Roman" w:cs="Times New Roman"/>
          <w:sz w:val="24"/>
          <w:szCs w:val="24"/>
        </w:rPr>
        <w:t xml:space="preserve">is </w:t>
      </w:r>
      <w:r w:rsidRPr="00F46458">
        <w:rPr>
          <w:rFonts w:ascii="Times New Roman" w:hAnsi="Times New Roman" w:cs="Times New Roman"/>
          <w:sz w:val="24"/>
          <w:szCs w:val="24"/>
        </w:rPr>
        <w:t>determined by the issuer of these products.</w:t>
      </w:r>
      <w:r w:rsidR="007B4982">
        <w:rPr>
          <w:rFonts w:ascii="Times New Roman" w:hAnsi="Times New Roman" w:cs="Times New Roman"/>
          <w:sz w:val="24"/>
          <w:szCs w:val="24"/>
        </w:rPr>
        <w:t xml:space="preserve"> (</w:t>
      </w:r>
      <w:r w:rsidR="009523CC">
        <w:rPr>
          <w:rFonts w:ascii="Times New Roman" w:hAnsi="Times New Roman" w:cs="Times New Roman"/>
          <w:sz w:val="24"/>
          <w:szCs w:val="24"/>
        </w:rPr>
        <w:t xml:space="preserve">Subsections </w:t>
      </w:r>
      <w:r w:rsidR="007B4982">
        <w:rPr>
          <w:rFonts w:ascii="Times New Roman" w:hAnsi="Times New Roman" w:cs="Times New Roman"/>
          <w:sz w:val="24"/>
          <w:szCs w:val="24"/>
        </w:rPr>
        <w:t>1017D (1)</w:t>
      </w:r>
      <w:r w:rsidR="000004A2">
        <w:rPr>
          <w:rFonts w:ascii="Times New Roman" w:hAnsi="Times New Roman" w:cs="Times New Roman"/>
          <w:sz w:val="24"/>
          <w:szCs w:val="24"/>
        </w:rPr>
        <w:t xml:space="preserve"> and (2))</w:t>
      </w:r>
    </w:p>
    <w:p w:rsidR="00C73912" w:rsidRPr="00F46458" w:rsidRDefault="00C73912" w:rsidP="00EE004B">
      <w:pPr>
        <w:autoSpaceDE w:val="0"/>
        <w:autoSpaceDN w:val="0"/>
        <w:adjustRightInd w:val="0"/>
        <w:spacing w:after="0" w:line="240" w:lineRule="auto"/>
        <w:rPr>
          <w:rFonts w:ascii="Times New Roman" w:hAnsi="Times New Roman" w:cs="Times New Roman"/>
          <w:sz w:val="24"/>
          <w:szCs w:val="24"/>
        </w:rPr>
      </w:pPr>
    </w:p>
    <w:p w:rsidR="001F41AB" w:rsidRPr="00F46458" w:rsidRDefault="006D7080" w:rsidP="001D5AFB">
      <w:pPr>
        <w:autoSpaceDE w:val="0"/>
        <w:autoSpaceDN w:val="0"/>
        <w:adjustRightInd w:val="0"/>
        <w:spacing w:after="0" w:line="240" w:lineRule="auto"/>
        <w:rPr>
          <w:rFonts w:ascii="Times New Roman" w:hAnsi="Times New Roman" w:cs="Times New Roman"/>
          <w:sz w:val="24"/>
          <w:szCs w:val="24"/>
        </w:rPr>
      </w:pPr>
      <w:r w:rsidRPr="00F46458">
        <w:rPr>
          <w:rFonts w:ascii="Times New Roman" w:hAnsi="Times New Roman" w:cs="Times New Roman"/>
          <w:sz w:val="24"/>
          <w:szCs w:val="24"/>
        </w:rPr>
        <w:t xml:space="preserve">Trustees of superannuation entities are required to provide additional information to holders (or former holders) of a superannuation product, including in relation to their benefit entitlement, and the management, financial condition and investment performance of the entity. </w:t>
      </w:r>
      <w:r w:rsidR="007B4982">
        <w:rPr>
          <w:rFonts w:ascii="Times New Roman" w:hAnsi="Times New Roman" w:cs="Times New Roman"/>
          <w:sz w:val="24"/>
          <w:szCs w:val="24"/>
        </w:rPr>
        <w:t>(</w:t>
      </w:r>
      <w:r w:rsidR="009523CC">
        <w:rPr>
          <w:rFonts w:ascii="Times New Roman" w:hAnsi="Times New Roman" w:cs="Times New Roman"/>
          <w:sz w:val="24"/>
          <w:szCs w:val="24"/>
        </w:rPr>
        <w:t>S</w:t>
      </w:r>
      <w:r w:rsidR="000966E0">
        <w:rPr>
          <w:rFonts w:ascii="Times New Roman" w:hAnsi="Times New Roman" w:cs="Times New Roman"/>
          <w:sz w:val="24"/>
          <w:szCs w:val="24"/>
        </w:rPr>
        <w:t xml:space="preserve">ubsection </w:t>
      </w:r>
      <w:r w:rsidR="007B4982">
        <w:rPr>
          <w:rFonts w:ascii="Times New Roman" w:hAnsi="Times New Roman" w:cs="Times New Roman"/>
          <w:sz w:val="24"/>
          <w:szCs w:val="24"/>
        </w:rPr>
        <w:t>1017DA (1))</w:t>
      </w:r>
    </w:p>
    <w:p w:rsidR="001F41AB" w:rsidRPr="00F46458" w:rsidRDefault="001F41AB" w:rsidP="001D5AFB">
      <w:pPr>
        <w:autoSpaceDE w:val="0"/>
        <w:autoSpaceDN w:val="0"/>
        <w:adjustRightInd w:val="0"/>
        <w:spacing w:after="0" w:line="240" w:lineRule="auto"/>
        <w:rPr>
          <w:rFonts w:ascii="Times New Roman" w:hAnsi="Times New Roman" w:cs="Times New Roman"/>
          <w:sz w:val="24"/>
          <w:szCs w:val="24"/>
        </w:rPr>
      </w:pPr>
    </w:p>
    <w:p w:rsidR="00C73912" w:rsidRPr="00F46458" w:rsidRDefault="00C73912" w:rsidP="001D5AFB">
      <w:pPr>
        <w:autoSpaceDE w:val="0"/>
        <w:autoSpaceDN w:val="0"/>
        <w:adjustRightInd w:val="0"/>
        <w:spacing w:after="0" w:line="240" w:lineRule="auto"/>
        <w:rPr>
          <w:rFonts w:ascii="Times New Roman" w:hAnsi="Times New Roman" w:cs="Times New Roman"/>
          <w:sz w:val="24"/>
          <w:szCs w:val="24"/>
        </w:rPr>
      </w:pPr>
      <w:r w:rsidRPr="00F46458">
        <w:rPr>
          <w:rFonts w:ascii="Times New Roman" w:hAnsi="Times New Roman" w:cs="Times New Roman"/>
          <w:sz w:val="24"/>
          <w:szCs w:val="24"/>
        </w:rPr>
        <w:t xml:space="preserve">In addition, the Act requires ongoing disclosure by issuers of financial products to retail clients of material changes and significant events relating to those products. </w:t>
      </w:r>
      <w:r w:rsidR="007B4982">
        <w:rPr>
          <w:rFonts w:ascii="Times New Roman" w:hAnsi="Times New Roman" w:cs="Times New Roman"/>
          <w:sz w:val="24"/>
          <w:szCs w:val="24"/>
        </w:rPr>
        <w:t>(</w:t>
      </w:r>
      <w:r w:rsidR="009523CC">
        <w:rPr>
          <w:rFonts w:ascii="Times New Roman" w:hAnsi="Times New Roman" w:cs="Times New Roman"/>
          <w:sz w:val="24"/>
          <w:szCs w:val="24"/>
        </w:rPr>
        <w:t xml:space="preserve">Subsection </w:t>
      </w:r>
      <w:r w:rsidR="007B4982">
        <w:rPr>
          <w:rFonts w:ascii="Times New Roman" w:hAnsi="Times New Roman" w:cs="Times New Roman"/>
          <w:sz w:val="24"/>
          <w:szCs w:val="24"/>
        </w:rPr>
        <w:t>1017B (1))</w:t>
      </w:r>
    </w:p>
    <w:p w:rsidR="00396A50" w:rsidRDefault="00396A50" w:rsidP="00396A50">
      <w:pPr>
        <w:pStyle w:val="Default"/>
        <w:spacing w:before="360" w:after="60"/>
        <w:rPr>
          <w:rFonts w:ascii="Arial" w:hAnsi="Arial" w:cs="Arial"/>
          <w:sz w:val="23"/>
          <w:szCs w:val="23"/>
        </w:rPr>
      </w:pPr>
      <w:r>
        <w:rPr>
          <w:rFonts w:ascii="Arial" w:hAnsi="Arial" w:cs="Arial"/>
          <w:b/>
          <w:bCs/>
          <w:sz w:val="23"/>
          <w:szCs w:val="23"/>
        </w:rPr>
        <w:t xml:space="preserve">2. Purpose of the </w:t>
      </w:r>
      <w:r w:rsidR="00281C91">
        <w:rPr>
          <w:rFonts w:ascii="Arial" w:hAnsi="Arial" w:cs="Arial"/>
          <w:b/>
          <w:bCs/>
          <w:sz w:val="23"/>
          <w:szCs w:val="23"/>
        </w:rPr>
        <w:t>instrument</w:t>
      </w:r>
      <w:r w:rsidR="00820165">
        <w:rPr>
          <w:rFonts w:ascii="Arial" w:hAnsi="Arial" w:cs="Arial"/>
          <w:b/>
          <w:bCs/>
          <w:sz w:val="23"/>
          <w:szCs w:val="23"/>
        </w:rPr>
        <w:t>s</w:t>
      </w:r>
      <w:r>
        <w:rPr>
          <w:rFonts w:ascii="Arial" w:hAnsi="Arial" w:cs="Arial"/>
          <w:b/>
          <w:bCs/>
          <w:sz w:val="23"/>
          <w:szCs w:val="23"/>
        </w:rPr>
        <w:t xml:space="preserve"> </w:t>
      </w:r>
    </w:p>
    <w:p w:rsidR="00EC5174" w:rsidRDefault="00EC5174" w:rsidP="00EC5174">
      <w:pPr>
        <w:autoSpaceDE w:val="0"/>
        <w:autoSpaceDN w:val="0"/>
        <w:adjustRightInd w:val="0"/>
        <w:spacing w:after="0" w:line="240" w:lineRule="auto"/>
        <w:rPr>
          <w:rFonts w:ascii="Times New Roman" w:hAnsi="Times New Roman" w:cs="Times New Roman"/>
          <w:sz w:val="24"/>
          <w:szCs w:val="24"/>
        </w:rPr>
      </w:pPr>
    </w:p>
    <w:p w:rsidR="00F4161F" w:rsidRDefault="00820165" w:rsidP="00F41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Prior to the principal</w:t>
      </w:r>
      <w:r w:rsidR="00106AE2">
        <w:rPr>
          <w:rFonts w:ascii="Times New Roman" w:hAnsi="Times New Roman" w:cs="Times New Roman"/>
          <w:sz w:val="24"/>
          <w:szCs w:val="24"/>
        </w:rPr>
        <w:t xml:space="preserve"> instrument,</w:t>
      </w:r>
      <w:r w:rsidR="00F4161F">
        <w:rPr>
          <w:rFonts w:ascii="Times New Roman" w:hAnsi="Times New Roman" w:cs="Times New Roman"/>
          <w:sz w:val="24"/>
          <w:szCs w:val="24"/>
        </w:rPr>
        <w:t xml:space="preserve"> while most financial services disclosures </w:t>
      </w:r>
      <w:r w:rsidR="00106AE2">
        <w:rPr>
          <w:rFonts w:ascii="Times New Roman" w:hAnsi="Times New Roman" w:cs="Times New Roman"/>
          <w:sz w:val="24"/>
          <w:szCs w:val="24"/>
        </w:rPr>
        <w:t xml:space="preserve">could be delivered electronically, </w:t>
      </w:r>
      <w:proofErr w:type="spellStart"/>
      <w:r w:rsidR="00CC2532">
        <w:rPr>
          <w:rFonts w:ascii="Times New Roman" w:hAnsi="Times New Roman" w:cs="Times New Roman"/>
          <w:sz w:val="24"/>
          <w:szCs w:val="24"/>
        </w:rPr>
        <w:t>ASIC</w:t>
      </w:r>
      <w:r w:rsidR="009D2D34">
        <w:rPr>
          <w:rFonts w:ascii="Times New Roman" w:hAnsi="Times New Roman" w:cs="Times New Roman"/>
          <w:sz w:val="24"/>
          <w:szCs w:val="24"/>
        </w:rPr>
        <w:t>’</w:t>
      </w:r>
      <w:r w:rsidR="00CC2532">
        <w:rPr>
          <w:rFonts w:ascii="Times New Roman" w:hAnsi="Times New Roman" w:cs="Times New Roman"/>
          <w:sz w:val="24"/>
          <w:szCs w:val="24"/>
        </w:rPr>
        <w:t>s</w:t>
      </w:r>
      <w:proofErr w:type="spellEnd"/>
      <w:r w:rsidR="00F4161F">
        <w:rPr>
          <w:rFonts w:ascii="Times New Roman" w:hAnsi="Times New Roman" w:cs="Times New Roman"/>
          <w:sz w:val="24"/>
          <w:szCs w:val="24"/>
        </w:rPr>
        <w:t xml:space="preserve"> guidance combined with legal requirements mean</w:t>
      </w:r>
      <w:r w:rsidR="00106AE2">
        <w:rPr>
          <w:rFonts w:ascii="Times New Roman" w:hAnsi="Times New Roman" w:cs="Times New Roman"/>
          <w:sz w:val="24"/>
          <w:szCs w:val="24"/>
        </w:rPr>
        <w:t>t</w:t>
      </w:r>
      <w:r w:rsidR="00F4161F">
        <w:rPr>
          <w:rFonts w:ascii="Times New Roman" w:hAnsi="Times New Roman" w:cs="Times New Roman"/>
          <w:sz w:val="24"/>
          <w:szCs w:val="24"/>
        </w:rPr>
        <w:t xml:space="preserve"> that the default method of </w:t>
      </w:r>
      <w:r w:rsidR="003A59FC">
        <w:rPr>
          <w:rFonts w:ascii="Times New Roman" w:hAnsi="Times New Roman" w:cs="Times New Roman"/>
          <w:sz w:val="24"/>
          <w:szCs w:val="24"/>
        </w:rPr>
        <w:t xml:space="preserve">delivery </w:t>
      </w:r>
      <w:r w:rsidR="00106AE2">
        <w:rPr>
          <w:rFonts w:ascii="Times New Roman" w:hAnsi="Times New Roman" w:cs="Times New Roman"/>
          <w:sz w:val="24"/>
          <w:szCs w:val="24"/>
        </w:rPr>
        <w:t xml:space="preserve">was </w:t>
      </w:r>
      <w:r w:rsidR="00F4161F">
        <w:rPr>
          <w:rFonts w:ascii="Times New Roman" w:hAnsi="Times New Roman" w:cs="Times New Roman"/>
          <w:sz w:val="24"/>
          <w:szCs w:val="24"/>
        </w:rPr>
        <w:t xml:space="preserve">a printed disclosure </w:t>
      </w:r>
      <w:r w:rsidR="000004A2">
        <w:rPr>
          <w:rFonts w:ascii="Times New Roman" w:hAnsi="Times New Roman" w:cs="Times New Roman"/>
          <w:sz w:val="24"/>
          <w:szCs w:val="24"/>
        </w:rPr>
        <w:t>d</w:t>
      </w:r>
      <w:r w:rsidR="00F4161F">
        <w:rPr>
          <w:rFonts w:ascii="Times New Roman" w:hAnsi="Times New Roman" w:cs="Times New Roman"/>
          <w:sz w:val="24"/>
          <w:szCs w:val="24"/>
        </w:rPr>
        <w:t>ocument sent by post or given in person.</w:t>
      </w:r>
    </w:p>
    <w:p w:rsidR="00CC2532" w:rsidRDefault="00CC2532" w:rsidP="00F4161F">
      <w:pPr>
        <w:autoSpaceDE w:val="0"/>
        <w:autoSpaceDN w:val="0"/>
        <w:adjustRightInd w:val="0"/>
        <w:spacing w:after="0" w:line="240" w:lineRule="auto"/>
        <w:rPr>
          <w:rFonts w:ascii="Times New Roman" w:hAnsi="Times New Roman" w:cs="Times New Roman"/>
          <w:sz w:val="24"/>
          <w:szCs w:val="24"/>
        </w:rPr>
      </w:pPr>
    </w:p>
    <w:p w:rsidR="0024656B" w:rsidRDefault="0024656B" w:rsidP="00EC51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w:t>
      </w:r>
      <w:proofErr w:type="spellStart"/>
      <w:r>
        <w:rPr>
          <w:rFonts w:ascii="Times New Roman" w:hAnsi="Times New Roman" w:cs="Times New Roman"/>
          <w:sz w:val="24"/>
          <w:szCs w:val="24"/>
        </w:rPr>
        <w:t>ASIC</w:t>
      </w:r>
      <w:proofErr w:type="spellEnd"/>
      <w:r>
        <w:rPr>
          <w:rFonts w:ascii="Times New Roman" w:hAnsi="Times New Roman" w:cs="Times New Roman"/>
          <w:sz w:val="24"/>
          <w:szCs w:val="24"/>
        </w:rPr>
        <w:t xml:space="preserve"> Class Order [CO 10/1219] which allows </w:t>
      </w:r>
      <w:proofErr w:type="spellStart"/>
      <w:r>
        <w:rPr>
          <w:rFonts w:ascii="Times New Roman" w:hAnsi="Times New Roman" w:cs="Times New Roman"/>
          <w:sz w:val="24"/>
          <w:szCs w:val="24"/>
        </w:rPr>
        <w:t>PDSs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FSGs</w:t>
      </w:r>
      <w:proofErr w:type="spellEnd"/>
      <w:r>
        <w:rPr>
          <w:rFonts w:ascii="Times New Roman" w:hAnsi="Times New Roman" w:cs="Times New Roman"/>
          <w:sz w:val="24"/>
          <w:szCs w:val="24"/>
        </w:rPr>
        <w:t xml:space="preserve">, Supplementary </w:t>
      </w:r>
      <w:proofErr w:type="spellStart"/>
      <w:r>
        <w:rPr>
          <w:rFonts w:ascii="Times New Roman" w:hAnsi="Times New Roman" w:cs="Times New Roman"/>
          <w:sz w:val="24"/>
          <w:szCs w:val="24"/>
        </w:rPr>
        <w:t>FSGs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SOAs</w:t>
      </w:r>
      <w:proofErr w:type="spellEnd"/>
      <w:r>
        <w:rPr>
          <w:rFonts w:ascii="Times New Roman" w:hAnsi="Times New Roman" w:cs="Times New Roman"/>
          <w:sz w:val="24"/>
          <w:szCs w:val="24"/>
        </w:rPr>
        <w:t xml:space="preserve"> to be delivered electronically require</w:t>
      </w:r>
      <w:r w:rsidR="00106AE2">
        <w:rPr>
          <w:rFonts w:ascii="Times New Roman" w:hAnsi="Times New Roman" w:cs="Times New Roman"/>
          <w:sz w:val="24"/>
          <w:szCs w:val="24"/>
        </w:rPr>
        <w:t>d</w:t>
      </w:r>
      <w:r>
        <w:rPr>
          <w:rFonts w:ascii="Times New Roman" w:hAnsi="Times New Roman" w:cs="Times New Roman"/>
          <w:sz w:val="24"/>
          <w:szCs w:val="24"/>
        </w:rPr>
        <w:t xml:space="preserve"> prior consent from the client or the client</w:t>
      </w:r>
      <w:r w:rsidR="009D2D34">
        <w:rPr>
          <w:rFonts w:ascii="Times New Roman" w:hAnsi="Times New Roman" w:cs="Times New Roman"/>
          <w:sz w:val="24"/>
          <w:szCs w:val="24"/>
        </w:rPr>
        <w:t>’</w:t>
      </w:r>
      <w:r>
        <w:rPr>
          <w:rFonts w:ascii="Times New Roman" w:hAnsi="Times New Roman" w:cs="Times New Roman"/>
          <w:sz w:val="24"/>
          <w:szCs w:val="24"/>
        </w:rPr>
        <w:t>s agent</w:t>
      </w:r>
      <w:r w:rsidR="00611E64">
        <w:rPr>
          <w:rFonts w:ascii="Times New Roman" w:hAnsi="Times New Roman" w:cs="Times New Roman"/>
          <w:sz w:val="24"/>
          <w:szCs w:val="24"/>
        </w:rPr>
        <w:t xml:space="preserve"> for such delivery</w:t>
      </w:r>
      <w:r w:rsidR="00F46458">
        <w:rPr>
          <w:rFonts w:ascii="Times New Roman" w:hAnsi="Times New Roman" w:cs="Times New Roman"/>
          <w:sz w:val="24"/>
          <w:szCs w:val="24"/>
        </w:rPr>
        <w:t>. This discourage</w:t>
      </w:r>
      <w:r w:rsidR="00106AE2">
        <w:rPr>
          <w:rFonts w:ascii="Times New Roman" w:hAnsi="Times New Roman" w:cs="Times New Roman"/>
          <w:sz w:val="24"/>
          <w:szCs w:val="24"/>
        </w:rPr>
        <w:t>d</w:t>
      </w:r>
      <w:r w:rsidR="00F46458">
        <w:rPr>
          <w:rFonts w:ascii="Times New Roman" w:hAnsi="Times New Roman" w:cs="Times New Roman"/>
          <w:sz w:val="24"/>
          <w:szCs w:val="24"/>
        </w:rPr>
        <w:t xml:space="preserve"> providers from delivering disclosures electronically or investors from adopting electronic disclosure.</w:t>
      </w:r>
    </w:p>
    <w:p w:rsidR="0024656B" w:rsidRDefault="0024656B" w:rsidP="00EC5174">
      <w:pPr>
        <w:autoSpaceDE w:val="0"/>
        <w:autoSpaceDN w:val="0"/>
        <w:adjustRightInd w:val="0"/>
        <w:spacing w:after="0" w:line="240" w:lineRule="auto"/>
        <w:rPr>
          <w:rFonts w:ascii="Times New Roman" w:hAnsi="Times New Roman" w:cs="Times New Roman"/>
          <w:sz w:val="24"/>
          <w:szCs w:val="24"/>
        </w:rPr>
      </w:pPr>
    </w:p>
    <w:p w:rsidR="00B45B37" w:rsidRDefault="00EC5174" w:rsidP="00B45B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106AE2">
        <w:rPr>
          <w:rFonts w:ascii="Times New Roman" w:hAnsi="Times New Roman" w:cs="Times New Roman"/>
          <w:sz w:val="24"/>
          <w:szCs w:val="24"/>
        </w:rPr>
        <w:t xml:space="preserve">is instrument </w:t>
      </w:r>
      <w:r w:rsidR="003046AF">
        <w:rPr>
          <w:rFonts w:ascii="Times New Roman" w:hAnsi="Times New Roman" w:cs="Times New Roman"/>
          <w:sz w:val="24"/>
          <w:szCs w:val="24"/>
        </w:rPr>
        <w:t xml:space="preserve">will </w:t>
      </w:r>
      <w:r>
        <w:rPr>
          <w:rFonts w:ascii="Times New Roman" w:hAnsi="Times New Roman" w:cs="Times New Roman"/>
          <w:sz w:val="24"/>
          <w:szCs w:val="24"/>
        </w:rPr>
        <w:t xml:space="preserve">further facilitate </w:t>
      </w:r>
      <w:r w:rsidR="00136A87">
        <w:rPr>
          <w:rFonts w:ascii="Times New Roman" w:hAnsi="Times New Roman" w:cs="Times New Roman"/>
          <w:sz w:val="24"/>
          <w:szCs w:val="24"/>
        </w:rPr>
        <w:t xml:space="preserve">the </w:t>
      </w:r>
      <w:r w:rsidR="00520323">
        <w:rPr>
          <w:rFonts w:ascii="Times New Roman" w:hAnsi="Times New Roman" w:cs="Times New Roman"/>
          <w:sz w:val="24"/>
          <w:szCs w:val="24"/>
        </w:rPr>
        <w:t xml:space="preserve">electronic </w:t>
      </w:r>
      <w:r>
        <w:rPr>
          <w:rFonts w:ascii="Times New Roman" w:hAnsi="Times New Roman" w:cs="Times New Roman"/>
          <w:sz w:val="24"/>
          <w:szCs w:val="24"/>
        </w:rPr>
        <w:t xml:space="preserve">delivery of </w:t>
      </w:r>
      <w:r w:rsidR="000D6EF6">
        <w:rPr>
          <w:rFonts w:ascii="Times New Roman" w:hAnsi="Times New Roman" w:cs="Times New Roman"/>
          <w:sz w:val="24"/>
          <w:szCs w:val="24"/>
        </w:rPr>
        <w:t>financial service</w:t>
      </w:r>
      <w:r w:rsidR="00501B06">
        <w:rPr>
          <w:rFonts w:ascii="Times New Roman" w:hAnsi="Times New Roman" w:cs="Times New Roman"/>
          <w:sz w:val="24"/>
          <w:szCs w:val="24"/>
        </w:rPr>
        <w:t>s</w:t>
      </w:r>
      <w:r w:rsidR="000D6EF6">
        <w:rPr>
          <w:rFonts w:ascii="Times New Roman" w:hAnsi="Times New Roman" w:cs="Times New Roman"/>
          <w:sz w:val="24"/>
          <w:szCs w:val="24"/>
        </w:rPr>
        <w:t xml:space="preserve"> disclosure documents</w:t>
      </w:r>
      <w:r w:rsidR="0024656B">
        <w:rPr>
          <w:rFonts w:ascii="Times New Roman" w:hAnsi="Times New Roman" w:cs="Times New Roman"/>
          <w:sz w:val="24"/>
          <w:szCs w:val="24"/>
        </w:rPr>
        <w:t xml:space="preserve"> by enabling electronic delivery to be </w:t>
      </w:r>
      <w:r w:rsidR="00136A87">
        <w:rPr>
          <w:rFonts w:ascii="Times New Roman" w:hAnsi="Times New Roman" w:cs="Times New Roman"/>
          <w:sz w:val="24"/>
          <w:szCs w:val="24"/>
        </w:rPr>
        <w:t xml:space="preserve">the </w:t>
      </w:r>
      <w:r w:rsidR="009D2D34">
        <w:rPr>
          <w:rFonts w:ascii="Times New Roman" w:hAnsi="Times New Roman" w:cs="Times New Roman"/>
          <w:sz w:val="24"/>
          <w:szCs w:val="24"/>
        </w:rPr>
        <w:t>‘</w:t>
      </w:r>
      <w:r w:rsidR="0024656B">
        <w:rPr>
          <w:rFonts w:ascii="Times New Roman" w:hAnsi="Times New Roman" w:cs="Times New Roman"/>
          <w:sz w:val="24"/>
          <w:szCs w:val="24"/>
        </w:rPr>
        <w:t>default</w:t>
      </w:r>
      <w:r w:rsidR="009D2D34">
        <w:rPr>
          <w:rFonts w:ascii="Times New Roman" w:hAnsi="Times New Roman" w:cs="Times New Roman"/>
          <w:sz w:val="24"/>
          <w:szCs w:val="24"/>
        </w:rPr>
        <w:t>’</w:t>
      </w:r>
      <w:r w:rsidR="0024656B">
        <w:rPr>
          <w:rFonts w:ascii="Times New Roman" w:hAnsi="Times New Roman" w:cs="Times New Roman"/>
          <w:sz w:val="24"/>
          <w:szCs w:val="24"/>
        </w:rPr>
        <w:t xml:space="preserve"> option </w:t>
      </w:r>
      <w:r w:rsidR="00136A87">
        <w:rPr>
          <w:rFonts w:ascii="Times New Roman" w:hAnsi="Times New Roman" w:cs="Times New Roman"/>
          <w:sz w:val="24"/>
          <w:szCs w:val="24"/>
        </w:rPr>
        <w:t xml:space="preserve">for disclosure, </w:t>
      </w:r>
      <w:r w:rsidR="00063BAC">
        <w:rPr>
          <w:rFonts w:ascii="Times New Roman" w:hAnsi="Times New Roman" w:cs="Times New Roman"/>
          <w:sz w:val="24"/>
          <w:szCs w:val="24"/>
        </w:rPr>
        <w:t xml:space="preserve">if the provider chooses, </w:t>
      </w:r>
      <w:r w:rsidR="00136A87">
        <w:rPr>
          <w:rFonts w:ascii="Times New Roman" w:hAnsi="Times New Roman" w:cs="Times New Roman"/>
          <w:sz w:val="24"/>
          <w:szCs w:val="24"/>
        </w:rPr>
        <w:t xml:space="preserve">subject to safeguards designed to </w:t>
      </w:r>
      <w:r w:rsidR="00B960A3">
        <w:rPr>
          <w:rFonts w:ascii="Times New Roman" w:hAnsi="Times New Roman" w:cs="Times New Roman"/>
          <w:sz w:val="24"/>
          <w:szCs w:val="24"/>
        </w:rPr>
        <w:t xml:space="preserve">ensure </w:t>
      </w:r>
      <w:r w:rsidR="00136A87">
        <w:rPr>
          <w:rFonts w:ascii="Times New Roman" w:hAnsi="Times New Roman" w:cs="Times New Roman"/>
          <w:sz w:val="24"/>
          <w:szCs w:val="24"/>
        </w:rPr>
        <w:t>investors</w:t>
      </w:r>
      <w:r w:rsidR="00B960A3">
        <w:rPr>
          <w:rFonts w:ascii="Times New Roman" w:hAnsi="Times New Roman" w:cs="Times New Roman"/>
          <w:sz w:val="24"/>
          <w:szCs w:val="24"/>
        </w:rPr>
        <w:t xml:space="preserve"> and consumers do not miss the opportunity to choose an alternative method of delivery</w:t>
      </w:r>
      <w:r w:rsidR="00136A87">
        <w:rPr>
          <w:rFonts w:ascii="Times New Roman" w:hAnsi="Times New Roman" w:cs="Times New Roman"/>
          <w:sz w:val="24"/>
          <w:szCs w:val="24"/>
        </w:rPr>
        <w:t xml:space="preserve">. </w:t>
      </w:r>
      <w:r w:rsidR="00AD0A7A">
        <w:rPr>
          <w:rFonts w:ascii="Times New Roman" w:hAnsi="Times New Roman" w:cs="Times New Roman"/>
          <w:sz w:val="24"/>
          <w:szCs w:val="24"/>
        </w:rPr>
        <w:t>The</w:t>
      </w:r>
      <w:r w:rsidR="00820165">
        <w:rPr>
          <w:rFonts w:ascii="Times New Roman" w:hAnsi="Times New Roman" w:cs="Times New Roman"/>
          <w:sz w:val="24"/>
          <w:szCs w:val="24"/>
        </w:rPr>
        <w:t xml:space="preserve"> principal</w:t>
      </w:r>
      <w:r w:rsidR="00AD0A7A">
        <w:rPr>
          <w:rFonts w:ascii="Times New Roman" w:hAnsi="Times New Roman" w:cs="Times New Roman"/>
          <w:sz w:val="24"/>
          <w:szCs w:val="24"/>
        </w:rPr>
        <w:t xml:space="preserve"> </w:t>
      </w:r>
      <w:r w:rsidR="00D03930">
        <w:rPr>
          <w:rFonts w:ascii="Times New Roman" w:hAnsi="Times New Roman" w:cs="Times New Roman"/>
          <w:sz w:val="24"/>
          <w:szCs w:val="24"/>
        </w:rPr>
        <w:t>i</w:t>
      </w:r>
      <w:r w:rsidR="00106AE2">
        <w:rPr>
          <w:rFonts w:ascii="Times New Roman" w:hAnsi="Times New Roman" w:cs="Times New Roman"/>
          <w:sz w:val="24"/>
          <w:szCs w:val="24"/>
        </w:rPr>
        <w:t>nstrument</w:t>
      </w:r>
      <w:r w:rsidR="00AD0A7A">
        <w:rPr>
          <w:rFonts w:ascii="Times New Roman" w:hAnsi="Times New Roman" w:cs="Times New Roman"/>
          <w:sz w:val="24"/>
          <w:szCs w:val="24"/>
        </w:rPr>
        <w:t xml:space="preserve"> further</w:t>
      </w:r>
      <w:r w:rsidR="00B45B37">
        <w:rPr>
          <w:rFonts w:ascii="Times New Roman" w:hAnsi="Times New Roman" w:cs="Times New Roman"/>
          <w:sz w:val="24"/>
          <w:szCs w:val="24"/>
        </w:rPr>
        <w:t xml:space="preserve"> enhances the online facilitation enabled by Class Order [CO 10/1219] and replace</w:t>
      </w:r>
      <w:r w:rsidR="00106AE2">
        <w:rPr>
          <w:rFonts w:ascii="Times New Roman" w:hAnsi="Times New Roman" w:cs="Times New Roman"/>
          <w:sz w:val="24"/>
          <w:szCs w:val="24"/>
        </w:rPr>
        <w:t>s</w:t>
      </w:r>
      <w:r w:rsidR="00B45B37">
        <w:rPr>
          <w:rFonts w:ascii="Times New Roman" w:hAnsi="Times New Roman" w:cs="Times New Roman"/>
          <w:sz w:val="24"/>
          <w:szCs w:val="24"/>
        </w:rPr>
        <w:t xml:space="preserve"> it. </w:t>
      </w:r>
    </w:p>
    <w:p w:rsidR="0024656B" w:rsidRDefault="0024656B" w:rsidP="00EC5174">
      <w:pPr>
        <w:autoSpaceDE w:val="0"/>
        <w:autoSpaceDN w:val="0"/>
        <w:adjustRightInd w:val="0"/>
        <w:spacing w:after="0" w:line="240" w:lineRule="auto"/>
        <w:rPr>
          <w:rFonts w:ascii="Times New Roman" w:hAnsi="Times New Roman" w:cs="Times New Roman"/>
          <w:sz w:val="24"/>
          <w:szCs w:val="24"/>
        </w:rPr>
      </w:pPr>
    </w:p>
    <w:p w:rsidR="000D6EF6" w:rsidRDefault="00A170AE" w:rsidP="00EC5174">
      <w:pPr>
        <w:autoSpaceDE w:val="0"/>
        <w:autoSpaceDN w:val="0"/>
        <w:adjustRightInd w:val="0"/>
        <w:spacing w:after="0" w:line="240" w:lineRule="auto"/>
        <w:rPr>
          <w:rFonts w:ascii="Times New Roman" w:hAnsi="Times New Roman" w:cs="Times New Roman"/>
          <w:sz w:val="24"/>
          <w:szCs w:val="24"/>
        </w:rPr>
      </w:pPr>
      <w:r w:rsidRPr="00A170AE">
        <w:rPr>
          <w:rFonts w:ascii="Times New Roman" w:hAnsi="Times New Roman" w:cs="Times New Roman"/>
          <w:sz w:val="24"/>
          <w:szCs w:val="24"/>
        </w:rPr>
        <w:t xml:space="preserve">The </w:t>
      </w:r>
      <w:r w:rsidR="00D03930">
        <w:rPr>
          <w:rFonts w:ascii="Times New Roman" w:hAnsi="Times New Roman" w:cs="Times New Roman"/>
          <w:sz w:val="24"/>
          <w:szCs w:val="24"/>
        </w:rPr>
        <w:t>i</w:t>
      </w:r>
      <w:r w:rsidR="00106AE2">
        <w:rPr>
          <w:rFonts w:ascii="Times New Roman" w:hAnsi="Times New Roman" w:cs="Times New Roman"/>
          <w:sz w:val="24"/>
          <w:szCs w:val="24"/>
        </w:rPr>
        <w:t>nstrument</w:t>
      </w:r>
      <w:r w:rsidRPr="00A170AE">
        <w:rPr>
          <w:rFonts w:ascii="Times New Roman" w:hAnsi="Times New Roman" w:cs="Times New Roman"/>
          <w:sz w:val="24"/>
          <w:szCs w:val="24"/>
        </w:rPr>
        <w:t xml:space="preserve"> enables a</w:t>
      </w:r>
      <w:r w:rsidR="00913274" w:rsidRPr="00A170AE">
        <w:rPr>
          <w:rFonts w:ascii="Times New Roman" w:hAnsi="Times New Roman" w:cs="Times New Roman"/>
          <w:sz w:val="24"/>
          <w:szCs w:val="24"/>
        </w:rPr>
        <w:t xml:space="preserve"> </w:t>
      </w:r>
      <w:r w:rsidR="00913274">
        <w:rPr>
          <w:rFonts w:ascii="Times New Roman" w:hAnsi="Times New Roman" w:cs="Times New Roman"/>
          <w:sz w:val="24"/>
          <w:szCs w:val="24"/>
        </w:rPr>
        <w:t xml:space="preserve">provider </w:t>
      </w:r>
      <w:r>
        <w:rPr>
          <w:rFonts w:ascii="Times New Roman" w:hAnsi="Times New Roman" w:cs="Times New Roman"/>
          <w:sz w:val="24"/>
          <w:szCs w:val="24"/>
        </w:rPr>
        <w:t xml:space="preserve">to </w:t>
      </w:r>
      <w:r w:rsidR="00913274">
        <w:rPr>
          <w:rFonts w:ascii="Times New Roman" w:hAnsi="Times New Roman" w:cs="Times New Roman"/>
          <w:sz w:val="24"/>
          <w:szCs w:val="24"/>
        </w:rPr>
        <w:t xml:space="preserve">make </w:t>
      </w:r>
      <w:r w:rsidR="000D6EF6">
        <w:rPr>
          <w:rFonts w:ascii="Times New Roman" w:hAnsi="Times New Roman" w:cs="Times New Roman"/>
          <w:sz w:val="24"/>
          <w:szCs w:val="24"/>
        </w:rPr>
        <w:t xml:space="preserve">financial service </w:t>
      </w:r>
      <w:r w:rsidR="00913274">
        <w:rPr>
          <w:rFonts w:ascii="Times New Roman" w:hAnsi="Times New Roman" w:cs="Times New Roman"/>
          <w:sz w:val="24"/>
          <w:szCs w:val="24"/>
        </w:rPr>
        <w:t xml:space="preserve">disclosures electronically to investors provided it has </w:t>
      </w:r>
      <w:r w:rsidR="000D6EF6">
        <w:rPr>
          <w:rFonts w:ascii="Times New Roman" w:hAnsi="Times New Roman" w:cs="Times New Roman"/>
          <w:sz w:val="24"/>
          <w:szCs w:val="24"/>
        </w:rPr>
        <w:t xml:space="preserve">first </w:t>
      </w:r>
      <w:r w:rsidR="00207D9F">
        <w:rPr>
          <w:rFonts w:ascii="Times New Roman" w:hAnsi="Times New Roman" w:cs="Times New Roman"/>
          <w:sz w:val="24"/>
          <w:szCs w:val="24"/>
        </w:rPr>
        <w:t>sent</w:t>
      </w:r>
      <w:r w:rsidR="000D6EF6">
        <w:rPr>
          <w:rFonts w:ascii="Times New Roman" w:hAnsi="Times New Roman" w:cs="Times New Roman"/>
          <w:sz w:val="24"/>
          <w:szCs w:val="24"/>
        </w:rPr>
        <w:t xml:space="preserve"> </w:t>
      </w:r>
      <w:r w:rsidR="00B960A3">
        <w:rPr>
          <w:rFonts w:ascii="Times New Roman" w:hAnsi="Times New Roman" w:cs="Times New Roman"/>
          <w:sz w:val="24"/>
          <w:szCs w:val="24"/>
        </w:rPr>
        <w:t xml:space="preserve">a </w:t>
      </w:r>
      <w:r w:rsidR="000D6EF6">
        <w:rPr>
          <w:rFonts w:ascii="Times New Roman" w:hAnsi="Times New Roman" w:cs="Times New Roman"/>
          <w:sz w:val="24"/>
          <w:szCs w:val="24"/>
        </w:rPr>
        <w:t>notice to the investor of its intention to do so and the investor has not opted out of receiving disclosures electronically.</w:t>
      </w:r>
      <w:r w:rsidR="008562B0">
        <w:rPr>
          <w:rFonts w:ascii="Times New Roman" w:hAnsi="Times New Roman" w:cs="Times New Roman"/>
          <w:sz w:val="24"/>
          <w:szCs w:val="24"/>
        </w:rPr>
        <w:t xml:space="preserve"> </w:t>
      </w:r>
    </w:p>
    <w:p w:rsidR="00D7486B" w:rsidRDefault="00D7486B" w:rsidP="00EC5174">
      <w:pPr>
        <w:autoSpaceDE w:val="0"/>
        <w:autoSpaceDN w:val="0"/>
        <w:adjustRightInd w:val="0"/>
        <w:spacing w:after="0" w:line="240" w:lineRule="auto"/>
        <w:rPr>
          <w:rFonts w:ascii="Times New Roman" w:hAnsi="Times New Roman" w:cs="Times New Roman"/>
          <w:sz w:val="24"/>
          <w:szCs w:val="24"/>
        </w:rPr>
      </w:pPr>
    </w:p>
    <w:p w:rsidR="00DB1118" w:rsidRDefault="00D7486B" w:rsidP="00EC51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investor has not opted out </w:t>
      </w:r>
      <w:r w:rsidRPr="00B12AA8">
        <w:rPr>
          <w:rFonts w:ascii="Times New Roman" w:hAnsi="Times New Roman" w:cs="Times New Roman"/>
          <w:sz w:val="24"/>
          <w:szCs w:val="24"/>
        </w:rPr>
        <w:t xml:space="preserve">within </w:t>
      </w:r>
      <w:r w:rsidR="00B960A3" w:rsidRPr="00B12AA8">
        <w:rPr>
          <w:rFonts w:ascii="Times New Roman" w:hAnsi="Times New Roman" w:cs="Times New Roman"/>
          <w:sz w:val="24"/>
          <w:szCs w:val="24"/>
        </w:rPr>
        <w:t xml:space="preserve">7 </w:t>
      </w:r>
      <w:r w:rsidRPr="00B12AA8">
        <w:rPr>
          <w:rFonts w:ascii="Times New Roman" w:hAnsi="Times New Roman" w:cs="Times New Roman"/>
          <w:sz w:val="24"/>
          <w:szCs w:val="24"/>
        </w:rPr>
        <w:t>days, the provider may</w:t>
      </w:r>
      <w:r w:rsidR="00B960A3" w:rsidRPr="00B12AA8">
        <w:rPr>
          <w:rFonts w:ascii="Times New Roman" w:hAnsi="Times New Roman" w:cs="Times New Roman"/>
          <w:sz w:val="24"/>
          <w:szCs w:val="24"/>
        </w:rPr>
        <w:t xml:space="preserve"> use the method described in the </w:t>
      </w:r>
      <w:r w:rsidR="00106AE2">
        <w:rPr>
          <w:rFonts w:ascii="Times New Roman" w:hAnsi="Times New Roman" w:cs="Times New Roman"/>
          <w:sz w:val="24"/>
          <w:szCs w:val="24"/>
        </w:rPr>
        <w:t xml:space="preserve">Instrument </w:t>
      </w:r>
      <w:r w:rsidR="00B960A3" w:rsidRPr="00B12AA8">
        <w:rPr>
          <w:rFonts w:ascii="Times New Roman" w:hAnsi="Times New Roman" w:cs="Times New Roman"/>
          <w:sz w:val="24"/>
          <w:szCs w:val="24"/>
        </w:rPr>
        <w:t xml:space="preserve">to satisfy their disclosure obligation. That is, the provider </w:t>
      </w:r>
      <w:r w:rsidR="00CC5CC7" w:rsidRPr="00B12AA8">
        <w:rPr>
          <w:rFonts w:ascii="Times New Roman" w:hAnsi="Times New Roman" w:cs="Times New Roman"/>
          <w:sz w:val="24"/>
          <w:szCs w:val="24"/>
        </w:rPr>
        <w:t>may make</w:t>
      </w:r>
      <w:r w:rsidR="00B960A3" w:rsidRPr="00B12AA8">
        <w:rPr>
          <w:rFonts w:ascii="Times New Roman" w:hAnsi="Times New Roman" w:cs="Times New Roman"/>
          <w:sz w:val="24"/>
          <w:szCs w:val="24"/>
        </w:rPr>
        <w:t xml:space="preserve"> the disclosure available electronically and notify the</w:t>
      </w:r>
      <w:r w:rsidR="00B960A3">
        <w:rPr>
          <w:rFonts w:ascii="Times New Roman" w:hAnsi="Times New Roman" w:cs="Times New Roman"/>
          <w:sz w:val="24"/>
          <w:szCs w:val="24"/>
        </w:rPr>
        <w:t xml:space="preserve"> </w:t>
      </w:r>
      <w:r>
        <w:rPr>
          <w:rFonts w:ascii="Times New Roman" w:hAnsi="Times New Roman" w:cs="Times New Roman"/>
          <w:sz w:val="24"/>
          <w:szCs w:val="24"/>
        </w:rPr>
        <w:t xml:space="preserve">investor </w:t>
      </w:r>
      <w:r w:rsidR="00B960A3">
        <w:rPr>
          <w:rFonts w:ascii="Times New Roman" w:hAnsi="Times New Roman" w:cs="Times New Roman"/>
          <w:sz w:val="24"/>
          <w:szCs w:val="24"/>
        </w:rPr>
        <w:t xml:space="preserve">or consumer. </w:t>
      </w:r>
      <w:r w:rsidR="00DB1118">
        <w:rPr>
          <w:rFonts w:ascii="Times New Roman" w:hAnsi="Times New Roman" w:cs="Times New Roman"/>
          <w:sz w:val="24"/>
          <w:szCs w:val="24"/>
        </w:rPr>
        <w:t>Th</w:t>
      </w:r>
      <w:r w:rsidR="00B960A3">
        <w:rPr>
          <w:rFonts w:ascii="Times New Roman" w:hAnsi="Times New Roman" w:cs="Times New Roman"/>
          <w:sz w:val="24"/>
          <w:szCs w:val="24"/>
        </w:rPr>
        <w:t xml:space="preserve">is notification </w:t>
      </w:r>
      <w:r w:rsidR="00DB1118">
        <w:rPr>
          <w:rFonts w:ascii="Times New Roman" w:hAnsi="Times New Roman" w:cs="Times New Roman"/>
          <w:sz w:val="24"/>
          <w:szCs w:val="24"/>
        </w:rPr>
        <w:t xml:space="preserve">may be in printed or electronic form and should contain a </w:t>
      </w:r>
      <w:r w:rsidR="00562F6F">
        <w:rPr>
          <w:rFonts w:ascii="Times New Roman" w:hAnsi="Times New Roman" w:cs="Times New Roman"/>
          <w:sz w:val="24"/>
          <w:szCs w:val="24"/>
        </w:rPr>
        <w:t>statement that</w:t>
      </w:r>
      <w:r w:rsidR="00DB1118">
        <w:rPr>
          <w:rFonts w:ascii="Times New Roman" w:hAnsi="Times New Roman" w:cs="Times New Roman"/>
          <w:sz w:val="24"/>
          <w:szCs w:val="24"/>
        </w:rPr>
        <w:t xml:space="preserve"> the provider has made the relevant disclosure available by electronic means, and </w:t>
      </w:r>
      <w:r w:rsidR="00EC755A">
        <w:rPr>
          <w:rFonts w:ascii="Times New Roman" w:hAnsi="Times New Roman" w:cs="Times New Roman"/>
          <w:sz w:val="24"/>
          <w:szCs w:val="24"/>
        </w:rPr>
        <w:t xml:space="preserve">include </w:t>
      </w:r>
      <w:r w:rsidR="00DB1118">
        <w:rPr>
          <w:rFonts w:ascii="Times New Roman" w:hAnsi="Times New Roman" w:cs="Times New Roman"/>
          <w:sz w:val="24"/>
          <w:szCs w:val="24"/>
        </w:rPr>
        <w:t xml:space="preserve">instructions on how the </w:t>
      </w:r>
      <w:r w:rsidR="00DB1118">
        <w:rPr>
          <w:rFonts w:ascii="Times New Roman" w:hAnsi="Times New Roman" w:cs="Times New Roman"/>
          <w:sz w:val="24"/>
          <w:szCs w:val="24"/>
        </w:rPr>
        <w:lastRenderedPageBreak/>
        <w:t xml:space="preserve">investor can </w:t>
      </w:r>
      <w:r>
        <w:rPr>
          <w:rFonts w:ascii="Times New Roman" w:hAnsi="Times New Roman" w:cs="Times New Roman"/>
          <w:sz w:val="24"/>
          <w:szCs w:val="24"/>
        </w:rPr>
        <w:t xml:space="preserve">use </w:t>
      </w:r>
      <w:r w:rsidR="00DB1118">
        <w:rPr>
          <w:rFonts w:ascii="Times New Roman" w:hAnsi="Times New Roman" w:cs="Times New Roman"/>
          <w:sz w:val="24"/>
          <w:szCs w:val="24"/>
        </w:rPr>
        <w:t>the electronic means to access the disclosure.</w:t>
      </w:r>
      <w:r w:rsidR="002F5714">
        <w:rPr>
          <w:rFonts w:ascii="Times New Roman" w:hAnsi="Times New Roman" w:cs="Times New Roman"/>
          <w:sz w:val="24"/>
          <w:szCs w:val="24"/>
        </w:rPr>
        <w:br/>
      </w:r>
    </w:p>
    <w:p w:rsidR="002F5714" w:rsidRDefault="002F5714" w:rsidP="00EC51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provider may choose to provide the </w:t>
      </w:r>
      <w:r w:rsidR="00860534">
        <w:rPr>
          <w:rFonts w:ascii="Times New Roman" w:hAnsi="Times New Roman" w:cs="Times New Roman"/>
          <w:sz w:val="24"/>
          <w:szCs w:val="24"/>
        </w:rPr>
        <w:t>disclosure</w:t>
      </w:r>
      <w:r>
        <w:rPr>
          <w:rFonts w:ascii="Times New Roman" w:hAnsi="Times New Roman" w:cs="Times New Roman"/>
          <w:sz w:val="24"/>
          <w:szCs w:val="24"/>
        </w:rPr>
        <w:t xml:space="preserve"> concurrently with the </w:t>
      </w:r>
      <w:r w:rsidR="00860534">
        <w:rPr>
          <w:rFonts w:ascii="Times New Roman" w:hAnsi="Times New Roman" w:cs="Times New Roman"/>
          <w:sz w:val="24"/>
          <w:szCs w:val="24"/>
        </w:rPr>
        <w:t>notification, but would not satisfy their obligation to deliver the disclosure until the 7 day period had passed without an opt-out requirement.</w:t>
      </w:r>
    </w:p>
    <w:p w:rsidR="008562B0" w:rsidRDefault="008562B0" w:rsidP="00EC5174">
      <w:pPr>
        <w:autoSpaceDE w:val="0"/>
        <w:autoSpaceDN w:val="0"/>
        <w:adjustRightInd w:val="0"/>
        <w:spacing w:after="0" w:line="240" w:lineRule="auto"/>
        <w:rPr>
          <w:rFonts w:ascii="Times New Roman" w:hAnsi="Times New Roman" w:cs="Times New Roman"/>
          <w:sz w:val="24"/>
          <w:szCs w:val="24"/>
        </w:rPr>
      </w:pPr>
    </w:p>
    <w:p w:rsidR="008562B0" w:rsidRDefault="008562B0" w:rsidP="00EC51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820165">
        <w:rPr>
          <w:rFonts w:ascii="Times New Roman" w:hAnsi="Times New Roman" w:cs="Times New Roman"/>
          <w:sz w:val="24"/>
          <w:szCs w:val="24"/>
        </w:rPr>
        <w:t xml:space="preserve"> principal</w:t>
      </w:r>
      <w:r>
        <w:rPr>
          <w:rFonts w:ascii="Times New Roman" w:hAnsi="Times New Roman" w:cs="Times New Roman"/>
          <w:sz w:val="24"/>
          <w:szCs w:val="24"/>
        </w:rPr>
        <w:t xml:space="preserve"> instrument provides for methods of disclosure that are in addition to those currently permitted under the Act and the Corporations Regulations 2001 (</w:t>
      </w:r>
      <w:r w:rsidRPr="00A91570">
        <w:rPr>
          <w:rFonts w:ascii="Times New Roman" w:hAnsi="Times New Roman" w:cs="Times New Roman"/>
          <w:i/>
          <w:sz w:val="24"/>
          <w:szCs w:val="24"/>
        </w:rPr>
        <w:t>Regulations</w:t>
      </w:r>
      <w:r>
        <w:rPr>
          <w:rFonts w:ascii="Times New Roman" w:hAnsi="Times New Roman" w:cs="Times New Roman"/>
          <w:sz w:val="24"/>
          <w:szCs w:val="24"/>
        </w:rPr>
        <w:t>). The instrument does not restrict any alternative methods of disclosure permitted under the Act and the Regulations.</w:t>
      </w:r>
    </w:p>
    <w:p w:rsidR="00E9681F" w:rsidRDefault="00E9681F" w:rsidP="00EC5174">
      <w:pPr>
        <w:autoSpaceDE w:val="0"/>
        <w:autoSpaceDN w:val="0"/>
        <w:adjustRightInd w:val="0"/>
        <w:spacing w:after="0" w:line="240" w:lineRule="auto"/>
        <w:rPr>
          <w:rFonts w:ascii="Times New Roman" w:hAnsi="Times New Roman" w:cs="Times New Roman"/>
          <w:sz w:val="24"/>
          <w:szCs w:val="24"/>
        </w:rPr>
      </w:pPr>
    </w:p>
    <w:p w:rsidR="003046AF" w:rsidRDefault="003046AF" w:rsidP="00EC51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instrument also </w:t>
      </w:r>
      <w:r w:rsidR="00E9681F">
        <w:rPr>
          <w:rFonts w:ascii="Times New Roman" w:hAnsi="Times New Roman" w:cs="Times New Roman"/>
          <w:sz w:val="24"/>
          <w:szCs w:val="24"/>
        </w:rPr>
        <w:t xml:space="preserve">enables a default superannuation fund trustee to meet its obligation to deliver a </w:t>
      </w:r>
      <w:proofErr w:type="spellStart"/>
      <w:r w:rsidR="00E9681F">
        <w:rPr>
          <w:rFonts w:ascii="Times New Roman" w:hAnsi="Times New Roman" w:cs="Times New Roman"/>
          <w:sz w:val="24"/>
          <w:szCs w:val="24"/>
        </w:rPr>
        <w:t>PDS</w:t>
      </w:r>
      <w:proofErr w:type="spellEnd"/>
      <w:r w:rsidR="00E9681F">
        <w:rPr>
          <w:rFonts w:ascii="Times New Roman" w:hAnsi="Times New Roman" w:cs="Times New Roman"/>
          <w:sz w:val="24"/>
          <w:szCs w:val="24"/>
        </w:rPr>
        <w:t xml:space="preserve"> to an employer supplied email address, without the member's consent, when certain conditions are met.  </w:t>
      </w:r>
      <w:r>
        <w:rPr>
          <w:rFonts w:ascii="Times New Roman" w:hAnsi="Times New Roman" w:cs="Times New Roman"/>
          <w:sz w:val="24"/>
          <w:szCs w:val="24"/>
        </w:rPr>
        <w:t xml:space="preserve"> </w:t>
      </w:r>
    </w:p>
    <w:p w:rsidR="00862740" w:rsidRDefault="00862740" w:rsidP="00EC5174">
      <w:pPr>
        <w:autoSpaceDE w:val="0"/>
        <w:autoSpaceDN w:val="0"/>
        <w:adjustRightInd w:val="0"/>
        <w:spacing w:after="0" w:line="240" w:lineRule="auto"/>
        <w:rPr>
          <w:rFonts w:ascii="Times New Roman" w:hAnsi="Times New Roman" w:cs="Times New Roman"/>
          <w:sz w:val="24"/>
          <w:szCs w:val="24"/>
        </w:rPr>
      </w:pPr>
    </w:p>
    <w:p w:rsidR="00862740" w:rsidRDefault="00862740" w:rsidP="00EC51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repealing instrument is to discontinue </w:t>
      </w:r>
      <w:proofErr w:type="spellStart"/>
      <w:r>
        <w:rPr>
          <w:rFonts w:ascii="Times New Roman" w:hAnsi="Times New Roman" w:cs="Times New Roman"/>
          <w:sz w:val="24"/>
          <w:szCs w:val="24"/>
        </w:rPr>
        <w:t>ASIC's</w:t>
      </w:r>
      <w:proofErr w:type="spellEnd"/>
      <w:r>
        <w:rPr>
          <w:rFonts w:ascii="Times New Roman" w:hAnsi="Times New Roman" w:cs="Times New Roman"/>
          <w:sz w:val="24"/>
          <w:szCs w:val="24"/>
        </w:rPr>
        <w:t xml:space="preserve"> previous policy, as implemented </w:t>
      </w:r>
      <w:r w:rsidR="00820165">
        <w:rPr>
          <w:rFonts w:ascii="Times New Roman" w:hAnsi="Times New Roman" w:cs="Times New Roman"/>
          <w:sz w:val="24"/>
          <w:szCs w:val="24"/>
        </w:rPr>
        <w:t xml:space="preserve">by </w:t>
      </w:r>
      <w:proofErr w:type="spellStart"/>
      <w:r w:rsidR="00820165">
        <w:rPr>
          <w:rFonts w:ascii="Times New Roman" w:hAnsi="Times New Roman" w:cs="Times New Roman"/>
          <w:sz w:val="24"/>
          <w:szCs w:val="24"/>
        </w:rPr>
        <w:t>ASIC</w:t>
      </w:r>
      <w:proofErr w:type="spellEnd"/>
      <w:r w:rsidR="00820165">
        <w:rPr>
          <w:rFonts w:ascii="Times New Roman" w:hAnsi="Times New Roman" w:cs="Times New Roman"/>
          <w:sz w:val="24"/>
          <w:szCs w:val="24"/>
        </w:rPr>
        <w:t xml:space="preserve"> Class Order [CO10/1219]. The principal instrument carries over and expands the policy as implemented in the class order. </w:t>
      </w:r>
    </w:p>
    <w:p w:rsidR="00396A50" w:rsidRDefault="00396A50" w:rsidP="00396A50">
      <w:pPr>
        <w:pStyle w:val="Default"/>
        <w:spacing w:before="360" w:after="60"/>
        <w:rPr>
          <w:rFonts w:ascii="Arial" w:hAnsi="Arial" w:cs="Arial"/>
          <w:color w:val="auto"/>
          <w:sz w:val="23"/>
          <w:szCs w:val="23"/>
        </w:rPr>
      </w:pPr>
      <w:r>
        <w:rPr>
          <w:rFonts w:ascii="Arial" w:hAnsi="Arial" w:cs="Arial"/>
          <w:b/>
          <w:bCs/>
          <w:color w:val="auto"/>
          <w:sz w:val="23"/>
          <w:szCs w:val="23"/>
        </w:rPr>
        <w:t xml:space="preserve">3. Operation of the </w:t>
      </w:r>
      <w:r w:rsidR="00281C91">
        <w:rPr>
          <w:rFonts w:ascii="Arial" w:hAnsi="Arial" w:cs="Arial"/>
          <w:b/>
          <w:bCs/>
          <w:color w:val="auto"/>
          <w:sz w:val="23"/>
          <w:szCs w:val="23"/>
        </w:rPr>
        <w:t>instrument</w:t>
      </w:r>
      <w:r w:rsidR="00820165">
        <w:rPr>
          <w:rFonts w:ascii="Arial" w:hAnsi="Arial" w:cs="Arial"/>
          <w:b/>
          <w:bCs/>
          <w:color w:val="auto"/>
          <w:sz w:val="23"/>
          <w:szCs w:val="23"/>
        </w:rPr>
        <w:t>s</w:t>
      </w:r>
      <w:r>
        <w:rPr>
          <w:rFonts w:ascii="Arial" w:hAnsi="Arial" w:cs="Arial"/>
          <w:b/>
          <w:bCs/>
          <w:color w:val="auto"/>
          <w:sz w:val="23"/>
          <w:szCs w:val="23"/>
        </w:rPr>
        <w:t xml:space="preserve"> </w:t>
      </w:r>
    </w:p>
    <w:p w:rsidR="00AA7B53" w:rsidRDefault="00AA7B53" w:rsidP="00AA7B53">
      <w:pPr>
        <w:autoSpaceDE w:val="0"/>
        <w:autoSpaceDN w:val="0"/>
        <w:adjustRightInd w:val="0"/>
        <w:spacing w:after="0" w:line="240" w:lineRule="auto"/>
        <w:rPr>
          <w:rFonts w:ascii="Times New Roman" w:hAnsi="Times New Roman" w:cs="Times New Roman"/>
          <w:sz w:val="24"/>
          <w:szCs w:val="24"/>
        </w:rPr>
      </w:pPr>
    </w:p>
    <w:p w:rsidR="00820165" w:rsidRDefault="00820165" w:rsidP="00AA7B53">
      <w:pPr>
        <w:autoSpaceDE w:val="0"/>
        <w:autoSpaceDN w:val="0"/>
        <w:adjustRightInd w:val="0"/>
        <w:spacing w:after="0" w:line="240" w:lineRule="auto"/>
        <w:rPr>
          <w:rFonts w:ascii="Arial" w:hAnsi="Arial" w:cs="Arial"/>
        </w:rPr>
      </w:pPr>
      <w:r>
        <w:rPr>
          <w:rFonts w:ascii="Arial" w:hAnsi="Arial" w:cs="Arial"/>
          <w:b/>
          <w:bCs/>
        </w:rPr>
        <w:t>Principal instrument: Section 5</w:t>
      </w:r>
    </w:p>
    <w:p w:rsidR="009979CA" w:rsidRDefault="00281C91" w:rsidP="00AA7B53">
      <w:pPr>
        <w:pStyle w:val="Default"/>
        <w:spacing w:before="200"/>
        <w:rPr>
          <w:color w:val="auto"/>
          <w:sz w:val="23"/>
          <w:szCs w:val="23"/>
        </w:rPr>
      </w:pPr>
      <w:r>
        <w:rPr>
          <w:color w:val="auto"/>
          <w:sz w:val="23"/>
          <w:szCs w:val="23"/>
        </w:rPr>
        <w:t xml:space="preserve">Subsection </w:t>
      </w:r>
      <w:r w:rsidR="00D03930">
        <w:rPr>
          <w:color w:val="auto"/>
          <w:sz w:val="23"/>
          <w:szCs w:val="23"/>
        </w:rPr>
        <w:t>5</w:t>
      </w:r>
      <w:r w:rsidR="00AA7B53">
        <w:rPr>
          <w:color w:val="auto"/>
          <w:sz w:val="23"/>
          <w:szCs w:val="23"/>
        </w:rPr>
        <w:t xml:space="preserve"> </w:t>
      </w:r>
      <w:r w:rsidR="00947566">
        <w:rPr>
          <w:color w:val="auto"/>
          <w:sz w:val="23"/>
          <w:szCs w:val="23"/>
        </w:rPr>
        <w:t xml:space="preserve">(1) </w:t>
      </w:r>
      <w:r w:rsidR="00AA7B53">
        <w:rPr>
          <w:color w:val="auto"/>
          <w:sz w:val="23"/>
          <w:szCs w:val="23"/>
        </w:rPr>
        <w:t xml:space="preserve">of </w:t>
      </w:r>
      <w:r>
        <w:rPr>
          <w:color w:val="auto"/>
          <w:sz w:val="23"/>
          <w:szCs w:val="23"/>
        </w:rPr>
        <w:t xml:space="preserve">the </w:t>
      </w:r>
      <w:r w:rsidR="00820165">
        <w:rPr>
          <w:color w:val="auto"/>
          <w:sz w:val="23"/>
          <w:szCs w:val="23"/>
        </w:rPr>
        <w:t xml:space="preserve">principal </w:t>
      </w:r>
      <w:r>
        <w:rPr>
          <w:color w:val="auto"/>
          <w:sz w:val="23"/>
          <w:szCs w:val="23"/>
        </w:rPr>
        <w:t xml:space="preserve">instrument </w:t>
      </w:r>
      <w:r w:rsidR="008562B0">
        <w:rPr>
          <w:color w:val="auto"/>
          <w:sz w:val="23"/>
          <w:szCs w:val="23"/>
        </w:rPr>
        <w:t xml:space="preserve">amends section 761A of the Act by inserting a definition of </w:t>
      </w:r>
      <w:r w:rsidR="009D2D34">
        <w:rPr>
          <w:i/>
          <w:color w:val="auto"/>
          <w:sz w:val="23"/>
          <w:szCs w:val="23"/>
        </w:rPr>
        <w:t>‘</w:t>
      </w:r>
      <w:r w:rsidR="00AA7B53" w:rsidRPr="00AA7B53">
        <w:rPr>
          <w:i/>
          <w:color w:val="auto"/>
          <w:sz w:val="23"/>
          <w:szCs w:val="23"/>
        </w:rPr>
        <w:t>nominated electronic means</w:t>
      </w:r>
      <w:r w:rsidR="009D2D34">
        <w:rPr>
          <w:i/>
          <w:color w:val="auto"/>
          <w:sz w:val="23"/>
          <w:szCs w:val="23"/>
        </w:rPr>
        <w:t>’</w:t>
      </w:r>
      <w:r w:rsidR="00AA7B53">
        <w:rPr>
          <w:color w:val="auto"/>
          <w:sz w:val="23"/>
          <w:szCs w:val="23"/>
        </w:rPr>
        <w:t xml:space="preserve">. A provider makes a financial services disclosure or other relevant communication available to an investor </w:t>
      </w:r>
      <w:r w:rsidR="00CC5CC7">
        <w:rPr>
          <w:color w:val="auto"/>
          <w:sz w:val="23"/>
          <w:szCs w:val="23"/>
        </w:rPr>
        <w:t>or consumer (</w:t>
      </w:r>
      <w:r w:rsidR="009D2D34">
        <w:rPr>
          <w:color w:val="auto"/>
          <w:sz w:val="23"/>
          <w:szCs w:val="23"/>
        </w:rPr>
        <w:t>‘</w:t>
      </w:r>
      <w:r w:rsidR="00CC5CC7">
        <w:rPr>
          <w:color w:val="auto"/>
          <w:sz w:val="23"/>
          <w:szCs w:val="23"/>
        </w:rPr>
        <w:t>client</w:t>
      </w:r>
      <w:r w:rsidR="009D2D34">
        <w:rPr>
          <w:color w:val="auto"/>
          <w:sz w:val="23"/>
          <w:szCs w:val="23"/>
        </w:rPr>
        <w:t>’</w:t>
      </w:r>
      <w:r w:rsidR="00CC5CC7">
        <w:rPr>
          <w:color w:val="auto"/>
          <w:sz w:val="23"/>
          <w:szCs w:val="23"/>
        </w:rPr>
        <w:t xml:space="preserve">) </w:t>
      </w:r>
      <w:r w:rsidR="00AA7B53">
        <w:rPr>
          <w:color w:val="auto"/>
          <w:sz w:val="23"/>
          <w:szCs w:val="23"/>
        </w:rPr>
        <w:t xml:space="preserve">by </w:t>
      </w:r>
      <w:r w:rsidR="008562B0">
        <w:rPr>
          <w:color w:val="auto"/>
          <w:sz w:val="23"/>
          <w:szCs w:val="23"/>
        </w:rPr>
        <w:t xml:space="preserve">a </w:t>
      </w:r>
      <w:r w:rsidR="009D2D34">
        <w:rPr>
          <w:color w:val="auto"/>
          <w:sz w:val="23"/>
          <w:szCs w:val="23"/>
        </w:rPr>
        <w:t>‘</w:t>
      </w:r>
      <w:r w:rsidR="00AA7B53">
        <w:rPr>
          <w:color w:val="auto"/>
          <w:sz w:val="23"/>
          <w:szCs w:val="23"/>
        </w:rPr>
        <w:t>nominated electronic means</w:t>
      </w:r>
      <w:r w:rsidR="009D2D34">
        <w:rPr>
          <w:color w:val="auto"/>
          <w:sz w:val="23"/>
          <w:szCs w:val="23"/>
        </w:rPr>
        <w:t>’</w:t>
      </w:r>
      <w:r w:rsidR="00AA7B53">
        <w:rPr>
          <w:color w:val="auto"/>
          <w:sz w:val="23"/>
          <w:szCs w:val="23"/>
        </w:rPr>
        <w:t xml:space="preserve"> </w:t>
      </w:r>
      <w:r w:rsidR="009979CA">
        <w:rPr>
          <w:color w:val="auto"/>
          <w:sz w:val="23"/>
          <w:szCs w:val="23"/>
        </w:rPr>
        <w:t>if the following requirements are satisfied:</w:t>
      </w:r>
    </w:p>
    <w:p w:rsidR="00914AF3" w:rsidRDefault="00914AF3" w:rsidP="009979CA">
      <w:pPr>
        <w:pStyle w:val="Default"/>
        <w:numPr>
          <w:ilvl w:val="0"/>
          <w:numId w:val="2"/>
        </w:numPr>
        <w:spacing w:before="200"/>
        <w:rPr>
          <w:color w:val="auto"/>
          <w:sz w:val="23"/>
          <w:szCs w:val="23"/>
        </w:rPr>
      </w:pPr>
      <w:r>
        <w:rPr>
          <w:color w:val="auto"/>
          <w:sz w:val="23"/>
          <w:szCs w:val="23"/>
        </w:rPr>
        <w:t xml:space="preserve">Either: </w:t>
      </w:r>
    </w:p>
    <w:p w:rsidR="00392BFE" w:rsidRDefault="009979CA" w:rsidP="00914AF3">
      <w:pPr>
        <w:pStyle w:val="Default"/>
        <w:numPr>
          <w:ilvl w:val="1"/>
          <w:numId w:val="2"/>
        </w:numPr>
        <w:spacing w:before="200"/>
        <w:rPr>
          <w:color w:val="auto"/>
          <w:sz w:val="23"/>
          <w:szCs w:val="23"/>
        </w:rPr>
      </w:pPr>
      <w:r>
        <w:rPr>
          <w:color w:val="auto"/>
          <w:sz w:val="23"/>
          <w:szCs w:val="23"/>
        </w:rPr>
        <w:t xml:space="preserve">the provider has </w:t>
      </w:r>
      <w:r w:rsidR="0023045C">
        <w:rPr>
          <w:color w:val="auto"/>
          <w:sz w:val="23"/>
          <w:szCs w:val="23"/>
        </w:rPr>
        <w:t xml:space="preserve">given </w:t>
      </w:r>
      <w:r w:rsidR="00392BFE">
        <w:rPr>
          <w:color w:val="auto"/>
          <w:sz w:val="23"/>
          <w:szCs w:val="23"/>
        </w:rPr>
        <w:t>a</w:t>
      </w:r>
      <w:r>
        <w:rPr>
          <w:color w:val="auto"/>
          <w:sz w:val="23"/>
          <w:szCs w:val="23"/>
        </w:rPr>
        <w:t xml:space="preserve"> notice (in </w:t>
      </w:r>
      <w:r w:rsidR="008562B0">
        <w:rPr>
          <w:color w:val="auto"/>
          <w:sz w:val="23"/>
          <w:szCs w:val="23"/>
        </w:rPr>
        <w:t>a</w:t>
      </w:r>
      <w:r w:rsidR="00392BFE">
        <w:rPr>
          <w:color w:val="auto"/>
          <w:sz w:val="23"/>
          <w:szCs w:val="23"/>
        </w:rPr>
        <w:t xml:space="preserve"> printed</w:t>
      </w:r>
      <w:r w:rsidR="008562B0">
        <w:rPr>
          <w:color w:val="auto"/>
          <w:sz w:val="23"/>
          <w:szCs w:val="23"/>
        </w:rPr>
        <w:t xml:space="preserve"> or</w:t>
      </w:r>
      <w:r w:rsidR="00392BFE">
        <w:rPr>
          <w:color w:val="auto"/>
          <w:sz w:val="23"/>
          <w:szCs w:val="23"/>
        </w:rPr>
        <w:t xml:space="preserve"> </w:t>
      </w:r>
      <w:r>
        <w:rPr>
          <w:color w:val="auto"/>
          <w:sz w:val="23"/>
          <w:szCs w:val="23"/>
        </w:rPr>
        <w:t xml:space="preserve">electronic </w:t>
      </w:r>
      <w:r w:rsidR="008562B0">
        <w:rPr>
          <w:color w:val="auto"/>
          <w:sz w:val="23"/>
          <w:szCs w:val="23"/>
        </w:rPr>
        <w:t>form</w:t>
      </w:r>
      <w:r>
        <w:rPr>
          <w:color w:val="auto"/>
          <w:sz w:val="23"/>
          <w:szCs w:val="23"/>
        </w:rPr>
        <w:t xml:space="preserve">) to the </w:t>
      </w:r>
      <w:r w:rsidR="00CC5CC7">
        <w:rPr>
          <w:color w:val="auto"/>
          <w:sz w:val="23"/>
          <w:szCs w:val="23"/>
        </w:rPr>
        <w:t xml:space="preserve">client </w:t>
      </w:r>
      <w:r>
        <w:rPr>
          <w:color w:val="auto"/>
          <w:sz w:val="23"/>
          <w:szCs w:val="23"/>
        </w:rPr>
        <w:t xml:space="preserve">advising that the provider will, in the future, make disclosures </w:t>
      </w:r>
      <w:r w:rsidR="008562B0">
        <w:rPr>
          <w:color w:val="auto"/>
          <w:sz w:val="23"/>
          <w:szCs w:val="23"/>
        </w:rPr>
        <w:t xml:space="preserve">by an electronic means </w:t>
      </w:r>
      <w:r>
        <w:rPr>
          <w:color w:val="auto"/>
          <w:sz w:val="23"/>
          <w:szCs w:val="23"/>
        </w:rPr>
        <w:t xml:space="preserve">unless the </w:t>
      </w:r>
      <w:r w:rsidR="00CC5CC7">
        <w:rPr>
          <w:color w:val="auto"/>
          <w:sz w:val="23"/>
          <w:szCs w:val="23"/>
        </w:rPr>
        <w:t xml:space="preserve">client </w:t>
      </w:r>
      <w:r>
        <w:rPr>
          <w:color w:val="auto"/>
          <w:sz w:val="23"/>
          <w:szCs w:val="23"/>
        </w:rPr>
        <w:t>elects to opt out</w:t>
      </w:r>
      <w:r w:rsidR="00914AF3">
        <w:rPr>
          <w:color w:val="auto"/>
          <w:sz w:val="23"/>
          <w:szCs w:val="23"/>
        </w:rPr>
        <w:t>,</w:t>
      </w:r>
      <w:r w:rsidR="00914AF3" w:rsidRPr="00914AF3">
        <w:rPr>
          <w:color w:val="auto"/>
          <w:sz w:val="23"/>
          <w:szCs w:val="23"/>
        </w:rPr>
        <w:t xml:space="preserve"> </w:t>
      </w:r>
      <w:r w:rsidR="00914AF3">
        <w:rPr>
          <w:color w:val="auto"/>
          <w:sz w:val="23"/>
          <w:szCs w:val="23"/>
        </w:rPr>
        <w:t>and the client has not opted out within 7 days</w:t>
      </w:r>
      <w:r>
        <w:rPr>
          <w:color w:val="auto"/>
          <w:sz w:val="23"/>
          <w:szCs w:val="23"/>
        </w:rPr>
        <w:t xml:space="preserve">; </w:t>
      </w:r>
      <w:r w:rsidR="0023045C">
        <w:rPr>
          <w:color w:val="auto"/>
          <w:sz w:val="23"/>
          <w:szCs w:val="23"/>
        </w:rPr>
        <w:t xml:space="preserve">or </w:t>
      </w:r>
    </w:p>
    <w:p w:rsidR="009979CA" w:rsidRDefault="00392BFE" w:rsidP="00914AF3">
      <w:pPr>
        <w:pStyle w:val="Default"/>
        <w:numPr>
          <w:ilvl w:val="1"/>
          <w:numId w:val="2"/>
        </w:numPr>
        <w:spacing w:before="200"/>
        <w:rPr>
          <w:color w:val="auto"/>
          <w:sz w:val="23"/>
          <w:szCs w:val="23"/>
        </w:rPr>
      </w:pPr>
      <w:r>
        <w:rPr>
          <w:color w:val="auto"/>
          <w:sz w:val="23"/>
          <w:szCs w:val="23"/>
        </w:rPr>
        <w:t>the provider has</w:t>
      </w:r>
      <w:r w:rsidR="0023045C">
        <w:rPr>
          <w:color w:val="auto"/>
          <w:sz w:val="23"/>
          <w:szCs w:val="23"/>
        </w:rPr>
        <w:t xml:space="preserve"> </w:t>
      </w:r>
      <w:r>
        <w:rPr>
          <w:color w:val="auto"/>
          <w:sz w:val="23"/>
          <w:szCs w:val="23"/>
        </w:rPr>
        <w:t xml:space="preserve">gained </w:t>
      </w:r>
      <w:r w:rsidR="00914AF3">
        <w:rPr>
          <w:color w:val="auto"/>
          <w:sz w:val="23"/>
          <w:szCs w:val="23"/>
        </w:rPr>
        <w:t>the client</w:t>
      </w:r>
      <w:r w:rsidR="009D2D34">
        <w:rPr>
          <w:color w:val="auto"/>
          <w:sz w:val="23"/>
          <w:szCs w:val="23"/>
        </w:rPr>
        <w:t>’</w:t>
      </w:r>
      <w:r w:rsidR="00914AF3">
        <w:rPr>
          <w:color w:val="auto"/>
          <w:sz w:val="23"/>
          <w:szCs w:val="23"/>
        </w:rPr>
        <w:t>s</w:t>
      </w:r>
      <w:r w:rsidR="0023045C">
        <w:rPr>
          <w:color w:val="auto"/>
          <w:sz w:val="23"/>
          <w:szCs w:val="23"/>
        </w:rPr>
        <w:t xml:space="preserve"> agreement to this method of disclosure</w:t>
      </w:r>
      <w:r w:rsidR="00914AF3">
        <w:rPr>
          <w:color w:val="auto"/>
          <w:sz w:val="23"/>
          <w:szCs w:val="23"/>
        </w:rPr>
        <w:t>;</w:t>
      </w:r>
      <w:r w:rsidR="0023045C">
        <w:rPr>
          <w:color w:val="auto"/>
          <w:sz w:val="23"/>
          <w:szCs w:val="23"/>
        </w:rPr>
        <w:t xml:space="preserve"> </w:t>
      </w:r>
      <w:r w:rsidR="009979CA">
        <w:rPr>
          <w:color w:val="auto"/>
          <w:sz w:val="23"/>
          <w:szCs w:val="23"/>
        </w:rPr>
        <w:t>and</w:t>
      </w:r>
    </w:p>
    <w:p w:rsidR="00AA7B53" w:rsidRDefault="009979CA" w:rsidP="009979CA">
      <w:pPr>
        <w:pStyle w:val="Default"/>
        <w:numPr>
          <w:ilvl w:val="0"/>
          <w:numId w:val="2"/>
        </w:numPr>
        <w:spacing w:before="200"/>
        <w:rPr>
          <w:color w:val="auto"/>
          <w:sz w:val="23"/>
          <w:szCs w:val="23"/>
        </w:rPr>
      </w:pPr>
      <w:r>
        <w:rPr>
          <w:color w:val="auto"/>
          <w:sz w:val="23"/>
          <w:szCs w:val="23"/>
        </w:rPr>
        <w:t>the provider sends a disclosure notice that contains a statement that the provider has made the disclosure electronically and includes instructions on how the investor can access the electronic disclosure</w:t>
      </w:r>
      <w:r w:rsidR="00281C91">
        <w:rPr>
          <w:color w:val="auto"/>
          <w:sz w:val="23"/>
          <w:szCs w:val="23"/>
        </w:rPr>
        <w:t xml:space="preserve"> each time a new disclosure is published</w:t>
      </w:r>
      <w:r w:rsidR="00914AF3">
        <w:rPr>
          <w:color w:val="auto"/>
          <w:sz w:val="23"/>
          <w:szCs w:val="23"/>
        </w:rPr>
        <w:t xml:space="preserve"> (this statement can be sent concurrently</w:t>
      </w:r>
      <w:r w:rsidR="001C36DC">
        <w:rPr>
          <w:color w:val="auto"/>
          <w:sz w:val="23"/>
          <w:szCs w:val="23"/>
        </w:rPr>
        <w:t xml:space="preserve"> with the first notice</w:t>
      </w:r>
      <w:r w:rsidR="00914AF3">
        <w:rPr>
          <w:color w:val="auto"/>
          <w:sz w:val="23"/>
          <w:szCs w:val="23"/>
        </w:rPr>
        <w:t>, but will not be effective disclosure until 7 days have passed with the client not opting out</w:t>
      </w:r>
      <w:r w:rsidR="001C36DC">
        <w:rPr>
          <w:color w:val="auto"/>
          <w:sz w:val="23"/>
          <w:szCs w:val="23"/>
        </w:rPr>
        <w:t>, or the client has otherwise agreed</w:t>
      </w:r>
      <w:r w:rsidR="00914AF3">
        <w:rPr>
          <w:color w:val="auto"/>
          <w:sz w:val="23"/>
          <w:szCs w:val="23"/>
        </w:rPr>
        <w:t>)</w:t>
      </w:r>
      <w:r>
        <w:rPr>
          <w:color w:val="auto"/>
          <w:sz w:val="23"/>
          <w:szCs w:val="23"/>
        </w:rPr>
        <w:t>.</w:t>
      </w:r>
    </w:p>
    <w:p w:rsidR="00ED6D6D" w:rsidRDefault="00EB506B" w:rsidP="00AA7B53">
      <w:pPr>
        <w:pStyle w:val="Default"/>
        <w:spacing w:before="200"/>
        <w:rPr>
          <w:color w:val="auto"/>
          <w:sz w:val="23"/>
          <w:szCs w:val="23"/>
        </w:rPr>
      </w:pPr>
      <w:r w:rsidRPr="005A2494">
        <w:rPr>
          <w:color w:val="auto"/>
          <w:sz w:val="23"/>
          <w:szCs w:val="23"/>
        </w:rPr>
        <w:t xml:space="preserve">The above </w:t>
      </w:r>
      <w:r w:rsidR="009D2D34">
        <w:rPr>
          <w:color w:val="auto"/>
          <w:sz w:val="23"/>
          <w:szCs w:val="23"/>
        </w:rPr>
        <w:t>‘</w:t>
      </w:r>
      <w:r w:rsidRPr="005A2494">
        <w:rPr>
          <w:color w:val="auto"/>
          <w:sz w:val="23"/>
          <w:szCs w:val="23"/>
        </w:rPr>
        <w:t>publish and notify</w:t>
      </w:r>
      <w:r w:rsidR="009D2D34">
        <w:rPr>
          <w:color w:val="auto"/>
          <w:sz w:val="23"/>
          <w:szCs w:val="23"/>
        </w:rPr>
        <w:t>’</w:t>
      </w:r>
      <w:r w:rsidRPr="005A2494">
        <w:rPr>
          <w:color w:val="auto"/>
          <w:sz w:val="23"/>
          <w:szCs w:val="23"/>
        </w:rPr>
        <w:t xml:space="preserve"> method provides relief from the requirement for prior express </w:t>
      </w:r>
      <w:r w:rsidRPr="00914AF3">
        <w:rPr>
          <w:color w:val="auto"/>
          <w:sz w:val="23"/>
          <w:szCs w:val="23"/>
        </w:rPr>
        <w:t>client agreement to receive digital disclosure</w:t>
      </w:r>
      <w:r w:rsidR="001B0171" w:rsidRPr="00914AF3">
        <w:rPr>
          <w:color w:val="auto"/>
          <w:sz w:val="23"/>
          <w:szCs w:val="23"/>
        </w:rPr>
        <w:t xml:space="preserve"> in this way</w:t>
      </w:r>
      <w:r w:rsidRPr="00914AF3">
        <w:rPr>
          <w:color w:val="auto"/>
          <w:sz w:val="23"/>
          <w:szCs w:val="23"/>
        </w:rPr>
        <w:t xml:space="preserve"> while preserving the client</w:t>
      </w:r>
      <w:r w:rsidR="009D2D34">
        <w:rPr>
          <w:color w:val="auto"/>
          <w:sz w:val="23"/>
          <w:szCs w:val="23"/>
        </w:rPr>
        <w:t>’</w:t>
      </w:r>
      <w:r w:rsidRPr="00914AF3">
        <w:rPr>
          <w:color w:val="auto"/>
          <w:sz w:val="23"/>
          <w:szCs w:val="23"/>
        </w:rPr>
        <w:t>s right to opt out.</w:t>
      </w:r>
      <w:r w:rsidR="005A2494" w:rsidRPr="00914AF3">
        <w:rPr>
          <w:color w:val="auto"/>
          <w:sz w:val="23"/>
          <w:szCs w:val="23"/>
        </w:rPr>
        <w:t xml:space="preserve"> Th</w:t>
      </w:r>
      <w:r w:rsidR="007B1DB4" w:rsidRPr="00914AF3">
        <w:rPr>
          <w:color w:val="auto"/>
          <w:sz w:val="23"/>
          <w:szCs w:val="23"/>
        </w:rPr>
        <w:t xml:space="preserve">e </w:t>
      </w:r>
      <w:r w:rsidR="009D2D34">
        <w:rPr>
          <w:color w:val="auto"/>
          <w:sz w:val="23"/>
          <w:szCs w:val="23"/>
        </w:rPr>
        <w:t>‘</w:t>
      </w:r>
      <w:r w:rsidR="007B1DB4" w:rsidRPr="00914AF3">
        <w:rPr>
          <w:color w:val="auto"/>
          <w:sz w:val="23"/>
          <w:szCs w:val="23"/>
        </w:rPr>
        <w:t>publish and notify</w:t>
      </w:r>
      <w:r w:rsidR="009D2D34">
        <w:rPr>
          <w:color w:val="auto"/>
          <w:sz w:val="23"/>
          <w:szCs w:val="23"/>
        </w:rPr>
        <w:t>’</w:t>
      </w:r>
      <w:r w:rsidR="007B1DB4" w:rsidRPr="00914AF3">
        <w:rPr>
          <w:color w:val="auto"/>
          <w:sz w:val="23"/>
          <w:szCs w:val="23"/>
        </w:rPr>
        <w:t xml:space="preserve"> </w:t>
      </w:r>
      <w:r w:rsidR="005A2494" w:rsidRPr="00914AF3">
        <w:rPr>
          <w:color w:val="auto"/>
          <w:sz w:val="23"/>
          <w:szCs w:val="23"/>
        </w:rPr>
        <w:t xml:space="preserve">method </w:t>
      </w:r>
      <w:r w:rsidR="007B1DB4" w:rsidRPr="00914AF3">
        <w:rPr>
          <w:color w:val="auto"/>
          <w:sz w:val="23"/>
          <w:szCs w:val="23"/>
        </w:rPr>
        <w:t>is a</w:t>
      </w:r>
      <w:r w:rsidR="00236B87" w:rsidRPr="00914AF3">
        <w:rPr>
          <w:color w:val="auto"/>
          <w:sz w:val="23"/>
          <w:szCs w:val="23"/>
        </w:rPr>
        <w:t xml:space="preserve"> new </w:t>
      </w:r>
      <w:r w:rsidR="007B1DB4" w:rsidRPr="00914AF3">
        <w:rPr>
          <w:color w:val="auto"/>
          <w:sz w:val="23"/>
          <w:szCs w:val="23"/>
        </w:rPr>
        <w:t xml:space="preserve">method of </w:t>
      </w:r>
      <w:r w:rsidR="00664688" w:rsidRPr="00914AF3">
        <w:rPr>
          <w:color w:val="auto"/>
          <w:sz w:val="23"/>
          <w:szCs w:val="23"/>
        </w:rPr>
        <w:t xml:space="preserve">disclosure </w:t>
      </w:r>
      <w:r w:rsidR="007B1DB4" w:rsidRPr="00914AF3">
        <w:rPr>
          <w:color w:val="auto"/>
          <w:sz w:val="23"/>
          <w:szCs w:val="23"/>
        </w:rPr>
        <w:t xml:space="preserve">delivery introduced by </w:t>
      </w:r>
      <w:r w:rsidR="001C36DC">
        <w:rPr>
          <w:color w:val="auto"/>
          <w:sz w:val="23"/>
          <w:szCs w:val="23"/>
        </w:rPr>
        <w:t>the instrument</w:t>
      </w:r>
      <w:r w:rsidR="007B1DB4" w:rsidRPr="00914AF3">
        <w:rPr>
          <w:color w:val="auto"/>
          <w:sz w:val="23"/>
          <w:szCs w:val="23"/>
        </w:rPr>
        <w:t xml:space="preserve"> </w:t>
      </w:r>
      <w:r w:rsidR="001E04D5" w:rsidRPr="00914AF3">
        <w:rPr>
          <w:color w:val="auto"/>
          <w:sz w:val="23"/>
          <w:szCs w:val="23"/>
        </w:rPr>
        <w:t xml:space="preserve">that </w:t>
      </w:r>
      <w:r w:rsidR="00236B87" w:rsidRPr="00914AF3">
        <w:rPr>
          <w:color w:val="auto"/>
          <w:sz w:val="23"/>
          <w:szCs w:val="23"/>
        </w:rPr>
        <w:t xml:space="preserve">is additional to the electronic and other delivery options currently allowed under the Act. The method </w:t>
      </w:r>
      <w:r w:rsidR="0039471F" w:rsidRPr="00914AF3">
        <w:rPr>
          <w:color w:val="auto"/>
          <w:sz w:val="23"/>
          <w:szCs w:val="23"/>
        </w:rPr>
        <w:t xml:space="preserve">is available in situations where </w:t>
      </w:r>
      <w:r w:rsidR="005A2494" w:rsidRPr="00914AF3">
        <w:rPr>
          <w:color w:val="auto"/>
          <w:sz w:val="23"/>
          <w:szCs w:val="23"/>
        </w:rPr>
        <w:t xml:space="preserve">the provider wishes to publish a disclosure document </w:t>
      </w:r>
      <w:r w:rsidR="007B1DB4" w:rsidRPr="00914AF3">
        <w:rPr>
          <w:color w:val="auto"/>
          <w:sz w:val="23"/>
          <w:szCs w:val="23"/>
        </w:rPr>
        <w:t>i</w:t>
      </w:r>
      <w:r w:rsidR="005A2494" w:rsidRPr="00914AF3">
        <w:rPr>
          <w:color w:val="auto"/>
          <w:sz w:val="23"/>
          <w:szCs w:val="23"/>
        </w:rPr>
        <w:t xml:space="preserve">n </w:t>
      </w:r>
      <w:r w:rsidR="007B1DB4" w:rsidRPr="00914AF3">
        <w:rPr>
          <w:color w:val="auto"/>
          <w:sz w:val="23"/>
          <w:szCs w:val="23"/>
        </w:rPr>
        <w:t>a digital medium (</w:t>
      </w:r>
      <w:r w:rsidR="002F5D15" w:rsidRPr="00914AF3">
        <w:rPr>
          <w:color w:val="auto"/>
          <w:sz w:val="23"/>
          <w:szCs w:val="23"/>
        </w:rPr>
        <w:t xml:space="preserve">for example, </w:t>
      </w:r>
      <w:r w:rsidR="007B1DB4" w:rsidRPr="00914AF3">
        <w:rPr>
          <w:color w:val="auto"/>
          <w:sz w:val="23"/>
          <w:szCs w:val="23"/>
        </w:rPr>
        <w:t xml:space="preserve">their website or an app) </w:t>
      </w:r>
      <w:r w:rsidR="00310C11" w:rsidRPr="00914AF3">
        <w:rPr>
          <w:color w:val="auto"/>
        </w:rPr>
        <w:t>rather than send the entire disclosure document to the client (either electronically as an attachment or a hard copy by post)</w:t>
      </w:r>
      <w:r w:rsidR="0039471F" w:rsidRPr="00914AF3">
        <w:rPr>
          <w:color w:val="auto"/>
          <w:sz w:val="23"/>
          <w:szCs w:val="23"/>
        </w:rPr>
        <w:t>.</w:t>
      </w:r>
      <w:r w:rsidR="00B241CE" w:rsidRPr="00914AF3">
        <w:rPr>
          <w:color w:val="auto"/>
          <w:sz w:val="23"/>
          <w:szCs w:val="23"/>
        </w:rPr>
        <w:t xml:space="preserve"> </w:t>
      </w:r>
    </w:p>
    <w:p w:rsidR="0063010E" w:rsidRPr="00914AF3" w:rsidRDefault="001C36DC" w:rsidP="0063010E">
      <w:pPr>
        <w:pStyle w:val="Default"/>
        <w:spacing w:before="200"/>
        <w:rPr>
          <w:color w:val="auto"/>
          <w:sz w:val="23"/>
          <w:szCs w:val="23"/>
        </w:rPr>
      </w:pPr>
      <w:r>
        <w:rPr>
          <w:color w:val="auto"/>
          <w:sz w:val="23"/>
          <w:szCs w:val="23"/>
        </w:rPr>
        <w:lastRenderedPageBreak/>
        <w:t xml:space="preserve">There are two kinds of notices required under this method. The first establishes the </w:t>
      </w:r>
      <w:r w:rsidR="009D2D34">
        <w:rPr>
          <w:color w:val="auto"/>
          <w:sz w:val="23"/>
          <w:szCs w:val="23"/>
        </w:rPr>
        <w:t>‘</w:t>
      </w:r>
      <w:r w:rsidRPr="00914AF3">
        <w:rPr>
          <w:color w:val="auto"/>
          <w:sz w:val="23"/>
          <w:szCs w:val="23"/>
        </w:rPr>
        <w:t>publish and notify</w:t>
      </w:r>
      <w:r w:rsidR="009D2D34">
        <w:rPr>
          <w:color w:val="auto"/>
          <w:sz w:val="23"/>
          <w:szCs w:val="23"/>
        </w:rPr>
        <w:t>’</w:t>
      </w:r>
      <w:r w:rsidRPr="00914AF3">
        <w:rPr>
          <w:color w:val="auto"/>
          <w:sz w:val="23"/>
          <w:szCs w:val="23"/>
        </w:rPr>
        <w:t xml:space="preserve"> regime with the client</w:t>
      </w:r>
      <w:r>
        <w:rPr>
          <w:color w:val="auto"/>
          <w:sz w:val="23"/>
          <w:szCs w:val="23"/>
        </w:rPr>
        <w:t xml:space="preserve"> and need only be given once in relation to the relevant method</w:t>
      </w:r>
      <w:r w:rsidR="00FD3BD4">
        <w:rPr>
          <w:color w:val="auto"/>
          <w:sz w:val="23"/>
          <w:szCs w:val="23"/>
        </w:rPr>
        <w:t>.</w:t>
      </w:r>
      <w:r w:rsidR="0063010E">
        <w:rPr>
          <w:color w:val="auto"/>
          <w:sz w:val="23"/>
          <w:szCs w:val="23"/>
        </w:rPr>
        <w:t xml:space="preserve"> </w:t>
      </w:r>
      <w:r w:rsidR="00FD3BD4">
        <w:rPr>
          <w:color w:val="auto"/>
          <w:sz w:val="23"/>
          <w:szCs w:val="23"/>
        </w:rPr>
        <w:t>T</w:t>
      </w:r>
      <w:r w:rsidR="0063010E">
        <w:rPr>
          <w:color w:val="auto"/>
          <w:sz w:val="23"/>
          <w:szCs w:val="23"/>
        </w:rPr>
        <w:t>his notice provides that the provider</w:t>
      </w:r>
      <w:r w:rsidR="0063010E" w:rsidRPr="00914AF3">
        <w:rPr>
          <w:color w:val="auto"/>
          <w:sz w:val="23"/>
          <w:szCs w:val="23"/>
        </w:rPr>
        <w:t xml:space="preserve"> </w:t>
      </w:r>
      <w:r w:rsidR="0063010E">
        <w:rPr>
          <w:color w:val="auto"/>
          <w:sz w:val="23"/>
          <w:szCs w:val="23"/>
        </w:rPr>
        <w:t xml:space="preserve">will </w:t>
      </w:r>
      <w:r w:rsidR="0063010E" w:rsidRPr="00914AF3">
        <w:rPr>
          <w:color w:val="auto"/>
          <w:sz w:val="23"/>
          <w:szCs w:val="23"/>
        </w:rPr>
        <w:t xml:space="preserve">make disclosures digitally unless the client elects to opt out within 7 days. </w:t>
      </w:r>
    </w:p>
    <w:p w:rsidR="001C36DC" w:rsidRPr="00914AF3" w:rsidRDefault="001C36DC" w:rsidP="00AA7B53">
      <w:pPr>
        <w:pStyle w:val="Default"/>
        <w:spacing w:before="200"/>
        <w:rPr>
          <w:color w:val="auto"/>
          <w:sz w:val="23"/>
          <w:szCs w:val="23"/>
        </w:rPr>
      </w:pPr>
      <w:r>
        <w:rPr>
          <w:color w:val="auto"/>
          <w:sz w:val="23"/>
          <w:szCs w:val="23"/>
        </w:rPr>
        <w:t xml:space="preserve">The second </w:t>
      </w:r>
      <w:r w:rsidR="00E65283">
        <w:rPr>
          <w:color w:val="auto"/>
          <w:sz w:val="23"/>
          <w:szCs w:val="23"/>
        </w:rPr>
        <w:t xml:space="preserve">kind of notice </w:t>
      </w:r>
      <w:r>
        <w:rPr>
          <w:color w:val="auto"/>
          <w:sz w:val="23"/>
          <w:szCs w:val="23"/>
        </w:rPr>
        <w:t xml:space="preserve">is recurrent and is given each time a new </w:t>
      </w:r>
      <w:r w:rsidR="0063010E">
        <w:rPr>
          <w:color w:val="auto"/>
          <w:sz w:val="23"/>
          <w:szCs w:val="23"/>
        </w:rPr>
        <w:t>disclosure (such as a periodic statement)</w:t>
      </w:r>
      <w:r>
        <w:rPr>
          <w:color w:val="auto"/>
          <w:sz w:val="23"/>
          <w:szCs w:val="23"/>
        </w:rPr>
        <w:t xml:space="preserve"> is </w:t>
      </w:r>
      <w:r w:rsidR="0063010E">
        <w:rPr>
          <w:color w:val="auto"/>
          <w:sz w:val="23"/>
          <w:szCs w:val="23"/>
        </w:rPr>
        <w:t>published electronically</w:t>
      </w:r>
      <w:r>
        <w:rPr>
          <w:color w:val="auto"/>
          <w:sz w:val="23"/>
          <w:szCs w:val="23"/>
        </w:rPr>
        <w:t xml:space="preserve">.  </w:t>
      </w:r>
      <w:r w:rsidRPr="00914AF3">
        <w:rPr>
          <w:color w:val="auto"/>
          <w:sz w:val="23"/>
          <w:szCs w:val="23"/>
        </w:rPr>
        <w:t xml:space="preserve"> </w:t>
      </w:r>
    </w:p>
    <w:p w:rsidR="005F08AA" w:rsidRPr="00914AF3" w:rsidRDefault="001C36DC" w:rsidP="005F08AA">
      <w:pPr>
        <w:pStyle w:val="Default"/>
        <w:spacing w:before="200"/>
        <w:rPr>
          <w:color w:val="auto"/>
          <w:sz w:val="23"/>
          <w:szCs w:val="23"/>
        </w:rPr>
      </w:pPr>
      <w:r>
        <w:rPr>
          <w:color w:val="auto"/>
          <w:sz w:val="23"/>
          <w:szCs w:val="23"/>
        </w:rPr>
        <w:t>Each</w:t>
      </w:r>
      <w:r w:rsidRPr="00914AF3">
        <w:rPr>
          <w:color w:val="auto"/>
          <w:sz w:val="23"/>
          <w:szCs w:val="23"/>
        </w:rPr>
        <w:t xml:space="preserve"> </w:t>
      </w:r>
      <w:r w:rsidR="00176255" w:rsidRPr="00914AF3">
        <w:rPr>
          <w:color w:val="auto"/>
          <w:sz w:val="23"/>
          <w:szCs w:val="23"/>
        </w:rPr>
        <w:t>noti</w:t>
      </w:r>
      <w:r>
        <w:rPr>
          <w:color w:val="auto"/>
          <w:sz w:val="23"/>
          <w:szCs w:val="23"/>
        </w:rPr>
        <w:t xml:space="preserve">ce alerting the client to a new disclosure </w:t>
      </w:r>
      <w:r w:rsidR="002F5D15" w:rsidRPr="00914AF3">
        <w:rPr>
          <w:color w:val="auto"/>
          <w:sz w:val="23"/>
          <w:szCs w:val="23"/>
        </w:rPr>
        <w:t xml:space="preserve">must </w:t>
      </w:r>
      <w:r w:rsidR="00236B87" w:rsidRPr="00914AF3">
        <w:rPr>
          <w:color w:val="auto"/>
          <w:sz w:val="23"/>
          <w:szCs w:val="23"/>
        </w:rPr>
        <w:t>include information on where to find the disclosure and how to access it</w:t>
      </w:r>
      <w:r w:rsidR="00176255" w:rsidRPr="00914AF3">
        <w:rPr>
          <w:color w:val="auto"/>
          <w:sz w:val="23"/>
          <w:szCs w:val="23"/>
        </w:rPr>
        <w:t xml:space="preserve">; </w:t>
      </w:r>
      <w:r w:rsidR="002F5D15" w:rsidRPr="00914AF3">
        <w:rPr>
          <w:color w:val="auto"/>
          <w:sz w:val="23"/>
          <w:szCs w:val="23"/>
        </w:rPr>
        <w:t>for example, a</w:t>
      </w:r>
      <w:r w:rsidR="00236B87" w:rsidRPr="00914AF3">
        <w:rPr>
          <w:color w:val="auto"/>
          <w:sz w:val="23"/>
          <w:szCs w:val="23"/>
        </w:rPr>
        <w:t xml:space="preserve"> hyperlink </w:t>
      </w:r>
      <w:r w:rsidR="001E04D5" w:rsidRPr="00914AF3">
        <w:rPr>
          <w:color w:val="auto"/>
          <w:sz w:val="23"/>
          <w:szCs w:val="23"/>
        </w:rPr>
        <w:t xml:space="preserve">or web address of the </w:t>
      </w:r>
      <w:r w:rsidR="00236B87" w:rsidRPr="00914AF3">
        <w:rPr>
          <w:color w:val="auto"/>
          <w:sz w:val="23"/>
          <w:szCs w:val="23"/>
        </w:rPr>
        <w:t>web page where the disclosure is available or the name and navigation options within the app</w:t>
      </w:r>
      <w:r w:rsidR="002F5D15" w:rsidRPr="00914AF3">
        <w:rPr>
          <w:color w:val="auto"/>
          <w:sz w:val="23"/>
          <w:szCs w:val="23"/>
        </w:rPr>
        <w:t>.</w:t>
      </w:r>
      <w:r w:rsidR="005F08AA" w:rsidRPr="00914AF3">
        <w:rPr>
          <w:color w:val="auto"/>
          <w:sz w:val="23"/>
          <w:szCs w:val="23"/>
        </w:rPr>
        <w:t xml:space="preserve"> </w:t>
      </w:r>
    </w:p>
    <w:p w:rsidR="00EB506B" w:rsidRPr="00D91CE7" w:rsidRDefault="00D91CE7" w:rsidP="00AA7B53">
      <w:pPr>
        <w:pStyle w:val="Default"/>
        <w:spacing w:before="200"/>
        <w:rPr>
          <w:color w:val="auto"/>
          <w:sz w:val="23"/>
          <w:szCs w:val="23"/>
        </w:rPr>
      </w:pPr>
      <w:r w:rsidRPr="00914AF3">
        <w:rPr>
          <w:color w:val="auto"/>
        </w:rPr>
        <w:t xml:space="preserve">Providers whose current practice and future intent is to send the entire disclosure document electronically as an attachment or by post need not rely on the </w:t>
      </w:r>
      <w:r w:rsidR="009D2D34">
        <w:rPr>
          <w:color w:val="auto"/>
        </w:rPr>
        <w:t>‘</w:t>
      </w:r>
      <w:r w:rsidRPr="00914AF3">
        <w:rPr>
          <w:color w:val="auto"/>
        </w:rPr>
        <w:t>publish and notify</w:t>
      </w:r>
      <w:r w:rsidR="009D2D34">
        <w:rPr>
          <w:color w:val="auto"/>
        </w:rPr>
        <w:t>’</w:t>
      </w:r>
      <w:r w:rsidRPr="00914AF3">
        <w:rPr>
          <w:color w:val="auto"/>
        </w:rPr>
        <w:t xml:space="preserve"> method.</w:t>
      </w:r>
      <w:r w:rsidR="005A2494" w:rsidRPr="00D91CE7">
        <w:rPr>
          <w:color w:val="auto"/>
          <w:sz w:val="23"/>
          <w:szCs w:val="23"/>
        </w:rPr>
        <w:t xml:space="preserve"> </w:t>
      </w:r>
    </w:p>
    <w:p w:rsidR="00947566" w:rsidRDefault="001C36DC" w:rsidP="00AA7B53">
      <w:pPr>
        <w:pStyle w:val="Default"/>
        <w:spacing w:before="200"/>
        <w:rPr>
          <w:color w:val="auto"/>
          <w:sz w:val="23"/>
          <w:szCs w:val="23"/>
        </w:rPr>
      </w:pPr>
      <w:r>
        <w:rPr>
          <w:color w:val="auto"/>
          <w:sz w:val="23"/>
          <w:szCs w:val="23"/>
        </w:rPr>
        <w:t xml:space="preserve">Subsection </w:t>
      </w:r>
      <w:r w:rsidR="00D03930">
        <w:rPr>
          <w:color w:val="auto"/>
          <w:sz w:val="23"/>
          <w:szCs w:val="23"/>
        </w:rPr>
        <w:t>5</w:t>
      </w:r>
      <w:r w:rsidR="00947566">
        <w:rPr>
          <w:color w:val="auto"/>
          <w:sz w:val="23"/>
          <w:szCs w:val="23"/>
        </w:rPr>
        <w:t xml:space="preserve">(2) of </w:t>
      </w:r>
      <w:r w:rsidR="00781DCB">
        <w:rPr>
          <w:color w:val="auto"/>
          <w:sz w:val="23"/>
          <w:szCs w:val="23"/>
        </w:rPr>
        <w:t>the instrument</w:t>
      </w:r>
      <w:r w:rsidR="00947566">
        <w:rPr>
          <w:color w:val="auto"/>
          <w:sz w:val="23"/>
          <w:szCs w:val="23"/>
        </w:rPr>
        <w:t xml:space="preserve"> </w:t>
      </w:r>
      <w:r w:rsidR="008C1D20">
        <w:rPr>
          <w:color w:val="auto"/>
          <w:sz w:val="23"/>
          <w:szCs w:val="23"/>
        </w:rPr>
        <w:t>modifies s</w:t>
      </w:r>
      <w:r w:rsidR="004F35BB">
        <w:rPr>
          <w:color w:val="auto"/>
          <w:sz w:val="23"/>
          <w:szCs w:val="23"/>
        </w:rPr>
        <w:t xml:space="preserve">ection </w:t>
      </w:r>
      <w:r w:rsidR="008C1D20">
        <w:rPr>
          <w:color w:val="auto"/>
          <w:sz w:val="23"/>
          <w:szCs w:val="23"/>
        </w:rPr>
        <w:t xml:space="preserve">940C of the Act to provide that a provider may make available an </w:t>
      </w:r>
      <w:proofErr w:type="spellStart"/>
      <w:r w:rsidR="008C1D20">
        <w:rPr>
          <w:color w:val="auto"/>
          <w:sz w:val="23"/>
          <w:szCs w:val="23"/>
        </w:rPr>
        <w:t>FSG</w:t>
      </w:r>
      <w:proofErr w:type="spellEnd"/>
      <w:r w:rsidR="008C1D20">
        <w:rPr>
          <w:color w:val="auto"/>
          <w:sz w:val="23"/>
          <w:szCs w:val="23"/>
        </w:rPr>
        <w:t xml:space="preserve">, Supplementary </w:t>
      </w:r>
      <w:proofErr w:type="spellStart"/>
      <w:r w:rsidR="008C1D20">
        <w:rPr>
          <w:color w:val="auto"/>
          <w:sz w:val="23"/>
          <w:szCs w:val="23"/>
        </w:rPr>
        <w:t>FSG</w:t>
      </w:r>
      <w:proofErr w:type="spellEnd"/>
      <w:r w:rsidR="008C1D20">
        <w:rPr>
          <w:color w:val="auto"/>
          <w:sz w:val="23"/>
          <w:szCs w:val="23"/>
        </w:rPr>
        <w:t xml:space="preserve"> or </w:t>
      </w:r>
      <w:proofErr w:type="spellStart"/>
      <w:r w:rsidR="008C1D20">
        <w:rPr>
          <w:color w:val="auto"/>
          <w:sz w:val="23"/>
          <w:szCs w:val="23"/>
        </w:rPr>
        <w:t>SOA</w:t>
      </w:r>
      <w:proofErr w:type="spellEnd"/>
      <w:r w:rsidR="008C1D20">
        <w:rPr>
          <w:color w:val="auto"/>
          <w:sz w:val="23"/>
          <w:szCs w:val="23"/>
        </w:rPr>
        <w:t xml:space="preserve"> to </w:t>
      </w:r>
      <w:r w:rsidR="00716A6D">
        <w:rPr>
          <w:color w:val="auto"/>
          <w:sz w:val="23"/>
          <w:szCs w:val="23"/>
        </w:rPr>
        <w:t>a</w:t>
      </w:r>
      <w:r w:rsidR="008C1D20">
        <w:rPr>
          <w:color w:val="auto"/>
          <w:sz w:val="23"/>
          <w:szCs w:val="23"/>
        </w:rPr>
        <w:t xml:space="preserve"> client, or </w:t>
      </w:r>
      <w:r w:rsidR="00716A6D">
        <w:rPr>
          <w:color w:val="auto"/>
          <w:sz w:val="23"/>
          <w:szCs w:val="23"/>
        </w:rPr>
        <w:t>a</w:t>
      </w:r>
      <w:r w:rsidR="008C1D20">
        <w:rPr>
          <w:color w:val="auto"/>
          <w:sz w:val="23"/>
          <w:szCs w:val="23"/>
        </w:rPr>
        <w:t xml:space="preserve"> client</w:t>
      </w:r>
      <w:r w:rsidR="009D2D34">
        <w:rPr>
          <w:color w:val="auto"/>
          <w:sz w:val="23"/>
          <w:szCs w:val="23"/>
        </w:rPr>
        <w:t>’</w:t>
      </w:r>
      <w:r w:rsidR="008C1D20">
        <w:rPr>
          <w:color w:val="auto"/>
          <w:sz w:val="23"/>
          <w:szCs w:val="23"/>
        </w:rPr>
        <w:t>s agent, by a nominated electronic means</w:t>
      </w:r>
      <w:r w:rsidR="0023045C">
        <w:rPr>
          <w:color w:val="auto"/>
          <w:sz w:val="23"/>
          <w:szCs w:val="23"/>
        </w:rPr>
        <w:t>, as an additional option for delivery</w:t>
      </w:r>
      <w:r w:rsidR="008C1D20">
        <w:rPr>
          <w:color w:val="auto"/>
          <w:sz w:val="23"/>
          <w:szCs w:val="23"/>
        </w:rPr>
        <w:t>.</w:t>
      </w:r>
      <w:r w:rsidR="001C3C9F">
        <w:rPr>
          <w:color w:val="auto"/>
          <w:sz w:val="23"/>
          <w:szCs w:val="23"/>
        </w:rPr>
        <w:t xml:space="preserve"> </w:t>
      </w:r>
    </w:p>
    <w:p w:rsidR="008C1D20" w:rsidRDefault="001C36DC" w:rsidP="00AA7B53">
      <w:pPr>
        <w:pStyle w:val="Default"/>
        <w:spacing w:before="200"/>
        <w:rPr>
          <w:color w:val="auto"/>
          <w:sz w:val="23"/>
          <w:szCs w:val="23"/>
        </w:rPr>
      </w:pPr>
      <w:r>
        <w:rPr>
          <w:color w:val="auto"/>
          <w:sz w:val="23"/>
          <w:szCs w:val="23"/>
        </w:rPr>
        <w:t xml:space="preserve">Subsection </w:t>
      </w:r>
      <w:r w:rsidR="00D03930">
        <w:rPr>
          <w:color w:val="auto"/>
          <w:sz w:val="23"/>
          <w:szCs w:val="23"/>
        </w:rPr>
        <w:t>5</w:t>
      </w:r>
      <w:r w:rsidR="00300F45">
        <w:rPr>
          <w:color w:val="auto"/>
          <w:sz w:val="23"/>
          <w:szCs w:val="23"/>
        </w:rPr>
        <w:t xml:space="preserve">(3) of </w:t>
      </w:r>
      <w:r w:rsidR="00781DCB">
        <w:rPr>
          <w:color w:val="auto"/>
          <w:sz w:val="23"/>
          <w:szCs w:val="23"/>
        </w:rPr>
        <w:t xml:space="preserve">the instrument </w:t>
      </w:r>
      <w:r w:rsidR="00300F45">
        <w:rPr>
          <w:color w:val="auto"/>
          <w:sz w:val="23"/>
          <w:szCs w:val="23"/>
        </w:rPr>
        <w:t>modifies reg</w:t>
      </w:r>
      <w:r w:rsidR="004F35BB">
        <w:rPr>
          <w:color w:val="auto"/>
          <w:sz w:val="23"/>
          <w:szCs w:val="23"/>
        </w:rPr>
        <w:t>ulation</w:t>
      </w:r>
      <w:r w:rsidR="00300F45">
        <w:rPr>
          <w:color w:val="auto"/>
          <w:sz w:val="23"/>
          <w:szCs w:val="23"/>
        </w:rPr>
        <w:t xml:space="preserve"> 7.7.01</w:t>
      </w:r>
      <w:r w:rsidR="004F35BB">
        <w:rPr>
          <w:color w:val="auto"/>
          <w:sz w:val="23"/>
          <w:szCs w:val="23"/>
        </w:rPr>
        <w:t xml:space="preserve"> of the Regulations</w:t>
      </w:r>
      <w:r w:rsidR="00300F45">
        <w:rPr>
          <w:color w:val="auto"/>
          <w:sz w:val="23"/>
          <w:szCs w:val="23"/>
        </w:rPr>
        <w:t xml:space="preserve"> </w:t>
      </w:r>
      <w:r w:rsidR="00224079">
        <w:rPr>
          <w:color w:val="auto"/>
          <w:sz w:val="23"/>
          <w:szCs w:val="23"/>
        </w:rPr>
        <w:t xml:space="preserve">to include a Supplementary </w:t>
      </w:r>
      <w:proofErr w:type="spellStart"/>
      <w:r w:rsidR="00224079">
        <w:rPr>
          <w:color w:val="auto"/>
          <w:sz w:val="23"/>
          <w:szCs w:val="23"/>
        </w:rPr>
        <w:t>FSG</w:t>
      </w:r>
      <w:proofErr w:type="spellEnd"/>
      <w:r w:rsidR="00224079">
        <w:rPr>
          <w:color w:val="auto"/>
          <w:sz w:val="23"/>
          <w:szCs w:val="23"/>
        </w:rPr>
        <w:t xml:space="preserve"> in addition to an </w:t>
      </w:r>
      <w:proofErr w:type="spellStart"/>
      <w:r w:rsidR="00224079">
        <w:rPr>
          <w:color w:val="auto"/>
          <w:sz w:val="23"/>
          <w:szCs w:val="23"/>
        </w:rPr>
        <w:t>FSG</w:t>
      </w:r>
      <w:proofErr w:type="spellEnd"/>
      <w:r w:rsidR="00A91570">
        <w:rPr>
          <w:color w:val="auto"/>
          <w:sz w:val="23"/>
          <w:szCs w:val="23"/>
        </w:rPr>
        <w:t>.</w:t>
      </w:r>
    </w:p>
    <w:p w:rsidR="002E7B36" w:rsidRPr="00942C33" w:rsidRDefault="001C3C9F" w:rsidP="00AA7B53">
      <w:pPr>
        <w:pStyle w:val="Default"/>
        <w:spacing w:before="200"/>
        <w:rPr>
          <w:strike/>
          <w:color w:val="auto"/>
          <w:sz w:val="23"/>
          <w:szCs w:val="23"/>
        </w:rPr>
      </w:pPr>
      <w:r>
        <w:rPr>
          <w:color w:val="auto"/>
          <w:sz w:val="23"/>
          <w:szCs w:val="23"/>
        </w:rPr>
        <w:t>Sub</w:t>
      </w:r>
      <w:r w:rsidR="001C36DC">
        <w:rPr>
          <w:color w:val="auto"/>
          <w:sz w:val="23"/>
          <w:szCs w:val="23"/>
        </w:rPr>
        <w:t>section</w:t>
      </w:r>
      <w:r w:rsidR="00D03930">
        <w:rPr>
          <w:color w:val="auto"/>
          <w:sz w:val="23"/>
          <w:szCs w:val="23"/>
        </w:rPr>
        <w:t xml:space="preserve"> 5</w:t>
      </w:r>
      <w:r>
        <w:rPr>
          <w:color w:val="auto"/>
          <w:sz w:val="23"/>
          <w:szCs w:val="23"/>
        </w:rPr>
        <w:t xml:space="preserve">(4) of </w:t>
      </w:r>
      <w:r w:rsidR="00781DCB">
        <w:rPr>
          <w:color w:val="auto"/>
          <w:sz w:val="23"/>
          <w:szCs w:val="23"/>
        </w:rPr>
        <w:t>the instrument</w:t>
      </w:r>
      <w:r>
        <w:rPr>
          <w:color w:val="auto"/>
          <w:sz w:val="23"/>
          <w:szCs w:val="23"/>
        </w:rPr>
        <w:t xml:space="preserve"> modifies s</w:t>
      </w:r>
      <w:r w:rsidR="009F2A18">
        <w:rPr>
          <w:color w:val="auto"/>
          <w:sz w:val="23"/>
          <w:szCs w:val="23"/>
        </w:rPr>
        <w:t xml:space="preserve">ubsection </w:t>
      </w:r>
      <w:r>
        <w:rPr>
          <w:color w:val="auto"/>
          <w:sz w:val="23"/>
          <w:szCs w:val="23"/>
        </w:rPr>
        <w:t xml:space="preserve">1015C(1) of the Act to </w:t>
      </w:r>
      <w:r w:rsidR="00942C33">
        <w:rPr>
          <w:color w:val="auto"/>
          <w:sz w:val="23"/>
          <w:szCs w:val="23"/>
        </w:rPr>
        <w:t xml:space="preserve">additionally </w:t>
      </w:r>
      <w:r>
        <w:rPr>
          <w:color w:val="auto"/>
          <w:sz w:val="23"/>
          <w:szCs w:val="23"/>
        </w:rPr>
        <w:t>provide</w:t>
      </w:r>
      <w:r w:rsidR="00224079">
        <w:rPr>
          <w:color w:val="auto"/>
          <w:sz w:val="23"/>
          <w:szCs w:val="23"/>
        </w:rPr>
        <w:t xml:space="preserve"> </w:t>
      </w:r>
      <w:r w:rsidR="0040159C">
        <w:rPr>
          <w:color w:val="auto"/>
          <w:sz w:val="23"/>
          <w:szCs w:val="23"/>
        </w:rPr>
        <w:t xml:space="preserve">that a provider may </w:t>
      </w:r>
      <w:r w:rsidR="00B2251F">
        <w:rPr>
          <w:color w:val="auto"/>
          <w:sz w:val="23"/>
          <w:szCs w:val="23"/>
        </w:rPr>
        <w:t xml:space="preserve">make available </w:t>
      </w:r>
      <w:r w:rsidR="0040159C">
        <w:rPr>
          <w:color w:val="auto"/>
          <w:sz w:val="23"/>
          <w:szCs w:val="23"/>
        </w:rPr>
        <w:t xml:space="preserve">a </w:t>
      </w:r>
      <w:proofErr w:type="spellStart"/>
      <w:r w:rsidR="0040159C">
        <w:rPr>
          <w:color w:val="auto"/>
          <w:sz w:val="23"/>
          <w:szCs w:val="23"/>
        </w:rPr>
        <w:t>PDS</w:t>
      </w:r>
      <w:proofErr w:type="spellEnd"/>
      <w:r w:rsidR="0040159C">
        <w:rPr>
          <w:color w:val="auto"/>
          <w:sz w:val="23"/>
          <w:szCs w:val="23"/>
        </w:rPr>
        <w:t xml:space="preserve"> to </w:t>
      </w:r>
      <w:r w:rsidR="00716A6D">
        <w:rPr>
          <w:color w:val="auto"/>
          <w:sz w:val="23"/>
          <w:szCs w:val="23"/>
        </w:rPr>
        <w:t>a client, or a</w:t>
      </w:r>
      <w:r w:rsidR="0040159C">
        <w:rPr>
          <w:color w:val="auto"/>
          <w:sz w:val="23"/>
          <w:szCs w:val="23"/>
        </w:rPr>
        <w:t xml:space="preserve"> client</w:t>
      </w:r>
      <w:r w:rsidR="009D2D34">
        <w:rPr>
          <w:color w:val="auto"/>
          <w:sz w:val="23"/>
          <w:szCs w:val="23"/>
        </w:rPr>
        <w:t>’</w:t>
      </w:r>
      <w:r w:rsidR="0040159C">
        <w:rPr>
          <w:color w:val="auto"/>
          <w:sz w:val="23"/>
          <w:szCs w:val="23"/>
        </w:rPr>
        <w:t xml:space="preserve">s agent, by a nominated electronic means. </w:t>
      </w:r>
    </w:p>
    <w:p w:rsidR="00716A6D" w:rsidRDefault="001C36DC" w:rsidP="00716A6D">
      <w:pPr>
        <w:pStyle w:val="Default"/>
        <w:spacing w:before="200"/>
        <w:rPr>
          <w:color w:val="auto"/>
          <w:sz w:val="23"/>
          <w:szCs w:val="23"/>
        </w:rPr>
      </w:pPr>
      <w:r>
        <w:rPr>
          <w:color w:val="auto"/>
          <w:sz w:val="23"/>
          <w:szCs w:val="23"/>
        </w:rPr>
        <w:t xml:space="preserve">Subsection </w:t>
      </w:r>
      <w:r w:rsidR="00D03930">
        <w:rPr>
          <w:color w:val="auto"/>
          <w:sz w:val="23"/>
          <w:szCs w:val="23"/>
        </w:rPr>
        <w:t>5</w:t>
      </w:r>
      <w:r w:rsidR="00716A6D">
        <w:rPr>
          <w:color w:val="auto"/>
          <w:sz w:val="23"/>
          <w:szCs w:val="23"/>
        </w:rPr>
        <w:t xml:space="preserve">(6) of </w:t>
      </w:r>
      <w:r w:rsidR="00781DCB">
        <w:rPr>
          <w:color w:val="auto"/>
          <w:sz w:val="23"/>
          <w:szCs w:val="23"/>
        </w:rPr>
        <w:t xml:space="preserve">the instrument </w:t>
      </w:r>
      <w:r w:rsidR="00716A6D">
        <w:rPr>
          <w:color w:val="auto"/>
          <w:sz w:val="23"/>
          <w:szCs w:val="23"/>
        </w:rPr>
        <w:t>modifies s</w:t>
      </w:r>
      <w:r w:rsidR="006E6CF3">
        <w:rPr>
          <w:color w:val="auto"/>
          <w:sz w:val="23"/>
          <w:szCs w:val="23"/>
        </w:rPr>
        <w:t xml:space="preserve">ubsection </w:t>
      </w:r>
      <w:r w:rsidR="00716A6D">
        <w:rPr>
          <w:color w:val="auto"/>
          <w:sz w:val="23"/>
          <w:szCs w:val="23"/>
        </w:rPr>
        <w:t xml:space="preserve">1020AK(1) of the Act to </w:t>
      </w:r>
      <w:r w:rsidR="00942C33">
        <w:rPr>
          <w:color w:val="auto"/>
          <w:sz w:val="23"/>
          <w:szCs w:val="23"/>
        </w:rPr>
        <w:t xml:space="preserve">additionally </w:t>
      </w:r>
      <w:r w:rsidR="00716A6D">
        <w:rPr>
          <w:color w:val="auto"/>
          <w:sz w:val="23"/>
          <w:szCs w:val="23"/>
        </w:rPr>
        <w:t xml:space="preserve">provide that a provider may make available a </w:t>
      </w:r>
      <w:proofErr w:type="spellStart"/>
      <w:r w:rsidR="00716A6D">
        <w:rPr>
          <w:color w:val="auto"/>
          <w:sz w:val="23"/>
          <w:szCs w:val="23"/>
        </w:rPr>
        <w:t>CGS</w:t>
      </w:r>
      <w:proofErr w:type="spellEnd"/>
      <w:r w:rsidR="00716A6D">
        <w:rPr>
          <w:color w:val="auto"/>
          <w:sz w:val="23"/>
          <w:szCs w:val="23"/>
        </w:rPr>
        <w:t xml:space="preserve"> </w:t>
      </w:r>
      <w:r w:rsidR="00A91570">
        <w:rPr>
          <w:color w:val="auto"/>
          <w:sz w:val="23"/>
          <w:szCs w:val="23"/>
        </w:rPr>
        <w:t>d</w:t>
      </w:r>
      <w:r w:rsidR="00716A6D">
        <w:rPr>
          <w:color w:val="auto"/>
          <w:sz w:val="23"/>
          <w:szCs w:val="23"/>
        </w:rPr>
        <w:t xml:space="preserve">epository </w:t>
      </w:r>
      <w:r w:rsidR="00A91570">
        <w:rPr>
          <w:color w:val="auto"/>
          <w:sz w:val="23"/>
          <w:szCs w:val="23"/>
        </w:rPr>
        <w:t>i</w:t>
      </w:r>
      <w:r w:rsidR="00716A6D">
        <w:rPr>
          <w:color w:val="auto"/>
          <w:sz w:val="23"/>
          <w:szCs w:val="23"/>
        </w:rPr>
        <w:t xml:space="preserve">nterest </w:t>
      </w:r>
      <w:r w:rsidR="00A91570">
        <w:rPr>
          <w:color w:val="auto"/>
          <w:sz w:val="23"/>
          <w:szCs w:val="23"/>
        </w:rPr>
        <w:t>i</w:t>
      </w:r>
      <w:r w:rsidR="00716A6D">
        <w:rPr>
          <w:color w:val="auto"/>
          <w:sz w:val="23"/>
          <w:szCs w:val="23"/>
        </w:rPr>
        <w:t xml:space="preserve">nformation </w:t>
      </w:r>
      <w:r w:rsidR="00A91570">
        <w:rPr>
          <w:color w:val="auto"/>
          <w:sz w:val="23"/>
          <w:szCs w:val="23"/>
        </w:rPr>
        <w:t>s</w:t>
      </w:r>
      <w:r w:rsidR="00716A6D">
        <w:rPr>
          <w:color w:val="auto"/>
          <w:sz w:val="23"/>
          <w:szCs w:val="23"/>
        </w:rPr>
        <w:t xml:space="preserve">tatement </w:t>
      </w:r>
      <w:r w:rsidR="009D2D34">
        <w:rPr>
          <w:color w:val="auto"/>
          <w:sz w:val="23"/>
          <w:szCs w:val="23"/>
        </w:rPr>
        <w:t>‘’</w:t>
      </w:r>
      <w:r w:rsidR="00716A6D">
        <w:rPr>
          <w:color w:val="auto"/>
          <w:sz w:val="23"/>
          <w:szCs w:val="23"/>
        </w:rPr>
        <w:t>to a client, or a client</w:t>
      </w:r>
      <w:r w:rsidR="009D2D34">
        <w:rPr>
          <w:color w:val="auto"/>
          <w:sz w:val="23"/>
          <w:szCs w:val="23"/>
        </w:rPr>
        <w:t>’</w:t>
      </w:r>
      <w:r w:rsidR="00716A6D">
        <w:rPr>
          <w:color w:val="auto"/>
          <w:sz w:val="23"/>
          <w:szCs w:val="23"/>
        </w:rPr>
        <w:t>s agent, by nominated electronic means.</w:t>
      </w:r>
      <w:r w:rsidR="00E65283">
        <w:rPr>
          <w:color w:val="auto"/>
          <w:sz w:val="23"/>
          <w:szCs w:val="23"/>
        </w:rPr>
        <w:t xml:space="preserve"> </w:t>
      </w:r>
      <w:r w:rsidR="00781DCB">
        <w:rPr>
          <w:color w:val="auto"/>
          <w:sz w:val="23"/>
          <w:szCs w:val="23"/>
        </w:rPr>
        <w:t xml:space="preserve">It </w:t>
      </w:r>
      <w:r w:rsidR="00781DCB" w:rsidRPr="00781DCB">
        <w:rPr>
          <w:color w:val="auto"/>
          <w:sz w:val="23"/>
          <w:szCs w:val="23"/>
        </w:rPr>
        <w:t>also allows the statement to be given by any way that is agreed that allows the regulated person to be satisfied on reasonable grounds that the statement has been received</w:t>
      </w:r>
      <w:r w:rsidR="00781DCB">
        <w:rPr>
          <w:color w:val="auto"/>
          <w:sz w:val="23"/>
          <w:szCs w:val="23"/>
        </w:rPr>
        <w:t xml:space="preserve">, to align the treatment of </w:t>
      </w:r>
      <w:proofErr w:type="spellStart"/>
      <w:r w:rsidR="00781DCB">
        <w:rPr>
          <w:color w:val="auto"/>
          <w:sz w:val="23"/>
          <w:szCs w:val="23"/>
        </w:rPr>
        <w:t>CGS</w:t>
      </w:r>
      <w:proofErr w:type="spellEnd"/>
      <w:r w:rsidR="00781DCB">
        <w:rPr>
          <w:color w:val="auto"/>
          <w:sz w:val="23"/>
          <w:szCs w:val="23"/>
        </w:rPr>
        <w:t xml:space="preserve"> Depository Interest Information Statements with other disclosures. </w:t>
      </w:r>
      <w:r w:rsidR="00781DCB" w:rsidRPr="00781DCB" w:rsidDel="00781DCB">
        <w:rPr>
          <w:color w:val="auto"/>
          <w:sz w:val="23"/>
          <w:szCs w:val="23"/>
        </w:rPr>
        <w:t xml:space="preserve"> </w:t>
      </w:r>
    </w:p>
    <w:p w:rsidR="00AB617A" w:rsidRDefault="00781DCB" w:rsidP="00AB617A">
      <w:pPr>
        <w:pStyle w:val="Default"/>
        <w:spacing w:before="200"/>
        <w:rPr>
          <w:color w:val="auto"/>
          <w:sz w:val="23"/>
          <w:szCs w:val="23"/>
        </w:rPr>
      </w:pPr>
      <w:r>
        <w:rPr>
          <w:color w:val="auto"/>
          <w:sz w:val="23"/>
          <w:szCs w:val="23"/>
        </w:rPr>
        <w:t xml:space="preserve">Subsection </w:t>
      </w:r>
      <w:r w:rsidR="00D03930">
        <w:rPr>
          <w:color w:val="auto"/>
          <w:sz w:val="23"/>
          <w:szCs w:val="23"/>
        </w:rPr>
        <w:t>5</w:t>
      </w:r>
      <w:r w:rsidR="00AB617A">
        <w:rPr>
          <w:color w:val="auto"/>
          <w:sz w:val="23"/>
          <w:szCs w:val="23"/>
        </w:rPr>
        <w:t>(7) of</w:t>
      </w:r>
      <w:r w:rsidR="00E65283">
        <w:rPr>
          <w:color w:val="auto"/>
          <w:sz w:val="23"/>
          <w:szCs w:val="23"/>
        </w:rPr>
        <w:t xml:space="preserve"> </w:t>
      </w:r>
      <w:r>
        <w:rPr>
          <w:color w:val="auto"/>
          <w:sz w:val="23"/>
          <w:szCs w:val="23"/>
        </w:rPr>
        <w:t>the instrument</w:t>
      </w:r>
      <w:r w:rsidR="00AB617A">
        <w:rPr>
          <w:color w:val="auto"/>
          <w:sz w:val="23"/>
          <w:szCs w:val="23"/>
        </w:rPr>
        <w:t xml:space="preserve"> modifies s</w:t>
      </w:r>
      <w:r w:rsidR="006E6CF3">
        <w:rPr>
          <w:color w:val="auto"/>
          <w:sz w:val="23"/>
          <w:szCs w:val="23"/>
        </w:rPr>
        <w:t xml:space="preserve">ubsection </w:t>
      </w:r>
      <w:r w:rsidR="00AB617A">
        <w:rPr>
          <w:color w:val="auto"/>
          <w:sz w:val="23"/>
          <w:szCs w:val="23"/>
        </w:rPr>
        <w:t xml:space="preserve">1017A(4) of the Act to provide that a provider may make available </w:t>
      </w:r>
      <w:r w:rsidR="004314DE">
        <w:rPr>
          <w:color w:val="auto"/>
          <w:sz w:val="23"/>
          <w:szCs w:val="23"/>
        </w:rPr>
        <w:t xml:space="preserve">further information about the product on request by </w:t>
      </w:r>
      <w:r w:rsidR="00AB617A">
        <w:rPr>
          <w:color w:val="auto"/>
          <w:sz w:val="23"/>
          <w:szCs w:val="23"/>
        </w:rPr>
        <w:t>nominated electronic means.</w:t>
      </w:r>
    </w:p>
    <w:p w:rsidR="00961D58" w:rsidRDefault="00961D58" w:rsidP="00961D58">
      <w:pPr>
        <w:pStyle w:val="Default"/>
        <w:spacing w:before="200"/>
        <w:rPr>
          <w:color w:val="auto"/>
          <w:sz w:val="23"/>
          <w:szCs w:val="23"/>
        </w:rPr>
      </w:pPr>
      <w:r>
        <w:rPr>
          <w:color w:val="auto"/>
          <w:sz w:val="23"/>
          <w:szCs w:val="23"/>
        </w:rPr>
        <w:t>Sub</w:t>
      </w:r>
      <w:r w:rsidR="00781DCB">
        <w:rPr>
          <w:color w:val="auto"/>
          <w:sz w:val="23"/>
          <w:szCs w:val="23"/>
        </w:rPr>
        <w:t>section</w:t>
      </w:r>
      <w:r w:rsidR="00D03930">
        <w:rPr>
          <w:color w:val="auto"/>
          <w:sz w:val="23"/>
          <w:szCs w:val="23"/>
        </w:rPr>
        <w:t xml:space="preserve"> 5</w:t>
      </w:r>
      <w:r>
        <w:rPr>
          <w:color w:val="auto"/>
          <w:sz w:val="23"/>
          <w:szCs w:val="23"/>
        </w:rPr>
        <w:t xml:space="preserve">(8) of </w:t>
      </w:r>
      <w:r w:rsidR="00781DCB">
        <w:rPr>
          <w:color w:val="auto"/>
          <w:sz w:val="23"/>
          <w:szCs w:val="23"/>
        </w:rPr>
        <w:t xml:space="preserve">the instrument </w:t>
      </w:r>
      <w:r>
        <w:rPr>
          <w:color w:val="auto"/>
          <w:sz w:val="23"/>
          <w:szCs w:val="23"/>
        </w:rPr>
        <w:t>modifies reg</w:t>
      </w:r>
      <w:r w:rsidR="006E6CF3">
        <w:rPr>
          <w:color w:val="auto"/>
          <w:sz w:val="23"/>
          <w:szCs w:val="23"/>
        </w:rPr>
        <w:t>ulation</w:t>
      </w:r>
      <w:r>
        <w:rPr>
          <w:color w:val="auto"/>
          <w:sz w:val="23"/>
          <w:szCs w:val="23"/>
        </w:rPr>
        <w:t xml:space="preserve"> 7.9.75A </w:t>
      </w:r>
      <w:r w:rsidR="006E6CF3">
        <w:rPr>
          <w:color w:val="auto"/>
          <w:sz w:val="23"/>
          <w:szCs w:val="23"/>
        </w:rPr>
        <w:t xml:space="preserve">of the Regulations </w:t>
      </w:r>
      <w:r>
        <w:rPr>
          <w:color w:val="auto"/>
          <w:sz w:val="23"/>
          <w:szCs w:val="23"/>
        </w:rPr>
        <w:t xml:space="preserve">to provide that a product issuer may make ongoing disclosure of material changes and significant events in relation to the product by </w:t>
      </w:r>
      <w:r w:rsidR="008E0819">
        <w:rPr>
          <w:color w:val="auto"/>
          <w:sz w:val="23"/>
          <w:szCs w:val="23"/>
        </w:rPr>
        <w:t>nominated electronic</w:t>
      </w:r>
      <w:r>
        <w:rPr>
          <w:color w:val="auto"/>
          <w:sz w:val="23"/>
          <w:szCs w:val="23"/>
        </w:rPr>
        <w:t xml:space="preserve"> means. </w:t>
      </w:r>
      <w:r w:rsidR="006F7D26">
        <w:rPr>
          <w:color w:val="auto"/>
          <w:sz w:val="23"/>
          <w:szCs w:val="23"/>
        </w:rPr>
        <w:t xml:space="preserve">Periodic Statements and additional information required to be provided by trustees of superannuation entities </w:t>
      </w:r>
      <w:r w:rsidR="001229C5">
        <w:rPr>
          <w:color w:val="auto"/>
          <w:sz w:val="23"/>
          <w:szCs w:val="23"/>
        </w:rPr>
        <w:t xml:space="preserve">under paragraphs 1017DA(1) and (2) of the Act </w:t>
      </w:r>
      <w:r w:rsidR="006F7D26">
        <w:rPr>
          <w:color w:val="auto"/>
          <w:sz w:val="23"/>
          <w:szCs w:val="23"/>
        </w:rPr>
        <w:t>may also be made available to a client or a client</w:t>
      </w:r>
      <w:r w:rsidR="009D2D34">
        <w:rPr>
          <w:color w:val="auto"/>
          <w:sz w:val="23"/>
          <w:szCs w:val="23"/>
        </w:rPr>
        <w:t>’</w:t>
      </w:r>
      <w:r w:rsidR="006F7D26">
        <w:rPr>
          <w:color w:val="auto"/>
          <w:sz w:val="23"/>
          <w:szCs w:val="23"/>
        </w:rPr>
        <w:t xml:space="preserve">s agent by nominated electronic means. </w:t>
      </w:r>
    </w:p>
    <w:p w:rsidR="00961D58" w:rsidRDefault="00781DCB" w:rsidP="00961D58">
      <w:pPr>
        <w:pStyle w:val="Default"/>
        <w:spacing w:before="200"/>
        <w:rPr>
          <w:color w:val="auto"/>
          <w:sz w:val="23"/>
          <w:szCs w:val="23"/>
        </w:rPr>
      </w:pPr>
      <w:r>
        <w:rPr>
          <w:color w:val="auto"/>
          <w:sz w:val="23"/>
          <w:szCs w:val="23"/>
        </w:rPr>
        <w:t xml:space="preserve">Subsection </w:t>
      </w:r>
      <w:r w:rsidR="00D03930">
        <w:rPr>
          <w:color w:val="auto"/>
          <w:sz w:val="23"/>
          <w:szCs w:val="23"/>
        </w:rPr>
        <w:t>5</w:t>
      </w:r>
      <w:r w:rsidR="004E2D25">
        <w:rPr>
          <w:color w:val="auto"/>
          <w:sz w:val="23"/>
          <w:szCs w:val="23"/>
        </w:rPr>
        <w:t xml:space="preserve">(9) of </w:t>
      </w:r>
      <w:r>
        <w:rPr>
          <w:color w:val="auto"/>
          <w:sz w:val="23"/>
          <w:szCs w:val="23"/>
        </w:rPr>
        <w:t>the instrument</w:t>
      </w:r>
      <w:r w:rsidR="004E2D25">
        <w:rPr>
          <w:color w:val="auto"/>
          <w:sz w:val="23"/>
          <w:szCs w:val="23"/>
        </w:rPr>
        <w:t xml:space="preserve"> modifies </w:t>
      </w:r>
      <w:r w:rsidR="006E6CF3">
        <w:rPr>
          <w:color w:val="auto"/>
          <w:sz w:val="23"/>
          <w:szCs w:val="23"/>
        </w:rPr>
        <w:t xml:space="preserve">the Regulations </w:t>
      </w:r>
      <w:r w:rsidR="004E2D25">
        <w:rPr>
          <w:color w:val="auto"/>
          <w:sz w:val="23"/>
          <w:szCs w:val="23"/>
        </w:rPr>
        <w:t xml:space="preserve">to provide that a trustee of a standard employee sponsored superannuation fund may send </w:t>
      </w:r>
      <w:r w:rsidR="00D03930">
        <w:rPr>
          <w:color w:val="auto"/>
          <w:sz w:val="23"/>
          <w:szCs w:val="23"/>
        </w:rPr>
        <w:t>disclosures</w:t>
      </w:r>
      <w:r w:rsidR="004E2D25">
        <w:rPr>
          <w:color w:val="auto"/>
          <w:sz w:val="23"/>
          <w:szCs w:val="23"/>
        </w:rPr>
        <w:t xml:space="preserve"> to an electronic address provided by the (member) client</w:t>
      </w:r>
      <w:r w:rsidR="009D2D34">
        <w:rPr>
          <w:color w:val="auto"/>
          <w:sz w:val="23"/>
          <w:szCs w:val="23"/>
        </w:rPr>
        <w:t>’</w:t>
      </w:r>
      <w:r w:rsidR="004E2D25">
        <w:rPr>
          <w:color w:val="auto"/>
          <w:sz w:val="23"/>
          <w:szCs w:val="23"/>
        </w:rPr>
        <w:t>s employer</w:t>
      </w:r>
      <w:r w:rsidR="008F16C3">
        <w:rPr>
          <w:color w:val="auto"/>
          <w:sz w:val="23"/>
          <w:szCs w:val="23"/>
        </w:rPr>
        <w:t>,</w:t>
      </w:r>
      <w:r w:rsidR="004E2D25">
        <w:rPr>
          <w:color w:val="auto"/>
          <w:sz w:val="23"/>
          <w:szCs w:val="23"/>
        </w:rPr>
        <w:t xml:space="preserve"> provided all of the following are satisfied:</w:t>
      </w:r>
    </w:p>
    <w:p w:rsidR="004E2D25" w:rsidRDefault="004E2D25" w:rsidP="004E2D25">
      <w:pPr>
        <w:pStyle w:val="Default"/>
        <w:numPr>
          <w:ilvl w:val="0"/>
          <w:numId w:val="3"/>
        </w:numPr>
        <w:spacing w:before="200"/>
        <w:rPr>
          <w:color w:val="auto"/>
          <w:sz w:val="23"/>
          <w:szCs w:val="23"/>
        </w:rPr>
      </w:pPr>
      <w:r>
        <w:rPr>
          <w:color w:val="auto"/>
          <w:sz w:val="23"/>
          <w:szCs w:val="23"/>
        </w:rPr>
        <w:t xml:space="preserve">the employer provided the electronic address </w:t>
      </w:r>
      <w:r w:rsidR="008F16C3">
        <w:rPr>
          <w:color w:val="auto"/>
          <w:sz w:val="23"/>
          <w:szCs w:val="23"/>
        </w:rPr>
        <w:t xml:space="preserve">to the trustee </w:t>
      </w:r>
      <w:r>
        <w:rPr>
          <w:color w:val="auto"/>
          <w:sz w:val="23"/>
          <w:szCs w:val="23"/>
        </w:rPr>
        <w:t xml:space="preserve">as part of providing contact details for the client in relation to membership of the superannuation fund; </w:t>
      </w:r>
    </w:p>
    <w:p w:rsidR="00781DCB" w:rsidRDefault="004E2D25" w:rsidP="003046AF">
      <w:pPr>
        <w:pStyle w:val="Default"/>
        <w:numPr>
          <w:ilvl w:val="0"/>
          <w:numId w:val="3"/>
        </w:numPr>
        <w:spacing w:before="200"/>
        <w:rPr>
          <w:color w:val="auto"/>
          <w:sz w:val="23"/>
          <w:szCs w:val="23"/>
        </w:rPr>
      </w:pPr>
      <w:r>
        <w:rPr>
          <w:color w:val="auto"/>
          <w:sz w:val="23"/>
          <w:szCs w:val="23"/>
        </w:rPr>
        <w:t xml:space="preserve">the trustee gives the client reasonable opportunity to request an alternative method of receiving the </w:t>
      </w:r>
      <w:proofErr w:type="spellStart"/>
      <w:r>
        <w:rPr>
          <w:color w:val="auto"/>
          <w:sz w:val="23"/>
          <w:szCs w:val="23"/>
        </w:rPr>
        <w:t>PDS</w:t>
      </w:r>
      <w:proofErr w:type="spellEnd"/>
      <w:r>
        <w:rPr>
          <w:color w:val="auto"/>
          <w:sz w:val="23"/>
          <w:szCs w:val="23"/>
        </w:rPr>
        <w:t xml:space="preserve">; </w:t>
      </w:r>
      <w:r w:rsidR="003046AF">
        <w:rPr>
          <w:color w:val="auto"/>
          <w:sz w:val="23"/>
          <w:szCs w:val="23"/>
        </w:rPr>
        <w:t xml:space="preserve"> and</w:t>
      </w:r>
    </w:p>
    <w:p w:rsidR="003046AF" w:rsidRPr="003046AF" w:rsidRDefault="003046AF" w:rsidP="003046AF">
      <w:pPr>
        <w:pStyle w:val="Default"/>
        <w:numPr>
          <w:ilvl w:val="0"/>
          <w:numId w:val="3"/>
        </w:numPr>
        <w:spacing w:before="200"/>
        <w:rPr>
          <w:color w:val="auto"/>
          <w:sz w:val="23"/>
          <w:szCs w:val="23"/>
        </w:rPr>
      </w:pPr>
      <w:r>
        <w:rPr>
          <w:color w:val="auto"/>
          <w:sz w:val="23"/>
          <w:szCs w:val="23"/>
        </w:rPr>
        <w:lastRenderedPageBreak/>
        <w:t xml:space="preserve">the trustee has no reasonable grounds to believe that the address is not a current address, and has no reason to form that such a view within 14 days of sending the notice. </w:t>
      </w:r>
    </w:p>
    <w:p w:rsidR="00487056" w:rsidRDefault="00487056" w:rsidP="00BC5C19">
      <w:pPr>
        <w:autoSpaceDE w:val="0"/>
        <w:autoSpaceDN w:val="0"/>
        <w:adjustRightInd w:val="0"/>
        <w:spacing w:after="0" w:line="240" w:lineRule="auto"/>
        <w:rPr>
          <w:rFonts w:ascii="Arial" w:hAnsi="Arial" w:cs="Arial"/>
          <w:b/>
          <w:bCs/>
        </w:rPr>
      </w:pPr>
    </w:p>
    <w:p w:rsidR="00D03930" w:rsidRDefault="00487056" w:rsidP="00BC5C19">
      <w:pPr>
        <w:autoSpaceDE w:val="0"/>
        <w:autoSpaceDN w:val="0"/>
        <w:adjustRightInd w:val="0"/>
        <w:spacing w:after="0" w:line="240" w:lineRule="auto"/>
        <w:rPr>
          <w:rFonts w:ascii="Arial" w:hAnsi="Arial" w:cs="Arial"/>
          <w:b/>
          <w:bCs/>
        </w:rPr>
      </w:pPr>
      <w:r>
        <w:rPr>
          <w:rFonts w:ascii="Arial" w:hAnsi="Arial" w:cs="Arial"/>
          <w:b/>
          <w:bCs/>
        </w:rPr>
        <w:t>Repealing instrument: Schedule 1</w:t>
      </w:r>
    </w:p>
    <w:p w:rsidR="00487056" w:rsidRPr="00487056" w:rsidRDefault="00487056" w:rsidP="00487056">
      <w:pPr>
        <w:pStyle w:val="Default"/>
        <w:spacing w:before="200"/>
        <w:rPr>
          <w:iCs/>
          <w:color w:val="auto"/>
          <w:sz w:val="23"/>
          <w:szCs w:val="23"/>
        </w:rPr>
      </w:pPr>
      <w:r w:rsidRPr="00487056">
        <w:rPr>
          <w:iCs/>
          <w:color w:val="auto"/>
          <w:sz w:val="23"/>
          <w:szCs w:val="23"/>
        </w:rPr>
        <w:t xml:space="preserve">Schedule 1 of the </w:t>
      </w:r>
      <w:r>
        <w:rPr>
          <w:iCs/>
          <w:color w:val="auto"/>
          <w:sz w:val="23"/>
          <w:szCs w:val="23"/>
        </w:rPr>
        <w:t xml:space="preserve">repealing instrument repeals </w:t>
      </w:r>
      <w:proofErr w:type="spellStart"/>
      <w:r>
        <w:rPr>
          <w:iCs/>
          <w:color w:val="auto"/>
          <w:sz w:val="23"/>
          <w:szCs w:val="23"/>
        </w:rPr>
        <w:t>ASIC</w:t>
      </w:r>
      <w:proofErr w:type="spellEnd"/>
      <w:r>
        <w:rPr>
          <w:iCs/>
          <w:color w:val="auto"/>
          <w:sz w:val="23"/>
          <w:szCs w:val="23"/>
        </w:rPr>
        <w:t xml:space="preserve"> Class Order [CO10/1219] which implemented </w:t>
      </w:r>
      <w:proofErr w:type="spellStart"/>
      <w:r>
        <w:rPr>
          <w:iCs/>
          <w:color w:val="auto"/>
          <w:sz w:val="23"/>
          <w:szCs w:val="23"/>
        </w:rPr>
        <w:t>ASIC's</w:t>
      </w:r>
      <w:proofErr w:type="spellEnd"/>
      <w:r>
        <w:rPr>
          <w:iCs/>
          <w:color w:val="auto"/>
          <w:sz w:val="23"/>
          <w:szCs w:val="23"/>
        </w:rPr>
        <w:t xml:space="preserve"> previous policy on facilitating online disclosure. </w:t>
      </w:r>
    </w:p>
    <w:p w:rsidR="00396A50" w:rsidRDefault="00396A50" w:rsidP="00396A50">
      <w:pPr>
        <w:pStyle w:val="Default"/>
        <w:spacing w:before="360" w:after="60"/>
        <w:rPr>
          <w:rFonts w:ascii="Arial" w:hAnsi="Arial" w:cs="Arial"/>
          <w:color w:val="auto"/>
          <w:sz w:val="23"/>
          <w:szCs w:val="23"/>
        </w:rPr>
      </w:pPr>
      <w:r>
        <w:rPr>
          <w:rFonts w:ascii="Arial" w:hAnsi="Arial" w:cs="Arial"/>
          <w:b/>
          <w:bCs/>
          <w:color w:val="auto"/>
          <w:sz w:val="23"/>
          <w:szCs w:val="23"/>
        </w:rPr>
        <w:t xml:space="preserve">4. Documents incorporated by reference </w:t>
      </w:r>
    </w:p>
    <w:p w:rsidR="00396A50" w:rsidRDefault="007C04BF" w:rsidP="00396A50">
      <w:pPr>
        <w:pStyle w:val="Default"/>
        <w:spacing w:before="200"/>
        <w:rPr>
          <w:color w:val="auto"/>
          <w:sz w:val="23"/>
          <w:szCs w:val="23"/>
        </w:rPr>
      </w:pPr>
      <w:r>
        <w:rPr>
          <w:color w:val="auto"/>
          <w:sz w:val="23"/>
          <w:szCs w:val="23"/>
        </w:rPr>
        <w:t>There are no documents incorporated by reference.</w:t>
      </w:r>
      <w:r w:rsidR="00396A50">
        <w:rPr>
          <w:color w:val="auto"/>
          <w:sz w:val="23"/>
          <w:szCs w:val="23"/>
        </w:rPr>
        <w:t xml:space="preserve"> </w:t>
      </w:r>
    </w:p>
    <w:p w:rsidR="00396A50" w:rsidRDefault="00396A50" w:rsidP="00396A50">
      <w:pPr>
        <w:pStyle w:val="Default"/>
        <w:spacing w:before="360" w:after="60"/>
        <w:rPr>
          <w:rFonts w:ascii="Arial" w:hAnsi="Arial" w:cs="Arial"/>
          <w:color w:val="auto"/>
          <w:sz w:val="23"/>
          <w:szCs w:val="23"/>
        </w:rPr>
      </w:pPr>
      <w:r>
        <w:rPr>
          <w:rFonts w:ascii="Arial" w:hAnsi="Arial" w:cs="Arial"/>
          <w:b/>
          <w:bCs/>
          <w:color w:val="auto"/>
          <w:sz w:val="23"/>
          <w:szCs w:val="23"/>
        </w:rPr>
        <w:t xml:space="preserve">5. Consultation </w:t>
      </w:r>
    </w:p>
    <w:p w:rsidR="0024327F" w:rsidRDefault="0024327F" w:rsidP="00396A50">
      <w:pPr>
        <w:pStyle w:val="Default"/>
        <w:spacing w:before="200"/>
      </w:pPr>
      <w:r>
        <w:rPr>
          <w:iCs/>
          <w:color w:val="auto"/>
          <w:sz w:val="23"/>
          <w:szCs w:val="23"/>
        </w:rPr>
        <w:t xml:space="preserve">Before making </w:t>
      </w:r>
      <w:r w:rsidR="003046AF">
        <w:rPr>
          <w:iCs/>
          <w:color w:val="auto"/>
          <w:sz w:val="23"/>
          <w:szCs w:val="23"/>
        </w:rPr>
        <w:t>the instrument</w:t>
      </w:r>
      <w:r w:rsidR="00487056">
        <w:rPr>
          <w:iCs/>
          <w:color w:val="auto"/>
          <w:sz w:val="23"/>
          <w:szCs w:val="23"/>
        </w:rPr>
        <w:t>s</w:t>
      </w:r>
      <w:r w:rsidR="00412CFD">
        <w:rPr>
          <w:iCs/>
          <w:color w:val="auto"/>
          <w:sz w:val="23"/>
          <w:szCs w:val="23"/>
        </w:rPr>
        <w:t xml:space="preserve">, </w:t>
      </w:r>
      <w:proofErr w:type="spellStart"/>
      <w:r>
        <w:rPr>
          <w:iCs/>
          <w:color w:val="auto"/>
          <w:sz w:val="23"/>
          <w:szCs w:val="23"/>
        </w:rPr>
        <w:t>ASIC</w:t>
      </w:r>
      <w:proofErr w:type="spellEnd"/>
      <w:r>
        <w:rPr>
          <w:iCs/>
          <w:color w:val="auto"/>
          <w:sz w:val="23"/>
          <w:szCs w:val="23"/>
        </w:rPr>
        <w:t xml:space="preserve"> consulted with relevant stakeholders on how to further facilitate the </w:t>
      </w:r>
      <w:r>
        <w:t>electronic delivery of financial services disclosure documents.</w:t>
      </w:r>
    </w:p>
    <w:p w:rsidR="0024327F" w:rsidRDefault="0024327F" w:rsidP="00396A50">
      <w:pPr>
        <w:pStyle w:val="Default"/>
        <w:spacing w:before="200"/>
      </w:pPr>
      <w:r>
        <w:t xml:space="preserve">In November 2014, </w:t>
      </w:r>
      <w:proofErr w:type="spellStart"/>
      <w:r>
        <w:t>ASIC</w:t>
      </w:r>
      <w:proofErr w:type="spellEnd"/>
      <w:r>
        <w:t xml:space="preserve"> released Consultation Paper 224 </w:t>
      </w:r>
      <w:r w:rsidRPr="0024327F">
        <w:rPr>
          <w:i/>
        </w:rPr>
        <w:t>Facilitating electronic financial services disclosures</w:t>
      </w:r>
      <w:r>
        <w:t xml:space="preserve"> (</w:t>
      </w:r>
      <w:proofErr w:type="spellStart"/>
      <w:r>
        <w:t>CP</w:t>
      </w:r>
      <w:proofErr w:type="spellEnd"/>
      <w:r>
        <w:t xml:space="preserve"> 224). </w:t>
      </w:r>
      <w:proofErr w:type="spellStart"/>
      <w:r>
        <w:t>ASIC</w:t>
      </w:r>
      <w:proofErr w:type="spellEnd"/>
      <w:r>
        <w:t xml:space="preserve"> received 34 </w:t>
      </w:r>
      <w:r w:rsidR="00796843">
        <w:t>submissions</w:t>
      </w:r>
      <w:r w:rsidR="00827951">
        <w:t xml:space="preserve"> </w:t>
      </w:r>
      <w:r>
        <w:t xml:space="preserve">to the proposals in </w:t>
      </w:r>
      <w:proofErr w:type="spellStart"/>
      <w:r>
        <w:t>CP</w:t>
      </w:r>
      <w:proofErr w:type="spellEnd"/>
      <w:r>
        <w:t xml:space="preserve"> 224 from industry bodies and a wide variety of financial services providers. The majority of proposals were supportive </w:t>
      </w:r>
      <w:r w:rsidR="00B2251F">
        <w:t xml:space="preserve">of </w:t>
      </w:r>
      <w:proofErr w:type="spellStart"/>
      <w:r w:rsidR="00B2251F">
        <w:t>ASIC</w:t>
      </w:r>
      <w:r w:rsidR="009D2D34">
        <w:t>’</w:t>
      </w:r>
      <w:r w:rsidR="00B2251F">
        <w:t>s</w:t>
      </w:r>
      <w:proofErr w:type="spellEnd"/>
      <w:r w:rsidR="00B2251F">
        <w:t xml:space="preserve"> proposal to make digital delivery of financial services disclosure the </w:t>
      </w:r>
      <w:r w:rsidR="009D2D34">
        <w:t>‘</w:t>
      </w:r>
      <w:r w:rsidR="00B2251F">
        <w:t>default</w:t>
      </w:r>
      <w:r w:rsidR="009D2D34">
        <w:t>’</w:t>
      </w:r>
      <w:r w:rsidR="00B2251F">
        <w:t xml:space="preserve"> </w:t>
      </w:r>
      <w:r w:rsidR="00827951">
        <w:t>method of delivery</w:t>
      </w:r>
      <w:r w:rsidR="00B2251F">
        <w:t xml:space="preserve">, while preserving consumer choice by providing </w:t>
      </w:r>
      <w:r w:rsidR="007800D3">
        <w:t xml:space="preserve">clients the </w:t>
      </w:r>
      <w:r w:rsidR="00B2251F">
        <w:t>option to opt out.</w:t>
      </w:r>
    </w:p>
    <w:p w:rsidR="00B2251F" w:rsidRDefault="00113915" w:rsidP="00396A50">
      <w:pPr>
        <w:pStyle w:val="Default"/>
        <w:spacing w:before="200"/>
      </w:pPr>
      <w:r>
        <w:t xml:space="preserve">A Regulatory Impact Statement, approved by </w:t>
      </w:r>
      <w:r w:rsidR="00914AF3">
        <w:t xml:space="preserve">the </w:t>
      </w:r>
      <w:r>
        <w:t>Office of Best Practice Regulation (</w:t>
      </w:r>
      <w:proofErr w:type="spellStart"/>
      <w:r>
        <w:t>OBPR</w:t>
      </w:r>
      <w:proofErr w:type="spellEnd"/>
      <w:r>
        <w:t xml:space="preserve">) and a Feedback Report detailing the various submissions received in relation to the proposals in </w:t>
      </w:r>
      <w:proofErr w:type="spellStart"/>
      <w:r>
        <w:t>CP</w:t>
      </w:r>
      <w:proofErr w:type="spellEnd"/>
      <w:r>
        <w:t xml:space="preserve"> 224 and </w:t>
      </w:r>
      <w:proofErr w:type="spellStart"/>
      <w:r>
        <w:t>ASIC</w:t>
      </w:r>
      <w:r w:rsidR="009D2D34">
        <w:t>’</w:t>
      </w:r>
      <w:r>
        <w:t>s</w:t>
      </w:r>
      <w:proofErr w:type="spellEnd"/>
      <w:r>
        <w:t xml:space="preserve"> response to those submissions, have also been prepared. These documents, together with </w:t>
      </w:r>
      <w:proofErr w:type="spellStart"/>
      <w:r w:rsidR="00B2251F">
        <w:t>CP</w:t>
      </w:r>
      <w:proofErr w:type="spellEnd"/>
      <w:r w:rsidR="00B2251F">
        <w:t xml:space="preserve"> 224 and the non-confidential submissions received </w:t>
      </w:r>
      <w:r>
        <w:t xml:space="preserve">in relation to </w:t>
      </w:r>
      <w:proofErr w:type="spellStart"/>
      <w:r w:rsidR="00B2251F">
        <w:t>CP</w:t>
      </w:r>
      <w:proofErr w:type="spellEnd"/>
      <w:r w:rsidR="00B2251F">
        <w:t xml:space="preserve"> 224</w:t>
      </w:r>
      <w:r w:rsidR="00827951">
        <w:t>,</w:t>
      </w:r>
      <w:r w:rsidR="00B2251F">
        <w:t xml:space="preserve"> can be found on the </w:t>
      </w:r>
      <w:proofErr w:type="spellStart"/>
      <w:r w:rsidR="00B2251F">
        <w:t>ASIC</w:t>
      </w:r>
      <w:proofErr w:type="spellEnd"/>
      <w:r w:rsidR="00B2251F">
        <w:t xml:space="preserve"> website.</w:t>
      </w:r>
    </w:p>
    <w:p w:rsidR="0024327F" w:rsidRDefault="0024327F" w:rsidP="00396A50">
      <w:pPr>
        <w:pStyle w:val="Default"/>
        <w:spacing w:before="200"/>
        <w:rPr>
          <w:color w:val="auto"/>
          <w:sz w:val="23"/>
          <w:szCs w:val="23"/>
        </w:rPr>
      </w:pPr>
    </w:p>
    <w:p w:rsidR="00485FB1" w:rsidRDefault="00485FB1" w:rsidP="00396A50">
      <w:pPr>
        <w:pStyle w:val="Default"/>
        <w:spacing w:before="200"/>
        <w:rPr>
          <w:color w:val="auto"/>
          <w:sz w:val="23"/>
          <w:szCs w:val="23"/>
        </w:rPr>
      </w:pPr>
    </w:p>
    <w:p w:rsidR="00485FB1" w:rsidRDefault="00485FB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AA61F1" w:rsidRDefault="00AA61F1" w:rsidP="00396A50">
      <w:pPr>
        <w:pStyle w:val="Default"/>
        <w:spacing w:before="200"/>
        <w:rPr>
          <w:color w:val="auto"/>
          <w:sz w:val="23"/>
          <w:szCs w:val="23"/>
        </w:rPr>
      </w:pPr>
    </w:p>
    <w:p w:rsidR="00485FB1" w:rsidRDefault="00D03930" w:rsidP="00396A50">
      <w:pPr>
        <w:pStyle w:val="Default"/>
        <w:spacing w:before="200"/>
        <w:rPr>
          <w:color w:val="auto"/>
          <w:sz w:val="23"/>
          <w:szCs w:val="23"/>
        </w:rPr>
      </w:pPr>
      <w:r>
        <w:rPr>
          <w:noProof/>
          <w:lang w:eastAsia="en-AU"/>
        </w:rPr>
        <mc:AlternateContent>
          <mc:Choice Requires="wps">
            <w:drawing>
              <wp:inline distT="0" distB="0" distL="0" distR="0">
                <wp:extent cx="5311140" cy="7458075"/>
                <wp:effectExtent l="38100" t="38100" r="41910" b="4762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458075"/>
                        </a:xfrm>
                        <a:prstGeom prst="rect">
                          <a:avLst/>
                        </a:prstGeom>
                        <a:solidFill>
                          <a:srgbClr val="FFFFFF"/>
                        </a:solidFill>
                        <a:ln w="76200" cmpd="tri">
                          <a:solidFill>
                            <a:srgbClr val="000000"/>
                          </a:solidFill>
                          <a:miter lim="800000"/>
                          <a:headEnd/>
                          <a:tailEnd/>
                        </a:ln>
                      </wps:spPr>
                      <wps:txbx>
                        <w:txbxContent>
                          <w:p w:rsidR="00862740" w:rsidRPr="00834797" w:rsidRDefault="00862740" w:rsidP="00485FB1">
                            <w:pPr>
                              <w:spacing w:before="360" w:after="120"/>
                              <w:jc w:val="center"/>
                              <w:rPr>
                                <w:b/>
                              </w:rPr>
                            </w:pPr>
                            <w:r w:rsidRPr="00834797">
                              <w:rPr>
                                <w:b/>
                              </w:rPr>
                              <w:t>Statement of Compatibility with Human Rights</w:t>
                            </w:r>
                          </w:p>
                          <w:p w:rsidR="00862740" w:rsidRPr="00247F54" w:rsidRDefault="00862740" w:rsidP="00485FB1">
                            <w:pPr>
                              <w:spacing w:before="120" w:after="120"/>
                              <w:jc w:val="center"/>
                            </w:pPr>
                            <w:r w:rsidRPr="00247F54">
                              <w:rPr>
                                <w:i/>
                              </w:rPr>
                              <w:t>Prepared in accordance with Part 3 of the Human Rights (Parliamentary Scrutiny) Act 2011</w:t>
                            </w:r>
                          </w:p>
                          <w:p w:rsidR="00862740" w:rsidRPr="00247F54" w:rsidRDefault="00862740" w:rsidP="00485FB1">
                            <w:pPr>
                              <w:spacing w:before="120" w:after="120"/>
                              <w:jc w:val="center"/>
                            </w:pPr>
                          </w:p>
                          <w:p w:rsidR="00862740" w:rsidRDefault="00862740" w:rsidP="00485FB1">
                            <w:pPr>
                              <w:spacing w:before="120" w:after="120"/>
                              <w:jc w:val="center"/>
                              <w:rPr>
                                <w:b/>
                              </w:rPr>
                            </w:pPr>
                            <w:proofErr w:type="spellStart"/>
                            <w:r w:rsidRPr="003046AF">
                              <w:rPr>
                                <w:b/>
                              </w:rPr>
                              <w:t>ASIC</w:t>
                            </w:r>
                            <w:proofErr w:type="spellEnd"/>
                            <w:r w:rsidRPr="003046AF">
                              <w:rPr>
                                <w:b/>
                              </w:rPr>
                              <w:t xml:space="preserve"> Corporations (Facilitating Electronic Delivery of Financial Services</w:t>
                            </w:r>
                            <w:r>
                              <w:rPr>
                                <w:b/>
                              </w:rPr>
                              <w:t xml:space="preserve"> Disclosure) Instrument 2015/647</w:t>
                            </w:r>
                          </w:p>
                          <w:p w:rsidR="00965ECE" w:rsidRPr="00965ECE" w:rsidRDefault="00965ECE" w:rsidP="00485FB1">
                            <w:pPr>
                              <w:spacing w:before="120" w:after="120"/>
                              <w:jc w:val="center"/>
                              <w:rPr>
                                <w:b/>
                              </w:rPr>
                            </w:pPr>
                            <w:proofErr w:type="spellStart"/>
                            <w:r w:rsidRPr="00965ECE">
                              <w:rPr>
                                <w:b/>
                              </w:rPr>
                              <w:t>ASIC</w:t>
                            </w:r>
                            <w:proofErr w:type="spellEnd"/>
                            <w:r w:rsidRPr="00965ECE">
                              <w:rPr>
                                <w:b/>
                              </w:rPr>
                              <w:t xml:space="preserve"> Corporations (Repeal) Instrument 2015/681</w:t>
                            </w:r>
                          </w:p>
                          <w:p w:rsidR="00862740" w:rsidRPr="00247F54" w:rsidRDefault="00862740" w:rsidP="00485FB1">
                            <w:pPr>
                              <w:spacing w:before="120" w:after="120"/>
                              <w:jc w:val="center"/>
                            </w:pPr>
                            <w:r>
                              <w:t>The instrument</w:t>
                            </w:r>
                            <w:r w:rsidR="00965ECE">
                              <w:t>s</w:t>
                            </w:r>
                            <w:r>
                              <w:t xml:space="preserve"> </w:t>
                            </w:r>
                            <w:r w:rsidR="00965ECE">
                              <w:t xml:space="preserve">are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862740" w:rsidRPr="00247F54" w:rsidRDefault="00862740" w:rsidP="00485FB1">
                            <w:pPr>
                              <w:spacing w:before="120" w:after="120"/>
                              <w:jc w:val="center"/>
                            </w:pPr>
                          </w:p>
                          <w:p w:rsidR="00862740" w:rsidRPr="00247F54" w:rsidRDefault="00862740" w:rsidP="00485FB1">
                            <w:pPr>
                              <w:spacing w:before="120" w:after="120"/>
                              <w:jc w:val="both"/>
                              <w:rPr>
                                <w:b/>
                              </w:rPr>
                            </w:pPr>
                            <w:r w:rsidRPr="00247F54">
                              <w:rPr>
                                <w:b/>
                              </w:rPr>
                              <w:t>Overview</w:t>
                            </w:r>
                          </w:p>
                          <w:p w:rsidR="00862740" w:rsidRDefault="00862740" w:rsidP="00F634B4">
                            <w:pPr>
                              <w:autoSpaceDE w:val="0"/>
                              <w:autoSpaceDN w:val="0"/>
                              <w:adjustRightInd w:val="0"/>
                              <w:spacing w:after="0" w:line="240" w:lineRule="auto"/>
                            </w:pPr>
                            <w:r>
                              <w:t>Although t</w:t>
                            </w:r>
                            <w:r w:rsidRPr="00F634B4">
                              <w:t>he Corporations Act permits a wide range of financial services disclosure documents to be delivered electronically, existing legal requirements mean that the default method of delivery is a printed disclosure document sent by post or given in person.</w:t>
                            </w:r>
                            <w:r>
                              <w:t xml:space="preserve"> </w:t>
                            </w:r>
                          </w:p>
                          <w:p w:rsidR="00862740" w:rsidRDefault="00862740" w:rsidP="00F634B4">
                            <w:pPr>
                              <w:autoSpaceDE w:val="0"/>
                              <w:autoSpaceDN w:val="0"/>
                              <w:adjustRightInd w:val="0"/>
                              <w:spacing w:after="0" w:line="240" w:lineRule="auto"/>
                            </w:pPr>
                          </w:p>
                          <w:p w:rsidR="00862740" w:rsidRDefault="00862740" w:rsidP="00A91570">
                            <w:pPr>
                              <w:autoSpaceDE w:val="0"/>
                              <w:autoSpaceDN w:val="0"/>
                              <w:adjustRightInd w:val="0"/>
                              <w:spacing w:after="0" w:line="240" w:lineRule="auto"/>
                              <w:rPr>
                                <w:rFonts w:ascii="Times New Roman" w:hAnsi="Times New Roman" w:cs="Times New Roman"/>
                                <w:sz w:val="24"/>
                                <w:szCs w:val="24"/>
                              </w:rPr>
                            </w:pPr>
                            <w:r>
                              <w:t>The</w:t>
                            </w:r>
                            <w:r w:rsidR="00965ECE">
                              <w:t xml:space="preserve"> principal</w:t>
                            </w:r>
                            <w:r>
                              <w:t xml:space="preserve"> instrument further facilitates digital financial services disclosure by providing relief to enhance the ability to product issuers to make disclosure documents available electronically. </w:t>
                            </w:r>
                          </w:p>
                          <w:p w:rsidR="00862740" w:rsidRPr="00A91570" w:rsidRDefault="00862740" w:rsidP="00A91570">
                            <w:pPr>
                              <w:autoSpaceDE w:val="0"/>
                              <w:autoSpaceDN w:val="0"/>
                              <w:adjustRightInd w:val="0"/>
                              <w:spacing w:after="0" w:line="240" w:lineRule="auto"/>
                              <w:rPr>
                                <w:rFonts w:ascii="Times New Roman" w:hAnsi="Times New Roman" w:cs="Times New Roman"/>
                                <w:sz w:val="24"/>
                                <w:szCs w:val="24"/>
                              </w:rPr>
                            </w:pPr>
                          </w:p>
                          <w:p w:rsidR="00862740" w:rsidRDefault="00965ECE" w:rsidP="00485FB1">
                            <w:pPr>
                              <w:spacing w:before="120" w:after="120"/>
                            </w:pPr>
                            <w:proofErr w:type="spellStart"/>
                            <w:r w:rsidRPr="00965ECE">
                              <w:t>ASIC</w:t>
                            </w:r>
                            <w:proofErr w:type="spellEnd"/>
                            <w:r w:rsidRPr="00965ECE">
                              <w:t xml:space="preserve"> Corporations (Repeal) Instrument 2015/681</w:t>
                            </w:r>
                            <w:r>
                              <w:t xml:space="preserve"> repeals </w:t>
                            </w:r>
                            <w:r w:rsidR="00862740">
                              <w:t xml:space="preserve">Class Order [CO 10/1219] which gave effect to </w:t>
                            </w:r>
                            <w:proofErr w:type="spellStart"/>
                            <w:r w:rsidR="00862740">
                              <w:t>ASIC’s</w:t>
                            </w:r>
                            <w:proofErr w:type="spellEnd"/>
                            <w:r w:rsidR="00862740">
                              <w:t xml:space="preserve"> previous policy in this area.</w:t>
                            </w:r>
                          </w:p>
                          <w:p w:rsidR="00862740" w:rsidRPr="00883DB6" w:rsidRDefault="00862740" w:rsidP="00485FB1">
                            <w:pPr>
                              <w:spacing w:before="120" w:after="120"/>
                            </w:pPr>
                          </w:p>
                          <w:p w:rsidR="00862740" w:rsidRPr="00247F54" w:rsidRDefault="00862740" w:rsidP="00485FB1">
                            <w:pPr>
                              <w:spacing w:before="120" w:after="120"/>
                              <w:rPr>
                                <w:b/>
                              </w:rPr>
                            </w:pPr>
                            <w:r w:rsidRPr="00247F54">
                              <w:rPr>
                                <w:b/>
                              </w:rPr>
                              <w:t>Human rights implications</w:t>
                            </w:r>
                          </w:p>
                          <w:p w:rsidR="00862740" w:rsidRPr="00247F54" w:rsidRDefault="00965ECE" w:rsidP="00485FB1">
                            <w:pPr>
                              <w:spacing w:before="120" w:after="120"/>
                            </w:pPr>
                            <w:r>
                              <w:t>Neither of the</w:t>
                            </w:r>
                            <w:r w:rsidR="00862740" w:rsidRPr="00247F54">
                              <w:t xml:space="preserve"> </w:t>
                            </w:r>
                            <w:r w:rsidR="00862740">
                              <w:t>l</w:t>
                            </w:r>
                            <w:r w:rsidR="00862740" w:rsidRPr="00247F54">
                              <w:t xml:space="preserve">egislative </w:t>
                            </w:r>
                            <w:r w:rsidR="00862740">
                              <w:t>i</w:t>
                            </w:r>
                            <w:r w:rsidR="00862740" w:rsidRPr="00247F54">
                              <w:t>nstrument</w:t>
                            </w:r>
                            <w:r>
                              <w:t xml:space="preserve">s </w:t>
                            </w:r>
                            <w:r w:rsidR="00862740" w:rsidRPr="00247F54">
                              <w:t>engage any of the applicable rights or freedoms.</w:t>
                            </w:r>
                          </w:p>
                          <w:p w:rsidR="00862740" w:rsidRDefault="00862740" w:rsidP="00485FB1">
                            <w:pPr>
                              <w:spacing w:before="120" w:after="120"/>
                              <w:rPr>
                                <w:b/>
                              </w:rPr>
                            </w:pPr>
                          </w:p>
                          <w:p w:rsidR="00862740" w:rsidRPr="00247F54" w:rsidRDefault="00862740" w:rsidP="00485FB1">
                            <w:pPr>
                              <w:spacing w:before="120" w:after="120"/>
                              <w:rPr>
                                <w:b/>
                              </w:rPr>
                            </w:pPr>
                            <w:r w:rsidRPr="00247F54">
                              <w:rPr>
                                <w:b/>
                              </w:rPr>
                              <w:t>Conclusion</w:t>
                            </w:r>
                          </w:p>
                          <w:p w:rsidR="00862740" w:rsidRPr="00247F54" w:rsidRDefault="00965ECE" w:rsidP="00485FB1">
                            <w:pPr>
                              <w:spacing w:before="120" w:after="120"/>
                            </w:pPr>
                            <w:r>
                              <w:t>The</w:t>
                            </w:r>
                            <w:r w:rsidR="00862740" w:rsidRPr="00247F54">
                              <w:t xml:space="preserve"> </w:t>
                            </w:r>
                            <w:r w:rsidR="00862740">
                              <w:t>l</w:t>
                            </w:r>
                            <w:r w:rsidR="00862740" w:rsidRPr="00247F54">
                              <w:t xml:space="preserve">egislative </w:t>
                            </w:r>
                            <w:r w:rsidR="00862740">
                              <w:t>i</w:t>
                            </w:r>
                            <w:r w:rsidR="00862740" w:rsidRPr="00247F54">
                              <w:t>nstrument</w:t>
                            </w:r>
                            <w:r>
                              <w:t>s</w:t>
                            </w:r>
                            <w:r w:rsidR="00862740" w:rsidRPr="00247F54">
                              <w:t xml:space="preserve"> </w:t>
                            </w:r>
                            <w:r>
                              <w:t>are</w:t>
                            </w:r>
                            <w:r w:rsidR="00862740" w:rsidRPr="00247F54">
                              <w:t xml:space="preserve"> compatible with human rights as </w:t>
                            </w:r>
                            <w:r>
                              <w:t>they do</w:t>
                            </w:r>
                            <w:r w:rsidR="00862740" w:rsidRPr="00247F54">
                              <w:t xml:space="preserve"> not raise any human rights issues.</w:t>
                            </w:r>
                          </w:p>
                          <w:p w:rsidR="00862740" w:rsidRPr="00E4135E" w:rsidRDefault="00862740" w:rsidP="00485FB1">
                            <w:pPr>
                              <w:spacing w:before="120" w:after="120"/>
                              <w:jc w:val="center"/>
                            </w:pPr>
                          </w:p>
                        </w:txbxContent>
                      </wps:txbx>
                      <wps:bodyPr rot="0" vert="horz" wrap="square" lIns="180000" tIns="45720" rIns="180000" bIns="45720" anchor="t" anchorCtr="0" upright="1">
                        <a:noAutofit/>
                      </wps:bodyPr>
                    </wps:wsp>
                  </a:graphicData>
                </a:graphic>
              </wp:inline>
            </w:drawing>
          </mc:Choice>
          <mc:Fallback>
            <w:pict>
              <v:rect id="Rectangle 2" o:spid="_x0000_s1026" style="width:418.2pt;height:5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" strokeweight="6pt">
                <v:stroke linestyle="thickBetweenThin"/>
                <v:textbox inset="5mm,,5mm">
                  <w:txbxContent>
                    <w:p w:rsidR="00862740" w:rsidRPr="00834797" w:rsidRDefault="00862740" w:rsidP="00485FB1">
                      <w:pPr>
                        <w:spacing w:before="360" w:after="120"/>
                        <w:jc w:val="center"/>
                        <w:rPr>
                          <w:b/>
                        </w:rPr>
                      </w:pPr>
                      <w:r w:rsidRPr="00834797">
                        <w:rPr>
                          <w:b/>
                        </w:rPr>
                        <w:t>Statement of Compatibility with Human Rights</w:t>
                      </w:r>
                    </w:p>
                    <w:p w:rsidR="00862740" w:rsidRPr="00247F54" w:rsidRDefault="00862740" w:rsidP="00485FB1">
                      <w:pPr>
                        <w:spacing w:before="120" w:after="120"/>
                        <w:jc w:val="center"/>
                      </w:pPr>
                      <w:r w:rsidRPr="00247F54">
                        <w:rPr>
                          <w:i/>
                        </w:rPr>
                        <w:t>Prepared in accordance with Part 3 of the Human Rights (Parliamentary Scrutiny) Act 2011</w:t>
                      </w:r>
                    </w:p>
                    <w:p w:rsidR="00862740" w:rsidRPr="00247F54" w:rsidRDefault="00862740" w:rsidP="00485FB1">
                      <w:pPr>
                        <w:spacing w:before="120" w:after="120"/>
                        <w:jc w:val="center"/>
                      </w:pPr>
                    </w:p>
                    <w:p w:rsidR="00862740" w:rsidRDefault="00862740" w:rsidP="00485FB1">
                      <w:pPr>
                        <w:spacing w:before="120" w:after="120"/>
                        <w:jc w:val="center"/>
                        <w:rPr>
                          <w:b/>
                        </w:rPr>
                      </w:pPr>
                      <w:r w:rsidRPr="003046AF">
                        <w:rPr>
                          <w:b/>
                        </w:rPr>
                        <w:t>ASIC Corporations (Facilitating Electronic Delivery of Financial Services</w:t>
                      </w:r>
                      <w:r>
                        <w:rPr>
                          <w:b/>
                        </w:rPr>
                        <w:t xml:space="preserve"> Disclosure) Instrument 2015/647</w:t>
                      </w:r>
                    </w:p>
                    <w:p w:rsidR="00965ECE" w:rsidRPr="00965ECE" w:rsidRDefault="00965ECE" w:rsidP="00485FB1">
                      <w:pPr>
                        <w:spacing w:before="120" w:after="120"/>
                        <w:jc w:val="center"/>
                        <w:rPr>
                          <w:b/>
                        </w:rPr>
                      </w:pPr>
                      <w:r w:rsidRPr="00965ECE">
                        <w:rPr>
                          <w:b/>
                        </w:rPr>
                        <w:t>ASIC Corporations (Repeal) Instrument 2015/681</w:t>
                      </w:r>
                    </w:p>
                    <w:p w:rsidR="00862740" w:rsidRPr="00247F54" w:rsidRDefault="00862740" w:rsidP="00485FB1">
                      <w:pPr>
                        <w:spacing w:before="120" w:after="120"/>
                        <w:jc w:val="center"/>
                      </w:pPr>
                      <w:r>
                        <w:t>The instrument</w:t>
                      </w:r>
                      <w:r w:rsidR="00965ECE">
                        <w:t>s</w:t>
                      </w:r>
                      <w:r>
                        <w:t xml:space="preserve"> </w:t>
                      </w:r>
                      <w:r w:rsidR="00965ECE">
                        <w:t xml:space="preserve">are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862740" w:rsidRPr="00247F54" w:rsidRDefault="00862740" w:rsidP="00485FB1">
                      <w:pPr>
                        <w:spacing w:before="120" w:after="120"/>
                        <w:jc w:val="center"/>
                      </w:pPr>
                    </w:p>
                    <w:p w:rsidR="00862740" w:rsidRPr="00247F54" w:rsidRDefault="00862740" w:rsidP="00485FB1">
                      <w:pPr>
                        <w:spacing w:before="120" w:after="120"/>
                        <w:jc w:val="both"/>
                        <w:rPr>
                          <w:b/>
                        </w:rPr>
                      </w:pPr>
                      <w:r w:rsidRPr="00247F54">
                        <w:rPr>
                          <w:b/>
                        </w:rPr>
                        <w:t>Overview</w:t>
                      </w:r>
                    </w:p>
                    <w:p w:rsidR="00862740" w:rsidRDefault="00862740" w:rsidP="00F634B4">
                      <w:pPr>
                        <w:autoSpaceDE w:val="0"/>
                        <w:autoSpaceDN w:val="0"/>
                        <w:adjustRightInd w:val="0"/>
                        <w:spacing w:after="0" w:line="240" w:lineRule="auto"/>
                      </w:pPr>
                      <w:r>
                        <w:t>Although t</w:t>
                      </w:r>
                      <w:r w:rsidRPr="00F634B4">
                        <w:t>he Corporations Act permits a wide range of financial services disclosure documents to be delivered electronically, existing legal requirements mean that the default method of delivery is a printed disclosure document sent by post or given in person.</w:t>
                      </w:r>
                      <w:r>
                        <w:t xml:space="preserve"> </w:t>
                      </w:r>
                    </w:p>
                    <w:p w:rsidR="00862740" w:rsidRDefault="00862740" w:rsidP="00F634B4">
                      <w:pPr>
                        <w:autoSpaceDE w:val="0"/>
                        <w:autoSpaceDN w:val="0"/>
                        <w:adjustRightInd w:val="0"/>
                        <w:spacing w:after="0" w:line="240" w:lineRule="auto"/>
                      </w:pPr>
                    </w:p>
                    <w:p w:rsidR="00862740" w:rsidRDefault="00862740" w:rsidP="00A91570">
                      <w:pPr>
                        <w:autoSpaceDE w:val="0"/>
                        <w:autoSpaceDN w:val="0"/>
                        <w:adjustRightInd w:val="0"/>
                        <w:spacing w:after="0" w:line="240" w:lineRule="auto"/>
                        <w:rPr>
                          <w:rFonts w:ascii="Times New Roman" w:hAnsi="Times New Roman" w:cs="Times New Roman"/>
                          <w:sz w:val="24"/>
                          <w:szCs w:val="24"/>
                        </w:rPr>
                      </w:pPr>
                      <w:r>
                        <w:t>The</w:t>
                      </w:r>
                      <w:r w:rsidR="00965ECE">
                        <w:t xml:space="preserve"> principal</w:t>
                      </w:r>
                      <w:r>
                        <w:t xml:space="preserve"> instrument further facilitates digital financial services disclosure by providing relief to enhance the ability to product issuers to make disclosure documents available electronically. </w:t>
                      </w:r>
                    </w:p>
                    <w:p w:rsidR="00862740" w:rsidRPr="00A91570" w:rsidRDefault="00862740" w:rsidP="00A91570">
                      <w:pPr>
                        <w:autoSpaceDE w:val="0"/>
                        <w:autoSpaceDN w:val="0"/>
                        <w:adjustRightInd w:val="0"/>
                        <w:spacing w:after="0" w:line="240" w:lineRule="auto"/>
                        <w:rPr>
                          <w:rFonts w:ascii="Times New Roman" w:hAnsi="Times New Roman" w:cs="Times New Roman"/>
                          <w:sz w:val="24"/>
                          <w:szCs w:val="24"/>
                        </w:rPr>
                      </w:pPr>
                    </w:p>
                    <w:p w:rsidR="00862740" w:rsidRDefault="00965ECE" w:rsidP="00485FB1">
                      <w:pPr>
                        <w:spacing w:before="120" w:after="120"/>
                      </w:pPr>
                      <w:r w:rsidRPr="00965ECE">
                        <w:t>ASIC Corporations (Repeal) Instrument 2015/681</w:t>
                      </w:r>
                      <w:r>
                        <w:t xml:space="preserve"> repeals </w:t>
                      </w:r>
                      <w:r w:rsidR="00862740">
                        <w:t>Class Order [CO 10/1219] which gave effect to ASIC’s previous policy in this area.</w:t>
                      </w:r>
                    </w:p>
                    <w:p w:rsidR="00862740" w:rsidRPr="00883DB6" w:rsidRDefault="00862740" w:rsidP="00485FB1">
                      <w:pPr>
                        <w:spacing w:before="120" w:after="120"/>
                      </w:pPr>
                    </w:p>
                    <w:p w:rsidR="00862740" w:rsidRPr="00247F54" w:rsidRDefault="00862740" w:rsidP="00485FB1">
                      <w:pPr>
                        <w:spacing w:before="120" w:after="120"/>
                        <w:rPr>
                          <w:b/>
                        </w:rPr>
                      </w:pPr>
                      <w:r w:rsidRPr="00247F54">
                        <w:rPr>
                          <w:b/>
                        </w:rPr>
                        <w:t>Human rights implications</w:t>
                      </w:r>
                    </w:p>
                    <w:p w:rsidR="00862740" w:rsidRPr="00247F54" w:rsidRDefault="00965ECE" w:rsidP="00485FB1">
                      <w:pPr>
                        <w:spacing w:before="120" w:after="120"/>
                      </w:pPr>
                      <w:r>
                        <w:t>Neither of the</w:t>
                      </w:r>
                      <w:r w:rsidR="00862740" w:rsidRPr="00247F54">
                        <w:t xml:space="preserve"> </w:t>
                      </w:r>
                      <w:r w:rsidR="00862740">
                        <w:t>l</w:t>
                      </w:r>
                      <w:r w:rsidR="00862740" w:rsidRPr="00247F54">
                        <w:t xml:space="preserve">egislative </w:t>
                      </w:r>
                      <w:r w:rsidR="00862740">
                        <w:t>i</w:t>
                      </w:r>
                      <w:r w:rsidR="00862740" w:rsidRPr="00247F54">
                        <w:t>nstrument</w:t>
                      </w:r>
                      <w:r>
                        <w:t xml:space="preserve">s </w:t>
                      </w:r>
                      <w:r w:rsidR="00862740" w:rsidRPr="00247F54">
                        <w:t>engage any of the applicable rights or freedoms.</w:t>
                      </w:r>
                    </w:p>
                    <w:p w:rsidR="00862740" w:rsidRDefault="00862740" w:rsidP="00485FB1">
                      <w:pPr>
                        <w:spacing w:before="120" w:after="120"/>
                        <w:rPr>
                          <w:b/>
                        </w:rPr>
                      </w:pPr>
                    </w:p>
                    <w:p w:rsidR="00862740" w:rsidRPr="00247F54" w:rsidRDefault="00862740" w:rsidP="00485FB1">
                      <w:pPr>
                        <w:spacing w:before="120" w:after="120"/>
                        <w:rPr>
                          <w:b/>
                        </w:rPr>
                      </w:pPr>
                      <w:r w:rsidRPr="00247F54">
                        <w:rPr>
                          <w:b/>
                        </w:rPr>
                        <w:t>Conclusion</w:t>
                      </w:r>
                    </w:p>
                    <w:p w:rsidR="00862740" w:rsidRPr="00247F54" w:rsidRDefault="00965ECE" w:rsidP="00485FB1">
                      <w:pPr>
                        <w:spacing w:before="120" w:after="120"/>
                      </w:pPr>
                      <w:r>
                        <w:t>The</w:t>
                      </w:r>
                      <w:r w:rsidR="00862740" w:rsidRPr="00247F54">
                        <w:t xml:space="preserve"> </w:t>
                      </w:r>
                      <w:r w:rsidR="00862740">
                        <w:t>l</w:t>
                      </w:r>
                      <w:r w:rsidR="00862740" w:rsidRPr="00247F54">
                        <w:t xml:space="preserve">egislative </w:t>
                      </w:r>
                      <w:r w:rsidR="00862740">
                        <w:t>i</w:t>
                      </w:r>
                      <w:r w:rsidR="00862740" w:rsidRPr="00247F54">
                        <w:t>nstrument</w:t>
                      </w:r>
                      <w:r>
                        <w:t>s</w:t>
                      </w:r>
                      <w:r w:rsidR="00862740" w:rsidRPr="00247F54">
                        <w:t xml:space="preserve"> </w:t>
                      </w:r>
                      <w:r>
                        <w:t>are</w:t>
                      </w:r>
                      <w:r w:rsidR="00862740" w:rsidRPr="00247F54">
                        <w:t xml:space="preserve"> compatible with human rights as </w:t>
                      </w:r>
                      <w:r>
                        <w:t>they do</w:t>
                      </w:r>
                      <w:r w:rsidR="00862740" w:rsidRPr="00247F54">
                        <w:t xml:space="preserve"> not raise any human rights issues.</w:t>
                      </w:r>
                    </w:p>
                    <w:p w:rsidR="00862740" w:rsidRPr="00E4135E" w:rsidRDefault="00862740" w:rsidP="00485FB1">
                      <w:pPr>
                        <w:spacing w:before="120" w:after="120"/>
                        <w:jc w:val="center"/>
                      </w:pPr>
                    </w:p>
                  </w:txbxContent>
                </v:textbox>
                <w10:anchorlock/>
              </v:rect>
            </w:pict>
          </mc:Fallback>
        </mc:AlternateContent>
      </w:r>
    </w:p>
    <w:p w:rsidR="00485FB1" w:rsidRDefault="00485FB1" w:rsidP="00396A50">
      <w:pPr>
        <w:pStyle w:val="Default"/>
        <w:spacing w:before="200"/>
        <w:rPr>
          <w:color w:val="auto"/>
          <w:sz w:val="23"/>
          <w:szCs w:val="23"/>
        </w:rPr>
      </w:pPr>
    </w:p>
    <w:p w:rsidR="00485FB1" w:rsidRDefault="00485FB1" w:rsidP="00396A50">
      <w:pPr>
        <w:pStyle w:val="Default"/>
        <w:spacing w:before="200"/>
        <w:rPr>
          <w:color w:val="auto"/>
          <w:sz w:val="23"/>
          <w:szCs w:val="23"/>
        </w:rPr>
      </w:pPr>
    </w:p>
    <w:p w:rsidR="008213A9" w:rsidRDefault="008213A9" w:rsidP="00396A50">
      <w:pPr>
        <w:pStyle w:val="Default"/>
        <w:spacing w:before="200"/>
        <w:rPr>
          <w:color w:val="auto"/>
          <w:sz w:val="23"/>
          <w:szCs w:val="23"/>
        </w:rPr>
        <w:sectPr w:rsidR="008213A9">
          <w:footerReference w:type="default" r:id="rId9"/>
          <w:pgSz w:w="11906" w:h="16838"/>
          <w:pgMar w:top="1440" w:right="1440" w:bottom="1440" w:left="1440" w:header="708" w:footer="708" w:gutter="0"/>
          <w:cols w:space="708"/>
          <w:docGrid w:linePitch="360"/>
        </w:sectPr>
      </w:pPr>
    </w:p>
    <w:p w:rsidR="008213A9" w:rsidRDefault="008213A9" w:rsidP="00396A50">
      <w:pPr>
        <w:pStyle w:val="Default"/>
        <w:spacing w:before="200"/>
        <w:rPr>
          <w:color w:val="auto"/>
          <w:sz w:val="23"/>
          <w:szCs w:val="23"/>
        </w:rPr>
      </w:pPr>
    </w:p>
    <w:p w:rsidR="00DD027D" w:rsidRDefault="00DF67D6" w:rsidP="00DD027D">
      <w:pPr>
        <w:pStyle w:val="Bodytextplain"/>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15pt;width:100.5pt;height:73.5pt;z-index:251662336">
            <v:imagedata r:id="rId10" o:title=""/>
            <w10:wrap type="square"/>
            <w10:anchorlock/>
          </v:shape>
          <o:OLEObject Type="Embed" ProgID="Word.Picture.8" ShapeID="_x0000_s1026" DrawAspect="Content" ObjectID="_1499513054" r:id="rId11"/>
        </w:pict>
      </w:r>
      <w:r w:rsidR="008213A9" w:rsidRPr="002A1F26">
        <w:rPr>
          <w:noProof/>
        </w:rPr>
        <w:drawing>
          <wp:anchor distT="0" distB="0" distL="114300" distR="114300" simplePos="0" relativeHeight="251661312" behindDoc="0" locked="1" layoutInCell="1" allowOverlap="1" wp14:anchorId="5AC5A5C5" wp14:editId="6B75666F">
            <wp:simplePos x="0" y="0"/>
            <wp:positionH relativeFrom="column">
              <wp:posOffset>2823845</wp:posOffset>
            </wp:positionH>
            <wp:positionV relativeFrom="paragraph">
              <wp:posOffset>175260</wp:posOffset>
            </wp:positionV>
            <wp:extent cx="2981325" cy="1295400"/>
            <wp:effectExtent l="19050" t="0" r="9525" b="0"/>
            <wp:wrapTopAndBottom/>
            <wp:docPr id="6" name="Picture 283" descr="Identity 1 (Lttrh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dentity 1 (Lttrhd size)"/>
                    <pic:cNvPicPr>
                      <a:picLocks noChangeAspect="1" noChangeArrowheads="1"/>
                    </pic:cNvPicPr>
                  </pic:nvPicPr>
                  <pic:blipFill>
                    <a:blip r:embed="rId12" cstate="print"/>
                    <a:srcRect/>
                    <a:stretch>
                      <a:fillRect/>
                    </a:stretch>
                  </pic:blipFill>
                  <pic:spPr bwMode="auto">
                    <a:xfrm>
                      <a:off x="0" y="0"/>
                      <a:ext cx="2981325" cy="1295400"/>
                    </a:xfrm>
                    <a:prstGeom prst="rect">
                      <a:avLst/>
                    </a:prstGeom>
                    <a:noFill/>
                  </pic:spPr>
                </pic:pic>
              </a:graphicData>
            </a:graphic>
          </wp:anchor>
        </w:drawing>
      </w:r>
      <w:r>
        <w:rPr>
          <w:noProof/>
        </w:rPr>
        <w:pict>
          <v:shape id="_x0000_s1027" type="#_x0000_t75" style="position:absolute;left:0;text-align:left;margin-left:0;margin-top:14.15pt;width:100.5pt;height:73.5pt;z-index:251665408;mso-position-horizontal-relative:text;mso-position-vertical-relative:text">
            <v:imagedata r:id="rId10" o:title=""/>
            <w10:wrap type="square"/>
            <w10:anchorlock/>
          </v:shape>
          <o:OLEObject Type="Embed" ProgID="Word.Picture.8" ShapeID="_x0000_s1027" DrawAspect="Content" ObjectID="_1499513055" r:id="rId13"/>
        </w:pict>
      </w:r>
      <w:r w:rsidR="00DD027D" w:rsidRPr="002A1F26">
        <w:rPr>
          <w:noProof/>
        </w:rPr>
        <w:drawing>
          <wp:anchor distT="0" distB="0" distL="114300" distR="114300" simplePos="0" relativeHeight="251664384" behindDoc="0" locked="1" layoutInCell="1" allowOverlap="1" wp14:anchorId="11E7916F" wp14:editId="7BC31262">
            <wp:simplePos x="0" y="0"/>
            <wp:positionH relativeFrom="column">
              <wp:posOffset>2823845</wp:posOffset>
            </wp:positionH>
            <wp:positionV relativeFrom="paragraph">
              <wp:posOffset>175260</wp:posOffset>
            </wp:positionV>
            <wp:extent cx="2981325" cy="1295400"/>
            <wp:effectExtent l="19050" t="0" r="9525" b="0"/>
            <wp:wrapTopAndBottom/>
            <wp:docPr id="2" name="Picture 283" descr="Identity 1 (Lttrh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dentity 1 (Lttrhd size)"/>
                    <pic:cNvPicPr>
                      <a:picLocks noChangeAspect="1" noChangeArrowheads="1"/>
                    </pic:cNvPicPr>
                  </pic:nvPicPr>
                  <pic:blipFill>
                    <a:blip r:embed="rId12" cstate="print"/>
                    <a:srcRect/>
                    <a:stretch>
                      <a:fillRect/>
                    </a:stretch>
                  </pic:blipFill>
                  <pic:spPr bwMode="auto">
                    <a:xfrm>
                      <a:off x="0" y="0"/>
                      <a:ext cx="2981325" cy="1295400"/>
                    </a:xfrm>
                    <a:prstGeom prst="rect">
                      <a:avLst/>
                    </a:prstGeom>
                    <a:noFill/>
                  </pic:spPr>
                </pic:pic>
              </a:graphicData>
            </a:graphic>
          </wp:anchor>
        </w:drawing>
      </w:r>
    </w:p>
    <w:p w:rsidR="00DD027D" w:rsidRDefault="00DD027D" w:rsidP="00DD027D">
      <w:pPr>
        <w:pStyle w:val="DescriptorRG"/>
        <w:shd w:val="clear" w:color="auto" w:fill="auto"/>
        <w:rPr>
          <w:b/>
          <w:color w:val="117DC7"/>
        </w:rPr>
      </w:pPr>
      <w:bookmarkStart w:id="1" w:name="_Ref152644852"/>
      <w:bookmarkEnd w:id="1"/>
      <w:r>
        <w:rPr>
          <w:b/>
          <w:color w:val="117DC7"/>
        </w:rPr>
        <w:t>REgulation impact statement</w:t>
      </w:r>
    </w:p>
    <w:p w:rsidR="00DD027D" w:rsidRDefault="00DD027D" w:rsidP="00DD027D">
      <w:pPr>
        <w:ind w:left="2268"/>
        <w:rPr>
          <w:rFonts w:ascii="Arial" w:hAnsi="Arial" w:cs="Arial"/>
          <w:b/>
          <w:sz w:val="48"/>
          <w:szCs w:val="48"/>
        </w:rPr>
      </w:pPr>
      <w:r>
        <w:fldChar w:fldCharType="begin"/>
      </w:r>
      <w:r>
        <w:instrText xml:space="preserve"> </w:instrText>
      </w:r>
      <w:r w:rsidRPr="00396FD5">
        <w:rPr>
          <w:rFonts w:ascii="Arial" w:hAnsi="Arial"/>
          <w:b/>
          <w:sz w:val="48"/>
        </w:rPr>
        <w:instrText>D</w:instrText>
      </w:r>
      <w:r>
        <w:instrText xml:space="preserve">OCPROPERTY  "Document title"  \* charformat </w:instrText>
      </w:r>
      <w:r>
        <w:fldChar w:fldCharType="separate"/>
      </w:r>
      <w:r>
        <w:rPr>
          <w:rFonts w:ascii="Arial" w:hAnsi="Arial"/>
          <w:b/>
          <w:sz w:val="48"/>
        </w:rPr>
        <w:t>Facilitating digital financial services disclosures</w:t>
      </w:r>
      <w:r>
        <w:fldChar w:fldCharType="end"/>
      </w:r>
    </w:p>
    <w:p w:rsidR="00DD027D" w:rsidRDefault="00DD027D" w:rsidP="00DD027D">
      <w:pPr>
        <w:pStyle w:val="Bodytextplain"/>
      </w:pPr>
    </w:p>
    <w:p w:rsidR="00DD027D" w:rsidRDefault="00DF67D6" w:rsidP="00DD027D">
      <w:pPr>
        <w:pStyle w:val="Bodytextplain"/>
        <w:rPr>
          <w:rFonts w:ascii="Arial" w:hAnsi="Arial" w:cs="Arial"/>
        </w:rPr>
      </w:pPr>
      <w:r>
        <w:fldChar w:fldCharType="begin"/>
      </w:r>
      <w:r>
        <w:instrText xml:space="preserve"> DOCPROPERTY  "Issue date"  \* MERGEFORMAT </w:instrText>
      </w:r>
      <w:r>
        <w:fldChar w:fldCharType="separate"/>
      </w:r>
      <w:r w:rsidR="00DD027D" w:rsidRPr="00962B89">
        <w:rPr>
          <w:rFonts w:ascii="Arial" w:hAnsi="Arial" w:cs="Arial"/>
        </w:rPr>
        <w:t>July 2015</w:t>
      </w:r>
      <w:r>
        <w:rPr>
          <w:rFonts w:ascii="Arial" w:hAnsi="Arial" w:cs="Arial"/>
        </w:rPr>
        <w:fldChar w:fldCharType="end"/>
      </w:r>
    </w:p>
    <w:p w:rsidR="00DD027D" w:rsidRDefault="00DD027D" w:rsidP="00DD027D">
      <w:pPr>
        <w:pStyle w:val="Bodytextplain"/>
      </w:pPr>
    </w:p>
    <w:p w:rsidR="00DD027D" w:rsidRDefault="00DD027D" w:rsidP="00DD027D">
      <w:pPr>
        <w:pStyle w:val="Bodytextplain"/>
      </w:pPr>
    </w:p>
    <w:p w:rsidR="00DD027D" w:rsidRDefault="00DD027D" w:rsidP="00DD027D">
      <w:pPr>
        <w:pStyle w:val="Frontheading"/>
      </w:pPr>
      <w:r>
        <w:t>About this Regulation Impact Statement</w:t>
      </w:r>
    </w:p>
    <w:p w:rsidR="00DD027D" w:rsidRDefault="00DD027D" w:rsidP="00DD027D">
      <w:pPr>
        <w:pStyle w:val="Fronttext"/>
      </w:pPr>
      <w:r w:rsidRPr="00E0378F">
        <w:t>This Regulation Impact Statement (</w:t>
      </w:r>
      <w:proofErr w:type="spellStart"/>
      <w:r w:rsidRPr="00E0378F">
        <w:t>RIS</w:t>
      </w:r>
      <w:proofErr w:type="spellEnd"/>
      <w:r w:rsidRPr="00E0378F">
        <w:t xml:space="preserve">) addresses </w:t>
      </w:r>
      <w:proofErr w:type="spellStart"/>
      <w:r w:rsidRPr="00E0378F">
        <w:t>ASIC</w:t>
      </w:r>
      <w:r>
        <w:t>’</w:t>
      </w:r>
      <w:r w:rsidRPr="00E0378F">
        <w:t>s</w:t>
      </w:r>
      <w:proofErr w:type="spellEnd"/>
      <w:r w:rsidRPr="00E0378F">
        <w:t xml:space="preserve"> proposals for </w:t>
      </w:r>
      <w:r>
        <w:t>further facilitating digital disclosure by:</w:t>
      </w:r>
    </w:p>
    <w:p w:rsidR="00DD027D" w:rsidRDefault="00DD027D" w:rsidP="00DD027D">
      <w:pPr>
        <w:pStyle w:val="Frontbullet"/>
      </w:pPr>
      <w:r>
        <w:t>p</w:t>
      </w:r>
      <w:r w:rsidRPr="00357F61">
        <w:t xml:space="preserve">roviding relief to facilitate default </w:t>
      </w:r>
      <w:r>
        <w:t>digital</w:t>
      </w:r>
      <w:r w:rsidRPr="00357F61">
        <w:t xml:space="preserve"> delivery of financial services disclosures and more innovativ</w:t>
      </w:r>
      <w:r>
        <w:t>e Product Disclosure Statements (</w:t>
      </w:r>
      <w:proofErr w:type="spellStart"/>
      <w:r>
        <w:t>PDSs</w:t>
      </w:r>
      <w:proofErr w:type="spellEnd"/>
      <w:r>
        <w:t>), Financial Services Guides (</w:t>
      </w:r>
      <w:proofErr w:type="spellStart"/>
      <w:r>
        <w:t>FSGs</w:t>
      </w:r>
      <w:proofErr w:type="spellEnd"/>
      <w:r>
        <w:t>) and Statements of Advice (</w:t>
      </w:r>
      <w:proofErr w:type="spellStart"/>
      <w:r>
        <w:t>SOAs</w:t>
      </w:r>
      <w:proofErr w:type="spellEnd"/>
      <w:r>
        <w:t>); and</w:t>
      </w:r>
    </w:p>
    <w:p w:rsidR="00DD027D" w:rsidRDefault="00DD027D" w:rsidP="00DD027D">
      <w:pPr>
        <w:pStyle w:val="Frontbullet"/>
      </w:pPr>
      <w:r>
        <w:t>updating our regulatory guidance.</w:t>
      </w:r>
    </w:p>
    <w:p w:rsidR="00DD027D" w:rsidRDefault="00DD027D" w:rsidP="00DD027D">
      <w:pPr>
        <w:pStyle w:val="Frontheading"/>
        <w:sectPr w:rsidR="00DD027D" w:rsidSect="001A5827">
          <w:headerReference w:type="even" r:id="rId14"/>
          <w:headerReference w:type="default" r:id="rId15"/>
          <w:footerReference w:type="even" r:id="rId16"/>
          <w:footerReference w:type="default" r:id="rId17"/>
          <w:headerReference w:type="first" r:id="rId18"/>
          <w:pgSz w:w="11906" w:h="16838" w:code="9"/>
          <w:pgMar w:top="1644" w:right="1418" w:bottom="1418" w:left="1418" w:header="567" w:footer="567" w:gutter="0"/>
          <w:cols w:space="720"/>
          <w:titlePg/>
        </w:sectPr>
      </w:pPr>
    </w:p>
    <w:p w:rsidR="00DD027D" w:rsidRPr="00E0378F" w:rsidRDefault="00DD027D" w:rsidP="00DD027D">
      <w:pPr>
        <w:pStyle w:val="Bodytextplain"/>
        <w:pageBreakBefore/>
        <w:spacing w:after="200"/>
        <w:ind w:left="0"/>
        <w:rPr>
          <w:rFonts w:ascii="Arial" w:hAnsi="Arial" w:cs="Arial"/>
          <w:b/>
          <w:sz w:val="36"/>
          <w:szCs w:val="36"/>
        </w:rPr>
      </w:pPr>
      <w:bookmarkStart w:id="2" w:name="_Toc227744295"/>
      <w:r w:rsidRPr="00E0378F">
        <w:rPr>
          <w:rFonts w:ascii="Arial" w:hAnsi="Arial" w:cs="Arial"/>
          <w:b/>
          <w:sz w:val="36"/>
          <w:szCs w:val="36"/>
        </w:rPr>
        <w:lastRenderedPageBreak/>
        <w:t>What this Regulation Impact Statement is about</w:t>
      </w:r>
      <w:bookmarkEnd w:id="2"/>
    </w:p>
    <w:p w:rsidR="00DD027D" w:rsidRPr="00357F61" w:rsidRDefault="00DD027D" w:rsidP="00DD027D">
      <w:pPr>
        <w:pStyle w:val="BodyText"/>
      </w:pPr>
      <w:r w:rsidRPr="007C2288">
        <w:t>This Regulation Impact Statement</w:t>
      </w:r>
      <w:r>
        <w:t xml:space="preserve"> (</w:t>
      </w:r>
      <w:proofErr w:type="spellStart"/>
      <w:r>
        <w:t>RIS</w:t>
      </w:r>
      <w:proofErr w:type="spellEnd"/>
      <w:r>
        <w:t xml:space="preserve">) addresses </w:t>
      </w:r>
      <w:proofErr w:type="spellStart"/>
      <w:r>
        <w:t>ASIC’s</w:t>
      </w:r>
      <w:proofErr w:type="spellEnd"/>
      <w:r>
        <w:t xml:space="preserve"> proposals for </w:t>
      </w:r>
      <w:r w:rsidRPr="00357F61">
        <w:t xml:space="preserve">facilitating digital disclosure by providing relief to facilitate default digital delivery of financial services disclosures and to </w:t>
      </w:r>
      <w:r>
        <w:t>remove barriers to</w:t>
      </w:r>
      <w:r w:rsidRPr="00357F61">
        <w:t xml:space="preserve"> </w:t>
      </w:r>
      <w:r>
        <w:t xml:space="preserve">the use of </w:t>
      </w:r>
      <w:r w:rsidRPr="00357F61">
        <w:t>innovative Product Disclosure Statements</w:t>
      </w:r>
      <w:r>
        <w:t xml:space="preserve"> (</w:t>
      </w:r>
      <w:proofErr w:type="spellStart"/>
      <w:r>
        <w:t>PDSs</w:t>
      </w:r>
      <w:proofErr w:type="spellEnd"/>
      <w:r>
        <w:t>)</w:t>
      </w:r>
      <w:r w:rsidRPr="00357F61">
        <w:t xml:space="preserve">, Financial Services Guides </w:t>
      </w:r>
      <w:r>
        <w:t>(</w:t>
      </w:r>
      <w:proofErr w:type="spellStart"/>
      <w:r>
        <w:t>FSGs</w:t>
      </w:r>
      <w:proofErr w:type="spellEnd"/>
      <w:r>
        <w:t xml:space="preserve">) </w:t>
      </w:r>
      <w:r w:rsidRPr="00357F61">
        <w:t>and Statements of Advice</w:t>
      </w:r>
      <w:r>
        <w:t xml:space="preserve"> (</w:t>
      </w:r>
      <w:proofErr w:type="spellStart"/>
      <w:r>
        <w:t>SOAs</w:t>
      </w:r>
      <w:proofErr w:type="spellEnd"/>
      <w:r>
        <w:t>)</w:t>
      </w:r>
      <w:r w:rsidRPr="00357F61">
        <w:t>, as well as updating our regulatory guidance</w:t>
      </w:r>
      <w:r>
        <w:t xml:space="preserve"> to reflect this</w:t>
      </w:r>
      <w:r w:rsidRPr="00357F61">
        <w:t xml:space="preserve">. </w:t>
      </w:r>
    </w:p>
    <w:p w:rsidR="00DD027D" w:rsidRPr="00E61B96" w:rsidRDefault="00DD027D" w:rsidP="00DD027D">
      <w:pPr>
        <w:pStyle w:val="BodyText"/>
      </w:pPr>
      <w:r>
        <w:t xml:space="preserve">In developing our final position, we have considered the regulatory and </w:t>
      </w:r>
      <w:r w:rsidRPr="00E61B96">
        <w:t>financial impact of our proposals. We are aiming to strike an appropriate balance between:</w:t>
      </w:r>
    </w:p>
    <w:p w:rsidR="00DD027D" w:rsidRPr="00E61B96" w:rsidRDefault="00DD027D" w:rsidP="00DD027D">
      <w:pPr>
        <w:pStyle w:val="ListBullet"/>
      </w:pPr>
      <w:r w:rsidRPr="00E61B96">
        <w:t>administering the law effectively and with minimal procedural requirements (reducing red</w:t>
      </w:r>
      <w:r>
        <w:t xml:space="preserve"> </w:t>
      </w:r>
      <w:r w:rsidRPr="00E61B96">
        <w:t>tape); and</w:t>
      </w:r>
    </w:p>
    <w:p w:rsidR="00DD027D" w:rsidRPr="00267B88" w:rsidRDefault="00DD027D" w:rsidP="00DD027D">
      <w:pPr>
        <w:pStyle w:val="ListBullet"/>
      </w:pPr>
      <w:r w:rsidRPr="00267B88">
        <w:t xml:space="preserve">promoting </w:t>
      </w:r>
      <w:r>
        <w:t xml:space="preserve">investor trust and confidence in the financial system. </w:t>
      </w:r>
    </w:p>
    <w:p w:rsidR="00DD027D" w:rsidRDefault="00DD027D" w:rsidP="00DD027D">
      <w:pPr>
        <w:pStyle w:val="BodyText"/>
      </w:pPr>
      <w:r>
        <w:t xml:space="preserve">This </w:t>
      </w:r>
      <w:proofErr w:type="spellStart"/>
      <w:r>
        <w:t>RIS</w:t>
      </w:r>
      <w:proofErr w:type="spellEnd"/>
      <w:r>
        <w:t xml:space="preserve"> sets out our assessment of the regulatory and financial impacts of our proposed policy and our achievement of this balance. It deals with:</w:t>
      </w:r>
    </w:p>
    <w:p w:rsidR="00DD027D" w:rsidRDefault="00DD027D" w:rsidP="00DD027D">
      <w:pPr>
        <w:pStyle w:val="ListBullet"/>
      </w:pPr>
      <w:r>
        <w:t>the likely compliance costs;</w:t>
      </w:r>
    </w:p>
    <w:p w:rsidR="00DD027D" w:rsidRDefault="00DD027D" w:rsidP="00DD027D">
      <w:pPr>
        <w:pStyle w:val="ListBullet"/>
      </w:pPr>
      <w:r>
        <w:t>the likely effect on competition; and</w:t>
      </w:r>
    </w:p>
    <w:p w:rsidR="00DD027D" w:rsidRDefault="00DD027D" w:rsidP="00DD027D">
      <w:pPr>
        <w:pStyle w:val="ListBullet"/>
      </w:pPr>
      <w:r>
        <w:t>other impacts, costs and benefits.</w:t>
      </w:r>
    </w:p>
    <w:p w:rsidR="00DD027D" w:rsidRDefault="00DD027D" w:rsidP="00DD027D">
      <w:pPr>
        <w:pStyle w:val="Bodytextplain"/>
        <w:pageBreakBefore/>
        <w:spacing w:after="200"/>
        <w:ind w:left="0"/>
        <w:rPr>
          <w:rFonts w:ascii="Arial" w:hAnsi="Arial" w:cs="Arial"/>
          <w:b/>
          <w:sz w:val="36"/>
          <w:szCs w:val="36"/>
        </w:rPr>
      </w:pPr>
      <w:r>
        <w:rPr>
          <w:rFonts w:ascii="Arial" w:hAnsi="Arial" w:cs="Arial"/>
          <w:b/>
          <w:sz w:val="36"/>
          <w:szCs w:val="36"/>
        </w:rPr>
        <w:lastRenderedPageBreak/>
        <w:t>Contents</w:t>
      </w:r>
    </w:p>
    <w:p w:rsidR="00DD027D" w:rsidRDefault="00DD027D" w:rsidP="00DD027D">
      <w:pPr>
        <w:pStyle w:val="TOC1"/>
        <w:rPr>
          <w:rFonts w:asciiTheme="minorHAnsi" w:eastAsiaTheme="minorEastAsia" w:hAnsiTheme="minorHAnsi" w:cstheme="minorBidi"/>
          <w:b w:val="0"/>
          <w:sz w:val="22"/>
          <w:szCs w:val="22"/>
        </w:rPr>
      </w:pPr>
      <w:r>
        <w:rPr>
          <w:rFonts w:ascii="HelveticaNeue LT 55 Roman" w:hAnsi="HelveticaNeue LT 55 Roman"/>
        </w:rPr>
        <w:fldChar w:fldCharType="begin"/>
      </w:r>
      <w:r>
        <w:rPr>
          <w:rFonts w:ascii="HelveticaNeue LT 55 Roman" w:hAnsi="HelveticaNeue LT 55 Roman"/>
        </w:rPr>
        <w:instrText xml:space="preserve"> TOC \o "1-2" \h \z \u \t "Heading 6,1" </w:instrText>
      </w:r>
      <w:r>
        <w:rPr>
          <w:rFonts w:ascii="HelveticaNeue LT 55 Roman" w:hAnsi="HelveticaNeue LT 55 Roman"/>
        </w:rPr>
        <w:fldChar w:fldCharType="separate"/>
      </w:r>
      <w:hyperlink w:anchor="_Toc425345473" w:history="1">
        <w:r w:rsidRPr="00513BE3">
          <w:rPr>
            <w:rStyle w:val="Hyperlink"/>
          </w:rPr>
          <w:t>A</w:t>
        </w:r>
        <w:r>
          <w:rPr>
            <w:rFonts w:asciiTheme="minorHAnsi" w:eastAsiaTheme="minorEastAsia" w:hAnsiTheme="minorHAnsi" w:cstheme="minorBidi"/>
            <w:b w:val="0"/>
            <w:sz w:val="22"/>
            <w:szCs w:val="22"/>
          </w:rPr>
          <w:tab/>
        </w:r>
        <w:r w:rsidRPr="00513BE3">
          <w:rPr>
            <w:rStyle w:val="Hyperlink"/>
          </w:rPr>
          <w:t>Introduction</w:t>
        </w:r>
        <w:r>
          <w:rPr>
            <w:webHidden/>
          </w:rPr>
          <w:tab/>
        </w:r>
        <w:r>
          <w:rPr>
            <w:webHidden/>
          </w:rPr>
          <w:fldChar w:fldCharType="begin"/>
        </w:r>
        <w:r>
          <w:rPr>
            <w:webHidden/>
          </w:rPr>
          <w:instrText xml:space="preserve"> PAGEREF _Toc425345473 \h </w:instrText>
        </w:r>
        <w:r>
          <w:rPr>
            <w:webHidden/>
          </w:rPr>
        </w:r>
        <w:r>
          <w:rPr>
            <w:webHidden/>
          </w:rPr>
          <w:fldChar w:fldCharType="separate"/>
        </w:r>
        <w:r>
          <w:rPr>
            <w:webHidden/>
          </w:rPr>
          <w:t>4</w:t>
        </w:r>
        <w:r>
          <w:rPr>
            <w:webHidden/>
          </w:rPr>
          <w:fldChar w:fldCharType="end"/>
        </w:r>
      </w:hyperlink>
    </w:p>
    <w:p w:rsidR="00DD027D" w:rsidRDefault="00DF67D6" w:rsidP="00DD027D">
      <w:pPr>
        <w:pStyle w:val="TOC2"/>
        <w:rPr>
          <w:rFonts w:asciiTheme="minorHAnsi" w:eastAsiaTheme="minorEastAsia" w:hAnsiTheme="minorHAnsi" w:cstheme="minorBidi"/>
          <w:sz w:val="22"/>
          <w:szCs w:val="22"/>
        </w:rPr>
      </w:pPr>
      <w:hyperlink w:anchor="_Toc425345474" w:history="1">
        <w:r w:rsidR="00DD027D" w:rsidRPr="00513BE3">
          <w:rPr>
            <w:rStyle w:val="Hyperlink"/>
          </w:rPr>
          <w:t>Background</w:t>
        </w:r>
        <w:r w:rsidR="00DD027D">
          <w:rPr>
            <w:webHidden/>
          </w:rPr>
          <w:tab/>
        </w:r>
        <w:r w:rsidR="00DD027D">
          <w:rPr>
            <w:webHidden/>
          </w:rPr>
          <w:fldChar w:fldCharType="begin"/>
        </w:r>
        <w:r w:rsidR="00DD027D">
          <w:rPr>
            <w:webHidden/>
          </w:rPr>
          <w:instrText xml:space="preserve"> PAGEREF _Toc425345474 \h </w:instrText>
        </w:r>
        <w:r w:rsidR="00DD027D">
          <w:rPr>
            <w:webHidden/>
          </w:rPr>
        </w:r>
        <w:r w:rsidR="00DD027D">
          <w:rPr>
            <w:webHidden/>
          </w:rPr>
          <w:fldChar w:fldCharType="separate"/>
        </w:r>
        <w:r w:rsidR="00DD027D">
          <w:rPr>
            <w:webHidden/>
          </w:rPr>
          <w:t>4</w:t>
        </w:r>
        <w:r w:rsidR="00DD027D">
          <w:rPr>
            <w:webHidden/>
          </w:rPr>
          <w:fldChar w:fldCharType="end"/>
        </w:r>
      </w:hyperlink>
    </w:p>
    <w:p w:rsidR="00DD027D" w:rsidRDefault="00DF67D6" w:rsidP="00DD027D">
      <w:pPr>
        <w:pStyle w:val="TOC2"/>
        <w:rPr>
          <w:rFonts w:asciiTheme="minorHAnsi" w:eastAsiaTheme="minorEastAsia" w:hAnsiTheme="minorHAnsi" w:cstheme="minorBidi"/>
          <w:sz w:val="22"/>
          <w:szCs w:val="22"/>
        </w:rPr>
      </w:pPr>
      <w:hyperlink w:anchor="_Toc425345475" w:history="1">
        <w:r w:rsidR="00DD027D" w:rsidRPr="00513BE3">
          <w:rPr>
            <w:rStyle w:val="Hyperlink"/>
          </w:rPr>
          <w:t>Assessing the problem</w:t>
        </w:r>
        <w:r w:rsidR="00DD027D">
          <w:rPr>
            <w:webHidden/>
          </w:rPr>
          <w:tab/>
        </w:r>
        <w:r w:rsidR="00DD027D">
          <w:rPr>
            <w:webHidden/>
          </w:rPr>
          <w:fldChar w:fldCharType="begin"/>
        </w:r>
        <w:r w:rsidR="00DD027D">
          <w:rPr>
            <w:webHidden/>
          </w:rPr>
          <w:instrText xml:space="preserve"> PAGEREF _Toc425345475 \h </w:instrText>
        </w:r>
        <w:r w:rsidR="00DD027D">
          <w:rPr>
            <w:webHidden/>
          </w:rPr>
        </w:r>
        <w:r w:rsidR="00DD027D">
          <w:rPr>
            <w:webHidden/>
          </w:rPr>
          <w:fldChar w:fldCharType="separate"/>
        </w:r>
        <w:r w:rsidR="00DD027D">
          <w:rPr>
            <w:webHidden/>
          </w:rPr>
          <w:t>7</w:t>
        </w:r>
        <w:r w:rsidR="00DD027D">
          <w:rPr>
            <w:webHidden/>
          </w:rPr>
          <w:fldChar w:fldCharType="end"/>
        </w:r>
      </w:hyperlink>
    </w:p>
    <w:p w:rsidR="00DD027D" w:rsidRDefault="00DF67D6" w:rsidP="00DD027D">
      <w:pPr>
        <w:pStyle w:val="TOC2"/>
        <w:rPr>
          <w:rFonts w:asciiTheme="minorHAnsi" w:eastAsiaTheme="minorEastAsia" w:hAnsiTheme="minorHAnsi" w:cstheme="minorBidi"/>
          <w:sz w:val="22"/>
          <w:szCs w:val="22"/>
        </w:rPr>
      </w:pPr>
      <w:hyperlink w:anchor="_Toc425345476" w:history="1">
        <w:r w:rsidR="00DD027D" w:rsidRPr="00513BE3">
          <w:rPr>
            <w:rStyle w:val="Hyperlink"/>
          </w:rPr>
          <w:t>Why is ASIC action needed</w:t>
        </w:r>
        <w:r w:rsidR="00DD027D">
          <w:rPr>
            <w:webHidden/>
          </w:rPr>
          <w:tab/>
        </w:r>
        <w:r w:rsidR="00DD027D">
          <w:rPr>
            <w:webHidden/>
          </w:rPr>
          <w:fldChar w:fldCharType="begin"/>
        </w:r>
        <w:r w:rsidR="00DD027D">
          <w:rPr>
            <w:webHidden/>
          </w:rPr>
          <w:instrText xml:space="preserve"> PAGEREF _Toc425345476 \h </w:instrText>
        </w:r>
        <w:r w:rsidR="00DD027D">
          <w:rPr>
            <w:webHidden/>
          </w:rPr>
        </w:r>
        <w:r w:rsidR="00DD027D">
          <w:rPr>
            <w:webHidden/>
          </w:rPr>
          <w:fldChar w:fldCharType="separate"/>
        </w:r>
        <w:r w:rsidR="00DD027D">
          <w:rPr>
            <w:webHidden/>
          </w:rPr>
          <w:t>9</w:t>
        </w:r>
        <w:r w:rsidR="00DD027D">
          <w:rPr>
            <w:webHidden/>
          </w:rPr>
          <w:fldChar w:fldCharType="end"/>
        </w:r>
      </w:hyperlink>
    </w:p>
    <w:p w:rsidR="00DD027D" w:rsidRDefault="00DF67D6" w:rsidP="00DD027D">
      <w:pPr>
        <w:pStyle w:val="TOC1"/>
        <w:rPr>
          <w:rFonts w:asciiTheme="minorHAnsi" w:eastAsiaTheme="minorEastAsia" w:hAnsiTheme="minorHAnsi" w:cstheme="minorBidi"/>
          <w:b w:val="0"/>
          <w:sz w:val="22"/>
          <w:szCs w:val="22"/>
        </w:rPr>
      </w:pPr>
      <w:hyperlink w:anchor="_Toc425345477" w:history="1">
        <w:r w:rsidR="00DD027D" w:rsidRPr="00513BE3">
          <w:rPr>
            <w:rStyle w:val="Hyperlink"/>
          </w:rPr>
          <w:t>B</w:t>
        </w:r>
        <w:r w:rsidR="00DD027D">
          <w:rPr>
            <w:rFonts w:asciiTheme="minorHAnsi" w:eastAsiaTheme="minorEastAsia" w:hAnsiTheme="minorHAnsi" w:cstheme="minorBidi"/>
            <w:b w:val="0"/>
            <w:sz w:val="22"/>
            <w:szCs w:val="22"/>
          </w:rPr>
          <w:tab/>
        </w:r>
        <w:r w:rsidR="00DD027D" w:rsidRPr="00513BE3">
          <w:rPr>
            <w:rStyle w:val="Hyperlink"/>
          </w:rPr>
          <w:t>Options and impact analysis</w:t>
        </w:r>
        <w:r w:rsidR="00DD027D">
          <w:rPr>
            <w:webHidden/>
          </w:rPr>
          <w:tab/>
        </w:r>
        <w:r w:rsidR="00DD027D">
          <w:rPr>
            <w:webHidden/>
          </w:rPr>
          <w:fldChar w:fldCharType="begin"/>
        </w:r>
        <w:r w:rsidR="00DD027D">
          <w:rPr>
            <w:webHidden/>
          </w:rPr>
          <w:instrText xml:space="preserve"> PAGEREF _Toc425345477 \h </w:instrText>
        </w:r>
        <w:r w:rsidR="00DD027D">
          <w:rPr>
            <w:webHidden/>
          </w:rPr>
        </w:r>
        <w:r w:rsidR="00DD027D">
          <w:rPr>
            <w:webHidden/>
          </w:rPr>
          <w:fldChar w:fldCharType="separate"/>
        </w:r>
        <w:r w:rsidR="00DD027D">
          <w:rPr>
            <w:webHidden/>
          </w:rPr>
          <w:t>11</w:t>
        </w:r>
        <w:r w:rsidR="00DD027D">
          <w:rPr>
            <w:webHidden/>
          </w:rPr>
          <w:fldChar w:fldCharType="end"/>
        </w:r>
      </w:hyperlink>
    </w:p>
    <w:p w:rsidR="00DD027D" w:rsidRDefault="00DF67D6" w:rsidP="00DD027D">
      <w:pPr>
        <w:pStyle w:val="TOC2"/>
        <w:rPr>
          <w:rFonts w:asciiTheme="minorHAnsi" w:eastAsiaTheme="minorEastAsia" w:hAnsiTheme="minorHAnsi" w:cstheme="minorBidi"/>
          <w:sz w:val="22"/>
          <w:szCs w:val="22"/>
        </w:rPr>
      </w:pPr>
      <w:hyperlink w:anchor="_Toc425345478" w:history="1">
        <w:r w:rsidR="00DD027D" w:rsidRPr="00513BE3">
          <w:rPr>
            <w:rStyle w:val="Hyperlink"/>
          </w:rPr>
          <w:t>Option 1: Combined measures to remove barriers to digital disclosure (preferred option)</w:t>
        </w:r>
        <w:r w:rsidR="00DD027D">
          <w:rPr>
            <w:webHidden/>
          </w:rPr>
          <w:tab/>
        </w:r>
        <w:r w:rsidR="00DD027D">
          <w:rPr>
            <w:webHidden/>
          </w:rPr>
          <w:fldChar w:fldCharType="begin"/>
        </w:r>
        <w:r w:rsidR="00DD027D">
          <w:rPr>
            <w:webHidden/>
          </w:rPr>
          <w:instrText xml:space="preserve"> PAGEREF _Toc425345478 \h </w:instrText>
        </w:r>
        <w:r w:rsidR="00DD027D">
          <w:rPr>
            <w:webHidden/>
          </w:rPr>
        </w:r>
        <w:r w:rsidR="00DD027D">
          <w:rPr>
            <w:webHidden/>
          </w:rPr>
          <w:fldChar w:fldCharType="separate"/>
        </w:r>
        <w:r w:rsidR="00DD027D">
          <w:rPr>
            <w:webHidden/>
          </w:rPr>
          <w:t>11</w:t>
        </w:r>
        <w:r w:rsidR="00DD027D">
          <w:rPr>
            <w:webHidden/>
          </w:rPr>
          <w:fldChar w:fldCharType="end"/>
        </w:r>
      </w:hyperlink>
    </w:p>
    <w:p w:rsidR="00DD027D" w:rsidRDefault="00DF67D6" w:rsidP="00DD027D">
      <w:pPr>
        <w:pStyle w:val="TOC2"/>
        <w:rPr>
          <w:rFonts w:asciiTheme="minorHAnsi" w:eastAsiaTheme="minorEastAsia" w:hAnsiTheme="minorHAnsi" w:cstheme="minorBidi"/>
          <w:sz w:val="22"/>
          <w:szCs w:val="22"/>
        </w:rPr>
      </w:pPr>
      <w:hyperlink w:anchor="_Toc425345479" w:history="1">
        <w:r w:rsidR="00DD027D" w:rsidRPr="00513BE3">
          <w:rPr>
            <w:rStyle w:val="Hyperlink"/>
          </w:rPr>
          <w:t>Option 2: Enable default digital delivery of financial services disclosures</w:t>
        </w:r>
        <w:r w:rsidR="00DD027D">
          <w:rPr>
            <w:webHidden/>
          </w:rPr>
          <w:tab/>
        </w:r>
        <w:r w:rsidR="00DD027D">
          <w:rPr>
            <w:webHidden/>
          </w:rPr>
          <w:fldChar w:fldCharType="begin"/>
        </w:r>
        <w:r w:rsidR="00DD027D">
          <w:rPr>
            <w:webHidden/>
          </w:rPr>
          <w:instrText xml:space="preserve"> PAGEREF _Toc425345479 \h </w:instrText>
        </w:r>
        <w:r w:rsidR="00DD027D">
          <w:rPr>
            <w:webHidden/>
          </w:rPr>
        </w:r>
        <w:r w:rsidR="00DD027D">
          <w:rPr>
            <w:webHidden/>
          </w:rPr>
          <w:fldChar w:fldCharType="separate"/>
        </w:r>
        <w:r w:rsidR="00DD027D">
          <w:rPr>
            <w:webHidden/>
          </w:rPr>
          <w:t>13</w:t>
        </w:r>
        <w:r w:rsidR="00DD027D">
          <w:rPr>
            <w:webHidden/>
          </w:rPr>
          <w:fldChar w:fldCharType="end"/>
        </w:r>
      </w:hyperlink>
    </w:p>
    <w:p w:rsidR="00DD027D" w:rsidRDefault="00DF67D6" w:rsidP="00DD027D">
      <w:pPr>
        <w:pStyle w:val="TOC2"/>
        <w:rPr>
          <w:rFonts w:asciiTheme="minorHAnsi" w:eastAsiaTheme="minorEastAsia" w:hAnsiTheme="minorHAnsi" w:cstheme="minorBidi"/>
          <w:sz w:val="22"/>
          <w:szCs w:val="22"/>
        </w:rPr>
      </w:pPr>
      <w:hyperlink w:anchor="_Toc425345480" w:history="1">
        <w:r w:rsidR="00DD027D" w:rsidRPr="00513BE3">
          <w:rPr>
            <w:rStyle w:val="Hyperlink"/>
          </w:rPr>
          <w:t>Option 3: Remove barriers to more innovative PDSs, SOAs and FSGs</w:t>
        </w:r>
        <w:r w:rsidR="00DD027D">
          <w:rPr>
            <w:webHidden/>
          </w:rPr>
          <w:tab/>
        </w:r>
        <w:r w:rsidR="00DD027D">
          <w:rPr>
            <w:webHidden/>
          </w:rPr>
          <w:fldChar w:fldCharType="begin"/>
        </w:r>
        <w:r w:rsidR="00DD027D">
          <w:rPr>
            <w:webHidden/>
          </w:rPr>
          <w:instrText xml:space="preserve"> PAGEREF _Toc425345480 \h </w:instrText>
        </w:r>
        <w:r w:rsidR="00DD027D">
          <w:rPr>
            <w:webHidden/>
          </w:rPr>
        </w:r>
        <w:r w:rsidR="00DD027D">
          <w:rPr>
            <w:webHidden/>
          </w:rPr>
          <w:fldChar w:fldCharType="separate"/>
        </w:r>
        <w:r w:rsidR="00DD027D">
          <w:rPr>
            <w:webHidden/>
          </w:rPr>
          <w:t>18</w:t>
        </w:r>
        <w:r w:rsidR="00DD027D">
          <w:rPr>
            <w:webHidden/>
          </w:rPr>
          <w:fldChar w:fldCharType="end"/>
        </w:r>
      </w:hyperlink>
    </w:p>
    <w:p w:rsidR="00DD027D" w:rsidRDefault="00DF67D6" w:rsidP="00DD027D">
      <w:pPr>
        <w:pStyle w:val="TOC2"/>
        <w:rPr>
          <w:rFonts w:asciiTheme="minorHAnsi" w:eastAsiaTheme="minorEastAsia" w:hAnsiTheme="minorHAnsi" w:cstheme="minorBidi"/>
          <w:sz w:val="22"/>
          <w:szCs w:val="22"/>
        </w:rPr>
      </w:pPr>
      <w:hyperlink w:anchor="_Toc425345481" w:history="1">
        <w:r w:rsidR="00DD027D" w:rsidRPr="00513BE3">
          <w:rPr>
            <w:rStyle w:val="Hyperlink"/>
          </w:rPr>
          <w:t>Option 4: Take no action (status quo)</w:t>
        </w:r>
        <w:r w:rsidR="00DD027D">
          <w:rPr>
            <w:webHidden/>
          </w:rPr>
          <w:tab/>
        </w:r>
        <w:r w:rsidR="00DD027D">
          <w:rPr>
            <w:webHidden/>
          </w:rPr>
          <w:fldChar w:fldCharType="begin"/>
        </w:r>
        <w:r w:rsidR="00DD027D">
          <w:rPr>
            <w:webHidden/>
          </w:rPr>
          <w:instrText xml:space="preserve"> PAGEREF _Toc425345481 \h </w:instrText>
        </w:r>
        <w:r w:rsidR="00DD027D">
          <w:rPr>
            <w:webHidden/>
          </w:rPr>
        </w:r>
        <w:r w:rsidR="00DD027D">
          <w:rPr>
            <w:webHidden/>
          </w:rPr>
          <w:fldChar w:fldCharType="separate"/>
        </w:r>
        <w:r w:rsidR="00DD027D">
          <w:rPr>
            <w:webHidden/>
          </w:rPr>
          <w:t>19</w:t>
        </w:r>
        <w:r w:rsidR="00DD027D">
          <w:rPr>
            <w:webHidden/>
          </w:rPr>
          <w:fldChar w:fldCharType="end"/>
        </w:r>
      </w:hyperlink>
    </w:p>
    <w:p w:rsidR="00DD027D" w:rsidRDefault="00DF67D6" w:rsidP="00DD027D">
      <w:pPr>
        <w:pStyle w:val="TOC1"/>
        <w:rPr>
          <w:rFonts w:asciiTheme="minorHAnsi" w:eastAsiaTheme="minorEastAsia" w:hAnsiTheme="minorHAnsi" w:cstheme="minorBidi"/>
          <w:b w:val="0"/>
          <w:sz w:val="22"/>
          <w:szCs w:val="22"/>
        </w:rPr>
      </w:pPr>
      <w:hyperlink w:anchor="_Toc425345482" w:history="1">
        <w:r w:rsidR="00DD027D" w:rsidRPr="00513BE3">
          <w:rPr>
            <w:rStyle w:val="Hyperlink"/>
          </w:rPr>
          <w:t>C</w:t>
        </w:r>
        <w:r w:rsidR="00DD027D">
          <w:rPr>
            <w:rFonts w:asciiTheme="minorHAnsi" w:eastAsiaTheme="minorEastAsia" w:hAnsiTheme="minorHAnsi" w:cstheme="minorBidi"/>
            <w:b w:val="0"/>
            <w:sz w:val="22"/>
            <w:szCs w:val="22"/>
          </w:rPr>
          <w:tab/>
        </w:r>
        <w:r w:rsidR="00DD027D" w:rsidRPr="00513BE3">
          <w:rPr>
            <w:rStyle w:val="Hyperlink"/>
          </w:rPr>
          <w:t>Consultation</w:t>
        </w:r>
        <w:r w:rsidR="00DD027D">
          <w:rPr>
            <w:webHidden/>
          </w:rPr>
          <w:tab/>
        </w:r>
        <w:r w:rsidR="00DD027D">
          <w:rPr>
            <w:webHidden/>
          </w:rPr>
          <w:fldChar w:fldCharType="begin"/>
        </w:r>
        <w:r w:rsidR="00DD027D">
          <w:rPr>
            <w:webHidden/>
          </w:rPr>
          <w:instrText xml:space="preserve"> PAGEREF _Toc425345482 \h </w:instrText>
        </w:r>
        <w:r w:rsidR="00DD027D">
          <w:rPr>
            <w:webHidden/>
          </w:rPr>
        </w:r>
        <w:r w:rsidR="00DD027D">
          <w:rPr>
            <w:webHidden/>
          </w:rPr>
          <w:fldChar w:fldCharType="separate"/>
        </w:r>
        <w:r w:rsidR="00DD027D">
          <w:rPr>
            <w:webHidden/>
          </w:rPr>
          <w:t>21</w:t>
        </w:r>
        <w:r w:rsidR="00DD027D">
          <w:rPr>
            <w:webHidden/>
          </w:rPr>
          <w:fldChar w:fldCharType="end"/>
        </w:r>
      </w:hyperlink>
    </w:p>
    <w:p w:rsidR="00DD027D" w:rsidRDefault="00DF67D6" w:rsidP="00DD027D">
      <w:pPr>
        <w:pStyle w:val="TOC1"/>
        <w:rPr>
          <w:rFonts w:asciiTheme="minorHAnsi" w:eastAsiaTheme="minorEastAsia" w:hAnsiTheme="minorHAnsi" w:cstheme="minorBidi"/>
          <w:b w:val="0"/>
          <w:sz w:val="22"/>
          <w:szCs w:val="22"/>
        </w:rPr>
      </w:pPr>
      <w:hyperlink w:anchor="_Toc425345483" w:history="1">
        <w:r w:rsidR="00DD027D" w:rsidRPr="00513BE3">
          <w:rPr>
            <w:rStyle w:val="Hyperlink"/>
          </w:rPr>
          <w:t>D</w:t>
        </w:r>
        <w:r w:rsidR="00DD027D">
          <w:rPr>
            <w:rFonts w:asciiTheme="minorHAnsi" w:eastAsiaTheme="minorEastAsia" w:hAnsiTheme="minorHAnsi" w:cstheme="minorBidi"/>
            <w:b w:val="0"/>
            <w:sz w:val="22"/>
            <w:szCs w:val="22"/>
          </w:rPr>
          <w:tab/>
        </w:r>
        <w:r w:rsidR="00DD027D" w:rsidRPr="00513BE3">
          <w:rPr>
            <w:rStyle w:val="Hyperlink"/>
          </w:rPr>
          <w:t>Conclusion and recommended option</w:t>
        </w:r>
        <w:r w:rsidR="00DD027D">
          <w:rPr>
            <w:webHidden/>
          </w:rPr>
          <w:tab/>
        </w:r>
        <w:r w:rsidR="00DD027D">
          <w:rPr>
            <w:webHidden/>
          </w:rPr>
          <w:fldChar w:fldCharType="begin"/>
        </w:r>
        <w:r w:rsidR="00DD027D">
          <w:rPr>
            <w:webHidden/>
          </w:rPr>
          <w:instrText xml:space="preserve"> PAGEREF _Toc425345483 \h </w:instrText>
        </w:r>
        <w:r w:rsidR="00DD027D">
          <w:rPr>
            <w:webHidden/>
          </w:rPr>
        </w:r>
        <w:r w:rsidR="00DD027D">
          <w:rPr>
            <w:webHidden/>
          </w:rPr>
          <w:fldChar w:fldCharType="separate"/>
        </w:r>
        <w:r w:rsidR="00DD027D">
          <w:rPr>
            <w:webHidden/>
          </w:rPr>
          <w:t>23</w:t>
        </w:r>
        <w:r w:rsidR="00DD027D">
          <w:rPr>
            <w:webHidden/>
          </w:rPr>
          <w:fldChar w:fldCharType="end"/>
        </w:r>
      </w:hyperlink>
    </w:p>
    <w:p w:rsidR="00DD027D" w:rsidRDefault="00DF67D6" w:rsidP="00DD027D">
      <w:pPr>
        <w:pStyle w:val="TOC1"/>
        <w:rPr>
          <w:rFonts w:asciiTheme="minorHAnsi" w:eastAsiaTheme="minorEastAsia" w:hAnsiTheme="minorHAnsi" w:cstheme="minorBidi"/>
          <w:b w:val="0"/>
          <w:sz w:val="22"/>
          <w:szCs w:val="22"/>
        </w:rPr>
      </w:pPr>
      <w:hyperlink w:anchor="_Toc425345484" w:history="1">
        <w:r w:rsidR="00DD027D" w:rsidRPr="00513BE3">
          <w:rPr>
            <w:rStyle w:val="Hyperlink"/>
          </w:rPr>
          <w:t>E</w:t>
        </w:r>
        <w:r w:rsidR="00DD027D">
          <w:rPr>
            <w:rFonts w:asciiTheme="minorHAnsi" w:eastAsiaTheme="minorEastAsia" w:hAnsiTheme="minorHAnsi" w:cstheme="minorBidi"/>
            <w:b w:val="0"/>
            <w:sz w:val="22"/>
            <w:szCs w:val="22"/>
          </w:rPr>
          <w:tab/>
        </w:r>
        <w:r w:rsidR="00DD027D" w:rsidRPr="00513BE3">
          <w:rPr>
            <w:rStyle w:val="Hyperlink"/>
          </w:rPr>
          <w:t>Implementation and review</w:t>
        </w:r>
        <w:r w:rsidR="00DD027D">
          <w:rPr>
            <w:webHidden/>
          </w:rPr>
          <w:tab/>
        </w:r>
        <w:r w:rsidR="00DD027D">
          <w:rPr>
            <w:webHidden/>
          </w:rPr>
          <w:fldChar w:fldCharType="begin"/>
        </w:r>
        <w:r w:rsidR="00DD027D">
          <w:rPr>
            <w:webHidden/>
          </w:rPr>
          <w:instrText xml:space="preserve"> PAGEREF _Toc425345484 \h </w:instrText>
        </w:r>
        <w:r w:rsidR="00DD027D">
          <w:rPr>
            <w:webHidden/>
          </w:rPr>
        </w:r>
        <w:r w:rsidR="00DD027D">
          <w:rPr>
            <w:webHidden/>
          </w:rPr>
          <w:fldChar w:fldCharType="separate"/>
        </w:r>
        <w:r w:rsidR="00DD027D">
          <w:rPr>
            <w:webHidden/>
          </w:rPr>
          <w:t>24</w:t>
        </w:r>
        <w:r w:rsidR="00DD027D">
          <w:rPr>
            <w:webHidden/>
          </w:rPr>
          <w:fldChar w:fldCharType="end"/>
        </w:r>
      </w:hyperlink>
    </w:p>
    <w:p w:rsidR="00DD027D" w:rsidRDefault="00DF67D6" w:rsidP="00DD027D">
      <w:pPr>
        <w:pStyle w:val="TOC1"/>
        <w:rPr>
          <w:rFonts w:asciiTheme="minorHAnsi" w:eastAsiaTheme="minorEastAsia" w:hAnsiTheme="minorHAnsi" w:cstheme="minorBidi"/>
          <w:b w:val="0"/>
          <w:sz w:val="22"/>
          <w:szCs w:val="22"/>
        </w:rPr>
      </w:pPr>
      <w:hyperlink w:anchor="_Toc425345485" w:history="1">
        <w:r w:rsidR="00DD027D" w:rsidRPr="00513BE3">
          <w:rPr>
            <w:rStyle w:val="Hyperlink"/>
          </w:rPr>
          <w:t>F</w:t>
        </w:r>
        <w:r w:rsidR="00DD027D">
          <w:rPr>
            <w:rFonts w:asciiTheme="minorHAnsi" w:eastAsiaTheme="minorEastAsia" w:hAnsiTheme="minorHAnsi" w:cstheme="minorBidi"/>
            <w:b w:val="0"/>
            <w:sz w:val="22"/>
            <w:szCs w:val="22"/>
          </w:rPr>
          <w:tab/>
        </w:r>
        <w:r w:rsidR="00DD027D" w:rsidRPr="00513BE3">
          <w:rPr>
            <w:rStyle w:val="Hyperlink"/>
          </w:rPr>
          <w:t>Regulatory Burden and Cost Offset (RBCO) Estimate table</w:t>
        </w:r>
        <w:r w:rsidR="00DD027D">
          <w:rPr>
            <w:webHidden/>
          </w:rPr>
          <w:tab/>
        </w:r>
        <w:r w:rsidR="00DD027D">
          <w:rPr>
            <w:webHidden/>
          </w:rPr>
          <w:fldChar w:fldCharType="begin"/>
        </w:r>
        <w:r w:rsidR="00DD027D">
          <w:rPr>
            <w:webHidden/>
          </w:rPr>
          <w:instrText xml:space="preserve"> PAGEREF _Toc425345485 \h </w:instrText>
        </w:r>
        <w:r w:rsidR="00DD027D">
          <w:rPr>
            <w:webHidden/>
          </w:rPr>
        </w:r>
        <w:r w:rsidR="00DD027D">
          <w:rPr>
            <w:webHidden/>
          </w:rPr>
          <w:fldChar w:fldCharType="separate"/>
        </w:r>
        <w:r w:rsidR="00DD027D">
          <w:rPr>
            <w:webHidden/>
          </w:rPr>
          <w:t>25</w:t>
        </w:r>
        <w:r w:rsidR="00DD027D">
          <w:rPr>
            <w:webHidden/>
          </w:rPr>
          <w:fldChar w:fldCharType="end"/>
        </w:r>
      </w:hyperlink>
    </w:p>
    <w:p w:rsidR="00DD027D" w:rsidRDefault="00DD027D" w:rsidP="00DD027D">
      <w:pPr>
        <w:pStyle w:val="Bodytextplain"/>
      </w:pPr>
      <w:r>
        <w:rPr>
          <w:rFonts w:ascii="HelveticaNeue LT 55 Roman" w:hAnsi="HelveticaNeue LT 55 Roman" w:cs="Arial"/>
          <w:noProof/>
          <w:sz w:val="20"/>
          <w:szCs w:val="20"/>
        </w:rPr>
        <w:fldChar w:fldCharType="end"/>
      </w:r>
    </w:p>
    <w:p w:rsidR="00DD027D" w:rsidRDefault="00DD027D" w:rsidP="00DD027D">
      <w:pPr>
        <w:pStyle w:val="Heading1"/>
      </w:pPr>
      <w:bookmarkStart w:id="3" w:name="_Toc425345473"/>
      <w:r>
        <w:lastRenderedPageBreak/>
        <w:t>Introduction</w:t>
      </w:r>
      <w:bookmarkEnd w:id="3"/>
    </w:p>
    <w:p w:rsidR="00DD027D" w:rsidRDefault="00DD027D" w:rsidP="00DD027D">
      <w:pPr>
        <w:pStyle w:val="Heading2"/>
      </w:pPr>
      <w:bookmarkStart w:id="4" w:name="_Toc425345474"/>
      <w:r>
        <w:t>Background</w:t>
      </w:r>
      <w:bookmarkEnd w:id="4"/>
    </w:p>
    <w:p w:rsidR="00DD027D" w:rsidRDefault="00DD027D" w:rsidP="00DD027D">
      <w:pPr>
        <w:pStyle w:val="BodyText"/>
      </w:pPr>
      <w:r>
        <w:t>A key part of the legislative scheme governing financial products and services is the principle of disclosure. That is, in order for consumers to be in a position to make informed decisions about financial products and services, the providers of those products and services must give them all of the relevant information about those products or services, such as their key features, benefits and risks.</w:t>
      </w:r>
    </w:p>
    <w:p w:rsidR="00DD027D" w:rsidRDefault="00DD027D" w:rsidP="00DD027D">
      <w:pPr>
        <w:pStyle w:val="BodyText"/>
      </w:pPr>
      <w:r>
        <w:t xml:space="preserve">The provision of this information is mandated by the legislation (as modified by the regulations and existing </w:t>
      </w:r>
      <w:proofErr w:type="spellStart"/>
      <w:r>
        <w:t>ASIC</w:t>
      </w:r>
      <w:proofErr w:type="spellEnd"/>
      <w:r>
        <w:t xml:space="preserve"> instruments). The various provisions cover both:</w:t>
      </w:r>
    </w:p>
    <w:p w:rsidR="00DD027D" w:rsidRDefault="00DD027D" w:rsidP="00DD027D">
      <w:pPr>
        <w:pStyle w:val="subparaa"/>
      </w:pPr>
      <w:r>
        <w:t xml:space="preserve">upfront disclosure—the information that must be given at the beginning or before the purchase or entering a financial relationship, such as a </w:t>
      </w:r>
      <w:proofErr w:type="spellStart"/>
      <w:r>
        <w:t>PDSs</w:t>
      </w:r>
      <w:proofErr w:type="spellEnd"/>
      <w:r>
        <w:t>; and</w:t>
      </w:r>
    </w:p>
    <w:p w:rsidR="00DD027D" w:rsidRDefault="00DD027D" w:rsidP="00DD027D">
      <w:pPr>
        <w:pStyle w:val="subparaa"/>
      </w:pPr>
      <w:r>
        <w:t xml:space="preserve">ongoing disclosure—the information that is given during the course of ownership of the product or engagement with the service, such as a bank statement or annual superannuation update, or a notification of a change to the product or service. </w:t>
      </w:r>
    </w:p>
    <w:p w:rsidR="00DD027D" w:rsidRDefault="00DD027D" w:rsidP="00DD027D">
      <w:pPr>
        <w:pStyle w:val="BodyText"/>
      </w:pPr>
      <w:r w:rsidRPr="00B86C33">
        <w:t xml:space="preserve">The </w:t>
      </w:r>
      <w:r w:rsidRPr="00B86C33">
        <w:rPr>
          <w:i/>
        </w:rPr>
        <w:t>Corporations Act</w:t>
      </w:r>
      <w:r>
        <w:rPr>
          <w:i/>
        </w:rPr>
        <w:t xml:space="preserve"> 2001 </w:t>
      </w:r>
      <w:r>
        <w:t>(Corporations Act)</w:t>
      </w:r>
      <w:r w:rsidRPr="00B86C33">
        <w:t xml:space="preserve"> </w:t>
      </w:r>
      <w:r>
        <w:t xml:space="preserve">itself </w:t>
      </w:r>
      <w:r w:rsidRPr="00B86C33">
        <w:t xml:space="preserve">is generally neutral as to the form of </w:t>
      </w:r>
      <w:r>
        <w:t xml:space="preserve">the </w:t>
      </w:r>
      <w:r w:rsidRPr="00B86C33">
        <w:t>disclosure</w:t>
      </w:r>
      <w:r>
        <w:t xml:space="preserve"> for financial services—that is, the legislation does not preference one form for disclosure (such as printed documents) over another form (such as digital documents), as long as the information is provided to the consumer at a mandated point in time, meets content requirements, and, in some cases, meets overarching requirements, such as being ‘clear, concise and effective’</w:t>
      </w:r>
      <w:r w:rsidRPr="00B86C33">
        <w:t>.</w:t>
      </w:r>
    </w:p>
    <w:p w:rsidR="00DD027D" w:rsidRPr="004F7164" w:rsidRDefault="00DD027D" w:rsidP="00DD027D">
      <w:pPr>
        <w:pStyle w:val="BodyText"/>
      </w:pPr>
      <w:r w:rsidRPr="004F7164">
        <w:t xml:space="preserve">However, as </w:t>
      </w:r>
      <w:r>
        <w:t>detailed</w:t>
      </w:r>
      <w:r w:rsidRPr="004F7164">
        <w:t xml:space="preserve"> below, the impact of the current legislative requirements, combined with </w:t>
      </w:r>
      <w:proofErr w:type="spellStart"/>
      <w:r w:rsidRPr="004F7164">
        <w:t>ASIC</w:t>
      </w:r>
      <w:r>
        <w:t>’</w:t>
      </w:r>
      <w:r w:rsidRPr="004F7164">
        <w:t>s</w:t>
      </w:r>
      <w:proofErr w:type="spellEnd"/>
      <w:r w:rsidRPr="004F7164">
        <w:t xml:space="preserve"> current guidance on how to apply those requirements set out in Regulatory Guide 221 </w:t>
      </w:r>
      <w:r w:rsidRPr="004F7164">
        <w:rPr>
          <w:i/>
        </w:rPr>
        <w:t>Facilitating online financial services disclosures</w:t>
      </w:r>
      <w:r w:rsidRPr="004F7164">
        <w:t xml:space="preserve"> (</w:t>
      </w:r>
      <w:proofErr w:type="spellStart"/>
      <w:r w:rsidRPr="004F7164">
        <w:t>RG</w:t>
      </w:r>
      <w:proofErr w:type="spellEnd"/>
      <w:r w:rsidRPr="004F7164">
        <w:t xml:space="preserve"> 221), mean that the default method for delivery of most disclosures is in printed form </w:t>
      </w:r>
      <w:r>
        <w:t>(</w:t>
      </w:r>
      <w:r w:rsidRPr="004F7164">
        <w:t xml:space="preserve">either </w:t>
      </w:r>
      <w:r>
        <w:t xml:space="preserve">given </w:t>
      </w:r>
      <w:r w:rsidRPr="004F7164">
        <w:t xml:space="preserve">personally or </w:t>
      </w:r>
      <w:r>
        <w:t>sent by</w:t>
      </w:r>
      <w:r w:rsidRPr="004F7164">
        <w:t xml:space="preserve"> post to an address</w:t>
      </w:r>
      <w:r>
        <w:t>)</w:t>
      </w:r>
      <w:r w:rsidRPr="004F7164">
        <w:t>. In other words, a printed disclosure document, sent to a postal address, remains the default method of delivering financial services disclosures.</w:t>
      </w:r>
    </w:p>
    <w:p w:rsidR="00DD027D" w:rsidRDefault="00DD027D" w:rsidP="00DD027D">
      <w:pPr>
        <w:pStyle w:val="BodyText"/>
      </w:pPr>
      <w:r>
        <w:t>Providers are also generally able to deliver upfront disclosures electronically, but while electronic versions of upfront disclosures are routinely made available, these are generally static, PDF duplicates of a printed document.</w:t>
      </w:r>
    </w:p>
    <w:p w:rsidR="00DD027D" w:rsidRDefault="00DD027D" w:rsidP="00DD027D">
      <w:pPr>
        <w:pStyle w:val="Heading3"/>
      </w:pPr>
      <w:r>
        <w:lastRenderedPageBreak/>
        <w:t>Legislative background</w:t>
      </w:r>
    </w:p>
    <w:p w:rsidR="00DD027D" w:rsidRPr="004F7164" w:rsidRDefault="00DD027D" w:rsidP="00DD027D">
      <w:pPr>
        <w:pStyle w:val="BodyText"/>
      </w:pPr>
      <w:r>
        <w:t>While most</w:t>
      </w:r>
      <w:r w:rsidRPr="00B86C33">
        <w:t xml:space="preserve"> disclosures can be delivered </w:t>
      </w:r>
      <w:r>
        <w:t>digitally</w:t>
      </w:r>
      <w:r w:rsidRPr="00B86C33">
        <w:t xml:space="preserve"> using a variety of delivery </w:t>
      </w:r>
      <w:r w:rsidRPr="004F7164">
        <w:t>methods, this generally requires specific agreement from the client, as compared with delivering disclosure to a postal address, which does not require specific agreement.</w:t>
      </w:r>
      <w:r>
        <w:t xml:space="preserve"> </w:t>
      </w:r>
    </w:p>
    <w:p w:rsidR="00DD027D" w:rsidRPr="004F7164" w:rsidRDefault="00DD027D" w:rsidP="00DD027D">
      <w:pPr>
        <w:pStyle w:val="BodyText"/>
      </w:pPr>
      <w:bookmarkStart w:id="5" w:name="_ASICRef14"/>
      <w:bookmarkStart w:id="6" w:name="_ASICRef910"/>
      <w:bookmarkStart w:id="7" w:name="_ASICRef410"/>
      <w:r>
        <w:t xml:space="preserve">The proposals discussed in this </w:t>
      </w:r>
      <w:proofErr w:type="spellStart"/>
      <w:r>
        <w:t>RIS</w:t>
      </w:r>
      <w:proofErr w:type="spellEnd"/>
      <w:r>
        <w:t xml:space="preserve"> relate to </w:t>
      </w:r>
      <w:proofErr w:type="spellStart"/>
      <w:r>
        <w:t>P</w:t>
      </w:r>
      <w:r w:rsidRPr="004F7164">
        <w:t>ts</w:t>
      </w:r>
      <w:proofErr w:type="spellEnd"/>
      <w:r w:rsidRPr="004F7164">
        <w:t xml:space="preserve"> 7.6–7.9 of the Corporations Act</w:t>
      </w:r>
      <w:r>
        <w:t>, which</w:t>
      </w:r>
      <w:r w:rsidRPr="004F7164">
        <w:t xml:space="preserve"> permit a wide range of financial services disclosures to be delivered digitally. The provisions that enable disclosures to be delivered digitally differ depending on the type of disclosure.</w:t>
      </w:r>
      <w:bookmarkEnd w:id="5"/>
      <w:bookmarkEnd w:id="6"/>
      <w:r w:rsidRPr="004F7164">
        <w:t xml:space="preserve"> </w:t>
      </w:r>
      <w:bookmarkEnd w:id="7"/>
      <w:r>
        <w:t xml:space="preserve">This </w:t>
      </w:r>
      <w:proofErr w:type="spellStart"/>
      <w:r>
        <w:t>RIS</w:t>
      </w:r>
      <w:proofErr w:type="spellEnd"/>
      <w:r>
        <w:t xml:space="preserve"> does not address disclosures under the </w:t>
      </w:r>
      <w:r w:rsidRPr="00ED1561">
        <w:rPr>
          <w:i/>
        </w:rPr>
        <w:t>National Consumer C</w:t>
      </w:r>
      <w:r w:rsidRPr="00912B12">
        <w:rPr>
          <w:i/>
        </w:rPr>
        <w:t>redit Protection Act 2009</w:t>
      </w:r>
      <w:r>
        <w:t xml:space="preserve">, such as credit card statements or mortgage disclosures. </w:t>
      </w:r>
    </w:p>
    <w:p w:rsidR="00DD027D" w:rsidRPr="004F7164" w:rsidRDefault="00DD027D" w:rsidP="00DD027D">
      <w:pPr>
        <w:pStyle w:val="BodyText"/>
      </w:pPr>
      <w:bookmarkStart w:id="8" w:name="_Ref394415483"/>
      <w:bookmarkStart w:id="9" w:name="_ASICRef579"/>
      <w:proofErr w:type="spellStart"/>
      <w:r>
        <w:t>F</w:t>
      </w:r>
      <w:r w:rsidRPr="004F7164">
        <w:t>SGs</w:t>
      </w:r>
      <w:proofErr w:type="spellEnd"/>
      <w:r w:rsidRPr="004F7164">
        <w:t>,</w:t>
      </w:r>
      <w:r>
        <w:t xml:space="preserve"> </w:t>
      </w:r>
      <w:proofErr w:type="spellStart"/>
      <w:r w:rsidRPr="004F7164">
        <w:t>SOAs</w:t>
      </w:r>
      <w:proofErr w:type="spellEnd"/>
      <w:r w:rsidRPr="004F7164">
        <w:t xml:space="preserve">, </w:t>
      </w:r>
      <w:proofErr w:type="spellStart"/>
      <w:r w:rsidRPr="004F7164">
        <w:t>PDSs</w:t>
      </w:r>
      <w:proofErr w:type="spellEnd"/>
      <w:r w:rsidRPr="004F7164">
        <w:t xml:space="preserve"> and information statements for Commonwealth Government Securities (</w:t>
      </w:r>
      <w:proofErr w:type="spellStart"/>
      <w:r w:rsidRPr="004F7164">
        <w:t>CGS</w:t>
      </w:r>
      <w:proofErr w:type="spellEnd"/>
      <w:r w:rsidRPr="004F7164">
        <w:t xml:space="preserve">) depository interests can be </w:t>
      </w:r>
      <w:r>
        <w:t>‘</w:t>
      </w:r>
      <w:r w:rsidRPr="004F7164">
        <w:t>given</w:t>
      </w:r>
      <w:r>
        <w:t>’</w:t>
      </w:r>
      <w:r w:rsidRPr="004F7164">
        <w:t xml:space="preserve"> if they are sent to an electronic address or fax number </w:t>
      </w:r>
      <w:r>
        <w:t>‘</w:t>
      </w:r>
      <w:r w:rsidRPr="004F7164">
        <w:t>nominated</w:t>
      </w:r>
      <w:r>
        <w:t>’</w:t>
      </w:r>
      <w:r w:rsidRPr="004F7164">
        <w:t xml:space="preserve"> by the client or the client</w:t>
      </w:r>
      <w:r>
        <w:t>’</w:t>
      </w:r>
      <w:r w:rsidRPr="004F7164">
        <w:t>s agent: s940C(1)(a)(ii), 1015C(1)(a)(ii) and 1020AK(1)(a)(ii).</w:t>
      </w:r>
      <w:bookmarkEnd w:id="8"/>
      <w:bookmarkEnd w:id="9"/>
      <w:r>
        <w:t xml:space="preserve"> The term ‘nominated’ is interpreted in </w:t>
      </w:r>
      <w:proofErr w:type="spellStart"/>
      <w:r>
        <w:t>RG</w:t>
      </w:r>
      <w:proofErr w:type="spellEnd"/>
      <w:r>
        <w:t> 221</w:t>
      </w:r>
      <w:r w:rsidRPr="004F7164">
        <w:t xml:space="preserve"> as a requirement for express consent</w:t>
      </w:r>
      <w:r>
        <w:t xml:space="preserve">, </w:t>
      </w:r>
      <w:r w:rsidRPr="004F7164">
        <w:t>in the case of electronic addresses</w:t>
      </w:r>
      <w:r>
        <w:t>.</w:t>
      </w:r>
    </w:p>
    <w:p w:rsidR="00DD027D" w:rsidRPr="004F7164" w:rsidRDefault="00DD027D" w:rsidP="00DD027D">
      <w:pPr>
        <w:pStyle w:val="BodyText"/>
      </w:pPr>
      <w:bookmarkStart w:id="10" w:name="_Ref393362122"/>
      <w:bookmarkStart w:id="11" w:name="_ASICRef646"/>
      <w:r w:rsidRPr="004F7164">
        <w:t xml:space="preserve">The following disclosures may be notified or given to a client in </w:t>
      </w:r>
      <w:r>
        <w:t>‘</w:t>
      </w:r>
      <w:r w:rsidRPr="004F7164">
        <w:t>electronic</w:t>
      </w:r>
      <w:r>
        <w:t>’</w:t>
      </w:r>
      <w:r w:rsidRPr="004F7164">
        <w:t xml:space="preserve"> form or may be sent </w:t>
      </w:r>
      <w:r>
        <w:t>‘</w:t>
      </w:r>
      <w:r w:rsidRPr="004F7164">
        <w:t>electronically</w:t>
      </w:r>
      <w:r>
        <w:t>’</w:t>
      </w:r>
      <w:r w:rsidRPr="004F7164">
        <w:t xml:space="preserve"> (interpreted</w:t>
      </w:r>
      <w:r>
        <w:t xml:space="preserve"> in </w:t>
      </w:r>
      <w:proofErr w:type="spellStart"/>
      <w:r>
        <w:t>RG</w:t>
      </w:r>
      <w:proofErr w:type="spellEnd"/>
      <w:r>
        <w:t xml:space="preserve"> 221</w:t>
      </w:r>
      <w:r w:rsidRPr="004F7164">
        <w:t xml:space="preserve"> as requiring express consent):</w:t>
      </w:r>
      <w:bookmarkEnd w:id="10"/>
      <w:bookmarkEnd w:id="11"/>
    </w:p>
    <w:p w:rsidR="00DD027D" w:rsidRPr="00430AF4" w:rsidRDefault="00DD027D" w:rsidP="00DD027D">
      <w:pPr>
        <w:pStyle w:val="subparaa"/>
      </w:pPr>
      <w:r w:rsidRPr="00430AF4">
        <w:t>ongoing disclosure (s1017B(3)(b));</w:t>
      </w:r>
    </w:p>
    <w:p w:rsidR="00DD027D" w:rsidRPr="00430AF4" w:rsidRDefault="00DD027D" w:rsidP="00DD027D">
      <w:pPr>
        <w:pStyle w:val="subparaa"/>
      </w:pPr>
      <w:r w:rsidRPr="00430AF4">
        <w:t>periodic statements (s1017D(6)(b));</w:t>
      </w:r>
    </w:p>
    <w:p w:rsidR="00DD027D" w:rsidRPr="00DA4EC7" w:rsidRDefault="00DD027D" w:rsidP="00DD027D">
      <w:pPr>
        <w:pStyle w:val="subparaa"/>
      </w:pPr>
      <w:r w:rsidRPr="00DA4EC7">
        <w:t>confirmations of transactions (s1017F(6)(a)(ii))</w:t>
      </w:r>
      <w:r>
        <w:t>;</w:t>
      </w:r>
    </w:p>
    <w:p w:rsidR="00DD027D" w:rsidRPr="00430AF4" w:rsidRDefault="00DD027D" w:rsidP="00DD027D">
      <w:pPr>
        <w:pStyle w:val="subparaa"/>
      </w:pPr>
      <w:r w:rsidRPr="00430AF4">
        <w:t xml:space="preserve">annual superannuation information (s1017DA(3) and </w:t>
      </w:r>
      <w:proofErr w:type="spellStart"/>
      <w:r w:rsidRPr="00430AF4">
        <w:t>reg</w:t>
      </w:r>
      <w:proofErr w:type="spellEnd"/>
      <w:r>
        <w:t> </w:t>
      </w:r>
      <w:r w:rsidRPr="00430AF4">
        <w:t>7.9.75A(3)(b)</w:t>
      </w:r>
      <w:r>
        <w:t>)</w:t>
      </w:r>
      <w:r w:rsidRPr="00430AF4">
        <w:t>;</w:t>
      </w:r>
    </w:p>
    <w:p w:rsidR="00DD027D" w:rsidRPr="00430AF4" w:rsidRDefault="00DD027D" w:rsidP="00DD027D">
      <w:pPr>
        <w:pStyle w:val="subparaa"/>
      </w:pPr>
      <w:r w:rsidRPr="00430AF4">
        <w:t xml:space="preserve">additional information provided by a superannuation trustee (s1017DA(3) and </w:t>
      </w:r>
      <w:proofErr w:type="spellStart"/>
      <w:r w:rsidRPr="00430AF4">
        <w:t>reg</w:t>
      </w:r>
      <w:proofErr w:type="spellEnd"/>
      <w:r w:rsidRPr="00430AF4">
        <w:t xml:space="preserve"> 7.9.75A(3)(b)); </w:t>
      </w:r>
      <w:r>
        <w:rPr>
          <w:lang w:val="en-ZW"/>
        </w:rPr>
        <w:t>and</w:t>
      </w:r>
    </w:p>
    <w:p w:rsidR="00DD027D" w:rsidRPr="00430AF4" w:rsidRDefault="00DD027D" w:rsidP="00DD027D">
      <w:pPr>
        <w:pStyle w:val="subparaa"/>
        <w:spacing w:before="80"/>
        <w:ind w:left="2707" w:hanging="432"/>
      </w:pPr>
      <w:r w:rsidRPr="00430AF4">
        <w:t>unsolicited offers to purchase financial products off-market (s1019E(1</w:t>
      </w:r>
      <w:r w:rsidRPr="00DA4EC7">
        <w:t>)), 1019G</w:t>
      </w:r>
      <w:r w:rsidRPr="00430AF4">
        <w:t>(3) and 1019J(2)).</w:t>
      </w:r>
    </w:p>
    <w:p w:rsidR="00DD027D" w:rsidRPr="00430AF4" w:rsidRDefault="00DD027D" w:rsidP="00DD027D">
      <w:pPr>
        <w:pStyle w:val="BodyText"/>
      </w:pPr>
      <w:bookmarkStart w:id="12" w:name="_ASICRef289"/>
      <w:bookmarkStart w:id="13" w:name="_ASICRef301"/>
      <w:bookmarkStart w:id="14" w:name="_Ref393379641"/>
      <w:r w:rsidRPr="00430AF4">
        <w:t xml:space="preserve">The following disclosures may </w:t>
      </w:r>
      <w:r w:rsidRPr="00DA4EC7">
        <w:t xml:space="preserve">alternatively </w:t>
      </w:r>
      <w:r w:rsidRPr="00430AF4">
        <w:t xml:space="preserve">be </w:t>
      </w:r>
      <w:r>
        <w:t>‘</w:t>
      </w:r>
      <w:r w:rsidRPr="00430AF4">
        <w:t>made available in any way agreed to</w:t>
      </w:r>
      <w:r>
        <w:t>’</w:t>
      </w:r>
      <w:r w:rsidRPr="00430AF4">
        <w:t xml:space="preserve"> by a client or their agent</w:t>
      </w:r>
      <w:bookmarkEnd w:id="12"/>
      <w:bookmarkEnd w:id="13"/>
      <w:r>
        <w:t xml:space="preserve"> (meaning, provided the client agrees, the disclosure could be delivered digitally)</w:t>
      </w:r>
      <w:r w:rsidRPr="00430AF4">
        <w:t>:</w:t>
      </w:r>
      <w:bookmarkEnd w:id="14"/>
    </w:p>
    <w:p w:rsidR="00DD027D" w:rsidRPr="00430AF4" w:rsidRDefault="00DD027D" w:rsidP="00DD027D">
      <w:pPr>
        <w:pStyle w:val="subparaa"/>
      </w:pPr>
      <w:proofErr w:type="spellStart"/>
      <w:r w:rsidRPr="00430AF4">
        <w:t>FSGs</w:t>
      </w:r>
      <w:proofErr w:type="spellEnd"/>
      <w:r w:rsidRPr="00430AF4">
        <w:t xml:space="preserve"> and </w:t>
      </w:r>
      <w:proofErr w:type="spellStart"/>
      <w:r w:rsidRPr="00430AF4">
        <w:t>SOAs</w:t>
      </w:r>
      <w:proofErr w:type="spellEnd"/>
      <w:r w:rsidRPr="00430AF4">
        <w:t xml:space="preserve"> (s940C(1)(a)(iii));</w:t>
      </w:r>
    </w:p>
    <w:p w:rsidR="00DD027D" w:rsidRPr="00430AF4" w:rsidRDefault="00DD027D" w:rsidP="00DD027D">
      <w:pPr>
        <w:pStyle w:val="subparaa"/>
        <w:spacing w:before="80"/>
        <w:ind w:left="2707" w:hanging="432"/>
      </w:pPr>
      <w:proofErr w:type="spellStart"/>
      <w:r w:rsidRPr="00430AF4">
        <w:t>PDSs</w:t>
      </w:r>
      <w:proofErr w:type="spellEnd"/>
      <w:r w:rsidRPr="00430AF4">
        <w:t xml:space="preserve"> (</w:t>
      </w:r>
      <w:proofErr w:type="spellStart"/>
      <w:r w:rsidRPr="00430AF4">
        <w:t>reg</w:t>
      </w:r>
      <w:proofErr w:type="spellEnd"/>
      <w:r w:rsidRPr="00430AF4">
        <w:t xml:space="preserve"> 7.9.02A);</w:t>
      </w:r>
    </w:p>
    <w:p w:rsidR="00DD027D" w:rsidRPr="00430AF4" w:rsidRDefault="00DD027D" w:rsidP="00DD027D">
      <w:pPr>
        <w:pStyle w:val="subparaa"/>
        <w:spacing w:before="80"/>
        <w:ind w:left="2707" w:hanging="432"/>
      </w:pPr>
      <w:r w:rsidRPr="00430AF4">
        <w:t>ongoing disclosure (</w:t>
      </w:r>
      <w:proofErr w:type="spellStart"/>
      <w:r w:rsidRPr="00430AF4">
        <w:t>reg</w:t>
      </w:r>
      <w:proofErr w:type="spellEnd"/>
      <w:r w:rsidRPr="00430AF4">
        <w:t xml:space="preserve"> 7.9.75A(1));</w:t>
      </w:r>
    </w:p>
    <w:p w:rsidR="00DD027D" w:rsidRPr="00430AF4" w:rsidRDefault="00DD027D" w:rsidP="00DD027D">
      <w:pPr>
        <w:pStyle w:val="subparaa"/>
        <w:spacing w:before="80"/>
        <w:ind w:left="2707" w:hanging="432"/>
      </w:pPr>
      <w:r w:rsidRPr="00430AF4">
        <w:t>periodic statements (</w:t>
      </w:r>
      <w:proofErr w:type="spellStart"/>
      <w:r w:rsidRPr="00430AF4">
        <w:t>reg</w:t>
      </w:r>
      <w:proofErr w:type="spellEnd"/>
      <w:r w:rsidRPr="00430AF4">
        <w:t xml:space="preserve"> 7.9.75A(2));</w:t>
      </w:r>
    </w:p>
    <w:p w:rsidR="00DD027D" w:rsidRPr="00430AF4" w:rsidRDefault="00DD027D" w:rsidP="00DD027D">
      <w:pPr>
        <w:pStyle w:val="subparaa"/>
        <w:spacing w:before="80"/>
        <w:ind w:left="2707" w:hanging="432"/>
      </w:pPr>
      <w:r w:rsidRPr="00430AF4">
        <w:t>annual superannuation information and additional information provided by a superannuation trustee (</w:t>
      </w:r>
      <w:proofErr w:type="spellStart"/>
      <w:r w:rsidRPr="00430AF4">
        <w:t>reg</w:t>
      </w:r>
      <w:proofErr w:type="spellEnd"/>
      <w:r w:rsidRPr="00430AF4">
        <w:t xml:space="preserve"> 7.9.75A(3)(c) and (d)); and</w:t>
      </w:r>
    </w:p>
    <w:p w:rsidR="00DD027D" w:rsidRPr="00430AF4" w:rsidRDefault="00DD027D" w:rsidP="00DD027D">
      <w:pPr>
        <w:pStyle w:val="subparaa"/>
        <w:spacing w:before="80"/>
        <w:ind w:left="2707" w:hanging="432"/>
      </w:pPr>
      <w:r w:rsidRPr="00430AF4">
        <w:t>additional information on request (s1017A(4)(b)).</w:t>
      </w:r>
    </w:p>
    <w:p w:rsidR="00DD027D" w:rsidRPr="00DA4EC7" w:rsidRDefault="00DD027D" w:rsidP="00DD027D">
      <w:pPr>
        <w:pStyle w:val="BodyText"/>
      </w:pPr>
      <w:bookmarkStart w:id="15" w:name="_ASICRef705"/>
      <w:bookmarkStart w:id="16" w:name="_ASICRef226"/>
      <w:bookmarkStart w:id="17" w:name="_ASICRef774"/>
      <w:bookmarkStart w:id="18" w:name="_ASICRef760"/>
      <w:r w:rsidRPr="00DA4EC7">
        <w:lastRenderedPageBreak/>
        <w:t xml:space="preserve">Annual superannuation information can also be provided to members of a regulated superannuation fund by </w:t>
      </w:r>
      <w:r>
        <w:t>‘</w:t>
      </w:r>
      <w:r w:rsidRPr="00DA4EC7">
        <w:t>making [it] available on a website that is maintained by or on behalf of the trustee</w:t>
      </w:r>
      <w:r>
        <w:t>’</w:t>
      </w:r>
      <w:r w:rsidRPr="00DA4EC7">
        <w:t xml:space="preserve"> in accordance with </w:t>
      </w:r>
      <w:proofErr w:type="spellStart"/>
      <w:r w:rsidRPr="00DA4EC7">
        <w:t>reg</w:t>
      </w:r>
      <w:proofErr w:type="spellEnd"/>
      <w:r w:rsidRPr="00DA4EC7">
        <w:t xml:space="preserve"> 7.9.75BA.</w:t>
      </w:r>
    </w:p>
    <w:p w:rsidR="00DD027D" w:rsidRPr="004F7164" w:rsidRDefault="00DD027D" w:rsidP="00DD027D">
      <w:pPr>
        <w:pStyle w:val="BodyText"/>
      </w:pPr>
      <w:r w:rsidRPr="00AA2AA5">
        <w:t xml:space="preserve">Confirmations of transactions can be provided </w:t>
      </w:r>
      <w:r>
        <w:t>‘</w:t>
      </w:r>
      <w:r w:rsidRPr="00AA2AA5">
        <w:t xml:space="preserve">by means of a standing </w:t>
      </w:r>
      <w:r w:rsidRPr="004F7164">
        <w:t>facility</w:t>
      </w:r>
      <w:r>
        <w:t>’</w:t>
      </w:r>
      <w:r w:rsidRPr="004F7164">
        <w:t xml:space="preserve"> in accordance with s1017F(5)(b) and 1017F(5A).</w:t>
      </w:r>
      <w:bookmarkEnd w:id="15"/>
      <w:bookmarkEnd w:id="16"/>
      <w:bookmarkEnd w:id="17"/>
      <w:bookmarkEnd w:id="18"/>
    </w:p>
    <w:p w:rsidR="00DD027D" w:rsidRDefault="00DD027D" w:rsidP="00DD027D">
      <w:pPr>
        <w:pStyle w:val="BodyText"/>
      </w:pPr>
      <w:r w:rsidRPr="004F7164">
        <w:t xml:space="preserve">Under Class Order [CO 13/763] </w:t>
      </w:r>
      <w:r w:rsidRPr="004F7164">
        <w:rPr>
          <w:i/>
        </w:rPr>
        <w:t>Investor directed portfolio services</w:t>
      </w:r>
      <w:r w:rsidRPr="004F7164">
        <w:t>, quarterly reports for an investor directed portfolio service (</w:t>
      </w:r>
      <w:proofErr w:type="spellStart"/>
      <w:r w:rsidRPr="004F7164">
        <w:t>IDPS</w:t>
      </w:r>
      <w:proofErr w:type="spellEnd"/>
      <w:r w:rsidRPr="004F7164">
        <w:t>) can either be delivered electronically, or a client (with their consent) can be given access to their account on an electronic</w:t>
      </w:r>
      <w:r w:rsidRPr="00DA4EC7">
        <w:t xml:space="preserve"> platform, where the </w:t>
      </w:r>
      <w:r>
        <w:t>Australian financial services (</w:t>
      </w:r>
      <w:proofErr w:type="spellStart"/>
      <w:r>
        <w:t>AFS</w:t>
      </w:r>
      <w:proofErr w:type="spellEnd"/>
      <w:r>
        <w:t xml:space="preserve">) </w:t>
      </w:r>
      <w:r w:rsidRPr="00DA4EC7">
        <w:t xml:space="preserve">licensee has no reason to doubt that the client has substantially continuous access. </w:t>
      </w:r>
    </w:p>
    <w:p w:rsidR="00DD027D" w:rsidRDefault="00DD027D" w:rsidP="00DD027D">
      <w:pPr>
        <w:pStyle w:val="Heading3"/>
      </w:pPr>
      <w:proofErr w:type="spellStart"/>
      <w:r>
        <w:t>ASIC</w:t>
      </w:r>
      <w:proofErr w:type="spellEnd"/>
      <w:r>
        <w:t xml:space="preserve"> guidance</w:t>
      </w:r>
    </w:p>
    <w:p w:rsidR="00DD027D" w:rsidRDefault="00DD027D" w:rsidP="00DD027D">
      <w:pPr>
        <w:pStyle w:val="BodyText"/>
      </w:pPr>
      <w:r>
        <w:t xml:space="preserve">In 2010, </w:t>
      </w:r>
      <w:proofErr w:type="spellStart"/>
      <w:r>
        <w:t>ASIC</w:t>
      </w:r>
      <w:proofErr w:type="spellEnd"/>
      <w:r>
        <w:t xml:space="preserve"> issued </w:t>
      </w:r>
      <w:proofErr w:type="spellStart"/>
      <w:r>
        <w:t>RG</w:t>
      </w:r>
      <w:proofErr w:type="spellEnd"/>
      <w:r>
        <w:t xml:space="preserve"> 221</w:t>
      </w:r>
      <w:r w:rsidRPr="00FB3388">
        <w:rPr>
          <w:i/>
        </w:rPr>
        <w:t xml:space="preserve">. </w:t>
      </w:r>
      <w:r>
        <w:t xml:space="preserve">The purpose of the guide was to facilitate the use of electronic delivery of disclosure by explaining how the delivery methods in the law operate. </w:t>
      </w:r>
      <w:proofErr w:type="spellStart"/>
      <w:r>
        <w:t>ASIC</w:t>
      </w:r>
      <w:proofErr w:type="spellEnd"/>
      <w:r>
        <w:t xml:space="preserve"> also made Class Order [CO 10/1219] </w:t>
      </w:r>
      <w:r w:rsidRPr="006A1C24">
        <w:rPr>
          <w:i/>
        </w:rPr>
        <w:t xml:space="preserve">Facilitating online delivery of </w:t>
      </w:r>
      <w:proofErr w:type="spellStart"/>
      <w:r w:rsidRPr="006A1C24">
        <w:rPr>
          <w:i/>
        </w:rPr>
        <w:t>PDSs</w:t>
      </w:r>
      <w:proofErr w:type="spellEnd"/>
      <w:r w:rsidRPr="006A1C24">
        <w:rPr>
          <w:i/>
        </w:rPr>
        <w:t xml:space="preserve">, </w:t>
      </w:r>
      <w:proofErr w:type="spellStart"/>
      <w:r w:rsidRPr="006A1C24">
        <w:rPr>
          <w:i/>
        </w:rPr>
        <w:t>FSGs</w:t>
      </w:r>
      <w:proofErr w:type="spellEnd"/>
      <w:r w:rsidRPr="006A1C24">
        <w:rPr>
          <w:i/>
        </w:rPr>
        <w:t xml:space="preserve"> and </w:t>
      </w:r>
      <w:proofErr w:type="spellStart"/>
      <w:r w:rsidRPr="006A1C24">
        <w:rPr>
          <w:i/>
        </w:rPr>
        <w:t>SOAs</w:t>
      </w:r>
      <w:proofErr w:type="spellEnd"/>
      <w:r>
        <w:t xml:space="preserve"> to enable delivery of some disclosures via hyperlinks and through references to website addresses, and to explain when consent is needed to send disclosures electronically.</w:t>
      </w:r>
    </w:p>
    <w:p w:rsidR="00DD027D" w:rsidRDefault="00DD027D" w:rsidP="00DD027D">
      <w:pPr>
        <w:pStyle w:val="BodyText"/>
      </w:pPr>
      <w:r>
        <w:t xml:space="preserve">Under the current law and </w:t>
      </w:r>
      <w:proofErr w:type="spellStart"/>
      <w:r>
        <w:t>ASIC’s</w:t>
      </w:r>
      <w:proofErr w:type="spellEnd"/>
      <w:r>
        <w:t xml:space="preserve"> current guidance, providers are able to deliver most ongoing disclosures by publishing them electronically (such as on a website) and giving a notification; however, generally the provider must first agree this method of delivery with the consumer. </w:t>
      </w:r>
    </w:p>
    <w:p w:rsidR="00DD027D" w:rsidRDefault="00DD027D" w:rsidP="00DD027D">
      <w:pPr>
        <w:pStyle w:val="BodyText"/>
      </w:pPr>
      <w:r>
        <w:t xml:space="preserve">As a result of the position that we took in our guidance, even where providers have an electronic address, they must generally obtain active consent from consumers in order to send disclosures to electronic addresses. As such, the default method of disclosure is printed disclosures sent to a postal address. </w:t>
      </w:r>
    </w:p>
    <w:p w:rsidR="00DD027D" w:rsidRDefault="00DD027D" w:rsidP="00DD027D">
      <w:pPr>
        <w:pStyle w:val="Heading3"/>
      </w:pPr>
      <w:r>
        <w:t>Summary of industry</w:t>
      </w:r>
    </w:p>
    <w:p w:rsidR="00DD027D" w:rsidRDefault="00DD027D" w:rsidP="00DD027D">
      <w:pPr>
        <w:pStyle w:val="BodyText"/>
      </w:pPr>
      <w:r>
        <w:t xml:space="preserve">These proposals may affect all product and service providers in the financial sector; however, the key sectors that provide disclosure documents are superannuation funds and banks (including wealth management businesses of banks). </w:t>
      </w:r>
    </w:p>
    <w:p w:rsidR="00DD027D" w:rsidRDefault="00DD027D" w:rsidP="00DD027D">
      <w:pPr>
        <w:pStyle w:val="BodyText"/>
      </w:pPr>
      <w:r w:rsidRPr="00680496">
        <w:t>According to A</w:t>
      </w:r>
      <w:r>
        <w:t>ustralian Prudential Regulation Authority (A</w:t>
      </w:r>
      <w:r w:rsidRPr="00680496">
        <w:t>PRA</w:t>
      </w:r>
      <w:r>
        <w:t>)</w:t>
      </w:r>
      <w:r w:rsidRPr="00680496">
        <w:t xml:space="preserve"> data, there are </w:t>
      </w:r>
      <w:r>
        <w:t>approximately 29 million</w:t>
      </w:r>
      <w:r w:rsidRPr="00680496">
        <w:t xml:space="preserve"> </w:t>
      </w:r>
      <w:r>
        <w:t xml:space="preserve">superannuation </w:t>
      </w:r>
      <w:r w:rsidRPr="00680496">
        <w:t>member accounts with funds that have more than four members.</w:t>
      </w:r>
      <w:r>
        <w:t xml:space="preserve"> We estimate that there are approximately 40 million bank customers in Australia.</w:t>
      </w:r>
      <w:r>
        <w:rPr>
          <w:rStyle w:val="FootnoteReference"/>
        </w:rPr>
        <w:footnoteReference w:id="1"/>
      </w:r>
    </w:p>
    <w:p w:rsidR="00DD027D" w:rsidRDefault="00DD027D" w:rsidP="00DD027D">
      <w:pPr>
        <w:pStyle w:val="Heading2"/>
      </w:pPr>
      <w:bookmarkStart w:id="19" w:name="_Toc425345475"/>
      <w:r>
        <w:lastRenderedPageBreak/>
        <w:t>Assessing the problem</w:t>
      </w:r>
      <w:bookmarkEnd w:id="19"/>
    </w:p>
    <w:p w:rsidR="00DD027D" w:rsidRDefault="00DD027D" w:rsidP="00DD027D">
      <w:pPr>
        <w:pStyle w:val="BodyText"/>
      </w:pPr>
      <w:r>
        <w:t xml:space="preserve">The overarching disclosure framework has significant shortcomings and limitations, </w:t>
      </w:r>
      <w:r w:rsidRPr="007A652D">
        <w:t>including that, even when well designed, disclosure is ultimately less effective in addressing some market problems than others (e.g. conflicts of interest)</w:t>
      </w:r>
      <w:r>
        <w:t>.</w:t>
      </w:r>
      <w:r>
        <w:rPr>
          <w:rStyle w:val="FootnoteReference"/>
        </w:rPr>
        <w:footnoteReference w:id="2"/>
      </w:r>
    </w:p>
    <w:p w:rsidR="00DD027D" w:rsidRDefault="00DD027D" w:rsidP="00DD027D">
      <w:pPr>
        <w:pStyle w:val="BodyText"/>
      </w:pPr>
      <w:r>
        <w:t xml:space="preserve">The policy project outlined in this </w:t>
      </w:r>
      <w:proofErr w:type="spellStart"/>
      <w:r>
        <w:t>RIS</w:t>
      </w:r>
      <w:proofErr w:type="spellEnd"/>
      <w:r>
        <w:t xml:space="preserve"> is not attempting to address these broader problems, nor does it seek to assess and improve the efficacy of the disclosure regime. </w:t>
      </w:r>
    </w:p>
    <w:p w:rsidR="00DD027D" w:rsidRDefault="00DD027D" w:rsidP="00DD027D">
      <w:pPr>
        <w:pStyle w:val="BodyText"/>
      </w:pPr>
      <w:r>
        <w:t xml:space="preserve">Rather, this </w:t>
      </w:r>
      <w:proofErr w:type="spellStart"/>
      <w:r>
        <w:t>RIS</w:t>
      </w:r>
      <w:proofErr w:type="spellEnd"/>
      <w:r>
        <w:t xml:space="preserve"> is intended to address problems within this regime, around the format and the method of delivery of disclosure that are inhibiting the regime from operating efficiently, in that the regime does not allow participants to choose the most appropriate, effective or efficient method of communication.</w:t>
      </w:r>
    </w:p>
    <w:p w:rsidR="00DD027D" w:rsidRDefault="00DD027D" w:rsidP="00DD027D">
      <w:pPr>
        <w:pStyle w:val="BodyText"/>
      </w:pPr>
      <w:r>
        <w:t>These problems are chiefly regulatory impediments to technology neutral communication within the financial services disclosure regime.</w:t>
      </w:r>
    </w:p>
    <w:p w:rsidR="00DD027D" w:rsidRDefault="00DD027D" w:rsidP="00DD027D">
      <w:pPr>
        <w:pStyle w:val="BodyText"/>
      </w:pPr>
      <w:r>
        <w:t xml:space="preserve">Our estimates, based on information provided by industry, suggest that only around 34% of bank customers and around 8% of superannuation members currently receive financial services disclosures digitally, including by email and other digital methods. </w:t>
      </w:r>
    </w:p>
    <w:p w:rsidR="00DD027D" w:rsidRDefault="00DD027D" w:rsidP="00DD027D">
      <w:pPr>
        <w:pStyle w:val="BodyText"/>
      </w:pPr>
      <w:r>
        <w:t xml:space="preserve">If each of the remaining consumers received a single letter a year from their financial services provider, that would be around 55 million letters each year. </w:t>
      </w:r>
    </w:p>
    <w:p w:rsidR="00DD027D" w:rsidRPr="00A41AA7" w:rsidRDefault="00DD027D" w:rsidP="00DD027D">
      <w:pPr>
        <w:pStyle w:val="Heading3"/>
      </w:pPr>
      <w:r>
        <w:t>Regulatory settings unnecessarily limiting choice</w:t>
      </w:r>
    </w:p>
    <w:p w:rsidR="00DD027D" w:rsidRDefault="00DD027D" w:rsidP="00DD027D">
      <w:pPr>
        <w:pStyle w:val="BodyText"/>
      </w:pPr>
      <w:r>
        <w:t>The current regulatory and legislative settings create a disclosure regime for financial services that is not technology neutral but, rather, favours printed disclosure formats and posted or personal delivery over digital formats and digital delivery by making printed and posted disclosures the default. These regulatory settings create market inefficiency, in the form of additional transaction costs, because providers cannot choose to set their default method of delivery to digital delivery. This means that consumers need to actively opt in to receive digital disclosures.</w:t>
      </w:r>
    </w:p>
    <w:p w:rsidR="00DD027D" w:rsidRDefault="00DD027D" w:rsidP="00DD027D">
      <w:pPr>
        <w:pStyle w:val="BodyText"/>
      </w:pPr>
      <w:r>
        <w:t xml:space="preserve">Research suggests that </w:t>
      </w:r>
      <w:r w:rsidRPr="00D37B0B">
        <w:t>a default</w:t>
      </w:r>
      <w:r>
        <w:t xml:space="preserve"> option that</w:t>
      </w:r>
      <w:r w:rsidRPr="00D37B0B">
        <w:t xml:space="preserve"> will be retained unless the </w:t>
      </w:r>
      <w:r>
        <w:t>consumer</w:t>
      </w:r>
      <w:r w:rsidRPr="00D37B0B">
        <w:t xml:space="preserve"> actively chooses something else</w:t>
      </w:r>
      <w:r>
        <w:t xml:space="preserve"> (i.e. ‘opts in’)</w:t>
      </w:r>
      <w:r w:rsidRPr="00D37B0B">
        <w:t xml:space="preserve"> </w:t>
      </w:r>
      <w:r>
        <w:t>results in</w:t>
      </w:r>
      <w:r w:rsidRPr="00D37B0B">
        <w:t xml:space="preserve"> more people choosing the default</w:t>
      </w:r>
      <w:r>
        <w:t xml:space="preserve"> than would be the case if no default were set. In addition to this, behavioural research also suggests that defaults can be ‘sticky’, meaning that once the choice is set, </w:t>
      </w:r>
      <w:r w:rsidRPr="000F5CE6">
        <w:t>even when consumers prefer</w:t>
      </w:r>
      <w:r>
        <w:t xml:space="preserve"> or </w:t>
      </w:r>
      <w:r>
        <w:lastRenderedPageBreak/>
        <w:t>would accept</w:t>
      </w:r>
      <w:r w:rsidRPr="000F5CE6">
        <w:t xml:space="preserve"> </w:t>
      </w:r>
      <w:r>
        <w:t>an alternative</w:t>
      </w:r>
      <w:r w:rsidRPr="000F5CE6">
        <w:t>, behavioural biases can lead to iner</w:t>
      </w:r>
      <w:r>
        <w:t>tia or retaining the status quo, meaning</w:t>
      </w:r>
      <w:r w:rsidRPr="000F5CE6">
        <w:t xml:space="preserve"> consumers </w:t>
      </w:r>
      <w:r>
        <w:t>might not</w:t>
      </w:r>
      <w:r w:rsidRPr="000F5CE6">
        <w:t xml:space="preserve"> </w:t>
      </w:r>
      <w:r>
        <w:t>actively</w:t>
      </w:r>
      <w:r w:rsidRPr="000F5CE6">
        <w:t xml:space="preserve"> </w:t>
      </w:r>
      <w:r>
        <w:t>seek to change disclosure preferences</w:t>
      </w:r>
      <w:r w:rsidRPr="000F5CE6">
        <w:t>.</w:t>
      </w:r>
      <w:r>
        <w:rPr>
          <w:rStyle w:val="FootnoteReference"/>
        </w:rPr>
        <w:footnoteReference w:id="3"/>
      </w:r>
      <w:r>
        <w:t xml:space="preserve"> </w:t>
      </w:r>
    </w:p>
    <w:p w:rsidR="00DD027D" w:rsidRDefault="00DD027D" w:rsidP="00DD027D">
      <w:pPr>
        <w:pStyle w:val="BodyText"/>
      </w:pPr>
      <w:r>
        <w:t>At the time [CO 10/1219] was developed (2010), the regulatory distortion in favour of printed and posted disclosure was justified on the grounds of consumer protection—that is, ensuring that consumers, for whom at that time digital communications may have been a relatively new phenomenon, were only contacted digitally where they actively sought digital communications.</w:t>
      </w:r>
    </w:p>
    <w:p w:rsidR="00DD027D" w:rsidRDefault="00DD027D" w:rsidP="00DD027D">
      <w:pPr>
        <w:pStyle w:val="BodyText"/>
      </w:pPr>
      <w:r>
        <w:t>These regulatory settings for disclosure no longer accommodate provider and consumer expectations in the current environment where the majority of adult Australians are online (92%) and a majority of those online undertake financial transactions using the internet (72%).</w:t>
      </w:r>
      <w:r>
        <w:rPr>
          <w:rStyle w:val="FootnoteReference"/>
        </w:rPr>
        <w:footnoteReference w:id="4"/>
      </w:r>
    </w:p>
    <w:p w:rsidR="00DD027D" w:rsidRDefault="00DD027D" w:rsidP="00DD027D">
      <w:pPr>
        <w:pStyle w:val="BodyText"/>
      </w:pPr>
      <w:r>
        <w:t xml:space="preserve">The increased use of digital communications (in particular, the internet) both in terms of percentage of population, and frequency of online engagement, mean that the regulatory benefit for a small number of consumers no longer justifies the imposition of additional regulatory burden on providers and consumers to engage digitally. </w:t>
      </w:r>
    </w:p>
    <w:p w:rsidR="00DD027D" w:rsidRDefault="00DD027D" w:rsidP="00DD027D">
      <w:pPr>
        <w:pStyle w:val="BodyText"/>
      </w:pPr>
      <w:r>
        <w:t xml:space="preserve">In addition to this, while the Corporations Act envisages the use of electronic addresses, it is drafted in a way that has not kept up with the variety and breadth of digital communications. This means providers are prevented or discouraged from using the most efficient and effective form of communication. </w:t>
      </w:r>
    </w:p>
    <w:p w:rsidR="00DD027D" w:rsidRDefault="00DD027D" w:rsidP="00DD027D">
      <w:pPr>
        <w:pStyle w:val="BodyText"/>
      </w:pPr>
      <w:r>
        <w:t>Further to this, the Financial System Inquiry notes that, ‘where changes in technology create difficulties in interpreting provisions, firms are likely to take a conservative view to minimise regulatory compliance risks’.</w:t>
      </w:r>
      <w:r>
        <w:rPr>
          <w:rStyle w:val="FootnoteReference"/>
        </w:rPr>
        <w:footnoteReference w:id="5"/>
      </w:r>
      <w:r>
        <w:t xml:space="preserve"> This means that even where the law allows digital delivery, in some cases providers are still discouraged from using digital methods and formats due to a lack of clarity. </w:t>
      </w:r>
    </w:p>
    <w:p w:rsidR="00DD027D" w:rsidRDefault="00DD027D" w:rsidP="00DD027D">
      <w:pPr>
        <w:pStyle w:val="Heading3"/>
        <w:spacing w:before="240"/>
        <w:ind w:left="2275"/>
      </w:pPr>
      <w:r>
        <w:t>Regulatory settings inhibiting innovation</w:t>
      </w:r>
    </w:p>
    <w:p w:rsidR="00DD027D" w:rsidRDefault="00DD027D" w:rsidP="00DD027D">
      <w:pPr>
        <w:pStyle w:val="BodyText"/>
      </w:pPr>
      <w:r>
        <w:t>The regulatory settings that favour printed and posted disclosure are also a barrier to innovation, through the use of digital technology, in disclosure. These settings prevent providers from supplying disclosure in the forms that are demanded by consumers or that providers choose to supply, such as interactive web-based disclosures, apps, videos, games and audio presentations.</w:t>
      </w:r>
    </w:p>
    <w:p w:rsidR="00DD027D" w:rsidRDefault="00DD027D" w:rsidP="00DD027D">
      <w:pPr>
        <w:pStyle w:val="BodyText"/>
      </w:pPr>
      <w:r>
        <w:lastRenderedPageBreak/>
        <w:t>The current regulatory settings are inhibiting possibilities for providers to explore new ways of communicating and therefore for consumers to potentially benefit from these opportunities.</w:t>
      </w:r>
    </w:p>
    <w:p w:rsidR="00DD027D" w:rsidRDefault="00DD027D" w:rsidP="00DD027D">
      <w:pPr>
        <w:pStyle w:val="BodyText"/>
      </w:pPr>
      <w:r>
        <w:t>We expect that the removal of barriers to more innovative disclosure will result in more of these more innovative disclosures in the market. We think that technology provides opportunities to better engage or communicate with some consumers. As such, we hope that some additional consumer engagement and understanding will flow from the removal of barriers to this kind of disclosure.</w:t>
      </w:r>
    </w:p>
    <w:p w:rsidR="00DD027D" w:rsidRDefault="00DD027D" w:rsidP="00DD027D">
      <w:pPr>
        <w:pStyle w:val="BodyText"/>
      </w:pPr>
      <w:r>
        <w:t xml:space="preserve">The </w:t>
      </w:r>
      <w:r w:rsidRPr="009C7AF2">
        <w:t xml:space="preserve">Financial System Inquiry </w:t>
      </w:r>
      <w:r>
        <w:t>f</w:t>
      </w:r>
      <w:r w:rsidRPr="009C7AF2">
        <w:t xml:space="preserve">inal </w:t>
      </w:r>
      <w:r w:rsidRPr="005453C2">
        <w:t>r</w:t>
      </w:r>
      <w:r w:rsidRPr="009C7AF2">
        <w:t xml:space="preserve">eport noted that ‘consumers can more </w:t>
      </w:r>
      <w:r w:rsidRPr="00C2434A">
        <w:t>effectively use information that is accessible, engaging and understandable. Although there has been limited research on the benefits of new media compared with paper-based disclosure, new media offers opportunities for more engaging communication.</w:t>
      </w:r>
      <w:r>
        <w:t>’</w:t>
      </w:r>
      <w:r>
        <w:rPr>
          <w:rStyle w:val="FootnoteReference"/>
        </w:rPr>
        <w:footnoteReference w:id="6"/>
      </w:r>
    </w:p>
    <w:p w:rsidR="00DD027D" w:rsidRDefault="00DD027D" w:rsidP="00DD027D">
      <w:pPr>
        <w:pStyle w:val="Heading2"/>
        <w:spacing w:before="480"/>
      </w:pPr>
      <w:bookmarkStart w:id="20" w:name="_Toc425345476"/>
      <w:r>
        <w:t xml:space="preserve">Why is </w:t>
      </w:r>
      <w:proofErr w:type="spellStart"/>
      <w:r>
        <w:t>ASIC</w:t>
      </w:r>
      <w:proofErr w:type="spellEnd"/>
      <w:r>
        <w:t xml:space="preserve"> action needed</w:t>
      </w:r>
      <w:bookmarkEnd w:id="20"/>
    </w:p>
    <w:p w:rsidR="00DD027D" w:rsidRDefault="00DD027D" w:rsidP="00DD027D">
      <w:pPr>
        <w:pStyle w:val="BodyText"/>
      </w:pPr>
      <w:r>
        <w:t>Although intended to facilitate electronic communication,</w:t>
      </w:r>
      <w:r>
        <w:rPr>
          <w:rStyle w:val="FootnoteReference"/>
        </w:rPr>
        <w:footnoteReference w:id="7"/>
      </w:r>
      <w:r>
        <w:t xml:space="preserve"> the legislation, regulations and </w:t>
      </w:r>
      <w:proofErr w:type="spellStart"/>
      <w:r>
        <w:t>ASIC’s</w:t>
      </w:r>
      <w:proofErr w:type="spellEnd"/>
      <w:r>
        <w:t xml:space="preserve"> current guidance have not kept up with consumer and industry demand and are impeding the efficient operation of the market.</w:t>
      </w:r>
    </w:p>
    <w:p w:rsidR="00DD027D" w:rsidRDefault="00DD027D" w:rsidP="00DD027D">
      <w:pPr>
        <w:pStyle w:val="BodyText"/>
      </w:pPr>
      <w:proofErr w:type="spellStart"/>
      <w:r>
        <w:t>ASIC</w:t>
      </w:r>
      <w:proofErr w:type="spellEnd"/>
      <w:r>
        <w:t xml:space="preserve"> action is needed to remove the regulatory barriers to digital disclosure described above. </w:t>
      </w:r>
    </w:p>
    <w:p w:rsidR="00DD027D" w:rsidRDefault="00DD027D" w:rsidP="00DD027D">
      <w:pPr>
        <w:pStyle w:val="BodyText"/>
      </w:pPr>
      <w:r>
        <w:t xml:space="preserve">The Government’s red-tape reduction and digital economy policies mean that there is a focus on what </w:t>
      </w:r>
      <w:proofErr w:type="spellStart"/>
      <w:r>
        <w:t>ASIC</w:t>
      </w:r>
      <w:proofErr w:type="spellEnd"/>
      <w:r>
        <w:t xml:space="preserve"> is doing to support digital commerce and to reduce red tape. </w:t>
      </w:r>
    </w:p>
    <w:p w:rsidR="00DD027D" w:rsidRDefault="00DD027D" w:rsidP="00DD027D">
      <w:pPr>
        <w:pStyle w:val="BodyText"/>
      </w:pPr>
      <w:r>
        <w:t xml:space="preserve">This proposal will support the goals of both of these policies by removing unnecessary red tape—in this case, consumers no longer needing to ‘opt in’ to digital delivery and by supporting digital commerce by increasing the use of digital communications in financial services. </w:t>
      </w:r>
    </w:p>
    <w:p w:rsidR="00DD027D" w:rsidRDefault="00DD027D" w:rsidP="00DD027D">
      <w:pPr>
        <w:pStyle w:val="BodyText"/>
      </w:pPr>
      <w:r>
        <w:t>Recent government inquiries also support the facilitation of more digital communication. For example, the Commission of Audit report</w:t>
      </w:r>
      <w:r>
        <w:rPr>
          <w:rStyle w:val="FootnoteReference"/>
        </w:rPr>
        <w:footnoteReference w:id="8"/>
      </w:r>
      <w:r>
        <w:t xml:space="preserve"> made a recommendation that the Government set an ambitious e-government strategy, including making engagement with the Government electronic by default. The 2015–16 Budget built on this by setting up a new Digital Transformation Office. While the proposals discussed in this </w:t>
      </w:r>
      <w:proofErr w:type="spellStart"/>
      <w:r>
        <w:t>RIS</w:t>
      </w:r>
      <w:proofErr w:type="spellEnd"/>
      <w:r>
        <w:t xml:space="preserve"> do not go directly to digital engagement with Government, by further facilitating digital commerce, they will complement the Digital Transformation Agenda.</w:t>
      </w:r>
    </w:p>
    <w:p w:rsidR="00DD027D" w:rsidRDefault="00DD027D" w:rsidP="00DD027D">
      <w:pPr>
        <w:pStyle w:val="BodyText"/>
      </w:pPr>
      <w:r>
        <w:lastRenderedPageBreak/>
        <w:t>The Financial System Inquiry final report also made two recommendations relevant to electronic communications. These recommendations are:</w:t>
      </w:r>
    </w:p>
    <w:p w:rsidR="00DD027D" w:rsidRDefault="00DD027D" w:rsidP="00DD027D">
      <w:pPr>
        <w:pStyle w:val="subparaa"/>
      </w:pPr>
      <w:r w:rsidRPr="005453C2">
        <w:rPr>
          <w:i/>
        </w:rPr>
        <w:t>Facilitate innovative disclosure</w:t>
      </w:r>
      <w:r>
        <w:t xml:space="preserve">: remove regulatory impediments to innovative product disclosure and communication with consumers, and improve the way risks and fees are communicated to consumers. The first part of this recommendation was directed specifically at </w:t>
      </w:r>
      <w:proofErr w:type="spellStart"/>
      <w:r>
        <w:t>ASIC</w:t>
      </w:r>
      <w:proofErr w:type="spellEnd"/>
      <w:r>
        <w:t xml:space="preserve">, with the second part, a legislative solution, to be implemented following evaluation of the success of </w:t>
      </w:r>
      <w:proofErr w:type="spellStart"/>
      <w:r>
        <w:t>ASIC</w:t>
      </w:r>
      <w:proofErr w:type="spellEnd"/>
      <w:r>
        <w:t xml:space="preserve"> measures.</w:t>
      </w:r>
    </w:p>
    <w:p w:rsidR="00DD027D" w:rsidRDefault="00DD027D" w:rsidP="00DD027D">
      <w:pPr>
        <w:pStyle w:val="subparaa"/>
      </w:pPr>
      <w:bookmarkStart w:id="21" w:name="_ASICRef533"/>
      <w:r w:rsidRPr="005453C2">
        <w:rPr>
          <w:i/>
        </w:rPr>
        <w:t>Technology neutrality</w:t>
      </w:r>
      <w:r>
        <w:t xml:space="preserve">: identify, in consultation with the financial sector, and amend priority areas of regulation to be technology neutral. Embed consideration of the principle of technology neutrality into development processes for future regulation. Ensure regulation allows individuals to select alternative methods to access services to maintain fair treatment for all consumer segments. This was a general recommendation to Government, not specifically directed at </w:t>
      </w:r>
      <w:proofErr w:type="spellStart"/>
      <w:r>
        <w:t>ASIC</w:t>
      </w:r>
      <w:proofErr w:type="spellEnd"/>
      <w:r>
        <w:t>.</w:t>
      </w:r>
      <w:bookmarkEnd w:id="21"/>
    </w:p>
    <w:p w:rsidR="00DD027D" w:rsidRDefault="00DD027D" w:rsidP="00DD027D">
      <w:pPr>
        <w:pStyle w:val="BodyText"/>
      </w:pPr>
      <w:r>
        <w:t>Our proposals will support the technology neutrality recommendation by seeking to align the treatment of digital and printed and postal methods of communications. In addition, our proposals will, by removing barriers that limit the form of disclosure, remove impediments to innovative product disclosure and communication.</w:t>
      </w:r>
    </w:p>
    <w:p w:rsidR="00DD027D" w:rsidRDefault="00DD027D" w:rsidP="00DD027D">
      <w:pPr>
        <w:pStyle w:val="BodyText"/>
      </w:pPr>
      <w:r>
        <w:t>Our proposals will enable providers to deliver ongoing disclosures digitally as a default. This will mean that more consumers are likely to receive disclosures digitally. This will save money and time for providers and be more convenient for a majority of consumers. It may also improve engagement with the content of the disclosures. For those consumers who prefer printed and posted disclosures, these proposals ensure that choice remains available.</w:t>
      </w:r>
    </w:p>
    <w:p w:rsidR="00DD027D" w:rsidRDefault="00DD027D" w:rsidP="00DD027D">
      <w:pPr>
        <w:pStyle w:val="BodyText"/>
      </w:pPr>
      <w:r>
        <w:t xml:space="preserve">These proposals are proactive and designed to lead to more positive outcomes and compliance cost savings. </w:t>
      </w:r>
    </w:p>
    <w:p w:rsidR="00DD027D" w:rsidRDefault="00DD027D" w:rsidP="00DD027D">
      <w:pPr>
        <w:pStyle w:val="BodyText"/>
      </w:pPr>
      <w:r>
        <w:t xml:space="preserve">It is important to note that Government action to remove barriers alone will not necessarily deliver the benefits of more digital disclosure because there are other, non-regulatory barriers to increased use of digital channels. </w:t>
      </w:r>
    </w:p>
    <w:p w:rsidR="00DD027D" w:rsidRDefault="00DD027D" w:rsidP="00DD027D">
      <w:pPr>
        <w:pStyle w:val="BodyText"/>
      </w:pPr>
      <w:r>
        <w:t xml:space="preserve">This is particularly the case for more innovative product disclosure, where costs and consumer demand for innovative disclosure are a factor in the incentives for providers to develop more innovative disclosure solutions. Nevertheless, it is important that regulatory requirements are not a factor in holding back the potential development of disclosure that better meets provider and consumer needs, where these requirements do not otherwise have regulatory benefit. </w:t>
      </w:r>
    </w:p>
    <w:p w:rsidR="00DD027D" w:rsidRDefault="00DD027D" w:rsidP="00DD027D">
      <w:pPr>
        <w:pStyle w:val="Heading1"/>
      </w:pPr>
      <w:bookmarkStart w:id="22" w:name="_Toc425345477"/>
      <w:r>
        <w:lastRenderedPageBreak/>
        <w:t>Options and impact analysis</w:t>
      </w:r>
      <w:bookmarkEnd w:id="22"/>
    </w:p>
    <w:p w:rsidR="00DD027D" w:rsidRDefault="00DD027D" w:rsidP="00DD027D">
      <w:pPr>
        <w:pStyle w:val="subparaa"/>
        <w:numPr>
          <w:ilvl w:val="0"/>
          <w:numId w:val="0"/>
        </w:numPr>
        <w:ind w:left="2268"/>
      </w:pPr>
      <w:r>
        <w:t>We consider that the options are:</w:t>
      </w:r>
    </w:p>
    <w:p w:rsidR="00DD027D" w:rsidRPr="005453C2" w:rsidRDefault="00DD027D" w:rsidP="00DD027D">
      <w:pPr>
        <w:pStyle w:val="subparaa"/>
        <w:numPr>
          <w:ilvl w:val="0"/>
          <w:numId w:val="0"/>
        </w:numPr>
        <w:ind w:left="2268"/>
      </w:pPr>
      <w:r w:rsidRPr="00494351">
        <w:rPr>
          <w:i/>
        </w:rPr>
        <w:t xml:space="preserve">Option </w:t>
      </w:r>
      <w:r>
        <w:rPr>
          <w:i/>
        </w:rPr>
        <w:t>1</w:t>
      </w:r>
      <w:r>
        <w:t>—A combination of Options 2 and 3 (preferred opti</w:t>
      </w:r>
      <w:r w:rsidRPr="009F6468">
        <w:t>on</w:t>
      </w:r>
      <w:r w:rsidRPr="005453C2">
        <w:t>)</w:t>
      </w:r>
    </w:p>
    <w:p w:rsidR="00DD027D" w:rsidRDefault="00DD027D" w:rsidP="00DD027D">
      <w:pPr>
        <w:pStyle w:val="subparaa"/>
        <w:numPr>
          <w:ilvl w:val="0"/>
          <w:numId w:val="0"/>
        </w:numPr>
        <w:ind w:left="2268"/>
      </w:pPr>
      <w:r>
        <w:rPr>
          <w:i/>
        </w:rPr>
        <w:t>Option 2—</w:t>
      </w:r>
      <w:r>
        <w:t>Enable default digital delivery of financial services disclosure</w:t>
      </w:r>
    </w:p>
    <w:p w:rsidR="00DD027D" w:rsidRDefault="00DD027D" w:rsidP="00DD027D">
      <w:pPr>
        <w:pStyle w:val="subparaa"/>
        <w:numPr>
          <w:ilvl w:val="0"/>
          <w:numId w:val="0"/>
        </w:numPr>
        <w:ind w:left="2268"/>
      </w:pPr>
      <w:r>
        <w:rPr>
          <w:i/>
        </w:rPr>
        <w:t>Option 3</w:t>
      </w:r>
      <w:r>
        <w:t xml:space="preserve">—Remove barriers to more innovative </w:t>
      </w:r>
      <w:proofErr w:type="spellStart"/>
      <w:r>
        <w:t>PDS</w:t>
      </w:r>
      <w:proofErr w:type="spellEnd"/>
      <w:r>
        <w:t xml:space="preserve">, </w:t>
      </w:r>
      <w:proofErr w:type="spellStart"/>
      <w:r>
        <w:t>SOAs</w:t>
      </w:r>
      <w:proofErr w:type="spellEnd"/>
      <w:r>
        <w:t xml:space="preserve"> and </w:t>
      </w:r>
      <w:proofErr w:type="spellStart"/>
      <w:r>
        <w:t>FSGs</w:t>
      </w:r>
      <w:proofErr w:type="spellEnd"/>
    </w:p>
    <w:p w:rsidR="00DD027D" w:rsidRDefault="00DD027D" w:rsidP="00DD027D">
      <w:pPr>
        <w:pStyle w:val="subparaa"/>
        <w:numPr>
          <w:ilvl w:val="0"/>
          <w:numId w:val="0"/>
        </w:numPr>
        <w:ind w:left="2268"/>
      </w:pPr>
      <w:r w:rsidRPr="00A50BD2">
        <w:rPr>
          <w:i/>
        </w:rPr>
        <w:t xml:space="preserve">Option </w:t>
      </w:r>
      <w:r>
        <w:rPr>
          <w:i/>
        </w:rPr>
        <w:t>4</w:t>
      </w:r>
      <w:r>
        <w:t>—M</w:t>
      </w:r>
      <w:r w:rsidRPr="00656EBA">
        <w:t xml:space="preserve">ake no changes to our guidance and provide no </w:t>
      </w:r>
      <w:r>
        <w:t xml:space="preserve">additional </w:t>
      </w:r>
      <w:r w:rsidRPr="00656EBA">
        <w:t>relief, thereby maintaining the status quo</w:t>
      </w:r>
      <w:r>
        <w:t>.</w:t>
      </w:r>
    </w:p>
    <w:p w:rsidR="00DD027D" w:rsidRDefault="00DD027D" w:rsidP="00DD027D">
      <w:pPr>
        <w:pStyle w:val="Heading2"/>
      </w:pPr>
      <w:bookmarkStart w:id="23" w:name="_Toc372204875"/>
      <w:bookmarkStart w:id="24" w:name="_Toc425345478"/>
      <w:bookmarkStart w:id="25" w:name="_Toc372204876"/>
      <w:r w:rsidRPr="000E5FFC">
        <w:t>Optio</w:t>
      </w:r>
      <w:r>
        <w:t>n 1: Combined measures to remove barriers to digital disclosure (preferred option)</w:t>
      </w:r>
      <w:bookmarkEnd w:id="23"/>
      <w:bookmarkEnd w:id="24"/>
    </w:p>
    <w:p w:rsidR="00DD027D" w:rsidRDefault="00DD027D" w:rsidP="00DD027D">
      <w:pPr>
        <w:pStyle w:val="BodyText"/>
      </w:pPr>
      <w:r>
        <w:t>This option combines Options 2 and 3 detailed below and delivers maximum benefits for consumers and financial service and product providers by removing all legal and regulatory barriers that are preventing technology neutrality (preferring printed disclosure) for financial service and product disclosure that we are able to remove—that is, removing legal and legislative barriers to both:</w:t>
      </w:r>
    </w:p>
    <w:p w:rsidR="00DD027D" w:rsidRDefault="00DD027D" w:rsidP="00DD027D">
      <w:pPr>
        <w:pStyle w:val="subparaa"/>
      </w:pPr>
      <w:r>
        <w:t>enable default delivery of digital disclosure (i.e. a proposal about delivery of disclosure); and</w:t>
      </w:r>
    </w:p>
    <w:p w:rsidR="00DD027D" w:rsidRDefault="00DD027D" w:rsidP="00DD027D">
      <w:pPr>
        <w:pStyle w:val="subparaa"/>
      </w:pPr>
      <w:r>
        <w:t xml:space="preserve">allow for more innovative forms of </w:t>
      </w:r>
      <w:proofErr w:type="spellStart"/>
      <w:r>
        <w:t>PDSs</w:t>
      </w:r>
      <w:proofErr w:type="spellEnd"/>
      <w:r>
        <w:t xml:space="preserve">, </w:t>
      </w:r>
      <w:proofErr w:type="spellStart"/>
      <w:r>
        <w:t>FSGs</w:t>
      </w:r>
      <w:proofErr w:type="spellEnd"/>
      <w:r>
        <w:t xml:space="preserve"> and </w:t>
      </w:r>
      <w:proofErr w:type="spellStart"/>
      <w:r>
        <w:t>SOAs</w:t>
      </w:r>
      <w:proofErr w:type="spellEnd"/>
      <w:r>
        <w:t xml:space="preserve"> (i.e. a proposal about the form of disclosure). </w:t>
      </w:r>
    </w:p>
    <w:p w:rsidR="00DD027D" w:rsidRDefault="00DD027D" w:rsidP="00DD027D">
      <w:pPr>
        <w:pStyle w:val="BodyText"/>
      </w:pPr>
      <w:r>
        <w:t>While most compliance cost savings are most likely to be realised as a result of implementing Option 2, combining Options 2 and 3 is designed to achieve a technology neutral approach to both the delivery and form of financial services disclosure. Achieving a technology neutral approach with respect to the delivery only would not address existing barriers that are inhibiting innovation in disclosure.</w:t>
      </w:r>
    </w:p>
    <w:p w:rsidR="00DD027D" w:rsidRDefault="00DD027D" w:rsidP="00DD027D">
      <w:pPr>
        <w:pStyle w:val="BodyText"/>
      </w:pPr>
      <w:r>
        <w:t xml:space="preserve">Delivering these two sets of changes together also sends a stronger message about </w:t>
      </w:r>
      <w:proofErr w:type="spellStart"/>
      <w:r>
        <w:t>ASIC’s</w:t>
      </w:r>
      <w:proofErr w:type="spellEnd"/>
      <w:r>
        <w:t xml:space="preserve"> commitment to digital disclosure than either one of these alone. </w:t>
      </w:r>
    </w:p>
    <w:p w:rsidR="00DD027D" w:rsidRDefault="00DD027D" w:rsidP="00DD027D">
      <w:pPr>
        <w:pStyle w:val="BodyText"/>
      </w:pPr>
      <w:r>
        <w:t>On technology neutrality, the Financial System Inquiry final report (p. 270) noted the following:</w:t>
      </w:r>
    </w:p>
    <w:p w:rsidR="00DD027D" w:rsidRDefault="00DD027D" w:rsidP="00DD027D">
      <w:pPr>
        <w:pStyle w:val="Note"/>
      </w:pPr>
      <w:r>
        <w:t>A technology-neutral approach to regulation enables regulators and government to adapt to innovative developments and manage risks. It can also reduce compliance costs by removing unnecessary regulatory impediments and improving the stability and longevity of regulation. It can also give financial product providers greater flexibility to innovate to meet changing consumer expectations.</w:t>
      </w:r>
    </w:p>
    <w:p w:rsidR="00DD027D" w:rsidRDefault="00DD027D" w:rsidP="00DD027D">
      <w:pPr>
        <w:pStyle w:val="BodyText"/>
      </w:pPr>
      <w:bookmarkStart w:id="26" w:name="_Ref391544611"/>
      <w:bookmarkStart w:id="27" w:name="_Ref390350178"/>
      <w:r>
        <w:lastRenderedPageBreak/>
        <w:t>Taking steps to further facilitate digital delivery of disclosures, as well as more innovative documents, will result in</w:t>
      </w:r>
      <w:r w:rsidRPr="00BE3124">
        <w:t xml:space="preserve"> more </w:t>
      </w:r>
      <w:r>
        <w:t>digital</w:t>
      </w:r>
      <w:r w:rsidRPr="00BE3124">
        <w:t xml:space="preserve"> and less paper distribution </w:t>
      </w:r>
      <w:r>
        <w:t>and will</w:t>
      </w:r>
      <w:r w:rsidRPr="00BE3124">
        <w:t xml:space="preserve"> reduce costs</w:t>
      </w:r>
      <w:r>
        <w:t xml:space="preserve"> for business, increase convenience for consumers and may result in increased consumer engagement with and understanding of disclosure</w:t>
      </w:r>
      <w:r w:rsidRPr="00BE3124">
        <w:t xml:space="preserve">. </w:t>
      </w:r>
      <w:bookmarkEnd w:id="26"/>
    </w:p>
    <w:p w:rsidR="00DD027D" w:rsidRDefault="00DD027D" w:rsidP="00DD027D">
      <w:pPr>
        <w:pStyle w:val="BodyText"/>
      </w:pPr>
      <w:bookmarkStart w:id="28" w:name="_Ref391544120"/>
      <w:r>
        <w:t>In some cases, default digital disclosure might result in some consumers not receiving disclosures. As the Financial System Inquiry final report (page 270) points out:</w:t>
      </w:r>
    </w:p>
    <w:p w:rsidR="00DD027D" w:rsidRDefault="00DD027D" w:rsidP="00DD027D">
      <w:pPr>
        <w:pStyle w:val="Note"/>
      </w:pPr>
      <w:r>
        <w:t>Stakeholders note a potential consequence of technology-neutral regulation is that it risks excluding some community segments from the financial system. For example, by enabling businesses to shift to electronic service delivery as a default, older Australians or others with limited internet access may become excluded. As a result, it is important that regulation accommodates the ability of consumers to select alternative methods to access services, such as paper-based delivery.</w:t>
      </w:r>
    </w:p>
    <w:p w:rsidR="00DD027D" w:rsidRDefault="00DD027D" w:rsidP="00DD027D">
      <w:pPr>
        <w:pStyle w:val="BodyText"/>
      </w:pPr>
      <w:r>
        <w:t>In our consultations, consumer groups also raised concerns about the impact of our proposals on vulnerable and less digitally connected Australians.</w:t>
      </w:r>
    </w:p>
    <w:p w:rsidR="00DD027D" w:rsidRDefault="00DD027D" w:rsidP="00DD027D">
      <w:pPr>
        <w:pStyle w:val="BodyText"/>
      </w:pPr>
      <w:r>
        <w:t>Where possible, we have built into our proposals protections for these vulnerable consumers and included guidance to help providers reach their clients, without imposing disproportionate additional costs on those providers. For the new default method of delivery, we require that providers give consumers a clear opportunity to opt out of digital delivery, unless they have acquired a fully digital product or service. This opt-out from a default retains full choice for consumers.</w:t>
      </w:r>
    </w:p>
    <w:p w:rsidR="00DD027D" w:rsidRDefault="00DD027D" w:rsidP="00DD027D">
      <w:pPr>
        <w:pStyle w:val="BodyText"/>
      </w:pPr>
      <w:r>
        <w:t xml:space="preserve">In addition, we have given guidance to providers regarding email bounce-backs. As a matter of good practice, providers should monitor for undelivered or undeliverable emails and try an alternative method of delivery. We also encourage providers to use a method and form of delivery that best suits their client as part of their obligation to provide clear, concise and effective disclosure. </w:t>
      </w:r>
    </w:p>
    <w:p w:rsidR="00DD027D" w:rsidRDefault="00DD027D" w:rsidP="00DD027D">
      <w:pPr>
        <w:pStyle w:val="BodyText"/>
      </w:pPr>
      <w:r>
        <w:t xml:space="preserve">On the other hand, we also expect increased digital disclosure to result in some consumers, who might not receive or engage with a paper disclosure (under the current regime), to be more able or inclined to do so with a digital disclosure. While some consumers may change email addresses frequently, others, such as renters, may move postal addresses frequently but retain email addresses for longer periods. Some consumers may not have internet access or may not seek to engage with digital disclosures, while some others may be more inclined to engage with a disclosure that they can readily access from a mobile device. </w:t>
      </w:r>
    </w:p>
    <w:p w:rsidR="00DD027D" w:rsidRDefault="00DD027D" w:rsidP="00DD027D">
      <w:pPr>
        <w:pStyle w:val="BodyText"/>
      </w:pPr>
      <w:r>
        <w:t xml:space="preserve">It is important to note that these proposals build on what is already allowed under the legislation in terms of digital disclosure—most disclosures may already be sent digitally and in some cases by using a standing facility, such as a website. </w:t>
      </w:r>
    </w:p>
    <w:p w:rsidR="00DD027D" w:rsidRDefault="00DD027D" w:rsidP="00DD027D">
      <w:pPr>
        <w:pStyle w:val="BodyText"/>
      </w:pPr>
      <w:r>
        <w:lastRenderedPageBreak/>
        <w:t xml:space="preserve">Our aim is not to address the shortcomings associated with disclosure more broadly. As such, we are not intending to impose additional obligations on providers using digital formats that they would not be required to meet if they were delivering printed disclosures. </w:t>
      </w:r>
    </w:p>
    <w:p w:rsidR="00DD027D" w:rsidRDefault="00DD027D" w:rsidP="00DD027D">
      <w:pPr>
        <w:pStyle w:val="BodyText"/>
      </w:pPr>
      <w:r>
        <w:t xml:space="preserve">This means, as with postal addresses, the onus remains on the consumer to update their contact details (such as email addresses) if they change and, once given or made available, the consumer is free to read or not read the disclosure as they see fit. This is critical to the principle of technology neutrality. </w:t>
      </w:r>
    </w:p>
    <w:p w:rsidR="00DD027D" w:rsidRDefault="00DD027D" w:rsidP="00DD027D">
      <w:pPr>
        <w:pStyle w:val="BodyText"/>
      </w:pPr>
      <w:r>
        <w:t>Although we hope that this work might make disclosure more engaging and accessible for some, and free up resources to invest in better disclosure, our focus is not specifically on delivery form as a means to increase engagement with disclosure, but rather we are working to open up the possibility of increased engagement through new formats.</w:t>
      </w:r>
    </w:p>
    <w:p w:rsidR="00DD027D" w:rsidRDefault="00DD027D" w:rsidP="00DD027D">
      <w:pPr>
        <w:pStyle w:val="BodyText"/>
      </w:pPr>
      <w:r>
        <w:t xml:space="preserve">This work is also not intended to remedy existing risks associated with digital communications, including security and technology concerns. Nevertheless, we acknowledge that in an environment of more digital disclosure, these risks may affect more consumers, which is why we also propose updated guidance to mitigate these risks. </w:t>
      </w:r>
    </w:p>
    <w:p w:rsidR="00DD027D" w:rsidRDefault="00DD027D" w:rsidP="00DD027D">
      <w:pPr>
        <w:pStyle w:val="BodyText"/>
      </w:pPr>
      <w:r>
        <w:t>Specific impacts have been detailed under each optio</w:t>
      </w:r>
      <w:bookmarkEnd w:id="27"/>
      <w:bookmarkEnd w:id="28"/>
      <w:r>
        <w:t>n.</w:t>
      </w:r>
    </w:p>
    <w:p w:rsidR="00DD027D" w:rsidRDefault="00DD027D" w:rsidP="00DD027D">
      <w:pPr>
        <w:pStyle w:val="Heading2"/>
      </w:pPr>
      <w:bookmarkStart w:id="29" w:name="_Toc425345479"/>
      <w:r>
        <w:t xml:space="preserve">Option 2: </w:t>
      </w:r>
      <w:bookmarkEnd w:id="25"/>
      <w:r>
        <w:t>Enable default digital delivery of financial services disclosures</w:t>
      </w:r>
      <w:bookmarkEnd w:id="29"/>
    </w:p>
    <w:p w:rsidR="00DD027D" w:rsidRDefault="00DD027D" w:rsidP="00DD027D">
      <w:pPr>
        <w:pStyle w:val="BodyText"/>
      </w:pPr>
      <w:r>
        <w:t xml:space="preserve">This option has two complementary components. It: </w:t>
      </w:r>
    </w:p>
    <w:p w:rsidR="00DD027D" w:rsidRDefault="00DD027D" w:rsidP="00DD027D">
      <w:pPr>
        <w:pStyle w:val="subparaa"/>
      </w:pPr>
      <w:r>
        <w:t>gives</w:t>
      </w:r>
      <w:r w:rsidRPr="00EB35CD">
        <w:t xml:space="preserve"> providers an a</w:t>
      </w:r>
      <w:r>
        <w:t>dditional option</w:t>
      </w:r>
      <w:r w:rsidRPr="00EB35CD">
        <w:t xml:space="preserve"> for delivery of disclosures, which would enable them to meet the requirement</w:t>
      </w:r>
      <w:r>
        <w:t>s</w:t>
      </w:r>
      <w:r w:rsidRPr="00EB35CD">
        <w:t xml:space="preserve"> of delivery if they publish disclosures </w:t>
      </w:r>
      <w:r>
        <w:t xml:space="preserve">digitally </w:t>
      </w:r>
      <w:r w:rsidRPr="00EB35CD">
        <w:t>and then notify the c</w:t>
      </w:r>
      <w:r>
        <w:t>lient</w:t>
      </w:r>
      <w:r w:rsidRPr="00EB35CD">
        <w:t xml:space="preserve"> that the disclosure is available</w:t>
      </w:r>
      <w:r>
        <w:t>; and</w:t>
      </w:r>
    </w:p>
    <w:p w:rsidR="00DD027D" w:rsidRPr="00B46176" w:rsidRDefault="00DD027D" w:rsidP="00DD027D">
      <w:pPr>
        <w:pStyle w:val="subparaa"/>
      </w:pPr>
      <w:r>
        <w:t>makes</w:t>
      </w:r>
      <w:r w:rsidRPr="00EB35CD">
        <w:t xml:space="preserve"> it clear that </w:t>
      </w:r>
      <w:r>
        <w:t>if a financial services provider has</w:t>
      </w:r>
      <w:r w:rsidRPr="00EB35CD">
        <w:t xml:space="preserve"> an </w:t>
      </w:r>
      <w:r>
        <w:t>electronic</w:t>
      </w:r>
      <w:r w:rsidRPr="00EB35CD">
        <w:t xml:space="preserve"> address</w:t>
      </w:r>
      <w:r>
        <w:t xml:space="preserve"> for a client, they do not need additional consent to use that address to deliver disclosures.</w:t>
      </w:r>
    </w:p>
    <w:p w:rsidR="00DD027D" w:rsidRDefault="00DD027D" w:rsidP="00DD027D">
      <w:pPr>
        <w:pStyle w:val="BodyText"/>
      </w:pPr>
      <w:r>
        <w:t>Together, these components ensure that providers will be able to set the default for their disclosures as digital if they choose to do so, as long as the consumer has the opportunity to opt out of digital disclosure (except for fully digital products).</w:t>
      </w:r>
    </w:p>
    <w:p w:rsidR="00DD027D" w:rsidRDefault="00DD027D" w:rsidP="00DD027D">
      <w:pPr>
        <w:pStyle w:val="Heading3"/>
      </w:pPr>
      <w:r w:rsidRPr="00B46176">
        <w:lastRenderedPageBreak/>
        <w:t>Impact on industry</w:t>
      </w:r>
    </w:p>
    <w:p w:rsidR="00DD027D" w:rsidRDefault="00DD027D" w:rsidP="00DD027D">
      <w:pPr>
        <w:pStyle w:val="BodyText"/>
      </w:pPr>
      <w:r>
        <w:t>By removing the current regulatory barriers that require additional steps before disclosures can be delivered digitally (compared with postal delivery) we expect more consumers to receive disclosures digitally. We expect Option 2 will result in significant compliance cost savings for industry.</w:t>
      </w:r>
    </w:p>
    <w:p w:rsidR="00DD027D" w:rsidRDefault="00DD027D" w:rsidP="00DD027D">
      <w:pPr>
        <w:pStyle w:val="BodyText"/>
      </w:pPr>
      <w:r>
        <w:t xml:space="preserve">The superannuation and banking sectors are responsible for a majority of financial services and product distribution and were able to provide costing information. These sectors are also best placed to take advantage of greater digital disclosure opportunities. Additional savings might be realised by non-bank wealth management and financial services (such as advice) providers. </w:t>
      </w:r>
    </w:p>
    <w:p w:rsidR="00DD027D" w:rsidRDefault="00DD027D" w:rsidP="00DD027D">
      <w:pPr>
        <w:pStyle w:val="BodyText"/>
      </w:pPr>
      <w:r w:rsidRPr="008A3253">
        <w:t xml:space="preserve">Based on information provided </w:t>
      </w:r>
      <w:r>
        <w:t xml:space="preserve">in the course of consultations, we estimate that, for banking customers, around </w:t>
      </w:r>
      <w:r w:rsidRPr="008A3253">
        <w:t xml:space="preserve">34% of customers </w:t>
      </w:r>
      <w:r>
        <w:t>are currently receiving</w:t>
      </w:r>
      <w:r w:rsidRPr="008A3253">
        <w:t xml:space="preserve"> communications </w:t>
      </w:r>
      <w:r>
        <w:t xml:space="preserve">digitally. For superannuation we estimate approximately 8% of members are currently receiving communications digitally. </w:t>
      </w:r>
    </w:p>
    <w:p w:rsidR="00DD027D" w:rsidRDefault="00DD027D" w:rsidP="00DD027D">
      <w:pPr>
        <w:pStyle w:val="BodyText"/>
      </w:pPr>
      <w:r>
        <w:t>Based on industry feedback and our analysis, we estimate that the compliance cost savings will be around $299.1 million per annum over 10 years for the superannuation and banking sectors. This will primarily result from savings in printing and postage costs, but also incorporates time and delay savings for businesses, as well as record-keeping savings that we estimate will accrue to businesses.</w:t>
      </w:r>
    </w:p>
    <w:p w:rsidR="00DD027D" w:rsidRDefault="00DD027D" w:rsidP="00DD027D">
      <w:pPr>
        <w:pStyle w:val="BodyText"/>
      </w:pPr>
      <w:r>
        <w:fldChar w:fldCharType="begin"/>
      </w:r>
      <w:r>
        <w:instrText xml:space="preserve"> REF _Ref424818697 \h </w:instrText>
      </w:r>
      <w:r>
        <w:fldChar w:fldCharType="separate"/>
      </w:r>
      <w:r>
        <w:t xml:space="preserve">Table </w:t>
      </w:r>
      <w:r>
        <w:rPr>
          <w:noProof/>
        </w:rPr>
        <w:t>1</w:t>
      </w:r>
      <w:r>
        <w:fldChar w:fldCharType="end"/>
      </w:r>
      <w:r>
        <w:t xml:space="preserve"> shows the total cost savings to industry, based on an assumed 80% take up of digital disclosure. This assumption is based on </w:t>
      </w:r>
      <w:proofErr w:type="spellStart"/>
      <w:r>
        <w:t>OBPR</w:t>
      </w:r>
      <w:proofErr w:type="spellEnd"/>
      <w:r>
        <w:t xml:space="preserve"> advice on consumer preferences for digital engagement with government, </w:t>
      </w:r>
      <w:proofErr w:type="spellStart"/>
      <w:r>
        <w:t>ACMA</w:t>
      </w:r>
      <w:proofErr w:type="spellEnd"/>
      <w:r>
        <w:t xml:space="preserve"> figures for internet use (92%), use of the internet for online banking and paying bills (77% of internet users),</w:t>
      </w:r>
      <w:r>
        <w:rPr>
          <w:rStyle w:val="FootnoteReference"/>
        </w:rPr>
        <w:footnoteReference w:id="9"/>
      </w:r>
      <w:r>
        <w:t xml:space="preserve"> and consumers who report that they expect to deal with business and government services online (82%).</w:t>
      </w:r>
      <w:r>
        <w:rPr>
          <w:rStyle w:val="FootnoteReference"/>
        </w:rPr>
        <w:footnoteReference w:id="10"/>
      </w:r>
    </w:p>
    <w:p w:rsidR="00DD027D" w:rsidRDefault="00DD027D" w:rsidP="00DD027D">
      <w:pPr>
        <w:pStyle w:val="tabletitlefullwidth"/>
        <w:ind w:left="2250" w:firstLine="0"/>
      </w:pPr>
      <w:bookmarkStart w:id="30" w:name="_Ref424818697"/>
      <w:r>
        <w:t xml:space="preserve">Table </w:t>
      </w:r>
      <w:r w:rsidR="00DF67D6">
        <w:fldChar w:fldCharType="begin"/>
      </w:r>
      <w:r w:rsidR="00DF67D6">
        <w:instrText xml:space="preserve"> SEQ Table \* ARABIC </w:instrText>
      </w:r>
      <w:r w:rsidR="00DF67D6">
        <w:fldChar w:fldCharType="separate"/>
      </w:r>
      <w:r>
        <w:rPr>
          <w:noProof/>
        </w:rPr>
        <w:t>1</w:t>
      </w:r>
      <w:r w:rsidR="00DF67D6">
        <w:rPr>
          <w:noProof/>
        </w:rPr>
        <w:fldChar w:fldCharType="end"/>
      </w:r>
      <w:bookmarkEnd w:id="30"/>
      <w:r>
        <w:t>:</w:t>
      </w:r>
      <w:r>
        <w:tab/>
        <w:t>Total cost savings to business</w:t>
      </w:r>
    </w:p>
    <w:tbl>
      <w:tblPr>
        <w:tblW w:w="3730" w:type="pct"/>
        <w:tblInd w:w="2358"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2285"/>
        <w:gridCol w:w="4642"/>
      </w:tblGrid>
      <w:tr w:rsidR="00DD027D" w:rsidRPr="00F444D5" w:rsidTr="00E80248">
        <w:trPr>
          <w:cantSplit/>
          <w:tblHeader/>
        </w:trPr>
        <w:tc>
          <w:tcPr>
            <w:tcW w:w="1649" w:type="pct"/>
            <w:shd w:val="clear" w:color="auto" w:fill="C2E3FA"/>
          </w:tcPr>
          <w:p w:rsidR="00DD027D" w:rsidRPr="00F444D5" w:rsidRDefault="00DD027D" w:rsidP="00E80248">
            <w:pPr>
              <w:pStyle w:val="tablehead"/>
            </w:pPr>
            <w:r w:rsidRPr="00F444D5">
              <w:t>Sector</w:t>
            </w:r>
          </w:p>
        </w:tc>
        <w:tc>
          <w:tcPr>
            <w:tcW w:w="3351" w:type="pct"/>
            <w:shd w:val="clear" w:color="auto" w:fill="C2E3FA"/>
          </w:tcPr>
          <w:p w:rsidR="00DD027D" w:rsidRPr="00F444D5" w:rsidRDefault="00DD027D" w:rsidP="00E80248">
            <w:pPr>
              <w:pStyle w:val="tablehead"/>
              <w:jc w:val="center"/>
            </w:pPr>
            <w:r w:rsidRPr="00F444D5">
              <w:t>Cost savings</w:t>
            </w:r>
          </w:p>
        </w:tc>
      </w:tr>
      <w:tr w:rsidR="00DD027D" w:rsidRPr="000540E1" w:rsidTr="00E80248">
        <w:trPr>
          <w:cantSplit/>
        </w:trPr>
        <w:tc>
          <w:tcPr>
            <w:tcW w:w="1649" w:type="pct"/>
          </w:tcPr>
          <w:p w:rsidR="00DD027D" w:rsidRPr="00F444D5" w:rsidRDefault="00DD027D" w:rsidP="00E80248">
            <w:pPr>
              <w:pStyle w:val="tbltext"/>
            </w:pPr>
            <w:r w:rsidRPr="00F444D5">
              <w:t>Banking</w:t>
            </w:r>
          </w:p>
        </w:tc>
        <w:tc>
          <w:tcPr>
            <w:tcW w:w="3351" w:type="pct"/>
          </w:tcPr>
          <w:p w:rsidR="00DD027D" w:rsidRPr="00F444D5" w:rsidRDefault="00DD027D" w:rsidP="00E80248">
            <w:pPr>
              <w:pStyle w:val="tbltext"/>
              <w:ind w:right="1599"/>
              <w:jc w:val="right"/>
            </w:pPr>
            <w:r w:rsidRPr="00F444D5">
              <w:rPr>
                <w:color w:val="000000"/>
                <w:szCs w:val="22"/>
              </w:rPr>
              <w:t>$214,155,997</w:t>
            </w:r>
          </w:p>
        </w:tc>
      </w:tr>
      <w:tr w:rsidR="00DD027D" w:rsidRPr="000540E1" w:rsidTr="00E80248">
        <w:trPr>
          <w:cantSplit/>
        </w:trPr>
        <w:tc>
          <w:tcPr>
            <w:tcW w:w="1649" w:type="pct"/>
          </w:tcPr>
          <w:p w:rsidR="00DD027D" w:rsidRPr="00F444D5" w:rsidRDefault="00DD027D" w:rsidP="00E80248">
            <w:pPr>
              <w:pStyle w:val="tbltext"/>
            </w:pPr>
            <w:r w:rsidRPr="00F444D5">
              <w:t>Superannuation</w:t>
            </w:r>
          </w:p>
        </w:tc>
        <w:tc>
          <w:tcPr>
            <w:tcW w:w="3351" w:type="pct"/>
          </w:tcPr>
          <w:p w:rsidR="00DD027D" w:rsidRPr="00F444D5" w:rsidRDefault="00DD027D" w:rsidP="00E80248">
            <w:pPr>
              <w:pStyle w:val="tbltext"/>
              <w:ind w:right="1599"/>
              <w:jc w:val="right"/>
            </w:pPr>
            <w:r w:rsidRPr="00F444D5">
              <w:rPr>
                <w:color w:val="000000"/>
                <w:szCs w:val="22"/>
              </w:rPr>
              <w:t>$75,738,307</w:t>
            </w:r>
          </w:p>
        </w:tc>
      </w:tr>
      <w:tr w:rsidR="00DD027D" w:rsidRPr="000540E1" w:rsidTr="00E80248">
        <w:trPr>
          <w:cantSplit/>
        </w:trPr>
        <w:tc>
          <w:tcPr>
            <w:tcW w:w="1649" w:type="pct"/>
          </w:tcPr>
          <w:p w:rsidR="00DD027D" w:rsidRPr="00F444D5" w:rsidRDefault="00DD027D" w:rsidP="00E80248">
            <w:pPr>
              <w:pStyle w:val="tbltext"/>
              <w:rPr>
                <w:b/>
              </w:rPr>
            </w:pPr>
            <w:r w:rsidRPr="00F444D5">
              <w:rPr>
                <w:b/>
              </w:rPr>
              <w:t>Total</w:t>
            </w:r>
          </w:p>
        </w:tc>
        <w:tc>
          <w:tcPr>
            <w:tcW w:w="3351" w:type="pct"/>
          </w:tcPr>
          <w:p w:rsidR="00DD027D" w:rsidRPr="00F444D5" w:rsidRDefault="00DD027D" w:rsidP="00E80248">
            <w:pPr>
              <w:pStyle w:val="tbltext"/>
              <w:ind w:right="1599"/>
              <w:jc w:val="right"/>
            </w:pPr>
            <w:r w:rsidRPr="00F444D5">
              <w:rPr>
                <w:b/>
                <w:bCs/>
                <w:color w:val="000000"/>
                <w:szCs w:val="22"/>
              </w:rPr>
              <w:t>$289,894,304</w:t>
            </w:r>
          </w:p>
        </w:tc>
      </w:tr>
    </w:tbl>
    <w:p w:rsidR="00DD027D" w:rsidRDefault="00DD027D" w:rsidP="00DD027D">
      <w:pPr>
        <w:pStyle w:val="sourcenoteindented"/>
      </w:pPr>
      <w:r>
        <w:t xml:space="preserve">Source: </w:t>
      </w:r>
      <w:proofErr w:type="spellStart"/>
      <w:r>
        <w:t>ASIC</w:t>
      </w:r>
      <w:proofErr w:type="spellEnd"/>
      <w:r>
        <w:t xml:space="preserve">, industry response to Consultation Paper 224 </w:t>
      </w:r>
      <w:r w:rsidRPr="005453C2">
        <w:rPr>
          <w:i/>
        </w:rPr>
        <w:t>Facilitating electronic financial services disclosures</w:t>
      </w:r>
      <w:r>
        <w:t xml:space="preserve"> (</w:t>
      </w:r>
      <w:proofErr w:type="spellStart"/>
      <w:r>
        <w:t>CP</w:t>
      </w:r>
      <w:proofErr w:type="spellEnd"/>
      <w:r>
        <w:t xml:space="preserve"> 224), APRA data, Reserve Bank of Australia (RBA) data and Australia Post.</w:t>
      </w:r>
    </w:p>
    <w:p w:rsidR="00DD027D" w:rsidRDefault="00DD027D" w:rsidP="00DD027D">
      <w:pPr>
        <w:pStyle w:val="BodyText"/>
      </w:pPr>
      <w:r>
        <w:lastRenderedPageBreak/>
        <w:fldChar w:fldCharType="begin"/>
      </w:r>
      <w:r>
        <w:instrText xml:space="preserve"> REF _Ref424819347 \h </w:instrText>
      </w:r>
      <w:r>
        <w:fldChar w:fldCharType="separate"/>
      </w:r>
      <w:r>
        <w:t xml:space="preserve">Table </w:t>
      </w:r>
      <w:r>
        <w:rPr>
          <w:noProof/>
        </w:rPr>
        <w:t>2</w:t>
      </w:r>
      <w:r>
        <w:fldChar w:fldCharType="end"/>
      </w:r>
      <w:r>
        <w:t xml:space="preserve">, </w:t>
      </w:r>
      <w:r>
        <w:fldChar w:fldCharType="begin"/>
      </w:r>
      <w:r>
        <w:instrText xml:space="preserve"> REF _Ref424819356 \h </w:instrText>
      </w:r>
      <w:r>
        <w:fldChar w:fldCharType="separate"/>
      </w:r>
      <w:r>
        <w:t xml:space="preserve">Table </w:t>
      </w:r>
      <w:r>
        <w:rPr>
          <w:noProof/>
        </w:rPr>
        <w:t>3</w:t>
      </w:r>
      <w:r>
        <w:fldChar w:fldCharType="end"/>
      </w:r>
      <w:r>
        <w:t xml:space="preserve"> and </w:t>
      </w:r>
      <w:r>
        <w:fldChar w:fldCharType="begin"/>
      </w:r>
      <w:r>
        <w:instrText xml:space="preserve"> REF _Ref424819738 \h </w:instrText>
      </w:r>
      <w:r>
        <w:fldChar w:fldCharType="separate"/>
      </w:r>
      <w:r>
        <w:t xml:space="preserve">Table </w:t>
      </w:r>
      <w:r>
        <w:rPr>
          <w:noProof/>
        </w:rPr>
        <w:t>4</w:t>
      </w:r>
      <w:r>
        <w:fldChar w:fldCharType="end"/>
      </w:r>
      <w:r>
        <w:t xml:space="preserve"> show the assumptions underlying the above cost estimates. There are additional savings from the wealth management operations of banks, being a total of approximately </w:t>
      </w:r>
      <w:r w:rsidRPr="00912B12">
        <w:t>$6</w:t>
      </w:r>
      <w:r>
        <w:t xml:space="preserve">9 million a year. Additional details have not been included due to commercial sensitivity. </w:t>
      </w:r>
    </w:p>
    <w:p w:rsidR="00DD027D" w:rsidRDefault="00DD027D" w:rsidP="00DD027D">
      <w:pPr>
        <w:pStyle w:val="tabletitlefullwidth"/>
      </w:pPr>
      <w:bookmarkStart w:id="31" w:name="_Ref424819347"/>
      <w:r>
        <w:t xml:space="preserve">Table </w:t>
      </w:r>
      <w:r w:rsidR="00DF67D6">
        <w:fldChar w:fldCharType="begin"/>
      </w:r>
      <w:r w:rsidR="00DF67D6">
        <w:instrText xml:space="preserve"> SEQ Table \* ARABIC </w:instrText>
      </w:r>
      <w:r w:rsidR="00DF67D6">
        <w:fldChar w:fldCharType="separate"/>
      </w:r>
      <w:r>
        <w:rPr>
          <w:noProof/>
        </w:rPr>
        <w:t>2</w:t>
      </w:r>
      <w:r w:rsidR="00DF67D6">
        <w:rPr>
          <w:noProof/>
        </w:rPr>
        <w:fldChar w:fldCharType="end"/>
      </w:r>
      <w:bookmarkEnd w:id="31"/>
      <w:r>
        <w:t>:</w:t>
      </w:r>
      <w:r>
        <w:tab/>
        <w:t>Maximum savings estimates—Printing and postage costs</w:t>
      </w:r>
    </w:p>
    <w:tbl>
      <w:tblPr>
        <w:tblW w:w="5000" w:type="pct"/>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1488"/>
        <w:gridCol w:w="757"/>
        <w:gridCol w:w="778"/>
        <w:gridCol w:w="1025"/>
        <w:gridCol w:w="1025"/>
        <w:gridCol w:w="1120"/>
        <w:gridCol w:w="1319"/>
        <w:gridCol w:w="1774"/>
      </w:tblGrid>
      <w:tr w:rsidR="00DD027D" w:rsidRPr="000540E1" w:rsidTr="00E80248">
        <w:trPr>
          <w:cantSplit/>
          <w:trHeight w:val="1182"/>
          <w:tblHeader/>
        </w:trPr>
        <w:tc>
          <w:tcPr>
            <w:tcW w:w="801" w:type="pct"/>
            <w:shd w:val="clear" w:color="auto" w:fill="C2E3FA"/>
          </w:tcPr>
          <w:p w:rsidR="00DD027D" w:rsidRPr="00912B12" w:rsidRDefault="00DD027D" w:rsidP="00E80248">
            <w:pPr>
              <w:pStyle w:val="BodyText"/>
              <w:numPr>
                <w:ilvl w:val="0"/>
                <w:numId w:val="0"/>
              </w:numPr>
              <w:ind w:left="1134"/>
            </w:pPr>
          </w:p>
        </w:tc>
        <w:tc>
          <w:tcPr>
            <w:tcW w:w="408" w:type="pct"/>
            <w:shd w:val="clear" w:color="auto" w:fill="C2E3FA"/>
          </w:tcPr>
          <w:p w:rsidR="00DD027D" w:rsidRPr="00912B12" w:rsidRDefault="00DD027D" w:rsidP="00E80248">
            <w:pPr>
              <w:pStyle w:val="tablehead"/>
            </w:pPr>
            <w:r>
              <w:t>Small letters per year</w:t>
            </w:r>
          </w:p>
        </w:tc>
        <w:tc>
          <w:tcPr>
            <w:tcW w:w="419" w:type="pct"/>
            <w:shd w:val="clear" w:color="auto" w:fill="C2E3FA"/>
          </w:tcPr>
          <w:p w:rsidR="00DD027D" w:rsidRPr="00912B12" w:rsidRDefault="00DD027D" w:rsidP="00E80248">
            <w:pPr>
              <w:pStyle w:val="tablehead"/>
            </w:pPr>
            <w:r>
              <w:t>Large letters per year</w:t>
            </w:r>
          </w:p>
        </w:tc>
        <w:tc>
          <w:tcPr>
            <w:tcW w:w="552" w:type="pct"/>
            <w:shd w:val="clear" w:color="auto" w:fill="C2E3FA"/>
          </w:tcPr>
          <w:p w:rsidR="00DD027D" w:rsidRPr="00912B12" w:rsidRDefault="00DD027D" w:rsidP="00E80248">
            <w:pPr>
              <w:pStyle w:val="tablehead"/>
            </w:pPr>
            <w:r>
              <w:t xml:space="preserve">Cost of </w:t>
            </w:r>
            <w:r w:rsidRPr="00912B12">
              <w:t>small letter</w:t>
            </w:r>
          </w:p>
        </w:tc>
        <w:tc>
          <w:tcPr>
            <w:tcW w:w="552" w:type="pct"/>
            <w:shd w:val="clear" w:color="auto" w:fill="C2E3FA"/>
          </w:tcPr>
          <w:p w:rsidR="00DD027D" w:rsidRPr="00912B12" w:rsidRDefault="00DD027D" w:rsidP="00E80248">
            <w:pPr>
              <w:pStyle w:val="tablehead"/>
            </w:pPr>
            <w:r w:rsidRPr="00912B12">
              <w:t>Cost of large letter</w:t>
            </w:r>
          </w:p>
        </w:tc>
        <w:tc>
          <w:tcPr>
            <w:tcW w:w="603" w:type="pct"/>
            <w:shd w:val="clear" w:color="auto" w:fill="C2E3FA"/>
          </w:tcPr>
          <w:p w:rsidR="00DD027D" w:rsidRPr="00912B12" w:rsidRDefault="00DD027D" w:rsidP="00E80248">
            <w:pPr>
              <w:pStyle w:val="tablehead"/>
            </w:pPr>
            <w:r w:rsidRPr="00912B12">
              <w:t>Total number of accounts</w:t>
            </w:r>
          </w:p>
        </w:tc>
        <w:tc>
          <w:tcPr>
            <w:tcW w:w="710" w:type="pct"/>
            <w:shd w:val="clear" w:color="auto" w:fill="C2E3FA"/>
          </w:tcPr>
          <w:p w:rsidR="00DD027D" w:rsidRPr="00912B12" w:rsidRDefault="00DD027D" w:rsidP="00E80248">
            <w:pPr>
              <w:pStyle w:val="tablehead"/>
            </w:pPr>
            <w:r w:rsidRPr="00912B12">
              <w:t>Annual cost of paper disclosure (total)</w:t>
            </w:r>
          </w:p>
        </w:tc>
        <w:tc>
          <w:tcPr>
            <w:tcW w:w="955" w:type="pct"/>
            <w:shd w:val="clear" w:color="auto" w:fill="C2E3FA"/>
          </w:tcPr>
          <w:p w:rsidR="00DD027D" w:rsidRPr="00912B12" w:rsidRDefault="00DD027D" w:rsidP="00E80248">
            <w:pPr>
              <w:pStyle w:val="tablehead"/>
            </w:pPr>
            <w:r w:rsidRPr="00912B12">
              <w:t xml:space="preserve">Assuming digital disclosures cost 5%, </w:t>
            </w:r>
            <w:r>
              <w:t>maximum</w:t>
            </w:r>
            <w:r w:rsidRPr="00912B12">
              <w:t xml:space="preserve"> annual cost savings are estimated at:</w:t>
            </w:r>
          </w:p>
        </w:tc>
      </w:tr>
      <w:tr w:rsidR="00DD027D" w:rsidRPr="000540E1" w:rsidTr="00E80248">
        <w:trPr>
          <w:cantSplit/>
          <w:trHeight w:val="465"/>
        </w:trPr>
        <w:tc>
          <w:tcPr>
            <w:tcW w:w="801" w:type="pct"/>
            <w:vAlign w:val="bottom"/>
          </w:tcPr>
          <w:p w:rsidR="00DD027D" w:rsidRPr="00912B12" w:rsidRDefault="00DD027D" w:rsidP="00E80248">
            <w:pPr>
              <w:pStyle w:val="tbltext"/>
            </w:pPr>
            <w:r>
              <w:t>Banking—</w:t>
            </w:r>
            <w:r w:rsidRPr="00912B12">
              <w:t>transaction accounts</w:t>
            </w:r>
          </w:p>
        </w:tc>
        <w:tc>
          <w:tcPr>
            <w:tcW w:w="408" w:type="pct"/>
            <w:vAlign w:val="center"/>
          </w:tcPr>
          <w:p w:rsidR="00DD027D" w:rsidRPr="00912B12" w:rsidRDefault="00DD027D" w:rsidP="00E80248">
            <w:pPr>
              <w:pStyle w:val="tbltext"/>
            </w:pPr>
            <w:r w:rsidRPr="00912B12">
              <w:t>6</w:t>
            </w:r>
          </w:p>
        </w:tc>
        <w:tc>
          <w:tcPr>
            <w:tcW w:w="419" w:type="pct"/>
            <w:vAlign w:val="center"/>
          </w:tcPr>
          <w:p w:rsidR="00DD027D" w:rsidRPr="00912B12" w:rsidRDefault="00DD027D" w:rsidP="00E80248">
            <w:pPr>
              <w:pStyle w:val="tbltext"/>
            </w:pPr>
            <w:r w:rsidRPr="00912B12">
              <w:t>1</w:t>
            </w:r>
          </w:p>
        </w:tc>
        <w:tc>
          <w:tcPr>
            <w:tcW w:w="552" w:type="pct"/>
            <w:vAlign w:val="center"/>
          </w:tcPr>
          <w:p w:rsidR="00DD027D" w:rsidRPr="00912B12" w:rsidRDefault="00DD027D" w:rsidP="00E80248">
            <w:pPr>
              <w:pStyle w:val="tbltext"/>
            </w:pPr>
            <w:r w:rsidRPr="00912B12">
              <w:t>$</w:t>
            </w:r>
            <w:r>
              <w:t>1.32</w:t>
            </w:r>
          </w:p>
        </w:tc>
        <w:tc>
          <w:tcPr>
            <w:tcW w:w="552" w:type="pct"/>
            <w:vAlign w:val="center"/>
          </w:tcPr>
          <w:p w:rsidR="00DD027D" w:rsidRPr="00912B12" w:rsidRDefault="00DD027D" w:rsidP="00E80248">
            <w:pPr>
              <w:pStyle w:val="tbltext"/>
            </w:pPr>
            <w:r>
              <w:t>$2.53</w:t>
            </w:r>
          </w:p>
        </w:tc>
        <w:tc>
          <w:tcPr>
            <w:tcW w:w="603" w:type="pct"/>
            <w:vAlign w:val="center"/>
          </w:tcPr>
          <w:p w:rsidR="00DD027D" w:rsidRPr="00912B12" w:rsidRDefault="00DD027D" w:rsidP="00E80248">
            <w:pPr>
              <w:pStyle w:val="tbltext"/>
            </w:pPr>
            <w:r w:rsidRPr="00912B12">
              <w:t>40,345,982</w:t>
            </w:r>
          </w:p>
        </w:tc>
        <w:tc>
          <w:tcPr>
            <w:tcW w:w="710" w:type="pct"/>
            <w:vAlign w:val="center"/>
          </w:tcPr>
          <w:p w:rsidR="00DD027D" w:rsidRPr="00912B12" w:rsidRDefault="00DD027D" w:rsidP="00E80248">
            <w:pPr>
              <w:pStyle w:val="tbltext"/>
              <w:jc w:val="right"/>
            </w:pPr>
            <w:r w:rsidRPr="00912B12">
              <w:t>$421,060,755</w:t>
            </w:r>
          </w:p>
        </w:tc>
        <w:tc>
          <w:tcPr>
            <w:tcW w:w="955" w:type="pct"/>
            <w:vAlign w:val="center"/>
          </w:tcPr>
          <w:p w:rsidR="00DD027D" w:rsidRPr="00912B12" w:rsidRDefault="00DD027D" w:rsidP="00E80248">
            <w:pPr>
              <w:pStyle w:val="tbltext"/>
              <w:ind w:right="340"/>
              <w:jc w:val="right"/>
            </w:pPr>
            <w:r>
              <w:t>$400,007,717</w:t>
            </w:r>
          </w:p>
        </w:tc>
      </w:tr>
      <w:tr w:rsidR="00DD027D" w:rsidRPr="000540E1" w:rsidTr="00E80248">
        <w:trPr>
          <w:cantSplit/>
          <w:trHeight w:val="483"/>
        </w:trPr>
        <w:tc>
          <w:tcPr>
            <w:tcW w:w="801" w:type="pct"/>
            <w:vAlign w:val="bottom"/>
          </w:tcPr>
          <w:p w:rsidR="00DD027D" w:rsidRPr="00912B12" w:rsidRDefault="00DD027D" w:rsidP="00E80248">
            <w:pPr>
              <w:pStyle w:val="tbltext"/>
            </w:pPr>
            <w:r w:rsidRPr="00912B12">
              <w:t>Banking</w:t>
            </w:r>
            <w:r>
              <w:t>—</w:t>
            </w:r>
            <w:r w:rsidRPr="00912B12">
              <w:t>wealth management</w:t>
            </w:r>
          </w:p>
        </w:tc>
        <w:tc>
          <w:tcPr>
            <w:tcW w:w="408" w:type="pct"/>
            <w:vAlign w:val="center"/>
          </w:tcPr>
          <w:p w:rsidR="00DD027D" w:rsidRPr="00912B12" w:rsidRDefault="00DD027D" w:rsidP="00E80248">
            <w:pPr>
              <w:pStyle w:val="tbltext"/>
            </w:pPr>
            <w:r w:rsidRPr="00912B12">
              <w:t>n/a</w:t>
            </w:r>
          </w:p>
        </w:tc>
        <w:tc>
          <w:tcPr>
            <w:tcW w:w="419" w:type="pct"/>
            <w:vAlign w:val="center"/>
          </w:tcPr>
          <w:p w:rsidR="00DD027D" w:rsidRPr="00912B12" w:rsidRDefault="00DD027D" w:rsidP="00E80248">
            <w:pPr>
              <w:pStyle w:val="tbltext"/>
            </w:pPr>
            <w:r w:rsidRPr="00912B12">
              <w:t>n/a</w:t>
            </w:r>
          </w:p>
        </w:tc>
        <w:tc>
          <w:tcPr>
            <w:tcW w:w="552" w:type="pct"/>
            <w:vAlign w:val="center"/>
          </w:tcPr>
          <w:p w:rsidR="00DD027D" w:rsidRPr="00912B12" w:rsidRDefault="00DD027D" w:rsidP="00E80248">
            <w:pPr>
              <w:pStyle w:val="tbltext"/>
            </w:pPr>
            <w:r w:rsidRPr="00912B12">
              <w:t>n/a</w:t>
            </w:r>
          </w:p>
        </w:tc>
        <w:tc>
          <w:tcPr>
            <w:tcW w:w="552" w:type="pct"/>
            <w:vAlign w:val="center"/>
          </w:tcPr>
          <w:p w:rsidR="00DD027D" w:rsidRPr="00912B12" w:rsidRDefault="00DD027D" w:rsidP="00E80248">
            <w:pPr>
              <w:pStyle w:val="tbltext"/>
            </w:pPr>
            <w:r w:rsidRPr="00912B12">
              <w:t>n/a</w:t>
            </w:r>
          </w:p>
        </w:tc>
        <w:tc>
          <w:tcPr>
            <w:tcW w:w="603" w:type="pct"/>
            <w:vAlign w:val="center"/>
          </w:tcPr>
          <w:p w:rsidR="00DD027D" w:rsidRPr="00912B12" w:rsidRDefault="00DD027D" w:rsidP="00E80248">
            <w:pPr>
              <w:pStyle w:val="tbltext"/>
            </w:pPr>
            <w:r w:rsidRPr="00912B12">
              <w:t>n/a</w:t>
            </w:r>
          </w:p>
        </w:tc>
        <w:tc>
          <w:tcPr>
            <w:tcW w:w="710" w:type="pct"/>
            <w:vAlign w:val="center"/>
          </w:tcPr>
          <w:p w:rsidR="00DD027D" w:rsidRPr="00912B12" w:rsidRDefault="00DD027D" w:rsidP="00E80248">
            <w:pPr>
              <w:pStyle w:val="tbltext"/>
              <w:jc w:val="right"/>
            </w:pPr>
            <w:r w:rsidRPr="00912B12">
              <w:t xml:space="preserve">$68,998,734 </w:t>
            </w:r>
          </w:p>
        </w:tc>
        <w:tc>
          <w:tcPr>
            <w:tcW w:w="955" w:type="pct"/>
            <w:vAlign w:val="center"/>
          </w:tcPr>
          <w:p w:rsidR="00DD027D" w:rsidRPr="00912B12" w:rsidRDefault="00DD027D" w:rsidP="00E80248">
            <w:pPr>
              <w:pStyle w:val="tbltext"/>
              <w:ind w:right="340"/>
              <w:jc w:val="right"/>
            </w:pPr>
            <w:r w:rsidRPr="00912B12">
              <w:t>$65,548,797</w:t>
            </w:r>
          </w:p>
        </w:tc>
      </w:tr>
      <w:tr w:rsidR="00DD027D" w:rsidRPr="000540E1" w:rsidTr="00E80248">
        <w:trPr>
          <w:cantSplit/>
          <w:trHeight w:val="465"/>
        </w:trPr>
        <w:tc>
          <w:tcPr>
            <w:tcW w:w="801" w:type="pct"/>
            <w:vAlign w:val="bottom"/>
          </w:tcPr>
          <w:p w:rsidR="00DD027D" w:rsidRPr="00912B12" w:rsidRDefault="00DD027D" w:rsidP="00E80248">
            <w:pPr>
              <w:pStyle w:val="tbltext"/>
            </w:pPr>
            <w:r w:rsidRPr="00912B12">
              <w:t>Superannuation</w:t>
            </w:r>
          </w:p>
        </w:tc>
        <w:tc>
          <w:tcPr>
            <w:tcW w:w="408" w:type="pct"/>
            <w:vAlign w:val="center"/>
          </w:tcPr>
          <w:p w:rsidR="00DD027D" w:rsidRPr="00912B12" w:rsidRDefault="00DD027D" w:rsidP="00E80248">
            <w:pPr>
              <w:pStyle w:val="tbltext"/>
            </w:pPr>
            <w:r w:rsidRPr="00912B12">
              <w:t>1</w:t>
            </w:r>
          </w:p>
        </w:tc>
        <w:tc>
          <w:tcPr>
            <w:tcW w:w="419" w:type="pct"/>
            <w:vAlign w:val="center"/>
          </w:tcPr>
          <w:p w:rsidR="00DD027D" w:rsidRPr="00912B12" w:rsidRDefault="00DD027D" w:rsidP="00E80248">
            <w:pPr>
              <w:pStyle w:val="tbltext"/>
            </w:pPr>
            <w:r w:rsidRPr="00912B12">
              <w:t>1</w:t>
            </w:r>
          </w:p>
        </w:tc>
        <w:tc>
          <w:tcPr>
            <w:tcW w:w="552" w:type="pct"/>
            <w:vAlign w:val="center"/>
          </w:tcPr>
          <w:p w:rsidR="00DD027D" w:rsidRPr="00912B12" w:rsidRDefault="00DD027D" w:rsidP="00E80248">
            <w:pPr>
              <w:pStyle w:val="tbltext"/>
            </w:pPr>
            <w:r w:rsidRPr="00912B12">
              <w:t>$</w:t>
            </w:r>
            <w:r>
              <w:t>1.32</w:t>
            </w:r>
          </w:p>
        </w:tc>
        <w:tc>
          <w:tcPr>
            <w:tcW w:w="552" w:type="pct"/>
            <w:vAlign w:val="center"/>
          </w:tcPr>
          <w:p w:rsidR="00DD027D" w:rsidRPr="00912B12" w:rsidRDefault="00DD027D" w:rsidP="00E80248">
            <w:pPr>
              <w:pStyle w:val="tbltext"/>
            </w:pPr>
            <w:r w:rsidRPr="00912B12">
              <w:t>$</w:t>
            </w:r>
            <w:r>
              <w:t>2.53</w:t>
            </w:r>
          </w:p>
        </w:tc>
        <w:tc>
          <w:tcPr>
            <w:tcW w:w="603" w:type="pct"/>
            <w:vAlign w:val="center"/>
          </w:tcPr>
          <w:p w:rsidR="00DD027D" w:rsidRPr="00912B12" w:rsidRDefault="00DD027D" w:rsidP="00E80248">
            <w:pPr>
              <w:pStyle w:val="tbltext"/>
            </w:pPr>
            <w:r w:rsidRPr="00912B12">
              <w:t>28,794,934</w:t>
            </w:r>
          </w:p>
        </w:tc>
        <w:tc>
          <w:tcPr>
            <w:tcW w:w="710" w:type="pct"/>
            <w:vAlign w:val="center"/>
          </w:tcPr>
          <w:p w:rsidR="00DD027D" w:rsidRPr="00912B12" w:rsidRDefault="00DD027D" w:rsidP="00E80248">
            <w:pPr>
              <w:pStyle w:val="tbltext"/>
              <w:jc w:val="right"/>
            </w:pPr>
            <w:r w:rsidRPr="00912B12">
              <w:t>$110,728,519</w:t>
            </w:r>
          </w:p>
        </w:tc>
        <w:tc>
          <w:tcPr>
            <w:tcW w:w="955" w:type="pct"/>
            <w:vAlign w:val="center"/>
          </w:tcPr>
          <w:p w:rsidR="00DD027D" w:rsidRPr="00912B12" w:rsidRDefault="00DD027D" w:rsidP="00E80248">
            <w:pPr>
              <w:pStyle w:val="tbltext"/>
              <w:ind w:right="340"/>
              <w:jc w:val="right"/>
            </w:pPr>
            <w:r w:rsidRPr="00912B12">
              <w:t xml:space="preserve">$105,192,093 </w:t>
            </w:r>
          </w:p>
        </w:tc>
      </w:tr>
    </w:tbl>
    <w:p w:rsidR="00DD027D" w:rsidRDefault="00DD027D" w:rsidP="00DD027D">
      <w:pPr>
        <w:pStyle w:val="sourcenotefullwidth"/>
      </w:pPr>
      <w:r>
        <w:t xml:space="preserve">Source: </w:t>
      </w:r>
      <w:proofErr w:type="spellStart"/>
      <w:r>
        <w:t>ASIC</w:t>
      </w:r>
      <w:proofErr w:type="spellEnd"/>
      <w:r>
        <w:t xml:space="preserve">, industry response to </w:t>
      </w:r>
      <w:proofErr w:type="spellStart"/>
      <w:r>
        <w:t>CP</w:t>
      </w:r>
      <w:proofErr w:type="spellEnd"/>
      <w:r>
        <w:t xml:space="preserve"> 224, APRA, RBA and Australia Post.</w:t>
      </w:r>
    </w:p>
    <w:p w:rsidR="00DD027D" w:rsidRDefault="00DD027D" w:rsidP="00DD027D">
      <w:pPr>
        <w:pStyle w:val="tabletitlefullwidth"/>
      </w:pPr>
      <w:bookmarkStart w:id="32" w:name="_Ref424819356"/>
      <w:r>
        <w:t xml:space="preserve">Table </w:t>
      </w:r>
      <w:r w:rsidR="00DF67D6">
        <w:fldChar w:fldCharType="begin"/>
      </w:r>
      <w:r w:rsidR="00DF67D6">
        <w:instrText xml:space="preserve"> SEQ Table \* ARABIC </w:instrText>
      </w:r>
      <w:r w:rsidR="00DF67D6">
        <w:fldChar w:fldCharType="separate"/>
      </w:r>
      <w:r>
        <w:rPr>
          <w:noProof/>
        </w:rPr>
        <w:t>3</w:t>
      </w:r>
      <w:r w:rsidR="00DF67D6">
        <w:rPr>
          <w:noProof/>
        </w:rPr>
        <w:fldChar w:fldCharType="end"/>
      </w:r>
      <w:bookmarkEnd w:id="32"/>
      <w:r>
        <w:t>:</w:t>
      </w:r>
      <w:r>
        <w:tab/>
        <w:t>Savings estimates—Banking</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022"/>
        <w:gridCol w:w="3022"/>
        <w:gridCol w:w="3022"/>
      </w:tblGrid>
      <w:tr w:rsidR="00DD027D" w:rsidRPr="000540E1" w:rsidTr="00E80248">
        <w:trPr>
          <w:cantSplit/>
          <w:tblHeader/>
        </w:trPr>
        <w:tc>
          <w:tcPr>
            <w:tcW w:w="3022" w:type="dxa"/>
            <w:shd w:val="clear" w:color="auto" w:fill="C2E3FA"/>
          </w:tcPr>
          <w:tbl>
            <w:tblPr>
              <w:tblW w:w="8408" w:type="dxa"/>
              <w:tblLayout w:type="fixed"/>
              <w:tblLook w:val="04A0" w:firstRow="1" w:lastRow="0" w:firstColumn="1" w:lastColumn="0" w:noHBand="0" w:noVBand="1"/>
            </w:tblPr>
            <w:tblGrid>
              <w:gridCol w:w="5216"/>
              <w:gridCol w:w="1456"/>
              <w:gridCol w:w="1736"/>
            </w:tblGrid>
            <w:tr w:rsidR="00DD027D" w:rsidRPr="00912B12" w:rsidTr="00E80248">
              <w:trPr>
                <w:trHeight w:val="300"/>
              </w:trPr>
              <w:tc>
                <w:tcPr>
                  <w:tcW w:w="5216" w:type="dxa"/>
                  <w:tcBorders>
                    <w:top w:val="nil"/>
                    <w:left w:val="nil"/>
                    <w:bottom w:val="nil"/>
                    <w:right w:val="nil"/>
                  </w:tcBorders>
                  <w:shd w:val="clear" w:color="auto" w:fill="auto"/>
                  <w:noWrap/>
                  <w:vAlign w:val="bottom"/>
                  <w:hideMark/>
                </w:tcPr>
                <w:p w:rsidR="00DD027D" w:rsidRPr="00912B12" w:rsidRDefault="00DD027D" w:rsidP="00E80248">
                  <w:pPr>
                    <w:pStyle w:val="tablehead"/>
                  </w:pPr>
                  <w:r w:rsidRPr="00912B12">
                    <w:t>Email take</w:t>
                  </w:r>
                  <w:r>
                    <w:t>-</w:t>
                  </w:r>
                  <w:r w:rsidRPr="00912B12">
                    <w:t>up rate</w:t>
                  </w:r>
                </w:p>
              </w:tc>
              <w:tc>
                <w:tcPr>
                  <w:tcW w:w="1456" w:type="dxa"/>
                  <w:tcBorders>
                    <w:top w:val="nil"/>
                    <w:left w:val="nil"/>
                    <w:bottom w:val="nil"/>
                    <w:right w:val="nil"/>
                  </w:tcBorders>
                  <w:shd w:val="clear" w:color="auto" w:fill="auto"/>
                  <w:noWrap/>
                  <w:vAlign w:val="bottom"/>
                  <w:hideMark/>
                </w:tcPr>
                <w:p w:rsidR="00DD027D" w:rsidRPr="00912B12" w:rsidRDefault="00DD027D" w:rsidP="00E80248">
                  <w:pPr>
                    <w:pStyle w:val="tablehead"/>
                  </w:pPr>
                  <w:r w:rsidRPr="00912B12">
                    <w:t>80%</w:t>
                  </w:r>
                </w:p>
              </w:tc>
              <w:tc>
                <w:tcPr>
                  <w:tcW w:w="1736" w:type="dxa"/>
                  <w:tcBorders>
                    <w:top w:val="nil"/>
                    <w:left w:val="nil"/>
                    <w:bottom w:val="nil"/>
                    <w:right w:val="nil"/>
                  </w:tcBorders>
                  <w:shd w:val="clear" w:color="auto" w:fill="auto"/>
                  <w:noWrap/>
                  <w:vAlign w:val="bottom"/>
                  <w:hideMark/>
                </w:tcPr>
                <w:p w:rsidR="00DD027D" w:rsidRPr="00912B12" w:rsidRDefault="00DD027D" w:rsidP="00E80248">
                  <w:pPr>
                    <w:pStyle w:val="tablehead"/>
                  </w:pPr>
                  <w:r w:rsidRPr="00912B12">
                    <w:t>46.00%</w:t>
                  </w:r>
                </w:p>
              </w:tc>
            </w:tr>
          </w:tbl>
          <w:p w:rsidR="00DD027D" w:rsidRPr="000540E1" w:rsidRDefault="00DD027D" w:rsidP="00E80248">
            <w:pPr>
              <w:pStyle w:val="tablehead"/>
            </w:pPr>
          </w:p>
        </w:tc>
        <w:tc>
          <w:tcPr>
            <w:tcW w:w="3022" w:type="dxa"/>
            <w:shd w:val="clear" w:color="auto" w:fill="C2E3FA"/>
          </w:tcPr>
          <w:p w:rsidR="00DD027D" w:rsidRPr="000540E1" w:rsidRDefault="00DD027D" w:rsidP="00E80248">
            <w:pPr>
              <w:pStyle w:val="tablehead"/>
              <w:ind w:left="470"/>
            </w:pPr>
            <w:r>
              <w:t>80%</w:t>
            </w:r>
          </w:p>
        </w:tc>
        <w:tc>
          <w:tcPr>
            <w:tcW w:w="3022" w:type="dxa"/>
            <w:shd w:val="clear" w:color="auto" w:fill="C2E3FA"/>
          </w:tcPr>
          <w:p w:rsidR="00DD027D" w:rsidRPr="000540E1" w:rsidRDefault="00DD027D" w:rsidP="00E80248">
            <w:pPr>
              <w:pStyle w:val="tablehead"/>
              <w:ind w:left="470"/>
            </w:pPr>
            <w:r>
              <w:t>46%</w:t>
            </w:r>
            <w:r>
              <w:rPr>
                <w:rStyle w:val="FootnoteReference"/>
              </w:rPr>
              <w:footnoteReference w:id="11"/>
            </w:r>
          </w:p>
        </w:tc>
      </w:tr>
      <w:tr w:rsidR="00DD027D" w:rsidRPr="000540E1" w:rsidTr="00E80248">
        <w:trPr>
          <w:cantSplit/>
        </w:trPr>
        <w:tc>
          <w:tcPr>
            <w:tcW w:w="3022" w:type="dxa"/>
          </w:tcPr>
          <w:p w:rsidR="00DD027D" w:rsidRPr="000540E1" w:rsidRDefault="00DD027D" w:rsidP="00E80248">
            <w:pPr>
              <w:pStyle w:val="tbltext"/>
            </w:pPr>
            <w:r w:rsidRPr="00912B12">
              <w:t>100% take</w:t>
            </w:r>
            <w:r>
              <w:t>-</w:t>
            </w:r>
            <w:r w:rsidRPr="00912B12">
              <w:t>up saving</w:t>
            </w:r>
          </w:p>
        </w:tc>
        <w:tc>
          <w:tcPr>
            <w:tcW w:w="3022" w:type="dxa"/>
          </w:tcPr>
          <w:p w:rsidR="00DD027D" w:rsidRPr="00912B12" w:rsidRDefault="00DD027D" w:rsidP="00E80248">
            <w:pPr>
              <w:pStyle w:val="tbltext"/>
            </w:pPr>
            <w:r w:rsidRPr="00912B12">
              <w:t>$465,556,514</w:t>
            </w:r>
          </w:p>
        </w:tc>
        <w:tc>
          <w:tcPr>
            <w:tcW w:w="3022" w:type="dxa"/>
          </w:tcPr>
          <w:p w:rsidR="00DD027D" w:rsidRPr="00912B12" w:rsidRDefault="00DD027D" w:rsidP="00E80248">
            <w:pPr>
              <w:pStyle w:val="tbltext"/>
            </w:pPr>
            <w:r>
              <w:t>$465,556,514</w:t>
            </w:r>
          </w:p>
        </w:tc>
      </w:tr>
      <w:tr w:rsidR="00DD027D" w:rsidRPr="000540E1" w:rsidTr="00E80248">
        <w:trPr>
          <w:cantSplit/>
        </w:trPr>
        <w:tc>
          <w:tcPr>
            <w:tcW w:w="3022" w:type="dxa"/>
          </w:tcPr>
          <w:p w:rsidR="00DD027D" w:rsidRPr="000540E1" w:rsidRDefault="00DD027D" w:rsidP="00E80248">
            <w:pPr>
              <w:pStyle w:val="tbltext"/>
            </w:pPr>
            <w:r w:rsidRPr="00912B12">
              <w:t xml:space="preserve">Actual saving (after accounting </w:t>
            </w:r>
            <w:r>
              <w:t>for email take-up rate)</w:t>
            </w:r>
          </w:p>
        </w:tc>
        <w:tc>
          <w:tcPr>
            <w:tcW w:w="3022" w:type="dxa"/>
          </w:tcPr>
          <w:p w:rsidR="00DD027D" w:rsidRPr="00C97AA5" w:rsidRDefault="00DD027D" w:rsidP="00E80248">
            <w:pPr>
              <w:pStyle w:val="tbltext"/>
            </w:pPr>
            <w:r>
              <w:t>$372,445,212</w:t>
            </w:r>
          </w:p>
        </w:tc>
        <w:tc>
          <w:tcPr>
            <w:tcW w:w="3022" w:type="dxa"/>
          </w:tcPr>
          <w:p w:rsidR="00DD027D" w:rsidRPr="00912B12" w:rsidRDefault="00DD027D" w:rsidP="00E80248">
            <w:pPr>
              <w:pStyle w:val="tbltext"/>
              <w:rPr>
                <w:rFonts w:cs="Times New Roman"/>
              </w:rPr>
            </w:pPr>
            <w:r>
              <w:rPr>
                <w:b/>
              </w:rPr>
              <w:t>$214,155,997</w:t>
            </w:r>
          </w:p>
        </w:tc>
      </w:tr>
    </w:tbl>
    <w:p w:rsidR="00DD027D" w:rsidRDefault="00DD027D" w:rsidP="00DD027D">
      <w:pPr>
        <w:pStyle w:val="sourcenotefullwidth"/>
      </w:pPr>
      <w:r>
        <w:t xml:space="preserve">Source: </w:t>
      </w:r>
      <w:proofErr w:type="spellStart"/>
      <w:r>
        <w:t>ASIC</w:t>
      </w:r>
      <w:proofErr w:type="spellEnd"/>
      <w:r>
        <w:t xml:space="preserve">, industry response to </w:t>
      </w:r>
      <w:proofErr w:type="spellStart"/>
      <w:r>
        <w:t>CP</w:t>
      </w:r>
      <w:proofErr w:type="spellEnd"/>
      <w:r>
        <w:t xml:space="preserve"> 224, APRA, RBA and Australia Post.</w:t>
      </w:r>
    </w:p>
    <w:p w:rsidR="00DD027D" w:rsidRDefault="00DD027D" w:rsidP="00DD027D">
      <w:pPr>
        <w:pStyle w:val="tabletitlefullwidth"/>
      </w:pPr>
      <w:bookmarkStart w:id="33" w:name="_Ref424819738"/>
      <w:r>
        <w:t xml:space="preserve">Table </w:t>
      </w:r>
      <w:r w:rsidR="00DF67D6">
        <w:fldChar w:fldCharType="begin"/>
      </w:r>
      <w:r w:rsidR="00DF67D6">
        <w:instrText xml:space="preserve"> SEQ Table \* ARABIC </w:instrText>
      </w:r>
      <w:r w:rsidR="00DF67D6">
        <w:fldChar w:fldCharType="separate"/>
      </w:r>
      <w:r>
        <w:rPr>
          <w:noProof/>
        </w:rPr>
        <w:t>4</w:t>
      </w:r>
      <w:r w:rsidR="00DF67D6">
        <w:rPr>
          <w:noProof/>
        </w:rPr>
        <w:fldChar w:fldCharType="end"/>
      </w:r>
      <w:bookmarkEnd w:id="33"/>
      <w:r>
        <w:t>:</w:t>
      </w:r>
      <w:r>
        <w:tab/>
        <w:t>Savings estimates—Superannuation</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022"/>
        <w:gridCol w:w="3022"/>
        <w:gridCol w:w="3022"/>
      </w:tblGrid>
      <w:tr w:rsidR="00DD027D" w:rsidRPr="00912B12" w:rsidTr="00E80248">
        <w:trPr>
          <w:cantSplit/>
          <w:tblHeader/>
        </w:trPr>
        <w:tc>
          <w:tcPr>
            <w:tcW w:w="3022" w:type="dxa"/>
            <w:shd w:val="clear" w:color="auto" w:fill="C2E3FA"/>
          </w:tcPr>
          <w:p w:rsidR="00DD027D" w:rsidRPr="00912B12" w:rsidRDefault="00DD027D" w:rsidP="00E80248">
            <w:pPr>
              <w:pStyle w:val="tablehead"/>
            </w:pPr>
            <w:r w:rsidRPr="00912B12">
              <w:t>Email take</w:t>
            </w:r>
            <w:r>
              <w:t>-</w:t>
            </w:r>
            <w:r w:rsidRPr="00912B12">
              <w:t>up rate</w:t>
            </w:r>
          </w:p>
        </w:tc>
        <w:tc>
          <w:tcPr>
            <w:tcW w:w="3022" w:type="dxa"/>
            <w:shd w:val="clear" w:color="auto" w:fill="C2E3FA"/>
          </w:tcPr>
          <w:p w:rsidR="00DD027D" w:rsidRPr="00912B12" w:rsidRDefault="00DD027D" w:rsidP="00E80248">
            <w:pPr>
              <w:pStyle w:val="tablehead"/>
              <w:ind w:left="470"/>
            </w:pPr>
            <w:r w:rsidRPr="00912B12">
              <w:t>80</w:t>
            </w:r>
            <w:r>
              <w:t>%</w:t>
            </w:r>
          </w:p>
        </w:tc>
        <w:tc>
          <w:tcPr>
            <w:tcW w:w="3022" w:type="dxa"/>
            <w:shd w:val="clear" w:color="auto" w:fill="C2E3FA"/>
          </w:tcPr>
          <w:p w:rsidR="00DD027D" w:rsidRPr="00912B12" w:rsidRDefault="00DD027D" w:rsidP="00E80248">
            <w:pPr>
              <w:pStyle w:val="tablehead"/>
              <w:ind w:left="470"/>
            </w:pPr>
            <w:r w:rsidRPr="00912B12">
              <w:t>72</w:t>
            </w:r>
            <w:r>
              <w:t>%</w:t>
            </w:r>
            <w:r>
              <w:rPr>
                <w:rStyle w:val="FootnoteReference"/>
              </w:rPr>
              <w:footnoteReference w:id="12"/>
            </w:r>
            <w:r w:rsidRPr="00912B12">
              <w:t xml:space="preserve"> </w:t>
            </w:r>
          </w:p>
        </w:tc>
      </w:tr>
      <w:tr w:rsidR="00DD027D" w:rsidRPr="00912B12" w:rsidTr="00E80248">
        <w:trPr>
          <w:cantSplit/>
        </w:trPr>
        <w:tc>
          <w:tcPr>
            <w:tcW w:w="3022" w:type="dxa"/>
          </w:tcPr>
          <w:p w:rsidR="00DD027D" w:rsidRPr="00912B12" w:rsidRDefault="00DD027D" w:rsidP="00E80248">
            <w:pPr>
              <w:pStyle w:val="tbltext"/>
            </w:pPr>
            <w:r w:rsidRPr="00912B12">
              <w:t>100% take</w:t>
            </w:r>
            <w:r>
              <w:t>-</w:t>
            </w:r>
            <w:r w:rsidRPr="00912B12">
              <w:t>up saving</w:t>
            </w:r>
          </w:p>
        </w:tc>
        <w:tc>
          <w:tcPr>
            <w:tcW w:w="3022" w:type="dxa"/>
          </w:tcPr>
          <w:p w:rsidR="00DD027D" w:rsidRPr="00912B12" w:rsidRDefault="00DD027D" w:rsidP="00E80248">
            <w:pPr>
              <w:pStyle w:val="tbltext"/>
            </w:pPr>
            <w:r>
              <w:t>$</w:t>
            </w:r>
            <w:r w:rsidRPr="00912B12">
              <w:t xml:space="preserve">105,192,093 </w:t>
            </w:r>
          </w:p>
        </w:tc>
        <w:tc>
          <w:tcPr>
            <w:tcW w:w="3022" w:type="dxa"/>
          </w:tcPr>
          <w:p w:rsidR="00DD027D" w:rsidRPr="00912B12" w:rsidRDefault="00DD027D" w:rsidP="00E80248">
            <w:pPr>
              <w:pStyle w:val="tbltext"/>
              <w:tabs>
                <w:tab w:val="left" w:pos="1138"/>
              </w:tabs>
              <w:ind w:right="1668"/>
              <w:jc w:val="right"/>
            </w:pPr>
            <w:r w:rsidRPr="00912B12">
              <w:t xml:space="preserve">$105,192,093 </w:t>
            </w:r>
          </w:p>
        </w:tc>
      </w:tr>
      <w:tr w:rsidR="00DD027D" w:rsidRPr="00912B12" w:rsidTr="00E80248">
        <w:trPr>
          <w:cantSplit/>
        </w:trPr>
        <w:tc>
          <w:tcPr>
            <w:tcW w:w="3022" w:type="dxa"/>
          </w:tcPr>
          <w:p w:rsidR="00DD027D" w:rsidRPr="00912B12" w:rsidRDefault="00DD027D" w:rsidP="00E80248">
            <w:pPr>
              <w:pStyle w:val="tbltext"/>
            </w:pPr>
            <w:r w:rsidRPr="00912B12">
              <w:t>Actual saving (after accounting for email take</w:t>
            </w:r>
            <w:r>
              <w:t>-</w:t>
            </w:r>
            <w:r w:rsidRPr="00912B12">
              <w:t>up rate)</w:t>
            </w:r>
          </w:p>
        </w:tc>
        <w:tc>
          <w:tcPr>
            <w:tcW w:w="3022" w:type="dxa"/>
          </w:tcPr>
          <w:p w:rsidR="00DD027D" w:rsidRPr="00912B12" w:rsidRDefault="00DD027D" w:rsidP="00E80248">
            <w:pPr>
              <w:pStyle w:val="tbltext"/>
            </w:pPr>
            <w:r w:rsidRPr="00912B12">
              <w:t xml:space="preserve">$84,153,675 </w:t>
            </w:r>
          </w:p>
        </w:tc>
        <w:tc>
          <w:tcPr>
            <w:tcW w:w="3022" w:type="dxa"/>
          </w:tcPr>
          <w:p w:rsidR="00DD027D" w:rsidRPr="00912B12" w:rsidRDefault="00DD027D" w:rsidP="00E80248">
            <w:pPr>
              <w:pStyle w:val="tbltext"/>
              <w:tabs>
                <w:tab w:val="left" w:pos="1138"/>
              </w:tabs>
              <w:ind w:right="1668"/>
              <w:jc w:val="right"/>
              <w:rPr>
                <w:b/>
              </w:rPr>
            </w:pPr>
            <w:r w:rsidRPr="00912B12">
              <w:rPr>
                <w:b/>
              </w:rPr>
              <w:t xml:space="preserve">$75,738,307 </w:t>
            </w:r>
          </w:p>
        </w:tc>
      </w:tr>
    </w:tbl>
    <w:p w:rsidR="00DD027D" w:rsidRDefault="00DD027D" w:rsidP="00DD027D">
      <w:pPr>
        <w:pStyle w:val="sourcenotefullwidth"/>
      </w:pPr>
      <w:r>
        <w:t xml:space="preserve">Source: </w:t>
      </w:r>
      <w:proofErr w:type="spellStart"/>
      <w:r>
        <w:t>ASIC</w:t>
      </w:r>
      <w:proofErr w:type="spellEnd"/>
      <w:r>
        <w:t xml:space="preserve">, industry response to </w:t>
      </w:r>
      <w:proofErr w:type="spellStart"/>
      <w:r>
        <w:t>CP</w:t>
      </w:r>
      <w:proofErr w:type="spellEnd"/>
      <w:r>
        <w:t xml:space="preserve"> 224, APRA and Australia Post.</w:t>
      </w:r>
    </w:p>
    <w:p w:rsidR="00DD027D" w:rsidRDefault="00DD027D" w:rsidP="00DD027D">
      <w:pPr>
        <w:pStyle w:val="BodyText"/>
      </w:pPr>
      <w:r>
        <w:t xml:space="preserve">These compliance cost savings are estimates only and are provided to give an indication of expected compliance cost savings. They are highly </w:t>
      </w:r>
      <w:r>
        <w:lastRenderedPageBreak/>
        <w:t xml:space="preserve">dependent on assumptions, which have been made with input from industry participants, but nevertheless remain our assumptions. </w:t>
      </w:r>
    </w:p>
    <w:p w:rsidR="00DD027D" w:rsidRDefault="00DD027D" w:rsidP="00DD027D">
      <w:pPr>
        <w:pStyle w:val="BodyText"/>
      </w:pPr>
      <w:r>
        <w:t xml:space="preserve">Consultation suggests that, in many cases, providers will rely only on greater use of existing systems. We also understand from our consultations that any additional costs would be minor. Consequently, this compliance cost savings estimate does not incorporate a value for costs required to implement systems changes for providers. </w:t>
      </w:r>
    </w:p>
    <w:p w:rsidR="00DD027D" w:rsidRDefault="00DD027D" w:rsidP="00DD027D">
      <w:pPr>
        <w:pStyle w:val="Heading3"/>
      </w:pPr>
      <w:r>
        <w:t>Impact on consumers</w:t>
      </w:r>
    </w:p>
    <w:p w:rsidR="00DD027D" w:rsidRDefault="00DD027D" w:rsidP="00DD027D">
      <w:pPr>
        <w:pStyle w:val="BodyText"/>
      </w:pPr>
      <w:r>
        <w:t>The impact on consumers will be minimal because these proposals do not change the existing range of possible delivery methods, but merely make it possible for digital disclosure to be the default method of delivery. Except for fully digital products, which include as part of their terms and conditions that they are fully online and as such will have disclosures only available digitally, consumers may opt out of digital delivery.</w:t>
      </w:r>
    </w:p>
    <w:p w:rsidR="00DD027D" w:rsidRDefault="00DD027D" w:rsidP="00DD027D">
      <w:pPr>
        <w:pStyle w:val="BodyText"/>
      </w:pPr>
      <w:r>
        <w:t>Nevertheless, we expect fewer consumers to opt out of digital delivery compared with those who have previously opted in. Given continually increasing use of digital technology, particularly the internet and smartphones, we would expect these new digital disclosure recipients to fall into three broad categories (not including those consumers who opt out of digital disclosure):</w:t>
      </w:r>
    </w:p>
    <w:p w:rsidR="00DD027D" w:rsidRDefault="00DD027D" w:rsidP="00DD027D">
      <w:pPr>
        <w:pStyle w:val="subparaa"/>
      </w:pPr>
      <w:r>
        <w:t>those who prefer digital disclosure, but have not made the effort to opt in;</w:t>
      </w:r>
    </w:p>
    <w:p w:rsidR="00DD027D" w:rsidRDefault="00DD027D" w:rsidP="00DD027D">
      <w:pPr>
        <w:pStyle w:val="subparaa"/>
      </w:pPr>
      <w:r>
        <w:t>those who are indifferent to the method of disclosure; and</w:t>
      </w:r>
    </w:p>
    <w:p w:rsidR="00DD027D" w:rsidRDefault="00DD027D" w:rsidP="00DD027D">
      <w:pPr>
        <w:pStyle w:val="subparaa"/>
      </w:pPr>
      <w:bookmarkStart w:id="34" w:name="_ASICRef814"/>
      <w:r>
        <w:t xml:space="preserve">those who do not access the disclosure because of a lack of access to digital technology, not accessing relevant digital technology or because an addressed disclosure or message advising of the disclosure does not reach the consumer. </w:t>
      </w:r>
      <w:bookmarkEnd w:id="34"/>
    </w:p>
    <w:p w:rsidR="00DD027D" w:rsidRDefault="00DD027D" w:rsidP="00DD027D">
      <w:pPr>
        <w:pStyle w:val="BodyText"/>
      </w:pPr>
      <w:r>
        <w:t>For the first two categories of consumer, digital disclosure will be a net positive. The b</w:t>
      </w:r>
      <w:r w:rsidRPr="002F316E">
        <w:t xml:space="preserve">enefits </w:t>
      </w:r>
      <w:r>
        <w:t xml:space="preserve">of this option </w:t>
      </w:r>
      <w:r w:rsidRPr="002F316E">
        <w:t xml:space="preserve">include ease and convenience of use by </w:t>
      </w:r>
      <w:r>
        <w:t>consumers,</w:t>
      </w:r>
      <w:r w:rsidRPr="002F316E">
        <w:t xml:space="preserve"> including enabling disclosures </w:t>
      </w:r>
      <w:r>
        <w:t xml:space="preserve">to be viewed on mobile devices. </w:t>
      </w:r>
    </w:p>
    <w:p w:rsidR="00DD027D" w:rsidRDefault="00DD027D" w:rsidP="00DD027D">
      <w:pPr>
        <w:pStyle w:val="BodyText"/>
      </w:pPr>
      <w:r w:rsidRPr="002F316E">
        <w:t xml:space="preserve">There are also time savings for consumers </w:t>
      </w:r>
      <w:r>
        <w:t>because</w:t>
      </w:r>
      <w:r w:rsidRPr="002F316E">
        <w:t xml:space="preserve"> issuers can deliver disclosures in real time, rather than waiting for </w:t>
      </w:r>
      <w:r>
        <w:t>post</w:t>
      </w:r>
      <w:r w:rsidRPr="002F316E">
        <w:t xml:space="preserve">. </w:t>
      </w:r>
      <w:r>
        <w:t>Digital</w:t>
      </w:r>
      <w:r w:rsidRPr="002F316E">
        <w:t xml:space="preserve"> disclos</w:t>
      </w:r>
      <w:r>
        <w:t>u</w:t>
      </w:r>
      <w:r w:rsidRPr="002F316E">
        <w:t>re may assist people to be more organised with information and allow easier retrieval for review</w:t>
      </w:r>
      <w:r>
        <w:t xml:space="preserve"> because digital information</w:t>
      </w:r>
      <w:r w:rsidRPr="002F316E">
        <w:t xml:space="preserve"> can be easier to file, categorise and search than paper. </w:t>
      </w:r>
    </w:p>
    <w:p w:rsidR="00DD027D" w:rsidRDefault="00DD027D" w:rsidP="00DD027D">
      <w:pPr>
        <w:pStyle w:val="BodyText"/>
      </w:pPr>
      <w:r>
        <w:t xml:space="preserve">The cost saving estimates in </w:t>
      </w:r>
      <w:r>
        <w:fldChar w:fldCharType="begin"/>
      </w:r>
      <w:r>
        <w:instrText xml:space="preserve"> REF _Ref424819364 \h </w:instrText>
      </w:r>
      <w:r>
        <w:fldChar w:fldCharType="separate"/>
      </w:r>
      <w:r>
        <w:t xml:space="preserve">Table </w:t>
      </w:r>
      <w:r>
        <w:rPr>
          <w:noProof/>
        </w:rPr>
        <w:t>5</w:t>
      </w:r>
      <w:r>
        <w:fldChar w:fldCharType="end"/>
      </w:r>
      <w:r>
        <w:t xml:space="preserve"> are based on an assumed 12 minutes to opt in or out, and 2 minutes to shift channels. This is based on industry submissions, our knowledge of these processes and advice from </w:t>
      </w:r>
      <w:proofErr w:type="spellStart"/>
      <w:r>
        <w:t>OBPR</w:t>
      </w:r>
      <w:proofErr w:type="spellEnd"/>
      <w:r>
        <w:t xml:space="preserve">. </w:t>
      </w:r>
      <w:r>
        <w:lastRenderedPageBreak/>
        <w:t>Storage costs are estimated from commercially available costs of storing paper records and electronic data.</w:t>
      </w:r>
    </w:p>
    <w:p w:rsidR="00DD027D" w:rsidRDefault="00DD027D" w:rsidP="00DD027D">
      <w:pPr>
        <w:pStyle w:val="tabletitlefullwidth"/>
      </w:pPr>
      <w:bookmarkStart w:id="35" w:name="_Ref424819364"/>
      <w:r>
        <w:t xml:space="preserve">Table </w:t>
      </w:r>
      <w:r w:rsidR="00DF67D6">
        <w:fldChar w:fldCharType="begin"/>
      </w:r>
      <w:r w:rsidR="00DF67D6">
        <w:instrText xml:space="preserve"> SEQ Table \* ARABIC </w:instrText>
      </w:r>
      <w:r w:rsidR="00DF67D6">
        <w:fldChar w:fldCharType="separate"/>
      </w:r>
      <w:r>
        <w:rPr>
          <w:noProof/>
        </w:rPr>
        <w:t>5</w:t>
      </w:r>
      <w:r w:rsidR="00DF67D6">
        <w:rPr>
          <w:noProof/>
        </w:rPr>
        <w:fldChar w:fldCharType="end"/>
      </w:r>
      <w:bookmarkEnd w:id="35"/>
      <w:r>
        <w:t>:</w:t>
      </w:r>
      <w:r>
        <w:tab/>
        <w:t>Costs and savings for consumers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040"/>
        <w:gridCol w:w="4032"/>
      </w:tblGrid>
      <w:tr w:rsidR="00DD027D" w:rsidRPr="000540E1" w:rsidTr="00E80248">
        <w:trPr>
          <w:cantSplit/>
          <w:tblHeader/>
        </w:trPr>
        <w:tc>
          <w:tcPr>
            <w:tcW w:w="5040" w:type="dxa"/>
            <w:shd w:val="clear" w:color="auto" w:fill="C2E3FA"/>
          </w:tcPr>
          <w:p w:rsidR="00DD027D" w:rsidRPr="000540E1" w:rsidRDefault="00DD027D" w:rsidP="00E80248">
            <w:pPr>
              <w:pStyle w:val="tablehead"/>
            </w:pPr>
            <w:r>
              <w:t>Arising from</w:t>
            </w:r>
          </w:p>
        </w:tc>
        <w:tc>
          <w:tcPr>
            <w:tcW w:w="4032" w:type="dxa"/>
            <w:shd w:val="clear" w:color="auto" w:fill="C2E3FA"/>
          </w:tcPr>
          <w:p w:rsidR="00DD027D" w:rsidRPr="000540E1" w:rsidRDefault="00DD027D" w:rsidP="00E80248">
            <w:pPr>
              <w:pStyle w:val="tablehead"/>
              <w:jc w:val="center"/>
            </w:pPr>
            <w:r>
              <w:t>Saving/cost</w:t>
            </w:r>
          </w:p>
        </w:tc>
      </w:tr>
      <w:tr w:rsidR="00DD027D" w:rsidRPr="000540E1" w:rsidTr="00E80248">
        <w:trPr>
          <w:cantSplit/>
        </w:trPr>
        <w:tc>
          <w:tcPr>
            <w:tcW w:w="5040" w:type="dxa"/>
          </w:tcPr>
          <w:p w:rsidR="00DD027D" w:rsidRPr="000540E1" w:rsidRDefault="00DD027D" w:rsidP="00E80248">
            <w:pPr>
              <w:pStyle w:val="tbltext"/>
            </w:pPr>
            <w:r>
              <w:t>Reduced time needed for channel shifting</w:t>
            </w:r>
            <w:r>
              <w:tab/>
            </w:r>
          </w:p>
        </w:tc>
        <w:tc>
          <w:tcPr>
            <w:tcW w:w="4032" w:type="dxa"/>
          </w:tcPr>
          <w:p w:rsidR="00DD027D" w:rsidRPr="000540E1" w:rsidRDefault="00DD027D" w:rsidP="00E80248">
            <w:pPr>
              <w:pStyle w:val="tbltext"/>
              <w:jc w:val="center"/>
            </w:pPr>
            <w:r>
              <w:t>$3,798,179</w:t>
            </w:r>
          </w:p>
        </w:tc>
      </w:tr>
      <w:tr w:rsidR="00DD027D" w:rsidRPr="000540E1" w:rsidTr="00E80248">
        <w:trPr>
          <w:cantSplit/>
        </w:trPr>
        <w:tc>
          <w:tcPr>
            <w:tcW w:w="5040" w:type="dxa"/>
          </w:tcPr>
          <w:p w:rsidR="00DD027D" w:rsidRPr="000540E1" w:rsidRDefault="00DD027D" w:rsidP="00E80248">
            <w:pPr>
              <w:pStyle w:val="tbltext"/>
            </w:pPr>
            <w:r>
              <w:t>Increased time needed for opting out</w:t>
            </w:r>
            <w:r>
              <w:tab/>
              <w:t xml:space="preserve"> (paper preference)</w:t>
            </w:r>
          </w:p>
        </w:tc>
        <w:tc>
          <w:tcPr>
            <w:tcW w:w="4032" w:type="dxa"/>
          </w:tcPr>
          <w:p w:rsidR="00DD027D" w:rsidRPr="000540E1" w:rsidRDefault="00DD027D" w:rsidP="00E80248">
            <w:pPr>
              <w:pStyle w:val="tbltext"/>
              <w:jc w:val="center"/>
            </w:pPr>
            <w:r>
              <w:t>–$8,020,346</w:t>
            </w:r>
          </w:p>
        </w:tc>
      </w:tr>
      <w:tr w:rsidR="00DD027D" w:rsidRPr="000540E1" w:rsidTr="00E80248">
        <w:trPr>
          <w:cantSplit/>
        </w:trPr>
        <w:tc>
          <w:tcPr>
            <w:tcW w:w="5040" w:type="dxa"/>
          </w:tcPr>
          <w:p w:rsidR="00DD027D" w:rsidRPr="000540E1" w:rsidRDefault="00DD027D" w:rsidP="00E80248">
            <w:pPr>
              <w:pStyle w:val="tbltext"/>
            </w:pPr>
            <w:r>
              <w:t>Reduced time needed for opting in (digital preference)</w:t>
            </w:r>
          </w:p>
        </w:tc>
        <w:tc>
          <w:tcPr>
            <w:tcW w:w="4032" w:type="dxa"/>
          </w:tcPr>
          <w:p w:rsidR="00DD027D" w:rsidRPr="000540E1" w:rsidRDefault="00DD027D" w:rsidP="00E80248">
            <w:pPr>
              <w:pStyle w:val="tbltext"/>
              <w:jc w:val="center"/>
            </w:pPr>
            <w:r>
              <w:t>$11,394,536</w:t>
            </w:r>
          </w:p>
        </w:tc>
      </w:tr>
      <w:tr w:rsidR="00DD027D" w:rsidRPr="000540E1" w:rsidTr="00E80248">
        <w:trPr>
          <w:cantSplit/>
        </w:trPr>
        <w:tc>
          <w:tcPr>
            <w:tcW w:w="5040" w:type="dxa"/>
          </w:tcPr>
          <w:p w:rsidR="00DD027D" w:rsidRPr="000540E1" w:rsidRDefault="00DD027D" w:rsidP="00E80248">
            <w:pPr>
              <w:pStyle w:val="tbltext"/>
            </w:pPr>
            <w:r>
              <w:t>Reduced costs of storage</w:t>
            </w:r>
          </w:p>
        </w:tc>
        <w:tc>
          <w:tcPr>
            <w:tcW w:w="4032" w:type="dxa"/>
          </w:tcPr>
          <w:p w:rsidR="00DD027D" w:rsidRPr="000540E1" w:rsidRDefault="00DD027D" w:rsidP="00E80248">
            <w:pPr>
              <w:pStyle w:val="tbltext"/>
              <w:jc w:val="center"/>
            </w:pPr>
            <w:r>
              <w:t>$2,033,233</w:t>
            </w:r>
          </w:p>
        </w:tc>
      </w:tr>
      <w:tr w:rsidR="00DD027D" w:rsidRPr="000540E1" w:rsidTr="00E80248">
        <w:trPr>
          <w:cantSplit/>
        </w:trPr>
        <w:tc>
          <w:tcPr>
            <w:tcW w:w="5040" w:type="dxa"/>
          </w:tcPr>
          <w:p w:rsidR="00DD027D" w:rsidRPr="00912B12" w:rsidRDefault="00DD027D" w:rsidP="00E80248">
            <w:pPr>
              <w:pStyle w:val="tbltext"/>
              <w:rPr>
                <w:b/>
              </w:rPr>
            </w:pPr>
            <w:r>
              <w:rPr>
                <w:b/>
              </w:rPr>
              <w:t>Total</w:t>
            </w:r>
          </w:p>
        </w:tc>
        <w:tc>
          <w:tcPr>
            <w:tcW w:w="4032" w:type="dxa"/>
          </w:tcPr>
          <w:p w:rsidR="00DD027D" w:rsidRPr="00912B12" w:rsidRDefault="00DD027D" w:rsidP="00E80248">
            <w:pPr>
              <w:pStyle w:val="tbltext"/>
              <w:jc w:val="center"/>
              <w:rPr>
                <w:b/>
              </w:rPr>
            </w:pPr>
            <w:r w:rsidRPr="00912B12">
              <w:rPr>
                <w:b/>
              </w:rPr>
              <w:t>$9,205,602</w:t>
            </w:r>
          </w:p>
        </w:tc>
      </w:tr>
    </w:tbl>
    <w:p w:rsidR="00DD027D" w:rsidRDefault="00DD027D" w:rsidP="00DD027D">
      <w:pPr>
        <w:pStyle w:val="sourcenotefullwidth"/>
      </w:pPr>
      <w:r>
        <w:t xml:space="preserve">Source: </w:t>
      </w:r>
      <w:proofErr w:type="spellStart"/>
      <w:r>
        <w:t>ASIC</w:t>
      </w:r>
      <w:proofErr w:type="spellEnd"/>
      <w:r>
        <w:t xml:space="preserve">, industry submissions to </w:t>
      </w:r>
      <w:proofErr w:type="spellStart"/>
      <w:r>
        <w:t>CP</w:t>
      </w:r>
      <w:proofErr w:type="spellEnd"/>
      <w:r>
        <w:t xml:space="preserve"> 224, record storage facilities, Telstra data storage information and </w:t>
      </w:r>
      <w:proofErr w:type="spellStart"/>
      <w:r>
        <w:t>OBPR</w:t>
      </w:r>
      <w:proofErr w:type="spellEnd"/>
      <w:r>
        <w:t>.</w:t>
      </w:r>
    </w:p>
    <w:p w:rsidR="00DD027D" w:rsidRDefault="00DD027D" w:rsidP="00DD027D">
      <w:pPr>
        <w:pStyle w:val="BodyText"/>
      </w:pPr>
      <w:r>
        <w:t xml:space="preserve">Only 6% of Australians have never accessed the internet, but in the third category (paragraph </w:t>
      </w:r>
      <w:r>
        <w:fldChar w:fldCharType="begin"/>
      </w:r>
      <w:r>
        <w:instrText xml:space="preserve"> REF _ASICRef814 \w \h </w:instrText>
      </w:r>
      <w:r>
        <w:fldChar w:fldCharType="separate"/>
      </w:r>
      <w:r>
        <w:t>77(c)</w:t>
      </w:r>
      <w:r>
        <w:fldChar w:fldCharType="end"/>
      </w:r>
      <w:r>
        <w:t>), we expect that there may be a small number of consumers for whom a switch to default digital disclosure results in disclosure not being received or accessed. In some cases, this may have a neutral impact for particular consumers who are unlikely to engage with an alternative form of disclosure (such as printed).</w:t>
      </w:r>
    </w:p>
    <w:p w:rsidR="00DD027D" w:rsidRDefault="00DD027D" w:rsidP="00DD027D">
      <w:pPr>
        <w:pStyle w:val="BodyText"/>
      </w:pPr>
      <w:r>
        <w:t>However, to help ensure consumers do not miss out on important information, the default delivery method must provide opportunities to change delivery methods.</w:t>
      </w:r>
    </w:p>
    <w:p w:rsidR="00DD027D" w:rsidRDefault="00DD027D" w:rsidP="00DD027D">
      <w:pPr>
        <w:pStyle w:val="BodyText"/>
      </w:pPr>
      <w:r>
        <w:t xml:space="preserve">Our proposal under this option also includes guidance to providers to ensure that providers are aware that, regardless of the form of the disclosure, their obligation is to give it to their clients. If those clients are not able to access digital disclosures, the provider should provide an alternative method of disclosure to that client. It also includes guidance to providers as to how to make the transition for existing clients to digital disclosure—with appropriate notification and time to opt out. </w:t>
      </w:r>
    </w:p>
    <w:p w:rsidR="00DD027D" w:rsidRDefault="00DD027D" w:rsidP="00DD027D">
      <w:pPr>
        <w:pStyle w:val="BodyText"/>
      </w:pPr>
      <w:r>
        <w:t xml:space="preserve">We also encourage providers to monitor access to and engagement with digital disclosures—something that cannot be done with printed and posted disclosure, which can help identify those customers who are not receiving or engaging with disclosure. </w:t>
      </w:r>
    </w:p>
    <w:p w:rsidR="00DD027D" w:rsidRDefault="00DD027D" w:rsidP="00DD027D">
      <w:pPr>
        <w:pStyle w:val="BodyText"/>
      </w:pPr>
      <w:r>
        <w:t xml:space="preserve">As with all disclosure, we encourage providers to undertake consumer testing to identify what works and what does not in improving consumer engagement. The opportunity to do this is increased given the data generated from digital disclosure. This proposal will also free up resources that could be used for this purpose. </w:t>
      </w:r>
    </w:p>
    <w:p w:rsidR="00DD027D" w:rsidRDefault="00DD027D" w:rsidP="00DD027D">
      <w:pPr>
        <w:pStyle w:val="Heading3"/>
      </w:pPr>
      <w:r>
        <w:lastRenderedPageBreak/>
        <w:t>Other indirect impacts</w:t>
      </w:r>
    </w:p>
    <w:p w:rsidR="00DD027D" w:rsidRDefault="00DD027D" w:rsidP="00DD027D">
      <w:pPr>
        <w:pStyle w:val="BodyText"/>
      </w:pPr>
      <w:r w:rsidRPr="002F316E">
        <w:t xml:space="preserve">The reduced use of paper and postage </w:t>
      </w:r>
      <w:r>
        <w:t>also has environmental benefits.</w:t>
      </w:r>
    </w:p>
    <w:p w:rsidR="00DD027D" w:rsidRDefault="00DD027D" w:rsidP="00DD027D">
      <w:pPr>
        <w:pStyle w:val="BodyText"/>
      </w:pPr>
      <w:r>
        <w:t xml:space="preserve">As the proposal is expected to reduce the use of postage and printing, there may be impacts on postal providers and through the paper manufacture value chain. To the extent printing is currently not conducted in-house for providers, there may be an indirect cost to printing businesses. </w:t>
      </w:r>
    </w:p>
    <w:p w:rsidR="00DD027D" w:rsidRDefault="00DD027D" w:rsidP="00DD027D">
      <w:pPr>
        <w:pStyle w:val="Heading2"/>
      </w:pPr>
      <w:bookmarkStart w:id="36" w:name="_Toc425345480"/>
      <w:bookmarkStart w:id="37" w:name="_Toc372204877"/>
      <w:r>
        <w:t xml:space="preserve">Option 3: Remove barriers to more innovative </w:t>
      </w:r>
      <w:proofErr w:type="spellStart"/>
      <w:r>
        <w:t>PDSs</w:t>
      </w:r>
      <w:proofErr w:type="spellEnd"/>
      <w:r>
        <w:t xml:space="preserve">, </w:t>
      </w:r>
      <w:proofErr w:type="spellStart"/>
      <w:r>
        <w:t>SOAs</w:t>
      </w:r>
      <w:proofErr w:type="spellEnd"/>
      <w:r>
        <w:t xml:space="preserve"> and </w:t>
      </w:r>
      <w:proofErr w:type="spellStart"/>
      <w:r>
        <w:t>FSGs</w:t>
      </w:r>
      <w:bookmarkEnd w:id="36"/>
      <w:proofErr w:type="spellEnd"/>
    </w:p>
    <w:p w:rsidR="00DD027D" w:rsidRDefault="00DD027D" w:rsidP="00DD027D">
      <w:pPr>
        <w:pStyle w:val="BodyText"/>
      </w:pPr>
      <w:r>
        <w:t>This option makes minor changes to the legislative regime governing these disclosure documents to facilitate the development and use of more innovative formats for these disclosures.</w:t>
      </w:r>
    </w:p>
    <w:p w:rsidR="00DD027D" w:rsidRDefault="00DD027D" w:rsidP="00DD027D">
      <w:pPr>
        <w:pStyle w:val="BodyText"/>
      </w:pPr>
      <w:r>
        <w:t xml:space="preserve">In particular, this option will remove potential legal barriers to the use of more innovative </w:t>
      </w:r>
      <w:proofErr w:type="spellStart"/>
      <w:r>
        <w:t>PDSs</w:t>
      </w:r>
      <w:proofErr w:type="spellEnd"/>
      <w:r>
        <w:t xml:space="preserve">, </w:t>
      </w:r>
      <w:proofErr w:type="spellStart"/>
      <w:r>
        <w:t>FSGs</w:t>
      </w:r>
      <w:proofErr w:type="spellEnd"/>
      <w:r>
        <w:t xml:space="preserve"> and </w:t>
      </w:r>
      <w:proofErr w:type="spellStart"/>
      <w:r>
        <w:t>SOAs</w:t>
      </w:r>
      <w:proofErr w:type="spellEnd"/>
      <w:r>
        <w:t>, including providing relief from:</w:t>
      </w:r>
    </w:p>
    <w:p w:rsidR="00DD027D" w:rsidRDefault="00DD027D" w:rsidP="00DD027D">
      <w:pPr>
        <w:pStyle w:val="subparaa"/>
      </w:pPr>
      <w:r>
        <w:t xml:space="preserve">various provisions that require a copy of the </w:t>
      </w:r>
      <w:proofErr w:type="spellStart"/>
      <w:r>
        <w:t>PDS</w:t>
      </w:r>
      <w:proofErr w:type="spellEnd"/>
      <w:r>
        <w:t xml:space="preserve"> to be given on request;</w:t>
      </w:r>
    </w:p>
    <w:p w:rsidR="00DD027D" w:rsidRDefault="00DD027D" w:rsidP="00DD027D">
      <w:pPr>
        <w:pStyle w:val="subparaa"/>
      </w:pPr>
      <w:r>
        <w:t xml:space="preserve">the requirement for certain </w:t>
      </w:r>
      <w:proofErr w:type="spellStart"/>
      <w:r>
        <w:t>PDSs</w:t>
      </w:r>
      <w:proofErr w:type="spellEnd"/>
      <w:r>
        <w:t xml:space="preserve"> under the shorter </w:t>
      </w:r>
      <w:proofErr w:type="spellStart"/>
      <w:r>
        <w:t>PDS</w:t>
      </w:r>
      <w:proofErr w:type="spellEnd"/>
      <w:r>
        <w:t xml:space="preserve"> regime to be a particular page length; and</w:t>
      </w:r>
    </w:p>
    <w:p w:rsidR="00DD027D" w:rsidRDefault="00DD027D" w:rsidP="00DD027D">
      <w:pPr>
        <w:pStyle w:val="subparaa"/>
      </w:pPr>
      <w:r>
        <w:t>provisions that require the use of certain words on the cover or ‘at or near the front of’ a disclosure.</w:t>
      </w:r>
    </w:p>
    <w:p w:rsidR="00DD027D" w:rsidRDefault="00DD027D" w:rsidP="00DD027D">
      <w:pPr>
        <w:pStyle w:val="BodyText"/>
      </w:pPr>
      <w:r>
        <w:t xml:space="preserve">These particular parts of the legislation are ‘paper-centric’ and it is difficult to apply these to more innovative disclosure formats such as video or disclosures via apps. </w:t>
      </w:r>
    </w:p>
    <w:p w:rsidR="00DD027D" w:rsidRDefault="00DD027D" w:rsidP="00DD027D">
      <w:pPr>
        <w:pStyle w:val="BodyText"/>
      </w:pPr>
      <w:r>
        <w:t>In addition, we propose to update our guidance to explain how we see other parts of the legislation applying in the digital context. For example, we propose to make clear that it is open to a provider to have more than one version of a disclosure for the same product, such as a printable version and an interactive digital version.</w:t>
      </w:r>
    </w:p>
    <w:p w:rsidR="00DD027D" w:rsidRDefault="00DD027D" w:rsidP="00DD027D">
      <w:pPr>
        <w:pStyle w:val="BodyText"/>
      </w:pPr>
      <w:r>
        <w:t>We also propose to update our guidance to explain how general disclosure requirements, such as the requirement for disclosure to be ‘clear, concise and effective’, apply in the digital context.</w:t>
      </w:r>
    </w:p>
    <w:p w:rsidR="00DD027D" w:rsidRDefault="00DD027D" w:rsidP="00DD027D">
      <w:pPr>
        <w:pStyle w:val="BodyText"/>
      </w:pPr>
      <w:r>
        <w:t xml:space="preserve">The benefits of the measures to remove barriers to innovative disclosure are less likely to be realised immediately; rather, these changes are aimed towards ‘future-proofing’ the regulatory regime so that it can accommodate more innovative disclosures in ways that are not yet imagined. </w:t>
      </w:r>
    </w:p>
    <w:p w:rsidR="00DD027D" w:rsidRDefault="00DD027D" w:rsidP="00DD027D">
      <w:pPr>
        <w:pStyle w:val="Heading3"/>
      </w:pPr>
      <w:r>
        <w:lastRenderedPageBreak/>
        <w:t>Impact on consumers</w:t>
      </w:r>
    </w:p>
    <w:p w:rsidR="00DD027D" w:rsidRDefault="00DD027D" w:rsidP="00DD027D">
      <w:pPr>
        <w:pStyle w:val="BodyText"/>
      </w:pPr>
      <w:r>
        <w:t xml:space="preserve">We expect more </w:t>
      </w:r>
      <w:r w:rsidRPr="00F02C45">
        <w:t xml:space="preserve">innovative </w:t>
      </w:r>
      <w:r>
        <w:t>digital formats to</w:t>
      </w:r>
      <w:r w:rsidRPr="00F02C45">
        <w:t xml:space="preserve"> go some way </w:t>
      </w:r>
      <w:r>
        <w:t>to improving consumer engagement</w:t>
      </w:r>
      <w:r w:rsidRPr="00F02C45">
        <w:t xml:space="preserve"> with</w:t>
      </w:r>
      <w:r>
        <w:t xml:space="preserve">, and understanding of, </w:t>
      </w:r>
      <w:r w:rsidRPr="00F02C45">
        <w:t>disclosure</w:t>
      </w:r>
      <w:r>
        <w:t>.</w:t>
      </w:r>
      <w:r w:rsidRPr="003A1060">
        <w:t xml:space="preserve"> </w:t>
      </w:r>
      <w:r>
        <w:t>Digital</w:t>
      </w:r>
      <w:r w:rsidRPr="002F316E">
        <w:t xml:space="preserve"> disclosure has the potential to assist investor understanding by allowing interactivity and </w:t>
      </w:r>
      <w:r>
        <w:t>alternative</w:t>
      </w:r>
      <w:r w:rsidRPr="002F316E">
        <w:t xml:space="preserve"> presentation</w:t>
      </w:r>
      <w:r>
        <w:t xml:space="preserve"> formats</w:t>
      </w:r>
      <w:r w:rsidRPr="002F316E">
        <w:t xml:space="preserve"> (</w:t>
      </w:r>
      <w:r>
        <w:t xml:space="preserve">such as </w:t>
      </w:r>
      <w:r w:rsidRPr="002F316E">
        <w:t>video and audio).</w:t>
      </w:r>
      <w:r>
        <w:t xml:space="preserve"> </w:t>
      </w:r>
    </w:p>
    <w:p w:rsidR="00DD027D" w:rsidRDefault="00DD027D" w:rsidP="00DD027D">
      <w:pPr>
        <w:pStyle w:val="BodyText"/>
      </w:pPr>
      <w:r>
        <w:t>By making the legislative regime more technology neutral, these proposals will enable providers to use a range of channels to communicate mandated disclosures to their clients. This means that providers are not restricted by the legislative regime and are able to use the formats and channels that work best.</w:t>
      </w:r>
    </w:p>
    <w:p w:rsidR="00DD027D" w:rsidRDefault="00DD027D" w:rsidP="00DD027D">
      <w:pPr>
        <w:pStyle w:val="BodyText"/>
      </w:pPr>
      <w:r>
        <w:t xml:space="preserve">As communications increasingly become digitised, our proposed updated guidance will also help to protect consumers by suggesting how we think providers can meet their general disclosure obligations in the digital context. </w:t>
      </w:r>
    </w:p>
    <w:p w:rsidR="00DD027D" w:rsidRDefault="00DD027D" w:rsidP="00DD027D">
      <w:pPr>
        <w:pStyle w:val="Heading3"/>
      </w:pPr>
      <w:r w:rsidRPr="00B46176">
        <w:t>Impact on industry</w:t>
      </w:r>
    </w:p>
    <w:p w:rsidR="00DD027D" w:rsidRPr="007B49EB" w:rsidRDefault="00DD027D" w:rsidP="00DD027D">
      <w:pPr>
        <w:pStyle w:val="BodyText"/>
      </w:pPr>
      <w:r>
        <w:t xml:space="preserve">These proposals will have no direct substantive cost impact on industry because they are intended to be facilitative. We expect that some industry participants will take advantage of our removal of barriers to develop more innovative disclosures. Where they choose to do this, we would expect industry to incur development costs; however, these will be to a degree and level of the particular participant’s choosing since there will be no obligation on industry to develop innovative disclosures if they do not wish to. </w:t>
      </w:r>
    </w:p>
    <w:p w:rsidR="00DD027D" w:rsidRDefault="00DD027D" w:rsidP="00DD027D">
      <w:pPr>
        <w:pStyle w:val="Heading2"/>
      </w:pPr>
      <w:bookmarkStart w:id="38" w:name="_Toc425345481"/>
      <w:r w:rsidRPr="008D2405">
        <w:t>Option 4: Take</w:t>
      </w:r>
      <w:r>
        <w:t xml:space="preserve"> no action (status quo)</w:t>
      </w:r>
      <w:bookmarkEnd w:id="37"/>
      <w:bookmarkEnd w:id="38"/>
    </w:p>
    <w:p w:rsidR="00DD027D" w:rsidRDefault="00DD027D" w:rsidP="00DD027D">
      <w:pPr>
        <w:pStyle w:val="BodyText"/>
      </w:pPr>
      <w:r>
        <w:t xml:space="preserve">This option would see the default for disclosure delivery stay as printed and posted for most disclosures and would mean legal barriers would continue to inhibit more innovative disclosure formats. </w:t>
      </w:r>
    </w:p>
    <w:p w:rsidR="00DD027D" w:rsidRDefault="00DD027D" w:rsidP="00DD027D">
      <w:pPr>
        <w:pStyle w:val="BodyText"/>
      </w:pPr>
      <w:r>
        <w:t>Failing to take action to facilitate digital disclosure by making changes to achieve a technologically neutral legal framework may result in some providers being prevented from providing the disclosure options to their clients that their clients demand or that are most efficient for the provider.</w:t>
      </w:r>
    </w:p>
    <w:p w:rsidR="00DD027D" w:rsidRDefault="00DD027D" w:rsidP="00DD027D">
      <w:pPr>
        <w:pStyle w:val="Heading3"/>
      </w:pPr>
      <w:r w:rsidRPr="00B46176">
        <w:t>Impact on industry</w:t>
      </w:r>
    </w:p>
    <w:p w:rsidR="00DD027D" w:rsidRDefault="00DD027D" w:rsidP="00DD027D">
      <w:pPr>
        <w:pStyle w:val="BodyText"/>
      </w:pPr>
      <w:r>
        <w:t>Without our proposals, the legal framework will remain biased towards printed and posted disclosures. This means that cost savings/red tape reduction will not be realised and industry will not be able to meet consumer demand.</w:t>
      </w:r>
    </w:p>
    <w:p w:rsidR="00DD027D" w:rsidRDefault="00DD027D" w:rsidP="00DD027D">
      <w:pPr>
        <w:pStyle w:val="Heading3"/>
      </w:pPr>
      <w:r>
        <w:lastRenderedPageBreak/>
        <w:t>Impact on consumers</w:t>
      </w:r>
    </w:p>
    <w:p w:rsidR="00DD027D" w:rsidRDefault="00DD027D" w:rsidP="00DD027D">
      <w:pPr>
        <w:pStyle w:val="BodyText"/>
        <w:rPr>
          <w:b/>
        </w:rPr>
      </w:pPr>
      <w:r w:rsidRPr="000C00C6">
        <w:t>These proposals are proactive and designed to lead to more positive outcomes</w:t>
      </w:r>
      <w:r>
        <w:t xml:space="preserve">, rather than mitigating or preventing any risks. </w:t>
      </w:r>
      <w:r w:rsidRPr="000C00C6">
        <w:t xml:space="preserve">However, </w:t>
      </w:r>
      <w:r>
        <w:t xml:space="preserve">retaining the status quo </w:t>
      </w:r>
      <w:r w:rsidRPr="000C00C6">
        <w:t xml:space="preserve">may result in a small detriment to investor and financial consumer confidence </w:t>
      </w:r>
      <w:r>
        <w:t>because</w:t>
      </w:r>
      <w:r w:rsidRPr="000C00C6">
        <w:t xml:space="preserve"> </w:t>
      </w:r>
      <w:r>
        <w:t>a non-technology neutral system means that some consumers are currently missing out on the benefits of digital disclosure.</w:t>
      </w:r>
    </w:p>
    <w:p w:rsidR="00DD027D" w:rsidRDefault="00DD027D" w:rsidP="00DD027D">
      <w:pPr>
        <w:pStyle w:val="BodyText"/>
      </w:pPr>
      <w:r>
        <w:t>Statistics suggest that internet usage, including mobile internet usage, continues to rise.</w:t>
      </w:r>
      <w:r>
        <w:rPr>
          <w:rStyle w:val="FootnoteReference"/>
        </w:rPr>
        <w:footnoteReference w:id="13"/>
      </w:r>
      <w:r>
        <w:t xml:space="preserve"> Although internet penetration overall is now rising at a slower rate, people are engaging more intensively online, and people are increasingly comfortable and expect to be able to conduct their everyday business digitally.</w:t>
      </w:r>
    </w:p>
    <w:p w:rsidR="00DD027D" w:rsidRPr="00DA65A4" w:rsidRDefault="00DD027D" w:rsidP="00DD027D">
      <w:pPr>
        <w:pStyle w:val="BodyText"/>
      </w:pPr>
      <w:r>
        <w:t xml:space="preserve">In addition, as more and more business is transacted digitally, there is a risk that consumers who do not wish to, or who are unable to, transact and communicate digitally, miss out on important information or opportunities. This regime puts in place safeguards to help ensure that consumers are given the opportunity to opt out of digital disclosure if they so choose, and provides guidance on good practice as financial services increasingly use digital channels. </w:t>
      </w:r>
    </w:p>
    <w:p w:rsidR="00DD027D" w:rsidRDefault="00DD027D" w:rsidP="00DD027D">
      <w:pPr>
        <w:pStyle w:val="Heading1"/>
      </w:pPr>
      <w:bookmarkStart w:id="39" w:name="_Toc425345482"/>
      <w:r>
        <w:lastRenderedPageBreak/>
        <w:t>Consultation</w:t>
      </w:r>
      <w:bookmarkEnd w:id="39"/>
    </w:p>
    <w:p w:rsidR="00DD027D" w:rsidRDefault="00DD027D" w:rsidP="00DD027D">
      <w:pPr>
        <w:pStyle w:val="BodyText"/>
      </w:pPr>
      <w:r>
        <w:t xml:space="preserve">In </w:t>
      </w:r>
      <w:r w:rsidRPr="005453C2">
        <w:t>Consultation Paper 224</w:t>
      </w:r>
      <w:r w:rsidRPr="00024031">
        <w:rPr>
          <w:i/>
        </w:rPr>
        <w:t xml:space="preserve"> Facilitating electronic financial services disclosures</w:t>
      </w:r>
      <w:r>
        <w:t xml:space="preserve"> (</w:t>
      </w:r>
      <w:proofErr w:type="spellStart"/>
      <w:r>
        <w:t>CP</w:t>
      </w:r>
      <w:proofErr w:type="spellEnd"/>
      <w:r>
        <w:t xml:space="preserve"> 224), which also functioned as our options-stage Regulation Impact Statement, we consulted on proposals to further facilitate electronic financial services disclosure.</w:t>
      </w:r>
    </w:p>
    <w:p w:rsidR="00DD027D" w:rsidRDefault="00DD027D" w:rsidP="00DD027D">
      <w:pPr>
        <w:pStyle w:val="BodyText"/>
      </w:pPr>
      <w:bookmarkStart w:id="40" w:name="_Ref412132133"/>
      <w:proofErr w:type="spellStart"/>
      <w:r>
        <w:t>CP</w:t>
      </w:r>
      <w:proofErr w:type="spellEnd"/>
      <w:r>
        <w:t xml:space="preserve"> 224 was released on 14 November 2014. Submissions closed on 30 January 2015. Through </w:t>
      </w:r>
      <w:proofErr w:type="spellStart"/>
      <w:r>
        <w:t>CP</w:t>
      </w:r>
      <w:proofErr w:type="spellEnd"/>
      <w:r>
        <w:t> 224, we proposed to:</w:t>
      </w:r>
      <w:bookmarkEnd w:id="40"/>
    </w:p>
    <w:p w:rsidR="00DD027D" w:rsidRDefault="00DD027D" w:rsidP="00DD027D">
      <w:pPr>
        <w:pStyle w:val="subparaa"/>
      </w:pPr>
      <w:r w:rsidRPr="005453C2">
        <w:rPr>
          <w:i/>
        </w:rPr>
        <w:t xml:space="preserve">Amend our guidance on using digital addresses in </w:t>
      </w:r>
      <w:proofErr w:type="spellStart"/>
      <w:r w:rsidRPr="005453C2">
        <w:rPr>
          <w:i/>
        </w:rPr>
        <w:t>RG</w:t>
      </w:r>
      <w:proofErr w:type="spellEnd"/>
      <w:r w:rsidRPr="005453C2">
        <w:rPr>
          <w:i/>
        </w:rPr>
        <w:t> 221</w:t>
      </w:r>
      <w:r>
        <w:t xml:space="preserve">: Our current guidance suggests that additional, more stringent obligations apply where a provider wishes to use an electronic address for delivery (i.e. as compared with using a postal address), so that the provider must seek express consent to deliver to a digital address. In </w:t>
      </w:r>
      <w:proofErr w:type="spellStart"/>
      <w:r>
        <w:t>CP</w:t>
      </w:r>
      <w:proofErr w:type="spellEnd"/>
      <w:r>
        <w:t xml:space="preserve"> 224, we proposed to update our guidance in </w:t>
      </w:r>
      <w:proofErr w:type="spellStart"/>
      <w:r>
        <w:t>RG</w:t>
      </w:r>
      <w:proofErr w:type="spellEnd"/>
      <w:r>
        <w:t> 221 to make it clear that there is no such additional requirement for digital delivery within the legislation.</w:t>
      </w:r>
    </w:p>
    <w:p w:rsidR="00DD027D" w:rsidRDefault="00DD027D" w:rsidP="00DD027D">
      <w:pPr>
        <w:pStyle w:val="subparaa"/>
      </w:pPr>
      <w:r w:rsidRPr="005453C2">
        <w:rPr>
          <w:i/>
        </w:rPr>
        <w:t xml:space="preserve">Provide an additional method of delivery for most </w:t>
      </w:r>
      <w:proofErr w:type="spellStart"/>
      <w:r w:rsidRPr="005453C2">
        <w:rPr>
          <w:i/>
        </w:rPr>
        <w:t>Ch</w:t>
      </w:r>
      <w:proofErr w:type="spellEnd"/>
      <w:r w:rsidRPr="005453C2">
        <w:rPr>
          <w:i/>
        </w:rPr>
        <w:t xml:space="preserve"> 7 disclosures (where not already permitted)</w:t>
      </w:r>
      <w:r>
        <w:t>: We proposed to provide additional relief to allow providers to make disclosure available on a website or other facility and notify clients that the disclosure is available.</w:t>
      </w:r>
    </w:p>
    <w:p w:rsidR="00DD027D" w:rsidRDefault="00DD027D" w:rsidP="00DD027D">
      <w:pPr>
        <w:pStyle w:val="subparaa"/>
      </w:pPr>
      <w:r w:rsidRPr="005453C2">
        <w:rPr>
          <w:i/>
        </w:rPr>
        <w:t xml:space="preserve">Provide relief and guidance to overcome technical barriers to providing innovative </w:t>
      </w:r>
      <w:proofErr w:type="spellStart"/>
      <w:r w:rsidRPr="005453C2">
        <w:rPr>
          <w:i/>
        </w:rPr>
        <w:t>PDSs</w:t>
      </w:r>
      <w:proofErr w:type="spellEnd"/>
      <w:r>
        <w:t xml:space="preserve">, including good practice principles to help ensure consumers receive clear, concise and effective disclosure when delivered in this format. We also consulted on whether </w:t>
      </w:r>
      <w:proofErr w:type="spellStart"/>
      <w:r>
        <w:t>ASIC</w:t>
      </w:r>
      <w:proofErr w:type="spellEnd"/>
      <w:r>
        <w:t xml:space="preserve"> should likewise address similar technical barriers to the provision of digital </w:t>
      </w:r>
      <w:proofErr w:type="spellStart"/>
      <w:r>
        <w:t>FSGs</w:t>
      </w:r>
      <w:proofErr w:type="spellEnd"/>
      <w:r>
        <w:t xml:space="preserve"> and </w:t>
      </w:r>
      <w:proofErr w:type="spellStart"/>
      <w:r>
        <w:t>SOAs</w:t>
      </w:r>
      <w:proofErr w:type="spellEnd"/>
      <w:r>
        <w:t>.</w:t>
      </w:r>
    </w:p>
    <w:p w:rsidR="00DD027D" w:rsidRDefault="00DD027D" w:rsidP="00DD027D">
      <w:pPr>
        <w:pStyle w:val="BodyText"/>
      </w:pPr>
      <w:r>
        <w:t xml:space="preserve">We received 34 responses to </w:t>
      </w:r>
      <w:proofErr w:type="spellStart"/>
      <w:r>
        <w:t>CP</w:t>
      </w:r>
      <w:proofErr w:type="spellEnd"/>
      <w:r>
        <w:t xml:space="preserve"> 224 from businesses, industry representatives, consumer representatives and individuals. </w:t>
      </w:r>
    </w:p>
    <w:p w:rsidR="00DD027D" w:rsidRDefault="00DD027D" w:rsidP="00DD027D">
      <w:pPr>
        <w:pStyle w:val="BodyText"/>
      </w:pPr>
      <w:r>
        <w:t xml:space="preserve">We met with industry and consumer representatives, both during and after the formal consultation period. We also met with some individual financial services providers to obtain more detailed feedback on some of our proposals and sought further detailed information about cost savings. </w:t>
      </w:r>
    </w:p>
    <w:p w:rsidR="00DD027D" w:rsidRDefault="00DD027D" w:rsidP="00DD027D">
      <w:pPr>
        <w:pStyle w:val="BodyText"/>
      </w:pPr>
      <w:r>
        <w:t xml:space="preserve">We have reflected the feedback from submissions in our final recommendations. </w:t>
      </w:r>
    </w:p>
    <w:p w:rsidR="00DD027D" w:rsidRDefault="00DD027D" w:rsidP="00DD027D">
      <w:pPr>
        <w:pStyle w:val="BodyText"/>
      </w:pPr>
      <w:r>
        <w:t xml:space="preserve">Submissions received were generally supportive of the principle of further facilitating digital disclosure, with consumer representatives tending to qualify support with the need to ensure that proposals are implemented in a way that does not compromise consumer outcomes. </w:t>
      </w:r>
    </w:p>
    <w:p w:rsidR="00DD027D" w:rsidRDefault="00DD027D" w:rsidP="00DD027D">
      <w:pPr>
        <w:pStyle w:val="BodyText"/>
      </w:pPr>
      <w:r>
        <w:t>Submissions detailed a number of benefits expected to result from our proposals—in particular, s</w:t>
      </w:r>
      <w:r w:rsidRPr="000E1B3B">
        <w:t>peed, convenience, reliability an</w:t>
      </w:r>
      <w:r>
        <w:t xml:space="preserve">d security, and minimising cost and environmental </w:t>
      </w:r>
      <w:r w:rsidRPr="000E1B3B">
        <w:t>impacts.</w:t>
      </w:r>
      <w:r>
        <w:t xml:space="preserve"> </w:t>
      </w:r>
    </w:p>
    <w:p w:rsidR="00DD027D" w:rsidRDefault="00DD027D" w:rsidP="00DD027D">
      <w:pPr>
        <w:pStyle w:val="BodyText"/>
      </w:pPr>
      <w:r>
        <w:lastRenderedPageBreak/>
        <w:t xml:space="preserve">Submissions from consumer groups in particular also acknowledged that moving to an increasingly digital environment is inevitable, and supported </w:t>
      </w:r>
      <w:proofErr w:type="spellStart"/>
      <w:r>
        <w:t>ASIC</w:t>
      </w:r>
      <w:proofErr w:type="spellEnd"/>
      <w:r>
        <w:t xml:space="preserve"> managing this change through good practice guidance.</w:t>
      </w:r>
    </w:p>
    <w:p w:rsidR="00DD027D" w:rsidRDefault="00DD027D" w:rsidP="00DD027D">
      <w:pPr>
        <w:pStyle w:val="BodyText"/>
      </w:pPr>
      <w:r w:rsidRPr="00C14E8B">
        <w:t>The key risk from these proposals</w:t>
      </w:r>
      <w:r>
        <w:t>, as noted in some submissions,</w:t>
      </w:r>
      <w:r w:rsidRPr="00C14E8B">
        <w:t xml:space="preserve"> is to investor and financial consumer trust and confidence. </w:t>
      </w:r>
      <w:r>
        <w:t>While the overarching goal is to remove barriers to making disclosure more efficient and more innovative, t</w:t>
      </w:r>
      <w:r w:rsidRPr="00C14E8B">
        <w:t>here is a possibility that some consumers will be less likely to receive or read</w:t>
      </w:r>
      <w:r>
        <w:t xml:space="preserve">, </w:t>
      </w:r>
      <w:r w:rsidRPr="00C14E8B">
        <w:t xml:space="preserve">consume </w:t>
      </w:r>
      <w:r>
        <w:t xml:space="preserve">and understand </w:t>
      </w:r>
      <w:r w:rsidRPr="00C14E8B">
        <w:t xml:space="preserve">disclosure material delivered </w:t>
      </w:r>
      <w:r>
        <w:t>digita</w:t>
      </w:r>
      <w:r w:rsidRPr="00C14E8B">
        <w:t>lly if they have not specifically requested disclosure in that way.</w:t>
      </w:r>
    </w:p>
    <w:p w:rsidR="00DD027D" w:rsidRDefault="00DD027D" w:rsidP="00DD027D">
      <w:pPr>
        <w:pStyle w:val="BodyText"/>
      </w:pPr>
      <w:r>
        <w:t>Consumer representatives noted that any risks associated with more digital disclosure would be most acute for certain groups of consumers, including older Australians, those who live remotely, those on lower incomes and those with lower literacy.</w:t>
      </w:r>
    </w:p>
    <w:p w:rsidR="00DD027D" w:rsidRDefault="00DD027D" w:rsidP="00DD027D">
      <w:pPr>
        <w:pStyle w:val="BodyText"/>
      </w:pPr>
      <w:r>
        <w:t xml:space="preserve">On the other hand, </w:t>
      </w:r>
      <w:r w:rsidRPr="00C14E8B">
        <w:t xml:space="preserve">some consumers will </w:t>
      </w:r>
      <w:r>
        <w:t xml:space="preserve">also </w:t>
      </w:r>
      <w:r w:rsidRPr="00C14E8B">
        <w:t xml:space="preserve">be </w:t>
      </w:r>
      <w:r w:rsidRPr="00F24754">
        <w:rPr>
          <w:i/>
        </w:rPr>
        <w:t>more</w:t>
      </w:r>
      <w:r w:rsidRPr="00C14E8B">
        <w:t xml:space="preserve"> likely to read</w:t>
      </w:r>
      <w:r>
        <w:t xml:space="preserve">, </w:t>
      </w:r>
      <w:r w:rsidRPr="00C14E8B">
        <w:t xml:space="preserve">consume and understand disclosure material delivered </w:t>
      </w:r>
      <w:r>
        <w:t>digital</w:t>
      </w:r>
      <w:r w:rsidRPr="00C14E8B">
        <w:t>ly.</w:t>
      </w:r>
    </w:p>
    <w:p w:rsidR="00DD027D" w:rsidRDefault="00DD027D" w:rsidP="00DD027D">
      <w:pPr>
        <w:pStyle w:val="BodyText"/>
      </w:pPr>
      <w:r>
        <w:t>Submissions (including from consumer groups) supported the overarching goal and the principle of facilitating digital disclosure, provided consumers had the opportunity to choose how to receive disclosures, subject to clear understanding of the terms and conditions they agreed at the time of purchasing the financial product or service.</w:t>
      </w:r>
    </w:p>
    <w:p w:rsidR="00DD027D" w:rsidRDefault="00DD027D" w:rsidP="00DD027D">
      <w:pPr>
        <w:pStyle w:val="BodyText"/>
      </w:pPr>
      <w:r>
        <w:t xml:space="preserve">We considered these risks and our recommended proposals require that, where a provider chooses to use digital delivery as a default, consumers must be given a reasonable opportunity to opt out of this method of delivery. </w:t>
      </w:r>
    </w:p>
    <w:p w:rsidR="00DD027D" w:rsidRDefault="00DD027D" w:rsidP="00DD027D">
      <w:pPr>
        <w:pStyle w:val="Heading1"/>
      </w:pPr>
      <w:bookmarkStart w:id="41" w:name="_Toc425345483"/>
      <w:r>
        <w:lastRenderedPageBreak/>
        <w:t>Conclusion and recommended option</w:t>
      </w:r>
      <w:bookmarkEnd w:id="41"/>
    </w:p>
    <w:p w:rsidR="00DD027D" w:rsidRDefault="00DD027D" w:rsidP="00DD027D">
      <w:pPr>
        <w:pStyle w:val="BodyText"/>
      </w:pPr>
      <w:r>
        <w:t>Overall, we see that the significant compliance cost savings, as well as the small consumer benefit we expect to arise from these proposals, outweigh the small potential consumer detriment, particularly when our mitigating measures are taken into account.</w:t>
      </w:r>
    </w:p>
    <w:p w:rsidR="00DD027D" w:rsidRPr="00C14E8B" w:rsidRDefault="00DD027D" w:rsidP="00DD027D">
      <w:pPr>
        <w:pStyle w:val="BodyText"/>
      </w:pPr>
      <w:r w:rsidRPr="00C14E8B">
        <w:t>On balance, and given the other benefits of this proposal</w:t>
      </w:r>
      <w:r>
        <w:t>,</w:t>
      </w:r>
      <w:r w:rsidRPr="00C14E8B">
        <w:t xml:space="preserve"> we think the risk</w:t>
      </w:r>
      <w:r>
        <w:t xml:space="preserve"> of consumer detriment</w:t>
      </w:r>
      <w:r w:rsidRPr="00C14E8B">
        <w:t xml:space="preserve">, which is small, is outweighed by the </w:t>
      </w:r>
      <w:r>
        <w:t>likely benefits.</w:t>
      </w:r>
    </w:p>
    <w:p w:rsidR="00DD027D" w:rsidRDefault="00DD027D" w:rsidP="00DD027D">
      <w:pPr>
        <w:pStyle w:val="BodyText"/>
      </w:pPr>
      <w:r>
        <w:t>The</w:t>
      </w:r>
      <w:r w:rsidRPr="007870F2">
        <w:t xml:space="preserve"> failure to </w:t>
      </w:r>
      <w:r>
        <w:t>grant relief and publish updated guidance</w:t>
      </w:r>
      <w:r w:rsidRPr="007870F2">
        <w:t xml:space="preserve"> (particularly after consultation) could result in </w:t>
      </w:r>
      <w:proofErr w:type="spellStart"/>
      <w:r w:rsidRPr="007870F2">
        <w:t>ASIC</w:t>
      </w:r>
      <w:proofErr w:type="spellEnd"/>
      <w:r w:rsidRPr="007870F2">
        <w:t xml:space="preserve"> being </w:t>
      </w:r>
      <w:r>
        <w:t>insufficiently</w:t>
      </w:r>
      <w:r w:rsidRPr="007870F2">
        <w:t xml:space="preserve"> progressive and supportive of business</w:t>
      </w:r>
      <w:r>
        <w:t>, particularly</w:t>
      </w:r>
      <w:r w:rsidRPr="007870F2">
        <w:t xml:space="preserve"> given the strong support </w:t>
      </w:r>
      <w:r>
        <w:t xml:space="preserve">for both </w:t>
      </w:r>
      <w:r w:rsidRPr="007870F2">
        <w:t xml:space="preserve">our proposals and </w:t>
      </w:r>
      <w:r>
        <w:t xml:space="preserve">for technology neutral regulation in general, </w:t>
      </w:r>
      <w:r w:rsidRPr="007870F2">
        <w:t>including in the Financial System Inquiry</w:t>
      </w:r>
      <w:r>
        <w:t xml:space="preserve"> final report.</w:t>
      </w:r>
    </w:p>
    <w:p w:rsidR="00DD027D" w:rsidRDefault="00DD027D" w:rsidP="00DD027D">
      <w:pPr>
        <w:pStyle w:val="BodyText"/>
      </w:pPr>
      <w:r>
        <w:t xml:space="preserve">As such, our recommended option is Option 1, the combined measures to facilitate digital disclosure. </w:t>
      </w:r>
    </w:p>
    <w:p w:rsidR="00DD027D" w:rsidRDefault="00DD027D" w:rsidP="00DD027D">
      <w:pPr>
        <w:pStyle w:val="BodyText"/>
      </w:pPr>
      <w:r>
        <w:t xml:space="preserve">Following consultation, we included an additional relief measure in our recommended option to give certainty to a trustee of a superannuation fund that obtains an email address for a member as part of an employer-nominated superannuation arrangement, that the trustee can use that address to deliver disclosure (‘employer-provided email addresses’). </w:t>
      </w:r>
    </w:p>
    <w:p w:rsidR="00DD027D" w:rsidRPr="004D0946" w:rsidRDefault="00DD027D" w:rsidP="00DD027D">
      <w:pPr>
        <w:pStyle w:val="BodyText"/>
      </w:pPr>
      <w:r>
        <w:t xml:space="preserve">Following consultation, we also include in our recommended option further detail in our updated guidance giving more clarity on certain issues, such as employer-provided email addresses and the use of client contact details, and ensuring our expectations about consumer protections are conveyed, particularly during the transition to digital disclosure. </w:t>
      </w:r>
    </w:p>
    <w:p w:rsidR="00DD027D" w:rsidRDefault="00DD027D" w:rsidP="00DD027D">
      <w:pPr>
        <w:pStyle w:val="Heading1"/>
      </w:pPr>
      <w:bookmarkStart w:id="42" w:name="_Toc425345484"/>
      <w:bookmarkStart w:id="43" w:name="_Toc152037863"/>
      <w:bookmarkStart w:id="44" w:name="_Toc158520483"/>
      <w:bookmarkStart w:id="45" w:name="_Toc164436801"/>
      <w:bookmarkStart w:id="46" w:name="_Toc164465188"/>
      <w:r>
        <w:lastRenderedPageBreak/>
        <w:t>Implementation and review</w:t>
      </w:r>
      <w:bookmarkEnd w:id="42"/>
    </w:p>
    <w:p w:rsidR="00DD027D" w:rsidRDefault="00DD027D" w:rsidP="00DD027D">
      <w:pPr>
        <w:pStyle w:val="BodyText"/>
      </w:pPr>
      <w:r>
        <w:t xml:space="preserve">The recommended option will be implemented using two </w:t>
      </w:r>
      <w:proofErr w:type="spellStart"/>
      <w:r>
        <w:t>ASIC</w:t>
      </w:r>
      <w:proofErr w:type="spellEnd"/>
      <w:r>
        <w:t xml:space="preserve"> instruments. The instruments will replace [CO 10/1219].</w:t>
      </w:r>
    </w:p>
    <w:p w:rsidR="00DD027D" w:rsidRDefault="00DD027D" w:rsidP="00DD027D">
      <w:pPr>
        <w:pStyle w:val="BodyText"/>
      </w:pPr>
      <w:r>
        <w:t>The first instrument will provide for the additional delivery method described in Option 1 above, as well as giving relief to make clear that superannuation providers are able to use an electronic address provided by an employer in the course of the employee being joined to an employer-nominated (default) superannuation fund.</w:t>
      </w:r>
    </w:p>
    <w:p w:rsidR="00DD027D" w:rsidRDefault="00DD027D" w:rsidP="00DD027D">
      <w:pPr>
        <w:pStyle w:val="BodyText"/>
      </w:pPr>
      <w:r>
        <w:t xml:space="preserve">Specifically, the instrument will do this by allowing providers to provide digital disclosure by default if they so choose, as long as consumers can opt out of this and elect to receive disclosure via an alternative format. Providers will need to notify their clients that disclosure will be made via a digital facility, and clients will have the opportunity to opt out. </w:t>
      </w:r>
    </w:p>
    <w:p w:rsidR="00DD027D" w:rsidRDefault="00DD027D" w:rsidP="00DD027D">
      <w:pPr>
        <w:pStyle w:val="BodyText"/>
      </w:pPr>
      <w:r>
        <w:t>This instrument also allows a trustee of an employer-nominated superannuation fund to use an email address for the client provided by the employer to satisfy the trustee’s disclosure obligations, as long as the disclosure is accompanied by a statement to the effect that the client can request an alternative form of delivery. This is to address a technical barrier in the law to the use of employer-provided email addresses in certain circumstances, which was identified during our consultation.</w:t>
      </w:r>
    </w:p>
    <w:p w:rsidR="00DD027D" w:rsidRDefault="00DD027D" w:rsidP="00DD027D">
      <w:pPr>
        <w:pStyle w:val="BodyText"/>
      </w:pPr>
      <w:r>
        <w:t xml:space="preserve">The second instrument removes several technical barriers to the use of more innovative </w:t>
      </w:r>
      <w:r w:rsidRPr="00243AB5">
        <w:t xml:space="preserve">forms of disclosure by exempting digital content from page length requirements for certain </w:t>
      </w:r>
      <w:proofErr w:type="spellStart"/>
      <w:r w:rsidRPr="00243AB5">
        <w:t>PDSs</w:t>
      </w:r>
      <w:proofErr w:type="spellEnd"/>
      <w:r w:rsidRPr="00243AB5">
        <w:t xml:space="preserve">, enabling the provider to send a different </w:t>
      </w:r>
      <w:proofErr w:type="spellStart"/>
      <w:r w:rsidRPr="00243AB5">
        <w:t>PDS</w:t>
      </w:r>
      <w:proofErr w:type="spellEnd"/>
      <w:r w:rsidRPr="00243AB5">
        <w:t xml:space="preserve"> where a copy of a </w:t>
      </w:r>
      <w:proofErr w:type="spellStart"/>
      <w:r w:rsidRPr="00243AB5">
        <w:t>PDS</w:t>
      </w:r>
      <w:proofErr w:type="spellEnd"/>
      <w:r w:rsidRPr="00243AB5">
        <w:t xml:space="preserve"> is requested, and </w:t>
      </w:r>
      <w:r>
        <w:t>providing relief from various requirements that specify that certain words must be used ‘on the cover of’, or ‘at or near the front of’, a disclosure.</w:t>
      </w:r>
    </w:p>
    <w:p w:rsidR="00DD027D" w:rsidRDefault="00DD027D" w:rsidP="00DD027D">
      <w:pPr>
        <w:pStyle w:val="BodyText"/>
      </w:pPr>
      <w:r>
        <w:t xml:space="preserve">In addition, </w:t>
      </w:r>
      <w:proofErr w:type="spellStart"/>
      <w:r>
        <w:t>ASIC</w:t>
      </w:r>
      <w:proofErr w:type="spellEnd"/>
      <w:r>
        <w:t xml:space="preserve"> will release updated guidance in Regulatory Guide 221 </w:t>
      </w:r>
      <w:r w:rsidRPr="002B0BDB">
        <w:rPr>
          <w:i/>
        </w:rPr>
        <w:t xml:space="preserve">Facilitating </w:t>
      </w:r>
      <w:r>
        <w:rPr>
          <w:i/>
        </w:rPr>
        <w:t>d</w:t>
      </w:r>
      <w:r w:rsidRPr="002B0BDB">
        <w:rPr>
          <w:i/>
        </w:rPr>
        <w:t xml:space="preserve">igital </w:t>
      </w:r>
      <w:r>
        <w:rPr>
          <w:i/>
        </w:rPr>
        <w:t>financial services d</w:t>
      </w:r>
      <w:r w:rsidRPr="002B0BDB">
        <w:rPr>
          <w:i/>
        </w:rPr>
        <w:t>isclosure</w:t>
      </w:r>
      <w:r>
        <w:rPr>
          <w:i/>
        </w:rPr>
        <w:t xml:space="preserve">s </w:t>
      </w:r>
      <w:r>
        <w:t>(</w:t>
      </w:r>
      <w:proofErr w:type="spellStart"/>
      <w:r>
        <w:t>RG</w:t>
      </w:r>
      <w:proofErr w:type="spellEnd"/>
      <w:r>
        <w:t> 221).</w:t>
      </w:r>
    </w:p>
    <w:p w:rsidR="00DD027D" w:rsidRDefault="00DD027D" w:rsidP="00DD027D">
      <w:pPr>
        <w:pStyle w:val="BodyText"/>
      </w:pPr>
      <w:r>
        <w:t xml:space="preserve">The new instruments made as part of the implementation of the recommended option will be reviewed as part of the normal </w:t>
      </w:r>
      <w:proofErr w:type="spellStart"/>
      <w:r>
        <w:t>sunsetting</w:t>
      </w:r>
      <w:proofErr w:type="spellEnd"/>
      <w:r>
        <w:t xml:space="preserve"> process.</w:t>
      </w:r>
    </w:p>
    <w:p w:rsidR="00DD027D" w:rsidRDefault="00DD027D" w:rsidP="00DD027D">
      <w:pPr>
        <w:pStyle w:val="BodyText"/>
      </w:pPr>
      <w:r>
        <w:t xml:space="preserve">In addition, given the Financial System Inquiry’s recommendations on digital disclosure, we expect ongoing consideration of methods to further facilitate digital disclosure. </w:t>
      </w:r>
    </w:p>
    <w:p w:rsidR="00DD027D" w:rsidRDefault="00DD027D" w:rsidP="00DD027D">
      <w:pPr>
        <w:pStyle w:val="Heading1"/>
      </w:pPr>
      <w:bookmarkStart w:id="47" w:name="_Toc393804596"/>
      <w:bookmarkStart w:id="48" w:name="_Toc425345485"/>
      <w:r>
        <w:lastRenderedPageBreak/>
        <w:t>Regulatory Burden and Cost Offset (</w:t>
      </w:r>
      <w:proofErr w:type="spellStart"/>
      <w:r>
        <w:t>RBCO</w:t>
      </w:r>
      <w:proofErr w:type="spellEnd"/>
      <w:r>
        <w:t>) Estimate table</w:t>
      </w:r>
      <w:bookmarkEnd w:id="47"/>
      <w:bookmarkEnd w:id="48"/>
    </w:p>
    <w:p w:rsidR="00DD027D" w:rsidRPr="00C616A3" w:rsidRDefault="00DD027D" w:rsidP="00DD027D">
      <w:pPr>
        <w:pStyle w:val="tabletitlefullwidth"/>
      </w:pPr>
      <w:r>
        <w:t>Average annual compliance costs (from business as usual)</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814"/>
        <w:gridCol w:w="1814"/>
        <w:gridCol w:w="1814"/>
        <w:gridCol w:w="1814"/>
      </w:tblGrid>
      <w:tr w:rsidR="00DD027D" w:rsidRPr="000540E1" w:rsidTr="00E80248">
        <w:trPr>
          <w:cantSplit/>
          <w:tblHeader/>
        </w:trPr>
        <w:tc>
          <w:tcPr>
            <w:tcW w:w="1814" w:type="dxa"/>
            <w:shd w:val="clear" w:color="auto" w:fill="C2E3FA"/>
          </w:tcPr>
          <w:p w:rsidR="00DD027D" w:rsidRPr="000540E1" w:rsidRDefault="00DD027D" w:rsidP="00E80248">
            <w:pPr>
              <w:pStyle w:val="tablehead"/>
            </w:pPr>
            <w:r>
              <w:t>Costs ($m)</w:t>
            </w:r>
          </w:p>
        </w:tc>
        <w:tc>
          <w:tcPr>
            <w:tcW w:w="1814" w:type="dxa"/>
            <w:shd w:val="clear" w:color="auto" w:fill="C2E3FA"/>
          </w:tcPr>
          <w:p w:rsidR="00DD027D" w:rsidRDefault="00DD027D" w:rsidP="00E80248">
            <w:pPr>
              <w:pStyle w:val="tablehead"/>
              <w:jc w:val="center"/>
              <w:rPr>
                <w:kern w:val="28"/>
              </w:rPr>
            </w:pPr>
            <w:r>
              <w:t>Business</w:t>
            </w:r>
          </w:p>
        </w:tc>
        <w:tc>
          <w:tcPr>
            <w:tcW w:w="1814" w:type="dxa"/>
            <w:shd w:val="clear" w:color="auto" w:fill="C2E3FA"/>
          </w:tcPr>
          <w:p w:rsidR="00DD027D" w:rsidRDefault="00DD027D" w:rsidP="00E80248">
            <w:pPr>
              <w:pStyle w:val="tablehead"/>
              <w:jc w:val="center"/>
              <w:rPr>
                <w:kern w:val="28"/>
              </w:rPr>
            </w:pPr>
            <w:r>
              <w:t>Community organisations</w:t>
            </w:r>
          </w:p>
        </w:tc>
        <w:tc>
          <w:tcPr>
            <w:tcW w:w="1814" w:type="dxa"/>
            <w:shd w:val="clear" w:color="auto" w:fill="C2E3FA"/>
          </w:tcPr>
          <w:p w:rsidR="00DD027D" w:rsidRDefault="00DD027D" w:rsidP="00E80248">
            <w:pPr>
              <w:pStyle w:val="tablehead"/>
              <w:jc w:val="center"/>
              <w:rPr>
                <w:kern w:val="28"/>
              </w:rPr>
            </w:pPr>
            <w:r>
              <w:t>Individuals</w:t>
            </w:r>
          </w:p>
        </w:tc>
        <w:tc>
          <w:tcPr>
            <w:tcW w:w="1814" w:type="dxa"/>
            <w:shd w:val="clear" w:color="auto" w:fill="C2E3FA"/>
          </w:tcPr>
          <w:p w:rsidR="00DD027D" w:rsidRDefault="00DD027D" w:rsidP="00E80248">
            <w:pPr>
              <w:pStyle w:val="tablehead"/>
              <w:jc w:val="center"/>
              <w:rPr>
                <w:kern w:val="28"/>
              </w:rPr>
            </w:pPr>
            <w:r>
              <w:t>Total cost</w:t>
            </w:r>
          </w:p>
        </w:tc>
      </w:tr>
      <w:tr w:rsidR="00DD027D" w:rsidRPr="000540E1" w:rsidTr="00E80248">
        <w:trPr>
          <w:cantSplit/>
        </w:trPr>
        <w:tc>
          <w:tcPr>
            <w:tcW w:w="1814" w:type="dxa"/>
          </w:tcPr>
          <w:p w:rsidR="00DD027D" w:rsidRPr="000540E1" w:rsidRDefault="00DD027D" w:rsidP="00E80248">
            <w:pPr>
              <w:pStyle w:val="tbltext"/>
            </w:pPr>
            <w:r>
              <w:t>Total by sector</w:t>
            </w:r>
          </w:p>
        </w:tc>
        <w:tc>
          <w:tcPr>
            <w:tcW w:w="1814" w:type="dxa"/>
          </w:tcPr>
          <w:p w:rsidR="00DD027D" w:rsidRPr="0014490D" w:rsidRDefault="00DD027D" w:rsidP="00E80248">
            <w:pPr>
              <w:pStyle w:val="tbltext"/>
              <w:jc w:val="center"/>
              <w:rPr>
                <w:kern w:val="28"/>
              </w:rPr>
            </w:pPr>
            <w:r>
              <w:t>$–289.9 million</w:t>
            </w:r>
          </w:p>
        </w:tc>
        <w:tc>
          <w:tcPr>
            <w:tcW w:w="1814" w:type="dxa"/>
          </w:tcPr>
          <w:p w:rsidR="00DD027D" w:rsidRPr="0014490D" w:rsidRDefault="00DD027D" w:rsidP="00E80248">
            <w:pPr>
              <w:pStyle w:val="tbltext"/>
              <w:jc w:val="center"/>
              <w:rPr>
                <w:kern w:val="28"/>
              </w:rPr>
            </w:pPr>
            <w:r>
              <w:rPr>
                <w:kern w:val="28"/>
              </w:rPr>
              <w:t>$0</w:t>
            </w:r>
          </w:p>
        </w:tc>
        <w:tc>
          <w:tcPr>
            <w:tcW w:w="1814" w:type="dxa"/>
          </w:tcPr>
          <w:p w:rsidR="00DD027D" w:rsidRPr="0014490D" w:rsidRDefault="00DD027D" w:rsidP="00E80248">
            <w:pPr>
              <w:pStyle w:val="tbltext"/>
              <w:jc w:val="center"/>
              <w:rPr>
                <w:kern w:val="28"/>
              </w:rPr>
            </w:pPr>
            <w:r>
              <w:rPr>
                <w:kern w:val="28"/>
              </w:rPr>
              <w:t>$-9.2</w:t>
            </w:r>
          </w:p>
        </w:tc>
        <w:tc>
          <w:tcPr>
            <w:tcW w:w="1814" w:type="dxa"/>
          </w:tcPr>
          <w:p w:rsidR="00DD027D" w:rsidRPr="0014490D" w:rsidRDefault="00DD027D" w:rsidP="00E80248">
            <w:pPr>
              <w:pStyle w:val="tbltext"/>
              <w:jc w:val="center"/>
              <w:rPr>
                <w:kern w:val="28"/>
              </w:rPr>
            </w:pPr>
            <w:r>
              <w:t>$–299.1 million</w:t>
            </w:r>
          </w:p>
        </w:tc>
      </w:tr>
      <w:bookmarkEnd w:id="43"/>
      <w:bookmarkEnd w:id="44"/>
      <w:bookmarkEnd w:id="45"/>
      <w:bookmarkEnd w:id="46"/>
    </w:tbl>
    <w:p w:rsidR="00DD027D" w:rsidRPr="00890DA3" w:rsidRDefault="00DD027D" w:rsidP="00DD027D">
      <w:pPr>
        <w:pStyle w:val="Bodytextplain"/>
      </w:pPr>
    </w:p>
    <w:p w:rsidR="00485FB1" w:rsidRPr="008213A9" w:rsidRDefault="00485FB1" w:rsidP="00DD027D">
      <w:pPr>
        <w:pStyle w:val="Bodytextplain"/>
      </w:pPr>
    </w:p>
    <w:p w:rsidR="008213A9" w:rsidRPr="008213A9" w:rsidRDefault="008213A9">
      <w:pPr>
        <w:tabs>
          <w:tab w:val="left" w:pos="1725"/>
        </w:tabs>
      </w:pPr>
    </w:p>
    <w:sectPr w:rsidR="008213A9" w:rsidRPr="008213A9" w:rsidSect="00DD027D">
      <w:footerReference w:type="default" r:id="rId19"/>
      <w:pgSz w:w="11906" w:h="16838" w:code="9"/>
      <w:pgMar w:top="1644" w:right="1418" w:bottom="1418"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C3" w:rsidRDefault="004813C3" w:rsidP="003F78BF">
      <w:pPr>
        <w:spacing w:after="0" w:line="240" w:lineRule="auto"/>
      </w:pPr>
      <w:r>
        <w:separator/>
      </w:r>
    </w:p>
  </w:endnote>
  <w:endnote w:type="continuationSeparator" w:id="0">
    <w:p w:rsidR="004813C3" w:rsidRDefault="004813C3" w:rsidP="003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 LT 55 Roman">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40" w:rsidRPr="00B177A9" w:rsidRDefault="00862740">
    <w:pPr>
      <w:pStyle w:val="Footer"/>
      <w:rPr>
        <w:rFonts w:ascii="Arial" w:hAnsi="Arial" w:cs="Arial"/>
        <w:sz w:val="14"/>
        <w:szCs w:val="14"/>
      </w:rPr>
    </w:pPr>
    <w:r w:rsidRPr="00B177A9">
      <w:rPr>
        <w:rFonts w:ascii="Arial" w:hAnsi="Arial" w:cs="Arial"/>
        <w:sz w:val="14"/>
        <w:szCs w:val="14"/>
      </w:rPr>
      <w:t xml:space="preserve">Page </w:t>
    </w:r>
    <w:sdt>
      <w:sdtPr>
        <w:rPr>
          <w:rFonts w:ascii="Arial" w:hAnsi="Arial" w:cs="Arial"/>
          <w:sz w:val="14"/>
          <w:szCs w:val="14"/>
        </w:rPr>
        <w:id w:val="1847363459"/>
        <w:docPartObj>
          <w:docPartGallery w:val="Page Numbers (Bottom of Page)"/>
          <w:docPartUnique/>
        </w:docPartObj>
      </w:sdtPr>
      <w:sdtEndPr>
        <w:rPr>
          <w:noProof/>
        </w:rPr>
      </w:sdtEndPr>
      <w:sdtContent>
        <w:r w:rsidRPr="00B177A9">
          <w:rPr>
            <w:rFonts w:ascii="Arial" w:hAnsi="Arial" w:cs="Arial"/>
            <w:sz w:val="14"/>
            <w:szCs w:val="14"/>
          </w:rPr>
          <w:fldChar w:fldCharType="begin"/>
        </w:r>
        <w:r w:rsidRPr="00B177A9">
          <w:rPr>
            <w:rFonts w:ascii="Arial" w:hAnsi="Arial" w:cs="Arial"/>
            <w:sz w:val="14"/>
            <w:szCs w:val="14"/>
          </w:rPr>
          <w:instrText xml:space="preserve"> PAGE   \* MERGEFORMAT </w:instrText>
        </w:r>
        <w:r w:rsidRPr="00B177A9">
          <w:rPr>
            <w:rFonts w:ascii="Arial" w:hAnsi="Arial" w:cs="Arial"/>
            <w:sz w:val="14"/>
            <w:szCs w:val="14"/>
          </w:rPr>
          <w:fldChar w:fldCharType="separate"/>
        </w:r>
        <w:r w:rsidR="00DF67D6">
          <w:rPr>
            <w:rFonts w:ascii="Arial" w:hAnsi="Arial" w:cs="Arial"/>
            <w:noProof/>
            <w:sz w:val="14"/>
            <w:szCs w:val="14"/>
          </w:rPr>
          <w:t>6</w:t>
        </w:r>
        <w:r w:rsidRPr="00B177A9">
          <w:rPr>
            <w:rFonts w:ascii="Arial" w:hAnsi="Arial" w:cs="Arial"/>
            <w:noProof/>
            <w:sz w:val="14"/>
            <w:szCs w:val="14"/>
          </w:rPr>
          <w:fldChar w:fldCharType="end"/>
        </w:r>
        <w:r w:rsidRPr="00B177A9">
          <w:rPr>
            <w:rFonts w:ascii="Arial" w:hAnsi="Arial" w:cs="Arial"/>
            <w:noProof/>
            <w:sz w:val="14"/>
            <w:szCs w:val="14"/>
          </w:rPr>
          <w:tab/>
        </w:r>
        <w:r>
          <w:rPr>
            <w:rFonts w:ascii="Arial" w:hAnsi="Arial" w:cs="Arial"/>
            <w:noProof/>
            <w:sz w:val="14"/>
            <w:szCs w:val="14"/>
          </w:rPr>
          <w:t xml:space="preserve">          </w:t>
        </w:r>
        <w:r w:rsidRPr="00B177A9">
          <w:rPr>
            <w:rFonts w:ascii="Arial" w:hAnsi="Arial" w:cs="Arial"/>
            <w:bCs/>
            <w:sz w:val="14"/>
            <w:szCs w:val="14"/>
          </w:rPr>
          <w:t xml:space="preserve">EXPLANATORY STATEMENT TO </w:t>
        </w:r>
        <w:proofErr w:type="spellStart"/>
        <w:r w:rsidRPr="00D03930">
          <w:rPr>
            <w:rFonts w:ascii="Arial" w:hAnsi="Arial" w:cs="Arial"/>
            <w:bCs/>
            <w:sz w:val="14"/>
            <w:szCs w:val="14"/>
          </w:rPr>
          <w:t>ASIC</w:t>
        </w:r>
        <w:proofErr w:type="spellEnd"/>
        <w:r w:rsidRPr="00D03930">
          <w:rPr>
            <w:rFonts w:ascii="Arial" w:hAnsi="Arial" w:cs="Arial"/>
            <w:bCs/>
            <w:sz w:val="14"/>
            <w:szCs w:val="14"/>
          </w:rPr>
          <w:t xml:space="preserve"> LEGISLATIVE INSTRUMENT NO. 647, 2015</w:t>
        </w:r>
      </w:sdtContent>
    </w:sdt>
  </w:p>
  <w:p w:rsidR="00862740" w:rsidRDefault="00862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7D" w:rsidRDefault="00DD02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DD027D" w:rsidRDefault="00DD027D">
    <w:pPr>
      <w:pStyle w:val="Footer"/>
      <w:ind w:right="360"/>
    </w:pPr>
  </w:p>
  <w:p w:rsidR="00DD027D" w:rsidRDefault="00DD027D"/>
  <w:p w:rsidR="00DD027D" w:rsidRDefault="00DD027D"/>
  <w:p w:rsidR="00DD027D" w:rsidRDefault="00DD027D"/>
  <w:p w:rsidR="00DD027D" w:rsidRDefault="00DD02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7D" w:rsidRDefault="00DD027D">
    <w:pPr>
      <w:pStyle w:val="Footer"/>
      <w:pBdr>
        <w:top w:val="single" w:sz="4" w:space="1" w:color="117DC7"/>
      </w:pBdr>
      <w:rPr>
        <w:b/>
        <w:color w:val="117DC7"/>
      </w:rPr>
    </w:pPr>
    <w:r>
      <w:rPr>
        <w:color w:val="117DC7"/>
      </w:rPr>
      <w:t xml:space="preserve">© Australian Securities and Investments Commission </w:t>
    </w:r>
    <w:r w:rsidR="00DF67D6">
      <w:fldChar w:fldCharType="begin"/>
    </w:r>
    <w:r w:rsidR="00DF67D6">
      <w:instrText xml:space="preserve"> DOCPROPERTY  "Issue date"  \* MERGEFORMAT </w:instrText>
    </w:r>
    <w:r w:rsidR="00DF67D6">
      <w:fldChar w:fldCharType="separate"/>
    </w:r>
    <w:r w:rsidRPr="00AA228E">
      <w:rPr>
        <w:color w:val="117DC7"/>
      </w:rPr>
      <w:t>July 2015</w:t>
    </w:r>
    <w:r w:rsidR="00DF67D6">
      <w:rPr>
        <w:color w:val="117DC7"/>
      </w:rPr>
      <w:fldChar w:fldCharType="end"/>
    </w:r>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1</w:t>
    </w:r>
    <w:r>
      <w:rPr>
        <w:rStyle w:val="PageNumber"/>
        <w:color w:val="117DC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40" w:rsidRPr="00B177A9" w:rsidRDefault="00862740">
    <w:pPr>
      <w:pStyle w:val="Footer"/>
      <w:rPr>
        <w:rFonts w:ascii="Arial" w:hAnsi="Arial" w:cs="Arial"/>
        <w:sz w:val="14"/>
        <w:szCs w:val="14"/>
      </w:rPr>
    </w:pPr>
  </w:p>
  <w:p w:rsidR="00862740" w:rsidRDefault="00862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C3" w:rsidRDefault="004813C3" w:rsidP="003F78BF">
      <w:pPr>
        <w:spacing w:after="0" w:line="240" w:lineRule="auto"/>
      </w:pPr>
      <w:r>
        <w:separator/>
      </w:r>
    </w:p>
  </w:footnote>
  <w:footnote w:type="continuationSeparator" w:id="0">
    <w:p w:rsidR="004813C3" w:rsidRDefault="004813C3" w:rsidP="003F78BF">
      <w:pPr>
        <w:spacing w:after="0" w:line="240" w:lineRule="auto"/>
      </w:pPr>
      <w:r>
        <w:continuationSeparator/>
      </w:r>
    </w:p>
  </w:footnote>
  <w:footnote w:id="1">
    <w:p w:rsidR="00DD027D" w:rsidRDefault="00DD027D" w:rsidP="00DD027D">
      <w:pPr>
        <w:pStyle w:val="FootnoteText"/>
      </w:pPr>
      <w:r>
        <w:rPr>
          <w:rStyle w:val="FootnoteReference"/>
        </w:rPr>
        <w:footnoteRef/>
      </w:r>
      <w:r>
        <w:t xml:space="preserve"> Figure estimated by </w:t>
      </w:r>
      <w:proofErr w:type="spellStart"/>
      <w:r>
        <w:t>ASIC</w:t>
      </w:r>
      <w:proofErr w:type="spellEnd"/>
      <w:r>
        <w:t xml:space="preserve"> from data including industry submissions, and </w:t>
      </w:r>
      <w:r w:rsidRPr="00FD3F22">
        <w:t>bank annual reports and websites.</w:t>
      </w:r>
    </w:p>
  </w:footnote>
  <w:footnote w:id="2">
    <w:p w:rsidR="00DD027D" w:rsidRDefault="00DD027D" w:rsidP="00DD027D">
      <w:pPr>
        <w:pStyle w:val="FootnoteText"/>
      </w:pPr>
      <w:r>
        <w:rPr>
          <w:rStyle w:val="FootnoteReference"/>
        </w:rPr>
        <w:footnoteRef/>
      </w:r>
      <w:r>
        <w:t xml:space="preserve"> </w:t>
      </w:r>
      <w:r>
        <w:rPr>
          <w:szCs w:val="18"/>
        </w:rPr>
        <w:t xml:space="preserve">Financial System Inquiry, </w:t>
      </w:r>
      <w:r w:rsidRPr="00D0653D">
        <w:rPr>
          <w:i/>
        </w:rPr>
        <w:t>Financial System Inquiry: Interim report</w:t>
      </w:r>
      <w:r>
        <w:rPr>
          <w:szCs w:val="18"/>
        </w:rPr>
        <w:t xml:space="preserve">, July 2014 (Financial System Inquiry interim report), pp. 3-54–3-62, </w:t>
      </w:r>
      <w:hyperlink r:id="rId1" w:history="1">
        <w:r w:rsidRPr="00581569">
          <w:rPr>
            <w:rStyle w:val="Hyperlink"/>
            <w:szCs w:val="18"/>
          </w:rPr>
          <w:t>http://fsi.gov.au/files/2014/07/FSI_Report_Final_Reduced20140715.pdf</w:t>
        </w:r>
      </w:hyperlink>
      <w:r>
        <w:rPr>
          <w:szCs w:val="18"/>
        </w:rPr>
        <w:t>.</w:t>
      </w:r>
    </w:p>
  </w:footnote>
  <w:footnote w:id="3">
    <w:p w:rsidR="00DD027D" w:rsidRPr="00890C9B" w:rsidRDefault="00DD027D" w:rsidP="00DD027D">
      <w:pPr>
        <w:pStyle w:val="FootnoteText"/>
        <w:rPr>
          <w:i/>
        </w:rPr>
      </w:pPr>
      <w:r>
        <w:rPr>
          <w:rStyle w:val="FootnoteReference"/>
        </w:rPr>
        <w:footnoteRef/>
      </w:r>
      <w:r>
        <w:t xml:space="preserve"> C </w:t>
      </w:r>
      <w:proofErr w:type="spellStart"/>
      <w:r>
        <w:t>Sunstein</w:t>
      </w:r>
      <w:proofErr w:type="spellEnd"/>
      <w:r>
        <w:t xml:space="preserve"> (2011), ‘</w:t>
      </w:r>
      <w:r w:rsidRPr="00890C9B">
        <w:t xml:space="preserve">Empirically </w:t>
      </w:r>
      <w:r>
        <w:t>i</w:t>
      </w:r>
      <w:r w:rsidRPr="00890C9B">
        <w:t xml:space="preserve">nformed </w:t>
      </w:r>
      <w:r>
        <w:t>r</w:t>
      </w:r>
      <w:r w:rsidRPr="00890C9B">
        <w:t>egulation</w:t>
      </w:r>
      <w:r>
        <w:t xml:space="preserve">’, </w:t>
      </w:r>
      <w:r w:rsidRPr="00890C9B">
        <w:rPr>
          <w:i/>
        </w:rPr>
        <w:t>University of Chicago Law Review</w:t>
      </w:r>
      <w:r>
        <w:t>, vol. 78, pp. 1349–1429.</w:t>
      </w:r>
    </w:p>
  </w:footnote>
  <w:footnote w:id="4">
    <w:p w:rsidR="00DD027D" w:rsidRDefault="00DD027D" w:rsidP="00DD027D">
      <w:pPr>
        <w:pStyle w:val="FootnoteText"/>
      </w:pPr>
      <w:r>
        <w:rPr>
          <w:rStyle w:val="FootnoteReference"/>
        </w:rPr>
        <w:footnoteRef/>
      </w:r>
      <w:r>
        <w:t xml:space="preserve"> Australian Communications and Media Authority (</w:t>
      </w:r>
      <w:proofErr w:type="spellStart"/>
      <w:r>
        <w:t>ACMA</w:t>
      </w:r>
      <w:proofErr w:type="spellEnd"/>
      <w:r>
        <w:t>),</w:t>
      </w:r>
      <w:r w:rsidRPr="004F7164">
        <w:t xml:space="preserve"> </w:t>
      </w:r>
      <w:r w:rsidRPr="006318DD">
        <w:rPr>
          <w:i/>
        </w:rPr>
        <w:t>Communications report 2013–14 series</w:t>
      </w:r>
      <w:r>
        <w:rPr>
          <w:i/>
        </w:rPr>
        <w:t>:</w:t>
      </w:r>
      <w:r w:rsidRPr="006318DD">
        <w:rPr>
          <w:i/>
        </w:rPr>
        <w:t xml:space="preserve"> Report 1—Australians’ digital lives</w:t>
      </w:r>
      <w:r>
        <w:t xml:space="preserve">, March 2015, </w:t>
      </w:r>
      <w:hyperlink r:id="rId2" w:history="1">
        <w:r w:rsidRPr="007B3739">
          <w:rPr>
            <w:rStyle w:val="Hyperlink"/>
          </w:rPr>
          <w:t>www.acma.gov.au/theACMA/Library/Corporate-library/Corporate-publications/communications-report</w:t>
        </w:r>
      </w:hyperlink>
      <w:r w:rsidRPr="004F7164">
        <w:t>.</w:t>
      </w:r>
    </w:p>
  </w:footnote>
  <w:footnote w:id="5">
    <w:p w:rsidR="00DD027D" w:rsidRDefault="00DD027D" w:rsidP="00DD027D">
      <w:pPr>
        <w:pStyle w:val="FootnoteText"/>
      </w:pPr>
      <w:r>
        <w:rPr>
          <w:rStyle w:val="FootnoteReference"/>
        </w:rPr>
        <w:footnoteRef/>
      </w:r>
      <w:r>
        <w:t xml:space="preserve"> Financial System Inquiry interim report, p. 4-42.</w:t>
      </w:r>
    </w:p>
  </w:footnote>
  <w:footnote w:id="6">
    <w:p w:rsidR="00DD027D" w:rsidRDefault="00DD027D" w:rsidP="00DD027D">
      <w:pPr>
        <w:pStyle w:val="FootnoteText"/>
      </w:pPr>
      <w:r>
        <w:rPr>
          <w:rStyle w:val="FootnoteReference"/>
        </w:rPr>
        <w:footnoteRef/>
      </w:r>
      <w:r>
        <w:t xml:space="preserve"> Financial System Inquiry, </w:t>
      </w:r>
      <w:r w:rsidRPr="00971971">
        <w:rPr>
          <w:i/>
        </w:rPr>
        <w:t>Financial System Inquiry</w:t>
      </w:r>
      <w:r>
        <w:rPr>
          <w:i/>
        </w:rPr>
        <w:t>:</w:t>
      </w:r>
      <w:r w:rsidRPr="00971971">
        <w:rPr>
          <w:i/>
        </w:rPr>
        <w:t xml:space="preserve"> Final </w:t>
      </w:r>
      <w:r>
        <w:rPr>
          <w:i/>
        </w:rPr>
        <w:t>r</w:t>
      </w:r>
      <w:r w:rsidRPr="00971971">
        <w:rPr>
          <w:i/>
        </w:rPr>
        <w:t>eport</w:t>
      </w:r>
      <w:r>
        <w:rPr>
          <w:i/>
        </w:rPr>
        <w:t>,</w:t>
      </w:r>
      <w:r>
        <w:t xml:space="preserve"> November 2014 (Financial System Inquiry final report), </w:t>
      </w:r>
      <w:hyperlink r:id="rId3" w:history="1">
        <w:r w:rsidRPr="007B3739">
          <w:rPr>
            <w:rStyle w:val="Hyperlink"/>
          </w:rPr>
          <w:t>http://fsi.gov.au/publications/final-report/chapter-4/innovative-disclosure/</w:t>
        </w:r>
      </w:hyperlink>
      <w:r>
        <w:t>.</w:t>
      </w:r>
    </w:p>
  </w:footnote>
  <w:footnote w:id="7">
    <w:p w:rsidR="00DD027D" w:rsidRDefault="00DD027D" w:rsidP="00DD027D">
      <w:pPr>
        <w:pStyle w:val="FootnoteText"/>
      </w:pPr>
      <w:r w:rsidRPr="008D6E4F">
        <w:rPr>
          <w:rStyle w:val="FootnoteReference"/>
        </w:rPr>
        <w:footnoteRef/>
      </w:r>
      <w:r w:rsidRPr="008D6E4F">
        <w:t xml:space="preserve"> </w:t>
      </w:r>
      <w:r w:rsidRPr="005453C2">
        <w:t xml:space="preserve">Corporate Law Economic Reform Program Bill 1998, </w:t>
      </w:r>
      <w:r>
        <w:t xml:space="preserve">Explanatory Memorandum, </w:t>
      </w:r>
      <w:proofErr w:type="spellStart"/>
      <w:r>
        <w:t>paras</w:t>
      </w:r>
      <w:proofErr w:type="spellEnd"/>
      <w:r>
        <w:t xml:space="preserve"> 8.10–8.17; </w:t>
      </w:r>
      <w:proofErr w:type="spellStart"/>
      <w:r>
        <w:t>RG</w:t>
      </w:r>
      <w:proofErr w:type="spellEnd"/>
      <w:r>
        <w:t xml:space="preserve"> 221.1.</w:t>
      </w:r>
    </w:p>
  </w:footnote>
  <w:footnote w:id="8">
    <w:p w:rsidR="00DD027D" w:rsidRDefault="00DD027D" w:rsidP="00DD027D">
      <w:pPr>
        <w:pStyle w:val="FootnoteText"/>
      </w:pPr>
      <w:r>
        <w:rPr>
          <w:rStyle w:val="FootnoteReference"/>
        </w:rPr>
        <w:footnoteRef/>
      </w:r>
      <w:r>
        <w:t xml:space="preserve"> National Commission of Audit, </w:t>
      </w:r>
      <w:r w:rsidRPr="00AA228E">
        <w:rPr>
          <w:i/>
        </w:rPr>
        <w:t xml:space="preserve">Towards </w:t>
      </w:r>
      <w:r>
        <w:rPr>
          <w:i/>
        </w:rPr>
        <w:t>r</w:t>
      </w:r>
      <w:r w:rsidRPr="00AA228E">
        <w:rPr>
          <w:i/>
        </w:rPr>
        <w:t xml:space="preserve">esponsible </w:t>
      </w:r>
      <w:r>
        <w:rPr>
          <w:i/>
        </w:rPr>
        <w:t>g</w:t>
      </w:r>
      <w:r w:rsidRPr="00AA228E">
        <w:rPr>
          <w:i/>
        </w:rPr>
        <w:t>overnment</w:t>
      </w:r>
      <w:r>
        <w:rPr>
          <w:i/>
        </w:rPr>
        <w:t xml:space="preserve">: </w:t>
      </w:r>
      <w:r w:rsidRPr="00AA228E">
        <w:rPr>
          <w:i/>
        </w:rPr>
        <w:t xml:space="preserve">The </w:t>
      </w:r>
      <w:r>
        <w:rPr>
          <w:i/>
        </w:rPr>
        <w:t>r</w:t>
      </w:r>
      <w:r w:rsidRPr="00AA228E">
        <w:rPr>
          <w:i/>
        </w:rPr>
        <w:t>eport of the National Commission of Audit</w:t>
      </w:r>
      <w:r>
        <w:rPr>
          <w:i/>
        </w:rPr>
        <w:t>—</w:t>
      </w:r>
      <w:r w:rsidRPr="00AA228E">
        <w:rPr>
          <w:i/>
        </w:rPr>
        <w:t xml:space="preserve">Phase </w:t>
      </w:r>
      <w:r>
        <w:rPr>
          <w:i/>
        </w:rPr>
        <w:t>o</w:t>
      </w:r>
      <w:r w:rsidRPr="00AA228E">
        <w:rPr>
          <w:i/>
        </w:rPr>
        <w:t>ne</w:t>
      </w:r>
      <w:r>
        <w:t xml:space="preserve">, </w:t>
      </w:r>
      <w:hyperlink r:id="rId4" w:history="1">
        <w:r w:rsidRPr="005453C2">
          <w:rPr>
            <w:rStyle w:val="Hyperlink"/>
          </w:rPr>
          <w:t>www.ncoa.gov.au/report/phase-one/index.html</w:t>
        </w:r>
      </w:hyperlink>
      <w:r>
        <w:t>.</w:t>
      </w:r>
    </w:p>
  </w:footnote>
  <w:footnote w:id="9">
    <w:p w:rsidR="00DD027D" w:rsidRDefault="00DD027D" w:rsidP="00DD027D">
      <w:pPr>
        <w:pStyle w:val="FootnoteText"/>
      </w:pPr>
      <w:r>
        <w:rPr>
          <w:rStyle w:val="FootnoteReference"/>
        </w:rPr>
        <w:footnoteRef/>
      </w:r>
      <w:r>
        <w:t xml:space="preserve"> </w:t>
      </w:r>
      <w:proofErr w:type="spellStart"/>
      <w:r>
        <w:t>ACMA</w:t>
      </w:r>
      <w:proofErr w:type="spellEnd"/>
      <w:r>
        <w:t>,</w:t>
      </w:r>
      <w:r w:rsidRPr="004F7164">
        <w:t xml:space="preserve"> </w:t>
      </w:r>
      <w:r w:rsidRPr="006318DD">
        <w:rPr>
          <w:i/>
        </w:rPr>
        <w:t>Communications report 2013–14</w:t>
      </w:r>
      <w:r>
        <w:t xml:space="preserve">, </w:t>
      </w:r>
      <w:hyperlink r:id="rId5" w:history="1">
        <w:r w:rsidRPr="00C3211F">
          <w:rPr>
            <w:rStyle w:val="Hyperlink"/>
          </w:rPr>
          <w:t>www.acma.gov.au/theACMA/Library/Corporate-library/Corporate-publications/communications-report</w:t>
        </w:r>
      </w:hyperlink>
      <w:r>
        <w:t>.</w:t>
      </w:r>
    </w:p>
  </w:footnote>
  <w:footnote w:id="10">
    <w:p w:rsidR="00DD027D" w:rsidRDefault="00DD027D" w:rsidP="00DD027D">
      <w:pPr>
        <w:pStyle w:val="FootnoteText"/>
      </w:pPr>
      <w:r>
        <w:rPr>
          <w:rStyle w:val="FootnoteReference"/>
        </w:rPr>
        <w:footnoteRef/>
      </w:r>
      <w:r>
        <w:t xml:space="preserve"> </w:t>
      </w:r>
      <w:proofErr w:type="spellStart"/>
      <w:r>
        <w:t>ACMA</w:t>
      </w:r>
      <w:proofErr w:type="spellEnd"/>
      <w:r>
        <w:t xml:space="preserve">, </w:t>
      </w:r>
      <w:r w:rsidRPr="00AA228E">
        <w:rPr>
          <w:i/>
        </w:rPr>
        <w:t>Communications report 2011–12</w:t>
      </w:r>
      <w:r>
        <w:t xml:space="preserve">, </w:t>
      </w:r>
      <w:hyperlink r:id="rId6" w:history="1">
        <w:r w:rsidRPr="007B3739">
          <w:rPr>
            <w:rStyle w:val="Hyperlink"/>
          </w:rPr>
          <w:t>www.acma.gov.au/theACMA/Library/Corporate-library/Corporate-publications/communications-report-2011-12</w:t>
        </w:r>
      </w:hyperlink>
      <w:r>
        <w:t>.</w:t>
      </w:r>
    </w:p>
  </w:footnote>
  <w:footnote w:id="11">
    <w:p w:rsidR="00DD027D" w:rsidRDefault="00DD027D" w:rsidP="00DD027D">
      <w:pPr>
        <w:pStyle w:val="FootnoteText"/>
      </w:pPr>
      <w:r>
        <w:rPr>
          <w:rStyle w:val="FootnoteReference"/>
        </w:rPr>
        <w:footnoteRef/>
      </w:r>
      <w:r>
        <w:t xml:space="preserve"> Assuming 80% total take-up, less 34% of consumers already digitally engaged. </w:t>
      </w:r>
    </w:p>
  </w:footnote>
  <w:footnote w:id="12">
    <w:p w:rsidR="00DD027D" w:rsidRDefault="00DD027D" w:rsidP="00DD027D">
      <w:pPr>
        <w:pStyle w:val="FootnoteText"/>
      </w:pPr>
      <w:r>
        <w:rPr>
          <w:rStyle w:val="FootnoteReference"/>
        </w:rPr>
        <w:footnoteRef/>
      </w:r>
      <w:r>
        <w:t xml:space="preserve"> Assuming 80% total take-up, less 8% of consumers already digitally engaged. </w:t>
      </w:r>
    </w:p>
  </w:footnote>
  <w:footnote w:id="13">
    <w:p w:rsidR="00DD027D" w:rsidRDefault="00DD027D" w:rsidP="00DD027D">
      <w:pPr>
        <w:pStyle w:val="FootnoteText"/>
      </w:pPr>
      <w:r w:rsidRPr="004F7164">
        <w:rPr>
          <w:rStyle w:val="FootnoteReference"/>
        </w:rPr>
        <w:footnoteRef/>
      </w:r>
      <w:r w:rsidRPr="004F7164">
        <w:t xml:space="preserve"> For increased internet usage and </w:t>
      </w:r>
      <w:r>
        <w:t xml:space="preserve">the </w:t>
      </w:r>
      <w:r w:rsidRPr="004F7164">
        <w:t>shift to mobile internet usage</w:t>
      </w:r>
      <w:r>
        <w:t>,</w:t>
      </w:r>
      <w:r w:rsidRPr="004F7164">
        <w:t xml:space="preserve"> see ABS 8153.0</w:t>
      </w:r>
      <w:r>
        <w:t xml:space="preserve">, </w:t>
      </w:r>
      <w:r w:rsidRPr="00AA228E">
        <w:rPr>
          <w:i/>
        </w:rPr>
        <w:t xml:space="preserve">Internet </w:t>
      </w:r>
      <w:r>
        <w:rPr>
          <w:i/>
        </w:rPr>
        <w:t>a</w:t>
      </w:r>
      <w:r w:rsidRPr="00AA228E">
        <w:rPr>
          <w:i/>
        </w:rPr>
        <w:t>ctivity, Australia</w:t>
      </w:r>
      <w:r w:rsidRPr="004F7164">
        <w:t xml:space="preserve">, June 2014 </w:t>
      </w:r>
      <w:r>
        <w:t>‘</w:t>
      </w:r>
      <w:r w:rsidRPr="004F7164">
        <w:t xml:space="preserve">Type of </w:t>
      </w:r>
      <w:r>
        <w:t xml:space="preserve">access connection’, </w:t>
      </w:r>
      <w:hyperlink r:id="rId7" w:history="1">
        <w:r w:rsidRPr="007B3739">
          <w:rPr>
            <w:rStyle w:val="Hyperlink"/>
          </w:rPr>
          <w:t>www.abs.gov.au/ausstats/abs@.ns</w:t>
        </w:r>
        <w:r w:rsidRPr="00AA31BD">
          <w:rPr>
            <w:rStyle w:val="Hyperlink"/>
          </w:rPr>
          <w:t>f/Previousproducts/8153.0Main%20Features1Ju</w:t>
        </w:r>
        <w:r w:rsidRPr="007B3739">
          <w:rPr>
            <w:rStyle w:val="Hyperlink"/>
          </w:rPr>
          <w:t>ne%202014?opendocument&amp;tabname=Summary&amp;prodno=8153.0&amp;issue=June%202014&amp;num=&amp;view</w:t>
        </w:r>
      </w:hyperlink>
      <w:r w:rsidRPr="004F7164">
        <w:t>=.</w:t>
      </w:r>
      <w:r>
        <w:t xml:space="preserve"> </w:t>
      </w:r>
      <w:r w:rsidRPr="004F7164">
        <w:t>For engaging more online</w:t>
      </w:r>
      <w:r>
        <w:t>,</w:t>
      </w:r>
      <w:r w:rsidRPr="004F7164">
        <w:t xml:space="preserve"> see </w:t>
      </w:r>
      <w:proofErr w:type="spellStart"/>
      <w:r>
        <w:t>ACMA</w:t>
      </w:r>
      <w:proofErr w:type="spellEnd"/>
      <w:r>
        <w:t xml:space="preserve">, </w:t>
      </w:r>
      <w:r w:rsidRPr="006318DD">
        <w:rPr>
          <w:i/>
        </w:rPr>
        <w:t>Communications report 2013–14 series</w:t>
      </w:r>
      <w:r>
        <w:rPr>
          <w:i/>
        </w:rPr>
        <w:t>:</w:t>
      </w:r>
      <w:r w:rsidRPr="006318DD">
        <w:rPr>
          <w:i/>
        </w:rPr>
        <w:t xml:space="preserve"> Report 1—Australians’ digital lives</w:t>
      </w:r>
      <w:r>
        <w:t xml:space="preserve">, March 2015, </w:t>
      </w:r>
      <w:hyperlink r:id="rId8" w:history="1">
        <w:r w:rsidRPr="007B3739">
          <w:rPr>
            <w:rStyle w:val="Hyperlink"/>
          </w:rPr>
          <w:t>www.acma.gov.au/theACMA/Library/Corporate-library/Corporate-publications/communications-report</w:t>
        </w:r>
      </w:hyperlink>
      <w:r w:rsidRPr="004F716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7D" w:rsidRDefault="00DD027D"/>
  <w:p w:rsidR="00DD027D" w:rsidRDefault="00DD02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7D" w:rsidRDefault="00DD027D">
    <w:pPr>
      <w:pStyle w:val="Footer"/>
      <w:pBdr>
        <w:bottom w:val="single" w:sz="4" w:space="1" w:color="117DC7"/>
      </w:pBdr>
      <w:jc w:val="right"/>
      <w:rPr>
        <w:color w:val="117DC7"/>
      </w:rPr>
    </w:pPr>
    <w:r>
      <w:tab/>
    </w:r>
    <w:r w:rsidR="00DF67D6">
      <w:fldChar w:fldCharType="begin"/>
    </w:r>
    <w:r w:rsidR="00DF67D6">
      <w:instrText xml:space="preserve"> DOCPROPERTY  "Document type"  \* MERGEFORMAT </w:instrText>
    </w:r>
    <w:r w:rsidR="00DF67D6">
      <w:fldChar w:fldCharType="separate"/>
    </w:r>
    <w:r w:rsidRPr="00AA228E">
      <w:rPr>
        <w:caps/>
        <w:color w:val="117DC7"/>
      </w:rPr>
      <w:t>REPORT</w:t>
    </w:r>
    <w:r w:rsidR="00DF67D6">
      <w:rPr>
        <w:caps/>
        <w:color w:val="117DC7"/>
      </w:rPr>
      <w:fldChar w:fldCharType="end"/>
    </w:r>
    <w:r>
      <w:rPr>
        <w:color w:val="117DC7"/>
      </w:rPr>
      <w:t xml:space="preserve">: </w:t>
    </w:r>
    <w:r w:rsidR="00DF67D6">
      <w:fldChar w:fldCharType="begin"/>
    </w:r>
    <w:r w:rsidR="00DF67D6">
      <w:instrText xml:space="preserve"> DOCPROPERTY  "Document title"  \* MERGEFORMAT </w:instrText>
    </w:r>
    <w:r w:rsidR="00DF67D6">
      <w:fldChar w:fldCharType="separate"/>
    </w:r>
    <w:r w:rsidRPr="00AA228E">
      <w:rPr>
        <w:color w:val="117DC7"/>
      </w:rPr>
      <w:t>Facilitating digital</w:t>
    </w:r>
    <w:r>
      <w:t xml:space="preserve"> financial services disclosures</w:t>
    </w:r>
    <w:r w:rsidR="00DF67D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7D" w:rsidRDefault="00DD027D" w:rsidP="001A5827">
    <w:pPr>
      <w:pStyle w:val="Heade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46CF948"/>
    <w:lvl w:ilvl="0">
      <w:start w:val="1"/>
      <w:numFmt w:val="decimal"/>
      <w:pStyle w:val="ListNumber"/>
      <w:lvlText w:val="%1."/>
      <w:lvlJc w:val="left"/>
      <w:pPr>
        <w:tabs>
          <w:tab w:val="num" w:pos="360"/>
        </w:tabs>
        <w:ind w:left="360" w:hanging="360"/>
      </w:p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4">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1E0C6808"/>
    <w:multiLevelType w:val="multilevel"/>
    <w:tmpl w:val="0E48564E"/>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1F88500E"/>
    <w:multiLevelType w:val="singleLevel"/>
    <w:tmpl w:val="286E529C"/>
    <w:lvl w:ilvl="0">
      <w:start w:val="1"/>
      <w:numFmt w:val="bullet"/>
      <w:lvlText w:val=""/>
      <w:lvlJc w:val="left"/>
      <w:pPr>
        <w:tabs>
          <w:tab w:val="num" w:pos="425"/>
        </w:tabs>
        <w:ind w:left="425" w:hanging="425"/>
      </w:pPr>
      <w:rPr>
        <w:rFonts w:ascii="Symbol" w:hAnsi="Symbol" w:hint="default"/>
      </w:rPr>
    </w:lvl>
  </w:abstractNum>
  <w:abstractNum w:abstractNumId="7">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1">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8D3E0B"/>
    <w:multiLevelType w:val="hybridMultilevel"/>
    <w:tmpl w:val="6D2C8A4A"/>
    <w:lvl w:ilvl="0" w:tplc="D1181EB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B5A5FBC"/>
    <w:multiLevelType w:val="multilevel"/>
    <w:tmpl w:val="7CA4098C"/>
    <w:lvl w:ilvl="0">
      <w:start w:val="1"/>
      <w:numFmt w:val="decimal"/>
      <w:pStyle w:val="RPG-BodyTextNumbered"/>
      <w:lvlText w:val="%1"/>
      <w:lvlJc w:val="left"/>
      <w:pPr>
        <w:tabs>
          <w:tab w:val="num" w:pos="851"/>
        </w:tabs>
        <w:ind w:left="851" w:hanging="426"/>
      </w:pPr>
      <w:rPr>
        <w:rFonts w:hint="default"/>
        <w:i w:val="0"/>
        <w:sz w:val="18"/>
      </w:rPr>
    </w:lvl>
    <w:lvl w:ilvl="1">
      <w:start w:val="1"/>
      <w:numFmt w:val="lowerLetter"/>
      <w:pStyle w:val="RPG-SublistLevel1"/>
      <w:lvlText w:val="(%2)"/>
      <w:lvlJc w:val="left"/>
      <w:pPr>
        <w:tabs>
          <w:tab w:val="num" w:pos="1985"/>
        </w:tabs>
        <w:ind w:left="1985"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nsid w:val="6C5E101F"/>
    <w:multiLevelType w:val="hybridMultilevel"/>
    <w:tmpl w:val="EBB2917C"/>
    <w:lvl w:ilvl="0" w:tplc="3604B8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E032E33"/>
    <w:multiLevelType w:val="hybridMultilevel"/>
    <w:tmpl w:val="F0D00B40"/>
    <w:lvl w:ilvl="0" w:tplc="E7FE90BC">
      <w:start w:val="50"/>
      <w:numFmt w:val="bullet"/>
      <w:lvlText w:val="-"/>
      <w:lvlJc w:val="left"/>
      <w:pPr>
        <w:ind w:left="1211" w:hanging="360"/>
      </w:pPr>
      <w:rPr>
        <w:rFonts w:ascii="Arial" w:eastAsia="Calibri"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CA5E16"/>
    <w:multiLevelType w:val="hybridMultilevel"/>
    <w:tmpl w:val="41F83196"/>
    <w:lvl w:ilvl="0" w:tplc="3CC81C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2"/>
  </w:num>
  <w:num w:numId="3">
    <w:abstractNumId w:val="18"/>
  </w:num>
  <w:num w:numId="4">
    <w:abstractNumId w:val="10"/>
  </w:num>
  <w:num w:numId="5">
    <w:abstractNumId w:val="9"/>
  </w:num>
  <w:num w:numId="6">
    <w:abstractNumId w:val="17"/>
  </w:num>
  <w:num w:numId="7">
    <w:abstractNumId w:val="16"/>
  </w:num>
  <w:num w:numId="8">
    <w:abstractNumId w:val="2"/>
  </w:num>
  <w:num w:numId="9">
    <w:abstractNumId w:val="15"/>
  </w:num>
  <w:num w:numId="10">
    <w:abstractNumId w:val="8"/>
  </w:num>
  <w:num w:numId="11">
    <w:abstractNumId w:val="5"/>
  </w:num>
  <w:num w:numId="12">
    <w:abstractNumId w:val="20"/>
  </w:num>
  <w:num w:numId="13">
    <w:abstractNumId w:val="11"/>
  </w:num>
  <w:num w:numId="14">
    <w:abstractNumId w:val="14"/>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 w:ilvl="0">
        <w:start w:val="1"/>
        <w:numFmt w:val="decimal"/>
        <w:pStyle w:val="BodyText"/>
        <w:lvlText w:val="RG 221.%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27">
    <w:abstractNumId w:val="19"/>
  </w:num>
  <w:num w:numId="28">
    <w:abstractNumId w:val="5"/>
    <w:lvlOverride w:ilvl="0">
      <w:startOverride w:val="6"/>
    </w:lvlOverride>
  </w:num>
  <w:num w:numId="29">
    <w:abstractNumId w:val="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50"/>
    <w:rsid w:val="000004A2"/>
    <w:rsid w:val="0000173B"/>
    <w:rsid w:val="00023EA9"/>
    <w:rsid w:val="00024437"/>
    <w:rsid w:val="00053A56"/>
    <w:rsid w:val="00063BAC"/>
    <w:rsid w:val="00066A00"/>
    <w:rsid w:val="00081A72"/>
    <w:rsid w:val="00090A56"/>
    <w:rsid w:val="000966E0"/>
    <w:rsid w:val="000D38CA"/>
    <w:rsid w:val="000D6EF6"/>
    <w:rsid w:val="000F41F2"/>
    <w:rsid w:val="00106AE2"/>
    <w:rsid w:val="00113915"/>
    <w:rsid w:val="001229C5"/>
    <w:rsid w:val="0012449B"/>
    <w:rsid w:val="00130E80"/>
    <w:rsid w:val="00136A87"/>
    <w:rsid w:val="001603F0"/>
    <w:rsid w:val="00176255"/>
    <w:rsid w:val="001916B1"/>
    <w:rsid w:val="00192C9C"/>
    <w:rsid w:val="00195899"/>
    <w:rsid w:val="001B0171"/>
    <w:rsid w:val="001C36DC"/>
    <w:rsid w:val="001C3C9F"/>
    <w:rsid w:val="001D5AFB"/>
    <w:rsid w:val="001E04D5"/>
    <w:rsid w:val="001E05E6"/>
    <w:rsid w:val="001F41AB"/>
    <w:rsid w:val="00207D9F"/>
    <w:rsid w:val="00224079"/>
    <w:rsid w:val="0023045C"/>
    <w:rsid w:val="00236B87"/>
    <w:rsid w:val="0024327F"/>
    <w:rsid w:val="0024656B"/>
    <w:rsid w:val="00281C91"/>
    <w:rsid w:val="0029193C"/>
    <w:rsid w:val="00292A25"/>
    <w:rsid w:val="00297261"/>
    <w:rsid w:val="002A1B25"/>
    <w:rsid w:val="002E7B36"/>
    <w:rsid w:val="002F162B"/>
    <w:rsid w:val="002F5714"/>
    <w:rsid w:val="002F5D15"/>
    <w:rsid w:val="002F67B4"/>
    <w:rsid w:val="00300F45"/>
    <w:rsid w:val="003046AF"/>
    <w:rsid w:val="00310C11"/>
    <w:rsid w:val="003136A1"/>
    <w:rsid w:val="0035022F"/>
    <w:rsid w:val="00392BFE"/>
    <w:rsid w:val="0039471F"/>
    <w:rsid w:val="00396A50"/>
    <w:rsid w:val="003A2392"/>
    <w:rsid w:val="003A59FC"/>
    <w:rsid w:val="003B0410"/>
    <w:rsid w:val="003F78BF"/>
    <w:rsid w:val="0040159C"/>
    <w:rsid w:val="00412CFD"/>
    <w:rsid w:val="0041604E"/>
    <w:rsid w:val="004314DE"/>
    <w:rsid w:val="00437E43"/>
    <w:rsid w:val="004813C3"/>
    <w:rsid w:val="004856A8"/>
    <w:rsid w:val="00485FB1"/>
    <w:rsid w:val="004866E9"/>
    <w:rsid w:val="00487056"/>
    <w:rsid w:val="00490092"/>
    <w:rsid w:val="004B6782"/>
    <w:rsid w:val="004E2D25"/>
    <w:rsid w:val="004F35BB"/>
    <w:rsid w:val="00501B06"/>
    <w:rsid w:val="00504A87"/>
    <w:rsid w:val="00520323"/>
    <w:rsid w:val="00523065"/>
    <w:rsid w:val="00546525"/>
    <w:rsid w:val="00562F6F"/>
    <w:rsid w:val="00563021"/>
    <w:rsid w:val="005637EF"/>
    <w:rsid w:val="00581C34"/>
    <w:rsid w:val="005833D3"/>
    <w:rsid w:val="00595D15"/>
    <w:rsid w:val="005A2494"/>
    <w:rsid w:val="005F08AA"/>
    <w:rsid w:val="005F3FCC"/>
    <w:rsid w:val="006026F8"/>
    <w:rsid w:val="00610643"/>
    <w:rsid w:val="00611E64"/>
    <w:rsid w:val="0063010E"/>
    <w:rsid w:val="00636E7C"/>
    <w:rsid w:val="00643562"/>
    <w:rsid w:val="00643AAB"/>
    <w:rsid w:val="00664688"/>
    <w:rsid w:val="00666D7F"/>
    <w:rsid w:val="006A73DA"/>
    <w:rsid w:val="006B38DB"/>
    <w:rsid w:val="006B7224"/>
    <w:rsid w:val="006C19C1"/>
    <w:rsid w:val="006D7080"/>
    <w:rsid w:val="006E4094"/>
    <w:rsid w:val="006E6CF3"/>
    <w:rsid w:val="006F7958"/>
    <w:rsid w:val="006F7D26"/>
    <w:rsid w:val="00703ACC"/>
    <w:rsid w:val="00703EA8"/>
    <w:rsid w:val="00716A6D"/>
    <w:rsid w:val="00750F78"/>
    <w:rsid w:val="0075102C"/>
    <w:rsid w:val="00754021"/>
    <w:rsid w:val="00767F67"/>
    <w:rsid w:val="007800D3"/>
    <w:rsid w:val="00781DCB"/>
    <w:rsid w:val="00785EB5"/>
    <w:rsid w:val="00791627"/>
    <w:rsid w:val="00796843"/>
    <w:rsid w:val="007A5070"/>
    <w:rsid w:val="007B1DB4"/>
    <w:rsid w:val="007B4982"/>
    <w:rsid w:val="007B57CA"/>
    <w:rsid w:val="007C04BF"/>
    <w:rsid w:val="007D2B3B"/>
    <w:rsid w:val="007F4DB8"/>
    <w:rsid w:val="00820165"/>
    <w:rsid w:val="008213A9"/>
    <w:rsid w:val="00824436"/>
    <w:rsid w:val="00827951"/>
    <w:rsid w:val="0084460D"/>
    <w:rsid w:val="008513DB"/>
    <w:rsid w:val="008562B0"/>
    <w:rsid w:val="00857DA4"/>
    <w:rsid w:val="00860534"/>
    <w:rsid w:val="00862740"/>
    <w:rsid w:val="00871ED7"/>
    <w:rsid w:val="00893AC3"/>
    <w:rsid w:val="008A6CE3"/>
    <w:rsid w:val="008C1D20"/>
    <w:rsid w:val="008C237D"/>
    <w:rsid w:val="008E0819"/>
    <w:rsid w:val="008E37CA"/>
    <w:rsid w:val="008E3A37"/>
    <w:rsid w:val="008F11A4"/>
    <w:rsid w:val="008F16C3"/>
    <w:rsid w:val="008F4C36"/>
    <w:rsid w:val="00911CDD"/>
    <w:rsid w:val="00913274"/>
    <w:rsid w:val="00914AF3"/>
    <w:rsid w:val="00933A7B"/>
    <w:rsid w:val="00941FC7"/>
    <w:rsid w:val="00942C33"/>
    <w:rsid w:val="00947566"/>
    <w:rsid w:val="009523CC"/>
    <w:rsid w:val="00956FDE"/>
    <w:rsid w:val="00961D58"/>
    <w:rsid w:val="0096336A"/>
    <w:rsid w:val="00965ECE"/>
    <w:rsid w:val="00975AA5"/>
    <w:rsid w:val="0098273E"/>
    <w:rsid w:val="009979CA"/>
    <w:rsid w:val="00997B23"/>
    <w:rsid w:val="00997E6F"/>
    <w:rsid w:val="009C027D"/>
    <w:rsid w:val="009D2D34"/>
    <w:rsid w:val="009F2A18"/>
    <w:rsid w:val="00A170AE"/>
    <w:rsid w:val="00A34097"/>
    <w:rsid w:val="00A36944"/>
    <w:rsid w:val="00A65D55"/>
    <w:rsid w:val="00A830D9"/>
    <w:rsid w:val="00A91570"/>
    <w:rsid w:val="00AA3F1F"/>
    <w:rsid w:val="00AA61F1"/>
    <w:rsid w:val="00AA6CEB"/>
    <w:rsid w:val="00AA7B53"/>
    <w:rsid w:val="00AB617A"/>
    <w:rsid w:val="00AC0731"/>
    <w:rsid w:val="00AC1741"/>
    <w:rsid w:val="00AD0A7A"/>
    <w:rsid w:val="00B12AA8"/>
    <w:rsid w:val="00B177A9"/>
    <w:rsid w:val="00B2251F"/>
    <w:rsid w:val="00B22DDE"/>
    <w:rsid w:val="00B241CE"/>
    <w:rsid w:val="00B45B37"/>
    <w:rsid w:val="00B463C5"/>
    <w:rsid w:val="00B64ABC"/>
    <w:rsid w:val="00B70412"/>
    <w:rsid w:val="00B93901"/>
    <w:rsid w:val="00B9503F"/>
    <w:rsid w:val="00B960A3"/>
    <w:rsid w:val="00B9712C"/>
    <w:rsid w:val="00BB0989"/>
    <w:rsid w:val="00BC232A"/>
    <w:rsid w:val="00BC3F17"/>
    <w:rsid w:val="00BC4BA1"/>
    <w:rsid w:val="00BC5C19"/>
    <w:rsid w:val="00C32257"/>
    <w:rsid w:val="00C354AC"/>
    <w:rsid w:val="00C44A75"/>
    <w:rsid w:val="00C5043D"/>
    <w:rsid w:val="00C73912"/>
    <w:rsid w:val="00C82AD8"/>
    <w:rsid w:val="00C92995"/>
    <w:rsid w:val="00CC2532"/>
    <w:rsid w:val="00CC5CC7"/>
    <w:rsid w:val="00CF7139"/>
    <w:rsid w:val="00D03930"/>
    <w:rsid w:val="00D04769"/>
    <w:rsid w:val="00D16F4D"/>
    <w:rsid w:val="00D57605"/>
    <w:rsid w:val="00D6309D"/>
    <w:rsid w:val="00D7486B"/>
    <w:rsid w:val="00D83F3B"/>
    <w:rsid w:val="00D866B7"/>
    <w:rsid w:val="00D91CE7"/>
    <w:rsid w:val="00DB1118"/>
    <w:rsid w:val="00DB1971"/>
    <w:rsid w:val="00DB37B0"/>
    <w:rsid w:val="00DB45F6"/>
    <w:rsid w:val="00DC6B6B"/>
    <w:rsid w:val="00DD027D"/>
    <w:rsid w:val="00DF67D6"/>
    <w:rsid w:val="00E063A0"/>
    <w:rsid w:val="00E2073E"/>
    <w:rsid w:val="00E20D4F"/>
    <w:rsid w:val="00E65283"/>
    <w:rsid w:val="00E9681F"/>
    <w:rsid w:val="00EB506B"/>
    <w:rsid w:val="00EC0741"/>
    <w:rsid w:val="00EC5174"/>
    <w:rsid w:val="00EC755A"/>
    <w:rsid w:val="00ED6D6D"/>
    <w:rsid w:val="00ED76EE"/>
    <w:rsid w:val="00EE004B"/>
    <w:rsid w:val="00F17850"/>
    <w:rsid w:val="00F32ACB"/>
    <w:rsid w:val="00F4161F"/>
    <w:rsid w:val="00F41C1D"/>
    <w:rsid w:val="00F452A3"/>
    <w:rsid w:val="00F4587B"/>
    <w:rsid w:val="00F46458"/>
    <w:rsid w:val="00F5052E"/>
    <w:rsid w:val="00F634B4"/>
    <w:rsid w:val="00F65397"/>
    <w:rsid w:val="00F8445E"/>
    <w:rsid w:val="00F97610"/>
    <w:rsid w:val="00FC5170"/>
    <w:rsid w:val="00FD3BD4"/>
    <w:rsid w:val="00FE1616"/>
    <w:rsid w:val="00FE7BFA"/>
    <w:rsid w:val="00FF2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50"/>
  </w:style>
  <w:style w:type="paragraph" w:styleId="Heading1">
    <w:name w:val="heading 1"/>
    <w:basedOn w:val="Normal"/>
    <w:next w:val="BodyText"/>
    <w:link w:val="Heading1Char"/>
    <w:qFormat/>
    <w:rsid w:val="008213A9"/>
    <w:pPr>
      <w:keepNext/>
      <w:pageBreakBefore/>
      <w:numPr>
        <w:numId w:val="10"/>
      </w:numPr>
      <w:spacing w:after="400" w:line="280" w:lineRule="atLeast"/>
      <w:outlineLvl w:val="0"/>
    </w:pPr>
    <w:rPr>
      <w:rFonts w:ascii="Arial" w:eastAsia="Times New Roman" w:hAnsi="Arial" w:cs="Arial"/>
      <w:b/>
      <w:kern w:val="28"/>
      <w:sz w:val="36"/>
      <w:szCs w:val="36"/>
      <w:lang w:eastAsia="en-AU"/>
    </w:rPr>
  </w:style>
  <w:style w:type="paragraph" w:styleId="Heading2">
    <w:name w:val="heading 2"/>
    <w:basedOn w:val="Normal"/>
    <w:next w:val="BodyText"/>
    <w:link w:val="Heading2Char"/>
    <w:qFormat/>
    <w:rsid w:val="008213A9"/>
    <w:pPr>
      <w:keepNext/>
      <w:spacing w:before="720" w:after="0" w:line="280" w:lineRule="atLeast"/>
      <w:outlineLvl w:val="1"/>
    </w:pPr>
    <w:rPr>
      <w:rFonts w:ascii="Arial" w:eastAsia="Times New Roman" w:hAnsi="Arial" w:cs="Arial"/>
      <w:b/>
      <w:sz w:val="28"/>
      <w:szCs w:val="28"/>
      <w:lang w:eastAsia="en-AU"/>
    </w:rPr>
  </w:style>
  <w:style w:type="paragraph" w:styleId="Heading3">
    <w:name w:val="heading 3"/>
    <w:basedOn w:val="Normal"/>
    <w:next w:val="BodyText"/>
    <w:link w:val="Heading3Char"/>
    <w:qFormat/>
    <w:rsid w:val="008213A9"/>
    <w:pPr>
      <w:keepNext/>
      <w:spacing w:before="400" w:after="0" w:line="280" w:lineRule="atLeast"/>
      <w:ind w:left="2268"/>
      <w:outlineLvl w:val="2"/>
    </w:pPr>
    <w:rPr>
      <w:rFonts w:ascii="Arial" w:eastAsia="Times New Roman" w:hAnsi="Arial" w:cs="Arial"/>
      <w:b/>
      <w:sz w:val="24"/>
      <w:szCs w:val="24"/>
      <w:lang w:eastAsia="en-AU"/>
    </w:rPr>
  </w:style>
  <w:style w:type="paragraph" w:styleId="Heading4">
    <w:name w:val="heading 4"/>
    <w:basedOn w:val="Normal"/>
    <w:next w:val="BodyText"/>
    <w:link w:val="Heading4Char"/>
    <w:qFormat/>
    <w:rsid w:val="008213A9"/>
    <w:pPr>
      <w:keepNext/>
      <w:spacing w:before="280" w:after="0" w:line="280" w:lineRule="atLeast"/>
      <w:ind w:left="2268"/>
      <w:outlineLvl w:val="3"/>
    </w:pPr>
    <w:rPr>
      <w:rFonts w:ascii="Arial" w:eastAsia="Times New Roman" w:hAnsi="Arial" w:cs="Arial"/>
      <w:b/>
      <w:sz w:val="20"/>
      <w:lang w:eastAsia="en-AU"/>
    </w:rPr>
  </w:style>
  <w:style w:type="paragraph" w:styleId="Heading5">
    <w:name w:val="heading 5"/>
    <w:basedOn w:val="Normal"/>
    <w:next w:val="BodyText"/>
    <w:link w:val="Heading5Char"/>
    <w:qFormat/>
    <w:rsid w:val="008213A9"/>
    <w:pPr>
      <w:keepNext/>
      <w:spacing w:before="280" w:after="0" w:line="280" w:lineRule="atLeast"/>
      <w:ind w:left="2268"/>
      <w:outlineLvl w:val="4"/>
    </w:pPr>
    <w:rPr>
      <w:rFonts w:ascii="Arial" w:eastAsia="Times New Roman" w:hAnsi="Arial" w:cs="Arial"/>
      <w:i/>
      <w:sz w:val="20"/>
      <w:szCs w:val="20"/>
      <w:lang w:eastAsia="en-AU"/>
    </w:rPr>
  </w:style>
  <w:style w:type="paragraph" w:styleId="Heading6">
    <w:name w:val="heading 6"/>
    <w:basedOn w:val="Normal"/>
    <w:next w:val="Bodytextplain"/>
    <w:link w:val="Heading6Char"/>
    <w:unhideWhenUsed/>
    <w:qFormat/>
    <w:rsid w:val="008213A9"/>
    <w:pPr>
      <w:keepNext/>
      <w:pageBreakBefore/>
      <w:spacing w:after="400" w:line="280" w:lineRule="atLeast"/>
      <w:outlineLvl w:val="5"/>
    </w:pPr>
    <w:rPr>
      <w:rFonts w:ascii="Arial" w:eastAsia="Times New Roman" w:hAnsi="Arial" w:cs="Arial"/>
      <w:b/>
      <w:kern w:val="28"/>
      <w:sz w:val="36"/>
      <w:szCs w:val="36"/>
      <w:lang w:eastAsia="en-AU"/>
    </w:rPr>
  </w:style>
  <w:style w:type="paragraph" w:styleId="Heading7">
    <w:name w:val="heading 7"/>
    <w:basedOn w:val="Normal"/>
    <w:next w:val="Bodytextplain"/>
    <w:link w:val="Heading7Char"/>
    <w:unhideWhenUsed/>
    <w:qFormat/>
    <w:rsid w:val="008213A9"/>
    <w:pPr>
      <w:spacing w:before="720" w:after="0" w:line="300" w:lineRule="atLeast"/>
      <w:outlineLvl w:val="6"/>
    </w:pPr>
    <w:rPr>
      <w:rFonts w:ascii="Arial" w:eastAsia="Times New Roman" w:hAnsi="Arial" w:cs="Arial"/>
      <w:b/>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6A5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023EA9"/>
    <w:rPr>
      <w:sz w:val="16"/>
      <w:szCs w:val="16"/>
    </w:rPr>
  </w:style>
  <w:style w:type="paragraph" w:styleId="CommentText">
    <w:name w:val="annotation text"/>
    <w:basedOn w:val="Normal"/>
    <w:link w:val="CommentTextChar"/>
    <w:semiHidden/>
    <w:unhideWhenUsed/>
    <w:rsid w:val="00023EA9"/>
    <w:pPr>
      <w:spacing w:line="240" w:lineRule="auto"/>
    </w:pPr>
    <w:rPr>
      <w:sz w:val="20"/>
      <w:szCs w:val="20"/>
    </w:rPr>
  </w:style>
  <w:style w:type="character" w:customStyle="1" w:styleId="CommentTextChar">
    <w:name w:val="Comment Text Char"/>
    <w:basedOn w:val="DefaultParagraphFont"/>
    <w:link w:val="CommentText"/>
    <w:semiHidden/>
    <w:rsid w:val="00023EA9"/>
    <w:rPr>
      <w:sz w:val="20"/>
      <w:szCs w:val="20"/>
    </w:rPr>
  </w:style>
  <w:style w:type="paragraph" w:styleId="CommentSubject">
    <w:name w:val="annotation subject"/>
    <w:basedOn w:val="CommentText"/>
    <w:next w:val="CommentText"/>
    <w:link w:val="CommentSubjectChar"/>
    <w:uiPriority w:val="99"/>
    <w:semiHidden/>
    <w:unhideWhenUsed/>
    <w:rsid w:val="00023EA9"/>
    <w:rPr>
      <w:b/>
      <w:bCs/>
    </w:rPr>
  </w:style>
  <w:style w:type="character" w:customStyle="1" w:styleId="CommentSubjectChar">
    <w:name w:val="Comment Subject Char"/>
    <w:basedOn w:val="CommentTextChar"/>
    <w:link w:val="CommentSubject"/>
    <w:rsid w:val="00023EA9"/>
    <w:rPr>
      <w:b/>
      <w:bCs/>
      <w:sz w:val="20"/>
      <w:szCs w:val="20"/>
    </w:rPr>
  </w:style>
  <w:style w:type="paragraph" w:styleId="BalloonText">
    <w:name w:val="Balloon Text"/>
    <w:basedOn w:val="Normal"/>
    <w:link w:val="BalloonTextChar"/>
    <w:semiHidden/>
    <w:unhideWhenUsed/>
    <w:rsid w:val="00023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A9"/>
    <w:rPr>
      <w:rFonts w:ascii="Tahoma" w:hAnsi="Tahoma" w:cs="Tahoma"/>
      <w:sz w:val="16"/>
      <w:szCs w:val="16"/>
    </w:rPr>
  </w:style>
  <w:style w:type="paragraph" w:styleId="Header">
    <w:name w:val="header"/>
    <w:basedOn w:val="Normal"/>
    <w:link w:val="HeaderChar"/>
    <w:unhideWhenUsed/>
    <w:rsid w:val="003F78BF"/>
    <w:pPr>
      <w:tabs>
        <w:tab w:val="center" w:pos="4513"/>
        <w:tab w:val="right" w:pos="9026"/>
      </w:tabs>
      <w:spacing w:after="0" w:line="240" w:lineRule="auto"/>
    </w:pPr>
  </w:style>
  <w:style w:type="character" w:customStyle="1" w:styleId="HeaderChar">
    <w:name w:val="Header Char"/>
    <w:basedOn w:val="DefaultParagraphFont"/>
    <w:link w:val="Header"/>
    <w:rsid w:val="003F78BF"/>
  </w:style>
  <w:style w:type="paragraph" w:styleId="Footer">
    <w:name w:val="footer"/>
    <w:basedOn w:val="Normal"/>
    <w:link w:val="FooterChar"/>
    <w:unhideWhenUsed/>
    <w:rsid w:val="003F78BF"/>
    <w:pPr>
      <w:tabs>
        <w:tab w:val="center" w:pos="4513"/>
        <w:tab w:val="right" w:pos="9026"/>
      </w:tabs>
      <w:spacing w:after="0" w:line="240" w:lineRule="auto"/>
    </w:pPr>
  </w:style>
  <w:style w:type="character" w:customStyle="1" w:styleId="FooterChar">
    <w:name w:val="Footer Char"/>
    <w:basedOn w:val="DefaultParagraphFont"/>
    <w:link w:val="Footer"/>
    <w:rsid w:val="003F78BF"/>
  </w:style>
  <w:style w:type="paragraph" w:styleId="Revision">
    <w:name w:val="Revision"/>
    <w:hidden/>
    <w:uiPriority w:val="99"/>
    <w:semiHidden/>
    <w:rsid w:val="00D6309D"/>
    <w:pPr>
      <w:spacing w:after="0" w:line="240" w:lineRule="auto"/>
    </w:pPr>
  </w:style>
  <w:style w:type="character" w:customStyle="1" w:styleId="Heading1Char">
    <w:name w:val="Heading 1 Char"/>
    <w:basedOn w:val="DefaultParagraphFont"/>
    <w:link w:val="Heading1"/>
    <w:rsid w:val="008213A9"/>
    <w:rPr>
      <w:rFonts w:ascii="Arial" w:eastAsia="Times New Roman" w:hAnsi="Arial" w:cs="Arial"/>
      <w:b/>
      <w:kern w:val="28"/>
      <w:sz w:val="36"/>
      <w:szCs w:val="36"/>
      <w:lang w:eastAsia="en-AU"/>
    </w:rPr>
  </w:style>
  <w:style w:type="character" w:customStyle="1" w:styleId="Heading2Char">
    <w:name w:val="Heading 2 Char"/>
    <w:basedOn w:val="DefaultParagraphFont"/>
    <w:link w:val="Heading2"/>
    <w:rsid w:val="008213A9"/>
    <w:rPr>
      <w:rFonts w:ascii="Arial" w:eastAsia="Times New Roman" w:hAnsi="Arial" w:cs="Arial"/>
      <w:b/>
      <w:sz w:val="28"/>
      <w:szCs w:val="28"/>
      <w:lang w:eastAsia="en-AU"/>
    </w:rPr>
  </w:style>
  <w:style w:type="character" w:customStyle="1" w:styleId="Heading3Char">
    <w:name w:val="Heading 3 Char"/>
    <w:basedOn w:val="DefaultParagraphFont"/>
    <w:link w:val="Heading3"/>
    <w:rsid w:val="008213A9"/>
    <w:rPr>
      <w:rFonts w:ascii="Arial" w:eastAsia="Times New Roman" w:hAnsi="Arial" w:cs="Arial"/>
      <w:b/>
      <w:sz w:val="24"/>
      <w:szCs w:val="24"/>
      <w:lang w:eastAsia="en-AU"/>
    </w:rPr>
  </w:style>
  <w:style w:type="character" w:customStyle="1" w:styleId="Heading4Char">
    <w:name w:val="Heading 4 Char"/>
    <w:basedOn w:val="DefaultParagraphFont"/>
    <w:link w:val="Heading4"/>
    <w:rsid w:val="008213A9"/>
    <w:rPr>
      <w:rFonts w:ascii="Arial" w:eastAsia="Times New Roman" w:hAnsi="Arial" w:cs="Arial"/>
      <w:b/>
      <w:sz w:val="20"/>
      <w:lang w:eastAsia="en-AU"/>
    </w:rPr>
  </w:style>
  <w:style w:type="character" w:customStyle="1" w:styleId="Heading5Char">
    <w:name w:val="Heading 5 Char"/>
    <w:basedOn w:val="DefaultParagraphFont"/>
    <w:link w:val="Heading5"/>
    <w:rsid w:val="008213A9"/>
    <w:rPr>
      <w:rFonts w:ascii="Arial" w:eastAsia="Times New Roman" w:hAnsi="Arial" w:cs="Arial"/>
      <w:i/>
      <w:sz w:val="20"/>
      <w:szCs w:val="20"/>
      <w:lang w:eastAsia="en-AU"/>
    </w:rPr>
  </w:style>
  <w:style w:type="character" w:customStyle="1" w:styleId="Heading6Char">
    <w:name w:val="Heading 6 Char"/>
    <w:basedOn w:val="DefaultParagraphFont"/>
    <w:link w:val="Heading6"/>
    <w:rsid w:val="008213A9"/>
    <w:rPr>
      <w:rFonts w:ascii="Arial" w:eastAsia="Times New Roman" w:hAnsi="Arial" w:cs="Arial"/>
      <w:b/>
      <w:kern w:val="28"/>
      <w:sz w:val="36"/>
      <w:szCs w:val="36"/>
      <w:lang w:eastAsia="en-AU"/>
    </w:rPr>
  </w:style>
  <w:style w:type="character" w:customStyle="1" w:styleId="Heading7Char">
    <w:name w:val="Heading 7 Char"/>
    <w:basedOn w:val="DefaultParagraphFont"/>
    <w:link w:val="Heading7"/>
    <w:rsid w:val="008213A9"/>
    <w:rPr>
      <w:rFonts w:ascii="Arial" w:eastAsia="Times New Roman" w:hAnsi="Arial" w:cs="Arial"/>
      <w:b/>
      <w:sz w:val="28"/>
      <w:szCs w:val="28"/>
      <w:lang w:eastAsia="en-AU"/>
    </w:rPr>
  </w:style>
  <w:style w:type="paragraph" w:styleId="BodyText">
    <w:name w:val="Body Text"/>
    <w:basedOn w:val="Normal"/>
    <w:link w:val="BodyTextChar"/>
    <w:rsid w:val="008213A9"/>
    <w:pPr>
      <w:numPr>
        <w:numId w:val="11"/>
      </w:numPr>
      <w:spacing w:before="200" w:after="0" w:line="300" w:lineRule="atLeast"/>
    </w:pPr>
    <w:rPr>
      <w:rFonts w:ascii="Times New Roman" w:eastAsia="Times New Roman" w:hAnsi="Times New Roman" w:cs="Times New Roman"/>
      <w:lang w:eastAsia="en-AU"/>
    </w:rPr>
  </w:style>
  <w:style w:type="character" w:customStyle="1" w:styleId="BodyTextChar">
    <w:name w:val="Body Text Char"/>
    <w:basedOn w:val="DefaultParagraphFont"/>
    <w:link w:val="BodyText"/>
    <w:rsid w:val="008213A9"/>
    <w:rPr>
      <w:rFonts w:ascii="Times New Roman" w:eastAsia="Times New Roman" w:hAnsi="Times New Roman" w:cs="Times New Roman"/>
      <w:lang w:eastAsia="en-AU"/>
    </w:rPr>
  </w:style>
  <w:style w:type="paragraph" w:customStyle="1" w:styleId="sourcenotefullwidth">
    <w:name w:val="source note full width"/>
    <w:rsid w:val="008213A9"/>
    <w:pPr>
      <w:spacing w:before="120" w:after="0" w:line="240" w:lineRule="auto"/>
    </w:pPr>
    <w:rPr>
      <w:rFonts w:ascii="Arial" w:eastAsia="Times New Roman" w:hAnsi="Arial" w:cs="Times New Roman"/>
      <w:sz w:val="16"/>
      <w:lang w:eastAsia="en-AU"/>
    </w:rPr>
  </w:style>
  <w:style w:type="character" w:styleId="PageNumber">
    <w:name w:val="page number"/>
    <w:basedOn w:val="DefaultParagraphFont"/>
    <w:rsid w:val="008213A9"/>
    <w:rPr>
      <w:b/>
      <w:sz w:val="20"/>
    </w:rPr>
  </w:style>
  <w:style w:type="paragraph" w:styleId="ListBullet">
    <w:name w:val="List Bullet"/>
    <w:basedOn w:val="Normal"/>
    <w:rsid w:val="008213A9"/>
    <w:pPr>
      <w:numPr>
        <w:numId w:val="7"/>
      </w:numPr>
      <w:tabs>
        <w:tab w:val="clear" w:pos="1418"/>
        <w:tab w:val="num" w:pos="2694"/>
      </w:tabs>
      <w:spacing w:before="100" w:after="0" w:line="300" w:lineRule="atLeast"/>
      <w:ind w:left="2693" w:hanging="425"/>
    </w:pPr>
    <w:rPr>
      <w:rFonts w:ascii="Times New Roman" w:eastAsia="Times New Roman" w:hAnsi="Times New Roman" w:cs="Times New Roman"/>
      <w:lang w:eastAsia="en-AU"/>
    </w:rPr>
  </w:style>
  <w:style w:type="paragraph" w:customStyle="1" w:styleId="listsubnumber">
    <w:name w:val="list sub number"/>
    <w:basedOn w:val="ListNumber1"/>
    <w:rsid w:val="008213A9"/>
    <w:pPr>
      <w:numPr>
        <w:ilvl w:val="1"/>
      </w:numPr>
      <w:tabs>
        <w:tab w:val="clear" w:pos="3119"/>
        <w:tab w:val="num" w:pos="2693"/>
      </w:tabs>
      <w:ind w:left="2693" w:hanging="425"/>
    </w:pPr>
  </w:style>
  <w:style w:type="paragraph" w:customStyle="1" w:styleId="ListNumber1">
    <w:name w:val="List Number1"/>
    <w:basedOn w:val="Normal"/>
    <w:rsid w:val="008213A9"/>
    <w:pPr>
      <w:numPr>
        <w:numId w:val="4"/>
      </w:numPr>
      <w:spacing w:before="100" w:after="0" w:line="300" w:lineRule="atLeast"/>
    </w:pPr>
    <w:rPr>
      <w:rFonts w:ascii="Times New Roman" w:eastAsia="Times New Roman" w:hAnsi="Times New Roman" w:cs="Times New Roman"/>
      <w:szCs w:val="24"/>
      <w:lang w:eastAsia="en-AU"/>
    </w:rPr>
  </w:style>
  <w:style w:type="paragraph" w:customStyle="1" w:styleId="figuretitleindented">
    <w:name w:val="figure title indented"/>
    <w:basedOn w:val="figuretitlefullwidth"/>
    <w:rsid w:val="008213A9"/>
    <w:pPr>
      <w:ind w:left="3260"/>
    </w:pPr>
  </w:style>
  <w:style w:type="paragraph" w:customStyle="1" w:styleId="figuretitlefullwidth">
    <w:name w:val="figure title full width"/>
    <w:basedOn w:val="tabletitlefullwidth"/>
    <w:next w:val="figuretext"/>
    <w:rsid w:val="008213A9"/>
    <w:rPr>
      <w:szCs w:val="22"/>
    </w:rPr>
  </w:style>
  <w:style w:type="paragraph" w:customStyle="1" w:styleId="tabletitlefullwidth">
    <w:name w:val="table title full width"/>
    <w:basedOn w:val="Normal"/>
    <w:rsid w:val="008213A9"/>
    <w:pPr>
      <w:keepNext/>
      <w:spacing w:before="360" w:after="120" w:line="240" w:lineRule="atLeast"/>
      <w:ind w:left="992" w:hanging="992"/>
    </w:pPr>
    <w:rPr>
      <w:rFonts w:ascii="Arial" w:eastAsia="Times New Roman" w:hAnsi="Arial" w:cs="Arial"/>
      <w:b/>
      <w:sz w:val="20"/>
      <w:szCs w:val="20"/>
      <w:lang w:eastAsia="en-AU"/>
    </w:rPr>
  </w:style>
  <w:style w:type="paragraph" w:customStyle="1" w:styleId="figuretext">
    <w:name w:val="figure text"/>
    <w:basedOn w:val="Normal"/>
    <w:rsid w:val="008213A9"/>
    <w:pPr>
      <w:widowControl w:val="0"/>
      <w:spacing w:after="0" w:line="240" w:lineRule="atLeast"/>
    </w:pPr>
    <w:rPr>
      <w:rFonts w:ascii="Arial" w:eastAsia="Times New Roman" w:hAnsi="Arial" w:cs="Arial"/>
      <w:sz w:val="18"/>
      <w:szCs w:val="18"/>
      <w:lang w:eastAsia="en-AU"/>
    </w:rPr>
  </w:style>
  <w:style w:type="paragraph" w:customStyle="1" w:styleId="tbltext">
    <w:name w:val="tbl text"/>
    <w:basedOn w:val="Bodytextplain"/>
    <w:rsid w:val="008213A9"/>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8213A9"/>
    <w:pPr>
      <w:numPr>
        <w:numId w:val="0"/>
      </w:numPr>
      <w:ind w:left="2268"/>
    </w:pPr>
  </w:style>
  <w:style w:type="paragraph" w:customStyle="1" w:styleId="tablehead">
    <w:name w:val="table head"/>
    <w:basedOn w:val="Normal"/>
    <w:qFormat/>
    <w:rsid w:val="008213A9"/>
    <w:pPr>
      <w:keepNext/>
      <w:spacing w:before="120" w:after="0" w:line="240" w:lineRule="atLeast"/>
    </w:pPr>
    <w:rPr>
      <w:rFonts w:ascii="Arial" w:eastAsia="Times New Roman" w:hAnsi="Arial" w:cs="Arial"/>
      <w:b/>
      <w:sz w:val="18"/>
      <w:szCs w:val="18"/>
      <w:lang w:eastAsia="en-AU"/>
    </w:rPr>
  </w:style>
  <w:style w:type="paragraph" w:styleId="ListBullet2">
    <w:name w:val="List Bullet 2"/>
    <w:basedOn w:val="Normal"/>
    <w:rsid w:val="008213A9"/>
    <w:pPr>
      <w:numPr>
        <w:numId w:val="14"/>
      </w:numPr>
      <w:tabs>
        <w:tab w:val="clear" w:pos="851"/>
        <w:tab w:val="left" w:pos="3119"/>
      </w:tabs>
      <w:spacing w:before="100" w:after="0" w:line="300" w:lineRule="atLeast"/>
      <w:ind w:left="3118" w:hanging="425"/>
    </w:pPr>
    <w:rPr>
      <w:rFonts w:ascii="Times New Roman" w:eastAsia="Times New Roman" w:hAnsi="Times New Roman" w:cs="Times New Roman"/>
      <w:szCs w:val="20"/>
      <w:lang w:eastAsia="en-AU"/>
    </w:rPr>
  </w:style>
  <w:style w:type="character" w:styleId="Hyperlink">
    <w:name w:val="Hyperlink"/>
    <w:basedOn w:val="DefaultParagraphFont"/>
    <w:uiPriority w:val="99"/>
    <w:rsid w:val="008213A9"/>
    <w:rPr>
      <w:color w:val="0000FF"/>
      <w:u w:val="single"/>
    </w:rPr>
  </w:style>
  <w:style w:type="paragraph" w:customStyle="1" w:styleId="tablebullet">
    <w:name w:val="table bullet"/>
    <w:basedOn w:val="Normal"/>
    <w:rsid w:val="008213A9"/>
    <w:pPr>
      <w:widowControl w:val="0"/>
      <w:numPr>
        <w:numId w:val="5"/>
      </w:numPr>
      <w:spacing w:before="60" w:after="0" w:line="240" w:lineRule="atLeast"/>
    </w:pPr>
    <w:rPr>
      <w:rFonts w:ascii="Arial" w:eastAsia="Times New Roman" w:hAnsi="Arial" w:cs="Arial"/>
      <w:sz w:val="18"/>
      <w:szCs w:val="18"/>
      <w:lang w:eastAsia="en-AU"/>
    </w:rPr>
  </w:style>
  <w:style w:type="paragraph" w:styleId="FootnoteText">
    <w:name w:val="footnote text"/>
    <w:basedOn w:val="Normal"/>
    <w:link w:val="FootnoteTextChar"/>
    <w:semiHidden/>
    <w:rsid w:val="008213A9"/>
    <w:pPr>
      <w:spacing w:after="0" w:line="240" w:lineRule="auto"/>
    </w:pPr>
    <w:rPr>
      <w:rFonts w:ascii="Times New Roman" w:eastAsia="Times New Roman" w:hAnsi="Times New Roman" w:cs="Times New Roman"/>
      <w:sz w:val="18"/>
      <w:szCs w:val="20"/>
      <w:lang w:eastAsia="en-AU"/>
    </w:rPr>
  </w:style>
  <w:style w:type="character" w:customStyle="1" w:styleId="FootnoteTextChar">
    <w:name w:val="Footnote Text Char"/>
    <w:basedOn w:val="DefaultParagraphFont"/>
    <w:link w:val="FootnoteText"/>
    <w:semiHidden/>
    <w:rsid w:val="008213A9"/>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8213A9"/>
    <w:rPr>
      <w:vertAlign w:val="superscript"/>
    </w:rPr>
  </w:style>
  <w:style w:type="paragraph" w:styleId="TOC1">
    <w:name w:val="toc 1"/>
    <w:basedOn w:val="Normal"/>
    <w:next w:val="Normal"/>
    <w:autoRedefine/>
    <w:uiPriority w:val="39"/>
    <w:rsid w:val="008213A9"/>
    <w:pPr>
      <w:tabs>
        <w:tab w:val="left" w:pos="2694"/>
        <w:tab w:val="right" w:leader="dot" w:pos="9072"/>
      </w:tabs>
      <w:spacing w:before="100" w:after="0" w:line="240" w:lineRule="auto"/>
      <w:ind w:left="2694" w:right="284" w:hanging="425"/>
    </w:pPr>
    <w:rPr>
      <w:rFonts w:ascii="Arial" w:eastAsia="Times New Roman" w:hAnsi="Arial" w:cs="Arial"/>
      <w:b/>
      <w:noProof/>
      <w:sz w:val="20"/>
      <w:szCs w:val="20"/>
      <w:lang w:eastAsia="en-AU"/>
    </w:rPr>
  </w:style>
  <w:style w:type="paragraph" w:styleId="TOC2">
    <w:name w:val="toc 2"/>
    <w:basedOn w:val="Normal"/>
    <w:next w:val="Normal"/>
    <w:autoRedefine/>
    <w:uiPriority w:val="39"/>
    <w:rsid w:val="008213A9"/>
    <w:pPr>
      <w:tabs>
        <w:tab w:val="left" w:pos="2694"/>
        <w:tab w:val="right" w:leader="dot" w:pos="9072"/>
      </w:tabs>
      <w:spacing w:before="20" w:after="0" w:line="240" w:lineRule="auto"/>
      <w:ind w:left="2693" w:right="284" w:firstLine="1"/>
    </w:pPr>
    <w:rPr>
      <w:rFonts w:ascii="Arial" w:eastAsia="Times New Roman" w:hAnsi="Arial" w:cs="Arial"/>
      <w:noProof/>
      <w:sz w:val="20"/>
      <w:szCs w:val="20"/>
      <w:lang w:eastAsia="en-AU"/>
    </w:rPr>
  </w:style>
  <w:style w:type="paragraph" w:styleId="TOC3">
    <w:name w:val="toc 3"/>
    <w:basedOn w:val="Normal"/>
    <w:next w:val="Normal"/>
    <w:autoRedefine/>
    <w:semiHidden/>
    <w:rsid w:val="008213A9"/>
    <w:pPr>
      <w:tabs>
        <w:tab w:val="left" w:pos="3261"/>
        <w:tab w:val="right" w:leader="dot" w:pos="9072"/>
      </w:tabs>
      <w:spacing w:after="0" w:line="240" w:lineRule="auto"/>
      <w:ind w:left="3260" w:right="284" w:hanging="567"/>
    </w:pPr>
    <w:rPr>
      <w:rFonts w:ascii="Arial" w:eastAsia="Times New Roman" w:hAnsi="Arial" w:cs="Arial"/>
      <w:noProof/>
      <w:sz w:val="18"/>
      <w:szCs w:val="18"/>
      <w:lang w:eastAsia="en-AU"/>
    </w:rPr>
  </w:style>
  <w:style w:type="paragraph" w:styleId="TOC4">
    <w:name w:val="toc 4"/>
    <w:basedOn w:val="Normal"/>
    <w:next w:val="Normal"/>
    <w:autoRedefine/>
    <w:semiHidden/>
    <w:rsid w:val="008213A9"/>
    <w:pPr>
      <w:tabs>
        <w:tab w:val="right" w:leader="dot" w:pos="8364"/>
      </w:tabs>
      <w:spacing w:after="0" w:line="240" w:lineRule="auto"/>
      <w:ind w:left="1134" w:right="565"/>
    </w:pPr>
    <w:rPr>
      <w:rFonts w:ascii="Arial" w:eastAsia="Times New Roman" w:hAnsi="Arial" w:cs="Arial"/>
      <w:noProof/>
      <w:sz w:val="18"/>
      <w:szCs w:val="18"/>
      <w:lang w:val="en-ZW" w:eastAsia="en-AU"/>
    </w:rPr>
  </w:style>
  <w:style w:type="paragraph" w:customStyle="1" w:styleId="tabletitleindented">
    <w:name w:val="table title indented"/>
    <w:basedOn w:val="tabletitlefullwidth"/>
    <w:rsid w:val="008213A9"/>
    <w:pPr>
      <w:ind w:left="3260"/>
    </w:pPr>
  </w:style>
  <w:style w:type="paragraph" w:styleId="Caption">
    <w:name w:val="caption"/>
    <w:basedOn w:val="Normal"/>
    <w:next w:val="Normal"/>
    <w:qFormat/>
    <w:rsid w:val="008213A9"/>
    <w:pPr>
      <w:spacing w:before="120" w:after="120" w:line="240" w:lineRule="auto"/>
    </w:pPr>
    <w:rPr>
      <w:rFonts w:ascii="Times New Roman" w:eastAsia="Times New Roman" w:hAnsi="Times New Roman" w:cs="Times New Roman"/>
      <w:b/>
      <w:bCs/>
      <w:sz w:val="20"/>
      <w:szCs w:val="20"/>
      <w:lang w:eastAsia="en-AU"/>
    </w:rPr>
  </w:style>
  <w:style w:type="paragraph" w:customStyle="1" w:styleId="tabledash">
    <w:name w:val="table dash"/>
    <w:basedOn w:val="tablebullet"/>
    <w:rsid w:val="008213A9"/>
    <w:pPr>
      <w:numPr>
        <w:numId w:val="8"/>
      </w:numPr>
    </w:pPr>
  </w:style>
  <w:style w:type="paragraph" w:customStyle="1" w:styleId="Tablebody">
    <w:name w:val="Table body"/>
    <w:basedOn w:val="Normal"/>
    <w:semiHidden/>
    <w:rsid w:val="008213A9"/>
    <w:pPr>
      <w:overflowPunct w:val="0"/>
      <w:autoSpaceDE w:val="0"/>
      <w:autoSpaceDN w:val="0"/>
      <w:adjustRightInd w:val="0"/>
      <w:spacing w:before="40" w:after="120" w:line="260" w:lineRule="atLeast"/>
      <w:textAlignment w:val="baseline"/>
    </w:pPr>
    <w:rPr>
      <w:rFonts w:ascii="Arial" w:eastAsia="Times New Roman" w:hAnsi="Arial" w:cs="Arial"/>
      <w:sz w:val="20"/>
      <w:szCs w:val="20"/>
    </w:rPr>
  </w:style>
  <w:style w:type="paragraph" w:customStyle="1" w:styleId="KPbold">
    <w:name w:val="KP bold"/>
    <w:basedOn w:val="KPhead"/>
    <w:next w:val="Normal"/>
    <w:rsid w:val="008213A9"/>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8213A9"/>
    <w:pPr>
      <w:keepNext/>
      <w:pBdr>
        <w:top w:val="single" w:sz="6" w:space="1" w:color="117DC7"/>
        <w:left w:val="single" w:sz="6" w:space="4" w:color="117DC7"/>
        <w:bottom w:val="single" w:sz="6" w:space="3" w:color="117DC7"/>
        <w:right w:val="single" w:sz="6" w:space="4" w:color="117DC7"/>
      </w:pBdr>
      <w:shd w:val="clear" w:color="auto" w:fill="117DC7"/>
      <w:spacing w:before="720" w:after="0" w:line="240" w:lineRule="auto"/>
      <w:ind w:left="2381" w:right="5613"/>
    </w:pPr>
    <w:rPr>
      <w:rFonts w:ascii="Arial" w:eastAsia="Times New Roman" w:hAnsi="Arial" w:cs="Arial"/>
      <w:b/>
      <w:color w:val="FFFFFF"/>
      <w:sz w:val="20"/>
      <w:szCs w:val="20"/>
      <w:lang w:eastAsia="en-AU"/>
    </w:rPr>
  </w:style>
  <w:style w:type="paragraph" w:customStyle="1" w:styleId="KPtext">
    <w:name w:val="KP text"/>
    <w:basedOn w:val="KPbold"/>
    <w:rsid w:val="008213A9"/>
    <w:rPr>
      <w:b w:val="0"/>
    </w:rPr>
  </w:style>
  <w:style w:type="paragraph" w:customStyle="1" w:styleId="KPbullet">
    <w:name w:val="KP bullet"/>
    <w:basedOn w:val="KPtext"/>
    <w:rsid w:val="008213A9"/>
    <w:pPr>
      <w:numPr>
        <w:numId w:val="9"/>
      </w:numPr>
      <w:tabs>
        <w:tab w:val="clear" w:pos="2807"/>
        <w:tab w:val="left" w:pos="2665"/>
      </w:tabs>
      <w:spacing w:before="100"/>
      <w:ind w:left="2665" w:hanging="284"/>
    </w:pPr>
  </w:style>
  <w:style w:type="paragraph" w:customStyle="1" w:styleId="Note">
    <w:name w:val="Note"/>
    <w:basedOn w:val="BodyText"/>
    <w:next w:val="BodyText"/>
    <w:rsid w:val="008213A9"/>
    <w:pPr>
      <w:numPr>
        <w:numId w:val="0"/>
      </w:numPr>
      <w:spacing w:line="240" w:lineRule="atLeast"/>
      <w:ind w:left="2693"/>
    </w:pPr>
    <w:rPr>
      <w:sz w:val="18"/>
    </w:rPr>
  </w:style>
  <w:style w:type="paragraph" w:customStyle="1" w:styleId="subparaa">
    <w:name w:val="sub para (a)"/>
    <w:basedOn w:val="BodyText"/>
    <w:rsid w:val="008213A9"/>
    <w:pPr>
      <w:numPr>
        <w:ilvl w:val="1"/>
      </w:numPr>
      <w:spacing w:before="100"/>
    </w:pPr>
  </w:style>
  <w:style w:type="paragraph" w:customStyle="1" w:styleId="Feedbackhead">
    <w:name w:val="Feedback head"/>
    <w:basedOn w:val="KPhead"/>
    <w:next w:val="Feedbackquestion"/>
    <w:rsid w:val="008213A9"/>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8213A9"/>
    <w:pPr>
      <w:keepNext w:val="0"/>
      <w:keepLines/>
      <w:numPr>
        <w:ilvl w:val="4"/>
        <w:numId w:val="10"/>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8213A9"/>
    <w:pPr>
      <w:numPr>
        <w:ilvl w:val="5"/>
      </w:numPr>
    </w:pPr>
  </w:style>
  <w:style w:type="paragraph" w:customStyle="1" w:styleId="subsubparai">
    <w:name w:val="sub sub para (i)"/>
    <w:basedOn w:val="subparaa"/>
    <w:rsid w:val="008213A9"/>
    <w:pPr>
      <w:numPr>
        <w:ilvl w:val="2"/>
      </w:numPr>
    </w:pPr>
  </w:style>
  <w:style w:type="paragraph" w:customStyle="1" w:styleId="DescriptorRG">
    <w:name w:val="Descriptor RG"/>
    <w:basedOn w:val="Normal"/>
    <w:next w:val="Normal"/>
    <w:rsid w:val="008213A9"/>
    <w:pPr>
      <w:pBdr>
        <w:top w:val="single" w:sz="4" w:space="4" w:color="117DC7"/>
        <w:left w:val="single" w:sz="4" w:space="4" w:color="117DC7"/>
        <w:bottom w:val="single" w:sz="4" w:space="4" w:color="117DC7"/>
        <w:right w:val="single" w:sz="4" w:space="4" w:color="117DC7"/>
      </w:pBdr>
      <w:shd w:val="clear" w:color="auto" w:fill="117DC7"/>
      <w:spacing w:before="960" w:after="240" w:line="240" w:lineRule="auto"/>
      <w:ind w:left="2268"/>
    </w:pPr>
    <w:rPr>
      <w:rFonts w:ascii="Arial" w:eastAsia="Times New Roman" w:hAnsi="Arial" w:cs="Arial"/>
      <w:caps/>
      <w:color w:val="FFFFFF"/>
      <w:sz w:val="28"/>
      <w:szCs w:val="28"/>
      <w:lang w:eastAsia="en-AU"/>
    </w:rPr>
  </w:style>
  <w:style w:type="paragraph" w:customStyle="1" w:styleId="DescriptorCP">
    <w:name w:val="Descriptor CP"/>
    <w:basedOn w:val="DescriptorRG"/>
    <w:next w:val="Normal"/>
    <w:rsid w:val="008213A9"/>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8213A9"/>
    <w:pPr>
      <w:spacing w:line="260" w:lineRule="atLeast"/>
    </w:pPr>
    <w:rPr>
      <w:rFonts w:ascii="Arial" w:hAnsi="Arial" w:cs="Arial"/>
      <w:sz w:val="20"/>
      <w:szCs w:val="20"/>
    </w:rPr>
  </w:style>
  <w:style w:type="paragraph" w:customStyle="1" w:styleId="Frontbullet">
    <w:name w:val="Front bullet"/>
    <w:basedOn w:val="Fronttext"/>
    <w:rsid w:val="008213A9"/>
    <w:pPr>
      <w:numPr>
        <w:ilvl w:val="5"/>
        <w:numId w:val="13"/>
      </w:numPr>
      <w:spacing w:before="120"/>
    </w:pPr>
  </w:style>
  <w:style w:type="paragraph" w:customStyle="1" w:styleId="Frontheading">
    <w:name w:val="Front heading"/>
    <w:basedOn w:val="Heading3"/>
    <w:next w:val="Fronttext"/>
    <w:rsid w:val="008213A9"/>
  </w:style>
  <w:style w:type="paragraph" w:customStyle="1" w:styleId="Blockquote">
    <w:name w:val="Block quote"/>
    <w:basedOn w:val="Bodytextplain"/>
    <w:rsid w:val="008213A9"/>
    <w:pPr>
      <w:spacing w:before="100" w:line="240" w:lineRule="auto"/>
      <w:ind w:left="2693"/>
    </w:pPr>
    <w:rPr>
      <w:sz w:val="21"/>
      <w:szCs w:val="21"/>
    </w:rPr>
  </w:style>
  <w:style w:type="paragraph" w:customStyle="1" w:styleId="Proposalhead">
    <w:name w:val="Proposal head"/>
    <w:basedOn w:val="Bodytextplain"/>
    <w:next w:val="Proposaltext"/>
    <w:rsid w:val="008213A9"/>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8213A9"/>
    <w:pPr>
      <w:numPr>
        <w:ilvl w:val="1"/>
        <w:numId w:val="10"/>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8213A9"/>
    <w:pPr>
      <w:numPr>
        <w:ilvl w:val="2"/>
      </w:numPr>
      <w:spacing w:before="100"/>
    </w:pPr>
  </w:style>
  <w:style w:type="paragraph" w:customStyle="1" w:styleId="Proposalsubsubpara">
    <w:name w:val="Proposal sub sub para"/>
    <w:basedOn w:val="Proposaltext"/>
    <w:rsid w:val="008213A9"/>
    <w:pPr>
      <w:numPr>
        <w:ilvl w:val="3"/>
      </w:numPr>
      <w:spacing w:before="100"/>
    </w:pPr>
  </w:style>
  <w:style w:type="paragraph" w:customStyle="1" w:styleId="Proposalnote">
    <w:name w:val="Proposal note"/>
    <w:basedOn w:val="Note"/>
    <w:rsid w:val="008213A9"/>
    <w:pPr>
      <w:spacing w:before="100"/>
      <w:ind w:left="3119"/>
    </w:pPr>
    <w:rPr>
      <w:rFonts w:ascii="Arial" w:hAnsi="Arial" w:cs="Arial"/>
      <w:sz w:val="16"/>
      <w:szCs w:val="16"/>
    </w:rPr>
  </w:style>
  <w:style w:type="paragraph" w:customStyle="1" w:styleId="boxbullet">
    <w:name w:val="box bullet"/>
    <w:basedOn w:val="Frontbullet"/>
    <w:rsid w:val="008213A9"/>
    <w:pPr>
      <w:numPr>
        <w:ilvl w:val="0"/>
        <w:numId w:val="15"/>
      </w:numPr>
      <w:spacing w:before="60"/>
    </w:pPr>
  </w:style>
  <w:style w:type="paragraph" w:customStyle="1" w:styleId="boxtext">
    <w:name w:val="box text"/>
    <w:basedOn w:val="Fronttext"/>
    <w:rsid w:val="008213A9"/>
    <w:pPr>
      <w:spacing w:before="120"/>
      <w:ind w:left="0"/>
    </w:pPr>
  </w:style>
  <w:style w:type="paragraph" w:customStyle="1" w:styleId="sub3paraA">
    <w:name w:val="sub3para (A)"/>
    <w:basedOn w:val="subsubparai"/>
    <w:qFormat/>
    <w:rsid w:val="008213A9"/>
    <w:pPr>
      <w:numPr>
        <w:ilvl w:val="3"/>
      </w:numPr>
    </w:pPr>
  </w:style>
  <w:style w:type="paragraph" w:customStyle="1" w:styleId="sub4paraI">
    <w:name w:val="sub4para (I)"/>
    <w:basedOn w:val="subsubparai"/>
    <w:qFormat/>
    <w:rsid w:val="008213A9"/>
    <w:pPr>
      <w:numPr>
        <w:ilvl w:val="4"/>
      </w:numPr>
    </w:pPr>
  </w:style>
  <w:style w:type="paragraph" w:customStyle="1" w:styleId="Feedbacksubsubquestion">
    <w:name w:val="Feedback subsubquestion"/>
    <w:basedOn w:val="Feedbacksubquestion"/>
    <w:qFormat/>
    <w:rsid w:val="008213A9"/>
    <w:pPr>
      <w:numPr>
        <w:ilvl w:val="6"/>
      </w:numPr>
    </w:pPr>
  </w:style>
  <w:style w:type="paragraph" w:customStyle="1" w:styleId="sourcenoteindented">
    <w:name w:val="source note indented"/>
    <w:basedOn w:val="sourcenotefullwidth"/>
    <w:qFormat/>
    <w:rsid w:val="008213A9"/>
    <w:pPr>
      <w:ind w:left="2268"/>
    </w:pPr>
  </w:style>
  <w:style w:type="paragraph" w:customStyle="1" w:styleId="tblnote">
    <w:name w:val="tbl note"/>
    <w:basedOn w:val="sourcenotefullwidth"/>
    <w:next w:val="tbltext"/>
    <w:qFormat/>
    <w:rsid w:val="008213A9"/>
    <w:pPr>
      <w:ind w:left="425"/>
    </w:pPr>
  </w:style>
  <w:style w:type="paragraph" w:customStyle="1" w:styleId="tblProposalsubpara">
    <w:name w:val="tbl Proposal sub para"/>
    <w:basedOn w:val="tbltext"/>
    <w:qFormat/>
    <w:rsid w:val="008213A9"/>
    <w:pPr>
      <w:ind w:left="885" w:hanging="425"/>
    </w:pPr>
  </w:style>
  <w:style w:type="paragraph" w:customStyle="1" w:styleId="tblProposalsubsubpara">
    <w:name w:val="tbl Proposal sub sub para"/>
    <w:basedOn w:val="tbltext"/>
    <w:qFormat/>
    <w:rsid w:val="008213A9"/>
    <w:pPr>
      <w:ind w:left="1310" w:hanging="425"/>
    </w:pPr>
  </w:style>
  <w:style w:type="paragraph" w:customStyle="1" w:styleId="tblProposaltext">
    <w:name w:val="tbl Proposal text"/>
    <w:basedOn w:val="tbltext"/>
    <w:qFormat/>
    <w:rsid w:val="008213A9"/>
    <w:pPr>
      <w:ind w:left="425" w:hanging="425"/>
    </w:pPr>
  </w:style>
  <w:style w:type="paragraph" w:customStyle="1" w:styleId="tblProposaltextnonumber">
    <w:name w:val="tbl Proposal text no number"/>
    <w:basedOn w:val="tbltext"/>
    <w:qFormat/>
    <w:rsid w:val="008213A9"/>
    <w:pPr>
      <w:ind w:left="425"/>
    </w:pPr>
  </w:style>
  <w:style w:type="paragraph" w:customStyle="1" w:styleId="tblFeedbackquestion">
    <w:name w:val="tbl Feedback question"/>
    <w:basedOn w:val="Proposaltext"/>
    <w:qFormat/>
    <w:rsid w:val="008213A9"/>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8213A9"/>
    <w:rPr>
      <w:sz w:val="16"/>
      <w:szCs w:val="16"/>
    </w:rPr>
  </w:style>
  <w:style w:type="paragraph" w:customStyle="1" w:styleId="tblFeedbacksubquestion">
    <w:name w:val="tbl Feedback subquestion"/>
    <w:basedOn w:val="tblProposalsubpara"/>
    <w:rsid w:val="008213A9"/>
    <w:pPr>
      <w:ind w:left="964" w:hanging="340"/>
    </w:pPr>
  </w:style>
  <w:style w:type="paragraph" w:customStyle="1" w:styleId="tblFeedbacksubsubquestion">
    <w:name w:val="tbl Feedback subsubquestion"/>
    <w:basedOn w:val="tblProposalsubsubpara"/>
    <w:qFormat/>
    <w:rsid w:val="008213A9"/>
    <w:pPr>
      <w:ind w:left="1304" w:hanging="340"/>
    </w:pPr>
  </w:style>
  <w:style w:type="paragraph" w:customStyle="1" w:styleId="tabletext">
    <w:name w:val="table text"/>
    <w:basedOn w:val="tablehead"/>
    <w:rsid w:val="008213A9"/>
    <w:pPr>
      <w:keepNext w:val="0"/>
    </w:pPr>
    <w:rPr>
      <w:b w:val="0"/>
    </w:rPr>
  </w:style>
  <w:style w:type="paragraph" w:customStyle="1" w:styleId="RPG-BodyTextNumbered">
    <w:name w:val="RPG - Body Text (Numbered)"/>
    <w:basedOn w:val="Normal"/>
    <w:link w:val="RPG-BodyTextNumberedChar"/>
    <w:qFormat/>
    <w:rsid w:val="008213A9"/>
    <w:pPr>
      <w:numPr>
        <w:numId w:val="23"/>
      </w:numPr>
      <w:spacing w:before="200" w:after="0" w:line="240" w:lineRule="auto"/>
    </w:pPr>
    <w:rPr>
      <w:rFonts w:ascii="Times New Roman" w:eastAsia="Calibri" w:hAnsi="Times New Roman" w:cs="Times New Roman"/>
    </w:rPr>
  </w:style>
  <w:style w:type="paragraph" w:customStyle="1" w:styleId="RPG-SublistLevel1">
    <w:name w:val="RPG - Sublist Level 1"/>
    <w:basedOn w:val="RPG-BodyTextNumbered"/>
    <w:qFormat/>
    <w:rsid w:val="008213A9"/>
    <w:pPr>
      <w:numPr>
        <w:ilvl w:val="1"/>
      </w:numPr>
      <w:tabs>
        <w:tab w:val="clear" w:pos="1985"/>
        <w:tab w:val="num" w:pos="360"/>
        <w:tab w:val="num" w:pos="3119"/>
      </w:tabs>
      <w:spacing w:before="120"/>
      <w:ind w:left="3119" w:hanging="426"/>
    </w:pPr>
  </w:style>
  <w:style w:type="paragraph" w:customStyle="1" w:styleId="RPG-SublistLevel2">
    <w:name w:val="RPG - Sublist Level 2"/>
    <w:basedOn w:val="RPG-SublistLevel1"/>
    <w:qFormat/>
    <w:rsid w:val="008213A9"/>
    <w:pPr>
      <w:numPr>
        <w:ilvl w:val="2"/>
      </w:numPr>
      <w:tabs>
        <w:tab w:val="clear" w:pos="1701"/>
        <w:tab w:val="num" w:pos="360"/>
        <w:tab w:val="num" w:pos="4370"/>
      </w:tabs>
      <w:ind w:left="4370"/>
    </w:pPr>
  </w:style>
  <w:style w:type="character" w:customStyle="1" w:styleId="RPG-BodyTextNumberedChar">
    <w:name w:val="RPG - Body Text (Numbered) Char"/>
    <w:link w:val="RPG-BodyTextNumbered"/>
    <w:rsid w:val="008213A9"/>
    <w:rPr>
      <w:rFonts w:ascii="Times New Roman" w:eastAsia="Calibri" w:hAnsi="Times New Roman" w:cs="Times New Roman"/>
    </w:rPr>
  </w:style>
  <w:style w:type="paragraph" w:styleId="ListNumber">
    <w:name w:val="List Number"/>
    <w:basedOn w:val="Normal"/>
    <w:uiPriority w:val="99"/>
    <w:unhideWhenUsed/>
    <w:rsid w:val="008213A9"/>
    <w:pPr>
      <w:numPr>
        <w:numId w:val="29"/>
      </w:numPr>
      <w:spacing w:after="240" w:line="240" w:lineRule="auto"/>
      <w:contextualSpacing/>
    </w:pPr>
    <w:rPr>
      <w:rFonts w:ascii="Times New Roman" w:eastAsia="Times New Roman" w:hAnsi="Times New Roman" w:cs="Times New Roman"/>
      <w:szCs w:val="20"/>
      <w:lang w:eastAsia="en-AU"/>
    </w:rPr>
  </w:style>
  <w:style w:type="paragraph" w:customStyle="1" w:styleId="Tabletext0">
    <w:name w:val="Table text"/>
    <w:basedOn w:val="tablehead"/>
    <w:qFormat/>
    <w:rsid w:val="008213A9"/>
    <w:pPr>
      <w:keepNext w:val="0"/>
    </w:pPr>
    <w:rPr>
      <w:b w:val="0"/>
    </w:rPr>
  </w:style>
  <w:style w:type="paragraph" w:styleId="ListParagraph">
    <w:name w:val="List Paragraph"/>
    <w:basedOn w:val="Normal"/>
    <w:uiPriority w:val="34"/>
    <w:qFormat/>
    <w:rsid w:val="008213A9"/>
    <w:pPr>
      <w:spacing w:after="240" w:line="240" w:lineRule="auto"/>
      <w:ind w:left="720"/>
      <w:contextualSpacing/>
    </w:pPr>
    <w:rPr>
      <w:rFonts w:ascii="Times New Roman" w:eastAsia="Times New Roman" w:hAnsi="Times New Roman" w:cs="Times New Roman"/>
      <w:szCs w:val="20"/>
      <w:lang w:eastAsia="en-AU"/>
    </w:rPr>
  </w:style>
  <w:style w:type="paragraph" w:customStyle="1" w:styleId="Tabletitlefullwidth0">
    <w:name w:val="Table title full width"/>
    <w:basedOn w:val="Normal"/>
    <w:qFormat/>
    <w:rsid w:val="008213A9"/>
    <w:pPr>
      <w:keepNext/>
      <w:spacing w:before="360" w:after="120" w:line="240" w:lineRule="atLeast"/>
      <w:ind w:left="992" w:hanging="992"/>
    </w:pPr>
    <w:rPr>
      <w:rFonts w:ascii="Arial" w:eastAsia="Times New Roman" w:hAnsi="Arial" w:cs="Arial"/>
      <w:b/>
      <w:sz w:val="20"/>
      <w:szCs w:val="20"/>
      <w:lang w:eastAsia="en-AU"/>
    </w:rPr>
  </w:style>
  <w:style w:type="paragraph" w:customStyle="1" w:styleId="Tablefigurenotes">
    <w:name w:val="Table &amp; figure notes"/>
    <w:qFormat/>
    <w:rsid w:val="008213A9"/>
    <w:pPr>
      <w:spacing w:before="60" w:after="0" w:line="240" w:lineRule="auto"/>
      <w:ind w:left="720"/>
    </w:pPr>
    <w:rPr>
      <w:rFonts w:ascii="Arial" w:eastAsia="Times New Roman" w:hAnsi="Arial" w:cs="Times New Roman"/>
      <w:sz w:val="16"/>
      <w:lang w:eastAsia="en-AU"/>
    </w:rPr>
  </w:style>
  <w:style w:type="paragraph" w:customStyle="1" w:styleId="Bodytextnumbered">
    <w:name w:val="Body text numbered"/>
    <w:basedOn w:val="BodyText"/>
    <w:link w:val="BodytextnumberedChar"/>
    <w:qFormat/>
    <w:rsid w:val="008213A9"/>
    <w:pPr>
      <w:numPr>
        <w:numId w:val="0"/>
      </w:numPr>
      <w:tabs>
        <w:tab w:val="num" w:pos="851"/>
      </w:tabs>
      <w:spacing w:before="120" w:line="280" w:lineRule="atLeast"/>
      <w:ind w:left="851" w:hanging="851"/>
      <w:jc w:val="both"/>
    </w:pPr>
  </w:style>
  <w:style w:type="character" w:customStyle="1" w:styleId="BodytextnumberedChar">
    <w:name w:val="Body text numbered Char"/>
    <w:basedOn w:val="BodyTextChar"/>
    <w:link w:val="Bodytextnumbered"/>
    <w:rsid w:val="008213A9"/>
    <w:rPr>
      <w:rFonts w:ascii="Times New Roman" w:eastAsia="Times New Roman" w:hAnsi="Times New Roman" w:cs="Times New Roman"/>
      <w:lang w:eastAsia="en-AU"/>
    </w:rPr>
  </w:style>
  <w:style w:type="table" w:styleId="LightShading-Accent1">
    <w:name w:val="Light Shading Accent 1"/>
    <w:basedOn w:val="TableNormal"/>
    <w:uiPriority w:val="60"/>
    <w:rsid w:val="008213A9"/>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DD02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50"/>
  </w:style>
  <w:style w:type="paragraph" w:styleId="Heading1">
    <w:name w:val="heading 1"/>
    <w:basedOn w:val="Normal"/>
    <w:next w:val="BodyText"/>
    <w:link w:val="Heading1Char"/>
    <w:qFormat/>
    <w:rsid w:val="008213A9"/>
    <w:pPr>
      <w:keepNext/>
      <w:pageBreakBefore/>
      <w:numPr>
        <w:numId w:val="10"/>
      </w:numPr>
      <w:spacing w:after="400" w:line="280" w:lineRule="atLeast"/>
      <w:outlineLvl w:val="0"/>
    </w:pPr>
    <w:rPr>
      <w:rFonts w:ascii="Arial" w:eastAsia="Times New Roman" w:hAnsi="Arial" w:cs="Arial"/>
      <w:b/>
      <w:kern w:val="28"/>
      <w:sz w:val="36"/>
      <w:szCs w:val="36"/>
      <w:lang w:eastAsia="en-AU"/>
    </w:rPr>
  </w:style>
  <w:style w:type="paragraph" w:styleId="Heading2">
    <w:name w:val="heading 2"/>
    <w:basedOn w:val="Normal"/>
    <w:next w:val="BodyText"/>
    <w:link w:val="Heading2Char"/>
    <w:qFormat/>
    <w:rsid w:val="008213A9"/>
    <w:pPr>
      <w:keepNext/>
      <w:spacing w:before="720" w:after="0" w:line="280" w:lineRule="atLeast"/>
      <w:outlineLvl w:val="1"/>
    </w:pPr>
    <w:rPr>
      <w:rFonts w:ascii="Arial" w:eastAsia="Times New Roman" w:hAnsi="Arial" w:cs="Arial"/>
      <w:b/>
      <w:sz w:val="28"/>
      <w:szCs w:val="28"/>
      <w:lang w:eastAsia="en-AU"/>
    </w:rPr>
  </w:style>
  <w:style w:type="paragraph" w:styleId="Heading3">
    <w:name w:val="heading 3"/>
    <w:basedOn w:val="Normal"/>
    <w:next w:val="BodyText"/>
    <w:link w:val="Heading3Char"/>
    <w:qFormat/>
    <w:rsid w:val="008213A9"/>
    <w:pPr>
      <w:keepNext/>
      <w:spacing w:before="400" w:after="0" w:line="280" w:lineRule="atLeast"/>
      <w:ind w:left="2268"/>
      <w:outlineLvl w:val="2"/>
    </w:pPr>
    <w:rPr>
      <w:rFonts w:ascii="Arial" w:eastAsia="Times New Roman" w:hAnsi="Arial" w:cs="Arial"/>
      <w:b/>
      <w:sz w:val="24"/>
      <w:szCs w:val="24"/>
      <w:lang w:eastAsia="en-AU"/>
    </w:rPr>
  </w:style>
  <w:style w:type="paragraph" w:styleId="Heading4">
    <w:name w:val="heading 4"/>
    <w:basedOn w:val="Normal"/>
    <w:next w:val="BodyText"/>
    <w:link w:val="Heading4Char"/>
    <w:qFormat/>
    <w:rsid w:val="008213A9"/>
    <w:pPr>
      <w:keepNext/>
      <w:spacing w:before="280" w:after="0" w:line="280" w:lineRule="atLeast"/>
      <w:ind w:left="2268"/>
      <w:outlineLvl w:val="3"/>
    </w:pPr>
    <w:rPr>
      <w:rFonts w:ascii="Arial" w:eastAsia="Times New Roman" w:hAnsi="Arial" w:cs="Arial"/>
      <w:b/>
      <w:sz w:val="20"/>
      <w:lang w:eastAsia="en-AU"/>
    </w:rPr>
  </w:style>
  <w:style w:type="paragraph" w:styleId="Heading5">
    <w:name w:val="heading 5"/>
    <w:basedOn w:val="Normal"/>
    <w:next w:val="BodyText"/>
    <w:link w:val="Heading5Char"/>
    <w:qFormat/>
    <w:rsid w:val="008213A9"/>
    <w:pPr>
      <w:keepNext/>
      <w:spacing w:before="280" w:after="0" w:line="280" w:lineRule="atLeast"/>
      <w:ind w:left="2268"/>
      <w:outlineLvl w:val="4"/>
    </w:pPr>
    <w:rPr>
      <w:rFonts w:ascii="Arial" w:eastAsia="Times New Roman" w:hAnsi="Arial" w:cs="Arial"/>
      <w:i/>
      <w:sz w:val="20"/>
      <w:szCs w:val="20"/>
      <w:lang w:eastAsia="en-AU"/>
    </w:rPr>
  </w:style>
  <w:style w:type="paragraph" w:styleId="Heading6">
    <w:name w:val="heading 6"/>
    <w:basedOn w:val="Normal"/>
    <w:next w:val="Bodytextplain"/>
    <w:link w:val="Heading6Char"/>
    <w:unhideWhenUsed/>
    <w:qFormat/>
    <w:rsid w:val="008213A9"/>
    <w:pPr>
      <w:keepNext/>
      <w:pageBreakBefore/>
      <w:spacing w:after="400" w:line="280" w:lineRule="atLeast"/>
      <w:outlineLvl w:val="5"/>
    </w:pPr>
    <w:rPr>
      <w:rFonts w:ascii="Arial" w:eastAsia="Times New Roman" w:hAnsi="Arial" w:cs="Arial"/>
      <w:b/>
      <w:kern w:val="28"/>
      <w:sz w:val="36"/>
      <w:szCs w:val="36"/>
      <w:lang w:eastAsia="en-AU"/>
    </w:rPr>
  </w:style>
  <w:style w:type="paragraph" w:styleId="Heading7">
    <w:name w:val="heading 7"/>
    <w:basedOn w:val="Normal"/>
    <w:next w:val="Bodytextplain"/>
    <w:link w:val="Heading7Char"/>
    <w:unhideWhenUsed/>
    <w:qFormat/>
    <w:rsid w:val="008213A9"/>
    <w:pPr>
      <w:spacing w:before="720" w:after="0" w:line="300" w:lineRule="atLeast"/>
      <w:outlineLvl w:val="6"/>
    </w:pPr>
    <w:rPr>
      <w:rFonts w:ascii="Arial" w:eastAsia="Times New Roman" w:hAnsi="Arial" w:cs="Arial"/>
      <w:b/>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6A5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023EA9"/>
    <w:rPr>
      <w:sz w:val="16"/>
      <w:szCs w:val="16"/>
    </w:rPr>
  </w:style>
  <w:style w:type="paragraph" w:styleId="CommentText">
    <w:name w:val="annotation text"/>
    <w:basedOn w:val="Normal"/>
    <w:link w:val="CommentTextChar"/>
    <w:semiHidden/>
    <w:unhideWhenUsed/>
    <w:rsid w:val="00023EA9"/>
    <w:pPr>
      <w:spacing w:line="240" w:lineRule="auto"/>
    </w:pPr>
    <w:rPr>
      <w:sz w:val="20"/>
      <w:szCs w:val="20"/>
    </w:rPr>
  </w:style>
  <w:style w:type="character" w:customStyle="1" w:styleId="CommentTextChar">
    <w:name w:val="Comment Text Char"/>
    <w:basedOn w:val="DefaultParagraphFont"/>
    <w:link w:val="CommentText"/>
    <w:semiHidden/>
    <w:rsid w:val="00023EA9"/>
    <w:rPr>
      <w:sz w:val="20"/>
      <w:szCs w:val="20"/>
    </w:rPr>
  </w:style>
  <w:style w:type="paragraph" w:styleId="CommentSubject">
    <w:name w:val="annotation subject"/>
    <w:basedOn w:val="CommentText"/>
    <w:next w:val="CommentText"/>
    <w:link w:val="CommentSubjectChar"/>
    <w:uiPriority w:val="99"/>
    <w:semiHidden/>
    <w:unhideWhenUsed/>
    <w:rsid w:val="00023EA9"/>
    <w:rPr>
      <w:b/>
      <w:bCs/>
    </w:rPr>
  </w:style>
  <w:style w:type="character" w:customStyle="1" w:styleId="CommentSubjectChar">
    <w:name w:val="Comment Subject Char"/>
    <w:basedOn w:val="CommentTextChar"/>
    <w:link w:val="CommentSubject"/>
    <w:rsid w:val="00023EA9"/>
    <w:rPr>
      <w:b/>
      <w:bCs/>
      <w:sz w:val="20"/>
      <w:szCs w:val="20"/>
    </w:rPr>
  </w:style>
  <w:style w:type="paragraph" w:styleId="BalloonText">
    <w:name w:val="Balloon Text"/>
    <w:basedOn w:val="Normal"/>
    <w:link w:val="BalloonTextChar"/>
    <w:semiHidden/>
    <w:unhideWhenUsed/>
    <w:rsid w:val="00023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A9"/>
    <w:rPr>
      <w:rFonts w:ascii="Tahoma" w:hAnsi="Tahoma" w:cs="Tahoma"/>
      <w:sz w:val="16"/>
      <w:szCs w:val="16"/>
    </w:rPr>
  </w:style>
  <w:style w:type="paragraph" w:styleId="Header">
    <w:name w:val="header"/>
    <w:basedOn w:val="Normal"/>
    <w:link w:val="HeaderChar"/>
    <w:unhideWhenUsed/>
    <w:rsid w:val="003F78BF"/>
    <w:pPr>
      <w:tabs>
        <w:tab w:val="center" w:pos="4513"/>
        <w:tab w:val="right" w:pos="9026"/>
      </w:tabs>
      <w:spacing w:after="0" w:line="240" w:lineRule="auto"/>
    </w:pPr>
  </w:style>
  <w:style w:type="character" w:customStyle="1" w:styleId="HeaderChar">
    <w:name w:val="Header Char"/>
    <w:basedOn w:val="DefaultParagraphFont"/>
    <w:link w:val="Header"/>
    <w:rsid w:val="003F78BF"/>
  </w:style>
  <w:style w:type="paragraph" w:styleId="Footer">
    <w:name w:val="footer"/>
    <w:basedOn w:val="Normal"/>
    <w:link w:val="FooterChar"/>
    <w:unhideWhenUsed/>
    <w:rsid w:val="003F78BF"/>
    <w:pPr>
      <w:tabs>
        <w:tab w:val="center" w:pos="4513"/>
        <w:tab w:val="right" w:pos="9026"/>
      </w:tabs>
      <w:spacing w:after="0" w:line="240" w:lineRule="auto"/>
    </w:pPr>
  </w:style>
  <w:style w:type="character" w:customStyle="1" w:styleId="FooterChar">
    <w:name w:val="Footer Char"/>
    <w:basedOn w:val="DefaultParagraphFont"/>
    <w:link w:val="Footer"/>
    <w:rsid w:val="003F78BF"/>
  </w:style>
  <w:style w:type="paragraph" w:styleId="Revision">
    <w:name w:val="Revision"/>
    <w:hidden/>
    <w:uiPriority w:val="99"/>
    <w:semiHidden/>
    <w:rsid w:val="00D6309D"/>
    <w:pPr>
      <w:spacing w:after="0" w:line="240" w:lineRule="auto"/>
    </w:pPr>
  </w:style>
  <w:style w:type="character" w:customStyle="1" w:styleId="Heading1Char">
    <w:name w:val="Heading 1 Char"/>
    <w:basedOn w:val="DefaultParagraphFont"/>
    <w:link w:val="Heading1"/>
    <w:rsid w:val="008213A9"/>
    <w:rPr>
      <w:rFonts w:ascii="Arial" w:eastAsia="Times New Roman" w:hAnsi="Arial" w:cs="Arial"/>
      <w:b/>
      <w:kern w:val="28"/>
      <w:sz w:val="36"/>
      <w:szCs w:val="36"/>
      <w:lang w:eastAsia="en-AU"/>
    </w:rPr>
  </w:style>
  <w:style w:type="character" w:customStyle="1" w:styleId="Heading2Char">
    <w:name w:val="Heading 2 Char"/>
    <w:basedOn w:val="DefaultParagraphFont"/>
    <w:link w:val="Heading2"/>
    <w:rsid w:val="008213A9"/>
    <w:rPr>
      <w:rFonts w:ascii="Arial" w:eastAsia="Times New Roman" w:hAnsi="Arial" w:cs="Arial"/>
      <w:b/>
      <w:sz w:val="28"/>
      <w:szCs w:val="28"/>
      <w:lang w:eastAsia="en-AU"/>
    </w:rPr>
  </w:style>
  <w:style w:type="character" w:customStyle="1" w:styleId="Heading3Char">
    <w:name w:val="Heading 3 Char"/>
    <w:basedOn w:val="DefaultParagraphFont"/>
    <w:link w:val="Heading3"/>
    <w:rsid w:val="008213A9"/>
    <w:rPr>
      <w:rFonts w:ascii="Arial" w:eastAsia="Times New Roman" w:hAnsi="Arial" w:cs="Arial"/>
      <w:b/>
      <w:sz w:val="24"/>
      <w:szCs w:val="24"/>
      <w:lang w:eastAsia="en-AU"/>
    </w:rPr>
  </w:style>
  <w:style w:type="character" w:customStyle="1" w:styleId="Heading4Char">
    <w:name w:val="Heading 4 Char"/>
    <w:basedOn w:val="DefaultParagraphFont"/>
    <w:link w:val="Heading4"/>
    <w:rsid w:val="008213A9"/>
    <w:rPr>
      <w:rFonts w:ascii="Arial" w:eastAsia="Times New Roman" w:hAnsi="Arial" w:cs="Arial"/>
      <w:b/>
      <w:sz w:val="20"/>
      <w:lang w:eastAsia="en-AU"/>
    </w:rPr>
  </w:style>
  <w:style w:type="character" w:customStyle="1" w:styleId="Heading5Char">
    <w:name w:val="Heading 5 Char"/>
    <w:basedOn w:val="DefaultParagraphFont"/>
    <w:link w:val="Heading5"/>
    <w:rsid w:val="008213A9"/>
    <w:rPr>
      <w:rFonts w:ascii="Arial" w:eastAsia="Times New Roman" w:hAnsi="Arial" w:cs="Arial"/>
      <w:i/>
      <w:sz w:val="20"/>
      <w:szCs w:val="20"/>
      <w:lang w:eastAsia="en-AU"/>
    </w:rPr>
  </w:style>
  <w:style w:type="character" w:customStyle="1" w:styleId="Heading6Char">
    <w:name w:val="Heading 6 Char"/>
    <w:basedOn w:val="DefaultParagraphFont"/>
    <w:link w:val="Heading6"/>
    <w:rsid w:val="008213A9"/>
    <w:rPr>
      <w:rFonts w:ascii="Arial" w:eastAsia="Times New Roman" w:hAnsi="Arial" w:cs="Arial"/>
      <w:b/>
      <w:kern w:val="28"/>
      <w:sz w:val="36"/>
      <w:szCs w:val="36"/>
      <w:lang w:eastAsia="en-AU"/>
    </w:rPr>
  </w:style>
  <w:style w:type="character" w:customStyle="1" w:styleId="Heading7Char">
    <w:name w:val="Heading 7 Char"/>
    <w:basedOn w:val="DefaultParagraphFont"/>
    <w:link w:val="Heading7"/>
    <w:rsid w:val="008213A9"/>
    <w:rPr>
      <w:rFonts w:ascii="Arial" w:eastAsia="Times New Roman" w:hAnsi="Arial" w:cs="Arial"/>
      <w:b/>
      <w:sz w:val="28"/>
      <w:szCs w:val="28"/>
      <w:lang w:eastAsia="en-AU"/>
    </w:rPr>
  </w:style>
  <w:style w:type="paragraph" w:styleId="BodyText">
    <w:name w:val="Body Text"/>
    <w:basedOn w:val="Normal"/>
    <w:link w:val="BodyTextChar"/>
    <w:rsid w:val="008213A9"/>
    <w:pPr>
      <w:numPr>
        <w:numId w:val="11"/>
      </w:numPr>
      <w:spacing w:before="200" w:after="0" w:line="300" w:lineRule="atLeast"/>
    </w:pPr>
    <w:rPr>
      <w:rFonts w:ascii="Times New Roman" w:eastAsia="Times New Roman" w:hAnsi="Times New Roman" w:cs="Times New Roman"/>
      <w:lang w:eastAsia="en-AU"/>
    </w:rPr>
  </w:style>
  <w:style w:type="character" w:customStyle="1" w:styleId="BodyTextChar">
    <w:name w:val="Body Text Char"/>
    <w:basedOn w:val="DefaultParagraphFont"/>
    <w:link w:val="BodyText"/>
    <w:rsid w:val="008213A9"/>
    <w:rPr>
      <w:rFonts w:ascii="Times New Roman" w:eastAsia="Times New Roman" w:hAnsi="Times New Roman" w:cs="Times New Roman"/>
      <w:lang w:eastAsia="en-AU"/>
    </w:rPr>
  </w:style>
  <w:style w:type="paragraph" w:customStyle="1" w:styleId="sourcenotefullwidth">
    <w:name w:val="source note full width"/>
    <w:rsid w:val="008213A9"/>
    <w:pPr>
      <w:spacing w:before="120" w:after="0" w:line="240" w:lineRule="auto"/>
    </w:pPr>
    <w:rPr>
      <w:rFonts w:ascii="Arial" w:eastAsia="Times New Roman" w:hAnsi="Arial" w:cs="Times New Roman"/>
      <w:sz w:val="16"/>
      <w:lang w:eastAsia="en-AU"/>
    </w:rPr>
  </w:style>
  <w:style w:type="character" w:styleId="PageNumber">
    <w:name w:val="page number"/>
    <w:basedOn w:val="DefaultParagraphFont"/>
    <w:rsid w:val="008213A9"/>
    <w:rPr>
      <w:b/>
      <w:sz w:val="20"/>
    </w:rPr>
  </w:style>
  <w:style w:type="paragraph" w:styleId="ListBullet">
    <w:name w:val="List Bullet"/>
    <w:basedOn w:val="Normal"/>
    <w:rsid w:val="008213A9"/>
    <w:pPr>
      <w:numPr>
        <w:numId w:val="7"/>
      </w:numPr>
      <w:tabs>
        <w:tab w:val="clear" w:pos="1418"/>
        <w:tab w:val="num" w:pos="2694"/>
      </w:tabs>
      <w:spacing w:before="100" w:after="0" w:line="300" w:lineRule="atLeast"/>
      <w:ind w:left="2693" w:hanging="425"/>
    </w:pPr>
    <w:rPr>
      <w:rFonts w:ascii="Times New Roman" w:eastAsia="Times New Roman" w:hAnsi="Times New Roman" w:cs="Times New Roman"/>
      <w:lang w:eastAsia="en-AU"/>
    </w:rPr>
  </w:style>
  <w:style w:type="paragraph" w:customStyle="1" w:styleId="listsubnumber">
    <w:name w:val="list sub number"/>
    <w:basedOn w:val="ListNumber1"/>
    <w:rsid w:val="008213A9"/>
    <w:pPr>
      <w:numPr>
        <w:ilvl w:val="1"/>
      </w:numPr>
      <w:tabs>
        <w:tab w:val="clear" w:pos="3119"/>
        <w:tab w:val="num" w:pos="2693"/>
      </w:tabs>
      <w:ind w:left="2693" w:hanging="425"/>
    </w:pPr>
  </w:style>
  <w:style w:type="paragraph" w:customStyle="1" w:styleId="ListNumber1">
    <w:name w:val="List Number1"/>
    <w:basedOn w:val="Normal"/>
    <w:rsid w:val="008213A9"/>
    <w:pPr>
      <w:numPr>
        <w:numId w:val="4"/>
      </w:numPr>
      <w:spacing w:before="100" w:after="0" w:line="300" w:lineRule="atLeast"/>
    </w:pPr>
    <w:rPr>
      <w:rFonts w:ascii="Times New Roman" w:eastAsia="Times New Roman" w:hAnsi="Times New Roman" w:cs="Times New Roman"/>
      <w:szCs w:val="24"/>
      <w:lang w:eastAsia="en-AU"/>
    </w:rPr>
  </w:style>
  <w:style w:type="paragraph" w:customStyle="1" w:styleId="figuretitleindented">
    <w:name w:val="figure title indented"/>
    <w:basedOn w:val="figuretitlefullwidth"/>
    <w:rsid w:val="008213A9"/>
    <w:pPr>
      <w:ind w:left="3260"/>
    </w:pPr>
  </w:style>
  <w:style w:type="paragraph" w:customStyle="1" w:styleId="figuretitlefullwidth">
    <w:name w:val="figure title full width"/>
    <w:basedOn w:val="tabletitlefullwidth"/>
    <w:next w:val="figuretext"/>
    <w:rsid w:val="008213A9"/>
    <w:rPr>
      <w:szCs w:val="22"/>
    </w:rPr>
  </w:style>
  <w:style w:type="paragraph" w:customStyle="1" w:styleId="tabletitlefullwidth">
    <w:name w:val="table title full width"/>
    <w:basedOn w:val="Normal"/>
    <w:rsid w:val="008213A9"/>
    <w:pPr>
      <w:keepNext/>
      <w:spacing w:before="360" w:after="120" w:line="240" w:lineRule="atLeast"/>
      <w:ind w:left="992" w:hanging="992"/>
    </w:pPr>
    <w:rPr>
      <w:rFonts w:ascii="Arial" w:eastAsia="Times New Roman" w:hAnsi="Arial" w:cs="Arial"/>
      <w:b/>
      <w:sz w:val="20"/>
      <w:szCs w:val="20"/>
      <w:lang w:eastAsia="en-AU"/>
    </w:rPr>
  </w:style>
  <w:style w:type="paragraph" w:customStyle="1" w:styleId="figuretext">
    <w:name w:val="figure text"/>
    <w:basedOn w:val="Normal"/>
    <w:rsid w:val="008213A9"/>
    <w:pPr>
      <w:widowControl w:val="0"/>
      <w:spacing w:after="0" w:line="240" w:lineRule="atLeast"/>
    </w:pPr>
    <w:rPr>
      <w:rFonts w:ascii="Arial" w:eastAsia="Times New Roman" w:hAnsi="Arial" w:cs="Arial"/>
      <w:sz w:val="18"/>
      <w:szCs w:val="18"/>
      <w:lang w:eastAsia="en-AU"/>
    </w:rPr>
  </w:style>
  <w:style w:type="paragraph" w:customStyle="1" w:styleId="tbltext">
    <w:name w:val="tbl text"/>
    <w:basedOn w:val="Bodytextplain"/>
    <w:rsid w:val="008213A9"/>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8213A9"/>
    <w:pPr>
      <w:numPr>
        <w:numId w:val="0"/>
      </w:numPr>
      <w:ind w:left="2268"/>
    </w:pPr>
  </w:style>
  <w:style w:type="paragraph" w:customStyle="1" w:styleId="tablehead">
    <w:name w:val="table head"/>
    <w:basedOn w:val="Normal"/>
    <w:qFormat/>
    <w:rsid w:val="008213A9"/>
    <w:pPr>
      <w:keepNext/>
      <w:spacing w:before="120" w:after="0" w:line="240" w:lineRule="atLeast"/>
    </w:pPr>
    <w:rPr>
      <w:rFonts w:ascii="Arial" w:eastAsia="Times New Roman" w:hAnsi="Arial" w:cs="Arial"/>
      <w:b/>
      <w:sz w:val="18"/>
      <w:szCs w:val="18"/>
      <w:lang w:eastAsia="en-AU"/>
    </w:rPr>
  </w:style>
  <w:style w:type="paragraph" w:styleId="ListBullet2">
    <w:name w:val="List Bullet 2"/>
    <w:basedOn w:val="Normal"/>
    <w:rsid w:val="008213A9"/>
    <w:pPr>
      <w:numPr>
        <w:numId w:val="14"/>
      </w:numPr>
      <w:tabs>
        <w:tab w:val="clear" w:pos="851"/>
        <w:tab w:val="left" w:pos="3119"/>
      </w:tabs>
      <w:spacing w:before="100" w:after="0" w:line="300" w:lineRule="atLeast"/>
      <w:ind w:left="3118" w:hanging="425"/>
    </w:pPr>
    <w:rPr>
      <w:rFonts w:ascii="Times New Roman" w:eastAsia="Times New Roman" w:hAnsi="Times New Roman" w:cs="Times New Roman"/>
      <w:szCs w:val="20"/>
      <w:lang w:eastAsia="en-AU"/>
    </w:rPr>
  </w:style>
  <w:style w:type="character" w:styleId="Hyperlink">
    <w:name w:val="Hyperlink"/>
    <w:basedOn w:val="DefaultParagraphFont"/>
    <w:uiPriority w:val="99"/>
    <w:rsid w:val="008213A9"/>
    <w:rPr>
      <w:color w:val="0000FF"/>
      <w:u w:val="single"/>
    </w:rPr>
  </w:style>
  <w:style w:type="paragraph" w:customStyle="1" w:styleId="tablebullet">
    <w:name w:val="table bullet"/>
    <w:basedOn w:val="Normal"/>
    <w:rsid w:val="008213A9"/>
    <w:pPr>
      <w:widowControl w:val="0"/>
      <w:numPr>
        <w:numId w:val="5"/>
      </w:numPr>
      <w:spacing w:before="60" w:after="0" w:line="240" w:lineRule="atLeast"/>
    </w:pPr>
    <w:rPr>
      <w:rFonts w:ascii="Arial" w:eastAsia="Times New Roman" w:hAnsi="Arial" w:cs="Arial"/>
      <w:sz w:val="18"/>
      <w:szCs w:val="18"/>
      <w:lang w:eastAsia="en-AU"/>
    </w:rPr>
  </w:style>
  <w:style w:type="paragraph" w:styleId="FootnoteText">
    <w:name w:val="footnote text"/>
    <w:basedOn w:val="Normal"/>
    <w:link w:val="FootnoteTextChar"/>
    <w:semiHidden/>
    <w:rsid w:val="008213A9"/>
    <w:pPr>
      <w:spacing w:after="0" w:line="240" w:lineRule="auto"/>
    </w:pPr>
    <w:rPr>
      <w:rFonts w:ascii="Times New Roman" w:eastAsia="Times New Roman" w:hAnsi="Times New Roman" w:cs="Times New Roman"/>
      <w:sz w:val="18"/>
      <w:szCs w:val="20"/>
      <w:lang w:eastAsia="en-AU"/>
    </w:rPr>
  </w:style>
  <w:style w:type="character" w:customStyle="1" w:styleId="FootnoteTextChar">
    <w:name w:val="Footnote Text Char"/>
    <w:basedOn w:val="DefaultParagraphFont"/>
    <w:link w:val="FootnoteText"/>
    <w:semiHidden/>
    <w:rsid w:val="008213A9"/>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8213A9"/>
    <w:rPr>
      <w:vertAlign w:val="superscript"/>
    </w:rPr>
  </w:style>
  <w:style w:type="paragraph" w:styleId="TOC1">
    <w:name w:val="toc 1"/>
    <w:basedOn w:val="Normal"/>
    <w:next w:val="Normal"/>
    <w:autoRedefine/>
    <w:uiPriority w:val="39"/>
    <w:rsid w:val="008213A9"/>
    <w:pPr>
      <w:tabs>
        <w:tab w:val="left" w:pos="2694"/>
        <w:tab w:val="right" w:leader="dot" w:pos="9072"/>
      </w:tabs>
      <w:spacing w:before="100" w:after="0" w:line="240" w:lineRule="auto"/>
      <w:ind w:left="2694" w:right="284" w:hanging="425"/>
    </w:pPr>
    <w:rPr>
      <w:rFonts w:ascii="Arial" w:eastAsia="Times New Roman" w:hAnsi="Arial" w:cs="Arial"/>
      <w:b/>
      <w:noProof/>
      <w:sz w:val="20"/>
      <w:szCs w:val="20"/>
      <w:lang w:eastAsia="en-AU"/>
    </w:rPr>
  </w:style>
  <w:style w:type="paragraph" w:styleId="TOC2">
    <w:name w:val="toc 2"/>
    <w:basedOn w:val="Normal"/>
    <w:next w:val="Normal"/>
    <w:autoRedefine/>
    <w:uiPriority w:val="39"/>
    <w:rsid w:val="008213A9"/>
    <w:pPr>
      <w:tabs>
        <w:tab w:val="left" w:pos="2694"/>
        <w:tab w:val="right" w:leader="dot" w:pos="9072"/>
      </w:tabs>
      <w:spacing w:before="20" w:after="0" w:line="240" w:lineRule="auto"/>
      <w:ind w:left="2693" w:right="284" w:firstLine="1"/>
    </w:pPr>
    <w:rPr>
      <w:rFonts w:ascii="Arial" w:eastAsia="Times New Roman" w:hAnsi="Arial" w:cs="Arial"/>
      <w:noProof/>
      <w:sz w:val="20"/>
      <w:szCs w:val="20"/>
      <w:lang w:eastAsia="en-AU"/>
    </w:rPr>
  </w:style>
  <w:style w:type="paragraph" w:styleId="TOC3">
    <w:name w:val="toc 3"/>
    <w:basedOn w:val="Normal"/>
    <w:next w:val="Normal"/>
    <w:autoRedefine/>
    <w:semiHidden/>
    <w:rsid w:val="008213A9"/>
    <w:pPr>
      <w:tabs>
        <w:tab w:val="left" w:pos="3261"/>
        <w:tab w:val="right" w:leader="dot" w:pos="9072"/>
      </w:tabs>
      <w:spacing w:after="0" w:line="240" w:lineRule="auto"/>
      <w:ind w:left="3260" w:right="284" w:hanging="567"/>
    </w:pPr>
    <w:rPr>
      <w:rFonts w:ascii="Arial" w:eastAsia="Times New Roman" w:hAnsi="Arial" w:cs="Arial"/>
      <w:noProof/>
      <w:sz w:val="18"/>
      <w:szCs w:val="18"/>
      <w:lang w:eastAsia="en-AU"/>
    </w:rPr>
  </w:style>
  <w:style w:type="paragraph" w:styleId="TOC4">
    <w:name w:val="toc 4"/>
    <w:basedOn w:val="Normal"/>
    <w:next w:val="Normal"/>
    <w:autoRedefine/>
    <w:semiHidden/>
    <w:rsid w:val="008213A9"/>
    <w:pPr>
      <w:tabs>
        <w:tab w:val="right" w:leader="dot" w:pos="8364"/>
      </w:tabs>
      <w:spacing w:after="0" w:line="240" w:lineRule="auto"/>
      <w:ind w:left="1134" w:right="565"/>
    </w:pPr>
    <w:rPr>
      <w:rFonts w:ascii="Arial" w:eastAsia="Times New Roman" w:hAnsi="Arial" w:cs="Arial"/>
      <w:noProof/>
      <w:sz w:val="18"/>
      <w:szCs w:val="18"/>
      <w:lang w:val="en-ZW" w:eastAsia="en-AU"/>
    </w:rPr>
  </w:style>
  <w:style w:type="paragraph" w:customStyle="1" w:styleId="tabletitleindented">
    <w:name w:val="table title indented"/>
    <w:basedOn w:val="tabletitlefullwidth"/>
    <w:rsid w:val="008213A9"/>
    <w:pPr>
      <w:ind w:left="3260"/>
    </w:pPr>
  </w:style>
  <w:style w:type="paragraph" w:styleId="Caption">
    <w:name w:val="caption"/>
    <w:basedOn w:val="Normal"/>
    <w:next w:val="Normal"/>
    <w:qFormat/>
    <w:rsid w:val="008213A9"/>
    <w:pPr>
      <w:spacing w:before="120" w:after="120" w:line="240" w:lineRule="auto"/>
    </w:pPr>
    <w:rPr>
      <w:rFonts w:ascii="Times New Roman" w:eastAsia="Times New Roman" w:hAnsi="Times New Roman" w:cs="Times New Roman"/>
      <w:b/>
      <w:bCs/>
      <w:sz w:val="20"/>
      <w:szCs w:val="20"/>
      <w:lang w:eastAsia="en-AU"/>
    </w:rPr>
  </w:style>
  <w:style w:type="paragraph" w:customStyle="1" w:styleId="tabledash">
    <w:name w:val="table dash"/>
    <w:basedOn w:val="tablebullet"/>
    <w:rsid w:val="008213A9"/>
    <w:pPr>
      <w:numPr>
        <w:numId w:val="8"/>
      </w:numPr>
    </w:pPr>
  </w:style>
  <w:style w:type="paragraph" w:customStyle="1" w:styleId="Tablebody">
    <w:name w:val="Table body"/>
    <w:basedOn w:val="Normal"/>
    <w:semiHidden/>
    <w:rsid w:val="008213A9"/>
    <w:pPr>
      <w:overflowPunct w:val="0"/>
      <w:autoSpaceDE w:val="0"/>
      <w:autoSpaceDN w:val="0"/>
      <w:adjustRightInd w:val="0"/>
      <w:spacing w:before="40" w:after="120" w:line="260" w:lineRule="atLeast"/>
      <w:textAlignment w:val="baseline"/>
    </w:pPr>
    <w:rPr>
      <w:rFonts w:ascii="Arial" w:eastAsia="Times New Roman" w:hAnsi="Arial" w:cs="Arial"/>
      <w:sz w:val="20"/>
      <w:szCs w:val="20"/>
    </w:rPr>
  </w:style>
  <w:style w:type="paragraph" w:customStyle="1" w:styleId="KPbold">
    <w:name w:val="KP bold"/>
    <w:basedOn w:val="KPhead"/>
    <w:next w:val="Normal"/>
    <w:rsid w:val="008213A9"/>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8213A9"/>
    <w:pPr>
      <w:keepNext/>
      <w:pBdr>
        <w:top w:val="single" w:sz="6" w:space="1" w:color="117DC7"/>
        <w:left w:val="single" w:sz="6" w:space="4" w:color="117DC7"/>
        <w:bottom w:val="single" w:sz="6" w:space="3" w:color="117DC7"/>
        <w:right w:val="single" w:sz="6" w:space="4" w:color="117DC7"/>
      </w:pBdr>
      <w:shd w:val="clear" w:color="auto" w:fill="117DC7"/>
      <w:spacing w:before="720" w:after="0" w:line="240" w:lineRule="auto"/>
      <w:ind w:left="2381" w:right="5613"/>
    </w:pPr>
    <w:rPr>
      <w:rFonts w:ascii="Arial" w:eastAsia="Times New Roman" w:hAnsi="Arial" w:cs="Arial"/>
      <w:b/>
      <w:color w:val="FFFFFF"/>
      <w:sz w:val="20"/>
      <w:szCs w:val="20"/>
      <w:lang w:eastAsia="en-AU"/>
    </w:rPr>
  </w:style>
  <w:style w:type="paragraph" w:customStyle="1" w:styleId="KPtext">
    <w:name w:val="KP text"/>
    <w:basedOn w:val="KPbold"/>
    <w:rsid w:val="008213A9"/>
    <w:rPr>
      <w:b w:val="0"/>
    </w:rPr>
  </w:style>
  <w:style w:type="paragraph" w:customStyle="1" w:styleId="KPbullet">
    <w:name w:val="KP bullet"/>
    <w:basedOn w:val="KPtext"/>
    <w:rsid w:val="008213A9"/>
    <w:pPr>
      <w:numPr>
        <w:numId w:val="9"/>
      </w:numPr>
      <w:tabs>
        <w:tab w:val="clear" w:pos="2807"/>
        <w:tab w:val="left" w:pos="2665"/>
      </w:tabs>
      <w:spacing w:before="100"/>
      <w:ind w:left="2665" w:hanging="284"/>
    </w:pPr>
  </w:style>
  <w:style w:type="paragraph" w:customStyle="1" w:styleId="Note">
    <w:name w:val="Note"/>
    <w:basedOn w:val="BodyText"/>
    <w:next w:val="BodyText"/>
    <w:rsid w:val="008213A9"/>
    <w:pPr>
      <w:numPr>
        <w:numId w:val="0"/>
      </w:numPr>
      <w:spacing w:line="240" w:lineRule="atLeast"/>
      <w:ind w:left="2693"/>
    </w:pPr>
    <w:rPr>
      <w:sz w:val="18"/>
    </w:rPr>
  </w:style>
  <w:style w:type="paragraph" w:customStyle="1" w:styleId="subparaa">
    <w:name w:val="sub para (a)"/>
    <w:basedOn w:val="BodyText"/>
    <w:rsid w:val="008213A9"/>
    <w:pPr>
      <w:numPr>
        <w:ilvl w:val="1"/>
      </w:numPr>
      <w:spacing w:before="100"/>
    </w:pPr>
  </w:style>
  <w:style w:type="paragraph" w:customStyle="1" w:styleId="Feedbackhead">
    <w:name w:val="Feedback head"/>
    <w:basedOn w:val="KPhead"/>
    <w:next w:val="Feedbackquestion"/>
    <w:rsid w:val="008213A9"/>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8213A9"/>
    <w:pPr>
      <w:keepNext w:val="0"/>
      <w:keepLines/>
      <w:numPr>
        <w:ilvl w:val="4"/>
        <w:numId w:val="10"/>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8213A9"/>
    <w:pPr>
      <w:numPr>
        <w:ilvl w:val="5"/>
      </w:numPr>
    </w:pPr>
  </w:style>
  <w:style w:type="paragraph" w:customStyle="1" w:styleId="subsubparai">
    <w:name w:val="sub sub para (i)"/>
    <w:basedOn w:val="subparaa"/>
    <w:rsid w:val="008213A9"/>
    <w:pPr>
      <w:numPr>
        <w:ilvl w:val="2"/>
      </w:numPr>
    </w:pPr>
  </w:style>
  <w:style w:type="paragraph" w:customStyle="1" w:styleId="DescriptorRG">
    <w:name w:val="Descriptor RG"/>
    <w:basedOn w:val="Normal"/>
    <w:next w:val="Normal"/>
    <w:rsid w:val="008213A9"/>
    <w:pPr>
      <w:pBdr>
        <w:top w:val="single" w:sz="4" w:space="4" w:color="117DC7"/>
        <w:left w:val="single" w:sz="4" w:space="4" w:color="117DC7"/>
        <w:bottom w:val="single" w:sz="4" w:space="4" w:color="117DC7"/>
        <w:right w:val="single" w:sz="4" w:space="4" w:color="117DC7"/>
      </w:pBdr>
      <w:shd w:val="clear" w:color="auto" w:fill="117DC7"/>
      <w:spacing w:before="960" w:after="240" w:line="240" w:lineRule="auto"/>
      <w:ind w:left="2268"/>
    </w:pPr>
    <w:rPr>
      <w:rFonts w:ascii="Arial" w:eastAsia="Times New Roman" w:hAnsi="Arial" w:cs="Arial"/>
      <w:caps/>
      <w:color w:val="FFFFFF"/>
      <w:sz w:val="28"/>
      <w:szCs w:val="28"/>
      <w:lang w:eastAsia="en-AU"/>
    </w:rPr>
  </w:style>
  <w:style w:type="paragraph" w:customStyle="1" w:styleId="DescriptorCP">
    <w:name w:val="Descriptor CP"/>
    <w:basedOn w:val="DescriptorRG"/>
    <w:next w:val="Normal"/>
    <w:rsid w:val="008213A9"/>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8213A9"/>
    <w:pPr>
      <w:spacing w:line="260" w:lineRule="atLeast"/>
    </w:pPr>
    <w:rPr>
      <w:rFonts w:ascii="Arial" w:hAnsi="Arial" w:cs="Arial"/>
      <w:sz w:val="20"/>
      <w:szCs w:val="20"/>
    </w:rPr>
  </w:style>
  <w:style w:type="paragraph" w:customStyle="1" w:styleId="Frontbullet">
    <w:name w:val="Front bullet"/>
    <w:basedOn w:val="Fronttext"/>
    <w:rsid w:val="008213A9"/>
    <w:pPr>
      <w:numPr>
        <w:ilvl w:val="5"/>
        <w:numId w:val="13"/>
      </w:numPr>
      <w:spacing w:before="120"/>
    </w:pPr>
  </w:style>
  <w:style w:type="paragraph" w:customStyle="1" w:styleId="Frontheading">
    <w:name w:val="Front heading"/>
    <w:basedOn w:val="Heading3"/>
    <w:next w:val="Fronttext"/>
    <w:rsid w:val="008213A9"/>
  </w:style>
  <w:style w:type="paragraph" w:customStyle="1" w:styleId="Blockquote">
    <w:name w:val="Block quote"/>
    <w:basedOn w:val="Bodytextplain"/>
    <w:rsid w:val="008213A9"/>
    <w:pPr>
      <w:spacing w:before="100" w:line="240" w:lineRule="auto"/>
      <w:ind w:left="2693"/>
    </w:pPr>
    <w:rPr>
      <w:sz w:val="21"/>
      <w:szCs w:val="21"/>
    </w:rPr>
  </w:style>
  <w:style w:type="paragraph" w:customStyle="1" w:styleId="Proposalhead">
    <w:name w:val="Proposal head"/>
    <w:basedOn w:val="Bodytextplain"/>
    <w:next w:val="Proposaltext"/>
    <w:rsid w:val="008213A9"/>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8213A9"/>
    <w:pPr>
      <w:numPr>
        <w:ilvl w:val="1"/>
        <w:numId w:val="10"/>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8213A9"/>
    <w:pPr>
      <w:numPr>
        <w:ilvl w:val="2"/>
      </w:numPr>
      <w:spacing w:before="100"/>
    </w:pPr>
  </w:style>
  <w:style w:type="paragraph" w:customStyle="1" w:styleId="Proposalsubsubpara">
    <w:name w:val="Proposal sub sub para"/>
    <w:basedOn w:val="Proposaltext"/>
    <w:rsid w:val="008213A9"/>
    <w:pPr>
      <w:numPr>
        <w:ilvl w:val="3"/>
      </w:numPr>
      <w:spacing w:before="100"/>
    </w:pPr>
  </w:style>
  <w:style w:type="paragraph" w:customStyle="1" w:styleId="Proposalnote">
    <w:name w:val="Proposal note"/>
    <w:basedOn w:val="Note"/>
    <w:rsid w:val="008213A9"/>
    <w:pPr>
      <w:spacing w:before="100"/>
      <w:ind w:left="3119"/>
    </w:pPr>
    <w:rPr>
      <w:rFonts w:ascii="Arial" w:hAnsi="Arial" w:cs="Arial"/>
      <w:sz w:val="16"/>
      <w:szCs w:val="16"/>
    </w:rPr>
  </w:style>
  <w:style w:type="paragraph" w:customStyle="1" w:styleId="boxbullet">
    <w:name w:val="box bullet"/>
    <w:basedOn w:val="Frontbullet"/>
    <w:rsid w:val="008213A9"/>
    <w:pPr>
      <w:numPr>
        <w:ilvl w:val="0"/>
        <w:numId w:val="15"/>
      </w:numPr>
      <w:spacing w:before="60"/>
    </w:pPr>
  </w:style>
  <w:style w:type="paragraph" w:customStyle="1" w:styleId="boxtext">
    <w:name w:val="box text"/>
    <w:basedOn w:val="Fronttext"/>
    <w:rsid w:val="008213A9"/>
    <w:pPr>
      <w:spacing w:before="120"/>
      <w:ind w:left="0"/>
    </w:pPr>
  </w:style>
  <w:style w:type="paragraph" w:customStyle="1" w:styleId="sub3paraA">
    <w:name w:val="sub3para (A)"/>
    <w:basedOn w:val="subsubparai"/>
    <w:qFormat/>
    <w:rsid w:val="008213A9"/>
    <w:pPr>
      <w:numPr>
        <w:ilvl w:val="3"/>
      </w:numPr>
    </w:pPr>
  </w:style>
  <w:style w:type="paragraph" w:customStyle="1" w:styleId="sub4paraI">
    <w:name w:val="sub4para (I)"/>
    <w:basedOn w:val="subsubparai"/>
    <w:qFormat/>
    <w:rsid w:val="008213A9"/>
    <w:pPr>
      <w:numPr>
        <w:ilvl w:val="4"/>
      </w:numPr>
    </w:pPr>
  </w:style>
  <w:style w:type="paragraph" w:customStyle="1" w:styleId="Feedbacksubsubquestion">
    <w:name w:val="Feedback subsubquestion"/>
    <w:basedOn w:val="Feedbacksubquestion"/>
    <w:qFormat/>
    <w:rsid w:val="008213A9"/>
    <w:pPr>
      <w:numPr>
        <w:ilvl w:val="6"/>
      </w:numPr>
    </w:pPr>
  </w:style>
  <w:style w:type="paragraph" w:customStyle="1" w:styleId="sourcenoteindented">
    <w:name w:val="source note indented"/>
    <w:basedOn w:val="sourcenotefullwidth"/>
    <w:qFormat/>
    <w:rsid w:val="008213A9"/>
    <w:pPr>
      <w:ind w:left="2268"/>
    </w:pPr>
  </w:style>
  <w:style w:type="paragraph" w:customStyle="1" w:styleId="tblnote">
    <w:name w:val="tbl note"/>
    <w:basedOn w:val="sourcenotefullwidth"/>
    <w:next w:val="tbltext"/>
    <w:qFormat/>
    <w:rsid w:val="008213A9"/>
    <w:pPr>
      <w:ind w:left="425"/>
    </w:pPr>
  </w:style>
  <w:style w:type="paragraph" w:customStyle="1" w:styleId="tblProposalsubpara">
    <w:name w:val="tbl Proposal sub para"/>
    <w:basedOn w:val="tbltext"/>
    <w:qFormat/>
    <w:rsid w:val="008213A9"/>
    <w:pPr>
      <w:ind w:left="885" w:hanging="425"/>
    </w:pPr>
  </w:style>
  <w:style w:type="paragraph" w:customStyle="1" w:styleId="tblProposalsubsubpara">
    <w:name w:val="tbl Proposal sub sub para"/>
    <w:basedOn w:val="tbltext"/>
    <w:qFormat/>
    <w:rsid w:val="008213A9"/>
    <w:pPr>
      <w:ind w:left="1310" w:hanging="425"/>
    </w:pPr>
  </w:style>
  <w:style w:type="paragraph" w:customStyle="1" w:styleId="tblProposaltext">
    <w:name w:val="tbl Proposal text"/>
    <w:basedOn w:val="tbltext"/>
    <w:qFormat/>
    <w:rsid w:val="008213A9"/>
    <w:pPr>
      <w:ind w:left="425" w:hanging="425"/>
    </w:pPr>
  </w:style>
  <w:style w:type="paragraph" w:customStyle="1" w:styleId="tblProposaltextnonumber">
    <w:name w:val="tbl Proposal text no number"/>
    <w:basedOn w:val="tbltext"/>
    <w:qFormat/>
    <w:rsid w:val="008213A9"/>
    <w:pPr>
      <w:ind w:left="425"/>
    </w:pPr>
  </w:style>
  <w:style w:type="paragraph" w:customStyle="1" w:styleId="tblFeedbackquestion">
    <w:name w:val="tbl Feedback question"/>
    <w:basedOn w:val="Proposaltext"/>
    <w:qFormat/>
    <w:rsid w:val="008213A9"/>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8213A9"/>
    <w:rPr>
      <w:sz w:val="16"/>
      <w:szCs w:val="16"/>
    </w:rPr>
  </w:style>
  <w:style w:type="paragraph" w:customStyle="1" w:styleId="tblFeedbacksubquestion">
    <w:name w:val="tbl Feedback subquestion"/>
    <w:basedOn w:val="tblProposalsubpara"/>
    <w:rsid w:val="008213A9"/>
    <w:pPr>
      <w:ind w:left="964" w:hanging="340"/>
    </w:pPr>
  </w:style>
  <w:style w:type="paragraph" w:customStyle="1" w:styleId="tblFeedbacksubsubquestion">
    <w:name w:val="tbl Feedback subsubquestion"/>
    <w:basedOn w:val="tblProposalsubsubpara"/>
    <w:qFormat/>
    <w:rsid w:val="008213A9"/>
    <w:pPr>
      <w:ind w:left="1304" w:hanging="340"/>
    </w:pPr>
  </w:style>
  <w:style w:type="paragraph" w:customStyle="1" w:styleId="tabletext">
    <w:name w:val="table text"/>
    <w:basedOn w:val="tablehead"/>
    <w:rsid w:val="008213A9"/>
    <w:pPr>
      <w:keepNext w:val="0"/>
    </w:pPr>
    <w:rPr>
      <w:b w:val="0"/>
    </w:rPr>
  </w:style>
  <w:style w:type="paragraph" w:customStyle="1" w:styleId="RPG-BodyTextNumbered">
    <w:name w:val="RPG - Body Text (Numbered)"/>
    <w:basedOn w:val="Normal"/>
    <w:link w:val="RPG-BodyTextNumberedChar"/>
    <w:qFormat/>
    <w:rsid w:val="008213A9"/>
    <w:pPr>
      <w:numPr>
        <w:numId w:val="23"/>
      </w:numPr>
      <w:spacing w:before="200" w:after="0" w:line="240" w:lineRule="auto"/>
    </w:pPr>
    <w:rPr>
      <w:rFonts w:ascii="Times New Roman" w:eastAsia="Calibri" w:hAnsi="Times New Roman" w:cs="Times New Roman"/>
    </w:rPr>
  </w:style>
  <w:style w:type="paragraph" w:customStyle="1" w:styleId="RPG-SublistLevel1">
    <w:name w:val="RPG - Sublist Level 1"/>
    <w:basedOn w:val="RPG-BodyTextNumbered"/>
    <w:qFormat/>
    <w:rsid w:val="008213A9"/>
    <w:pPr>
      <w:numPr>
        <w:ilvl w:val="1"/>
      </w:numPr>
      <w:tabs>
        <w:tab w:val="clear" w:pos="1985"/>
        <w:tab w:val="num" w:pos="360"/>
        <w:tab w:val="num" w:pos="3119"/>
      </w:tabs>
      <w:spacing w:before="120"/>
      <w:ind w:left="3119" w:hanging="426"/>
    </w:pPr>
  </w:style>
  <w:style w:type="paragraph" w:customStyle="1" w:styleId="RPG-SublistLevel2">
    <w:name w:val="RPG - Sublist Level 2"/>
    <w:basedOn w:val="RPG-SublistLevel1"/>
    <w:qFormat/>
    <w:rsid w:val="008213A9"/>
    <w:pPr>
      <w:numPr>
        <w:ilvl w:val="2"/>
      </w:numPr>
      <w:tabs>
        <w:tab w:val="clear" w:pos="1701"/>
        <w:tab w:val="num" w:pos="360"/>
        <w:tab w:val="num" w:pos="4370"/>
      </w:tabs>
      <w:ind w:left="4370"/>
    </w:pPr>
  </w:style>
  <w:style w:type="character" w:customStyle="1" w:styleId="RPG-BodyTextNumberedChar">
    <w:name w:val="RPG - Body Text (Numbered) Char"/>
    <w:link w:val="RPG-BodyTextNumbered"/>
    <w:rsid w:val="008213A9"/>
    <w:rPr>
      <w:rFonts w:ascii="Times New Roman" w:eastAsia="Calibri" w:hAnsi="Times New Roman" w:cs="Times New Roman"/>
    </w:rPr>
  </w:style>
  <w:style w:type="paragraph" w:styleId="ListNumber">
    <w:name w:val="List Number"/>
    <w:basedOn w:val="Normal"/>
    <w:uiPriority w:val="99"/>
    <w:unhideWhenUsed/>
    <w:rsid w:val="008213A9"/>
    <w:pPr>
      <w:numPr>
        <w:numId w:val="29"/>
      </w:numPr>
      <w:spacing w:after="240" w:line="240" w:lineRule="auto"/>
      <w:contextualSpacing/>
    </w:pPr>
    <w:rPr>
      <w:rFonts w:ascii="Times New Roman" w:eastAsia="Times New Roman" w:hAnsi="Times New Roman" w:cs="Times New Roman"/>
      <w:szCs w:val="20"/>
      <w:lang w:eastAsia="en-AU"/>
    </w:rPr>
  </w:style>
  <w:style w:type="paragraph" w:customStyle="1" w:styleId="Tabletext0">
    <w:name w:val="Table text"/>
    <w:basedOn w:val="tablehead"/>
    <w:qFormat/>
    <w:rsid w:val="008213A9"/>
    <w:pPr>
      <w:keepNext w:val="0"/>
    </w:pPr>
    <w:rPr>
      <w:b w:val="0"/>
    </w:rPr>
  </w:style>
  <w:style w:type="paragraph" w:styleId="ListParagraph">
    <w:name w:val="List Paragraph"/>
    <w:basedOn w:val="Normal"/>
    <w:uiPriority w:val="34"/>
    <w:qFormat/>
    <w:rsid w:val="008213A9"/>
    <w:pPr>
      <w:spacing w:after="240" w:line="240" w:lineRule="auto"/>
      <w:ind w:left="720"/>
      <w:contextualSpacing/>
    </w:pPr>
    <w:rPr>
      <w:rFonts w:ascii="Times New Roman" w:eastAsia="Times New Roman" w:hAnsi="Times New Roman" w:cs="Times New Roman"/>
      <w:szCs w:val="20"/>
      <w:lang w:eastAsia="en-AU"/>
    </w:rPr>
  </w:style>
  <w:style w:type="paragraph" w:customStyle="1" w:styleId="Tabletitlefullwidth0">
    <w:name w:val="Table title full width"/>
    <w:basedOn w:val="Normal"/>
    <w:qFormat/>
    <w:rsid w:val="008213A9"/>
    <w:pPr>
      <w:keepNext/>
      <w:spacing w:before="360" w:after="120" w:line="240" w:lineRule="atLeast"/>
      <w:ind w:left="992" w:hanging="992"/>
    </w:pPr>
    <w:rPr>
      <w:rFonts w:ascii="Arial" w:eastAsia="Times New Roman" w:hAnsi="Arial" w:cs="Arial"/>
      <w:b/>
      <w:sz w:val="20"/>
      <w:szCs w:val="20"/>
      <w:lang w:eastAsia="en-AU"/>
    </w:rPr>
  </w:style>
  <w:style w:type="paragraph" w:customStyle="1" w:styleId="Tablefigurenotes">
    <w:name w:val="Table &amp; figure notes"/>
    <w:qFormat/>
    <w:rsid w:val="008213A9"/>
    <w:pPr>
      <w:spacing w:before="60" w:after="0" w:line="240" w:lineRule="auto"/>
      <w:ind w:left="720"/>
    </w:pPr>
    <w:rPr>
      <w:rFonts w:ascii="Arial" w:eastAsia="Times New Roman" w:hAnsi="Arial" w:cs="Times New Roman"/>
      <w:sz w:val="16"/>
      <w:lang w:eastAsia="en-AU"/>
    </w:rPr>
  </w:style>
  <w:style w:type="paragraph" w:customStyle="1" w:styleId="Bodytextnumbered">
    <w:name w:val="Body text numbered"/>
    <w:basedOn w:val="BodyText"/>
    <w:link w:val="BodytextnumberedChar"/>
    <w:qFormat/>
    <w:rsid w:val="008213A9"/>
    <w:pPr>
      <w:numPr>
        <w:numId w:val="0"/>
      </w:numPr>
      <w:tabs>
        <w:tab w:val="num" w:pos="851"/>
      </w:tabs>
      <w:spacing w:before="120" w:line="280" w:lineRule="atLeast"/>
      <w:ind w:left="851" w:hanging="851"/>
      <w:jc w:val="both"/>
    </w:pPr>
  </w:style>
  <w:style w:type="character" w:customStyle="1" w:styleId="BodytextnumberedChar">
    <w:name w:val="Body text numbered Char"/>
    <w:basedOn w:val="BodyTextChar"/>
    <w:link w:val="Bodytextnumbered"/>
    <w:rsid w:val="008213A9"/>
    <w:rPr>
      <w:rFonts w:ascii="Times New Roman" w:eastAsia="Times New Roman" w:hAnsi="Times New Roman" w:cs="Times New Roman"/>
      <w:lang w:eastAsia="en-AU"/>
    </w:rPr>
  </w:style>
  <w:style w:type="table" w:styleId="LightShading-Accent1">
    <w:name w:val="Light Shading Accent 1"/>
    <w:basedOn w:val="TableNormal"/>
    <w:uiPriority w:val="60"/>
    <w:rsid w:val="008213A9"/>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DD02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acma.gov.au/theACMA/Library/Corporate-library/Corporate-publications/communications-report" TargetMode="External"/><Relationship Id="rId3" Type="http://schemas.openxmlformats.org/officeDocument/2006/relationships/hyperlink" Target="http://fsi.gov.au/publications/final-report/chapter-4/innovative-disclosure/" TargetMode="External"/><Relationship Id="rId7" Type="http://schemas.openxmlformats.org/officeDocument/2006/relationships/hyperlink" Target="http://www.abs.gov.au/ausstats/abs@.nsf/Previousproducts/8153.0Main%20Features1June%202014?opendocument&amp;tabname=Summary&amp;prodno=8153.0&amp;issue=June%202014&amp;num=&amp;view" TargetMode="External"/><Relationship Id="rId2" Type="http://schemas.openxmlformats.org/officeDocument/2006/relationships/hyperlink" Target="http://www.acma.gov.au/theACMA/Library/Corporate-library/Corporate-publications/communications-report" TargetMode="External"/><Relationship Id="rId1" Type="http://schemas.openxmlformats.org/officeDocument/2006/relationships/hyperlink" Target="http://fsi.gov.au/files/2014/07/FSI_Report_Final_Reduced20140715.pdf" TargetMode="External"/><Relationship Id="rId6" Type="http://schemas.openxmlformats.org/officeDocument/2006/relationships/hyperlink" Target="http://www.acma.gov.au/theACMA/Library/Corporate-library/Corporate-publications/communications-report-2011-12" TargetMode="External"/><Relationship Id="rId5" Type="http://schemas.openxmlformats.org/officeDocument/2006/relationships/hyperlink" Target="http://www.acma.gov.au/theACMA/Library/Corporate-library/Corporate-publications/communications-report" TargetMode="External"/><Relationship Id="rId4" Type="http://schemas.openxmlformats.org/officeDocument/2006/relationships/hyperlink" Target="http://www.ncoa.gov.au/report/phase-on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EAFD-47EC-4D43-9D5F-7FAE0247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9227</Words>
  <Characters>52598</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george.marangoly</dc:creator>
  <cp:lastModifiedBy>McGurgan, Danielle</cp:lastModifiedBy>
  <cp:revision>2</cp:revision>
  <cp:lastPrinted>2015-07-07T23:28:00Z</cp:lastPrinted>
  <dcterms:created xsi:type="dcterms:W3CDTF">2015-07-27T04:37:00Z</dcterms:created>
  <dcterms:modified xsi:type="dcterms:W3CDTF">2015-07-27T04:37:00Z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B998176</vt:lpwstr>
  </property>
  <property fmtid="{D5CDD505-2E9C-101B-9397-08002B2CF9AE}" pid="4" name="Objective-Title">
    <vt:lpwstr>Explanatory Statement - Facilitating electronic delivery of FS disclosure 2015-647 (with RIS)150720</vt:lpwstr>
  </property>
  <property fmtid="{D5CDD505-2E9C-101B-9397-08002B2CF9AE}" pid="5" name="Objective-Comment">
    <vt:lpwstr>
    </vt:lpwstr>
  </property>
  <property fmtid="{D5CDD505-2E9C-101B-9397-08002B2CF9AE}" pid="6" name="Objective-CreationStamp">
    <vt:filetime>2015-07-13T08:00:01Z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2015-07-23T04:23:20Z</vt:filetime>
  </property>
  <property fmtid="{D5CDD505-2E9C-101B-9397-08002B2CF9AE}" pid="11" name="Objective-Owner">
    <vt:lpwstr>Ashly Hope</vt:lpwstr>
  </property>
  <property fmtid="{D5CDD505-2E9C-101B-9397-08002B2CF9AE}" pid="12" name="Objective-Path">
    <vt:lpwstr>BCS:ASIC:POLICY &amp; REGULATORY FRAMEWORK:Policy Development:Other - Policy Development:Online Disclosure:Further facilitating digital disclosure - 2014--15:Instruments and Explanatory Statements:Explanatory Statements:</vt:lpwstr>
  </property>
  <property fmtid="{D5CDD505-2E9C-101B-9397-08002B2CF9AE}" pid="13" name="Objective-Parent">
    <vt:lpwstr>Explanatory Statements</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