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752C0" w:rsidRDefault="00193461" w:rsidP="00C63713">
      <w:pPr>
        <w:rPr>
          <w:sz w:val="28"/>
        </w:rPr>
      </w:pPr>
      <w:r w:rsidRPr="00E752C0">
        <w:rPr>
          <w:noProof/>
          <w:lang w:eastAsia="en-AU"/>
        </w:rPr>
        <w:drawing>
          <wp:inline distT="0" distB="0" distL="0" distR="0" wp14:anchorId="2BD7DB78" wp14:editId="130B591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752C0" w:rsidRDefault="0048364F" w:rsidP="0048364F">
      <w:pPr>
        <w:rPr>
          <w:sz w:val="19"/>
        </w:rPr>
      </w:pPr>
    </w:p>
    <w:p w:rsidR="0048364F" w:rsidRPr="00E752C0" w:rsidRDefault="0040381B" w:rsidP="0048364F">
      <w:pPr>
        <w:pStyle w:val="ShortT"/>
      </w:pPr>
      <w:r w:rsidRPr="00E752C0">
        <w:t xml:space="preserve">Aviation Transport Security Amendment </w:t>
      </w:r>
      <w:r w:rsidR="007A022F" w:rsidRPr="00E752C0">
        <w:t>(2015 Measures No.</w:t>
      </w:r>
      <w:r w:rsidR="00E752C0" w:rsidRPr="00E752C0">
        <w:t> </w:t>
      </w:r>
      <w:r w:rsidR="00176CB8" w:rsidRPr="00E752C0">
        <w:t>2</w:t>
      </w:r>
      <w:r w:rsidR="007A022F" w:rsidRPr="00E752C0">
        <w:t xml:space="preserve">) </w:t>
      </w:r>
      <w:r w:rsidRPr="00E752C0">
        <w:t>Regulation</w:t>
      </w:r>
      <w:r w:rsidR="00E752C0" w:rsidRPr="00E752C0">
        <w:t> </w:t>
      </w:r>
      <w:r w:rsidRPr="00E752C0">
        <w:t>2015</w:t>
      </w:r>
    </w:p>
    <w:p w:rsidR="0048364F" w:rsidRPr="00E752C0" w:rsidRDefault="0048364F" w:rsidP="0048364F"/>
    <w:p w:rsidR="0048364F" w:rsidRPr="00E752C0" w:rsidRDefault="00A4361F" w:rsidP="00680F17">
      <w:pPr>
        <w:pStyle w:val="InstNo"/>
      </w:pPr>
      <w:r w:rsidRPr="00E752C0">
        <w:t>Select Legislative Instrument</w:t>
      </w:r>
      <w:r w:rsidR="00154EAC" w:rsidRPr="00E752C0">
        <w:t xml:space="preserve"> </w:t>
      </w:r>
      <w:bookmarkStart w:id="0" w:name="BKCheck15B_1"/>
      <w:bookmarkEnd w:id="0"/>
      <w:r w:rsidR="00D0104A" w:rsidRPr="00E752C0">
        <w:fldChar w:fldCharType="begin"/>
      </w:r>
      <w:r w:rsidR="00D0104A" w:rsidRPr="00E752C0">
        <w:instrText xml:space="preserve"> DOCPROPERTY  ActNo </w:instrText>
      </w:r>
      <w:r w:rsidR="00D0104A" w:rsidRPr="00E752C0">
        <w:fldChar w:fldCharType="separate"/>
      </w:r>
      <w:r w:rsidR="00DF2933">
        <w:t>No. 124, 2015</w:t>
      </w:r>
      <w:r w:rsidR="00D0104A" w:rsidRPr="00E752C0">
        <w:fldChar w:fldCharType="end"/>
      </w:r>
    </w:p>
    <w:p w:rsidR="00B82475" w:rsidRPr="00E752C0" w:rsidRDefault="00B82475" w:rsidP="002D0C00">
      <w:pPr>
        <w:pStyle w:val="SignCoverPageStart"/>
        <w:spacing w:before="240"/>
        <w:rPr>
          <w:szCs w:val="22"/>
        </w:rPr>
      </w:pPr>
      <w:r w:rsidRPr="00E752C0">
        <w:rPr>
          <w:szCs w:val="22"/>
        </w:rPr>
        <w:t>I, General the Honourable Sir Peter Cosgrove AK MC (</w:t>
      </w:r>
      <w:proofErr w:type="spellStart"/>
      <w:r w:rsidRPr="00E752C0">
        <w:rPr>
          <w:szCs w:val="22"/>
        </w:rPr>
        <w:t>Ret’d</w:t>
      </w:r>
      <w:proofErr w:type="spellEnd"/>
      <w:r w:rsidRPr="00E752C0">
        <w:rPr>
          <w:szCs w:val="22"/>
        </w:rPr>
        <w:t xml:space="preserve">), </w:t>
      </w:r>
      <w:r w:rsidR="00E752C0" w:rsidRPr="00E752C0">
        <w:rPr>
          <w:szCs w:val="22"/>
        </w:rPr>
        <w:t>Governor</w:t>
      </w:r>
      <w:r w:rsidR="00E752C0">
        <w:rPr>
          <w:szCs w:val="22"/>
        </w:rPr>
        <w:noBreakHyphen/>
      </w:r>
      <w:r w:rsidR="00E752C0" w:rsidRPr="00E752C0">
        <w:rPr>
          <w:szCs w:val="22"/>
        </w:rPr>
        <w:t>General</w:t>
      </w:r>
      <w:r w:rsidRPr="00E752C0">
        <w:rPr>
          <w:szCs w:val="22"/>
        </w:rPr>
        <w:t xml:space="preserve"> of the Commonwealth of Australia, acting with the advice of the Federal Executive Council, make the following regulation.</w:t>
      </w:r>
    </w:p>
    <w:p w:rsidR="00B82475" w:rsidRPr="00E752C0" w:rsidRDefault="00B82475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E752C0">
        <w:rPr>
          <w:szCs w:val="22"/>
        </w:rPr>
        <w:t xml:space="preserve">Dated </w:t>
      </w:r>
      <w:bookmarkStart w:id="1" w:name="BKCheck15B_2"/>
      <w:bookmarkEnd w:id="1"/>
      <w:r w:rsidRPr="00E752C0">
        <w:rPr>
          <w:szCs w:val="22"/>
        </w:rPr>
        <w:fldChar w:fldCharType="begin"/>
      </w:r>
      <w:r w:rsidRPr="00E752C0">
        <w:rPr>
          <w:szCs w:val="22"/>
        </w:rPr>
        <w:instrText xml:space="preserve"> DOCPROPERTY  DateMade </w:instrText>
      </w:r>
      <w:r w:rsidRPr="00E752C0">
        <w:rPr>
          <w:szCs w:val="22"/>
        </w:rPr>
        <w:fldChar w:fldCharType="separate"/>
      </w:r>
      <w:r w:rsidR="00DF2933">
        <w:rPr>
          <w:szCs w:val="22"/>
        </w:rPr>
        <w:t>23 July 2015</w:t>
      </w:r>
      <w:r w:rsidRPr="00E752C0">
        <w:rPr>
          <w:szCs w:val="22"/>
        </w:rPr>
        <w:fldChar w:fldCharType="end"/>
      </w:r>
    </w:p>
    <w:p w:rsidR="00B82475" w:rsidRPr="00E752C0" w:rsidRDefault="00B82475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752C0">
        <w:rPr>
          <w:szCs w:val="22"/>
        </w:rPr>
        <w:t>Peter Cosgrove</w:t>
      </w:r>
    </w:p>
    <w:p w:rsidR="00B82475" w:rsidRPr="00E752C0" w:rsidRDefault="00E752C0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752C0">
        <w:rPr>
          <w:szCs w:val="22"/>
        </w:rPr>
        <w:t>Governor</w:t>
      </w:r>
      <w:r>
        <w:rPr>
          <w:szCs w:val="22"/>
        </w:rPr>
        <w:noBreakHyphen/>
      </w:r>
      <w:r w:rsidRPr="00E752C0">
        <w:rPr>
          <w:szCs w:val="22"/>
        </w:rPr>
        <w:t>General</w:t>
      </w:r>
    </w:p>
    <w:p w:rsidR="00B82475" w:rsidRPr="00E752C0" w:rsidRDefault="00B82475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752C0">
        <w:rPr>
          <w:szCs w:val="22"/>
        </w:rPr>
        <w:t>By His Excellency’s Command</w:t>
      </w:r>
    </w:p>
    <w:p w:rsidR="00B82475" w:rsidRPr="00E752C0" w:rsidRDefault="00B82475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752C0">
        <w:rPr>
          <w:szCs w:val="22"/>
        </w:rPr>
        <w:t>Warren Truss</w:t>
      </w:r>
    </w:p>
    <w:p w:rsidR="00B82475" w:rsidRPr="00E752C0" w:rsidRDefault="00B82475" w:rsidP="002D0C00">
      <w:pPr>
        <w:pStyle w:val="SignCoverPageEnd"/>
        <w:rPr>
          <w:szCs w:val="22"/>
        </w:rPr>
      </w:pPr>
      <w:r w:rsidRPr="00E752C0">
        <w:rPr>
          <w:szCs w:val="22"/>
        </w:rPr>
        <w:t>Minister for Infrastructure and Regional Development</w:t>
      </w:r>
    </w:p>
    <w:p w:rsidR="00B82475" w:rsidRPr="00E752C0" w:rsidRDefault="00B82475" w:rsidP="00B82475"/>
    <w:p w:rsidR="0048364F" w:rsidRPr="00E752C0" w:rsidRDefault="0048364F" w:rsidP="0048364F">
      <w:pPr>
        <w:pStyle w:val="Header"/>
        <w:tabs>
          <w:tab w:val="clear" w:pos="4150"/>
          <w:tab w:val="clear" w:pos="8307"/>
        </w:tabs>
      </w:pPr>
      <w:r w:rsidRPr="00E752C0">
        <w:rPr>
          <w:rStyle w:val="CharAmSchNo"/>
        </w:rPr>
        <w:t xml:space="preserve"> </w:t>
      </w:r>
      <w:r w:rsidRPr="00E752C0">
        <w:rPr>
          <w:rStyle w:val="CharAmSchText"/>
        </w:rPr>
        <w:t xml:space="preserve"> </w:t>
      </w:r>
    </w:p>
    <w:p w:rsidR="0048364F" w:rsidRPr="00E752C0" w:rsidRDefault="0048364F" w:rsidP="0048364F">
      <w:pPr>
        <w:pStyle w:val="Header"/>
        <w:tabs>
          <w:tab w:val="clear" w:pos="4150"/>
          <w:tab w:val="clear" w:pos="8307"/>
        </w:tabs>
      </w:pPr>
      <w:r w:rsidRPr="00E752C0">
        <w:rPr>
          <w:rStyle w:val="CharAmPartNo"/>
        </w:rPr>
        <w:t xml:space="preserve"> </w:t>
      </w:r>
      <w:r w:rsidRPr="00E752C0">
        <w:rPr>
          <w:rStyle w:val="CharAmPartText"/>
        </w:rPr>
        <w:t xml:space="preserve"> </w:t>
      </w:r>
    </w:p>
    <w:p w:rsidR="0048364F" w:rsidRPr="00E752C0" w:rsidRDefault="0048364F" w:rsidP="0048364F">
      <w:pPr>
        <w:sectPr w:rsidR="0048364F" w:rsidRPr="00E752C0" w:rsidSect="00F272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752C0" w:rsidRDefault="0048364F" w:rsidP="0025519C">
      <w:pPr>
        <w:rPr>
          <w:sz w:val="36"/>
        </w:rPr>
      </w:pPr>
      <w:r w:rsidRPr="00E752C0">
        <w:rPr>
          <w:sz w:val="36"/>
        </w:rPr>
        <w:lastRenderedPageBreak/>
        <w:t>Contents</w:t>
      </w:r>
    </w:p>
    <w:bookmarkStart w:id="2" w:name="BKCheck15B_3"/>
    <w:bookmarkEnd w:id="2"/>
    <w:p w:rsidR="008313A6" w:rsidRPr="00E752C0" w:rsidRDefault="008313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2C0">
        <w:fldChar w:fldCharType="begin"/>
      </w:r>
      <w:r w:rsidRPr="00E752C0">
        <w:instrText xml:space="preserve"> TOC \o "1-9" </w:instrText>
      </w:r>
      <w:r w:rsidRPr="00E752C0">
        <w:fldChar w:fldCharType="separate"/>
      </w:r>
      <w:r w:rsidRPr="00E752C0">
        <w:rPr>
          <w:noProof/>
        </w:rPr>
        <w:t>1</w:t>
      </w:r>
      <w:r w:rsidRPr="00E752C0">
        <w:rPr>
          <w:noProof/>
        </w:rPr>
        <w:tab/>
        <w:t>Name</w:t>
      </w:r>
      <w:r w:rsidRPr="00E752C0">
        <w:rPr>
          <w:noProof/>
        </w:rPr>
        <w:tab/>
      </w:r>
      <w:r w:rsidRPr="00E752C0">
        <w:rPr>
          <w:noProof/>
        </w:rPr>
        <w:fldChar w:fldCharType="begin"/>
      </w:r>
      <w:r w:rsidRPr="00E752C0">
        <w:rPr>
          <w:noProof/>
        </w:rPr>
        <w:instrText xml:space="preserve"> PAGEREF _Toc424290721 \h </w:instrText>
      </w:r>
      <w:r w:rsidRPr="00E752C0">
        <w:rPr>
          <w:noProof/>
        </w:rPr>
      </w:r>
      <w:r w:rsidRPr="00E752C0">
        <w:rPr>
          <w:noProof/>
        </w:rPr>
        <w:fldChar w:fldCharType="separate"/>
      </w:r>
      <w:r w:rsidR="00DF2933">
        <w:rPr>
          <w:noProof/>
        </w:rPr>
        <w:t>1</w:t>
      </w:r>
      <w:r w:rsidRPr="00E752C0">
        <w:rPr>
          <w:noProof/>
        </w:rPr>
        <w:fldChar w:fldCharType="end"/>
      </w:r>
    </w:p>
    <w:p w:rsidR="008313A6" w:rsidRPr="00E752C0" w:rsidRDefault="008313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2C0">
        <w:rPr>
          <w:noProof/>
        </w:rPr>
        <w:t>2</w:t>
      </w:r>
      <w:r w:rsidRPr="00E752C0">
        <w:rPr>
          <w:noProof/>
        </w:rPr>
        <w:tab/>
        <w:t>Commencement</w:t>
      </w:r>
      <w:r w:rsidRPr="00E752C0">
        <w:rPr>
          <w:noProof/>
        </w:rPr>
        <w:tab/>
      </w:r>
      <w:r w:rsidRPr="00E752C0">
        <w:rPr>
          <w:noProof/>
        </w:rPr>
        <w:fldChar w:fldCharType="begin"/>
      </w:r>
      <w:r w:rsidRPr="00E752C0">
        <w:rPr>
          <w:noProof/>
        </w:rPr>
        <w:instrText xml:space="preserve"> PAGEREF _Toc424290722 \h </w:instrText>
      </w:r>
      <w:r w:rsidRPr="00E752C0">
        <w:rPr>
          <w:noProof/>
        </w:rPr>
      </w:r>
      <w:r w:rsidRPr="00E752C0">
        <w:rPr>
          <w:noProof/>
        </w:rPr>
        <w:fldChar w:fldCharType="separate"/>
      </w:r>
      <w:r w:rsidR="00DF2933">
        <w:rPr>
          <w:noProof/>
        </w:rPr>
        <w:t>1</w:t>
      </w:r>
      <w:r w:rsidRPr="00E752C0">
        <w:rPr>
          <w:noProof/>
        </w:rPr>
        <w:fldChar w:fldCharType="end"/>
      </w:r>
    </w:p>
    <w:p w:rsidR="008313A6" w:rsidRPr="00E752C0" w:rsidRDefault="008313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2C0">
        <w:rPr>
          <w:noProof/>
        </w:rPr>
        <w:t>3</w:t>
      </w:r>
      <w:r w:rsidRPr="00E752C0">
        <w:rPr>
          <w:noProof/>
        </w:rPr>
        <w:tab/>
        <w:t>Authority</w:t>
      </w:r>
      <w:r w:rsidRPr="00E752C0">
        <w:rPr>
          <w:noProof/>
        </w:rPr>
        <w:tab/>
      </w:r>
      <w:r w:rsidRPr="00E752C0">
        <w:rPr>
          <w:noProof/>
        </w:rPr>
        <w:fldChar w:fldCharType="begin"/>
      </w:r>
      <w:r w:rsidRPr="00E752C0">
        <w:rPr>
          <w:noProof/>
        </w:rPr>
        <w:instrText xml:space="preserve"> PAGEREF _Toc424290723 \h </w:instrText>
      </w:r>
      <w:r w:rsidRPr="00E752C0">
        <w:rPr>
          <w:noProof/>
        </w:rPr>
      </w:r>
      <w:r w:rsidRPr="00E752C0">
        <w:rPr>
          <w:noProof/>
        </w:rPr>
        <w:fldChar w:fldCharType="separate"/>
      </w:r>
      <w:r w:rsidR="00DF2933">
        <w:rPr>
          <w:noProof/>
        </w:rPr>
        <w:t>1</w:t>
      </w:r>
      <w:r w:rsidRPr="00E752C0">
        <w:rPr>
          <w:noProof/>
        </w:rPr>
        <w:fldChar w:fldCharType="end"/>
      </w:r>
    </w:p>
    <w:p w:rsidR="008313A6" w:rsidRPr="00E752C0" w:rsidRDefault="008313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2C0">
        <w:rPr>
          <w:noProof/>
        </w:rPr>
        <w:t>4</w:t>
      </w:r>
      <w:r w:rsidRPr="00E752C0">
        <w:rPr>
          <w:noProof/>
        </w:rPr>
        <w:tab/>
        <w:t>Schedules</w:t>
      </w:r>
      <w:r w:rsidRPr="00E752C0">
        <w:rPr>
          <w:noProof/>
        </w:rPr>
        <w:tab/>
      </w:r>
      <w:r w:rsidRPr="00E752C0">
        <w:rPr>
          <w:noProof/>
        </w:rPr>
        <w:fldChar w:fldCharType="begin"/>
      </w:r>
      <w:r w:rsidRPr="00E752C0">
        <w:rPr>
          <w:noProof/>
        </w:rPr>
        <w:instrText xml:space="preserve"> PAGEREF _Toc424290724 \h </w:instrText>
      </w:r>
      <w:r w:rsidRPr="00E752C0">
        <w:rPr>
          <w:noProof/>
        </w:rPr>
      </w:r>
      <w:r w:rsidRPr="00E752C0">
        <w:rPr>
          <w:noProof/>
        </w:rPr>
        <w:fldChar w:fldCharType="separate"/>
      </w:r>
      <w:r w:rsidR="00DF2933">
        <w:rPr>
          <w:noProof/>
        </w:rPr>
        <w:t>1</w:t>
      </w:r>
      <w:r w:rsidRPr="00E752C0">
        <w:rPr>
          <w:noProof/>
        </w:rPr>
        <w:fldChar w:fldCharType="end"/>
      </w:r>
    </w:p>
    <w:p w:rsidR="008313A6" w:rsidRPr="00E752C0" w:rsidRDefault="008313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752C0">
        <w:rPr>
          <w:noProof/>
        </w:rPr>
        <w:t>Schedule</w:t>
      </w:r>
      <w:r w:rsidR="00E752C0" w:rsidRPr="00E752C0">
        <w:rPr>
          <w:noProof/>
        </w:rPr>
        <w:t> </w:t>
      </w:r>
      <w:r w:rsidRPr="00E752C0">
        <w:rPr>
          <w:noProof/>
        </w:rPr>
        <w:t>1—Amendments</w:t>
      </w:r>
      <w:r w:rsidRPr="00E752C0">
        <w:rPr>
          <w:b w:val="0"/>
          <w:noProof/>
          <w:sz w:val="18"/>
        </w:rPr>
        <w:tab/>
      </w:r>
      <w:r w:rsidRPr="00E752C0">
        <w:rPr>
          <w:b w:val="0"/>
          <w:noProof/>
          <w:sz w:val="18"/>
        </w:rPr>
        <w:fldChar w:fldCharType="begin"/>
      </w:r>
      <w:r w:rsidRPr="00E752C0">
        <w:rPr>
          <w:b w:val="0"/>
          <w:noProof/>
          <w:sz w:val="18"/>
        </w:rPr>
        <w:instrText xml:space="preserve"> PAGEREF _Toc424290725 \h </w:instrText>
      </w:r>
      <w:r w:rsidRPr="00E752C0">
        <w:rPr>
          <w:b w:val="0"/>
          <w:noProof/>
          <w:sz w:val="18"/>
        </w:rPr>
      </w:r>
      <w:r w:rsidRPr="00E752C0">
        <w:rPr>
          <w:b w:val="0"/>
          <w:noProof/>
          <w:sz w:val="18"/>
        </w:rPr>
        <w:fldChar w:fldCharType="separate"/>
      </w:r>
      <w:r w:rsidR="00DF2933">
        <w:rPr>
          <w:b w:val="0"/>
          <w:noProof/>
          <w:sz w:val="18"/>
        </w:rPr>
        <w:t>2</w:t>
      </w:r>
      <w:r w:rsidRPr="00E752C0">
        <w:rPr>
          <w:b w:val="0"/>
          <w:noProof/>
          <w:sz w:val="18"/>
        </w:rPr>
        <w:fldChar w:fldCharType="end"/>
      </w:r>
    </w:p>
    <w:p w:rsidR="008313A6" w:rsidRPr="00E752C0" w:rsidRDefault="008313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752C0">
        <w:rPr>
          <w:noProof/>
        </w:rPr>
        <w:t>Aviation Transport Security Regulations</w:t>
      </w:r>
      <w:r w:rsidR="00E752C0" w:rsidRPr="00E752C0">
        <w:rPr>
          <w:noProof/>
        </w:rPr>
        <w:t> </w:t>
      </w:r>
      <w:r w:rsidRPr="00E752C0">
        <w:rPr>
          <w:noProof/>
        </w:rPr>
        <w:t>2005</w:t>
      </w:r>
      <w:r w:rsidRPr="00E752C0">
        <w:rPr>
          <w:i w:val="0"/>
          <w:noProof/>
          <w:sz w:val="18"/>
        </w:rPr>
        <w:tab/>
      </w:r>
      <w:r w:rsidRPr="00E752C0">
        <w:rPr>
          <w:i w:val="0"/>
          <w:noProof/>
          <w:sz w:val="18"/>
        </w:rPr>
        <w:fldChar w:fldCharType="begin"/>
      </w:r>
      <w:r w:rsidRPr="00E752C0">
        <w:rPr>
          <w:i w:val="0"/>
          <w:noProof/>
          <w:sz w:val="18"/>
        </w:rPr>
        <w:instrText xml:space="preserve"> PAGEREF _Toc424290726 \h </w:instrText>
      </w:r>
      <w:r w:rsidRPr="00E752C0">
        <w:rPr>
          <w:i w:val="0"/>
          <w:noProof/>
          <w:sz w:val="18"/>
        </w:rPr>
      </w:r>
      <w:r w:rsidRPr="00E752C0">
        <w:rPr>
          <w:i w:val="0"/>
          <w:noProof/>
          <w:sz w:val="18"/>
        </w:rPr>
        <w:fldChar w:fldCharType="separate"/>
      </w:r>
      <w:r w:rsidR="00DF2933">
        <w:rPr>
          <w:i w:val="0"/>
          <w:noProof/>
          <w:sz w:val="18"/>
        </w:rPr>
        <w:t>2</w:t>
      </w:r>
      <w:r w:rsidRPr="00E752C0">
        <w:rPr>
          <w:i w:val="0"/>
          <w:noProof/>
          <w:sz w:val="18"/>
        </w:rPr>
        <w:fldChar w:fldCharType="end"/>
      </w:r>
    </w:p>
    <w:p w:rsidR="00833416" w:rsidRPr="00E752C0" w:rsidRDefault="008313A6" w:rsidP="0048364F">
      <w:r w:rsidRPr="00E752C0">
        <w:fldChar w:fldCharType="end"/>
      </w:r>
    </w:p>
    <w:p w:rsidR="00722023" w:rsidRPr="00E752C0" w:rsidRDefault="00722023" w:rsidP="0048364F">
      <w:pPr>
        <w:sectPr w:rsidR="00722023" w:rsidRPr="00E752C0" w:rsidSect="00F272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752C0" w:rsidRDefault="0048364F" w:rsidP="0048364F">
      <w:pPr>
        <w:pStyle w:val="ActHead5"/>
      </w:pPr>
      <w:bookmarkStart w:id="3" w:name="_Toc424290721"/>
      <w:r w:rsidRPr="00E752C0">
        <w:rPr>
          <w:rStyle w:val="CharSectno"/>
        </w:rPr>
        <w:lastRenderedPageBreak/>
        <w:t>1</w:t>
      </w:r>
      <w:r w:rsidRPr="00E752C0">
        <w:t xml:space="preserve">  </w:t>
      </w:r>
      <w:r w:rsidR="004F676E" w:rsidRPr="00E752C0">
        <w:t>Name</w:t>
      </w:r>
      <w:bookmarkEnd w:id="3"/>
    </w:p>
    <w:p w:rsidR="0048364F" w:rsidRPr="00E752C0" w:rsidRDefault="0048364F" w:rsidP="0048364F">
      <w:pPr>
        <w:pStyle w:val="subsection"/>
      </w:pPr>
      <w:r w:rsidRPr="00E752C0">
        <w:tab/>
      </w:r>
      <w:r w:rsidRPr="00E752C0">
        <w:tab/>
        <w:t>Th</w:t>
      </w:r>
      <w:r w:rsidR="00F24C35" w:rsidRPr="00E752C0">
        <w:t>is</w:t>
      </w:r>
      <w:r w:rsidRPr="00E752C0">
        <w:t xml:space="preserve"> </w:t>
      </w:r>
      <w:r w:rsidR="00F24C35" w:rsidRPr="00E752C0">
        <w:t>is</w:t>
      </w:r>
      <w:r w:rsidR="003801D0" w:rsidRPr="00E752C0">
        <w:t xml:space="preserve"> the</w:t>
      </w:r>
      <w:r w:rsidRPr="00E752C0">
        <w:t xml:space="preserve"> </w:t>
      </w:r>
      <w:bookmarkStart w:id="4" w:name="BKCheck15B_4"/>
      <w:bookmarkEnd w:id="4"/>
      <w:r w:rsidR="00CB0180" w:rsidRPr="00E752C0">
        <w:rPr>
          <w:i/>
        </w:rPr>
        <w:fldChar w:fldCharType="begin"/>
      </w:r>
      <w:r w:rsidR="00CB0180" w:rsidRPr="00E752C0">
        <w:rPr>
          <w:i/>
        </w:rPr>
        <w:instrText xml:space="preserve"> STYLEREF  ShortT </w:instrText>
      </w:r>
      <w:r w:rsidR="00CB0180" w:rsidRPr="00E752C0">
        <w:rPr>
          <w:i/>
        </w:rPr>
        <w:fldChar w:fldCharType="separate"/>
      </w:r>
      <w:r w:rsidR="00DF2933">
        <w:rPr>
          <w:i/>
          <w:noProof/>
        </w:rPr>
        <w:t>Aviation Transport Security Amendment (2015 Measures No. 2) Regulation 2015</w:t>
      </w:r>
      <w:r w:rsidR="00CB0180" w:rsidRPr="00E752C0">
        <w:rPr>
          <w:i/>
        </w:rPr>
        <w:fldChar w:fldCharType="end"/>
      </w:r>
      <w:r w:rsidRPr="00E752C0">
        <w:t>.</w:t>
      </w:r>
    </w:p>
    <w:p w:rsidR="0048364F" w:rsidRPr="00E752C0" w:rsidRDefault="0048364F" w:rsidP="0048364F">
      <w:pPr>
        <w:pStyle w:val="ActHead5"/>
      </w:pPr>
      <w:bookmarkStart w:id="5" w:name="_Toc424290722"/>
      <w:r w:rsidRPr="00E752C0">
        <w:rPr>
          <w:rStyle w:val="CharSectno"/>
        </w:rPr>
        <w:t>2</w:t>
      </w:r>
      <w:r w:rsidRPr="00E752C0">
        <w:t xml:space="preserve">  Commencement</w:t>
      </w:r>
      <w:bookmarkEnd w:id="5"/>
    </w:p>
    <w:p w:rsidR="00636473" w:rsidRPr="00E752C0" w:rsidRDefault="00636473" w:rsidP="00A664CA">
      <w:pPr>
        <w:pStyle w:val="subsection"/>
      </w:pPr>
      <w:r w:rsidRPr="00E752C0">
        <w:tab/>
        <w:t>(1)</w:t>
      </w:r>
      <w:r w:rsidRPr="00E752C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36473" w:rsidRPr="00E752C0" w:rsidRDefault="00636473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36473" w:rsidRPr="00E752C0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36473" w:rsidRPr="00E752C0" w:rsidRDefault="00636473" w:rsidP="00A664CA">
            <w:pPr>
              <w:pStyle w:val="TableHeading"/>
            </w:pPr>
            <w:r w:rsidRPr="00E752C0">
              <w:t>Commencement information</w:t>
            </w:r>
          </w:p>
        </w:tc>
      </w:tr>
      <w:tr w:rsidR="00636473" w:rsidRPr="00E752C0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6473" w:rsidRPr="00E752C0" w:rsidRDefault="00636473" w:rsidP="00A664CA">
            <w:pPr>
              <w:pStyle w:val="TableHeading"/>
            </w:pPr>
            <w:r w:rsidRPr="00E752C0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6473" w:rsidRPr="00E752C0" w:rsidRDefault="00636473" w:rsidP="00A664CA">
            <w:pPr>
              <w:pStyle w:val="TableHeading"/>
            </w:pPr>
            <w:r w:rsidRPr="00E752C0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6473" w:rsidRPr="00E752C0" w:rsidRDefault="00636473" w:rsidP="00A664CA">
            <w:pPr>
              <w:pStyle w:val="TableHeading"/>
            </w:pPr>
            <w:r w:rsidRPr="00E752C0">
              <w:t>Column 3</w:t>
            </w:r>
          </w:p>
        </w:tc>
      </w:tr>
      <w:tr w:rsidR="00636473" w:rsidRPr="00E752C0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6473" w:rsidRPr="00E752C0" w:rsidRDefault="00636473" w:rsidP="00A664CA">
            <w:pPr>
              <w:pStyle w:val="TableHeading"/>
            </w:pPr>
            <w:r w:rsidRPr="00E752C0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6473" w:rsidRPr="00E752C0" w:rsidRDefault="00636473" w:rsidP="00A664CA">
            <w:pPr>
              <w:pStyle w:val="TableHeading"/>
            </w:pPr>
            <w:r w:rsidRPr="00E752C0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6473" w:rsidRPr="00E752C0" w:rsidRDefault="00636473" w:rsidP="00A664CA">
            <w:pPr>
              <w:pStyle w:val="TableHeading"/>
            </w:pPr>
            <w:r w:rsidRPr="00E752C0">
              <w:t>Date/Details</w:t>
            </w:r>
          </w:p>
        </w:tc>
      </w:tr>
      <w:tr w:rsidR="00636473" w:rsidRPr="00E752C0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36473" w:rsidRPr="00E752C0" w:rsidRDefault="00636473" w:rsidP="005105AA">
            <w:pPr>
              <w:pStyle w:val="Tabletext"/>
            </w:pPr>
            <w:r w:rsidRPr="00E752C0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36473" w:rsidRPr="00E752C0" w:rsidRDefault="00636473" w:rsidP="00A664CA">
            <w:pPr>
              <w:pStyle w:val="Tabletext"/>
            </w:pPr>
            <w:r w:rsidRPr="00E752C0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6473" w:rsidRPr="00E752C0" w:rsidRDefault="00B81BB9" w:rsidP="00A664CA">
            <w:pPr>
              <w:pStyle w:val="Tabletext"/>
            </w:pPr>
            <w:r>
              <w:t>29 July 2015</w:t>
            </w:r>
            <w:bookmarkStart w:id="6" w:name="_GoBack"/>
            <w:bookmarkEnd w:id="6"/>
          </w:p>
        </w:tc>
      </w:tr>
    </w:tbl>
    <w:p w:rsidR="00636473" w:rsidRPr="00E752C0" w:rsidRDefault="00636473" w:rsidP="00A664CA">
      <w:pPr>
        <w:pStyle w:val="notetext"/>
      </w:pPr>
      <w:r w:rsidRPr="00E752C0">
        <w:rPr>
          <w:snapToGrid w:val="0"/>
          <w:lang w:eastAsia="en-US"/>
        </w:rPr>
        <w:t xml:space="preserve">Note: </w:t>
      </w:r>
      <w:r w:rsidRPr="00E752C0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636473" w:rsidRPr="00E752C0" w:rsidRDefault="00636473" w:rsidP="00A664CA">
      <w:pPr>
        <w:pStyle w:val="subsection"/>
      </w:pPr>
      <w:r w:rsidRPr="00E752C0">
        <w:tab/>
        <w:t>(2)</w:t>
      </w:r>
      <w:r w:rsidRPr="00E752C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E752C0" w:rsidRDefault="007769D4" w:rsidP="007769D4">
      <w:pPr>
        <w:pStyle w:val="ActHead5"/>
      </w:pPr>
      <w:bookmarkStart w:id="7" w:name="_Toc424290723"/>
      <w:r w:rsidRPr="00E752C0">
        <w:rPr>
          <w:rStyle w:val="CharSectno"/>
        </w:rPr>
        <w:t>3</w:t>
      </w:r>
      <w:r w:rsidRPr="00E752C0">
        <w:t xml:space="preserve">  Authority</w:t>
      </w:r>
      <w:bookmarkEnd w:id="7"/>
    </w:p>
    <w:p w:rsidR="007769D4" w:rsidRPr="00E752C0" w:rsidRDefault="007769D4" w:rsidP="007769D4">
      <w:pPr>
        <w:pStyle w:val="subsection"/>
        <w:rPr>
          <w:i/>
        </w:rPr>
      </w:pPr>
      <w:r w:rsidRPr="00E752C0">
        <w:tab/>
      </w:r>
      <w:r w:rsidRPr="00E752C0">
        <w:tab/>
      </w:r>
      <w:r w:rsidR="00AF0336" w:rsidRPr="00E752C0">
        <w:t xml:space="preserve">This </w:t>
      </w:r>
      <w:r w:rsidR="00011222" w:rsidRPr="00E752C0">
        <w:t>instrument</w:t>
      </w:r>
      <w:r w:rsidR="00AF0336" w:rsidRPr="00E752C0">
        <w:t xml:space="preserve"> is made under the </w:t>
      </w:r>
      <w:r w:rsidR="0040381B" w:rsidRPr="00E752C0">
        <w:rPr>
          <w:i/>
        </w:rPr>
        <w:t>Aviation Transport Security Act 2004</w:t>
      </w:r>
      <w:r w:rsidR="00D83D21" w:rsidRPr="00E752C0">
        <w:rPr>
          <w:i/>
        </w:rPr>
        <w:t>.</w:t>
      </w:r>
    </w:p>
    <w:p w:rsidR="00557C7A" w:rsidRPr="00E752C0" w:rsidRDefault="007769D4" w:rsidP="00557C7A">
      <w:pPr>
        <w:pStyle w:val="ActHead5"/>
      </w:pPr>
      <w:bookmarkStart w:id="8" w:name="_Toc424290724"/>
      <w:r w:rsidRPr="00E752C0">
        <w:rPr>
          <w:rStyle w:val="CharSectno"/>
        </w:rPr>
        <w:t>4</w:t>
      </w:r>
      <w:r w:rsidR="00557C7A" w:rsidRPr="00E752C0">
        <w:t xml:space="preserve">  </w:t>
      </w:r>
      <w:r w:rsidR="00B332B8" w:rsidRPr="00E752C0">
        <w:t>Schedules</w:t>
      </w:r>
      <w:bookmarkEnd w:id="8"/>
    </w:p>
    <w:p w:rsidR="00557C7A" w:rsidRPr="00E752C0" w:rsidRDefault="00557C7A" w:rsidP="00557C7A">
      <w:pPr>
        <w:pStyle w:val="subsection"/>
      </w:pPr>
      <w:r w:rsidRPr="00E752C0">
        <w:tab/>
      </w:r>
      <w:r w:rsidRPr="00E752C0">
        <w:tab/>
      </w:r>
      <w:r w:rsidR="00CD7ECB" w:rsidRPr="00E752C0">
        <w:t xml:space="preserve">Each instrument that is specified in a Schedule to </w:t>
      </w:r>
      <w:r w:rsidR="0040381B" w:rsidRPr="00E752C0">
        <w:t>this instrument</w:t>
      </w:r>
      <w:r w:rsidR="00C814F5" w:rsidRPr="00E752C0">
        <w:t xml:space="preserve"> </w:t>
      </w:r>
      <w:r w:rsidR="00CD7ECB" w:rsidRPr="00E752C0">
        <w:t xml:space="preserve">is amended or repealed as set out in the applicable items in the Schedule concerned, and any other item in a Schedule to </w:t>
      </w:r>
      <w:r w:rsidR="0040381B" w:rsidRPr="00E752C0">
        <w:t>this instrument</w:t>
      </w:r>
      <w:r w:rsidR="00CD7ECB" w:rsidRPr="00E752C0">
        <w:t xml:space="preserve"> has effect according to its terms.</w:t>
      </w:r>
    </w:p>
    <w:p w:rsidR="0048364F" w:rsidRPr="00E752C0" w:rsidRDefault="0048364F" w:rsidP="00FF3089">
      <w:pPr>
        <w:pStyle w:val="ActHead6"/>
        <w:pageBreakBefore/>
      </w:pPr>
      <w:bookmarkStart w:id="9" w:name="_Toc424290725"/>
      <w:bookmarkStart w:id="10" w:name="opcAmSched"/>
      <w:bookmarkStart w:id="11" w:name="opcCurrentFind"/>
      <w:r w:rsidRPr="00E752C0">
        <w:rPr>
          <w:rStyle w:val="CharAmSchNo"/>
        </w:rPr>
        <w:t>Schedule</w:t>
      </w:r>
      <w:r w:rsidR="00E752C0" w:rsidRPr="00E752C0">
        <w:rPr>
          <w:rStyle w:val="CharAmSchNo"/>
        </w:rPr>
        <w:t> </w:t>
      </w:r>
      <w:r w:rsidRPr="00E752C0">
        <w:rPr>
          <w:rStyle w:val="CharAmSchNo"/>
        </w:rPr>
        <w:t>1</w:t>
      </w:r>
      <w:r w:rsidRPr="00E752C0">
        <w:t>—</w:t>
      </w:r>
      <w:r w:rsidR="00460499" w:rsidRPr="00E752C0">
        <w:rPr>
          <w:rStyle w:val="CharAmSchText"/>
        </w:rPr>
        <w:t>Amendments</w:t>
      </w:r>
      <w:bookmarkEnd w:id="9"/>
    </w:p>
    <w:bookmarkEnd w:id="10"/>
    <w:bookmarkEnd w:id="11"/>
    <w:p w:rsidR="0004044E" w:rsidRPr="00E752C0" w:rsidRDefault="0004044E" w:rsidP="0004044E">
      <w:pPr>
        <w:pStyle w:val="Header"/>
      </w:pPr>
      <w:r w:rsidRPr="00E752C0">
        <w:rPr>
          <w:rStyle w:val="CharAmPartNo"/>
        </w:rPr>
        <w:t xml:space="preserve"> </w:t>
      </w:r>
      <w:r w:rsidRPr="00E752C0">
        <w:rPr>
          <w:rStyle w:val="CharAmPartText"/>
        </w:rPr>
        <w:t xml:space="preserve"> </w:t>
      </w:r>
    </w:p>
    <w:p w:rsidR="0046247E" w:rsidRPr="00E752C0" w:rsidRDefault="0046247E" w:rsidP="0046247E">
      <w:pPr>
        <w:pStyle w:val="ActHead9"/>
      </w:pPr>
      <w:bookmarkStart w:id="12" w:name="_Toc424290726"/>
      <w:r w:rsidRPr="00E752C0">
        <w:t>Aviation Transport Security Regulations</w:t>
      </w:r>
      <w:r w:rsidR="00E752C0" w:rsidRPr="00E752C0">
        <w:t> </w:t>
      </w:r>
      <w:r w:rsidRPr="00E752C0">
        <w:t>200</w:t>
      </w:r>
      <w:r w:rsidR="006C1AB4" w:rsidRPr="00E752C0">
        <w:t>5</w:t>
      </w:r>
      <w:bookmarkEnd w:id="12"/>
    </w:p>
    <w:p w:rsidR="002044AD" w:rsidRPr="00E752C0" w:rsidRDefault="00D9140F" w:rsidP="006C2C12">
      <w:pPr>
        <w:pStyle w:val="ItemHead"/>
        <w:tabs>
          <w:tab w:val="left" w:pos="6663"/>
        </w:tabs>
      </w:pPr>
      <w:r w:rsidRPr="00E752C0">
        <w:t>1</w:t>
      </w:r>
      <w:r w:rsidR="002044AD" w:rsidRPr="00E752C0">
        <w:t xml:space="preserve">  Regulation</w:t>
      </w:r>
      <w:r w:rsidR="00E752C0" w:rsidRPr="00E752C0">
        <w:t> </w:t>
      </w:r>
      <w:r w:rsidR="002044AD" w:rsidRPr="00E752C0">
        <w:t>5.09</w:t>
      </w:r>
    </w:p>
    <w:p w:rsidR="00251E08" w:rsidRPr="00E752C0" w:rsidRDefault="002044AD" w:rsidP="002044AD">
      <w:pPr>
        <w:pStyle w:val="Item"/>
      </w:pPr>
      <w:r w:rsidRPr="00E752C0">
        <w:t>Omit all the words after “</w:t>
      </w:r>
      <w:r w:rsidR="00152694" w:rsidRPr="00E752C0">
        <w:t xml:space="preserve">with the </w:t>
      </w:r>
      <w:r w:rsidR="008F2A51" w:rsidRPr="00E752C0">
        <w:t>Act</w:t>
      </w:r>
      <w:r w:rsidRPr="00E752C0">
        <w:t>”, substitute</w:t>
      </w:r>
      <w:r w:rsidR="00251E08" w:rsidRPr="00E752C0">
        <w:t xml:space="preserve"> “and these Regulations (in particular, the powers of an eligible customs officer under Division</w:t>
      </w:r>
      <w:r w:rsidR="00E752C0" w:rsidRPr="00E752C0">
        <w:t> </w:t>
      </w:r>
      <w:r w:rsidR="00251E08" w:rsidRPr="00E752C0">
        <w:t>3A of Part</w:t>
      </w:r>
      <w:r w:rsidR="00E752C0" w:rsidRPr="00E752C0">
        <w:t> </w:t>
      </w:r>
      <w:r w:rsidR="00251E08" w:rsidRPr="00E752C0">
        <w:t>5 of the Act and Part</w:t>
      </w:r>
      <w:r w:rsidR="00A12E3B" w:rsidRPr="00E752C0">
        <w:t>s</w:t>
      </w:r>
      <w:r w:rsidR="00E752C0" w:rsidRPr="00E752C0">
        <w:t> </w:t>
      </w:r>
      <w:r w:rsidR="00A12E3B" w:rsidRPr="00E752C0">
        <w:t>6 and</w:t>
      </w:r>
      <w:r w:rsidR="00D34349" w:rsidRPr="00E752C0">
        <w:t xml:space="preserve"> </w:t>
      </w:r>
      <w:r w:rsidR="00251E08" w:rsidRPr="00E752C0">
        <w:t>7 of these Regulations</w:t>
      </w:r>
      <w:r w:rsidR="00F27B0D" w:rsidRPr="00E752C0">
        <w:t>)</w:t>
      </w:r>
      <w:r w:rsidR="00251E08" w:rsidRPr="00E752C0">
        <w:t>”.</w:t>
      </w:r>
    </w:p>
    <w:p w:rsidR="006D3667" w:rsidRPr="00E752C0" w:rsidRDefault="00D9140F" w:rsidP="00F77521">
      <w:pPr>
        <w:pStyle w:val="ItemHead"/>
      </w:pPr>
      <w:r w:rsidRPr="00E752C0">
        <w:t>2</w:t>
      </w:r>
      <w:r w:rsidR="00BB6E79" w:rsidRPr="00E752C0">
        <w:t xml:space="preserve">  </w:t>
      </w:r>
      <w:r w:rsidR="00D0115C" w:rsidRPr="00E752C0">
        <w:t>Regulation</w:t>
      </w:r>
      <w:r w:rsidR="00E752C0" w:rsidRPr="00E752C0">
        <w:t> </w:t>
      </w:r>
      <w:r w:rsidR="00D0115C" w:rsidRPr="00E752C0">
        <w:t>6.52 (</w:t>
      </w:r>
      <w:r w:rsidR="00413F46" w:rsidRPr="00E752C0">
        <w:t xml:space="preserve">at the end of the </w:t>
      </w:r>
      <w:r w:rsidR="00D0115C" w:rsidRPr="00E752C0">
        <w:t xml:space="preserve">definition of </w:t>
      </w:r>
      <w:r w:rsidR="00D0115C" w:rsidRPr="00E752C0">
        <w:rPr>
          <w:i/>
        </w:rPr>
        <w:t>security officer</w:t>
      </w:r>
      <w:r w:rsidR="00D0115C" w:rsidRPr="00E752C0">
        <w:t>)</w:t>
      </w:r>
    </w:p>
    <w:p w:rsidR="00D0115C" w:rsidRPr="00E752C0" w:rsidRDefault="00413F46" w:rsidP="00D0115C">
      <w:pPr>
        <w:pStyle w:val="Item"/>
      </w:pPr>
      <w:r w:rsidRPr="00E752C0">
        <w:t>Add</w:t>
      </w:r>
      <w:r w:rsidR="00D0115C" w:rsidRPr="00E752C0">
        <w:t>:</w:t>
      </w:r>
    </w:p>
    <w:p w:rsidR="00D0115C" w:rsidRPr="00E752C0" w:rsidRDefault="00D0115C" w:rsidP="00D0115C">
      <w:pPr>
        <w:pStyle w:val="paragraph"/>
      </w:pPr>
      <w:r w:rsidRPr="00E752C0">
        <w:tab/>
        <w:t>; or</w:t>
      </w:r>
      <w:r w:rsidR="00413F46" w:rsidRPr="00E752C0">
        <w:t xml:space="preserve"> </w:t>
      </w:r>
      <w:r w:rsidRPr="00E752C0">
        <w:t>(d)</w:t>
      </w:r>
      <w:r w:rsidRPr="00E752C0">
        <w:tab/>
        <w:t>an eligible customs officer.</w:t>
      </w:r>
    </w:p>
    <w:p w:rsidR="00182151" w:rsidRPr="00E752C0" w:rsidRDefault="00D9140F" w:rsidP="00300E0F">
      <w:pPr>
        <w:pStyle w:val="ItemHead"/>
      </w:pPr>
      <w:r w:rsidRPr="00E752C0">
        <w:t>3</w:t>
      </w:r>
      <w:r w:rsidR="00182151" w:rsidRPr="00E752C0">
        <w:t xml:space="preserve">  </w:t>
      </w:r>
      <w:proofErr w:type="spellStart"/>
      <w:r w:rsidR="00182151" w:rsidRPr="00E752C0">
        <w:t>Subregulation</w:t>
      </w:r>
      <w:proofErr w:type="spellEnd"/>
      <w:r w:rsidR="00E752C0" w:rsidRPr="00E752C0">
        <w:t> </w:t>
      </w:r>
      <w:r w:rsidR="00182151" w:rsidRPr="00E752C0">
        <w:t>7.01(1)</w:t>
      </w:r>
    </w:p>
    <w:p w:rsidR="00182151" w:rsidRPr="00E752C0" w:rsidRDefault="00182151" w:rsidP="00182151">
      <w:pPr>
        <w:pStyle w:val="Item"/>
      </w:pPr>
      <w:r w:rsidRPr="00E752C0">
        <w:t xml:space="preserve">Repeal the </w:t>
      </w:r>
      <w:proofErr w:type="spellStart"/>
      <w:r w:rsidRPr="00E752C0">
        <w:t>subregulation</w:t>
      </w:r>
      <w:proofErr w:type="spellEnd"/>
      <w:r w:rsidRPr="00E752C0">
        <w:t>, substitute:</w:t>
      </w:r>
    </w:p>
    <w:p w:rsidR="00182151" w:rsidRPr="00E752C0" w:rsidRDefault="00182151" w:rsidP="00182151">
      <w:pPr>
        <w:pStyle w:val="subsection"/>
      </w:pPr>
      <w:r w:rsidRPr="00E752C0">
        <w:tab/>
        <w:t>(1)</w:t>
      </w:r>
      <w:r w:rsidRPr="00E752C0">
        <w:tab/>
        <w:t>For section</w:t>
      </w:r>
      <w:r w:rsidR="00E752C0" w:rsidRPr="00E752C0">
        <w:t> </w:t>
      </w:r>
      <w:r w:rsidRPr="00E752C0">
        <w:t xml:space="preserve">117 of the Act, this Part sets up an infringement notice scheme </w:t>
      </w:r>
      <w:r w:rsidR="00EB2C41" w:rsidRPr="00E752C0">
        <w:t xml:space="preserve">in relation </w:t>
      </w:r>
      <w:r w:rsidR="00E63C38" w:rsidRPr="00E752C0">
        <w:t xml:space="preserve">to alleged offences </w:t>
      </w:r>
      <w:r w:rsidR="00D942B7" w:rsidRPr="00E752C0">
        <w:t xml:space="preserve">against </w:t>
      </w:r>
      <w:r w:rsidR="00EB2C41" w:rsidRPr="00E752C0">
        <w:t xml:space="preserve">the </w:t>
      </w:r>
      <w:r w:rsidRPr="00E752C0">
        <w:t>Act and these Regulations as an alternative to prosecution.</w:t>
      </w:r>
    </w:p>
    <w:p w:rsidR="00300E0F" w:rsidRPr="00E752C0" w:rsidRDefault="00D9140F" w:rsidP="00300E0F">
      <w:pPr>
        <w:pStyle w:val="ItemHead"/>
      </w:pPr>
      <w:r w:rsidRPr="00E752C0">
        <w:t>4</w:t>
      </w:r>
      <w:r w:rsidR="004A0282" w:rsidRPr="00E752C0">
        <w:t xml:space="preserve">  Regulation</w:t>
      </w:r>
      <w:r w:rsidR="00E752C0" w:rsidRPr="00E752C0">
        <w:t> </w:t>
      </w:r>
      <w:r w:rsidR="004A0282" w:rsidRPr="00E752C0">
        <w:t xml:space="preserve">7.02 </w:t>
      </w:r>
      <w:r w:rsidR="00300E0F" w:rsidRPr="00E752C0">
        <w:t>(</w:t>
      </w:r>
      <w:r w:rsidR="000D0E0E" w:rsidRPr="00E752C0">
        <w:t xml:space="preserve">at the end of </w:t>
      </w:r>
      <w:r w:rsidR="00300E0F" w:rsidRPr="00E752C0">
        <w:t xml:space="preserve">the definition of </w:t>
      </w:r>
      <w:r w:rsidR="00300E0F" w:rsidRPr="00E752C0">
        <w:rPr>
          <w:i/>
        </w:rPr>
        <w:t>authorised person</w:t>
      </w:r>
      <w:r w:rsidR="00300E0F" w:rsidRPr="00E752C0">
        <w:t>)</w:t>
      </w:r>
    </w:p>
    <w:p w:rsidR="000D0E0E" w:rsidRPr="00E752C0" w:rsidRDefault="000D0E0E" w:rsidP="000D0E0E">
      <w:pPr>
        <w:pStyle w:val="Item"/>
      </w:pPr>
      <w:r w:rsidRPr="00E752C0">
        <w:t>Add:</w:t>
      </w:r>
    </w:p>
    <w:p w:rsidR="00300E0F" w:rsidRPr="00E752C0" w:rsidRDefault="000D0E0E" w:rsidP="00300E0F">
      <w:pPr>
        <w:pStyle w:val="paragraph"/>
      </w:pPr>
      <w:r w:rsidRPr="00E752C0">
        <w:tab/>
      </w:r>
      <w:r w:rsidR="00300E0F" w:rsidRPr="00E752C0">
        <w:t>; or</w:t>
      </w:r>
      <w:r w:rsidRPr="00E752C0">
        <w:t xml:space="preserve"> </w:t>
      </w:r>
      <w:r w:rsidR="00300E0F" w:rsidRPr="00E752C0">
        <w:t>(d)</w:t>
      </w:r>
      <w:r w:rsidR="00300E0F" w:rsidRPr="00E752C0">
        <w:tab/>
        <w:t>an eligible customs officer.</w:t>
      </w:r>
    </w:p>
    <w:p w:rsidR="00F57130" w:rsidRPr="00E752C0" w:rsidRDefault="00D9140F" w:rsidP="00F57130">
      <w:pPr>
        <w:pStyle w:val="ItemHead"/>
      </w:pPr>
      <w:r w:rsidRPr="00E752C0">
        <w:t>5</w:t>
      </w:r>
      <w:r w:rsidR="00F57130" w:rsidRPr="00E752C0">
        <w:t xml:space="preserve">  Regulation</w:t>
      </w:r>
      <w:r w:rsidR="00E752C0" w:rsidRPr="00E752C0">
        <w:t> </w:t>
      </w:r>
      <w:r w:rsidR="00F57130" w:rsidRPr="00E752C0">
        <w:t>7.03</w:t>
      </w:r>
    </w:p>
    <w:p w:rsidR="00F57130" w:rsidRPr="00E752C0" w:rsidRDefault="00F57130" w:rsidP="00F57130">
      <w:pPr>
        <w:pStyle w:val="Item"/>
      </w:pPr>
      <w:r w:rsidRPr="00E752C0">
        <w:t>Repeal the regulation, substitute:</w:t>
      </w:r>
    </w:p>
    <w:p w:rsidR="00F57130" w:rsidRPr="00E752C0" w:rsidRDefault="00F57130" w:rsidP="00F57130">
      <w:pPr>
        <w:pStyle w:val="ActHead5"/>
      </w:pPr>
      <w:bookmarkStart w:id="13" w:name="_Toc424290727"/>
      <w:r w:rsidRPr="00E752C0">
        <w:rPr>
          <w:rStyle w:val="CharSectno"/>
        </w:rPr>
        <w:t>7.03</w:t>
      </w:r>
      <w:r w:rsidRPr="00E752C0">
        <w:t xml:space="preserve">  </w:t>
      </w:r>
      <w:r w:rsidR="00FA304C" w:rsidRPr="00E752C0">
        <w:t>P</w:t>
      </w:r>
      <w:r w:rsidRPr="00E752C0">
        <w:t xml:space="preserve">enalty </w:t>
      </w:r>
      <w:r w:rsidR="006A284C" w:rsidRPr="00E752C0">
        <w:t xml:space="preserve">payable under </w:t>
      </w:r>
      <w:r w:rsidRPr="00E752C0">
        <w:t>infringement notice</w:t>
      </w:r>
      <w:bookmarkEnd w:id="13"/>
    </w:p>
    <w:p w:rsidR="007E3F90" w:rsidRPr="00E752C0" w:rsidRDefault="007E3F90" w:rsidP="007E3F90">
      <w:pPr>
        <w:pStyle w:val="Definition"/>
      </w:pPr>
      <w:r w:rsidRPr="00E752C0">
        <w:t xml:space="preserve">The penalty payable under an infringement notice issued under this Part </w:t>
      </w:r>
      <w:r w:rsidR="00A303C3" w:rsidRPr="00E752C0">
        <w:t xml:space="preserve">for </w:t>
      </w:r>
      <w:r w:rsidRPr="00E752C0">
        <w:t xml:space="preserve">an </w:t>
      </w:r>
      <w:r w:rsidR="00E63C38" w:rsidRPr="00E752C0">
        <w:t xml:space="preserve">alleged </w:t>
      </w:r>
      <w:r w:rsidR="008B50EC" w:rsidRPr="00E752C0">
        <w:t xml:space="preserve">offence against </w:t>
      </w:r>
      <w:r w:rsidRPr="00E752C0">
        <w:t>the Act or these Regulations is one</w:t>
      </w:r>
      <w:r w:rsidR="00E752C0">
        <w:noBreakHyphen/>
      </w:r>
      <w:r w:rsidRPr="00E752C0">
        <w:t xml:space="preserve">fifth of the maximum </w:t>
      </w:r>
      <w:r w:rsidR="00A12E3B" w:rsidRPr="00E752C0">
        <w:t>penalty</w:t>
      </w:r>
      <w:r w:rsidRPr="00E752C0">
        <w:t xml:space="preserve"> that a court could impose </w:t>
      </w:r>
      <w:r w:rsidR="00FA304C" w:rsidRPr="00E752C0">
        <w:t xml:space="preserve">for </w:t>
      </w:r>
      <w:r w:rsidRPr="00E752C0">
        <w:t xml:space="preserve">the </w:t>
      </w:r>
      <w:r w:rsidR="008F382B" w:rsidRPr="00E752C0">
        <w:t>offence</w:t>
      </w:r>
      <w:r w:rsidRPr="00E752C0">
        <w:t>.</w:t>
      </w:r>
    </w:p>
    <w:p w:rsidR="00103CE1" w:rsidRPr="00E752C0" w:rsidRDefault="00D9140F" w:rsidP="007C384A">
      <w:pPr>
        <w:pStyle w:val="ItemHead"/>
      </w:pPr>
      <w:r w:rsidRPr="00E752C0">
        <w:t>6</w:t>
      </w:r>
      <w:r w:rsidR="007965A7" w:rsidRPr="00E752C0">
        <w:t xml:space="preserve">  </w:t>
      </w:r>
      <w:proofErr w:type="spellStart"/>
      <w:r w:rsidR="000172B0" w:rsidRPr="00E752C0">
        <w:t>Subregulations</w:t>
      </w:r>
      <w:proofErr w:type="spellEnd"/>
      <w:r w:rsidR="00E752C0" w:rsidRPr="00E752C0">
        <w:t> </w:t>
      </w:r>
      <w:r w:rsidR="000172B0" w:rsidRPr="00E752C0">
        <w:t>7.04(1) and (2)</w:t>
      </w:r>
    </w:p>
    <w:p w:rsidR="000172B0" w:rsidRPr="00E752C0" w:rsidRDefault="00B65A7E" w:rsidP="000172B0">
      <w:pPr>
        <w:pStyle w:val="Item"/>
      </w:pPr>
      <w:r w:rsidRPr="00E752C0">
        <w:t xml:space="preserve">Repeal the </w:t>
      </w:r>
      <w:proofErr w:type="spellStart"/>
      <w:r w:rsidRPr="00E752C0">
        <w:t>subregulations</w:t>
      </w:r>
      <w:proofErr w:type="spellEnd"/>
      <w:r w:rsidRPr="00E752C0">
        <w:t>, substitute:</w:t>
      </w:r>
    </w:p>
    <w:p w:rsidR="007965A7" w:rsidRPr="00E752C0" w:rsidRDefault="00B65A7E" w:rsidP="00B65A7E">
      <w:pPr>
        <w:pStyle w:val="subsection"/>
      </w:pPr>
      <w:r w:rsidRPr="00E752C0">
        <w:tab/>
        <w:t>(1)</w:t>
      </w:r>
      <w:r w:rsidRPr="00E752C0">
        <w:tab/>
      </w:r>
      <w:r w:rsidR="007965A7" w:rsidRPr="00E752C0">
        <w:t>If a</w:t>
      </w:r>
      <w:r w:rsidRPr="00E752C0">
        <w:t xml:space="preserve">n authorised person </w:t>
      </w:r>
      <w:r w:rsidR="007965A7" w:rsidRPr="00E752C0">
        <w:t xml:space="preserve">(other than an </w:t>
      </w:r>
      <w:r w:rsidRPr="00E752C0">
        <w:t>eligible customs officer</w:t>
      </w:r>
      <w:r w:rsidR="007965A7" w:rsidRPr="00E752C0">
        <w:t>)</w:t>
      </w:r>
      <w:r w:rsidRPr="00E752C0">
        <w:t xml:space="preserve"> </w:t>
      </w:r>
      <w:r w:rsidR="007965A7" w:rsidRPr="00E752C0">
        <w:t xml:space="preserve">believes on reasonable grounds that </w:t>
      </w:r>
      <w:r w:rsidRPr="00E752C0">
        <w:t>a person has co</w:t>
      </w:r>
      <w:r w:rsidR="00F9124A" w:rsidRPr="00E752C0">
        <w:t xml:space="preserve">mmitted an offence of strict liability against </w:t>
      </w:r>
      <w:r w:rsidR="00F57130" w:rsidRPr="00E752C0">
        <w:t xml:space="preserve">the Act or these Regulations, </w:t>
      </w:r>
      <w:r w:rsidRPr="00E752C0">
        <w:t xml:space="preserve">the </w:t>
      </w:r>
      <w:r w:rsidR="007965A7" w:rsidRPr="00E752C0">
        <w:t>authorised person may</w:t>
      </w:r>
      <w:r w:rsidR="00F57130" w:rsidRPr="00E752C0">
        <w:t xml:space="preserve">, subject to </w:t>
      </w:r>
      <w:proofErr w:type="spellStart"/>
      <w:r w:rsidR="00F57130" w:rsidRPr="00E752C0">
        <w:t>subregulation</w:t>
      </w:r>
      <w:proofErr w:type="spellEnd"/>
      <w:r w:rsidR="00E752C0" w:rsidRPr="00E752C0">
        <w:t> </w:t>
      </w:r>
      <w:r w:rsidR="00F57130" w:rsidRPr="00E752C0">
        <w:t>(2),</w:t>
      </w:r>
      <w:r w:rsidR="007965A7" w:rsidRPr="00E752C0">
        <w:t xml:space="preserve"> </w:t>
      </w:r>
      <w:r w:rsidR="004A0901" w:rsidRPr="00E752C0">
        <w:t xml:space="preserve">issue </w:t>
      </w:r>
      <w:r w:rsidR="007965A7" w:rsidRPr="00E752C0">
        <w:t xml:space="preserve">to the person an infringement notice </w:t>
      </w:r>
      <w:r w:rsidR="00234387" w:rsidRPr="00E752C0">
        <w:t xml:space="preserve">for </w:t>
      </w:r>
      <w:r w:rsidR="00F9124A" w:rsidRPr="00E752C0">
        <w:t xml:space="preserve">the </w:t>
      </w:r>
      <w:r w:rsidR="00AD6E2F" w:rsidRPr="00E752C0">
        <w:t xml:space="preserve">alleged </w:t>
      </w:r>
      <w:r w:rsidR="00F9124A" w:rsidRPr="00E752C0">
        <w:t>offence</w:t>
      </w:r>
      <w:r w:rsidR="007965A7" w:rsidRPr="00E752C0">
        <w:t>.</w:t>
      </w:r>
    </w:p>
    <w:p w:rsidR="001B70C1" w:rsidRPr="00E752C0" w:rsidRDefault="001B70C1" w:rsidP="00B65A7E">
      <w:pPr>
        <w:pStyle w:val="subsection"/>
      </w:pPr>
      <w:r w:rsidRPr="00E752C0">
        <w:tab/>
        <w:t>(2)</w:t>
      </w:r>
      <w:r w:rsidRPr="00E752C0">
        <w:tab/>
        <w:t>The authorised person m</w:t>
      </w:r>
      <w:r w:rsidR="008A5147" w:rsidRPr="00E752C0">
        <w:t xml:space="preserve">ust </w:t>
      </w:r>
      <w:r w:rsidRPr="00E752C0">
        <w:t xml:space="preserve">not issue an infringement notice </w:t>
      </w:r>
      <w:r w:rsidR="00234387" w:rsidRPr="00E752C0">
        <w:t xml:space="preserve">for </w:t>
      </w:r>
      <w:r w:rsidR="00E01BBD" w:rsidRPr="00E752C0">
        <w:t xml:space="preserve">an </w:t>
      </w:r>
      <w:r w:rsidR="00AD6E2F" w:rsidRPr="00E752C0">
        <w:t xml:space="preserve">alleged </w:t>
      </w:r>
      <w:r w:rsidR="00F9124A" w:rsidRPr="00E752C0">
        <w:t xml:space="preserve">offence against </w:t>
      </w:r>
      <w:r w:rsidRPr="00E752C0">
        <w:t>subsection</w:t>
      </w:r>
      <w:r w:rsidR="00E752C0" w:rsidRPr="00E752C0">
        <w:t> </w:t>
      </w:r>
      <w:r w:rsidRPr="00E752C0">
        <w:t xml:space="preserve">13(1), 46(1), 47(1), 48(1), 54(1), 55(1) </w:t>
      </w:r>
      <w:r w:rsidR="00E01BBD" w:rsidRPr="00E752C0">
        <w:t>or</w:t>
      </w:r>
      <w:r w:rsidRPr="00E752C0">
        <w:t xml:space="preserve"> 56(1) of the Act.</w:t>
      </w:r>
    </w:p>
    <w:p w:rsidR="00B87111" w:rsidRPr="00E752C0" w:rsidRDefault="007965A7" w:rsidP="00B87111">
      <w:pPr>
        <w:pStyle w:val="subsection"/>
      </w:pPr>
      <w:r w:rsidRPr="00E752C0">
        <w:tab/>
        <w:t>(</w:t>
      </w:r>
      <w:r w:rsidR="001B70C1" w:rsidRPr="00E752C0">
        <w:t>3</w:t>
      </w:r>
      <w:r w:rsidRPr="00E752C0">
        <w:t>)</w:t>
      </w:r>
      <w:r w:rsidRPr="00E752C0">
        <w:tab/>
        <w:t xml:space="preserve">If an authorised person who is an eligible customs officer believes on reasonable grounds that a person has </w:t>
      </w:r>
      <w:r w:rsidR="00F9124A" w:rsidRPr="00E752C0">
        <w:t xml:space="preserve">committed an offence against </w:t>
      </w:r>
      <w:proofErr w:type="spellStart"/>
      <w:r w:rsidR="00CA21B8" w:rsidRPr="00E752C0">
        <w:t>subregulation</w:t>
      </w:r>
      <w:proofErr w:type="spellEnd"/>
      <w:r w:rsidR="00E752C0" w:rsidRPr="00E752C0">
        <w:t> </w:t>
      </w:r>
      <w:r w:rsidR="000A3A79" w:rsidRPr="00E752C0">
        <w:t xml:space="preserve">3.03(1), 3.07(3), 3.07(3A) or 3.12(1), </w:t>
      </w:r>
      <w:r w:rsidR="00B87111" w:rsidRPr="00E752C0">
        <w:t xml:space="preserve">the authorised person may </w:t>
      </w:r>
      <w:r w:rsidR="004A0901" w:rsidRPr="00E752C0">
        <w:t xml:space="preserve">issue </w:t>
      </w:r>
      <w:r w:rsidR="00B87111" w:rsidRPr="00E752C0">
        <w:t xml:space="preserve">to the person an infringement notice </w:t>
      </w:r>
      <w:r w:rsidR="00234387" w:rsidRPr="00E752C0">
        <w:t xml:space="preserve">for </w:t>
      </w:r>
      <w:r w:rsidR="00F9124A" w:rsidRPr="00E752C0">
        <w:t xml:space="preserve">the </w:t>
      </w:r>
      <w:r w:rsidR="00AD6E2F" w:rsidRPr="00E752C0">
        <w:t xml:space="preserve">alleged </w:t>
      </w:r>
      <w:r w:rsidR="00F9124A" w:rsidRPr="00E752C0">
        <w:t>offence</w:t>
      </w:r>
      <w:r w:rsidR="00B87111" w:rsidRPr="00E752C0">
        <w:t>.</w:t>
      </w:r>
    </w:p>
    <w:p w:rsidR="00DF24E0" w:rsidRPr="00E752C0" w:rsidRDefault="00D9140F" w:rsidP="00DF24E0">
      <w:pPr>
        <w:pStyle w:val="ItemHead"/>
      </w:pPr>
      <w:r w:rsidRPr="00E752C0">
        <w:t>7</w:t>
      </w:r>
      <w:r w:rsidR="00DF24E0" w:rsidRPr="00E752C0">
        <w:t xml:space="preserve">  Subparagraph 7.05(1)(b)(ii)</w:t>
      </w:r>
    </w:p>
    <w:p w:rsidR="00DF24E0" w:rsidRPr="00E752C0" w:rsidRDefault="00DF24E0" w:rsidP="00DF24E0">
      <w:pPr>
        <w:pStyle w:val="Item"/>
      </w:pPr>
      <w:r w:rsidRPr="00E752C0">
        <w:t>Omit “or an aviation security inspector”, substitute “</w:t>
      </w:r>
      <w:r w:rsidR="009A4DDB" w:rsidRPr="00E752C0">
        <w:t xml:space="preserve">, </w:t>
      </w:r>
      <w:r w:rsidRPr="00E752C0">
        <w:t>a</w:t>
      </w:r>
      <w:r w:rsidR="00512D94" w:rsidRPr="00E752C0">
        <w:t>viation security inspector</w:t>
      </w:r>
      <w:r w:rsidRPr="00E752C0">
        <w:t xml:space="preserve"> or eligible customs officer”.</w:t>
      </w:r>
    </w:p>
    <w:p w:rsidR="0094716C" w:rsidRPr="00E752C0" w:rsidRDefault="00D9140F" w:rsidP="0094716C">
      <w:pPr>
        <w:pStyle w:val="ItemHead"/>
      </w:pPr>
      <w:r w:rsidRPr="00E752C0">
        <w:t>8</w:t>
      </w:r>
      <w:r w:rsidR="0094716C" w:rsidRPr="00E752C0">
        <w:t xml:space="preserve">  Paragraph 7.05(1)(</w:t>
      </w:r>
      <w:proofErr w:type="spellStart"/>
      <w:r w:rsidR="0094716C" w:rsidRPr="00E752C0">
        <w:t>i</w:t>
      </w:r>
      <w:proofErr w:type="spellEnd"/>
      <w:r w:rsidR="0094716C" w:rsidRPr="00E752C0">
        <w:t>)</w:t>
      </w:r>
    </w:p>
    <w:p w:rsidR="0094716C" w:rsidRPr="00E752C0" w:rsidRDefault="0094716C" w:rsidP="0094716C">
      <w:pPr>
        <w:pStyle w:val="Item"/>
      </w:pPr>
      <w:r w:rsidRPr="00E752C0">
        <w:t>Omit “greatest”, substitute “maximum”.</w:t>
      </w:r>
    </w:p>
    <w:p w:rsidR="00234387" w:rsidRPr="00E752C0" w:rsidRDefault="00234387" w:rsidP="006215A5">
      <w:pPr>
        <w:pStyle w:val="ItemHead"/>
      </w:pPr>
      <w:r w:rsidRPr="00E752C0">
        <w:t>9  Amendments of listed provisions</w:t>
      </w:r>
    </w:p>
    <w:p w:rsidR="00234387" w:rsidRPr="00E752C0" w:rsidRDefault="00234387" w:rsidP="0023438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234387" w:rsidRPr="00E752C0" w:rsidTr="00437B9C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34387" w:rsidRPr="00E752C0" w:rsidRDefault="00234387" w:rsidP="00437B9C">
            <w:pPr>
              <w:pStyle w:val="TableHeading"/>
            </w:pPr>
            <w:r w:rsidRPr="00E752C0">
              <w:t>Further amendments</w:t>
            </w:r>
          </w:p>
        </w:tc>
      </w:tr>
      <w:tr w:rsidR="00234387" w:rsidRPr="00E752C0" w:rsidTr="00437B9C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4387" w:rsidRPr="00E752C0" w:rsidRDefault="00234387" w:rsidP="00437B9C">
            <w:pPr>
              <w:pStyle w:val="TableHeading"/>
            </w:pPr>
            <w:r w:rsidRPr="00E752C0">
              <w:t>Item</w:t>
            </w:r>
          </w:p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4387" w:rsidRPr="00E752C0" w:rsidRDefault="00234387" w:rsidP="00437B9C">
            <w:pPr>
              <w:pStyle w:val="TableHeading"/>
            </w:pPr>
            <w:r w:rsidRPr="00E752C0">
              <w:t>Provision</w:t>
            </w:r>
          </w:p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4387" w:rsidRPr="00E752C0" w:rsidRDefault="00234387" w:rsidP="00437B9C">
            <w:pPr>
              <w:pStyle w:val="TableHeading"/>
            </w:pPr>
            <w:r w:rsidRPr="00E752C0">
              <w:t>Omit</w:t>
            </w:r>
          </w:p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4387" w:rsidRPr="00E752C0" w:rsidRDefault="00234387" w:rsidP="00437B9C">
            <w:pPr>
              <w:pStyle w:val="TableHeading"/>
            </w:pPr>
            <w:r w:rsidRPr="00E752C0">
              <w:t>Substitute</w:t>
            </w:r>
          </w:p>
        </w:tc>
      </w:tr>
      <w:tr w:rsidR="00234387" w:rsidRPr="00E752C0" w:rsidTr="00437B9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34387" w:rsidRPr="00E752C0" w:rsidRDefault="00B5682B" w:rsidP="00234387">
            <w:pPr>
              <w:pStyle w:val="Tabletext"/>
            </w:pPr>
            <w:r w:rsidRPr="00E752C0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234387" w:rsidRPr="00E752C0" w:rsidRDefault="006C5556" w:rsidP="006C5556">
            <w:pPr>
              <w:pStyle w:val="Tabletext"/>
            </w:pPr>
            <w:r w:rsidRPr="00E752C0">
              <w:t xml:space="preserve">Paragraph </w:t>
            </w:r>
            <w:r w:rsidR="0012265B" w:rsidRPr="00E752C0">
              <w:t>7.01(2)(a)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234387" w:rsidRPr="00E752C0" w:rsidRDefault="0012265B" w:rsidP="00234387">
            <w:pPr>
              <w:pStyle w:val="Tabletext"/>
            </w:pPr>
            <w:r w:rsidRPr="00E752C0">
              <w:t>offence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234387" w:rsidRPr="00E752C0" w:rsidRDefault="0012265B" w:rsidP="00234387">
            <w:pPr>
              <w:pStyle w:val="Tabletext"/>
            </w:pPr>
            <w:r w:rsidRPr="00E752C0">
              <w:t>alleged offence</w:t>
            </w:r>
          </w:p>
        </w:tc>
      </w:tr>
      <w:tr w:rsidR="00234387" w:rsidRPr="00E752C0" w:rsidTr="00437B9C">
        <w:tc>
          <w:tcPr>
            <w:tcW w:w="714" w:type="dxa"/>
            <w:shd w:val="clear" w:color="auto" w:fill="auto"/>
          </w:tcPr>
          <w:p w:rsidR="00234387" w:rsidRPr="00E752C0" w:rsidRDefault="00B5682B" w:rsidP="00234387">
            <w:pPr>
              <w:pStyle w:val="Tabletext"/>
            </w:pPr>
            <w:r w:rsidRPr="00E752C0">
              <w:t>2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6C5556">
            <w:pPr>
              <w:pStyle w:val="Tabletext"/>
            </w:pPr>
            <w:r w:rsidRPr="00E752C0">
              <w:t xml:space="preserve">Paragraph </w:t>
            </w:r>
            <w:r w:rsidR="00D6441F" w:rsidRPr="00E752C0">
              <w:t>7.01(2)(b)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D6441F" w:rsidP="00234387">
            <w:pPr>
              <w:pStyle w:val="Tabletext"/>
            </w:pPr>
            <w:r w:rsidRPr="00E752C0">
              <w:t>an offence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D6441F" w:rsidP="00234387">
            <w:pPr>
              <w:pStyle w:val="Tabletext"/>
            </w:pPr>
            <w:r w:rsidRPr="00E752C0">
              <w:t>an alleged offence</w:t>
            </w:r>
          </w:p>
        </w:tc>
      </w:tr>
      <w:tr w:rsidR="00234387" w:rsidRPr="00E752C0" w:rsidTr="00437B9C">
        <w:tc>
          <w:tcPr>
            <w:tcW w:w="714" w:type="dxa"/>
            <w:shd w:val="clear" w:color="auto" w:fill="auto"/>
          </w:tcPr>
          <w:p w:rsidR="00234387" w:rsidRPr="00E752C0" w:rsidRDefault="00B5682B" w:rsidP="00234387">
            <w:pPr>
              <w:pStyle w:val="Tabletext"/>
            </w:pPr>
            <w:r w:rsidRPr="00E752C0">
              <w:t>3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952CFF">
            <w:pPr>
              <w:pStyle w:val="Tabletext"/>
            </w:pPr>
            <w:r w:rsidRPr="00E752C0">
              <w:t xml:space="preserve">Paragraph </w:t>
            </w:r>
            <w:r w:rsidR="00D6441F" w:rsidRPr="00E752C0">
              <w:t>7.01(2)(c)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234387">
            <w:pPr>
              <w:pStyle w:val="Tabletext"/>
            </w:pPr>
            <w:r w:rsidRPr="00E752C0">
              <w:t>offence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234387">
            <w:pPr>
              <w:pStyle w:val="Tabletext"/>
            </w:pPr>
            <w:r w:rsidRPr="00E752C0">
              <w:t>alleged offence</w:t>
            </w:r>
          </w:p>
        </w:tc>
      </w:tr>
      <w:tr w:rsidR="00234387" w:rsidRPr="00E752C0" w:rsidTr="00437B9C">
        <w:tc>
          <w:tcPr>
            <w:tcW w:w="714" w:type="dxa"/>
            <w:shd w:val="clear" w:color="auto" w:fill="auto"/>
          </w:tcPr>
          <w:p w:rsidR="00234387" w:rsidRPr="00E752C0" w:rsidRDefault="00B5682B" w:rsidP="00234387">
            <w:pPr>
              <w:pStyle w:val="Tabletext"/>
            </w:pPr>
            <w:r w:rsidRPr="00E752C0">
              <w:t>4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234387">
            <w:pPr>
              <w:pStyle w:val="Tabletext"/>
            </w:pPr>
            <w:r w:rsidRPr="00E752C0">
              <w:t>Paragraph 7.01(2)(d)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234387">
            <w:pPr>
              <w:pStyle w:val="Tabletext"/>
            </w:pPr>
            <w:r w:rsidRPr="00E752C0">
              <w:t>an offence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234387">
            <w:pPr>
              <w:pStyle w:val="Tabletext"/>
            </w:pPr>
            <w:r w:rsidRPr="00E752C0">
              <w:t>an alleged offence</w:t>
            </w:r>
          </w:p>
        </w:tc>
      </w:tr>
      <w:tr w:rsidR="00234387" w:rsidRPr="00E752C0" w:rsidTr="00437B9C">
        <w:tc>
          <w:tcPr>
            <w:tcW w:w="714" w:type="dxa"/>
            <w:shd w:val="clear" w:color="auto" w:fill="auto"/>
          </w:tcPr>
          <w:p w:rsidR="00234387" w:rsidRPr="00E752C0" w:rsidRDefault="00B5682B" w:rsidP="00334E3C">
            <w:pPr>
              <w:pStyle w:val="Tabletext"/>
            </w:pPr>
            <w:r w:rsidRPr="00E752C0">
              <w:t>5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6C5556">
            <w:pPr>
              <w:pStyle w:val="Tabletext"/>
            </w:pPr>
            <w:r w:rsidRPr="00E752C0">
              <w:t>Paragraph 7.05(1)(e)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334E3C">
            <w:pPr>
              <w:pStyle w:val="Tabletext"/>
            </w:pPr>
            <w:r w:rsidRPr="00E752C0">
              <w:t>offence</w:t>
            </w:r>
            <w:r w:rsidR="00E81B27" w:rsidRPr="00E752C0">
              <w:t xml:space="preserve"> (wherever occurring)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334E3C">
            <w:pPr>
              <w:pStyle w:val="Tabletext"/>
            </w:pPr>
            <w:r w:rsidRPr="00E752C0">
              <w:t>alleged offence</w:t>
            </w:r>
          </w:p>
        </w:tc>
      </w:tr>
      <w:tr w:rsidR="00234387" w:rsidRPr="00E752C0" w:rsidTr="00437B9C">
        <w:tc>
          <w:tcPr>
            <w:tcW w:w="714" w:type="dxa"/>
            <w:shd w:val="clear" w:color="auto" w:fill="auto"/>
          </w:tcPr>
          <w:p w:rsidR="00234387" w:rsidRPr="00E752C0" w:rsidRDefault="00B5682B" w:rsidP="00E81B27">
            <w:pPr>
              <w:pStyle w:val="Tabletext"/>
            </w:pPr>
            <w:r w:rsidRPr="00E752C0">
              <w:t>6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6C5556" w:rsidP="00234387">
            <w:pPr>
              <w:pStyle w:val="Tabletext"/>
            </w:pPr>
            <w:r w:rsidRPr="00E752C0">
              <w:t xml:space="preserve">Subparagraph 7.05(1)(e)(iii) 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58294B" w:rsidP="00234387">
            <w:pPr>
              <w:pStyle w:val="Tabletext"/>
            </w:pPr>
            <w:r w:rsidRPr="00E752C0">
              <w:t>contravened</w:t>
            </w:r>
          </w:p>
        </w:tc>
        <w:tc>
          <w:tcPr>
            <w:tcW w:w="2124" w:type="dxa"/>
            <w:shd w:val="clear" w:color="auto" w:fill="auto"/>
          </w:tcPr>
          <w:p w:rsidR="00234387" w:rsidRPr="00E752C0" w:rsidRDefault="0058294B" w:rsidP="00234387">
            <w:pPr>
              <w:pStyle w:val="Tabletext"/>
            </w:pPr>
            <w:r w:rsidRPr="00E752C0">
              <w:t xml:space="preserve">that </w:t>
            </w:r>
            <w:r w:rsidR="00E71B66" w:rsidRPr="00E752C0">
              <w:t>was allegedly contravened</w:t>
            </w:r>
          </w:p>
        </w:tc>
      </w:tr>
      <w:tr w:rsidR="00B30C4A" w:rsidRPr="00E752C0" w:rsidTr="00437B9C">
        <w:tc>
          <w:tcPr>
            <w:tcW w:w="714" w:type="dxa"/>
            <w:shd w:val="clear" w:color="auto" w:fill="auto"/>
          </w:tcPr>
          <w:p w:rsidR="00B30C4A" w:rsidRPr="00E752C0" w:rsidRDefault="00B5682B" w:rsidP="00E81B27">
            <w:pPr>
              <w:pStyle w:val="Tabletext"/>
            </w:pPr>
            <w:r w:rsidRPr="00E752C0">
              <w:t>7</w:t>
            </w:r>
          </w:p>
        </w:tc>
        <w:tc>
          <w:tcPr>
            <w:tcW w:w="2124" w:type="dxa"/>
            <w:shd w:val="clear" w:color="auto" w:fill="auto"/>
          </w:tcPr>
          <w:p w:rsidR="00B30C4A" w:rsidRPr="00E752C0" w:rsidRDefault="00B30C4A" w:rsidP="00EE3ACD">
            <w:pPr>
              <w:pStyle w:val="Tabletext"/>
            </w:pPr>
            <w:r w:rsidRPr="00E752C0">
              <w:t>Paragraph 7.05(1)(f)</w:t>
            </w:r>
          </w:p>
        </w:tc>
        <w:tc>
          <w:tcPr>
            <w:tcW w:w="2124" w:type="dxa"/>
            <w:shd w:val="clear" w:color="auto" w:fill="auto"/>
          </w:tcPr>
          <w:p w:rsidR="00B30C4A" w:rsidRPr="00E752C0" w:rsidRDefault="00B30C4A" w:rsidP="00EE3ACD">
            <w:pPr>
              <w:pStyle w:val="Tabletext"/>
            </w:pPr>
            <w:r w:rsidRPr="00E752C0">
              <w:t>offence</w:t>
            </w:r>
          </w:p>
        </w:tc>
        <w:tc>
          <w:tcPr>
            <w:tcW w:w="2124" w:type="dxa"/>
            <w:shd w:val="clear" w:color="auto" w:fill="auto"/>
          </w:tcPr>
          <w:p w:rsidR="00B30C4A" w:rsidRPr="00E752C0" w:rsidRDefault="00B30C4A" w:rsidP="00EE3ACD">
            <w:pPr>
              <w:pStyle w:val="Tabletext"/>
            </w:pPr>
            <w:r w:rsidRPr="00E752C0">
              <w:t>alleged offence</w:t>
            </w:r>
          </w:p>
        </w:tc>
      </w:tr>
      <w:tr w:rsidR="00CC5F61" w:rsidRPr="00E752C0" w:rsidTr="00437B9C">
        <w:tc>
          <w:tcPr>
            <w:tcW w:w="714" w:type="dxa"/>
            <w:shd w:val="clear" w:color="auto" w:fill="auto"/>
          </w:tcPr>
          <w:p w:rsidR="00CC5F61" w:rsidRPr="00E752C0" w:rsidRDefault="00B5682B" w:rsidP="00E81B27">
            <w:pPr>
              <w:pStyle w:val="Tabletext"/>
            </w:pPr>
            <w:r w:rsidRPr="00E752C0">
              <w:t>8</w:t>
            </w:r>
          </w:p>
        </w:tc>
        <w:tc>
          <w:tcPr>
            <w:tcW w:w="2124" w:type="dxa"/>
            <w:shd w:val="clear" w:color="auto" w:fill="auto"/>
          </w:tcPr>
          <w:p w:rsidR="00CC5F61" w:rsidRPr="00E752C0" w:rsidRDefault="00F90A8E" w:rsidP="006D0D22">
            <w:pPr>
              <w:pStyle w:val="Tabletext"/>
            </w:pPr>
            <w:r w:rsidRPr="00E752C0">
              <w:t>P</w:t>
            </w:r>
            <w:r w:rsidR="00CC5F61" w:rsidRPr="00E752C0">
              <w:t>aragraph 7.05(1)(h)</w:t>
            </w:r>
          </w:p>
        </w:tc>
        <w:tc>
          <w:tcPr>
            <w:tcW w:w="2124" w:type="dxa"/>
            <w:shd w:val="clear" w:color="auto" w:fill="auto"/>
          </w:tcPr>
          <w:p w:rsidR="00CC5F61" w:rsidRPr="00E752C0" w:rsidRDefault="00CC5F61" w:rsidP="00EE3ACD">
            <w:pPr>
              <w:pStyle w:val="Tabletext"/>
            </w:pPr>
            <w:r w:rsidRPr="00E752C0">
              <w:t>offence</w:t>
            </w:r>
            <w:r w:rsidR="00F90A8E" w:rsidRPr="00E752C0">
              <w:t xml:space="preserve"> (wherever occurring)</w:t>
            </w:r>
          </w:p>
        </w:tc>
        <w:tc>
          <w:tcPr>
            <w:tcW w:w="2124" w:type="dxa"/>
            <w:shd w:val="clear" w:color="auto" w:fill="auto"/>
          </w:tcPr>
          <w:p w:rsidR="00CC5F61" w:rsidRPr="00E752C0" w:rsidRDefault="00CC5F61" w:rsidP="00EE3ACD">
            <w:pPr>
              <w:pStyle w:val="Tabletext"/>
            </w:pPr>
            <w:r w:rsidRPr="00E752C0">
              <w:t>alleged offence</w:t>
            </w:r>
          </w:p>
        </w:tc>
      </w:tr>
      <w:tr w:rsidR="00CC5F61" w:rsidRPr="00E752C0" w:rsidTr="00437B9C">
        <w:tc>
          <w:tcPr>
            <w:tcW w:w="714" w:type="dxa"/>
            <w:shd w:val="clear" w:color="auto" w:fill="auto"/>
          </w:tcPr>
          <w:p w:rsidR="00CC5F61" w:rsidRPr="00E752C0" w:rsidRDefault="00B5682B" w:rsidP="00E81B27">
            <w:pPr>
              <w:pStyle w:val="Tabletext"/>
            </w:pPr>
            <w:r w:rsidRPr="00E752C0">
              <w:t>9</w:t>
            </w:r>
          </w:p>
        </w:tc>
        <w:tc>
          <w:tcPr>
            <w:tcW w:w="2124" w:type="dxa"/>
            <w:shd w:val="clear" w:color="auto" w:fill="auto"/>
          </w:tcPr>
          <w:p w:rsidR="00CC5F61" w:rsidRPr="00E752C0" w:rsidRDefault="00CC5F61" w:rsidP="00CC5F61">
            <w:pPr>
              <w:pStyle w:val="Tabletext"/>
            </w:pPr>
            <w:r w:rsidRPr="00E752C0">
              <w:t>Paragraph 7.05(1)(</w:t>
            </w:r>
            <w:proofErr w:type="spellStart"/>
            <w:r w:rsidRPr="00E752C0">
              <w:t>i</w:t>
            </w:r>
            <w:proofErr w:type="spellEnd"/>
            <w:r w:rsidRPr="00E752C0">
              <w:t>)</w:t>
            </w:r>
          </w:p>
        </w:tc>
        <w:tc>
          <w:tcPr>
            <w:tcW w:w="2124" w:type="dxa"/>
            <w:shd w:val="clear" w:color="auto" w:fill="auto"/>
          </w:tcPr>
          <w:p w:rsidR="00CC5F61" w:rsidRPr="00E752C0" w:rsidRDefault="00CC5F61" w:rsidP="00CC5F61">
            <w:pPr>
              <w:pStyle w:val="Tabletext"/>
            </w:pPr>
            <w:r w:rsidRPr="00E752C0">
              <w:t>offence</w:t>
            </w:r>
          </w:p>
        </w:tc>
        <w:tc>
          <w:tcPr>
            <w:tcW w:w="2124" w:type="dxa"/>
            <w:shd w:val="clear" w:color="auto" w:fill="auto"/>
          </w:tcPr>
          <w:p w:rsidR="00CC5F61" w:rsidRPr="00E752C0" w:rsidRDefault="00CC5F61" w:rsidP="00EE3ACD">
            <w:pPr>
              <w:pStyle w:val="Tabletext"/>
            </w:pPr>
            <w:r w:rsidRPr="00E752C0">
              <w:t>alleged offence</w:t>
            </w:r>
          </w:p>
        </w:tc>
      </w:tr>
      <w:tr w:rsidR="00E71B66" w:rsidRPr="00E752C0" w:rsidTr="00437B9C">
        <w:tc>
          <w:tcPr>
            <w:tcW w:w="714" w:type="dxa"/>
            <w:shd w:val="clear" w:color="auto" w:fill="auto"/>
          </w:tcPr>
          <w:p w:rsidR="00E71B66" w:rsidRPr="00E752C0" w:rsidRDefault="00B5682B" w:rsidP="00E81B27">
            <w:pPr>
              <w:pStyle w:val="Tabletext"/>
            </w:pPr>
            <w:r w:rsidRPr="00E752C0">
              <w:t>10</w:t>
            </w:r>
          </w:p>
        </w:tc>
        <w:tc>
          <w:tcPr>
            <w:tcW w:w="2124" w:type="dxa"/>
            <w:shd w:val="clear" w:color="auto" w:fill="auto"/>
          </w:tcPr>
          <w:p w:rsidR="00E71B66" w:rsidRPr="00E752C0" w:rsidRDefault="00CE7CB2" w:rsidP="000E4A73">
            <w:pPr>
              <w:pStyle w:val="Tabletext"/>
            </w:pPr>
            <w:proofErr w:type="spellStart"/>
            <w:r w:rsidRPr="00E752C0">
              <w:t>Subregulation</w:t>
            </w:r>
            <w:proofErr w:type="spellEnd"/>
            <w:r w:rsidR="00E752C0" w:rsidRPr="00E752C0">
              <w:t> </w:t>
            </w:r>
            <w:r w:rsidRPr="00E752C0">
              <w:t>7.09(1)</w:t>
            </w:r>
          </w:p>
        </w:tc>
        <w:tc>
          <w:tcPr>
            <w:tcW w:w="2124" w:type="dxa"/>
            <w:shd w:val="clear" w:color="auto" w:fill="auto"/>
          </w:tcPr>
          <w:p w:rsidR="00E71B66" w:rsidRPr="00E752C0" w:rsidRDefault="00CE7CB2" w:rsidP="00234387">
            <w:pPr>
              <w:pStyle w:val="Tabletext"/>
            </w:pPr>
            <w:r w:rsidRPr="00E752C0">
              <w:t>offence</w:t>
            </w:r>
            <w:r w:rsidR="00B5682B" w:rsidRPr="00E752C0">
              <w:t xml:space="preserve"> (wherever occurring)</w:t>
            </w:r>
          </w:p>
        </w:tc>
        <w:tc>
          <w:tcPr>
            <w:tcW w:w="2124" w:type="dxa"/>
            <w:shd w:val="clear" w:color="auto" w:fill="auto"/>
          </w:tcPr>
          <w:p w:rsidR="00E71B66" w:rsidRPr="00E752C0" w:rsidRDefault="00CE7CB2" w:rsidP="00234387">
            <w:pPr>
              <w:pStyle w:val="Tabletext"/>
            </w:pPr>
            <w:r w:rsidRPr="00E752C0">
              <w:t>alleged offence</w:t>
            </w:r>
          </w:p>
        </w:tc>
      </w:tr>
      <w:tr w:rsidR="007F30C6" w:rsidRPr="00E752C0" w:rsidTr="00437B9C">
        <w:tc>
          <w:tcPr>
            <w:tcW w:w="714" w:type="dxa"/>
            <w:shd w:val="clear" w:color="auto" w:fill="auto"/>
          </w:tcPr>
          <w:p w:rsidR="007F30C6" w:rsidRPr="00E752C0" w:rsidRDefault="00B5682B" w:rsidP="00E81B27">
            <w:pPr>
              <w:pStyle w:val="Tabletext"/>
            </w:pPr>
            <w:r w:rsidRPr="00E752C0">
              <w:t>11</w:t>
            </w:r>
          </w:p>
        </w:tc>
        <w:tc>
          <w:tcPr>
            <w:tcW w:w="2124" w:type="dxa"/>
            <w:shd w:val="clear" w:color="auto" w:fill="auto"/>
          </w:tcPr>
          <w:p w:rsidR="007F30C6" w:rsidRPr="00E752C0" w:rsidRDefault="007F30C6" w:rsidP="007F30C6">
            <w:pPr>
              <w:pStyle w:val="Tabletext"/>
            </w:pPr>
            <w:proofErr w:type="spellStart"/>
            <w:r w:rsidRPr="00E752C0">
              <w:t>Subregulation</w:t>
            </w:r>
            <w:proofErr w:type="spellEnd"/>
            <w:r w:rsidR="00E752C0" w:rsidRPr="00E752C0">
              <w:t> </w:t>
            </w:r>
            <w:r w:rsidRPr="00E752C0">
              <w:t>7.09(2)</w:t>
            </w:r>
          </w:p>
        </w:tc>
        <w:tc>
          <w:tcPr>
            <w:tcW w:w="2124" w:type="dxa"/>
            <w:shd w:val="clear" w:color="auto" w:fill="auto"/>
          </w:tcPr>
          <w:p w:rsidR="007F30C6" w:rsidRPr="00E752C0" w:rsidRDefault="007F30C6" w:rsidP="00234387">
            <w:pPr>
              <w:pStyle w:val="Tabletext"/>
            </w:pPr>
            <w:r w:rsidRPr="00E752C0">
              <w:t>same offence</w:t>
            </w:r>
          </w:p>
        </w:tc>
        <w:tc>
          <w:tcPr>
            <w:tcW w:w="2124" w:type="dxa"/>
            <w:shd w:val="clear" w:color="auto" w:fill="auto"/>
          </w:tcPr>
          <w:p w:rsidR="007F30C6" w:rsidRPr="00E752C0" w:rsidRDefault="007F30C6" w:rsidP="00234387">
            <w:pPr>
              <w:pStyle w:val="Tabletext"/>
            </w:pPr>
            <w:r w:rsidRPr="00E752C0">
              <w:t>same alleged offence</w:t>
            </w:r>
          </w:p>
        </w:tc>
      </w:tr>
      <w:tr w:rsidR="00E71B66" w:rsidRPr="00E752C0" w:rsidTr="00437B9C">
        <w:tc>
          <w:tcPr>
            <w:tcW w:w="714" w:type="dxa"/>
            <w:shd w:val="clear" w:color="auto" w:fill="auto"/>
          </w:tcPr>
          <w:p w:rsidR="00E71B66" w:rsidRPr="00E752C0" w:rsidRDefault="00B5682B" w:rsidP="00E81B27">
            <w:pPr>
              <w:pStyle w:val="Tabletext"/>
            </w:pPr>
            <w:r w:rsidRPr="00E752C0">
              <w:t>12</w:t>
            </w:r>
          </w:p>
        </w:tc>
        <w:tc>
          <w:tcPr>
            <w:tcW w:w="2124" w:type="dxa"/>
            <w:shd w:val="clear" w:color="auto" w:fill="auto"/>
          </w:tcPr>
          <w:p w:rsidR="00E71B66" w:rsidRPr="00E752C0" w:rsidRDefault="00CE7CB2" w:rsidP="00234387">
            <w:pPr>
              <w:pStyle w:val="Tabletext"/>
            </w:pPr>
            <w:r w:rsidRPr="00E752C0">
              <w:t>Paragraph 7.10(4)(b)</w:t>
            </w:r>
          </w:p>
        </w:tc>
        <w:tc>
          <w:tcPr>
            <w:tcW w:w="2124" w:type="dxa"/>
            <w:shd w:val="clear" w:color="auto" w:fill="auto"/>
          </w:tcPr>
          <w:p w:rsidR="00E71B66" w:rsidRPr="00E752C0" w:rsidRDefault="00F31A26" w:rsidP="00234387">
            <w:pPr>
              <w:pStyle w:val="Tabletext"/>
            </w:pPr>
            <w:r w:rsidRPr="00E752C0">
              <w:t>offence</w:t>
            </w:r>
          </w:p>
        </w:tc>
        <w:tc>
          <w:tcPr>
            <w:tcW w:w="2124" w:type="dxa"/>
            <w:shd w:val="clear" w:color="auto" w:fill="auto"/>
          </w:tcPr>
          <w:p w:rsidR="00E71B66" w:rsidRPr="00E752C0" w:rsidRDefault="00F31A26" w:rsidP="00234387">
            <w:pPr>
              <w:pStyle w:val="Tabletext"/>
            </w:pPr>
            <w:r w:rsidRPr="00E752C0">
              <w:t>alleged offence</w:t>
            </w:r>
          </w:p>
        </w:tc>
      </w:tr>
      <w:tr w:rsidR="00CE7CB2" w:rsidRPr="00E752C0" w:rsidTr="00437B9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CE7CB2" w:rsidRPr="00E752C0" w:rsidRDefault="00B5682B" w:rsidP="00E81B27">
            <w:pPr>
              <w:pStyle w:val="Tabletext"/>
            </w:pPr>
            <w:r w:rsidRPr="00E752C0">
              <w:t>13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CE7CB2" w:rsidRPr="00E752C0" w:rsidRDefault="00B10CA4" w:rsidP="00B10CA4">
            <w:pPr>
              <w:pStyle w:val="Tabletext"/>
            </w:pPr>
            <w:r w:rsidRPr="00E752C0">
              <w:t>Paragraph 7.10(4)(c)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CE7CB2" w:rsidRPr="00E752C0" w:rsidRDefault="00B10CA4" w:rsidP="00234387">
            <w:pPr>
              <w:pStyle w:val="Tabletext"/>
            </w:pPr>
            <w:r w:rsidRPr="00E752C0">
              <w:t>offence</w:t>
            </w:r>
            <w:r w:rsidR="00AA11F1" w:rsidRPr="00E752C0">
              <w:t xml:space="preserve"> (wherever occurring)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CE7CB2" w:rsidRPr="00E752C0" w:rsidRDefault="00B10CA4" w:rsidP="00234387">
            <w:pPr>
              <w:pStyle w:val="Tabletext"/>
            </w:pPr>
            <w:r w:rsidRPr="00E752C0">
              <w:t>alleged offence</w:t>
            </w:r>
          </w:p>
        </w:tc>
      </w:tr>
      <w:tr w:rsidR="00CE7CB2" w:rsidRPr="00E752C0" w:rsidTr="009F5086">
        <w:tc>
          <w:tcPr>
            <w:tcW w:w="714" w:type="dxa"/>
            <w:shd w:val="clear" w:color="auto" w:fill="auto"/>
          </w:tcPr>
          <w:p w:rsidR="00CE7CB2" w:rsidRPr="00E752C0" w:rsidRDefault="00B5682B" w:rsidP="00E81B27">
            <w:pPr>
              <w:pStyle w:val="Tabletext"/>
            </w:pPr>
            <w:r w:rsidRPr="00E752C0">
              <w:t>14</w:t>
            </w:r>
          </w:p>
        </w:tc>
        <w:tc>
          <w:tcPr>
            <w:tcW w:w="2124" w:type="dxa"/>
            <w:shd w:val="clear" w:color="auto" w:fill="auto"/>
          </w:tcPr>
          <w:p w:rsidR="00CE7CB2" w:rsidRPr="00E752C0" w:rsidRDefault="00437B9C" w:rsidP="00234387">
            <w:pPr>
              <w:pStyle w:val="Tabletext"/>
            </w:pPr>
            <w:proofErr w:type="spellStart"/>
            <w:r w:rsidRPr="00E752C0">
              <w:t>Subregulation</w:t>
            </w:r>
            <w:proofErr w:type="spellEnd"/>
            <w:r w:rsidR="00E752C0" w:rsidRPr="00E752C0">
              <w:t> </w:t>
            </w:r>
            <w:r w:rsidRPr="00E752C0">
              <w:t>7.11(2)</w:t>
            </w:r>
          </w:p>
        </w:tc>
        <w:tc>
          <w:tcPr>
            <w:tcW w:w="2124" w:type="dxa"/>
            <w:shd w:val="clear" w:color="auto" w:fill="auto"/>
          </w:tcPr>
          <w:p w:rsidR="00CE7CB2" w:rsidRPr="00E752C0" w:rsidRDefault="00437B9C" w:rsidP="00234387">
            <w:pPr>
              <w:pStyle w:val="Tabletext"/>
            </w:pPr>
            <w:r w:rsidRPr="00E752C0">
              <w:t>an offence</w:t>
            </w:r>
          </w:p>
        </w:tc>
        <w:tc>
          <w:tcPr>
            <w:tcW w:w="2124" w:type="dxa"/>
            <w:shd w:val="clear" w:color="auto" w:fill="auto"/>
          </w:tcPr>
          <w:p w:rsidR="00CE7CB2" w:rsidRPr="00E752C0" w:rsidRDefault="00437B9C" w:rsidP="00234387">
            <w:pPr>
              <w:pStyle w:val="Tabletext"/>
            </w:pPr>
            <w:r w:rsidRPr="00E752C0">
              <w:t>an alleged offence</w:t>
            </w:r>
          </w:p>
        </w:tc>
      </w:tr>
      <w:tr w:rsidR="009F5086" w:rsidRPr="00E752C0" w:rsidTr="00437B9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9F5086" w:rsidRPr="00E752C0" w:rsidRDefault="00B5682B" w:rsidP="00E81B27">
            <w:pPr>
              <w:pStyle w:val="Tabletext"/>
            </w:pPr>
            <w:r w:rsidRPr="00E752C0">
              <w:t>15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9F5086" w:rsidRPr="00E752C0" w:rsidRDefault="009F5086" w:rsidP="009F5086">
            <w:pPr>
              <w:pStyle w:val="Tabletext"/>
            </w:pPr>
            <w:r w:rsidRPr="00E752C0">
              <w:t>Paragraph 7.11(2)(c)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9F5086" w:rsidRPr="00E752C0" w:rsidRDefault="009F5086" w:rsidP="00234387">
            <w:pPr>
              <w:pStyle w:val="Tabletext"/>
            </w:pPr>
            <w:r w:rsidRPr="00E752C0">
              <w:t>offence (first occurring)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9F5086" w:rsidRPr="00E752C0" w:rsidRDefault="009F5086" w:rsidP="00234387">
            <w:pPr>
              <w:pStyle w:val="Tabletext"/>
            </w:pPr>
            <w:r w:rsidRPr="00E752C0">
              <w:t>alleged offence</w:t>
            </w:r>
          </w:p>
        </w:tc>
      </w:tr>
    </w:tbl>
    <w:p w:rsidR="00234387" w:rsidRPr="00E752C0" w:rsidRDefault="00234387" w:rsidP="00234387">
      <w:pPr>
        <w:pStyle w:val="Tabletext"/>
      </w:pPr>
    </w:p>
    <w:sectPr w:rsidR="00234387" w:rsidRPr="00E752C0" w:rsidSect="00F272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1B" w:rsidRDefault="0040381B" w:rsidP="0048364F">
      <w:pPr>
        <w:spacing w:line="240" w:lineRule="auto"/>
      </w:pPr>
      <w:r>
        <w:separator/>
      </w:r>
    </w:p>
  </w:endnote>
  <w:endnote w:type="continuationSeparator" w:id="0">
    <w:p w:rsidR="0040381B" w:rsidRDefault="004038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27217" w:rsidRDefault="0048364F" w:rsidP="00F272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7217">
      <w:rPr>
        <w:i/>
        <w:sz w:val="18"/>
      </w:rPr>
      <w:t xml:space="preserve"> </w:t>
    </w:r>
    <w:r w:rsidR="00F27217" w:rsidRPr="00F27217">
      <w:rPr>
        <w:i/>
        <w:sz w:val="18"/>
      </w:rPr>
      <w:t>OPC60977 -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17" w:rsidRDefault="00F27217" w:rsidP="00F27217">
    <w:pPr>
      <w:pStyle w:val="Footer"/>
    </w:pPr>
    <w:r w:rsidRPr="00F27217">
      <w:rPr>
        <w:i/>
        <w:sz w:val="18"/>
      </w:rPr>
      <w:t>OPC60977 -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F27217" w:rsidRDefault="007A7F9F" w:rsidP="00486382">
    <w:pPr>
      <w:pStyle w:val="Footer"/>
      <w:rPr>
        <w:sz w:val="18"/>
      </w:rPr>
    </w:pPr>
  </w:p>
  <w:p w:rsidR="00486382" w:rsidRPr="00F27217" w:rsidRDefault="00486382" w:rsidP="00F27217">
    <w:pPr>
      <w:pStyle w:val="Footer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2721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F2721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F27217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27217">
            <w:rPr>
              <w:rFonts w:cs="Times New Roman"/>
              <w:i/>
              <w:sz w:val="18"/>
            </w:rPr>
            <w:fldChar w:fldCharType="begin"/>
          </w:r>
          <w:r w:rsidRPr="00F27217">
            <w:rPr>
              <w:rFonts w:cs="Times New Roman"/>
              <w:i/>
              <w:sz w:val="18"/>
            </w:rPr>
            <w:instrText xml:space="preserve"> PAGE </w:instrText>
          </w:r>
          <w:r w:rsidRPr="00F27217">
            <w:rPr>
              <w:rFonts w:cs="Times New Roman"/>
              <w:i/>
              <w:sz w:val="18"/>
            </w:rPr>
            <w:fldChar w:fldCharType="separate"/>
          </w:r>
          <w:r w:rsidR="00B55DC6">
            <w:rPr>
              <w:rFonts w:cs="Times New Roman"/>
              <w:i/>
              <w:noProof/>
              <w:sz w:val="18"/>
            </w:rPr>
            <w:t>ii</w:t>
          </w:r>
          <w:r w:rsidRPr="00F272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F27217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27217">
            <w:rPr>
              <w:rFonts w:cs="Times New Roman"/>
              <w:i/>
              <w:sz w:val="18"/>
            </w:rPr>
            <w:fldChar w:fldCharType="begin"/>
          </w:r>
          <w:r w:rsidRPr="00F27217">
            <w:rPr>
              <w:rFonts w:cs="Times New Roman"/>
              <w:i/>
              <w:sz w:val="18"/>
            </w:rPr>
            <w:instrText xml:space="preserve"> DOCPROPERTY ShortT </w:instrText>
          </w:r>
          <w:r w:rsidRPr="00F27217">
            <w:rPr>
              <w:rFonts w:cs="Times New Roman"/>
              <w:i/>
              <w:sz w:val="18"/>
            </w:rPr>
            <w:fldChar w:fldCharType="separate"/>
          </w:r>
          <w:r w:rsidR="00DF2933">
            <w:rPr>
              <w:rFonts w:cs="Times New Roman"/>
              <w:i/>
              <w:sz w:val="18"/>
            </w:rPr>
            <w:t>Aviation Transport Security Amendment (2015 Measures No. 2) Regulation 2015</w:t>
          </w:r>
          <w:r w:rsidRPr="00F272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F27217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27217">
            <w:rPr>
              <w:rFonts w:cs="Times New Roman"/>
              <w:i/>
              <w:sz w:val="18"/>
            </w:rPr>
            <w:fldChar w:fldCharType="begin"/>
          </w:r>
          <w:r w:rsidRPr="00F27217">
            <w:rPr>
              <w:rFonts w:cs="Times New Roman"/>
              <w:i/>
              <w:sz w:val="18"/>
            </w:rPr>
            <w:instrText xml:space="preserve"> DOCPROPERTY ActNo </w:instrText>
          </w:r>
          <w:r w:rsidRPr="00F27217">
            <w:rPr>
              <w:rFonts w:cs="Times New Roman"/>
              <w:i/>
              <w:sz w:val="18"/>
            </w:rPr>
            <w:fldChar w:fldCharType="separate"/>
          </w:r>
          <w:r w:rsidR="00DF2933">
            <w:rPr>
              <w:rFonts w:cs="Times New Roman"/>
              <w:i/>
              <w:sz w:val="18"/>
            </w:rPr>
            <w:t>No. 124, 2015</w:t>
          </w:r>
          <w:r w:rsidRPr="00F2721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F27217" w:rsidRDefault="00F27217" w:rsidP="00F27217">
    <w:pPr>
      <w:rPr>
        <w:rFonts w:cs="Times New Roman"/>
        <w:i/>
        <w:sz w:val="18"/>
      </w:rPr>
    </w:pPr>
    <w:r w:rsidRPr="00F27217">
      <w:rPr>
        <w:rFonts w:cs="Times New Roman"/>
        <w:i/>
        <w:sz w:val="18"/>
      </w:rPr>
      <w:t>OPC60977 -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F2933">
            <w:rPr>
              <w:i/>
              <w:sz w:val="18"/>
            </w:rPr>
            <w:t>No. 124,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00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933">
            <w:rPr>
              <w:i/>
              <w:sz w:val="18"/>
            </w:rPr>
            <w:t>Aviation Transport Security Amendment (2015 Measures No. 2)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B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D3667" w:rsidP="00F2721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2721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F2721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F27217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27217">
            <w:rPr>
              <w:rFonts w:cs="Times New Roman"/>
              <w:i/>
              <w:sz w:val="18"/>
            </w:rPr>
            <w:fldChar w:fldCharType="begin"/>
          </w:r>
          <w:r w:rsidRPr="00F27217">
            <w:rPr>
              <w:rFonts w:cs="Times New Roman"/>
              <w:i/>
              <w:sz w:val="18"/>
            </w:rPr>
            <w:instrText xml:space="preserve"> PAGE </w:instrText>
          </w:r>
          <w:r w:rsidRPr="00F27217">
            <w:rPr>
              <w:rFonts w:cs="Times New Roman"/>
              <w:i/>
              <w:sz w:val="18"/>
            </w:rPr>
            <w:fldChar w:fldCharType="separate"/>
          </w:r>
          <w:r w:rsidR="00B81BB9">
            <w:rPr>
              <w:rFonts w:cs="Times New Roman"/>
              <w:i/>
              <w:noProof/>
              <w:sz w:val="18"/>
            </w:rPr>
            <w:t>4</w:t>
          </w:r>
          <w:r w:rsidRPr="00F272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F27217" w:rsidRDefault="00304E75" w:rsidP="00BE34C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27217">
            <w:rPr>
              <w:rFonts w:cs="Times New Roman"/>
              <w:i/>
              <w:sz w:val="18"/>
            </w:rPr>
            <w:fldChar w:fldCharType="begin"/>
          </w:r>
          <w:r w:rsidRPr="00F27217">
            <w:rPr>
              <w:rFonts w:cs="Times New Roman"/>
              <w:i/>
              <w:sz w:val="18"/>
            </w:rPr>
            <w:instrText xml:space="preserve"> DOCPROPERTY ShortT </w:instrText>
          </w:r>
          <w:r w:rsidRPr="00F27217">
            <w:rPr>
              <w:rFonts w:cs="Times New Roman"/>
              <w:i/>
              <w:sz w:val="18"/>
            </w:rPr>
            <w:fldChar w:fldCharType="separate"/>
          </w:r>
          <w:r w:rsidR="00DF2933">
            <w:rPr>
              <w:rFonts w:cs="Times New Roman"/>
              <w:i/>
              <w:sz w:val="18"/>
            </w:rPr>
            <w:t>Aviation Transport Security Amendment (2015 Measures No. 2) Regulation 2015</w:t>
          </w:r>
          <w:r w:rsidRPr="00F272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F27217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27217">
            <w:rPr>
              <w:rFonts w:cs="Times New Roman"/>
              <w:i/>
              <w:sz w:val="18"/>
            </w:rPr>
            <w:fldChar w:fldCharType="begin"/>
          </w:r>
          <w:r w:rsidRPr="00F27217">
            <w:rPr>
              <w:rFonts w:cs="Times New Roman"/>
              <w:i/>
              <w:sz w:val="18"/>
            </w:rPr>
            <w:instrText xml:space="preserve"> DOCPROPERTY ActNo </w:instrText>
          </w:r>
          <w:r w:rsidRPr="00F27217">
            <w:rPr>
              <w:rFonts w:cs="Times New Roman"/>
              <w:i/>
              <w:sz w:val="18"/>
            </w:rPr>
            <w:fldChar w:fldCharType="separate"/>
          </w:r>
          <w:r w:rsidR="00DF2933">
            <w:rPr>
              <w:rFonts w:cs="Times New Roman"/>
              <w:i/>
              <w:sz w:val="18"/>
            </w:rPr>
            <w:t>No. 124, 2015</w:t>
          </w:r>
          <w:r w:rsidRPr="00F2721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F27217" w:rsidRDefault="00304E75" w:rsidP="00F27217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F2933">
            <w:rPr>
              <w:i/>
              <w:sz w:val="18"/>
            </w:rPr>
            <w:t>No. 124,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7654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933">
            <w:rPr>
              <w:i/>
              <w:sz w:val="18"/>
            </w:rPr>
            <w:t>Aviation Transport Security Amendment (2015 Measures No. 2)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BB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F2721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F2933">
            <w:rPr>
              <w:i/>
              <w:sz w:val="18"/>
            </w:rPr>
            <w:t>No. 124,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933">
            <w:rPr>
              <w:i/>
              <w:sz w:val="18"/>
            </w:rPr>
            <w:t>Aviation Transport Security Amendment (2015 Measures No. 2)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5D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1B" w:rsidRDefault="0040381B" w:rsidP="0048364F">
      <w:pPr>
        <w:spacing w:line="240" w:lineRule="auto"/>
      </w:pPr>
      <w:r>
        <w:separator/>
      </w:r>
    </w:p>
  </w:footnote>
  <w:footnote w:type="continuationSeparator" w:id="0">
    <w:p w:rsidR="0040381B" w:rsidRDefault="004038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1BB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1BB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1B"/>
    <w:rsid w:val="000041C6"/>
    <w:rsid w:val="000063E4"/>
    <w:rsid w:val="00011222"/>
    <w:rsid w:val="000113BC"/>
    <w:rsid w:val="00011FF6"/>
    <w:rsid w:val="000136AF"/>
    <w:rsid w:val="00016DCB"/>
    <w:rsid w:val="00016E4F"/>
    <w:rsid w:val="00017141"/>
    <w:rsid w:val="000172B0"/>
    <w:rsid w:val="00020052"/>
    <w:rsid w:val="00024F7D"/>
    <w:rsid w:val="00025060"/>
    <w:rsid w:val="00027F30"/>
    <w:rsid w:val="0004044E"/>
    <w:rsid w:val="00043905"/>
    <w:rsid w:val="000614BF"/>
    <w:rsid w:val="000615B1"/>
    <w:rsid w:val="00067AA2"/>
    <w:rsid w:val="00072722"/>
    <w:rsid w:val="0007755E"/>
    <w:rsid w:val="00094D53"/>
    <w:rsid w:val="000A3A79"/>
    <w:rsid w:val="000A5F95"/>
    <w:rsid w:val="000C4E79"/>
    <w:rsid w:val="000D05EF"/>
    <w:rsid w:val="000D0E0E"/>
    <w:rsid w:val="000D0FBF"/>
    <w:rsid w:val="000E4A73"/>
    <w:rsid w:val="000F21C1"/>
    <w:rsid w:val="000F7427"/>
    <w:rsid w:val="0010049F"/>
    <w:rsid w:val="00103CE1"/>
    <w:rsid w:val="00106C1B"/>
    <w:rsid w:val="0010745C"/>
    <w:rsid w:val="001114DA"/>
    <w:rsid w:val="001132C7"/>
    <w:rsid w:val="00116975"/>
    <w:rsid w:val="001219AC"/>
    <w:rsid w:val="0012265B"/>
    <w:rsid w:val="00126F1A"/>
    <w:rsid w:val="00131757"/>
    <w:rsid w:val="00136B42"/>
    <w:rsid w:val="0014143E"/>
    <w:rsid w:val="001433AB"/>
    <w:rsid w:val="00147B56"/>
    <w:rsid w:val="00152694"/>
    <w:rsid w:val="00154EAC"/>
    <w:rsid w:val="001643C9"/>
    <w:rsid w:val="00165568"/>
    <w:rsid w:val="0016613D"/>
    <w:rsid w:val="00166C2F"/>
    <w:rsid w:val="001716C9"/>
    <w:rsid w:val="00171EAE"/>
    <w:rsid w:val="00176CB8"/>
    <w:rsid w:val="00182151"/>
    <w:rsid w:val="00191859"/>
    <w:rsid w:val="00193461"/>
    <w:rsid w:val="001939E1"/>
    <w:rsid w:val="0019409F"/>
    <w:rsid w:val="00195382"/>
    <w:rsid w:val="001A3016"/>
    <w:rsid w:val="001A4188"/>
    <w:rsid w:val="001B3097"/>
    <w:rsid w:val="001B5B30"/>
    <w:rsid w:val="001B70C1"/>
    <w:rsid w:val="001B7A5D"/>
    <w:rsid w:val="001C69C4"/>
    <w:rsid w:val="001D4229"/>
    <w:rsid w:val="001D7F83"/>
    <w:rsid w:val="001E16D0"/>
    <w:rsid w:val="001E3590"/>
    <w:rsid w:val="001E562E"/>
    <w:rsid w:val="001E7407"/>
    <w:rsid w:val="001F5F56"/>
    <w:rsid w:val="001F6924"/>
    <w:rsid w:val="00201D27"/>
    <w:rsid w:val="002044AD"/>
    <w:rsid w:val="00222B9A"/>
    <w:rsid w:val="00231427"/>
    <w:rsid w:val="00234387"/>
    <w:rsid w:val="00240749"/>
    <w:rsid w:val="0024255E"/>
    <w:rsid w:val="00251E08"/>
    <w:rsid w:val="00254A85"/>
    <w:rsid w:val="0025519C"/>
    <w:rsid w:val="00265FBC"/>
    <w:rsid w:val="00266D05"/>
    <w:rsid w:val="0028599D"/>
    <w:rsid w:val="002932B1"/>
    <w:rsid w:val="00293873"/>
    <w:rsid w:val="00295408"/>
    <w:rsid w:val="00297ECB"/>
    <w:rsid w:val="002A0FFD"/>
    <w:rsid w:val="002B2731"/>
    <w:rsid w:val="002B2F2A"/>
    <w:rsid w:val="002B5B89"/>
    <w:rsid w:val="002B5CD1"/>
    <w:rsid w:val="002B616D"/>
    <w:rsid w:val="002B7D96"/>
    <w:rsid w:val="002C0AF1"/>
    <w:rsid w:val="002C5072"/>
    <w:rsid w:val="002D043A"/>
    <w:rsid w:val="002F6D12"/>
    <w:rsid w:val="00300E0F"/>
    <w:rsid w:val="00304E75"/>
    <w:rsid w:val="003072FA"/>
    <w:rsid w:val="00313D68"/>
    <w:rsid w:val="00314B5E"/>
    <w:rsid w:val="0031713F"/>
    <w:rsid w:val="00334E3C"/>
    <w:rsid w:val="003415D3"/>
    <w:rsid w:val="00350E2E"/>
    <w:rsid w:val="00352B0F"/>
    <w:rsid w:val="00355D9C"/>
    <w:rsid w:val="00361914"/>
    <w:rsid w:val="00361BD9"/>
    <w:rsid w:val="00361F08"/>
    <w:rsid w:val="0036332C"/>
    <w:rsid w:val="00363549"/>
    <w:rsid w:val="003753B9"/>
    <w:rsid w:val="003801D0"/>
    <w:rsid w:val="0039228E"/>
    <w:rsid w:val="003926B5"/>
    <w:rsid w:val="003A17B8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381B"/>
    <w:rsid w:val="004116CD"/>
    <w:rsid w:val="00412B83"/>
    <w:rsid w:val="00413F46"/>
    <w:rsid w:val="00424CA9"/>
    <w:rsid w:val="00433910"/>
    <w:rsid w:val="00437B9C"/>
    <w:rsid w:val="0044291A"/>
    <w:rsid w:val="0044309A"/>
    <w:rsid w:val="004541B9"/>
    <w:rsid w:val="00460499"/>
    <w:rsid w:val="00461821"/>
    <w:rsid w:val="0046247E"/>
    <w:rsid w:val="00480FB9"/>
    <w:rsid w:val="00481067"/>
    <w:rsid w:val="0048364F"/>
    <w:rsid w:val="00486382"/>
    <w:rsid w:val="00496C83"/>
    <w:rsid w:val="00496F97"/>
    <w:rsid w:val="004A0282"/>
    <w:rsid w:val="004A0901"/>
    <w:rsid w:val="004A0982"/>
    <w:rsid w:val="004A2484"/>
    <w:rsid w:val="004C0255"/>
    <w:rsid w:val="004C1204"/>
    <w:rsid w:val="004C470B"/>
    <w:rsid w:val="004C5B5A"/>
    <w:rsid w:val="004C6444"/>
    <w:rsid w:val="004C6DE1"/>
    <w:rsid w:val="004E3C46"/>
    <w:rsid w:val="004E71F9"/>
    <w:rsid w:val="004F074F"/>
    <w:rsid w:val="004F1FAC"/>
    <w:rsid w:val="004F3A90"/>
    <w:rsid w:val="004F5F57"/>
    <w:rsid w:val="004F676E"/>
    <w:rsid w:val="00503530"/>
    <w:rsid w:val="00512D94"/>
    <w:rsid w:val="00516B8D"/>
    <w:rsid w:val="00527FD8"/>
    <w:rsid w:val="0053356D"/>
    <w:rsid w:val="00537FBC"/>
    <w:rsid w:val="00543469"/>
    <w:rsid w:val="005513A6"/>
    <w:rsid w:val="00557C7A"/>
    <w:rsid w:val="0056023D"/>
    <w:rsid w:val="00561769"/>
    <w:rsid w:val="005655ED"/>
    <w:rsid w:val="00577E6C"/>
    <w:rsid w:val="0058294B"/>
    <w:rsid w:val="00584811"/>
    <w:rsid w:val="005851A5"/>
    <w:rsid w:val="0058646E"/>
    <w:rsid w:val="00591E07"/>
    <w:rsid w:val="005922D1"/>
    <w:rsid w:val="00593AA6"/>
    <w:rsid w:val="00594161"/>
    <w:rsid w:val="00594749"/>
    <w:rsid w:val="00596ADC"/>
    <w:rsid w:val="005B4067"/>
    <w:rsid w:val="005C12DE"/>
    <w:rsid w:val="005C3F41"/>
    <w:rsid w:val="005C7927"/>
    <w:rsid w:val="005D7125"/>
    <w:rsid w:val="005E552A"/>
    <w:rsid w:val="005F425E"/>
    <w:rsid w:val="00600219"/>
    <w:rsid w:val="00614963"/>
    <w:rsid w:val="006215A5"/>
    <w:rsid w:val="006249B1"/>
    <w:rsid w:val="006249E6"/>
    <w:rsid w:val="00630733"/>
    <w:rsid w:val="00636473"/>
    <w:rsid w:val="00637F35"/>
    <w:rsid w:val="006409EC"/>
    <w:rsid w:val="0064468A"/>
    <w:rsid w:val="00654CCA"/>
    <w:rsid w:val="00656DE9"/>
    <w:rsid w:val="00663BDD"/>
    <w:rsid w:val="0066744D"/>
    <w:rsid w:val="00677CC2"/>
    <w:rsid w:val="00680F17"/>
    <w:rsid w:val="00682200"/>
    <w:rsid w:val="006824BD"/>
    <w:rsid w:val="00685F42"/>
    <w:rsid w:val="0069049E"/>
    <w:rsid w:val="0069207B"/>
    <w:rsid w:val="006937E2"/>
    <w:rsid w:val="0069392E"/>
    <w:rsid w:val="006977FB"/>
    <w:rsid w:val="006A0925"/>
    <w:rsid w:val="006A284C"/>
    <w:rsid w:val="006B262A"/>
    <w:rsid w:val="006C1AB4"/>
    <w:rsid w:val="006C1D44"/>
    <w:rsid w:val="006C2C12"/>
    <w:rsid w:val="006C3A46"/>
    <w:rsid w:val="006C3FFF"/>
    <w:rsid w:val="006C5556"/>
    <w:rsid w:val="006C7F8C"/>
    <w:rsid w:val="006D0D22"/>
    <w:rsid w:val="006D3667"/>
    <w:rsid w:val="006D392F"/>
    <w:rsid w:val="006D4E91"/>
    <w:rsid w:val="006E004B"/>
    <w:rsid w:val="006E7147"/>
    <w:rsid w:val="00700B2C"/>
    <w:rsid w:val="00701E6A"/>
    <w:rsid w:val="00713084"/>
    <w:rsid w:val="007175D2"/>
    <w:rsid w:val="00722023"/>
    <w:rsid w:val="007308B3"/>
    <w:rsid w:val="00731E00"/>
    <w:rsid w:val="007341B8"/>
    <w:rsid w:val="00740F59"/>
    <w:rsid w:val="007421D1"/>
    <w:rsid w:val="007440B7"/>
    <w:rsid w:val="00751DCE"/>
    <w:rsid w:val="0076146B"/>
    <w:rsid w:val="007634AD"/>
    <w:rsid w:val="00765468"/>
    <w:rsid w:val="007715C9"/>
    <w:rsid w:val="00774EDD"/>
    <w:rsid w:val="007757EC"/>
    <w:rsid w:val="007769D4"/>
    <w:rsid w:val="00785AFA"/>
    <w:rsid w:val="007903AC"/>
    <w:rsid w:val="007965A7"/>
    <w:rsid w:val="00797ACE"/>
    <w:rsid w:val="007A022F"/>
    <w:rsid w:val="007A7F9F"/>
    <w:rsid w:val="007B27F0"/>
    <w:rsid w:val="007B5394"/>
    <w:rsid w:val="007C384A"/>
    <w:rsid w:val="007C7BA1"/>
    <w:rsid w:val="007D7665"/>
    <w:rsid w:val="007E3F90"/>
    <w:rsid w:val="007E70C7"/>
    <w:rsid w:val="007E7D4A"/>
    <w:rsid w:val="007F30C6"/>
    <w:rsid w:val="00812A13"/>
    <w:rsid w:val="008220D0"/>
    <w:rsid w:val="00826DA5"/>
    <w:rsid w:val="008313A6"/>
    <w:rsid w:val="00833416"/>
    <w:rsid w:val="00856A31"/>
    <w:rsid w:val="00874B69"/>
    <w:rsid w:val="008754D0"/>
    <w:rsid w:val="00877D48"/>
    <w:rsid w:val="00880795"/>
    <w:rsid w:val="00884138"/>
    <w:rsid w:val="00894659"/>
    <w:rsid w:val="0089783B"/>
    <w:rsid w:val="008A4318"/>
    <w:rsid w:val="008A5147"/>
    <w:rsid w:val="008B50EC"/>
    <w:rsid w:val="008C5A34"/>
    <w:rsid w:val="008C61EC"/>
    <w:rsid w:val="008D0EE0"/>
    <w:rsid w:val="008D1E8C"/>
    <w:rsid w:val="008E7085"/>
    <w:rsid w:val="008F07E3"/>
    <w:rsid w:val="008F2A51"/>
    <w:rsid w:val="008F382B"/>
    <w:rsid w:val="008F4F1C"/>
    <w:rsid w:val="008F678D"/>
    <w:rsid w:val="00903469"/>
    <w:rsid w:val="00907271"/>
    <w:rsid w:val="00932377"/>
    <w:rsid w:val="00932A33"/>
    <w:rsid w:val="00940EA0"/>
    <w:rsid w:val="0094348A"/>
    <w:rsid w:val="0094716C"/>
    <w:rsid w:val="00952CFF"/>
    <w:rsid w:val="00961AE0"/>
    <w:rsid w:val="009848EC"/>
    <w:rsid w:val="00992FFB"/>
    <w:rsid w:val="009943EF"/>
    <w:rsid w:val="009A4DDB"/>
    <w:rsid w:val="009B0A7D"/>
    <w:rsid w:val="009B3629"/>
    <w:rsid w:val="009B730F"/>
    <w:rsid w:val="009C49D8"/>
    <w:rsid w:val="009C55CC"/>
    <w:rsid w:val="009E3601"/>
    <w:rsid w:val="009E51D4"/>
    <w:rsid w:val="009F028F"/>
    <w:rsid w:val="009F5086"/>
    <w:rsid w:val="009F727E"/>
    <w:rsid w:val="00A1027A"/>
    <w:rsid w:val="00A12E3B"/>
    <w:rsid w:val="00A20327"/>
    <w:rsid w:val="00A2057D"/>
    <w:rsid w:val="00A231E2"/>
    <w:rsid w:val="00A2550D"/>
    <w:rsid w:val="00A26DBE"/>
    <w:rsid w:val="00A26F0E"/>
    <w:rsid w:val="00A303C3"/>
    <w:rsid w:val="00A326A4"/>
    <w:rsid w:val="00A35379"/>
    <w:rsid w:val="00A4169B"/>
    <w:rsid w:val="00A4361F"/>
    <w:rsid w:val="00A5197F"/>
    <w:rsid w:val="00A6027C"/>
    <w:rsid w:val="00A64912"/>
    <w:rsid w:val="00A70A74"/>
    <w:rsid w:val="00A70F86"/>
    <w:rsid w:val="00A71C4E"/>
    <w:rsid w:val="00A77608"/>
    <w:rsid w:val="00A87AB9"/>
    <w:rsid w:val="00AA11F1"/>
    <w:rsid w:val="00AB3315"/>
    <w:rsid w:val="00AB6E23"/>
    <w:rsid w:val="00AB7B41"/>
    <w:rsid w:val="00AC06B3"/>
    <w:rsid w:val="00AD5641"/>
    <w:rsid w:val="00AD5F03"/>
    <w:rsid w:val="00AD6E2F"/>
    <w:rsid w:val="00AE50A2"/>
    <w:rsid w:val="00AF0336"/>
    <w:rsid w:val="00AF38F9"/>
    <w:rsid w:val="00AF6613"/>
    <w:rsid w:val="00B00902"/>
    <w:rsid w:val="00B032D8"/>
    <w:rsid w:val="00B10CA4"/>
    <w:rsid w:val="00B1736E"/>
    <w:rsid w:val="00B30C4A"/>
    <w:rsid w:val="00B332B8"/>
    <w:rsid w:val="00B33B3C"/>
    <w:rsid w:val="00B44657"/>
    <w:rsid w:val="00B55DC6"/>
    <w:rsid w:val="00B5682B"/>
    <w:rsid w:val="00B6019F"/>
    <w:rsid w:val="00B61D2C"/>
    <w:rsid w:val="00B63BDE"/>
    <w:rsid w:val="00B65A7E"/>
    <w:rsid w:val="00B81BB9"/>
    <w:rsid w:val="00B82475"/>
    <w:rsid w:val="00B87111"/>
    <w:rsid w:val="00BA5026"/>
    <w:rsid w:val="00BB6E79"/>
    <w:rsid w:val="00BC2558"/>
    <w:rsid w:val="00BC2CF8"/>
    <w:rsid w:val="00BC4F91"/>
    <w:rsid w:val="00BD60E6"/>
    <w:rsid w:val="00BE253A"/>
    <w:rsid w:val="00BE34CA"/>
    <w:rsid w:val="00BE719A"/>
    <w:rsid w:val="00BE720A"/>
    <w:rsid w:val="00BF4533"/>
    <w:rsid w:val="00C0557B"/>
    <w:rsid w:val="00C067E5"/>
    <w:rsid w:val="00C15528"/>
    <w:rsid w:val="00C164CA"/>
    <w:rsid w:val="00C21B63"/>
    <w:rsid w:val="00C24B92"/>
    <w:rsid w:val="00C4154B"/>
    <w:rsid w:val="00C42BF8"/>
    <w:rsid w:val="00C45593"/>
    <w:rsid w:val="00C460AE"/>
    <w:rsid w:val="00C50043"/>
    <w:rsid w:val="00C52CFC"/>
    <w:rsid w:val="00C55C48"/>
    <w:rsid w:val="00C63713"/>
    <w:rsid w:val="00C74151"/>
    <w:rsid w:val="00C7573B"/>
    <w:rsid w:val="00C76CF3"/>
    <w:rsid w:val="00C77E30"/>
    <w:rsid w:val="00C814F5"/>
    <w:rsid w:val="00C97D98"/>
    <w:rsid w:val="00CA08EC"/>
    <w:rsid w:val="00CA21B8"/>
    <w:rsid w:val="00CA69FC"/>
    <w:rsid w:val="00CB0180"/>
    <w:rsid w:val="00CB27FC"/>
    <w:rsid w:val="00CB3470"/>
    <w:rsid w:val="00CB7090"/>
    <w:rsid w:val="00CC5888"/>
    <w:rsid w:val="00CC5F61"/>
    <w:rsid w:val="00CD606E"/>
    <w:rsid w:val="00CD7ECB"/>
    <w:rsid w:val="00CE7CB2"/>
    <w:rsid w:val="00CF0BB2"/>
    <w:rsid w:val="00CF49EC"/>
    <w:rsid w:val="00D0104A"/>
    <w:rsid w:val="00D0115C"/>
    <w:rsid w:val="00D0786A"/>
    <w:rsid w:val="00D07C8A"/>
    <w:rsid w:val="00D13441"/>
    <w:rsid w:val="00D17B17"/>
    <w:rsid w:val="00D20BA5"/>
    <w:rsid w:val="00D243A3"/>
    <w:rsid w:val="00D31CCA"/>
    <w:rsid w:val="00D333D9"/>
    <w:rsid w:val="00D33440"/>
    <w:rsid w:val="00D34349"/>
    <w:rsid w:val="00D40403"/>
    <w:rsid w:val="00D4114F"/>
    <w:rsid w:val="00D52EFE"/>
    <w:rsid w:val="00D57DF5"/>
    <w:rsid w:val="00D63EF6"/>
    <w:rsid w:val="00D6441F"/>
    <w:rsid w:val="00D70DFB"/>
    <w:rsid w:val="00D75E56"/>
    <w:rsid w:val="00D766DF"/>
    <w:rsid w:val="00D83D21"/>
    <w:rsid w:val="00D84B58"/>
    <w:rsid w:val="00D9140F"/>
    <w:rsid w:val="00D925D1"/>
    <w:rsid w:val="00D942B7"/>
    <w:rsid w:val="00DA07D8"/>
    <w:rsid w:val="00DA3A19"/>
    <w:rsid w:val="00DD3368"/>
    <w:rsid w:val="00DD52BA"/>
    <w:rsid w:val="00DE7A0E"/>
    <w:rsid w:val="00DF24E0"/>
    <w:rsid w:val="00DF2933"/>
    <w:rsid w:val="00E01BBD"/>
    <w:rsid w:val="00E05704"/>
    <w:rsid w:val="00E05C46"/>
    <w:rsid w:val="00E12E60"/>
    <w:rsid w:val="00E30006"/>
    <w:rsid w:val="00E30206"/>
    <w:rsid w:val="00E33A71"/>
    <w:rsid w:val="00E33C1C"/>
    <w:rsid w:val="00E443FC"/>
    <w:rsid w:val="00E45FE7"/>
    <w:rsid w:val="00E476B8"/>
    <w:rsid w:val="00E54292"/>
    <w:rsid w:val="00E55BCD"/>
    <w:rsid w:val="00E61AC4"/>
    <w:rsid w:val="00E63C38"/>
    <w:rsid w:val="00E71B66"/>
    <w:rsid w:val="00E72613"/>
    <w:rsid w:val="00E73EC4"/>
    <w:rsid w:val="00E74DC7"/>
    <w:rsid w:val="00E752C0"/>
    <w:rsid w:val="00E76FAB"/>
    <w:rsid w:val="00E80B2F"/>
    <w:rsid w:val="00E81B27"/>
    <w:rsid w:val="00E83E2E"/>
    <w:rsid w:val="00E847BB"/>
    <w:rsid w:val="00E84B32"/>
    <w:rsid w:val="00E87699"/>
    <w:rsid w:val="00E92CDF"/>
    <w:rsid w:val="00EB2C41"/>
    <w:rsid w:val="00EB7FBD"/>
    <w:rsid w:val="00ED1E77"/>
    <w:rsid w:val="00ED3A7D"/>
    <w:rsid w:val="00EF2E3A"/>
    <w:rsid w:val="00F047E2"/>
    <w:rsid w:val="00F078DC"/>
    <w:rsid w:val="00F07F1E"/>
    <w:rsid w:val="00F13E86"/>
    <w:rsid w:val="00F13F26"/>
    <w:rsid w:val="00F24C35"/>
    <w:rsid w:val="00F25047"/>
    <w:rsid w:val="00F27217"/>
    <w:rsid w:val="00F27B0D"/>
    <w:rsid w:val="00F31032"/>
    <w:rsid w:val="00F31A26"/>
    <w:rsid w:val="00F3400B"/>
    <w:rsid w:val="00F47897"/>
    <w:rsid w:val="00F56759"/>
    <w:rsid w:val="00F57130"/>
    <w:rsid w:val="00F66897"/>
    <w:rsid w:val="00F677A9"/>
    <w:rsid w:val="00F77521"/>
    <w:rsid w:val="00F84CF5"/>
    <w:rsid w:val="00F90A8E"/>
    <w:rsid w:val="00F9124A"/>
    <w:rsid w:val="00FA1EC2"/>
    <w:rsid w:val="00FA304C"/>
    <w:rsid w:val="00FA420B"/>
    <w:rsid w:val="00FA60DF"/>
    <w:rsid w:val="00FB03B3"/>
    <w:rsid w:val="00FB192C"/>
    <w:rsid w:val="00FB1B98"/>
    <w:rsid w:val="00FC00BB"/>
    <w:rsid w:val="00FD1CD4"/>
    <w:rsid w:val="00FD7CFE"/>
    <w:rsid w:val="00FF3089"/>
    <w:rsid w:val="00FF3B04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52C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4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4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4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4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4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4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4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52C0"/>
  </w:style>
  <w:style w:type="paragraph" w:customStyle="1" w:styleId="OPCParaBase">
    <w:name w:val="OPCParaBase"/>
    <w:qFormat/>
    <w:rsid w:val="00E752C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52C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52C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52C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52C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52C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752C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52C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52C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52C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52C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52C0"/>
  </w:style>
  <w:style w:type="paragraph" w:customStyle="1" w:styleId="Blocks">
    <w:name w:val="Blocks"/>
    <w:aliases w:val="bb"/>
    <w:basedOn w:val="OPCParaBase"/>
    <w:qFormat/>
    <w:rsid w:val="00E752C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5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52C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52C0"/>
    <w:rPr>
      <w:i/>
    </w:rPr>
  </w:style>
  <w:style w:type="paragraph" w:customStyle="1" w:styleId="BoxList">
    <w:name w:val="BoxList"/>
    <w:aliases w:val="bl"/>
    <w:basedOn w:val="BoxText"/>
    <w:qFormat/>
    <w:rsid w:val="00E752C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52C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52C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52C0"/>
    <w:pPr>
      <w:ind w:left="1985" w:hanging="851"/>
    </w:pPr>
  </w:style>
  <w:style w:type="character" w:customStyle="1" w:styleId="CharAmPartNo">
    <w:name w:val="CharAmPartNo"/>
    <w:basedOn w:val="OPCCharBase"/>
    <w:qFormat/>
    <w:rsid w:val="00E752C0"/>
  </w:style>
  <w:style w:type="character" w:customStyle="1" w:styleId="CharAmPartText">
    <w:name w:val="CharAmPartText"/>
    <w:basedOn w:val="OPCCharBase"/>
    <w:qFormat/>
    <w:rsid w:val="00E752C0"/>
  </w:style>
  <w:style w:type="character" w:customStyle="1" w:styleId="CharAmSchNo">
    <w:name w:val="CharAmSchNo"/>
    <w:basedOn w:val="OPCCharBase"/>
    <w:qFormat/>
    <w:rsid w:val="00E752C0"/>
  </w:style>
  <w:style w:type="character" w:customStyle="1" w:styleId="CharAmSchText">
    <w:name w:val="CharAmSchText"/>
    <w:basedOn w:val="OPCCharBase"/>
    <w:qFormat/>
    <w:rsid w:val="00E752C0"/>
  </w:style>
  <w:style w:type="character" w:customStyle="1" w:styleId="CharBoldItalic">
    <w:name w:val="CharBoldItalic"/>
    <w:basedOn w:val="OPCCharBase"/>
    <w:uiPriority w:val="1"/>
    <w:qFormat/>
    <w:rsid w:val="00E752C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52C0"/>
  </w:style>
  <w:style w:type="character" w:customStyle="1" w:styleId="CharChapText">
    <w:name w:val="CharChapText"/>
    <w:basedOn w:val="OPCCharBase"/>
    <w:uiPriority w:val="1"/>
    <w:qFormat/>
    <w:rsid w:val="00E752C0"/>
  </w:style>
  <w:style w:type="character" w:customStyle="1" w:styleId="CharDivNo">
    <w:name w:val="CharDivNo"/>
    <w:basedOn w:val="OPCCharBase"/>
    <w:uiPriority w:val="1"/>
    <w:qFormat/>
    <w:rsid w:val="00E752C0"/>
  </w:style>
  <w:style w:type="character" w:customStyle="1" w:styleId="CharDivText">
    <w:name w:val="CharDivText"/>
    <w:basedOn w:val="OPCCharBase"/>
    <w:uiPriority w:val="1"/>
    <w:qFormat/>
    <w:rsid w:val="00E752C0"/>
  </w:style>
  <w:style w:type="character" w:customStyle="1" w:styleId="CharItalic">
    <w:name w:val="CharItalic"/>
    <w:basedOn w:val="OPCCharBase"/>
    <w:uiPriority w:val="1"/>
    <w:qFormat/>
    <w:rsid w:val="00E752C0"/>
    <w:rPr>
      <w:i/>
    </w:rPr>
  </w:style>
  <w:style w:type="character" w:customStyle="1" w:styleId="CharPartNo">
    <w:name w:val="CharPartNo"/>
    <w:basedOn w:val="OPCCharBase"/>
    <w:uiPriority w:val="1"/>
    <w:qFormat/>
    <w:rsid w:val="00E752C0"/>
  </w:style>
  <w:style w:type="character" w:customStyle="1" w:styleId="CharPartText">
    <w:name w:val="CharPartText"/>
    <w:basedOn w:val="OPCCharBase"/>
    <w:uiPriority w:val="1"/>
    <w:qFormat/>
    <w:rsid w:val="00E752C0"/>
  </w:style>
  <w:style w:type="character" w:customStyle="1" w:styleId="CharSectno">
    <w:name w:val="CharSectno"/>
    <w:basedOn w:val="OPCCharBase"/>
    <w:qFormat/>
    <w:rsid w:val="00E752C0"/>
  </w:style>
  <w:style w:type="character" w:customStyle="1" w:styleId="CharSubdNo">
    <w:name w:val="CharSubdNo"/>
    <w:basedOn w:val="OPCCharBase"/>
    <w:uiPriority w:val="1"/>
    <w:qFormat/>
    <w:rsid w:val="00E752C0"/>
  </w:style>
  <w:style w:type="character" w:customStyle="1" w:styleId="CharSubdText">
    <w:name w:val="CharSubdText"/>
    <w:basedOn w:val="OPCCharBase"/>
    <w:uiPriority w:val="1"/>
    <w:qFormat/>
    <w:rsid w:val="00E752C0"/>
  </w:style>
  <w:style w:type="paragraph" w:customStyle="1" w:styleId="CTA--">
    <w:name w:val="CTA --"/>
    <w:basedOn w:val="OPCParaBase"/>
    <w:next w:val="Normal"/>
    <w:rsid w:val="00E752C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52C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52C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52C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52C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52C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52C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52C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52C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52C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52C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52C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52C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52C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752C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52C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52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52C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52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52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52C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52C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52C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52C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52C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52C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52C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52C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52C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52C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52C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52C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52C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52C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52C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52C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52C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52C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52C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52C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52C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52C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52C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52C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52C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52C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52C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52C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52C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52C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52C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5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52C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52C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52C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752C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752C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752C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752C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752C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752C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752C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752C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752C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752C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52C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52C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52C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52C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52C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52C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52C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752C0"/>
    <w:rPr>
      <w:sz w:val="16"/>
    </w:rPr>
  </w:style>
  <w:style w:type="table" w:customStyle="1" w:styleId="CFlag">
    <w:name w:val="CFlag"/>
    <w:basedOn w:val="TableNormal"/>
    <w:uiPriority w:val="99"/>
    <w:rsid w:val="00E752C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752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752C0"/>
    <w:rPr>
      <w:color w:val="0000FF"/>
      <w:u w:val="single"/>
    </w:rPr>
  </w:style>
  <w:style w:type="table" w:styleId="TableGrid">
    <w:name w:val="Table Grid"/>
    <w:basedOn w:val="TableNormal"/>
    <w:uiPriority w:val="59"/>
    <w:rsid w:val="00E7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52C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752C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752C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52C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52C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52C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52C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752C0"/>
  </w:style>
  <w:style w:type="paragraph" w:customStyle="1" w:styleId="CompiledActNo">
    <w:name w:val="CompiledActNo"/>
    <w:basedOn w:val="OPCParaBase"/>
    <w:next w:val="Normal"/>
    <w:rsid w:val="00E752C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752C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52C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752C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752C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52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752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52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752C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52C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52C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52C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52C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52C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752C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52C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52C0"/>
  </w:style>
  <w:style w:type="character" w:customStyle="1" w:styleId="CharSubPartNoCASA">
    <w:name w:val="CharSubPartNo(CASA)"/>
    <w:basedOn w:val="OPCCharBase"/>
    <w:uiPriority w:val="1"/>
    <w:rsid w:val="00E752C0"/>
  </w:style>
  <w:style w:type="paragraph" w:customStyle="1" w:styleId="ENoteTTIndentHeadingSub">
    <w:name w:val="ENoteTTIndentHeadingSub"/>
    <w:aliases w:val="enTTHis"/>
    <w:basedOn w:val="OPCParaBase"/>
    <w:rsid w:val="00E752C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52C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52C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52C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52C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5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52C0"/>
    <w:rPr>
      <w:sz w:val="22"/>
    </w:rPr>
  </w:style>
  <w:style w:type="paragraph" w:customStyle="1" w:styleId="SOTextNote">
    <w:name w:val="SO TextNote"/>
    <w:aliases w:val="sont"/>
    <w:basedOn w:val="SOText"/>
    <w:qFormat/>
    <w:rsid w:val="00E752C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52C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52C0"/>
    <w:rPr>
      <w:sz w:val="22"/>
    </w:rPr>
  </w:style>
  <w:style w:type="paragraph" w:customStyle="1" w:styleId="FileName">
    <w:name w:val="FileName"/>
    <w:basedOn w:val="Normal"/>
    <w:rsid w:val="00E752C0"/>
  </w:style>
  <w:style w:type="paragraph" w:customStyle="1" w:styleId="TableHeading">
    <w:name w:val="TableHeading"/>
    <w:aliases w:val="th"/>
    <w:basedOn w:val="OPCParaBase"/>
    <w:next w:val="Tabletext"/>
    <w:rsid w:val="00E752C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52C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52C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52C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52C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52C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52C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52C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52C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5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52C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52C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647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64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4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4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4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4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4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4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47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52C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4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4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4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4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4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4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4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52C0"/>
  </w:style>
  <w:style w:type="paragraph" w:customStyle="1" w:styleId="OPCParaBase">
    <w:name w:val="OPCParaBase"/>
    <w:qFormat/>
    <w:rsid w:val="00E752C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52C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52C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52C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52C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52C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752C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52C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52C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52C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52C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52C0"/>
  </w:style>
  <w:style w:type="paragraph" w:customStyle="1" w:styleId="Blocks">
    <w:name w:val="Blocks"/>
    <w:aliases w:val="bb"/>
    <w:basedOn w:val="OPCParaBase"/>
    <w:qFormat/>
    <w:rsid w:val="00E752C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5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52C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52C0"/>
    <w:rPr>
      <w:i/>
    </w:rPr>
  </w:style>
  <w:style w:type="paragraph" w:customStyle="1" w:styleId="BoxList">
    <w:name w:val="BoxList"/>
    <w:aliases w:val="bl"/>
    <w:basedOn w:val="BoxText"/>
    <w:qFormat/>
    <w:rsid w:val="00E752C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52C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52C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52C0"/>
    <w:pPr>
      <w:ind w:left="1985" w:hanging="851"/>
    </w:pPr>
  </w:style>
  <w:style w:type="character" w:customStyle="1" w:styleId="CharAmPartNo">
    <w:name w:val="CharAmPartNo"/>
    <w:basedOn w:val="OPCCharBase"/>
    <w:qFormat/>
    <w:rsid w:val="00E752C0"/>
  </w:style>
  <w:style w:type="character" w:customStyle="1" w:styleId="CharAmPartText">
    <w:name w:val="CharAmPartText"/>
    <w:basedOn w:val="OPCCharBase"/>
    <w:qFormat/>
    <w:rsid w:val="00E752C0"/>
  </w:style>
  <w:style w:type="character" w:customStyle="1" w:styleId="CharAmSchNo">
    <w:name w:val="CharAmSchNo"/>
    <w:basedOn w:val="OPCCharBase"/>
    <w:qFormat/>
    <w:rsid w:val="00E752C0"/>
  </w:style>
  <w:style w:type="character" w:customStyle="1" w:styleId="CharAmSchText">
    <w:name w:val="CharAmSchText"/>
    <w:basedOn w:val="OPCCharBase"/>
    <w:qFormat/>
    <w:rsid w:val="00E752C0"/>
  </w:style>
  <w:style w:type="character" w:customStyle="1" w:styleId="CharBoldItalic">
    <w:name w:val="CharBoldItalic"/>
    <w:basedOn w:val="OPCCharBase"/>
    <w:uiPriority w:val="1"/>
    <w:qFormat/>
    <w:rsid w:val="00E752C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52C0"/>
  </w:style>
  <w:style w:type="character" w:customStyle="1" w:styleId="CharChapText">
    <w:name w:val="CharChapText"/>
    <w:basedOn w:val="OPCCharBase"/>
    <w:uiPriority w:val="1"/>
    <w:qFormat/>
    <w:rsid w:val="00E752C0"/>
  </w:style>
  <w:style w:type="character" w:customStyle="1" w:styleId="CharDivNo">
    <w:name w:val="CharDivNo"/>
    <w:basedOn w:val="OPCCharBase"/>
    <w:uiPriority w:val="1"/>
    <w:qFormat/>
    <w:rsid w:val="00E752C0"/>
  </w:style>
  <w:style w:type="character" w:customStyle="1" w:styleId="CharDivText">
    <w:name w:val="CharDivText"/>
    <w:basedOn w:val="OPCCharBase"/>
    <w:uiPriority w:val="1"/>
    <w:qFormat/>
    <w:rsid w:val="00E752C0"/>
  </w:style>
  <w:style w:type="character" w:customStyle="1" w:styleId="CharItalic">
    <w:name w:val="CharItalic"/>
    <w:basedOn w:val="OPCCharBase"/>
    <w:uiPriority w:val="1"/>
    <w:qFormat/>
    <w:rsid w:val="00E752C0"/>
    <w:rPr>
      <w:i/>
    </w:rPr>
  </w:style>
  <w:style w:type="character" w:customStyle="1" w:styleId="CharPartNo">
    <w:name w:val="CharPartNo"/>
    <w:basedOn w:val="OPCCharBase"/>
    <w:uiPriority w:val="1"/>
    <w:qFormat/>
    <w:rsid w:val="00E752C0"/>
  </w:style>
  <w:style w:type="character" w:customStyle="1" w:styleId="CharPartText">
    <w:name w:val="CharPartText"/>
    <w:basedOn w:val="OPCCharBase"/>
    <w:uiPriority w:val="1"/>
    <w:qFormat/>
    <w:rsid w:val="00E752C0"/>
  </w:style>
  <w:style w:type="character" w:customStyle="1" w:styleId="CharSectno">
    <w:name w:val="CharSectno"/>
    <w:basedOn w:val="OPCCharBase"/>
    <w:qFormat/>
    <w:rsid w:val="00E752C0"/>
  </w:style>
  <w:style w:type="character" w:customStyle="1" w:styleId="CharSubdNo">
    <w:name w:val="CharSubdNo"/>
    <w:basedOn w:val="OPCCharBase"/>
    <w:uiPriority w:val="1"/>
    <w:qFormat/>
    <w:rsid w:val="00E752C0"/>
  </w:style>
  <w:style w:type="character" w:customStyle="1" w:styleId="CharSubdText">
    <w:name w:val="CharSubdText"/>
    <w:basedOn w:val="OPCCharBase"/>
    <w:uiPriority w:val="1"/>
    <w:qFormat/>
    <w:rsid w:val="00E752C0"/>
  </w:style>
  <w:style w:type="paragraph" w:customStyle="1" w:styleId="CTA--">
    <w:name w:val="CTA --"/>
    <w:basedOn w:val="OPCParaBase"/>
    <w:next w:val="Normal"/>
    <w:rsid w:val="00E752C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52C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52C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52C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52C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52C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52C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52C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52C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52C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52C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52C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52C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52C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752C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52C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52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52C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52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52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52C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52C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52C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52C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52C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52C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52C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52C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52C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52C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52C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52C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52C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52C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52C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52C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52C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52C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52C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52C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52C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52C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52C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52C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52C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52C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52C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52C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52C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52C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52C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5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52C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52C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52C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752C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752C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752C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752C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752C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752C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752C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752C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752C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752C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52C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52C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52C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52C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52C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52C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52C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752C0"/>
    <w:rPr>
      <w:sz w:val="16"/>
    </w:rPr>
  </w:style>
  <w:style w:type="table" w:customStyle="1" w:styleId="CFlag">
    <w:name w:val="CFlag"/>
    <w:basedOn w:val="TableNormal"/>
    <w:uiPriority w:val="99"/>
    <w:rsid w:val="00E752C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752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752C0"/>
    <w:rPr>
      <w:color w:val="0000FF"/>
      <w:u w:val="single"/>
    </w:rPr>
  </w:style>
  <w:style w:type="table" w:styleId="TableGrid">
    <w:name w:val="Table Grid"/>
    <w:basedOn w:val="TableNormal"/>
    <w:uiPriority w:val="59"/>
    <w:rsid w:val="00E7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52C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752C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752C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52C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52C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52C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52C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752C0"/>
  </w:style>
  <w:style w:type="paragraph" w:customStyle="1" w:styleId="CompiledActNo">
    <w:name w:val="CompiledActNo"/>
    <w:basedOn w:val="OPCParaBase"/>
    <w:next w:val="Normal"/>
    <w:rsid w:val="00E752C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752C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52C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752C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752C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52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752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52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752C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52C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52C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52C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52C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52C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752C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52C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52C0"/>
  </w:style>
  <w:style w:type="character" w:customStyle="1" w:styleId="CharSubPartNoCASA">
    <w:name w:val="CharSubPartNo(CASA)"/>
    <w:basedOn w:val="OPCCharBase"/>
    <w:uiPriority w:val="1"/>
    <w:rsid w:val="00E752C0"/>
  </w:style>
  <w:style w:type="paragraph" w:customStyle="1" w:styleId="ENoteTTIndentHeadingSub">
    <w:name w:val="ENoteTTIndentHeadingSub"/>
    <w:aliases w:val="enTTHis"/>
    <w:basedOn w:val="OPCParaBase"/>
    <w:rsid w:val="00E752C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52C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52C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52C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52C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5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52C0"/>
    <w:rPr>
      <w:sz w:val="22"/>
    </w:rPr>
  </w:style>
  <w:style w:type="paragraph" w:customStyle="1" w:styleId="SOTextNote">
    <w:name w:val="SO TextNote"/>
    <w:aliases w:val="sont"/>
    <w:basedOn w:val="SOText"/>
    <w:qFormat/>
    <w:rsid w:val="00E752C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52C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52C0"/>
    <w:rPr>
      <w:sz w:val="22"/>
    </w:rPr>
  </w:style>
  <w:style w:type="paragraph" w:customStyle="1" w:styleId="FileName">
    <w:name w:val="FileName"/>
    <w:basedOn w:val="Normal"/>
    <w:rsid w:val="00E752C0"/>
  </w:style>
  <w:style w:type="paragraph" w:customStyle="1" w:styleId="TableHeading">
    <w:name w:val="TableHeading"/>
    <w:aliases w:val="th"/>
    <w:basedOn w:val="OPCParaBase"/>
    <w:next w:val="Tabletext"/>
    <w:rsid w:val="00E752C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52C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52C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52C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52C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52C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52C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52C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52C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5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52C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52C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647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64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4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4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4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4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4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4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47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782</Words>
  <Characters>4462</Characters>
  <Application>Microsoft Office Word</Application>
  <DocSecurity>4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2015-06-17T06:10:00Z</cp:lastPrinted>
  <dcterms:created xsi:type="dcterms:W3CDTF">2016-08-08T23:30:00Z</dcterms:created>
  <dcterms:modified xsi:type="dcterms:W3CDTF">2016-08-08T23:30:00Z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124, 2015</vt:lpwstr>
  </property>
  <property fmtid="{D5CDD505-2E9C-101B-9397-08002B2CF9AE}" pid="3" name="ShortT">
    <vt:lpwstr>Aviation Transport Security Amendment (2015 Measures No. 2)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July 2015</vt:lpwstr>
  </property>
  <property fmtid="{D5CDD505-2E9C-101B-9397-08002B2CF9AE}" pid="10" name="Authority">
    <vt:lpwstr/>
  </property>
  <property fmtid="{D5CDD505-2E9C-101B-9397-08002B2CF9AE}" pid="11" name="ID">
    <vt:lpwstr>OPC60977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Aviation Transport Security Act 2004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E</vt:lpwstr>
  </property>
  <property fmtid="{D5CDD505-2E9C-101B-9397-08002B2CF9AE}" pid="19" name="CounterSign">
    <vt:lpwstr/>
  </property>
  <property fmtid="{D5CDD505-2E9C-101B-9397-08002B2CF9AE}" pid="20" name="ExcoDate">
    <vt:lpwstr>23 July 2015</vt:lpwstr>
  </property>
</Properties>
</file>