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2F" w:rsidRPr="005F36BF" w:rsidRDefault="00D1214D" w:rsidP="00153B2F">
      <w:pPr>
        <w:spacing w:line="240" w:lineRule="auto"/>
        <w:jc w:val="center"/>
        <w:rPr>
          <w:rFonts w:ascii="Times New Roman" w:hAnsi="Times New Roman"/>
          <w:b/>
          <w:sz w:val="24"/>
          <w:szCs w:val="24"/>
          <w:u w:val="single"/>
        </w:rPr>
      </w:pPr>
      <w:r w:rsidRPr="005F36BF">
        <w:rPr>
          <w:rFonts w:ascii="Times New Roman" w:hAnsi="Times New Roman"/>
          <w:b/>
          <w:sz w:val="24"/>
          <w:szCs w:val="24"/>
          <w:u w:val="single"/>
        </w:rPr>
        <w:t>EXPLANATORY STATEMENT</w:t>
      </w:r>
    </w:p>
    <w:p w:rsidR="00153B2F" w:rsidRPr="005F36BF" w:rsidRDefault="00D1214D" w:rsidP="00153B2F">
      <w:pPr>
        <w:pStyle w:val="Heading1"/>
        <w:spacing w:before="0" w:after="200"/>
        <w:jc w:val="center"/>
        <w:rPr>
          <w:b w:val="0"/>
          <w:i/>
          <w:color w:val="auto"/>
          <w:sz w:val="24"/>
          <w:szCs w:val="24"/>
        </w:rPr>
      </w:pPr>
      <w:r w:rsidRPr="005F36BF">
        <w:rPr>
          <w:b w:val="0"/>
          <w:i/>
          <w:color w:val="auto"/>
          <w:sz w:val="24"/>
          <w:szCs w:val="24"/>
        </w:rPr>
        <w:t>Carbon Credits (Carbon Farming Initiative) Act 2011</w:t>
      </w:r>
    </w:p>
    <w:p w:rsidR="00153B2F" w:rsidRPr="005F36BF" w:rsidRDefault="00D1214D" w:rsidP="00153B2F">
      <w:pPr>
        <w:spacing w:before="240" w:after="120" w:line="240" w:lineRule="auto"/>
        <w:jc w:val="center"/>
        <w:rPr>
          <w:rFonts w:ascii="Times New Roman" w:hAnsi="Times New Roman"/>
          <w:i/>
          <w:sz w:val="24"/>
          <w:szCs w:val="24"/>
        </w:rPr>
      </w:pPr>
      <w:r w:rsidRPr="005F36BF">
        <w:rPr>
          <w:rFonts w:ascii="Times New Roman" w:hAnsi="Times New Roman"/>
          <w:i/>
          <w:sz w:val="24"/>
          <w:szCs w:val="24"/>
        </w:rPr>
        <w:t>Carbon Credits (Carbon Farming Initiative—Oil and Gas Fugitives) Methodology Determination 2015</w:t>
      </w:r>
    </w:p>
    <w:p w:rsidR="00153B2F" w:rsidRPr="005F36BF" w:rsidRDefault="00D1214D" w:rsidP="00153B2F">
      <w:pPr>
        <w:spacing w:after="120" w:line="240" w:lineRule="auto"/>
        <w:jc w:val="center"/>
        <w:rPr>
          <w:rFonts w:ascii="Times New Roman" w:hAnsi="Times New Roman"/>
          <w:b/>
          <w:sz w:val="24"/>
          <w:szCs w:val="24"/>
        </w:rPr>
      </w:pP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t>Background: Emissions Reduction Fund</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The </w:t>
      </w:r>
      <w:r w:rsidRPr="005F36BF">
        <w:rPr>
          <w:rFonts w:ascii="Times New Roman" w:hAnsi="Times New Roman"/>
          <w:i/>
          <w:sz w:val="24"/>
          <w:szCs w:val="24"/>
        </w:rPr>
        <w:t xml:space="preserve">Carbon Credits (Carbon Farming Initiative) </w:t>
      </w:r>
      <w:r w:rsidRPr="005F36BF">
        <w:rPr>
          <w:rFonts w:ascii="Times New Roman" w:hAnsi="Times New Roman"/>
          <w:i/>
          <w:sz w:val="24"/>
          <w:szCs w:val="24"/>
        </w:rPr>
        <w:t>Act 2011</w:t>
      </w:r>
      <w:r w:rsidRPr="005F36BF">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w:t>
      </w:r>
      <w:r w:rsidRPr="005F36BF">
        <w:rPr>
          <w:rFonts w:ascii="Times New Roman" w:hAnsi="Times New Roman"/>
          <w:sz w:val="24"/>
          <w:szCs w:val="24"/>
        </w:rPr>
        <w:t xml:space="preserve">g it in soil or trees. </w:t>
      </w:r>
    </w:p>
    <w:p w:rsidR="00153B2F" w:rsidRPr="005F36BF" w:rsidRDefault="00D1214D" w:rsidP="00153B2F">
      <w:pPr>
        <w:pStyle w:val="base-text-paragraphnonumbers"/>
        <w:ind w:left="0"/>
        <w:rPr>
          <w:sz w:val="24"/>
          <w:szCs w:val="24"/>
        </w:rPr>
      </w:pPr>
      <w:r w:rsidRPr="005F36BF">
        <w:rPr>
          <w:sz w:val="24"/>
          <w:szCs w:val="24"/>
        </w:rPr>
        <w:t xml:space="preserve">In 2014, the Australian Parliament agreed to the </w:t>
      </w:r>
      <w:r w:rsidRPr="005F36BF">
        <w:rPr>
          <w:i/>
          <w:iCs/>
          <w:sz w:val="24"/>
          <w:szCs w:val="24"/>
        </w:rPr>
        <w:t>Carbon Farming Initiative Amendment Act 2014</w:t>
      </w:r>
      <w:r w:rsidRPr="005F36BF">
        <w:rPr>
          <w:sz w:val="24"/>
          <w:szCs w:val="24"/>
        </w:rPr>
        <w:t>, which establishes the Emissions Reduction Fund (ERF). The ERF has three elements: crediting emissions reductions, purchasing emissions re</w:t>
      </w:r>
      <w:r w:rsidRPr="005F36BF">
        <w:rPr>
          <w:sz w:val="24"/>
          <w:szCs w:val="24"/>
        </w:rPr>
        <w:t>ductions, and safeguarding emissions reductions.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w:t>
      </w:r>
      <w:r w:rsidRPr="005F36BF">
        <w:rPr>
          <w:rFonts w:ascii="Times New Roman" w:hAnsi="Times New Roman"/>
          <w:sz w:val="24"/>
          <w:szCs w:val="24"/>
        </w:rPr>
        <w:t>en in accordance with, a methodology determination.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Subsection 106(1) of the</w:t>
      </w:r>
      <w:r w:rsidRPr="005F36BF">
        <w:rPr>
          <w:rFonts w:ascii="Times New Roman" w:hAnsi="Times New Roman"/>
          <w:i/>
          <w:iCs/>
          <w:sz w:val="24"/>
          <w:szCs w:val="24"/>
        </w:rPr>
        <w:t xml:space="preserve"> </w:t>
      </w:r>
      <w:r w:rsidRPr="005F36BF">
        <w:rPr>
          <w:rFonts w:ascii="Times New Roman" w:hAnsi="Times New Roman"/>
          <w:iCs/>
          <w:sz w:val="24"/>
          <w:szCs w:val="24"/>
        </w:rPr>
        <w:t>Act</w:t>
      </w:r>
      <w:r w:rsidRPr="005F36BF">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w:t>
      </w:r>
      <w:r w:rsidRPr="005F36BF">
        <w:rPr>
          <w:rFonts w:ascii="Times New Roman" w:hAnsi="Times New Roman"/>
          <w:sz w:val="24"/>
          <w:szCs w:val="24"/>
        </w:rPr>
        <w:t>s for monitoring, record keeping and reporting. These methodologies will ensure that emissions reductions are genuine—that they are both real and additional to business as usual.</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In deciding to make a methodology determination the Minister must have regard</w:t>
      </w:r>
      <w:r w:rsidRPr="005F36BF">
        <w:rPr>
          <w:rFonts w:ascii="Times New Roman" w:hAnsi="Times New Roman"/>
          <w:sz w:val="24"/>
          <w:szCs w:val="24"/>
        </w:rPr>
        <w:t xml:space="preserve"> to the advice of the Emissions Reduction Assurance Committee (ERAC), an independent expert panel established to advise the Minister on proposals for methodology determinations. The Minister must not make or vary a methodology if the ERAC considers it inco</w:t>
      </w:r>
      <w:r w:rsidRPr="005F36BF">
        <w:rPr>
          <w:rFonts w:ascii="Times New Roman" w:hAnsi="Times New Roman"/>
          <w:sz w:val="24"/>
          <w:szCs w:val="24"/>
        </w:rPr>
        <w:t>nsistent with the offsets integrity standards, which are set out in section 133 of the Act. The Minister will also consider any adverse environmental, economic or social impacts likely to arise as a result of projects to which the determination applies.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Of</w:t>
      </w:r>
      <w:r w:rsidRPr="005F36BF">
        <w:rPr>
          <w:rFonts w:ascii="Times New Roman" w:hAnsi="Times New Roman"/>
          <w:sz w:val="24"/>
          <w:szCs w:val="24"/>
        </w:rPr>
        <w:t>fsets projects that are undertaken in accordance with the methodology determination and approved by the Clean Energy Regulator (the Regulator) can generate Australian Carbon Credit Units (ACCUs), representing emissions reductions from the project.</w:t>
      </w:r>
    </w:p>
    <w:p w:rsidR="00153B2F" w:rsidRPr="005F36BF" w:rsidRDefault="00D1214D" w:rsidP="00153B2F">
      <w:pPr>
        <w:pStyle w:val="base-text-paragraphnonumbers"/>
        <w:ind w:left="0"/>
        <w:rPr>
          <w:sz w:val="24"/>
          <w:szCs w:val="24"/>
          <w:lang w:val="en-US"/>
        </w:rPr>
      </w:pPr>
      <w:r w:rsidRPr="005F36BF">
        <w:rPr>
          <w:sz w:val="24"/>
          <w:szCs w:val="24"/>
          <w:lang w:val="en-US"/>
        </w:rPr>
        <w:t>Proponen</w:t>
      </w:r>
      <w:r w:rsidRPr="005F36BF">
        <w:rPr>
          <w:sz w:val="24"/>
          <w:szCs w:val="24"/>
          <w:lang w:val="en-US"/>
        </w:rPr>
        <w:t xml:space="preserve">ts can receive funding from the ERF by submitting their </w:t>
      </w:r>
      <w:r w:rsidRPr="005F36BF">
        <w:rPr>
          <w:sz w:val="24"/>
          <w:szCs w:val="24"/>
          <w:lang w:val="en-US"/>
        </w:rPr>
        <w:t xml:space="preserve">bids for delivering emission reductions they can achieve through their </w:t>
      </w:r>
      <w:r w:rsidRPr="005F36BF">
        <w:rPr>
          <w:sz w:val="24"/>
          <w:szCs w:val="24"/>
          <w:lang w:val="en-US"/>
        </w:rPr>
        <w:t xml:space="preserve">projects into a competitive auction run by the </w:t>
      </w:r>
      <w:r w:rsidRPr="005F36BF">
        <w:rPr>
          <w:sz w:val="24"/>
          <w:szCs w:val="24"/>
        </w:rPr>
        <w:t>Regulator</w:t>
      </w:r>
      <w:r w:rsidRPr="005F36BF">
        <w:rPr>
          <w:sz w:val="24"/>
          <w:szCs w:val="24"/>
          <w:lang w:val="en-US"/>
        </w:rPr>
        <w:t>.</w:t>
      </w:r>
      <w:r w:rsidRPr="005F36BF">
        <w:rPr>
          <w:sz w:val="24"/>
          <w:szCs w:val="24"/>
        </w:rPr>
        <w:t xml:space="preserve"> </w:t>
      </w:r>
      <w:r w:rsidRPr="005F36BF">
        <w:rPr>
          <w:sz w:val="24"/>
          <w:szCs w:val="24"/>
          <w:lang w:val="en-US"/>
        </w:rPr>
        <w:t>The Government will enter into contracts with successful proponents, wh</w:t>
      </w:r>
      <w:r w:rsidRPr="005F36BF">
        <w:rPr>
          <w:sz w:val="24"/>
          <w:szCs w:val="24"/>
          <w:lang w:val="en-US"/>
        </w:rPr>
        <w:t>ich will guarantee the price and payment schedule for the future delivery of emissions reductions.</w:t>
      </w:r>
    </w:p>
    <w:p w:rsidR="00153B2F" w:rsidRPr="005F36BF" w:rsidRDefault="00D1214D" w:rsidP="00153B2F">
      <w:pPr>
        <w:pStyle w:val="base-text-paragraphnonumbers"/>
        <w:ind w:left="0"/>
        <w:rPr>
          <w:sz w:val="28"/>
          <w:szCs w:val="24"/>
        </w:rPr>
      </w:pPr>
      <w:r w:rsidRPr="005F36BF">
        <w:rPr>
          <w:sz w:val="24"/>
          <w:lang w:val="en-US"/>
        </w:rPr>
        <w:t xml:space="preserve">Further information on the ERF is available at: </w:t>
      </w:r>
      <w:r w:rsidRPr="005F36BF">
        <w:rPr>
          <w:sz w:val="24"/>
          <w:lang w:val="en-US"/>
        </w:rPr>
        <w:br/>
      </w:r>
      <w:hyperlink r:id="rId11" w:history="1">
        <w:r w:rsidRPr="005F36BF">
          <w:rPr>
            <w:rStyle w:val="Hyperlink"/>
            <w:rFonts w:cs="Arial"/>
            <w:sz w:val="24"/>
            <w:szCs w:val="24"/>
          </w:rPr>
          <w:t>www.environment.gov.au/emissions-reducti</w:t>
        </w:r>
        <w:r w:rsidRPr="005F36BF">
          <w:rPr>
            <w:rStyle w:val="Hyperlink"/>
            <w:rFonts w:cs="Arial"/>
            <w:sz w:val="24"/>
            <w:szCs w:val="24"/>
          </w:rPr>
          <w:t>on-fund</w:t>
        </w:r>
      </w:hyperlink>
      <w:r w:rsidRPr="005F36BF">
        <w:rPr>
          <w:sz w:val="28"/>
          <w:szCs w:val="24"/>
        </w:rPr>
        <w:t>.</w:t>
      </w:r>
    </w:p>
    <w:p w:rsidR="00153B2F" w:rsidRPr="005F36BF" w:rsidRDefault="00D1214D" w:rsidP="00153B2F">
      <w:pPr>
        <w:spacing w:line="240" w:lineRule="auto"/>
        <w:rPr>
          <w:rFonts w:ascii="Times New Roman" w:eastAsia="Times New Roman" w:hAnsi="Times New Roman"/>
          <w:sz w:val="28"/>
          <w:szCs w:val="24"/>
          <w:lang w:eastAsia="en-AU"/>
        </w:rPr>
      </w:pPr>
      <w:r w:rsidRPr="005F36BF">
        <w:rPr>
          <w:sz w:val="28"/>
          <w:szCs w:val="24"/>
        </w:rPr>
        <w:br w:type="page"/>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lastRenderedPageBreak/>
        <w:t>Background: Oil and Gas Fugitives</w:t>
      </w:r>
    </w:p>
    <w:p w:rsidR="00153B2F" w:rsidRPr="005F36BF" w:rsidRDefault="00D1214D" w:rsidP="00153B2F">
      <w:pPr>
        <w:spacing w:before="240" w:after="120" w:line="240" w:lineRule="auto"/>
      </w:pPr>
      <w:r w:rsidRPr="005F36BF">
        <w:rPr>
          <w:rFonts w:ascii="Times New Roman" w:hAnsi="Times New Roman"/>
          <w:sz w:val="24"/>
          <w:szCs w:val="24"/>
        </w:rPr>
        <w:t>Greenhouse gas emissions from the fugitive sector are projected to be the largest source of emissions growth up to 2020.</w:t>
      </w:r>
      <w:r>
        <w:rPr>
          <w:rStyle w:val="FootnoteReference"/>
          <w:rFonts w:ascii="Times New Roman" w:hAnsi="Times New Roman"/>
          <w:sz w:val="24"/>
          <w:szCs w:val="24"/>
        </w:rPr>
        <w:footnoteReference w:id="1"/>
      </w:r>
      <w:r w:rsidRPr="005F36BF">
        <w:rPr>
          <w:rFonts w:ascii="Times New Roman" w:hAnsi="Times New Roman"/>
          <w:sz w:val="24"/>
          <w:szCs w:val="24"/>
        </w:rPr>
        <w:t xml:space="preserve"> In 2011-12, emissions from venting and flaring in the oil and gas sector contributed 7.6 </w:t>
      </w:r>
      <w:proofErr w:type="spellStart"/>
      <w:r w:rsidRPr="005F36BF">
        <w:rPr>
          <w:rFonts w:ascii="Times New Roman" w:hAnsi="Times New Roman"/>
          <w:sz w:val="24"/>
          <w:szCs w:val="24"/>
        </w:rPr>
        <w:t>megatonnes</w:t>
      </w:r>
      <w:proofErr w:type="spellEnd"/>
      <w:r w:rsidRPr="005F36BF">
        <w:rPr>
          <w:rFonts w:ascii="Times New Roman" w:hAnsi="Times New Roman"/>
          <w:sz w:val="24"/>
          <w:szCs w:val="24"/>
        </w:rPr>
        <w:t xml:space="preserve"> or 19 per cent of all fugitive emissions</w:t>
      </w:r>
      <w:r>
        <w:rPr>
          <w:rStyle w:val="FootnoteReference"/>
          <w:rFonts w:ascii="Times New Roman" w:hAnsi="Times New Roman"/>
          <w:sz w:val="24"/>
          <w:szCs w:val="24"/>
        </w:rPr>
        <w:footnoteReference w:id="2"/>
      </w:r>
      <w:r w:rsidRPr="005F36BF">
        <w:rPr>
          <w:rFonts w:ascii="Times New Roman" w:hAnsi="Times New Roman"/>
          <w:sz w:val="24"/>
          <w:szCs w:val="24"/>
        </w:rPr>
        <w:t>, and this is expected to grow significantly with the development of several new liquefied natural gas (LNG) facil</w:t>
      </w:r>
      <w:r w:rsidRPr="005F36BF">
        <w:rPr>
          <w:rFonts w:ascii="Times New Roman" w:hAnsi="Times New Roman"/>
          <w:sz w:val="24"/>
          <w:szCs w:val="24"/>
        </w:rPr>
        <w:t xml:space="preserve">ities. The </w:t>
      </w:r>
      <w:r w:rsidRPr="005F36BF">
        <w:rPr>
          <w:rFonts w:ascii="Times New Roman" w:hAnsi="Times New Roman"/>
          <w:i/>
          <w:sz w:val="24"/>
          <w:szCs w:val="24"/>
        </w:rPr>
        <w:t>Carbon Credits (Carbon Farming Initiative—Oil and Gas Fugitives) Methodology Determination 2015</w:t>
      </w:r>
      <w:r w:rsidRPr="005F36BF">
        <w:rPr>
          <w:rFonts w:ascii="Times New Roman" w:hAnsi="Times New Roman"/>
          <w:sz w:val="24"/>
          <w:szCs w:val="24"/>
        </w:rPr>
        <w:t xml:space="preserve"> applies to facilities that have fugitive emissions from oil or gas, including coal seam gas extraction facilities, LNG processing facilities, gas pip</w:t>
      </w:r>
      <w:r w:rsidRPr="005F36BF">
        <w:rPr>
          <w:rFonts w:ascii="Times New Roman" w:hAnsi="Times New Roman"/>
          <w:sz w:val="24"/>
          <w:szCs w:val="24"/>
        </w:rPr>
        <w:t xml:space="preserve">elines and oil refineries. The Determination provides for facilities to reduce their emissions through </w:t>
      </w:r>
      <w:r w:rsidRPr="005F36BF">
        <w:rPr>
          <w:rFonts w:ascii="Times New Roman" w:hAnsi="Times New Roman"/>
          <w:sz w:val="24"/>
          <w:szCs w:val="24"/>
        </w:rPr>
        <w:br/>
        <w:t>re-routing fugitive emissions to a flare instead of allowing them to be vented to the atmosphere.</w:t>
      </w:r>
    </w:p>
    <w:p w:rsidR="00153B2F" w:rsidRPr="005F36BF" w:rsidRDefault="00D1214D" w:rsidP="00153B2F">
      <w:pPr>
        <w:pStyle w:val="Default"/>
        <w:spacing w:after="120"/>
        <w:rPr>
          <w:rFonts w:ascii="Times New Roman" w:hAnsi="Times New Roman"/>
        </w:rPr>
      </w:pPr>
      <w:r w:rsidRPr="005F36BF">
        <w:rPr>
          <w:rFonts w:ascii="Times New Roman" w:hAnsi="Times New Roman"/>
        </w:rPr>
        <w:t xml:space="preserve">Abatement from a re-route to flare project under this </w:t>
      </w:r>
      <w:r w:rsidRPr="005F36BF">
        <w:rPr>
          <w:rFonts w:ascii="Times New Roman" w:hAnsi="Times New Roman"/>
        </w:rPr>
        <w:t>method is credited based on the quantity of emissions reduced from combusting the re-routed gas. This abatement activity caters for both process venting and fugitive leak emission sources.</w:t>
      </w:r>
    </w:p>
    <w:p w:rsidR="00153B2F" w:rsidRPr="005F36BF" w:rsidRDefault="00D1214D" w:rsidP="00153B2F">
      <w:pPr>
        <w:keepNext/>
        <w:spacing w:after="120" w:line="240" w:lineRule="auto"/>
        <w:rPr>
          <w:rFonts w:ascii="Times New Roman" w:hAnsi="Times New Roman" w:cs="Calibri"/>
          <w:color w:val="000000"/>
          <w:sz w:val="24"/>
          <w:szCs w:val="24"/>
        </w:rPr>
      </w:pPr>
    </w:p>
    <w:p w:rsidR="00153B2F" w:rsidRPr="005F36BF" w:rsidRDefault="00D1214D" w:rsidP="00153B2F">
      <w:pPr>
        <w:keepNext/>
        <w:spacing w:after="120" w:line="240" w:lineRule="auto"/>
        <w:rPr>
          <w:rFonts w:ascii="Times New Roman" w:hAnsi="Times New Roman"/>
          <w:b/>
          <w:sz w:val="24"/>
          <w:szCs w:val="24"/>
        </w:rPr>
      </w:pPr>
      <w:r w:rsidRPr="005F36BF">
        <w:rPr>
          <w:rFonts w:ascii="Times New Roman" w:hAnsi="Times New Roman"/>
          <w:b/>
          <w:sz w:val="24"/>
          <w:szCs w:val="24"/>
        </w:rPr>
        <w:t>Application of the Determination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The Determination sets out the </w:t>
      </w:r>
      <w:r w:rsidRPr="005F36BF">
        <w:rPr>
          <w:rFonts w:ascii="Times New Roman" w:hAnsi="Times New Roman"/>
          <w:sz w:val="24"/>
          <w:szCs w:val="24"/>
        </w:rPr>
        <w:t>detailed rules for implementing and monitoring offsets projects that would reduce fugitive emissions in the oil and gas sector through the flaring of otherwise vented emissions. These rules have been designed to help ensure that emissions reductions are re</w:t>
      </w:r>
      <w:r w:rsidRPr="005F36BF">
        <w:rPr>
          <w:rFonts w:ascii="Times New Roman" w:hAnsi="Times New Roman"/>
          <w:sz w:val="24"/>
          <w:szCs w:val="24"/>
        </w:rPr>
        <w:t>al and additional to business as usual.</w:t>
      </w:r>
    </w:p>
    <w:p w:rsidR="00153B2F" w:rsidRPr="005F36BF" w:rsidRDefault="00D1214D" w:rsidP="00153B2F">
      <w:pPr>
        <w:spacing w:after="0" w:line="240" w:lineRule="auto"/>
        <w:rPr>
          <w:rFonts w:ascii="Times New Roman" w:hAnsi="Times New Roman"/>
          <w:sz w:val="24"/>
          <w:szCs w:val="24"/>
        </w:rPr>
      </w:pPr>
      <w:r w:rsidRPr="005F36BF">
        <w:rPr>
          <w:rFonts w:ascii="Times New Roman" w:hAnsi="Times New Roman"/>
          <w:sz w:val="24"/>
          <w:szCs w:val="24"/>
        </w:rPr>
        <w:t>Proponents wishing to implement projects under the Determination, once it is made, must make an application to the Regulator under section 22 of the Act. They must also meet the general eligibility requirements for a</w:t>
      </w:r>
      <w:r w:rsidRPr="005F36BF">
        <w:rPr>
          <w:rFonts w:ascii="Times New Roman" w:hAnsi="Times New Roman"/>
          <w:sz w:val="24"/>
          <w:szCs w:val="24"/>
        </w:rPr>
        <w:t xml:space="preserve">n offsets project set out in subsection 27(4), which include compliance with the requirements set out in the Determination, and the </w:t>
      </w:r>
      <w:proofErr w:type="spellStart"/>
      <w:r w:rsidRPr="005F36BF">
        <w:rPr>
          <w:rFonts w:ascii="Times New Roman" w:hAnsi="Times New Roman"/>
          <w:sz w:val="24"/>
          <w:szCs w:val="24"/>
        </w:rPr>
        <w:t>additionality</w:t>
      </w:r>
      <w:proofErr w:type="spellEnd"/>
      <w:r w:rsidRPr="005F36BF">
        <w:rPr>
          <w:rFonts w:ascii="Times New Roman" w:hAnsi="Times New Roman"/>
          <w:sz w:val="24"/>
          <w:szCs w:val="24"/>
        </w:rPr>
        <w:t xml:space="preserve"> requirements in subsection 27(4A) of the Act. The </w:t>
      </w:r>
      <w:proofErr w:type="spellStart"/>
      <w:r w:rsidRPr="005F36BF">
        <w:rPr>
          <w:rFonts w:ascii="Times New Roman" w:hAnsi="Times New Roman"/>
          <w:sz w:val="24"/>
          <w:szCs w:val="24"/>
        </w:rPr>
        <w:t>additionality</w:t>
      </w:r>
      <w:proofErr w:type="spellEnd"/>
      <w:r w:rsidRPr="005F36BF">
        <w:rPr>
          <w:rFonts w:ascii="Times New Roman" w:hAnsi="Times New Roman"/>
          <w:sz w:val="24"/>
          <w:szCs w:val="24"/>
        </w:rPr>
        <w:t xml:space="preserve"> requirements are:</w:t>
      </w:r>
    </w:p>
    <w:p w:rsidR="00153B2F" w:rsidRPr="005F36BF" w:rsidRDefault="00D1214D" w:rsidP="00153B2F">
      <w:pPr>
        <w:pStyle w:val="ListParagraph"/>
        <w:numPr>
          <w:ilvl w:val="0"/>
          <w:numId w:val="1"/>
        </w:numPr>
        <w:spacing w:after="120" w:line="240" w:lineRule="auto"/>
        <w:rPr>
          <w:rFonts w:ascii="Times New Roman" w:hAnsi="Times New Roman"/>
          <w:sz w:val="24"/>
          <w:szCs w:val="24"/>
        </w:rPr>
      </w:pPr>
      <w:r w:rsidRPr="005F36BF">
        <w:rPr>
          <w:rFonts w:ascii="Times New Roman" w:hAnsi="Times New Roman"/>
          <w:sz w:val="24"/>
          <w:szCs w:val="24"/>
        </w:rPr>
        <w:t xml:space="preserve">the newness requirement; </w:t>
      </w:r>
    </w:p>
    <w:p w:rsidR="00153B2F" w:rsidRPr="005F36BF" w:rsidRDefault="00D1214D" w:rsidP="00153B2F">
      <w:pPr>
        <w:pStyle w:val="ListParagraph"/>
        <w:numPr>
          <w:ilvl w:val="0"/>
          <w:numId w:val="1"/>
        </w:numPr>
        <w:spacing w:after="120" w:line="240" w:lineRule="auto"/>
        <w:rPr>
          <w:rFonts w:ascii="Times New Roman" w:hAnsi="Times New Roman"/>
          <w:sz w:val="24"/>
          <w:szCs w:val="24"/>
        </w:rPr>
      </w:pPr>
      <w:r w:rsidRPr="005F36BF">
        <w:rPr>
          <w:rFonts w:ascii="Times New Roman" w:hAnsi="Times New Roman"/>
          <w:sz w:val="24"/>
          <w:szCs w:val="24"/>
        </w:rPr>
        <w:t>th</w:t>
      </w:r>
      <w:r w:rsidRPr="005F36BF">
        <w:rPr>
          <w:rFonts w:ascii="Times New Roman" w:hAnsi="Times New Roman"/>
          <w:sz w:val="24"/>
          <w:szCs w:val="24"/>
        </w:rPr>
        <w:t xml:space="preserve">e regulatory </w:t>
      </w:r>
      <w:proofErr w:type="spellStart"/>
      <w:r w:rsidRPr="005F36BF">
        <w:rPr>
          <w:rFonts w:ascii="Times New Roman" w:hAnsi="Times New Roman"/>
          <w:sz w:val="24"/>
          <w:szCs w:val="24"/>
        </w:rPr>
        <w:t>additionality</w:t>
      </w:r>
      <w:proofErr w:type="spellEnd"/>
      <w:r w:rsidRPr="005F36BF">
        <w:rPr>
          <w:rFonts w:ascii="Times New Roman" w:hAnsi="Times New Roman"/>
          <w:sz w:val="24"/>
          <w:szCs w:val="24"/>
        </w:rPr>
        <w:t xml:space="preserve"> requirement; and</w:t>
      </w:r>
    </w:p>
    <w:p w:rsidR="00153B2F" w:rsidRPr="005F36BF" w:rsidRDefault="00D1214D" w:rsidP="00153B2F">
      <w:pPr>
        <w:pStyle w:val="ListParagraph"/>
        <w:numPr>
          <w:ilvl w:val="0"/>
          <w:numId w:val="1"/>
        </w:numPr>
        <w:spacing w:after="120" w:line="240" w:lineRule="auto"/>
        <w:rPr>
          <w:rFonts w:ascii="Times New Roman" w:hAnsi="Times New Roman"/>
          <w:sz w:val="24"/>
          <w:szCs w:val="24"/>
        </w:rPr>
      </w:pPr>
      <w:proofErr w:type="gramStart"/>
      <w:r w:rsidRPr="005F36BF">
        <w:rPr>
          <w:rFonts w:ascii="Times New Roman" w:hAnsi="Times New Roman"/>
          <w:sz w:val="24"/>
          <w:szCs w:val="24"/>
        </w:rPr>
        <w:t>the</w:t>
      </w:r>
      <w:proofErr w:type="gramEnd"/>
      <w:r w:rsidRPr="005F36BF">
        <w:rPr>
          <w:rFonts w:ascii="Times New Roman" w:hAnsi="Times New Roman"/>
          <w:sz w:val="24"/>
          <w:szCs w:val="24"/>
        </w:rPr>
        <w:t xml:space="preserve"> government program requirement.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Subsection 27(4A) of the Act provides that a methodology determination may specify requirements in lieu of any of the above requirements. The Determination does not specify any</w:t>
      </w:r>
      <w:r w:rsidRPr="005F36BF">
        <w:rPr>
          <w:rFonts w:ascii="Times New Roman" w:hAnsi="Times New Roman"/>
          <w:sz w:val="24"/>
          <w:szCs w:val="24"/>
        </w:rPr>
        <w:t xml:space="preserve"> requirements in lieu and so all three requirements in the Act apply to eligible oil and gas </w:t>
      </w:r>
      <w:proofErr w:type="gramStart"/>
      <w:r w:rsidRPr="005F36BF">
        <w:rPr>
          <w:rFonts w:ascii="Times New Roman" w:hAnsi="Times New Roman"/>
          <w:sz w:val="24"/>
          <w:szCs w:val="24"/>
        </w:rPr>
        <w:t>fugitives</w:t>
      </w:r>
      <w:proofErr w:type="gramEnd"/>
      <w:r w:rsidRPr="005F36BF">
        <w:rPr>
          <w:rFonts w:ascii="Times New Roman" w:hAnsi="Times New Roman"/>
          <w:sz w:val="24"/>
          <w:szCs w:val="24"/>
        </w:rPr>
        <w:t xml:space="preserve"> projects.</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keepNext/>
        <w:spacing w:after="120" w:line="240" w:lineRule="auto"/>
        <w:rPr>
          <w:rFonts w:ascii="Times New Roman" w:hAnsi="Times New Roman"/>
          <w:b/>
          <w:sz w:val="24"/>
          <w:szCs w:val="24"/>
        </w:rPr>
      </w:pPr>
      <w:r w:rsidRPr="005F36BF">
        <w:rPr>
          <w:rFonts w:ascii="Times New Roman" w:hAnsi="Times New Roman"/>
          <w:b/>
          <w:sz w:val="24"/>
          <w:szCs w:val="24"/>
        </w:rPr>
        <w:t>Public Consultation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Determination has been developed by the Department of the Environment in collaboration with a Technical Working Group,</w:t>
      </w:r>
      <w:r w:rsidRPr="005F36BF">
        <w:rPr>
          <w:rFonts w:ascii="Times New Roman" w:hAnsi="Times New Roman"/>
          <w:sz w:val="24"/>
          <w:szCs w:val="24"/>
        </w:rPr>
        <w:t xml:space="preserve"> comprising of representatives from industry </w:t>
      </w:r>
      <w:r w:rsidRPr="005F36BF">
        <w:rPr>
          <w:rFonts w:ascii="Times New Roman" w:hAnsi="Times New Roman"/>
          <w:sz w:val="24"/>
          <w:szCs w:val="24"/>
        </w:rPr>
        <w:lastRenderedPageBreak/>
        <w:t xml:space="preserve">and the Clean Energy Regulator. The group met on 22 January 2015, 8 April 2015, and 13 May 2015 to review the approach set out in this Determination.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exposure draft of the Determination was published on the</w:t>
      </w:r>
      <w:r w:rsidRPr="005F36BF">
        <w:rPr>
          <w:rFonts w:ascii="Times New Roman" w:hAnsi="Times New Roman"/>
          <w:sz w:val="24"/>
          <w:szCs w:val="24"/>
        </w:rPr>
        <w:t xml:space="preserve"> Department’s website for public consultation on 17 March 2015. Submissions to the Department regarding the exposure draft closed on 15 April 2015.</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keepNext/>
        <w:spacing w:after="120" w:line="240" w:lineRule="auto"/>
        <w:rPr>
          <w:rFonts w:ascii="Times New Roman" w:hAnsi="Times New Roman"/>
          <w:b/>
          <w:sz w:val="24"/>
          <w:szCs w:val="24"/>
        </w:rPr>
      </w:pPr>
      <w:r w:rsidRPr="005F36BF">
        <w:rPr>
          <w:rFonts w:ascii="Times New Roman" w:hAnsi="Times New Roman"/>
          <w:b/>
          <w:sz w:val="24"/>
          <w:szCs w:val="24"/>
        </w:rPr>
        <w:t>Determination Details</w:t>
      </w: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sz w:val="24"/>
          <w:szCs w:val="24"/>
        </w:rPr>
        <w:t xml:space="preserve">The Determination will be a legislative instrument within the meaning of the </w:t>
      </w:r>
      <w:r w:rsidRPr="005F36BF">
        <w:rPr>
          <w:rFonts w:ascii="Times New Roman" w:hAnsi="Times New Roman"/>
          <w:i/>
          <w:sz w:val="24"/>
          <w:szCs w:val="24"/>
        </w:rPr>
        <w:t>Legislat</w:t>
      </w:r>
      <w:r w:rsidRPr="005F36BF">
        <w:rPr>
          <w:rFonts w:ascii="Times New Roman" w:hAnsi="Times New Roman"/>
          <w:i/>
          <w:sz w:val="24"/>
          <w:szCs w:val="24"/>
        </w:rPr>
        <w:t>ive Instruments Act 2003</w:t>
      </w:r>
      <w:r w:rsidRPr="005F36BF">
        <w:rPr>
          <w:rFonts w:ascii="Times New Roman" w:hAnsi="Times New Roman"/>
          <w:sz w:val="24"/>
          <w:szCs w:val="24"/>
        </w:rPr>
        <w:t>.</w:t>
      </w: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sz w:val="24"/>
          <w:szCs w:val="24"/>
        </w:rPr>
        <w:t xml:space="preserve">Details of the Determination are at </w:t>
      </w:r>
      <w:r w:rsidRPr="005F36BF">
        <w:rPr>
          <w:rFonts w:ascii="Times New Roman" w:hAnsi="Times New Roman"/>
          <w:sz w:val="24"/>
          <w:szCs w:val="24"/>
          <w:u w:val="single"/>
        </w:rPr>
        <w:t>Attachment A</w:t>
      </w:r>
      <w:r w:rsidRPr="005F36BF">
        <w:rPr>
          <w:rFonts w:ascii="Times New Roman" w:hAnsi="Times New Roman"/>
          <w:sz w:val="24"/>
          <w:szCs w:val="24"/>
        </w:rPr>
        <w:t>.</w:t>
      </w:r>
    </w:p>
    <w:p w:rsidR="00153B2F" w:rsidRPr="005F36BF" w:rsidRDefault="00D1214D" w:rsidP="00153B2F">
      <w:pPr>
        <w:keepNext/>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t>Note on this explanatory statement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Numbered sections in this explanatory statement align with the relevant sections of the Determination.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Definitions for terms which are highlight</w:t>
      </w:r>
      <w:r w:rsidRPr="005F36BF">
        <w:rPr>
          <w:rFonts w:ascii="Times New Roman" w:hAnsi="Times New Roman"/>
          <w:sz w:val="24"/>
          <w:szCs w:val="24"/>
        </w:rPr>
        <w:t xml:space="preserve">ed in </w:t>
      </w:r>
      <w:r w:rsidRPr="005F36BF">
        <w:rPr>
          <w:rFonts w:ascii="Times New Roman" w:hAnsi="Times New Roman"/>
          <w:b/>
          <w:i/>
          <w:sz w:val="24"/>
          <w:szCs w:val="24"/>
        </w:rPr>
        <w:t>bold italics</w:t>
      </w:r>
      <w:r w:rsidRPr="005F36BF">
        <w:rPr>
          <w:rFonts w:ascii="Times New Roman" w:hAnsi="Times New Roman"/>
          <w:sz w:val="24"/>
          <w:szCs w:val="24"/>
        </w:rPr>
        <w:t xml:space="preserve"> can be found in the Determination.</w:t>
      </w:r>
    </w:p>
    <w:p w:rsidR="00153B2F" w:rsidRPr="005F36BF" w:rsidRDefault="00D1214D" w:rsidP="00153B2F">
      <w:pPr>
        <w:spacing w:after="120" w:line="240" w:lineRule="auto"/>
        <w:rPr>
          <w:rFonts w:ascii="Times New Roman" w:hAnsi="Times New Roman"/>
          <w:color w:val="808080"/>
          <w:sz w:val="24"/>
          <w:szCs w:val="24"/>
        </w:rPr>
      </w:pPr>
    </w:p>
    <w:p w:rsidR="00153B2F" w:rsidRPr="005F36BF" w:rsidRDefault="00D1214D" w:rsidP="00153B2F">
      <w:pPr>
        <w:pStyle w:val="Footer"/>
        <w:pageBreakBefore/>
        <w:spacing w:after="120"/>
        <w:jc w:val="right"/>
        <w:rPr>
          <w:rFonts w:ascii="Times New Roman" w:hAnsi="Times New Roman"/>
          <w:sz w:val="24"/>
          <w:szCs w:val="24"/>
          <w:u w:val="single"/>
        </w:rPr>
      </w:pPr>
      <w:r w:rsidRPr="005F36BF">
        <w:rPr>
          <w:rFonts w:ascii="Times New Roman" w:hAnsi="Times New Roman"/>
          <w:sz w:val="24"/>
          <w:szCs w:val="24"/>
          <w:u w:val="single"/>
        </w:rPr>
        <w:lastRenderedPageBreak/>
        <w:t>Attachment A</w:t>
      </w:r>
    </w:p>
    <w:p w:rsidR="00153B2F" w:rsidRPr="005F36BF" w:rsidRDefault="00D1214D" w:rsidP="00153B2F">
      <w:pPr>
        <w:pStyle w:val="Footer"/>
        <w:spacing w:after="120"/>
        <w:jc w:val="right"/>
        <w:rPr>
          <w:rFonts w:ascii="Times New Roman" w:hAnsi="Times New Roman"/>
          <w:sz w:val="24"/>
          <w:szCs w:val="24"/>
        </w:rPr>
      </w:pPr>
    </w:p>
    <w:p w:rsidR="00153B2F" w:rsidRPr="005F36BF" w:rsidRDefault="00D1214D" w:rsidP="00153B2F">
      <w:pPr>
        <w:pStyle w:val="Footer"/>
        <w:spacing w:after="120"/>
        <w:jc w:val="center"/>
        <w:rPr>
          <w:rFonts w:ascii="Times New Roman" w:hAnsi="Times New Roman"/>
          <w:b/>
          <w:sz w:val="24"/>
          <w:szCs w:val="24"/>
        </w:rPr>
      </w:pPr>
      <w:r w:rsidRPr="005F36BF">
        <w:rPr>
          <w:rFonts w:ascii="Times New Roman" w:hAnsi="Times New Roman"/>
          <w:b/>
          <w:sz w:val="24"/>
          <w:szCs w:val="24"/>
        </w:rPr>
        <w:t>Details of the Methodology Determination</w:t>
      </w:r>
    </w:p>
    <w:p w:rsidR="00153B2F" w:rsidRPr="005F36BF" w:rsidRDefault="00D1214D" w:rsidP="00153B2F">
      <w:pPr>
        <w:spacing w:line="240" w:lineRule="auto"/>
        <w:rPr>
          <w:rFonts w:ascii="Times New Roman" w:hAnsi="Times New Roman"/>
          <w:b/>
          <w:sz w:val="24"/>
          <w:szCs w:val="24"/>
        </w:rPr>
      </w:pPr>
      <w:r w:rsidRPr="005F36BF">
        <w:rPr>
          <w:rFonts w:ascii="Times New Roman" w:hAnsi="Times New Roman"/>
          <w:b/>
          <w:sz w:val="24"/>
          <w:szCs w:val="24"/>
        </w:rPr>
        <w:t xml:space="preserve">Part 1 </w:t>
      </w:r>
      <w:r w:rsidRPr="005F36BF">
        <w:rPr>
          <w:rFonts w:ascii="Times New Roman" w:hAnsi="Times New Roman"/>
          <w:b/>
          <w:sz w:val="24"/>
          <w:szCs w:val="24"/>
        </w:rPr>
        <w:tab/>
      </w:r>
      <w:r w:rsidRPr="005F36BF">
        <w:rPr>
          <w:rFonts w:ascii="Times New Roman" w:hAnsi="Times New Roman"/>
          <w:b/>
          <w:sz w:val="24"/>
          <w:szCs w:val="24"/>
        </w:rPr>
        <w:tab/>
        <w:t>Preliminary</w:t>
      </w: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1</w:t>
      </w:r>
      <w:r w:rsidRPr="005F36BF">
        <w:rPr>
          <w:rFonts w:ascii="Times New Roman" w:hAnsi="Times New Roman"/>
          <w:sz w:val="24"/>
          <w:szCs w:val="24"/>
          <w:u w:val="single"/>
        </w:rPr>
        <w:tab/>
        <w:t>Name</w:t>
      </w:r>
    </w:p>
    <w:p w:rsidR="00153B2F" w:rsidRPr="005F36BF" w:rsidRDefault="00D1214D" w:rsidP="00153B2F">
      <w:pPr>
        <w:spacing w:after="120" w:line="240" w:lineRule="auto"/>
        <w:rPr>
          <w:rFonts w:ascii="Times New Roman" w:hAnsi="Times New Roman"/>
          <w:i/>
          <w:sz w:val="24"/>
          <w:szCs w:val="24"/>
        </w:rPr>
      </w:pPr>
      <w:proofErr w:type="gramStart"/>
      <w:r w:rsidRPr="005F36BF">
        <w:rPr>
          <w:rFonts w:ascii="Times New Roman" w:hAnsi="Times New Roman"/>
          <w:sz w:val="24"/>
          <w:szCs w:val="24"/>
        </w:rPr>
        <w:t xml:space="preserve">Section 1 sets out the full name of the Determination, which would be the </w:t>
      </w:r>
      <w:r w:rsidRPr="005F36BF">
        <w:rPr>
          <w:rFonts w:ascii="Times New Roman" w:hAnsi="Times New Roman"/>
          <w:i/>
          <w:sz w:val="24"/>
          <w:szCs w:val="24"/>
        </w:rPr>
        <w:t xml:space="preserve">Carbon Credits (Carbon </w:t>
      </w:r>
      <w:r w:rsidRPr="005F36BF">
        <w:rPr>
          <w:rFonts w:ascii="Times New Roman" w:hAnsi="Times New Roman"/>
          <w:i/>
        </w:rPr>
        <w:t>Farming Initiative</w:t>
      </w:r>
      <w:r w:rsidRPr="005F36BF">
        <w:rPr>
          <w:rFonts w:ascii="Times New Roman" w:hAnsi="Times New Roman"/>
          <w:i/>
          <w:noProof/>
        </w:rPr>
        <w:t>—Oil and Gas Fugitives</w:t>
      </w:r>
      <w:r w:rsidRPr="005F36BF">
        <w:rPr>
          <w:rFonts w:ascii="Times New Roman" w:hAnsi="Times New Roman"/>
          <w:i/>
          <w:sz w:val="24"/>
          <w:szCs w:val="24"/>
        </w:rPr>
        <w:t>) Methodology Determination 2015.</w:t>
      </w:r>
      <w:proofErr w:type="gramEnd"/>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2</w:t>
      </w:r>
      <w:r w:rsidRPr="005F36BF">
        <w:rPr>
          <w:rFonts w:ascii="Times New Roman" w:hAnsi="Times New Roman"/>
          <w:sz w:val="24"/>
          <w:szCs w:val="24"/>
          <w:u w:val="single"/>
        </w:rPr>
        <w:tab/>
        <w:t>Commencement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Section 2 provides that the Determination would commence on the day after it is registered.</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3</w:t>
      </w:r>
      <w:r w:rsidRPr="005F36BF">
        <w:rPr>
          <w:rFonts w:ascii="Times New Roman" w:hAnsi="Times New Roman"/>
          <w:sz w:val="24"/>
          <w:szCs w:val="24"/>
          <w:u w:val="single"/>
        </w:rPr>
        <w:tab/>
        <w:t>Authority</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Section 3 provides that the Determination would be made under subsection 106(1)</w:t>
      </w:r>
      <w:r w:rsidRPr="005F36BF">
        <w:rPr>
          <w:rFonts w:ascii="Times New Roman" w:hAnsi="Times New Roman"/>
          <w:sz w:val="24"/>
          <w:szCs w:val="24"/>
        </w:rPr>
        <w:t xml:space="preserve"> of the </w:t>
      </w:r>
      <w:r w:rsidRPr="005F36BF">
        <w:rPr>
          <w:rFonts w:ascii="Times New Roman" w:hAnsi="Times New Roman"/>
          <w:b/>
          <w:i/>
          <w:sz w:val="24"/>
          <w:szCs w:val="24"/>
        </w:rPr>
        <w:t>Act</w:t>
      </w:r>
      <w:r w:rsidRPr="005F36BF">
        <w:rPr>
          <w:rFonts w:ascii="Times New Roman" w:hAnsi="Times New Roman"/>
          <w:sz w:val="24"/>
          <w:szCs w:val="24"/>
        </w:rPr>
        <w:t>.</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4</w:t>
      </w:r>
      <w:r w:rsidRPr="005F36BF">
        <w:rPr>
          <w:rFonts w:ascii="Times New Roman" w:hAnsi="Times New Roman"/>
          <w:sz w:val="24"/>
          <w:szCs w:val="24"/>
          <w:u w:val="single"/>
        </w:rPr>
        <w:tab/>
        <w:t>Duration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Under subparagraph 122(1</w:t>
      </w:r>
      <w:proofErr w:type="gramStart"/>
      <w:r w:rsidRPr="005F36BF">
        <w:rPr>
          <w:rFonts w:ascii="Times New Roman" w:hAnsi="Times New Roman"/>
          <w:sz w:val="24"/>
          <w:szCs w:val="24"/>
        </w:rPr>
        <w:t>)(</w:t>
      </w:r>
      <w:proofErr w:type="gramEnd"/>
      <w:r w:rsidRPr="005F36BF">
        <w:rPr>
          <w:rFonts w:ascii="Times New Roman" w:hAnsi="Times New Roman"/>
          <w:sz w:val="24"/>
          <w:szCs w:val="24"/>
        </w:rPr>
        <w:t>b)(</w:t>
      </w:r>
      <w:proofErr w:type="spellStart"/>
      <w:r w:rsidRPr="005F36BF">
        <w:rPr>
          <w:rFonts w:ascii="Times New Roman" w:hAnsi="Times New Roman"/>
          <w:sz w:val="24"/>
          <w:szCs w:val="24"/>
        </w:rPr>
        <w:t>i</w:t>
      </w:r>
      <w:proofErr w:type="spellEnd"/>
      <w:r w:rsidRPr="005F36BF">
        <w:rPr>
          <w:rFonts w:ascii="Times New Roman" w:hAnsi="Times New Roman"/>
          <w:sz w:val="24"/>
          <w:szCs w:val="24"/>
        </w:rPr>
        <w:t xml:space="preserve">) of the Act, a methodology determination remains in force for the period specified in the determination.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Paragraph 4(a) provides that the Determination will be in force from the day it commences until the day before it would otherwise be repealed under subsection 50(1) of the </w:t>
      </w:r>
      <w:r w:rsidRPr="005F36BF">
        <w:rPr>
          <w:rFonts w:ascii="Times New Roman" w:hAnsi="Times New Roman"/>
          <w:i/>
          <w:sz w:val="24"/>
          <w:szCs w:val="24"/>
        </w:rPr>
        <w:t>Legislative Instruments Act 2003</w:t>
      </w:r>
      <w:r w:rsidRPr="005F36BF">
        <w:rPr>
          <w:rFonts w:ascii="Times New Roman" w:hAnsi="Times New Roman"/>
          <w:sz w:val="24"/>
          <w:szCs w:val="24"/>
        </w:rPr>
        <w:t xml:space="preserve">.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Instruments are repealed under that provision on </w:t>
      </w:r>
      <w:r w:rsidRPr="005F36BF">
        <w:rPr>
          <w:rFonts w:ascii="Times New Roman" w:hAnsi="Times New Roman"/>
          <w:sz w:val="24"/>
          <w:szCs w:val="24"/>
        </w:rPr>
        <w:t>the first 1 April or 1 October following the tenth anniversary of registration on the Federal Register of Legislative Instruments. Paragraph 4(b) ensures that the Determination would expire in accordance with subparagraph 122(1</w:t>
      </w:r>
      <w:proofErr w:type="gramStart"/>
      <w:r w:rsidRPr="005F36BF">
        <w:rPr>
          <w:rFonts w:ascii="Times New Roman" w:hAnsi="Times New Roman"/>
          <w:sz w:val="24"/>
          <w:szCs w:val="24"/>
        </w:rPr>
        <w:t>)(</w:t>
      </w:r>
      <w:proofErr w:type="gramEnd"/>
      <w:r w:rsidRPr="005F36BF">
        <w:rPr>
          <w:rFonts w:ascii="Times New Roman" w:hAnsi="Times New Roman"/>
          <w:sz w:val="24"/>
          <w:szCs w:val="24"/>
        </w:rPr>
        <w:t>b)(</w:t>
      </w:r>
      <w:proofErr w:type="spellStart"/>
      <w:r w:rsidRPr="005F36BF">
        <w:rPr>
          <w:rFonts w:ascii="Times New Roman" w:hAnsi="Times New Roman"/>
          <w:sz w:val="24"/>
          <w:szCs w:val="24"/>
        </w:rPr>
        <w:t>i</w:t>
      </w:r>
      <w:proofErr w:type="spellEnd"/>
      <w:r w:rsidRPr="005F36BF">
        <w:rPr>
          <w:rFonts w:ascii="Times New Roman" w:hAnsi="Times New Roman"/>
          <w:sz w:val="24"/>
          <w:szCs w:val="24"/>
        </w:rPr>
        <w:t>) of the Act.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If the De</w:t>
      </w:r>
      <w:r w:rsidRPr="005F36BF">
        <w:rPr>
          <w:rFonts w:ascii="Times New Roman" w:hAnsi="Times New Roman"/>
          <w:sz w:val="24"/>
          <w:szCs w:val="24"/>
        </w:rPr>
        <w:t>termination expires or is revoked during a crediting period for a project to which the Determination applies, the Determination will continue to apply to the project during the remainder of the crediting period under subsections 125(2) and 127(2) of the Ac</w:t>
      </w:r>
      <w:r w:rsidRPr="005F36BF">
        <w:rPr>
          <w:rFonts w:ascii="Times New Roman" w:hAnsi="Times New Roman"/>
          <w:sz w:val="24"/>
          <w:szCs w:val="24"/>
        </w:rPr>
        <w:t>t. Proponents may apply to the Regulator during a reporting period to have a different methodology determination apply to their projects from the start of that reporting period (see subsection 128(1) of the Act).</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5</w:t>
      </w:r>
      <w:r w:rsidRPr="005F36BF">
        <w:rPr>
          <w:rFonts w:ascii="Times New Roman" w:hAnsi="Times New Roman"/>
          <w:sz w:val="24"/>
          <w:szCs w:val="24"/>
          <w:u w:val="single"/>
        </w:rPr>
        <w:tab/>
        <w:t xml:space="preserve">Definitions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5 defines a number </w:t>
      </w:r>
      <w:r w:rsidRPr="005F36BF">
        <w:rPr>
          <w:rFonts w:ascii="Times New Roman" w:hAnsi="Times New Roman"/>
          <w:sz w:val="24"/>
          <w:szCs w:val="24"/>
        </w:rPr>
        <w:t xml:space="preserve">of terms used in the Determination.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Generally, where terms are not defined in the Determination but are defined in section 5 of the Act, they have the meaning given by the Act.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Under section 23 of the </w:t>
      </w:r>
      <w:r w:rsidRPr="005F36BF">
        <w:rPr>
          <w:rFonts w:ascii="Times New Roman" w:hAnsi="Times New Roman"/>
          <w:i/>
          <w:sz w:val="24"/>
          <w:szCs w:val="24"/>
        </w:rPr>
        <w:t>Acts Interpretation Act 1901</w:t>
      </w:r>
      <w:r w:rsidRPr="005F36BF">
        <w:rPr>
          <w:rFonts w:ascii="Times New Roman" w:hAnsi="Times New Roman"/>
          <w:sz w:val="24"/>
          <w:szCs w:val="24"/>
        </w:rPr>
        <w:t>, words in the Determinati</w:t>
      </w:r>
      <w:r w:rsidRPr="005F36BF">
        <w:rPr>
          <w:rFonts w:ascii="Times New Roman" w:hAnsi="Times New Roman"/>
          <w:sz w:val="24"/>
          <w:szCs w:val="24"/>
        </w:rPr>
        <w:t>on in the singular number include the plural and words in the plural number include the singular.</w:t>
      </w:r>
    </w:p>
    <w:p w:rsidR="00153B2F" w:rsidRPr="005F36BF" w:rsidRDefault="00D1214D" w:rsidP="00153B2F">
      <w:pPr>
        <w:spacing w:after="120" w:line="240" w:lineRule="auto"/>
        <w:rPr>
          <w:rFonts w:ascii="Times New Roman" w:eastAsia="Times New Roman" w:hAnsi="Times New Roman"/>
          <w:color w:val="000000"/>
          <w:sz w:val="24"/>
          <w:szCs w:val="24"/>
          <w:lang w:eastAsia="en-AU"/>
        </w:rPr>
      </w:pPr>
      <w:r w:rsidRPr="005F36BF">
        <w:rPr>
          <w:rFonts w:ascii="Times New Roman" w:eastAsia="Times New Roman" w:hAnsi="Times New Roman"/>
          <w:color w:val="000000"/>
          <w:sz w:val="24"/>
          <w:szCs w:val="24"/>
          <w:lang w:eastAsia="en-AU"/>
        </w:rPr>
        <w:t>Key definitions in section 5 of the Determination include those set out below.</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b/>
          <w:i/>
          <w:sz w:val="24"/>
          <w:szCs w:val="24"/>
        </w:rPr>
        <w:lastRenderedPageBreak/>
        <w:t xml:space="preserve">Flare device included in the project </w:t>
      </w:r>
      <w:r w:rsidRPr="005F36BF">
        <w:rPr>
          <w:rFonts w:ascii="Times New Roman" w:hAnsi="Times New Roman"/>
          <w:sz w:val="24"/>
          <w:szCs w:val="24"/>
        </w:rPr>
        <w:t>refers to flares that are receiving and co</w:t>
      </w:r>
      <w:r w:rsidRPr="005F36BF">
        <w:rPr>
          <w:rFonts w:ascii="Times New Roman" w:hAnsi="Times New Roman"/>
          <w:sz w:val="24"/>
          <w:szCs w:val="24"/>
        </w:rPr>
        <w:t xml:space="preserve">mbusting fugitive leak emissions or process venting emissions that have been captured because of activities undertaken by the project, and where without the project those emissions would have been vented to the atmosphere without combustion. </w:t>
      </w:r>
    </w:p>
    <w:p w:rsidR="00153B2F" w:rsidRPr="005F36BF" w:rsidRDefault="00D1214D" w:rsidP="00153B2F">
      <w:pPr>
        <w:spacing w:after="120" w:line="240" w:lineRule="auto"/>
        <w:rPr>
          <w:rFonts w:ascii="Times New Roman" w:hAnsi="Times New Roman"/>
          <w:sz w:val="24"/>
          <w:szCs w:val="24"/>
        </w:rPr>
      </w:pPr>
      <w:proofErr w:type="gramStart"/>
      <w:r w:rsidRPr="005F36BF">
        <w:rPr>
          <w:rFonts w:ascii="Times New Roman" w:hAnsi="Times New Roman"/>
          <w:b/>
          <w:i/>
          <w:sz w:val="24"/>
          <w:szCs w:val="24"/>
        </w:rPr>
        <w:t>Fugitive leak</w:t>
      </w:r>
      <w:r w:rsidRPr="005F36BF">
        <w:rPr>
          <w:rFonts w:ascii="Times New Roman" w:hAnsi="Times New Roman"/>
          <w:b/>
          <w:i/>
          <w:sz w:val="24"/>
          <w:szCs w:val="24"/>
        </w:rPr>
        <w:t xml:space="preserve"> emissions </w:t>
      </w:r>
      <w:r w:rsidRPr="005F36BF">
        <w:rPr>
          <w:rFonts w:ascii="Times New Roman" w:hAnsi="Times New Roman"/>
          <w:sz w:val="24"/>
          <w:szCs w:val="24"/>
        </w:rPr>
        <w:t>refers</w:t>
      </w:r>
      <w:proofErr w:type="gramEnd"/>
      <w:r w:rsidRPr="005F36BF">
        <w:rPr>
          <w:rFonts w:ascii="Times New Roman" w:hAnsi="Times New Roman"/>
          <w:sz w:val="24"/>
          <w:szCs w:val="24"/>
        </w:rPr>
        <w:t xml:space="preserve"> to any of the following that are not process venting emissions:</w:t>
      </w:r>
    </w:p>
    <w:p w:rsidR="00153B2F" w:rsidRPr="005F36BF" w:rsidRDefault="00D1214D" w:rsidP="00153B2F">
      <w:pPr>
        <w:pStyle w:val="ListParagraph"/>
        <w:numPr>
          <w:ilvl w:val="0"/>
          <w:numId w:val="12"/>
        </w:numPr>
        <w:spacing w:after="120" w:line="240" w:lineRule="auto"/>
        <w:rPr>
          <w:rFonts w:ascii="Times New Roman" w:hAnsi="Times New Roman"/>
          <w:sz w:val="24"/>
          <w:szCs w:val="24"/>
        </w:rPr>
      </w:pPr>
      <w:r w:rsidRPr="005F36BF">
        <w:rPr>
          <w:rFonts w:ascii="Times New Roman" w:hAnsi="Times New Roman"/>
          <w:sz w:val="24"/>
          <w:szCs w:val="24"/>
        </w:rPr>
        <w:t xml:space="preserve">emissions from equipment including: storage tanks, loading losses and equipment listed in sections 5.4.3, 5.6.4, 5.6.5 or 6.1.2 of the </w:t>
      </w:r>
      <w:r w:rsidRPr="005F36BF">
        <w:rPr>
          <w:rFonts w:ascii="Times New Roman" w:hAnsi="Times New Roman"/>
          <w:b/>
          <w:i/>
          <w:sz w:val="24"/>
          <w:szCs w:val="24"/>
        </w:rPr>
        <w:t>API Compendium</w:t>
      </w:r>
      <w:r w:rsidRPr="005F36BF">
        <w:rPr>
          <w:rFonts w:ascii="Times New Roman" w:hAnsi="Times New Roman"/>
          <w:sz w:val="24"/>
          <w:szCs w:val="24"/>
        </w:rPr>
        <w:t>; and</w:t>
      </w:r>
    </w:p>
    <w:p w:rsidR="00153B2F" w:rsidRPr="005F36BF" w:rsidRDefault="00D1214D" w:rsidP="00153B2F">
      <w:pPr>
        <w:pStyle w:val="ListParagraph"/>
        <w:numPr>
          <w:ilvl w:val="0"/>
          <w:numId w:val="12"/>
        </w:numPr>
        <w:spacing w:after="120" w:line="240" w:lineRule="auto"/>
        <w:rPr>
          <w:rFonts w:ascii="Times New Roman" w:hAnsi="Times New Roman"/>
          <w:sz w:val="24"/>
          <w:szCs w:val="24"/>
        </w:rPr>
      </w:pPr>
      <w:proofErr w:type="gramStart"/>
      <w:r w:rsidRPr="005F36BF">
        <w:rPr>
          <w:rFonts w:ascii="Times New Roman" w:hAnsi="Times New Roman"/>
          <w:sz w:val="24"/>
          <w:szCs w:val="24"/>
        </w:rPr>
        <w:t>fugitive</w:t>
      </w:r>
      <w:proofErr w:type="gramEnd"/>
      <w:r w:rsidRPr="005F36BF">
        <w:rPr>
          <w:rFonts w:ascii="Times New Roman" w:hAnsi="Times New Roman"/>
          <w:sz w:val="24"/>
          <w:szCs w:val="24"/>
        </w:rPr>
        <w:t xml:space="preserve"> emissions </w:t>
      </w:r>
      <w:r w:rsidRPr="005F36BF">
        <w:rPr>
          <w:rFonts w:ascii="Times New Roman" w:hAnsi="Times New Roman"/>
          <w:sz w:val="24"/>
          <w:szCs w:val="24"/>
        </w:rPr>
        <w:t>within the meaning of section 6 of the API Compendium.</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Fugitive leak emissions generally include leaks or unintentional releases of greenhouse gases from equipment at a </w:t>
      </w:r>
      <w:r w:rsidRPr="005F36BF">
        <w:rPr>
          <w:rFonts w:ascii="Times New Roman" w:hAnsi="Times New Roman"/>
          <w:b/>
          <w:i/>
          <w:sz w:val="24"/>
          <w:szCs w:val="24"/>
        </w:rPr>
        <w:t>facility</w:t>
      </w:r>
      <w:r w:rsidRPr="005F36BF">
        <w:rPr>
          <w:rFonts w:ascii="Times New Roman" w:hAnsi="Times New Roman"/>
          <w:sz w:val="24"/>
          <w:szCs w:val="24"/>
        </w:rPr>
        <w:t>.</w:t>
      </w:r>
    </w:p>
    <w:p w:rsidR="00153B2F" w:rsidRPr="005F36BF" w:rsidRDefault="00D1214D" w:rsidP="00153B2F">
      <w:pPr>
        <w:pStyle w:val="Definition"/>
        <w:spacing w:before="0" w:after="120"/>
        <w:ind w:left="0"/>
      </w:pPr>
      <w:r w:rsidRPr="005F36BF">
        <w:rPr>
          <w:b/>
          <w:i/>
          <w:sz w:val="24"/>
          <w:szCs w:val="24"/>
        </w:rPr>
        <w:t xml:space="preserve">Process venting emissions </w:t>
      </w:r>
      <w:r w:rsidRPr="005F36BF">
        <w:rPr>
          <w:sz w:val="24"/>
          <w:szCs w:val="24"/>
        </w:rPr>
        <w:t>refers to emissions from the engineered or intentio</w:t>
      </w:r>
      <w:r w:rsidRPr="005F36BF">
        <w:rPr>
          <w:sz w:val="24"/>
          <w:szCs w:val="24"/>
        </w:rPr>
        <w:t xml:space="preserve">nal release of gas directly associated with a production process. Process venting emissions covers any emissions that are directly linked to or influenced by production levels. This includes releases from equipment such as acid gas removal units, nitrogen </w:t>
      </w:r>
      <w:r w:rsidRPr="005F36BF">
        <w:rPr>
          <w:sz w:val="24"/>
          <w:szCs w:val="24"/>
        </w:rPr>
        <w:t>rejection units, dehydrators and regenerators.</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6</w:t>
      </w:r>
      <w:r w:rsidRPr="005F36BF">
        <w:rPr>
          <w:rFonts w:ascii="Times New Roman" w:hAnsi="Times New Roman"/>
          <w:sz w:val="24"/>
          <w:szCs w:val="24"/>
          <w:u w:val="single"/>
        </w:rPr>
        <w:tab/>
        <w:t>Meaning of oil or gas facility</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An</w:t>
      </w:r>
      <w:r w:rsidRPr="005F36BF">
        <w:rPr>
          <w:rFonts w:ascii="Times New Roman" w:hAnsi="Times New Roman"/>
          <w:b/>
          <w:i/>
          <w:sz w:val="24"/>
          <w:szCs w:val="24"/>
        </w:rPr>
        <w:t xml:space="preserve"> Oil or gas facility</w:t>
      </w:r>
      <w:r w:rsidRPr="005F36BF">
        <w:rPr>
          <w:rFonts w:ascii="Times New Roman" w:hAnsi="Times New Roman"/>
          <w:sz w:val="24"/>
          <w:szCs w:val="24"/>
        </w:rPr>
        <w:t xml:space="preserve"> is defined by whether particular activities are being undertaken at the facility. One or more of the following activities must be undertaken at the facility in order to qualify as an oil or gas facility:</w:t>
      </w:r>
    </w:p>
    <w:p w:rsidR="00153B2F" w:rsidRPr="005F36BF" w:rsidRDefault="00D1214D" w:rsidP="00153B2F">
      <w:pPr>
        <w:pStyle w:val="ListParagraph"/>
        <w:numPr>
          <w:ilvl w:val="1"/>
          <w:numId w:val="14"/>
        </w:numPr>
        <w:spacing w:after="0"/>
        <w:ind w:left="1080" w:hanging="357"/>
        <w:rPr>
          <w:rFonts w:ascii="Times New Roman" w:hAnsi="Times New Roman"/>
          <w:sz w:val="24"/>
          <w:szCs w:val="24"/>
        </w:rPr>
      </w:pPr>
      <w:r w:rsidRPr="005F36BF">
        <w:rPr>
          <w:rFonts w:ascii="Times New Roman" w:hAnsi="Times New Roman"/>
          <w:sz w:val="24"/>
          <w:szCs w:val="24"/>
        </w:rPr>
        <w:t xml:space="preserve">an </w:t>
      </w:r>
      <w:r w:rsidRPr="005F36BF">
        <w:rPr>
          <w:rFonts w:ascii="Times New Roman" w:hAnsi="Times New Roman"/>
          <w:sz w:val="24"/>
          <w:szCs w:val="24"/>
        </w:rPr>
        <w:t>oil</w:t>
      </w:r>
      <w:r w:rsidRPr="005F36BF">
        <w:rPr>
          <w:rFonts w:ascii="Times New Roman" w:hAnsi="Times New Roman"/>
          <w:sz w:val="24"/>
          <w:szCs w:val="24"/>
        </w:rPr>
        <w:t xml:space="preserve"> or gas exploration activit</w:t>
      </w:r>
      <w:r w:rsidRPr="005F36BF">
        <w:rPr>
          <w:rFonts w:ascii="Times New Roman" w:hAnsi="Times New Roman"/>
          <w:sz w:val="24"/>
          <w:szCs w:val="24"/>
        </w:rPr>
        <w:t>y that is</w:t>
      </w:r>
      <w:r w:rsidRPr="005F36BF">
        <w:rPr>
          <w:rFonts w:ascii="Times New Roman" w:hAnsi="Times New Roman"/>
          <w:sz w:val="24"/>
          <w:szCs w:val="24"/>
        </w:rPr>
        <w:t>:</w:t>
      </w:r>
    </w:p>
    <w:p w:rsidR="00153B2F" w:rsidRPr="005F36BF" w:rsidRDefault="00D1214D" w:rsidP="00153B2F">
      <w:pPr>
        <w:pStyle w:val="ListParagraph"/>
        <w:numPr>
          <w:ilvl w:val="2"/>
          <w:numId w:val="15"/>
        </w:numPr>
        <w:spacing w:after="0"/>
        <w:ind w:left="1800" w:hanging="357"/>
        <w:rPr>
          <w:rFonts w:ascii="Times New Roman" w:hAnsi="Times New Roman"/>
          <w:sz w:val="24"/>
          <w:szCs w:val="24"/>
        </w:rPr>
      </w:pPr>
      <w:r w:rsidRPr="005F36BF">
        <w:rPr>
          <w:rFonts w:ascii="Times New Roman" w:hAnsi="Times New Roman"/>
          <w:sz w:val="24"/>
          <w:szCs w:val="24"/>
        </w:rPr>
        <w:t>drill s</w:t>
      </w:r>
      <w:r w:rsidRPr="005F36BF">
        <w:rPr>
          <w:rFonts w:ascii="Times New Roman" w:hAnsi="Times New Roman"/>
          <w:sz w:val="24"/>
          <w:szCs w:val="24"/>
        </w:rPr>
        <w:t>tem testing;</w:t>
      </w:r>
      <w:r w:rsidRPr="005F36BF">
        <w:rPr>
          <w:rFonts w:ascii="Times New Roman" w:hAnsi="Times New Roman"/>
          <w:sz w:val="24"/>
          <w:szCs w:val="24"/>
        </w:rPr>
        <w:t xml:space="preserve"> or</w:t>
      </w:r>
    </w:p>
    <w:p w:rsidR="00153B2F" w:rsidRPr="005F36BF" w:rsidRDefault="00D1214D" w:rsidP="00153B2F">
      <w:pPr>
        <w:pStyle w:val="ListParagraph"/>
        <w:numPr>
          <w:ilvl w:val="2"/>
          <w:numId w:val="15"/>
        </w:numPr>
        <w:spacing w:after="0"/>
        <w:ind w:left="1800" w:hanging="357"/>
        <w:rPr>
          <w:rFonts w:ascii="Times New Roman" w:hAnsi="Times New Roman"/>
          <w:sz w:val="24"/>
          <w:szCs w:val="24"/>
        </w:rPr>
      </w:pPr>
      <w:r w:rsidRPr="005F36BF">
        <w:rPr>
          <w:rFonts w:ascii="Times New Roman" w:hAnsi="Times New Roman"/>
          <w:sz w:val="24"/>
          <w:szCs w:val="24"/>
        </w:rPr>
        <w:t>well completions;</w:t>
      </w:r>
      <w:r w:rsidRPr="005F36BF">
        <w:rPr>
          <w:rFonts w:ascii="Times New Roman" w:hAnsi="Times New Roman"/>
          <w:sz w:val="24"/>
          <w:szCs w:val="24"/>
        </w:rPr>
        <w:t xml:space="preserve"> or</w:t>
      </w:r>
    </w:p>
    <w:p w:rsidR="00153B2F" w:rsidRPr="005F36BF" w:rsidRDefault="00D1214D" w:rsidP="00153B2F">
      <w:pPr>
        <w:pStyle w:val="ListParagraph"/>
        <w:numPr>
          <w:ilvl w:val="2"/>
          <w:numId w:val="15"/>
        </w:numPr>
        <w:spacing w:after="0"/>
        <w:ind w:left="1800" w:hanging="357"/>
        <w:rPr>
          <w:rFonts w:ascii="Times New Roman" w:hAnsi="Times New Roman"/>
          <w:sz w:val="24"/>
          <w:szCs w:val="24"/>
        </w:rPr>
      </w:pPr>
      <w:r w:rsidRPr="005F36BF">
        <w:rPr>
          <w:rFonts w:ascii="Times New Roman" w:hAnsi="Times New Roman"/>
          <w:sz w:val="24"/>
          <w:szCs w:val="24"/>
        </w:rPr>
        <w:t xml:space="preserve">well </w:t>
      </w:r>
      <w:proofErr w:type="spellStart"/>
      <w:r w:rsidRPr="005F36BF">
        <w:rPr>
          <w:rFonts w:ascii="Times New Roman" w:hAnsi="Times New Roman"/>
          <w:sz w:val="24"/>
          <w:szCs w:val="24"/>
        </w:rPr>
        <w:t>workovers</w:t>
      </w:r>
      <w:proofErr w:type="spellEnd"/>
      <w:r w:rsidRPr="005F36BF">
        <w:rPr>
          <w:rFonts w:ascii="Times New Roman" w:hAnsi="Times New Roman"/>
          <w:sz w:val="24"/>
          <w:szCs w:val="24"/>
        </w:rPr>
        <w:t>;</w:t>
      </w:r>
    </w:p>
    <w:p w:rsidR="00153B2F" w:rsidRPr="005F36BF" w:rsidRDefault="00D1214D" w:rsidP="00153B2F">
      <w:pPr>
        <w:pStyle w:val="ListParagraph"/>
        <w:numPr>
          <w:ilvl w:val="1"/>
          <w:numId w:val="14"/>
        </w:numPr>
        <w:spacing w:after="0"/>
        <w:ind w:left="1080" w:hanging="357"/>
        <w:rPr>
          <w:rFonts w:ascii="Times New Roman" w:hAnsi="Times New Roman"/>
          <w:sz w:val="24"/>
          <w:szCs w:val="24"/>
        </w:rPr>
      </w:pPr>
      <w:r w:rsidRPr="005F36BF">
        <w:rPr>
          <w:rFonts w:ascii="Times New Roman" w:hAnsi="Times New Roman"/>
          <w:sz w:val="24"/>
          <w:szCs w:val="24"/>
        </w:rPr>
        <w:t>crude oil production;</w:t>
      </w:r>
    </w:p>
    <w:p w:rsidR="00153B2F" w:rsidRPr="005F36BF" w:rsidRDefault="00D1214D" w:rsidP="00153B2F">
      <w:pPr>
        <w:pStyle w:val="ListParagraph"/>
        <w:numPr>
          <w:ilvl w:val="1"/>
          <w:numId w:val="14"/>
        </w:numPr>
        <w:spacing w:after="0"/>
        <w:ind w:left="1080" w:hanging="357"/>
        <w:rPr>
          <w:rFonts w:ascii="Times New Roman" w:hAnsi="Times New Roman"/>
          <w:sz w:val="24"/>
          <w:szCs w:val="24"/>
        </w:rPr>
      </w:pPr>
      <w:r w:rsidRPr="005F36BF">
        <w:rPr>
          <w:rFonts w:ascii="Times New Roman" w:hAnsi="Times New Roman"/>
          <w:sz w:val="24"/>
          <w:szCs w:val="24"/>
        </w:rPr>
        <w:t>crude oil transport;</w:t>
      </w:r>
    </w:p>
    <w:p w:rsidR="00153B2F" w:rsidRPr="005F36BF" w:rsidRDefault="00D1214D" w:rsidP="00153B2F">
      <w:pPr>
        <w:pStyle w:val="ListParagraph"/>
        <w:numPr>
          <w:ilvl w:val="1"/>
          <w:numId w:val="14"/>
        </w:numPr>
        <w:spacing w:after="0"/>
        <w:ind w:left="1080" w:hanging="357"/>
        <w:rPr>
          <w:rFonts w:ascii="Times New Roman" w:hAnsi="Times New Roman"/>
          <w:sz w:val="24"/>
          <w:szCs w:val="24"/>
        </w:rPr>
      </w:pPr>
      <w:r w:rsidRPr="005F36BF">
        <w:rPr>
          <w:rFonts w:ascii="Times New Roman" w:hAnsi="Times New Roman"/>
          <w:sz w:val="24"/>
          <w:szCs w:val="24"/>
        </w:rPr>
        <w:t>crude oil refining;</w:t>
      </w:r>
    </w:p>
    <w:p w:rsidR="00153B2F" w:rsidRPr="005F36BF" w:rsidRDefault="00D1214D" w:rsidP="00153B2F">
      <w:pPr>
        <w:pStyle w:val="ListParagraph"/>
        <w:numPr>
          <w:ilvl w:val="1"/>
          <w:numId w:val="14"/>
        </w:numPr>
        <w:spacing w:after="0"/>
        <w:ind w:left="1080" w:hanging="357"/>
        <w:rPr>
          <w:rFonts w:ascii="Times New Roman" w:hAnsi="Times New Roman"/>
          <w:sz w:val="24"/>
          <w:szCs w:val="24"/>
        </w:rPr>
      </w:pPr>
      <w:r w:rsidRPr="005F36BF">
        <w:rPr>
          <w:rFonts w:ascii="Times New Roman" w:hAnsi="Times New Roman"/>
          <w:sz w:val="24"/>
          <w:szCs w:val="24"/>
        </w:rPr>
        <w:t>natural gas production or processing;</w:t>
      </w:r>
    </w:p>
    <w:p w:rsidR="00153B2F" w:rsidRPr="005F36BF" w:rsidRDefault="00D1214D" w:rsidP="00153B2F">
      <w:pPr>
        <w:pStyle w:val="ListParagraph"/>
        <w:numPr>
          <w:ilvl w:val="1"/>
          <w:numId w:val="14"/>
        </w:numPr>
        <w:spacing w:after="120"/>
        <w:ind w:left="1083" w:hanging="357"/>
        <w:rPr>
          <w:rFonts w:ascii="Times New Roman" w:hAnsi="Times New Roman"/>
          <w:sz w:val="24"/>
          <w:szCs w:val="24"/>
        </w:rPr>
      </w:pPr>
      <w:r w:rsidRPr="005F36BF">
        <w:rPr>
          <w:rFonts w:ascii="Times New Roman" w:hAnsi="Times New Roman"/>
          <w:sz w:val="24"/>
          <w:szCs w:val="24"/>
        </w:rPr>
        <w:t>natural gas transmission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5 sets out that the meaning of a facility is the same as under the </w:t>
      </w:r>
      <w:r w:rsidRPr="005F36BF">
        <w:rPr>
          <w:rFonts w:ascii="Times New Roman" w:hAnsi="Times New Roman"/>
          <w:i/>
          <w:sz w:val="24"/>
          <w:szCs w:val="24"/>
        </w:rPr>
        <w:t>Na</w:t>
      </w:r>
      <w:r w:rsidRPr="005F36BF">
        <w:rPr>
          <w:rFonts w:ascii="Times New Roman" w:hAnsi="Times New Roman"/>
          <w:i/>
          <w:sz w:val="24"/>
          <w:szCs w:val="24"/>
        </w:rPr>
        <w:t>tional Greenhouse and Energy Reporting Act 2007</w:t>
      </w:r>
      <w:r w:rsidRPr="005F36BF">
        <w:rPr>
          <w:rFonts w:ascii="Times New Roman" w:hAnsi="Times New Roman"/>
          <w:sz w:val="24"/>
          <w:szCs w:val="24"/>
        </w:rPr>
        <w:t xml:space="preserve"> (NGER Act). A facility, however, does not need to be reporting under the NGER Act. If a facility is determined to be </w:t>
      </w:r>
      <w:proofErr w:type="gramStart"/>
      <w:r w:rsidRPr="005F36BF">
        <w:rPr>
          <w:rFonts w:ascii="Times New Roman" w:hAnsi="Times New Roman"/>
          <w:sz w:val="24"/>
          <w:szCs w:val="24"/>
        </w:rPr>
        <w:t>an oil</w:t>
      </w:r>
      <w:proofErr w:type="gramEnd"/>
      <w:r w:rsidRPr="005F36BF">
        <w:rPr>
          <w:rFonts w:ascii="Times New Roman" w:hAnsi="Times New Roman"/>
          <w:sz w:val="24"/>
          <w:szCs w:val="24"/>
        </w:rPr>
        <w:t xml:space="preserve"> or gas facility, it is only eligible to be an oil or gas fugitives (RTF) project if </w:t>
      </w:r>
      <w:r w:rsidRPr="005F36BF">
        <w:rPr>
          <w:rFonts w:ascii="Times New Roman" w:hAnsi="Times New Roman"/>
          <w:sz w:val="24"/>
          <w:szCs w:val="24"/>
        </w:rPr>
        <w:t>the requirements set out in Part 2 and 3 of the Determination are met.</w:t>
      </w:r>
    </w:p>
    <w:p w:rsidR="00EF5735" w:rsidRPr="005F36BF" w:rsidRDefault="00D1214D" w:rsidP="00EF5735">
      <w:pPr>
        <w:spacing w:after="120"/>
        <w:rPr>
          <w:rFonts w:ascii="Times New Roman" w:hAnsi="Times New Roman"/>
          <w:sz w:val="24"/>
          <w:szCs w:val="24"/>
        </w:rPr>
      </w:pPr>
      <w:r w:rsidRPr="005F36BF">
        <w:rPr>
          <w:rFonts w:ascii="Times New Roman" w:hAnsi="Times New Roman"/>
          <w:sz w:val="24"/>
          <w:szCs w:val="24"/>
        </w:rPr>
        <w:t xml:space="preserve">Paragraph 6(a) provides that some oil or gas exploration activities are included as activities that qualify for a facility to be an oil or gas facility. These activities are summarised </w:t>
      </w:r>
      <w:r w:rsidRPr="005F36BF">
        <w:rPr>
          <w:rFonts w:ascii="Times New Roman" w:hAnsi="Times New Roman"/>
          <w:sz w:val="24"/>
          <w:szCs w:val="24"/>
        </w:rPr>
        <w:t>as:</w:t>
      </w:r>
    </w:p>
    <w:p w:rsidR="00EF5735" w:rsidRPr="005F36BF" w:rsidRDefault="00D1214D" w:rsidP="00EF5735">
      <w:pPr>
        <w:pStyle w:val="subsection"/>
        <w:numPr>
          <w:ilvl w:val="0"/>
          <w:numId w:val="21"/>
        </w:numPr>
        <w:spacing w:before="120"/>
        <w:rPr>
          <w:rFonts w:ascii="Times New Roman" w:hAnsi="Times New Roman" w:cs="Times New Roman"/>
          <w:sz w:val="24"/>
          <w:szCs w:val="24"/>
        </w:rPr>
      </w:pPr>
      <w:r w:rsidRPr="005F36BF">
        <w:rPr>
          <w:rFonts w:ascii="Times New Roman" w:hAnsi="Times New Roman" w:cs="Times New Roman"/>
          <w:sz w:val="24"/>
          <w:szCs w:val="24"/>
          <w:u w:val="single"/>
        </w:rPr>
        <w:t>Drill stem testing</w:t>
      </w:r>
      <w:r w:rsidRPr="005F36BF">
        <w:rPr>
          <w:rFonts w:ascii="Times New Roman" w:hAnsi="Times New Roman" w:cs="Times New Roman"/>
          <w:sz w:val="24"/>
          <w:szCs w:val="24"/>
        </w:rPr>
        <w:t xml:space="preserve"> is a method used to temporarily complete a recently drilled formation in a well in order to evaluate it (test the flow).</w:t>
      </w:r>
    </w:p>
    <w:p w:rsidR="00EF5735" w:rsidRPr="005F36BF" w:rsidRDefault="00D1214D" w:rsidP="00EF5735">
      <w:pPr>
        <w:pStyle w:val="subsection"/>
        <w:numPr>
          <w:ilvl w:val="0"/>
          <w:numId w:val="21"/>
        </w:numPr>
        <w:spacing w:before="120"/>
        <w:rPr>
          <w:rFonts w:ascii="Times New Roman" w:hAnsi="Times New Roman" w:cs="Times New Roman"/>
          <w:sz w:val="24"/>
          <w:szCs w:val="24"/>
        </w:rPr>
      </w:pPr>
      <w:r w:rsidRPr="005F36BF">
        <w:rPr>
          <w:rFonts w:ascii="Times New Roman" w:hAnsi="Times New Roman" w:cs="Times New Roman"/>
          <w:sz w:val="24"/>
          <w:szCs w:val="24"/>
          <w:u w:val="single"/>
        </w:rPr>
        <w:t>Well completion</w:t>
      </w:r>
      <w:r w:rsidRPr="005F36BF">
        <w:rPr>
          <w:rFonts w:ascii="Times New Roman" w:hAnsi="Times New Roman" w:cs="Times New Roman"/>
          <w:sz w:val="24"/>
          <w:szCs w:val="24"/>
        </w:rPr>
        <w:t xml:space="preserve"> includes the services and installation of equipment that </w:t>
      </w:r>
      <w:proofErr w:type="gramStart"/>
      <w:r w:rsidRPr="005F36BF">
        <w:rPr>
          <w:rFonts w:ascii="Times New Roman" w:hAnsi="Times New Roman" w:cs="Times New Roman"/>
          <w:sz w:val="24"/>
          <w:szCs w:val="24"/>
        </w:rPr>
        <w:t>are</w:t>
      </w:r>
      <w:proofErr w:type="gramEnd"/>
      <w:r w:rsidRPr="005F36BF">
        <w:rPr>
          <w:rFonts w:ascii="Times New Roman" w:hAnsi="Times New Roman" w:cs="Times New Roman"/>
          <w:sz w:val="24"/>
          <w:szCs w:val="24"/>
        </w:rPr>
        <w:t xml:space="preserve"> necessary to prepare a well for production after it has been drilled and tested.</w:t>
      </w:r>
    </w:p>
    <w:p w:rsidR="00EF5735" w:rsidRPr="005F36BF" w:rsidRDefault="00D1214D" w:rsidP="00EF5735">
      <w:pPr>
        <w:pStyle w:val="subsection"/>
        <w:numPr>
          <w:ilvl w:val="0"/>
          <w:numId w:val="21"/>
        </w:numPr>
        <w:spacing w:before="120" w:after="120"/>
        <w:rPr>
          <w:rFonts w:ascii="Times New Roman" w:hAnsi="Times New Roman" w:cs="Times New Roman"/>
          <w:sz w:val="24"/>
          <w:szCs w:val="24"/>
        </w:rPr>
      </w:pPr>
      <w:r w:rsidRPr="005F36BF">
        <w:rPr>
          <w:rFonts w:ascii="Times New Roman" w:hAnsi="Times New Roman" w:cs="Times New Roman"/>
          <w:sz w:val="24"/>
          <w:szCs w:val="24"/>
          <w:u w:val="single"/>
        </w:rPr>
        <w:lastRenderedPageBreak/>
        <w:t xml:space="preserve">Well </w:t>
      </w:r>
      <w:proofErr w:type="spellStart"/>
      <w:r w:rsidRPr="005F36BF">
        <w:rPr>
          <w:rFonts w:ascii="Times New Roman" w:hAnsi="Times New Roman" w:cs="Times New Roman"/>
          <w:sz w:val="24"/>
          <w:szCs w:val="24"/>
          <w:u w:val="single"/>
        </w:rPr>
        <w:t>workovers</w:t>
      </w:r>
      <w:proofErr w:type="spellEnd"/>
      <w:r w:rsidRPr="005F36BF">
        <w:rPr>
          <w:rFonts w:ascii="Times New Roman" w:hAnsi="Times New Roman" w:cs="Times New Roman"/>
          <w:sz w:val="24"/>
          <w:szCs w:val="24"/>
        </w:rPr>
        <w:t xml:space="preserve"> is a general term for any remedial operation on a completed well that is designed to maintain, res</w:t>
      </w:r>
      <w:r w:rsidRPr="005F36BF">
        <w:rPr>
          <w:rFonts w:ascii="Times New Roman" w:hAnsi="Times New Roman" w:cs="Times New Roman"/>
          <w:sz w:val="24"/>
          <w:szCs w:val="24"/>
        </w:rPr>
        <w:t>tore, or improve production from a reservoir that is currently producing.</w:t>
      </w:r>
    </w:p>
    <w:p w:rsidR="00BC145C" w:rsidRPr="00BC145C" w:rsidRDefault="00D1214D" w:rsidP="00BC145C">
      <w:pPr>
        <w:spacing w:after="120"/>
        <w:rPr>
          <w:rFonts w:ascii="Times New Roman" w:hAnsi="Times New Roman"/>
          <w:sz w:val="24"/>
          <w:szCs w:val="24"/>
        </w:rPr>
      </w:pPr>
      <w:r w:rsidRPr="005F36BF">
        <w:rPr>
          <w:rFonts w:ascii="Times New Roman" w:hAnsi="Times New Roman"/>
          <w:sz w:val="24"/>
          <w:szCs w:val="24"/>
        </w:rPr>
        <w:t xml:space="preserve">Oil or gas exploration activities that constitute an eligible oil or gas facility in paragraph 6(a) are different to the exploration well drilling activities (i.e. any well drilling </w:t>
      </w:r>
      <w:r w:rsidRPr="005F36BF">
        <w:rPr>
          <w:rFonts w:ascii="Times New Roman" w:hAnsi="Times New Roman"/>
          <w:sz w:val="24"/>
          <w:szCs w:val="24"/>
        </w:rPr>
        <w:t xml:space="preserve">as part of exploration activities) mentioned in paragraph 8(1)(c) of the Determination, which are activities that are excluded from being part of the project. </w:t>
      </w:r>
      <w:r w:rsidRPr="00BC145C">
        <w:rPr>
          <w:rFonts w:ascii="Times New Roman" w:hAnsi="Times New Roman"/>
          <w:sz w:val="24"/>
          <w:szCs w:val="24"/>
        </w:rPr>
        <w:t>Exploration well drilling is often short term field work with no firm commitment that a productio</w:t>
      </w:r>
      <w:r w:rsidRPr="00BC145C">
        <w:rPr>
          <w:rFonts w:ascii="Times New Roman" w:hAnsi="Times New Roman"/>
          <w:sz w:val="24"/>
          <w:szCs w:val="24"/>
        </w:rPr>
        <w:t xml:space="preserve">n process will be established. As such, the Determination does not allow for emissions reduction associated with standalone exploration well drilling. </w:t>
      </w:r>
      <w:proofErr w:type="gramStart"/>
      <w:r w:rsidRPr="00BC145C">
        <w:rPr>
          <w:rFonts w:ascii="Times New Roman" w:hAnsi="Times New Roman"/>
          <w:sz w:val="24"/>
          <w:szCs w:val="24"/>
        </w:rPr>
        <w:t>Where particular exploration well drilling activities progress to well completion and well work over acti</w:t>
      </w:r>
      <w:r w:rsidRPr="00BC145C">
        <w:rPr>
          <w:rFonts w:ascii="Times New Roman" w:hAnsi="Times New Roman"/>
          <w:sz w:val="24"/>
          <w:szCs w:val="24"/>
        </w:rPr>
        <w:t>vities, there is more commitment that production is intended to commence at that location afterwards.</w:t>
      </w:r>
      <w:proofErr w:type="gramEnd"/>
      <w:r w:rsidRPr="00BC145C">
        <w:rPr>
          <w:rFonts w:ascii="Times New Roman" w:hAnsi="Times New Roman"/>
          <w:sz w:val="24"/>
          <w:szCs w:val="24"/>
        </w:rPr>
        <w:t xml:space="preserve"> For this reason, well completion and well work over activities are recognised as eligible activities. In contrast to exploration well drilling activities,</w:t>
      </w:r>
      <w:r w:rsidRPr="00BC145C">
        <w:rPr>
          <w:rFonts w:ascii="Times New Roman" w:hAnsi="Times New Roman"/>
          <w:sz w:val="24"/>
          <w:szCs w:val="24"/>
        </w:rPr>
        <w:t xml:space="preserve"> well drilling activities that occur after well completion or well work over activities </w:t>
      </w:r>
      <w:r>
        <w:rPr>
          <w:rFonts w:ascii="Times New Roman" w:hAnsi="Times New Roman"/>
          <w:sz w:val="24"/>
          <w:szCs w:val="24"/>
        </w:rPr>
        <w:t xml:space="preserve">may be considered </w:t>
      </w:r>
      <w:r w:rsidRPr="00BC145C">
        <w:rPr>
          <w:rFonts w:ascii="Times New Roman" w:hAnsi="Times New Roman"/>
          <w:sz w:val="24"/>
          <w:szCs w:val="24"/>
        </w:rPr>
        <w:t>eligible activities.</w:t>
      </w:r>
    </w:p>
    <w:p w:rsidR="00EF5735" w:rsidRPr="005F36BF" w:rsidRDefault="00D1214D" w:rsidP="00EF5735">
      <w:pPr>
        <w:spacing w:after="120" w:line="240" w:lineRule="auto"/>
        <w:rPr>
          <w:rFonts w:ascii="Times New Roman" w:hAnsi="Times New Roman"/>
          <w:sz w:val="24"/>
          <w:szCs w:val="24"/>
        </w:rPr>
      </w:pPr>
      <w:r w:rsidRPr="005F36BF">
        <w:rPr>
          <w:rFonts w:ascii="Times New Roman" w:hAnsi="Times New Roman"/>
          <w:sz w:val="24"/>
          <w:szCs w:val="24"/>
        </w:rPr>
        <w:t>It is noted that the exploration activities mentioned in paragraph 8(1)(c) may be co-located at the same facility as the oil or g</w:t>
      </w:r>
      <w:r w:rsidRPr="005F36BF">
        <w:rPr>
          <w:rFonts w:ascii="Times New Roman" w:hAnsi="Times New Roman"/>
          <w:sz w:val="24"/>
          <w:szCs w:val="24"/>
        </w:rPr>
        <w:t>as fugitives (RTF) project but the activities may not be included as part of the offsets project.</w:t>
      </w:r>
    </w:p>
    <w:p w:rsidR="00EF5735" w:rsidRPr="005F36BF" w:rsidRDefault="00D1214D" w:rsidP="00EF5735">
      <w:pPr>
        <w:spacing w:after="120" w:line="240" w:lineRule="auto"/>
        <w:rPr>
          <w:rFonts w:ascii="Times New Roman" w:hAnsi="Times New Roman"/>
          <w:sz w:val="24"/>
          <w:szCs w:val="24"/>
        </w:rPr>
      </w:pPr>
    </w:p>
    <w:p w:rsidR="00153B2F" w:rsidRPr="005F36BF" w:rsidRDefault="00D1214D" w:rsidP="00EF5735">
      <w:pPr>
        <w:rPr>
          <w:rFonts w:ascii="Times New Roman" w:hAnsi="Times New Roman"/>
          <w:sz w:val="24"/>
          <w:szCs w:val="24"/>
          <w:u w:val="single"/>
        </w:rPr>
      </w:pPr>
      <w:r w:rsidRPr="005F36BF">
        <w:rPr>
          <w:rFonts w:ascii="Times New Roman" w:hAnsi="Times New Roman"/>
          <w:sz w:val="24"/>
          <w:szCs w:val="24"/>
          <w:u w:val="single"/>
        </w:rPr>
        <w:t>7</w:t>
      </w:r>
      <w:r w:rsidRPr="005F36BF">
        <w:rPr>
          <w:rFonts w:ascii="Times New Roman" w:hAnsi="Times New Roman"/>
          <w:sz w:val="24"/>
          <w:szCs w:val="24"/>
          <w:u w:val="single"/>
        </w:rPr>
        <w:tab/>
        <w:t>References to factors and parameters from external sources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Section 7 provides additional guidance to the treatment of factors and parameters used for calcu</w:t>
      </w:r>
      <w:r w:rsidRPr="005F36BF">
        <w:rPr>
          <w:rFonts w:ascii="Times New Roman" w:hAnsi="Times New Roman"/>
          <w:sz w:val="24"/>
          <w:szCs w:val="24"/>
        </w:rPr>
        <w:t>lations that originate from sources outside of the determination. The section notes that a proponent adopting the methodology must use the externally sourced factor or parameter from the legal instrument or writing in force at the end of the reporting peri</w:t>
      </w:r>
      <w:r w:rsidRPr="005F36BF">
        <w:rPr>
          <w:rFonts w:ascii="Times New Roman" w:hAnsi="Times New Roman"/>
          <w:sz w:val="24"/>
          <w:szCs w:val="24"/>
        </w:rPr>
        <w:t xml:space="preserve">od for all calculations. This is the case unless it is specifically stated in the determination that an alternative approach should be taken, or it is not possible to define or calculate the factor or parameter in force at the end of the reporting period. </w:t>
      </w:r>
    </w:p>
    <w:p w:rsidR="00153B2F" w:rsidRPr="005F36BF" w:rsidRDefault="00D1214D" w:rsidP="00153B2F">
      <w:pPr>
        <w:pageBreakBefore/>
        <w:spacing w:after="120" w:line="240" w:lineRule="auto"/>
        <w:rPr>
          <w:rFonts w:ascii="Times New Roman" w:hAnsi="Times New Roman"/>
          <w:b/>
          <w:sz w:val="24"/>
          <w:szCs w:val="24"/>
        </w:rPr>
      </w:pPr>
      <w:r w:rsidRPr="005F36BF">
        <w:rPr>
          <w:rFonts w:ascii="Times New Roman" w:hAnsi="Times New Roman"/>
          <w:b/>
          <w:sz w:val="24"/>
          <w:szCs w:val="24"/>
        </w:rPr>
        <w:lastRenderedPageBreak/>
        <w:t>Part 2</w:t>
      </w:r>
      <w:r w:rsidRPr="005F36BF">
        <w:rPr>
          <w:rFonts w:ascii="Times New Roman" w:hAnsi="Times New Roman"/>
          <w:b/>
          <w:sz w:val="24"/>
          <w:szCs w:val="24"/>
        </w:rPr>
        <w:tab/>
      </w:r>
      <w:r w:rsidRPr="005F36BF">
        <w:rPr>
          <w:rFonts w:ascii="Times New Roman" w:hAnsi="Times New Roman"/>
          <w:b/>
          <w:sz w:val="24"/>
          <w:szCs w:val="24"/>
        </w:rPr>
        <w:tab/>
        <w:t>Oil or gas fugitives (RTF) projects</w:t>
      </w: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8</w:t>
      </w:r>
      <w:r w:rsidRPr="005F36BF">
        <w:rPr>
          <w:rFonts w:ascii="Times New Roman" w:hAnsi="Times New Roman"/>
          <w:sz w:val="24"/>
          <w:szCs w:val="24"/>
          <w:u w:val="single"/>
        </w:rPr>
        <w:tab/>
        <w:t>Oil or gas fugitives (RTF) projects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effect of paragraphs 27(4</w:t>
      </w:r>
      <w:proofErr w:type="gramStart"/>
      <w:r w:rsidRPr="005F36BF">
        <w:rPr>
          <w:rFonts w:ascii="Times New Roman" w:hAnsi="Times New Roman"/>
          <w:sz w:val="24"/>
          <w:szCs w:val="24"/>
        </w:rPr>
        <w:t>)(</w:t>
      </w:r>
      <w:proofErr w:type="gramEnd"/>
      <w:r w:rsidRPr="005F36BF">
        <w:rPr>
          <w:rFonts w:ascii="Times New Roman" w:hAnsi="Times New Roman"/>
          <w:sz w:val="24"/>
          <w:szCs w:val="24"/>
        </w:rPr>
        <w:t>b) and 106(1)(a) of the Act is that a project must be covered by a methodology determination, and that the methodology determination must spec</w:t>
      </w:r>
      <w:r w:rsidRPr="005F36BF">
        <w:rPr>
          <w:rFonts w:ascii="Times New Roman" w:hAnsi="Times New Roman"/>
          <w:sz w:val="24"/>
          <w:szCs w:val="24"/>
        </w:rPr>
        <w:t>ify the kind of offsets project to which it applies.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Subsection 8(1) </w:t>
      </w:r>
      <w:proofErr w:type="gramStart"/>
      <w:r w:rsidRPr="005F36BF">
        <w:rPr>
          <w:rFonts w:ascii="Times New Roman" w:hAnsi="Times New Roman"/>
          <w:sz w:val="24"/>
          <w:szCs w:val="24"/>
        </w:rPr>
        <w:t>sets</w:t>
      </w:r>
      <w:proofErr w:type="gramEnd"/>
      <w:r w:rsidRPr="005F36BF">
        <w:rPr>
          <w:rFonts w:ascii="Times New Roman" w:hAnsi="Times New Roman"/>
          <w:sz w:val="24"/>
          <w:szCs w:val="24"/>
        </w:rPr>
        <w:t xml:space="preserve"> out the kind of offsets projects to which the methodology applies.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The type of project to which the methodology applies involves </w:t>
      </w:r>
      <w:proofErr w:type="gramStart"/>
      <w:r w:rsidRPr="005F36BF">
        <w:rPr>
          <w:rFonts w:ascii="Times New Roman" w:hAnsi="Times New Roman"/>
          <w:sz w:val="24"/>
          <w:szCs w:val="24"/>
        </w:rPr>
        <w:t>an oil</w:t>
      </w:r>
      <w:proofErr w:type="gramEnd"/>
      <w:r w:rsidRPr="005F36BF">
        <w:rPr>
          <w:rFonts w:ascii="Times New Roman" w:hAnsi="Times New Roman"/>
          <w:sz w:val="24"/>
          <w:szCs w:val="24"/>
        </w:rPr>
        <w:t xml:space="preserve"> or gas facility that installs and operates </w:t>
      </w:r>
      <w:r w:rsidRPr="005F36BF">
        <w:rPr>
          <w:rFonts w:ascii="Times New Roman" w:hAnsi="Times New Roman"/>
          <w:b/>
          <w:i/>
          <w:sz w:val="24"/>
          <w:szCs w:val="24"/>
        </w:rPr>
        <w:t>gas capture equipment</w:t>
      </w:r>
      <w:r w:rsidRPr="005F36BF">
        <w:rPr>
          <w:rFonts w:ascii="Times New Roman" w:hAnsi="Times New Roman"/>
          <w:sz w:val="24"/>
          <w:szCs w:val="24"/>
        </w:rPr>
        <w:t xml:space="preserve"> to capture process venting emissions or fugitive leak emissions that would have otherwise have been vented or leaked to the atmosphere and re-routing these emissions to be combusted at a </w:t>
      </w:r>
      <w:r w:rsidRPr="005F36BF">
        <w:rPr>
          <w:rFonts w:ascii="Times New Roman" w:hAnsi="Times New Roman"/>
          <w:b/>
          <w:i/>
          <w:sz w:val="24"/>
          <w:szCs w:val="24"/>
        </w:rPr>
        <w:t>flare device</w:t>
      </w:r>
      <w:r w:rsidRPr="005F36BF">
        <w:rPr>
          <w:rFonts w:ascii="Times New Roman" w:hAnsi="Times New Roman"/>
          <w:sz w:val="24"/>
          <w:szCs w:val="24"/>
        </w:rPr>
        <w:t xml:space="preserve">.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conversion of hydrocarbon co</w:t>
      </w:r>
      <w:r w:rsidRPr="005F36BF">
        <w:rPr>
          <w:rFonts w:ascii="Times New Roman" w:hAnsi="Times New Roman"/>
          <w:sz w:val="24"/>
          <w:szCs w:val="24"/>
        </w:rPr>
        <w:t xml:space="preserve">mpounds in the re-routed gas to carbon dioxide lowers the amount of carbon dioxide equivalent being released to atmosphere. If the amount of carbon dioxide equivalent emissions that are released to atmosphere from a flare device is less than the amount of </w:t>
      </w:r>
      <w:r w:rsidRPr="005F36BF">
        <w:rPr>
          <w:rFonts w:ascii="Times New Roman" w:hAnsi="Times New Roman"/>
          <w:sz w:val="24"/>
          <w:szCs w:val="24"/>
        </w:rPr>
        <w:t>carbon dioxide equivalent (CO</w:t>
      </w:r>
      <w:r w:rsidRPr="005F36BF">
        <w:rPr>
          <w:rFonts w:ascii="Times New Roman" w:hAnsi="Times New Roman"/>
          <w:sz w:val="24"/>
          <w:szCs w:val="24"/>
          <w:vertAlign w:val="subscript"/>
        </w:rPr>
        <w:t>2</w:t>
      </w:r>
      <w:r w:rsidRPr="005F36BF">
        <w:rPr>
          <w:rFonts w:ascii="Times New Roman" w:hAnsi="Times New Roman"/>
          <w:sz w:val="24"/>
          <w:szCs w:val="24"/>
        </w:rPr>
        <w:t>-e) emissions that would otherwise have been released to the atmosphere through venting or leakage, the difference is counted as eligible carbon abatement and may be credited.</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8 provides that re-routed process venting </w:t>
      </w:r>
      <w:r w:rsidRPr="005F36BF">
        <w:rPr>
          <w:rFonts w:ascii="Times New Roman" w:hAnsi="Times New Roman"/>
          <w:sz w:val="24"/>
          <w:szCs w:val="24"/>
        </w:rPr>
        <w:t xml:space="preserve">emissions or fugitive leak emissions may be sent to either a new or an existing flare device. </w:t>
      </w:r>
      <w:proofErr w:type="gramStart"/>
      <w:r w:rsidRPr="005F36BF">
        <w:rPr>
          <w:rFonts w:ascii="Times New Roman" w:hAnsi="Times New Roman"/>
          <w:sz w:val="24"/>
          <w:szCs w:val="24"/>
        </w:rPr>
        <w:t>Where an existing flare device is used, only newly re-routed fugitive emissions will be credited under the project.</w:t>
      </w:r>
      <w:proofErr w:type="gramEnd"/>
      <w:r w:rsidRPr="005F36BF">
        <w:rPr>
          <w:rFonts w:ascii="Times New Roman" w:hAnsi="Times New Roman"/>
          <w:sz w:val="24"/>
          <w:szCs w:val="24"/>
        </w:rPr>
        <w:t xml:space="preserve">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Relevant to the context of section 8, subsect</w:t>
      </w:r>
      <w:r w:rsidRPr="005F36BF">
        <w:rPr>
          <w:rFonts w:ascii="Times New Roman" w:hAnsi="Times New Roman"/>
          <w:sz w:val="24"/>
          <w:szCs w:val="24"/>
        </w:rPr>
        <w:t xml:space="preserve">ion 30(2) of the Determination sets out </w:t>
      </w:r>
      <w:proofErr w:type="gramStart"/>
      <w:r w:rsidRPr="005F36BF">
        <w:rPr>
          <w:rFonts w:ascii="Times New Roman" w:hAnsi="Times New Roman"/>
          <w:sz w:val="24"/>
          <w:szCs w:val="24"/>
        </w:rPr>
        <w:t>that gas quantities</w:t>
      </w:r>
      <w:proofErr w:type="gramEnd"/>
      <w:r w:rsidRPr="005F36BF">
        <w:rPr>
          <w:rFonts w:ascii="Times New Roman" w:hAnsi="Times New Roman"/>
          <w:sz w:val="24"/>
          <w:szCs w:val="24"/>
        </w:rPr>
        <w:t xml:space="preserve"> in relation to process venting emissions or fugitive leak emissions are only eligible if the gas quantity would not have been vented to the atmosphere if the project had not been undertaken. This </w:t>
      </w:r>
      <w:r w:rsidRPr="005F36BF">
        <w:rPr>
          <w:rFonts w:ascii="Times New Roman" w:hAnsi="Times New Roman"/>
          <w:sz w:val="24"/>
          <w:szCs w:val="24"/>
        </w:rPr>
        <w:t xml:space="preserve">includes circumstances such as where an existing flare is combusting emissions that without the offsets project would likely have continued to be combusted by the flare.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Paragraph 8(1</w:t>
      </w:r>
      <w:proofErr w:type="gramStart"/>
      <w:r w:rsidRPr="005F36BF">
        <w:rPr>
          <w:rFonts w:ascii="Times New Roman" w:hAnsi="Times New Roman"/>
          <w:sz w:val="24"/>
          <w:szCs w:val="24"/>
        </w:rPr>
        <w:t>)(</w:t>
      </w:r>
      <w:proofErr w:type="gramEnd"/>
      <w:r w:rsidRPr="005F36BF">
        <w:rPr>
          <w:rFonts w:ascii="Times New Roman" w:hAnsi="Times New Roman"/>
          <w:sz w:val="24"/>
          <w:szCs w:val="24"/>
        </w:rPr>
        <w:t>c) provides that an oil or gas fugitives (RTF) project excludes proce</w:t>
      </w:r>
      <w:r w:rsidRPr="005F36BF">
        <w:rPr>
          <w:rFonts w:ascii="Times New Roman" w:hAnsi="Times New Roman"/>
          <w:sz w:val="24"/>
          <w:szCs w:val="24"/>
        </w:rPr>
        <w:t xml:space="preserve">ss venting emissions or fugitive leak emissions that are the result of the following activities: </w:t>
      </w:r>
    </w:p>
    <w:p w:rsidR="00153B2F" w:rsidRPr="005F36BF" w:rsidRDefault="00D1214D" w:rsidP="00153B2F">
      <w:pPr>
        <w:pStyle w:val="ListParagraph"/>
        <w:numPr>
          <w:ilvl w:val="0"/>
          <w:numId w:val="17"/>
        </w:numPr>
        <w:spacing w:after="120" w:line="240" w:lineRule="auto"/>
        <w:rPr>
          <w:rFonts w:ascii="Times New Roman" w:hAnsi="Times New Roman"/>
          <w:sz w:val="24"/>
          <w:szCs w:val="24"/>
        </w:rPr>
      </w:pPr>
      <w:r w:rsidRPr="005F36BF">
        <w:rPr>
          <w:rFonts w:ascii="Times New Roman" w:hAnsi="Times New Roman"/>
          <w:sz w:val="24"/>
          <w:szCs w:val="24"/>
        </w:rPr>
        <w:t>coal mining activities;</w:t>
      </w:r>
    </w:p>
    <w:p w:rsidR="00153B2F" w:rsidRPr="005F36BF" w:rsidRDefault="00D1214D" w:rsidP="00153B2F">
      <w:pPr>
        <w:pStyle w:val="ListParagraph"/>
        <w:numPr>
          <w:ilvl w:val="0"/>
          <w:numId w:val="17"/>
        </w:numPr>
        <w:spacing w:after="120" w:line="240" w:lineRule="auto"/>
        <w:rPr>
          <w:rFonts w:ascii="Times New Roman" w:hAnsi="Times New Roman"/>
          <w:sz w:val="24"/>
          <w:szCs w:val="24"/>
        </w:rPr>
      </w:pPr>
      <w:r w:rsidRPr="005F36BF">
        <w:rPr>
          <w:rFonts w:ascii="Times New Roman" w:hAnsi="Times New Roman"/>
          <w:sz w:val="24"/>
          <w:szCs w:val="24"/>
        </w:rPr>
        <w:t>oil exploration well drilling activities;</w:t>
      </w:r>
    </w:p>
    <w:p w:rsidR="00153B2F" w:rsidRPr="005F36BF" w:rsidRDefault="00D1214D" w:rsidP="00153B2F">
      <w:pPr>
        <w:pStyle w:val="ListParagraph"/>
        <w:numPr>
          <w:ilvl w:val="0"/>
          <w:numId w:val="17"/>
        </w:numPr>
        <w:spacing w:after="120" w:line="240" w:lineRule="auto"/>
        <w:rPr>
          <w:rFonts w:ascii="Times New Roman" w:hAnsi="Times New Roman"/>
          <w:sz w:val="24"/>
          <w:szCs w:val="24"/>
        </w:rPr>
      </w:pPr>
      <w:proofErr w:type="gramStart"/>
      <w:r w:rsidRPr="005F36BF">
        <w:rPr>
          <w:rFonts w:ascii="Times New Roman" w:hAnsi="Times New Roman"/>
          <w:sz w:val="24"/>
          <w:szCs w:val="24"/>
        </w:rPr>
        <w:t>gas</w:t>
      </w:r>
      <w:proofErr w:type="gramEnd"/>
      <w:r w:rsidRPr="005F36BF">
        <w:rPr>
          <w:rFonts w:ascii="Times New Roman" w:hAnsi="Times New Roman"/>
          <w:sz w:val="24"/>
          <w:szCs w:val="24"/>
        </w:rPr>
        <w:t xml:space="preserve"> exploration well drilling activities. </w:t>
      </w:r>
    </w:p>
    <w:p w:rsidR="00EF5735" w:rsidRPr="005F36BF" w:rsidRDefault="00D1214D" w:rsidP="00EF5735">
      <w:pPr>
        <w:spacing w:after="120" w:line="240" w:lineRule="auto"/>
        <w:rPr>
          <w:rFonts w:ascii="Times New Roman" w:hAnsi="Times New Roman"/>
          <w:sz w:val="24"/>
          <w:szCs w:val="24"/>
        </w:rPr>
      </w:pPr>
      <w:r w:rsidRPr="005F36BF">
        <w:rPr>
          <w:rFonts w:ascii="Times New Roman" w:hAnsi="Times New Roman"/>
          <w:sz w:val="24"/>
          <w:szCs w:val="24"/>
        </w:rPr>
        <w:t>These activities are excluded due to either the ability for the activities to be covered in an alternative methodology determination, or because of the inability to accurately determine a net abatement amount due to the nature of the activities. It is note</w:t>
      </w:r>
      <w:r w:rsidRPr="005F36BF">
        <w:rPr>
          <w:rFonts w:ascii="Times New Roman" w:hAnsi="Times New Roman"/>
          <w:sz w:val="24"/>
          <w:szCs w:val="24"/>
        </w:rPr>
        <w:t>d that the exploration activities mentioned in paragraph 8(1)(c) may be co-located at the same facility as the oil or gas fugitives (RTF) project but the activities may not be included as part of the offsets project.</w:t>
      </w:r>
    </w:p>
    <w:p w:rsidR="00153B2F" w:rsidRPr="005F36BF" w:rsidRDefault="00D1214D" w:rsidP="00153B2F">
      <w:pPr>
        <w:spacing w:after="120" w:line="240" w:lineRule="auto"/>
        <w:rPr>
          <w:rFonts w:ascii="Times New Roman" w:hAnsi="Times New Roman"/>
          <w:color w:val="808080" w:themeColor="background1" w:themeShade="80"/>
          <w:sz w:val="24"/>
          <w:szCs w:val="24"/>
        </w:rPr>
      </w:pPr>
      <w:r w:rsidRPr="005F36BF">
        <w:rPr>
          <w:rFonts w:ascii="Times New Roman" w:hAnsi="Times New Roman"/>
          <w:sz w:val="24"/>
          <w:szCs w:val="24"/>
        </w:rPr>
        <w:t>Subsection 8(2) provides a general defi</w:t>
      </w:r>
      <w:r w:rsidRPr="005F36BF">
        <w:rPr>
          <w:rFonts w:ascii="Times New Roman" w:hAnsi="Times New Roman"/>
          <w:sz w:val="24"/>
          <w:szCs w:val="24"/>
        </w:rPr>
        <w:t xml:space="preserve">nition of a project (an </w:t>
      </w:r>
      <w:r w:rsidRPr="005F36BF">
        <w:rPr>
          <w:rFonts w:ascii="Times New Roman" w:hAnsi="Times New Roman"/>
          <w:b/>
          <w:i/>
          <w:sz w:val="24"/>
          <w:szCs w:val="24"/>
        </w:rPr>
        <w:t>oil or gas fugitives (RTF) project</w:t>
      </w:r>
      <w:r w:rsidRPr="005F36BF">
        <w:rPr>
          <w:rFonts w:ascii="Times New Roman" w:hAnsi="Times New Roman"/>
          <w:sz w:val="24"/>
          <w:szCs w:val="24"/>
        </w:rPr>
        <w:t>) for use throughout the methodology determination.</w:t>
      </w:r>
    </w:p>
    <w:p w:rsidR="00153B2F" w:rsidRPr="005F36BF" w:rsidRDefault="00D1214D" w:rsidP="00153B2F">
      <w:pPr>
        <w:spacing w:line="240" w:lineRule="auto"/>
        <w:rPr>
          <w:rFonts w:ascii="Times New Roman" w:hAnsi="Times New Roman"/>
          <w:b/>
          <w:color w:val="808080" w:themeColor="background1" w:themeShade="80"/>
          <w:sz w:val="24"/>
          <w:szCs w:val="24"/>
        </w:rPr>
      </w:pPr>
      <w:r w:rsidRPr="005F36BF">
        <w:rPr>
          <w:rFonts w:ascii="Times New Roman" w:hAnsi="Times New Roman"/>
          <w:b/>
          <w:color w:val="808080" w:themeColor="background1" w:themeShade="80"/>
          <w:sz w:val="24"/>
          <w:szCs w:val="24"/>
        </w:rPr>
        <w:br w:type="page"/>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color w:val="000000"/>
          <w:sz w:val="24"/>
          <w:szCs w:val="24"/>
        </w:rPr>
        <w:lastRenderedPageBreak/>
        <w:t>P</w:t>
      </w:r>
      <w:r w:rsidRPr="005F36BF">
        <w:rPr>
          <w:rFonts w:ascii="Times New Roman" w:hAnsi="Times New Roman"/>
          <w:b/>
          <w:sz w:val="24"/>
          <w:szCs w:val="24"/>
        </w:rPr>
        <w:t>art 3</w:t>
      </w:r>
      <w:r w:rsidRPr="005F36BF">
        <w:rPr>
          <w:rFonts w:ascii="Times New Roman" w:hAnsi="Times New Roman"/>
          <w:b/>
          <w:sz w:val="24"/>
          <w:szCs w:val="24"/>
        </w:rPr>
        <w:tab/>
      </w:r>
      <w:r w:rsidRPr="005F36BF">
        <w:rPr>
          <w:rFonts w:ascii="Times New Roman" w:hAnsi="Times New Roman"/>
          <w:b/>
          <w:sz w:val="24"/>
          <w:szCs w:val="24"/>
        </w:rPr>
        <w:tab/>
        <w:t>Project Requirements</w:t>
      </w:r>
    </w:p>
    <w:p w:rsidR="00477476" w:rsidRPr="005F36BF" w:rsidRDefault="00D1214D" w:rsidP="00477476">
      <w:pPr>
        <w:spacing w:after="120" w:line="240" w:lineRule="auto"/>
        <w:rPr>
          <w:rFonts w:ascii="Times New Roman" w:hAnsi="Times New Roman"/>
          <w:b/>
          <w:sz w:val="24"/>
          <w:szCs w:val="24"/>
        </w:rPr>
      </w:pPr>
      <w:r w:rsidRPr="005F36BF">
        <w:rPr>
          <w:rFonts w:ascii="Times New Roman" w:hAnsi="Times New Roman"/>
          <w:b/>
          <w:sz w:val="24"/>
          <w:szCs w:val="24"/>
        </w:rPr>
        <w:t xml:space="preserve">Division 1 </w:t>
      </w:r>
      <w:r w:rsidRPr="005F36BF">
        <w:rPr>
          <w:rFonts w:ascii="Times New Roman" w:hAnsi="Times New Roman"/>
          <w:b/>
          <w:sz w:val="24"/>
          <w:szCs w:val="24"/>
        </w:rPr>
        <w:tab/>
      </w:r>
      <w:r w:rsidRPr="005F36BF">
        <w:rPr>
          <w:rFonts w:ascii="Times New Roman" w:hAnsi="Times New Roman"/>
          <w:b/>
          <w:sz w:val="24"/>
          <w:szCs w:val="24"/>
        </w:rPr>
        <w:tab/>
        <w:t>General Requirements</w:t>
      </w:r>
    </w:p>
    <w:p w:rsidR="00153B2F" w:rsidRPr="005F36BF" w:rsidRDefault="00D1214D" w:rsidP="00153B2F">
      <w:pPr>
        <w:spacing w:after="120" w:line="240" w:lineRule="auto"/>
        <w:rPr>
          <w:rFonts w:ascii="Times New Roman" w:hAnsi="Times New Roman"/>
          <w:color w:val="000000"/>
          <w:sz w:val="24"/>
          <w:szCs w:val="24"/>
          <w:u w:val="single"/>
        </w:rPr>
      </w:pPr>
      <w:r w:rsidRPr="005F36BF">
        <w:rPr>
          <w:rFonts w:ascii="Times New Roman" w:hAnsi="Times New Roman"/>
          <w:color w:val="000000"/>
          <w:sz w:val="24"/>
          <w:szCs w:val="24"/>
          <w:u w:val="single"/>
        </w:rPr>
        <w:t>9</w:t>
      </w:r>
      <w:r w:rsidRPr="005F36BF">
        <w:rPr>
          <w:rFonts w:ascii="Times New Roman" w:hAnsi="Times New Roman"/>
          <w:color w:val="000000"/>
          <w:sz w:val="24"/>
          <w:szCs w:val="24"/>
          <w:u w:val="single"/>
        </w:rPr>
        <w:tab/>
        <w:t xml:space="preserve">Operation of this </w:t>
      </w:r>
      <w:r w:rsidRPr="005F36BF">
        <w:rPr>
          <w:rFonts w:ascii="Times New Roman" w:hAnsi="Times New Roman"/>
          <w:color w:val="000000"/>
          <w:sz w:val="24"/>
          <w:szCs w:val="24"/>
          <w:u w:val="single"/>
        </w:rPr>
        <w:t>Division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effect of paragraph 106(1</w:t>
      </w:r>
      <w:proofErr w:type="gramStart"/>
      <w:r w:rsidRPr="005F36BF">
        <w:rPr>
          <w:rFonts w:ascii="Times New Roman" w:hAnsi="Times New Roman"/>
          <w:sz w:val="24"/>
          <w:szCs w:val="24"/>
        </w:rPr>
        <w:t>)(</w:t>
      </w:r>
      <w:proofErr w:type="gramEnd"/>
      <w:r w:rsidRPr="005F36BF">
        <w:rPr>
          <w:rFonts w:ascii="Times New Roman" w:hAnsi="Times New Roman"/>
          <w:sz w:val="24"/>
          <w:szCs w:val="24"/>
        </w:rPr>
        <w:t>b) of the Act is that</w:t>
      </w:r>
      <w:r w:rsidRPr="005F36BF">
        <w:rPr>
          <w:rFonts w:ascii="Times New Roman" w:hAnsi="Times New Roman"/>
          <w:sz w:val="24"/>
          <w:szCs w:val="24"/>
        </w:rPr>
        <w:t xml:space="preserve"> a methodology determination must set out requirements that must be met for a project to be an eligible offsets project. Under paragraph 27(4</w:t>
      </w:r>
      <w:proofErr w:type="gramStart"/>
      <w:r w:rsidRPr="005F36BF">
        <w:rPr>
          <w:rFonts w:ascii="Times New Roman" w:hAnsi="Times New Roman"/>
          <w:sz w:val="24"/>
          <w:szCs w:val="24"/>
        </w:rPr>
        <w:t>)(</w:t>
      </w:r>
      <w:proofErr w:type="gramEnd"/>
      <w:r w:rsidRPr="005F36BF">
        <w:rPr>
          <w:rFonts w:ascii="Times New Roman" w:hAnsi="Times New Roman"/>
          <w:sz w:val="24"/>
          <w:szCs w:val="24"/>
        </w:rPr>
        <w:t xml:space="preserve">c) of the Act, the Regulator must not declare that a project is an eligible offsets project unless the Regulator </w:t>
      </w:r>
      <w:r w:rsidRPr="005F36BF">
        <w:rPr>
          <w:rFonts w:ascii="Times New Roman" w:hAnsi="Times New Roman"/>
          <w:sz w:val="24"/>
          <w:szCs w:val="24"/>
        </w:rPr>
        <w:t>is satisfied that the project meets these requirements.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Division 1 of Part 3 of the Determination specifies a number of requirements that must be met in order for a project to be an eligible offsets project. </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 xml:space="preserve">10 </w:t>
      </w:r>
      <w:r w:rsidRPr="005F36BF">
        <w:rPr>
          <w:rFonts w:ascii="Times New Roman" w:hAnsi="Times New Roman"/>
          <w:sz w:val="24"/>
          <w:szCs w:val="24"/>
          <w:u w:val="single"/>
        </w:rPr>
        <w:tab/>
        <w:t xml:space="preserve">General requirements </w:t>
      </w:r>
    </w:p>
    <w:p w:rsidR="00153B2F" w:rsidRPr="005F36BF" w:rsidRDefault="00D1214D" w:rsidP="00153B2F">
      <w:pPr>
        <w:spacing w:after="120" w:line="240" w:lineRule="auto"/>
        <w:rPr>
          <w:rFonts w:ascii="Times New Roman" w:hAnsi="Times New Roman"/>
          <w:sz w:val="24"/>
          <w:szCs w:val="24"/>
          <w:lang w:eastAsia="en-AU"/>
        </w:rPr>
      </w:pPr>
      <w:r w:rsidRPr="005F36BF">
        <w:rPr>
          <w:rFonts w:ascii="Times New Roman" w:hAnsi="Times New Roman"/>
          <w:sz w:val="24"/>
          <w:szCs w:val="24"/>
          <w:lang w:eastAsia="en-AU"/>
        </w:rPr>
        <w:t xml:space="preserve">Section 10 provides </w:t>
      </w:r>
      <w:r w:rsidRPr="005F36BF">
        <w:rPr>
          <w:rFonts w:ascii="Times New Roman" w:hAnsi="Times New Roman"/>
          <w:sz w:val="24"/>
          <w:szCs w:val="24"/>
          <w:lang w:eastAsia="en-AU"/>
        </w:rPr>
        <w:t xml:space="preserve">eligibility requirements for </w:t>
      </w:r>
      <w:proofErr w:type="gramStart"/>
      <w:r w:rsidRPr="005F36BF">
        <w:rPr>
          <w:rFonts w:ascii="Times New Roman" w:hAnsi="Times New Roman"/>
          <w:sz w:val="24"/>
          <w:szCs w:val="24"/>
          <w:lang w:eastAsia="en-AU"/>
        </w:rPr>
        <w:t>an oil</w:t>
      </w:r>
      <w:proofErr w:type="gramEnd"/>
      <w:r w:rsidRPr="005F36BF">
        <w:rPr>
          <w:rFonts w:ascii="Times New Roman" w:hAnsi="Times New Roman"/>
          <w:sz w:val="24"/>
          <w:szCs w:val="24"/>
          <w:lang w:eastAsia="en-AU"/>
        </w:rPr>
        <w:t xml:space="preserve"> or gas (RTF) fugitives project to be declared as an eligible offsets project. These requirements ensure that an offsets project is only undertaken in the context of oil and gas operations for which the methodology was de</w:t>
      </w:r>
      <w:r w:rsidRPr="005F36BF">
        <w:rPr>
          <w:rFonts w:ascii="Times New Roman" w:hAnsi="Times New Roman"/>
          <w:sz w:val="24"/>
          <w:szCs w:val="24"/>
          <w:lang w:eastAsia="en-AU"/>
        </w:rPr>
        <w:t xml:space="preserve">veloped. </w:t>
      </w:r>
    </w:p>
    <w:p w:rsidR="00153B2F" w:rsidRPr="005F36BF" w:rsidRDefault="00D1214D" w:rsidP="00153B2F">
      <w:pPr>
        <w:spacing w:after="120" w:line="240" w:lineRule="auto"/>
        <w:rPr>
          <w:rFonts w:ascii="Times New Roman" w:hAnsi="Times New Roman"/>
          <w:sz w:val="24"/>
          <w:szCs w:val="24"/>
          <w:lang w:eastAsia="en-AU"/>
        </w:rPr>
      </w:pPr>
      <w:r w:rsidRPr="005F36BF">
        <w:rPr>
          <w:rFonts w:ascii="Times New Roman" w:hAnsi="Times New Roman"/>
          <w:sz w:val="24"/>
          <w:szCs w:val="24"/>
          <w:lang w:eastAsia="en-AU"/>
        </w:rPr>
        <w:t xml:space="preserve">Specifically, subsection 10(1) gives effect to this, as it provides a requirement that a project must be undertaken at an oil or gas facility. </w:t>
      </w:r>
    </w:p>
    <w:p w:rsidR="00153B2F" w:rsidRPr="005F36BF" w:rsidRDefault="00D1214D" w:rsidP="00153B2F">
      <w:pPr>
        <w:spacing w:after="120" w:line="240" w:lineRule="auto"/>
        <w:rPr>
          <w:rFonts w:ascii="Times New Roman" w:hAnsi="Times New Roman"/>
          <w:sz w:val="24"/>
          <w:szCs w:val="24"/>
          <w:lang w:eastAsia="en-AU"/>
        </w:rPr>
      </w:pPr>
      <w:r w:rsidRPr="005F36BF">
        <w:rPr>
          <w:rFonts w:ascii="Times New Roman" w:hAnsi="Times New Roman"/>
          <w:sz w:val="24"/>
          <w:szCs w:val="24"/>
          <w:lang w:eastAsia="en-AU"/>
        </w:rPr>
        <w:t>Subsection 10(2) provides the requirements that:</w:t>
      </w:r>
    </w:p>
    <w:p w:rsidR="00153B2F" w:rsidRPr="005F36BF" w:rsidRDefault="00D1214D" w:rsidP="00153B2F">
      <w:pPr>
        <w:pStyle w:val="ListParagraph"/>
        <w:numPr>
          <w:ilvl w:val="0"/>
          <w:numId w:val="20"/>
        </w:numPr>
        <w:spacing w:after="120" w:line="240" w:lineRule="auto"/>
        <w:rPr>
          <w:rFonts w:ascii="Times New Roman" w:hAnsi="Times New Roman"/>
          <w:color w:val="000000"/>
          <w:sz w:val="24"/>
          <w:szCs w:val="24"/>
        </w:rPr>
      </w:pPr>
      <w:r w:rsidRPr="005F36BF">
        <w:rPr>
          <w:rFonts w:ascii="Times New Roman" w:hAnsi="Times New Roman"/>
          <w:sz w:val="24"/>
          <w:szCs w:val="24"/>
          <w:lang w:eastAsia="en-AU"/>
        </w:rPr>
        <w:t xml:space="preserve">an </w:t>
      </w:r>
      <w:r w:rsidRPr="005F36BF">
        <w:rPr>
          <w:rFonts w:ascii="Times New Roman" w:hAnsi="Times New Roman"/>
          <w:color w:val="000000"/>
          <w:sz w:val="24"/>
          <w:szCs w:val="24"/>
        </w:rPr>
        <w:t xml:space="preserve">offsets project must </w:t>
      </w:r>
      <w:r w:rsidRPr="005F36BF">
        <w:rPr>
          <w:rFonts w:ascii="Times New Roman" w:hAnsi="Times New Roman"/>
          <w:sz w:val="24"/>
          <w:szCs w:val="24"/>
        </w:rPr>
        <w:t xml:space="preserve">install and operate gas capture equipment to capture process venting emissions or fugitive leak emissions that would have otherwise have been vented or leaked to the atmosphere; and </w:t>
      </w:r>
    </w:p>
    <w:p w:rsidR="00153B2F" w:rsidRPr="005F36BF" w:rsidRDefault="00D1214D" w:rsidP="00153B2F">
      <w:pPr>
        <w:pStyle w:val="ListParagraph"/>
        <w:numPr>
          <w:ilvl w:val="0"/>
          <w:numId w:val="20"/>
        </w:numPr>
        <w:spacing w:after="120" w:line="240" w:lineRule="auto"/>
        <w:rPr>
          <w:rFonts w:ascii="Times New Roman" w:hAnsi="Times New Roman"/>
          <w:color w:val="000000"/>
          <w:sz w:val="24"/>
          <w:szCs w:val="24"/>
        </w:rPr>
      </w:pPr>
      <w:proofErr w:type="gramStart"/>
      <w:r w:rsidRPr="005F36BF">
        <w:rPr>
          <w:rFonts w:ascii="Times New Roman" w:hAnsi="Times New Roman"/>
          <w:sz w:val="24"/>
          <w:szCs w:val="24"/>
        </w:rPr>
        <w:t>these</w:t>
      </w:r>
      <w:proofErr w:type="gramEnd"/>
      <w:r w:rsidRPr="005F36BF">
        <w:rPr>
          <w:rFonts w:ascii="Times New Roman" w:hAnsi="Times New Roman"/>
          <w:sz w:val="24"/>
          <w:szCs w:val="24"/>
        </w:rPr>
        <w:t xml:space="preserve"> emissions, once re-routed, must be combusted at a new or existing f</w:t>
      </w:r>
      <w:r w:rsidRPr="005F36BF">
        <w:rPr>
          <w:rFonts w:ascii="Times New Roman" w:hAnsi="Times New Roman"/>
          <w:sz w:val="24"/>
          <w:szCs w:val="24"/>
        </w:rPr>
        <w:t>lare device.</w:t>
      </w:r>
      <w:r w:rsidRPr="005F36BF">
        <w:rPr>
          <w:rFonts w:ascii="Times New Roman" w:hAnsi="Times New Roman"/>
          <w:color w:val="000000"/>
          <w:sz w:val="24"/>
          <w:szCs w:val="24"/>
        </w:rPr>
        <w:t xml:space="preserve"> </w:t>
      </w:r>
    </w:p>
    <w:p w:rsidR="00153B2F" w:rsidRPr="005F36BF" w:rsidRDefault="00D1214D" w:rsidP="00153B2F">
      <w:pPr>
        <w:spacing w:after="120" w:line="240" w:lineRule="auto"/>
        <w:rPr>
          <w:rFonts w:ascii="Times New Roman" w:hAnsi="Times New Roman"/>
          <w:color w:val="000000"/>
          <w:sz w:val="24"/>
          <w:szCs w:val="24"/>
        </w:rPr>
      </w:pPr>
      <w:r w:rsidRPr="005F36BF">
        <w:rPr>
          <w:rFonts w:ascii="Times New Roman" w:hAnsi="Times New Roman"/>
          <w:color w:val="000000"/>
          <w:sz w:val="24"/>
          <w:szCs w:val="24"/>
        </w:rPr>
        <w:t>Subsection 10(3) provides that a project must not utilise emissions from a source if that source previously sent the emissions to a flare for combustion. This is to ensure that activities undertaken by the project are additional to what was h</w:t>
      </w:r>
      <w:r w:rsidRPr="005F36BF">
        <w:rPr>
          <w:rFonts w:ascii="Times New Roman" w:hAnsi="Times New Roman"/>
          <w:color w:val="000000"/>
          <w:sz w:val="24"/>
          <w:szCs w:val="24"/>
        </w:rPr>
        <w:t>appening prior to the project.</w:t>
      </w:r>
    </w:p>
    <w:p w:rsidR="00153B2F" w:rsidRPr="005F36BF" w:rsidRDefault="00D1214D" w:rsidP="00153B2F">
      <w:pPr>
        <w:spacing w:after="120" w:line="240" w:lineRule="auto"/>
        <w:rPr>
          <w:rFonts w:ascii="Times New Roman" w:hAnsi="Times New Roman"/>
          <w:sz w:val="24"/>
          <w:szCs w:val="24"/>
          <w:lang w:eastAsia="en-AU"/>
        </w:rPr>
      </w:pPr>
      <w:r w:rsidRPr="005F36BF">
        <w:rPr>
          <w:rFonts w:ascii="Times New Roman" w:hAnsi="Times New Roman"/>
          <w:color w:val="000000"/>
          <w:sz w:val="24"/>
          <w:szCs w:val="24"/>
        </w:rPr>
        <w:t xml:space="preserve">Subsection 10(4) excludes activities involving process venting equipment installed after the </w:t>
      </w:r>
      <w:r w:rsidRPr="005F36BF">
        <w:rPr>
          <w:rFonts w:ascii="Times New Roman" w:hAnsi="Times New Roman"/>
          <w:b/>
          <w:i/>
          <w:sz w:val="24"/>
          <w:szCs w:val="24"/>
        </w:rPr>
        <w:t>declaration day</w:t>
      </w:r>
      <w:r w:rsidRPr="005F36BF">
        <w:rPr>
          <w:rFonts w:ascii="Times New Roman" w:hAnsi="Times New Roman"/>
          <w:sz w:val="24"/>
          <w:szCs w:val="24"/>
        </w:rPr>
        <w:t xml:space="preserve"> of the project</w:t>
      </w:r>
      <w:r w:rsidRPr="005F36BF">
        <w:rPr>
          <w:rFonts w:ascii="Times New Roman" w:hAnsi="Times New Roman"/>
          <w:color w:val="000000"/>
          <w:sz w:val="24"/>
          <w:szCs w:val="24"/>
        </w:rPr>
        <w:t>, as these activities could not be considered additional.</w:t>
      </w:r>
    </w:p>
    <w:p w:rsidR="000379A0" w:rsidRPr="005F36BF" w:rsidRDefault="00D1214D" w:rsidP="000379A0">
      <w:pPr>
        <w:spacing w:after="120" w:line="240" w:lineRule="auto"/>
        <w:rPr>
          <w:rFonts w:ascii="Times New Roman" w:hAnsi="Times New Roman"/>
          <w:b/>
          <w:sz w:val="24"/>
          <w:szCs w:val="24"/>
        </w:rPr>
      </w:pPr>
    </w:p>
    <w:p w:rsidR="000379A0" w:rsidRPr="005F36BF" w:rsidRDefault="00D1214D" w:rsidP="000379A0">
      <w:pPr>
        <w:spacing w:after="120" w:line="240" w:lineRule="auto"/>
        <w:rPr>
          <w:rFonts w:ascii="Times New Roman" w:hAnsi="Times New Roman"/>
          <w:b/>
          <w:sz w:val="24"/>
          <w:szCs w:val="24"/>
        </w:rPr>
      </w:pPr>
      <w:r w:rsidRPr="005F36BF">
        <w:rPr>
          <w:rFonts w:ascii="Times New Roman" w:hAnsi="Times New Roman"/>
          <w:b/>
          <w:sz w:val="24"/>
          <w:szCs w:val="24"/>
        </w:rPr>
        <w:t xml:space="preserve">Division 2 </w:t>
      </w:r>
      <w:r w:rsidRPr="005F36BF">
        <w:rPr>
          <w:rFonts w:ascii="Times New Roman" w:hAnsi="Times New Roman"/>
          <w:b/>
          <w:sz w:val="24"/>
          <w:szCs w:val="24"/>
        </w:rPr>
        <w:tab/>
      </w:r>
      <w:r w:rsidRPr="005F36BF">
        <w:rPr>
          <w:rFonts w:ascii="Times New Roman" w:hAnsi="Times New Roman"/>
          <w:b/>
          <w:sz w:val="24"/>
          <w:szCs w:val="24"/>
        </w:rPr>
        <w:tab/>
      </w:r>
      <w:proofErr w:type="spellStart"/>
      <w:r w:rsidRPr="005F36BF">
        <w:rPr>
          <w:rFonts w:ascii="Times New Roman" w:hAnsi="Times New Roman"/>
          <w:b/>
          <w:sz w:val="24"/>
          <w:szCs w:val="24"/>
        </w:rPr>
        <w:t>Additionality</w:t>
      </w:r>
      <w:proofErr w:type="spellEnd"/>
      <w:r w:rsidRPr="005F36BF">
        <w:rPr>
          <w:rFonts w:ascii="Times New Roman" w:hAnsi="Times New Roman"/>
          <w:b/>
          <w:sz w:val="24"/>
          <w:szCs w:val="24"/>
        </w:rPr>
        <w:t xml:space="preserve"> Requirements</w:t>
      </w:r>
    </w:p>
    <w:p w:rsidR="000379A0" w:rsidRPr="005F36BF" w:rsidRDefault="00D1214D" w:rsidP="000379A0">
      <w:pPr>
        <w:spacing w:after="120" w:line="240" w:lineRule="auto"/>
        <w:rPr>
          <w:rFonts w:ascii="Times New Roman" w:hAnsi="Times New Roman"/>
          <w:sz w:val="24"/>
          <w:szCs w:val="24"/>
          <w:u w:val="single"/>
        </w:rPr>
      </w:pPr>
      <w:r w:rsidRPr="005F36BF">
        <w:rPr>
          <w:rFonts w:ascii="Times New Roman" w:hAnsi="Times New Roman"/>
          <w:sz w:val="24"/>
          <w:szCs w:val="24"/>
          <w:u w:val="single"/>
        </w:rPr>
        <w:t xml:space="preserve">11 </w:t>
      </w:r>
      <w:r w:rsidRPr="005F36BF">
        <w:rPr>
          <w:rFonts w:ascii="Times New Roman" w:hAnsi="Times New Roman"/>
          <w:sz w:val="24"/>
          <w:szCs w:val="24"/>
          <w:u w:val="single"/>
        </w:rPr>
        <w:tab/>
        <w:t>Requirement in lieu of newness requirement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Transitional provisions under the Act allowed prospective proponents who gave notice of their intentions before the date of Proclamation of that Act to have the newness of their projects assessed as at the time o</w:t>
      </w:r>
      <w:r w:rsidRPr="005F36BF">
        <w:rPr>
          <w:rFonts w:ascii="Times New Roman" w:hAnsi="Times New Roman"/>
          <w:sz w:val="24"/>
          <w:szCs w:val="24"/>
        </w:rPr>
        <w:t>f their notice, provided that they made the section 22 application before 1 July 2015.  The effect of this section is to extend this deadline to 1 July 2016 for this determination.</w:t>
      </w:r>
    </w:p>
    <w:p w:rsidR="00153B2F" w:rsidRPr="005F36BF" w:rsidRDefault="00D1214D" w:rsidP="00153B2F">
      <w:pPr>
        <w:spacing w:line="240" w:lineRule="auto"/>
        <w:rPr>
          <w:rFonts w:ascii="Times New Roman" w:hAnsi="Times New Roman"/>
          <w:sz w:val="24"/>
          <w:szCs w:val="24"/>
        </w:rPr>
      </w:pP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br w:type="page"/>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color w:val="000000"/>
          <w:sz w:val="24"/>
          <w:szCs w:val="24"/>
        </w:rPr>
        <w:lastRenderedPageBreak/>
        <w:t>P</w:t>
      </w:r>
      <w:r w:rsidRPr="005F36BF">
        <w:rPr>
          <w:rFonts w:ascii="Times New Roman" w:hAnsi="Times New Roman"/>
          <w:b/>
          <w:sz w:val="24"/>
          <w:szCs w:val="24"/>
        </w:rPr>
        <w:t>art 4</w:t>
      </w:r>
      <w:r w:rsidRPr="005F36BF">
        <w:rPr>
          <w:rFonts w:ascii="Times New Roman" w:hAnsi="Times New Roman"/>
          <w:b/>
          <w:sz w:val="24"/>
          <w:szCs w:val="24"/>
        </w:rPr>
        <w:tab/>
      </w:r>
      <w:r w:rsidRPr="005F36BF">
        <w:rPr>
          <w:rFonts w:ascii="Times New Roman" w:hAnsi="Times New Roman"/>
          <w:b/>
          <w:sz w:val="24"/>
          <w:szCs w:val="24"/>
        </w:rPr>
        <w:tab/>
        <w:t>Net abatement amount</w:t>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t xml:space="preserve">Division 1 </w:t>
      </w:r>
      <w:r w:rsidRPr="005F36BF">
        <w:rPr>
          <w:rFonts w:ascii="Times New Roman" w:hAnsi="Times New Roman"/>
          <w:b/>
          <w:sz w:val="24"/>
          <w:szCs w:val="24"/>
        </w:rPr>
        <w:tab/>
      </w:r>
      <w:r w:rsidRPr="005F36BF">
        <w:rPr>
          <w:rFonts w:ascii="Times New Roman" w:hAnsi="Times New Roman"/>
          <w:b/>
          <w:sz w:val="24"/>
          <w:szCs w:val="24"/>
        </w:rPr>
        <w:tab/>
        <w:t>Preliminary</w:t>
      </w:r>
    </w:p>
    <w:p w:rsidR="00153B2F" w:rsidRPr="005F36BF" w:rsidRDefault="00D1214D" w:rsidP="00153B2F">
      <w:pPr>
        <w:spacing w:after="120" w:line="240" w:lineRule="auto"/>
        <w:rPr>
          <w:rFonts w:ascii="Times New Roman" w:hAnsi="Times New Roman"/>
          <w:color w:val="000000"/>
          <w:sz w:val="24"/>
          <w:szCs w:val="24"/>
          <w:u w:val="single"/>
        </w:rPr>
      </w:pPr>
      <w:r w:rsidRPr="005F36BF">
        <w:rPr>
          <w:rFonts w:ascii="Times New Roman" w:hAnsi="Times New Roman"/>
          <w:color w:val="000000"/>
          <w:sz w:val="24"/>
          <w:szCs w:val="24"/>
          <w:u w:val="single"/>
        </w:rPr>
        <w:t xml:space="preserve">12 </w:t>
      </w:r>
      <w:r w:rsidRPr="005F36BF">
        <w:rPr>
          <w:rFonts w:ascii="Times New Roman" w:hAnsi="Times New Roman"/>
          <w:color w:val="000000"/>
          <w:sz w:val="24"/>
          <w:szCs w:val="24"/>
          <w:u w:val="single"/>
        </w:rPr>
        <w:tab/>
        <w:t xml:space="preserve">Operation of </w:t>
      </w:r>
      <w:r w:rsidRPr="005F36BF">
        <w:rPr>
          <w:rFonts w:ascii="Times New Roman" w:hAnsi="Times New Roman"/>
          <w:color w:val="000000"/>
          <w:sz w:val="24"/>
          <w:szCs w:val="24"/>
          <w:u w:val="single"/>
        </w:rPr>
        <w:t>this Part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Paragraph 106(1</w:t>
      </w:r>
      <w:proofErr w:type="gramStart"/>
      <w:r w:rsidRPr="005F36BF">
        <w:rPr>
          <w:rFonts w:ascii="Times New Roman" w:hAnsi="Times New Roman"/>
          <w:sz w:val="24"/>
          <w:szCs w:val="24"/>
        </w:rPr>
        <w:t>)(</w:t>
      </w:r>
      <w:proofErr w:type="gramEnd"/>
      <w:r w:rsidRPr="005F36BF">
        <w:rPr>
          <w:rFonts w:ascii="Times New Roman" w:hAnsi="Times New Roman"/>
          <w:sz w:val="24"/>
          <w:szCs w:val="24"/>
        </w:rPr>
        <w:t>c) of the Act provides that a methodology determination must specify how to calculate the CO</w:t>
      </w:r>
      <w:r w:rsidRPr="005F36BF">
        <w:rPr>
          <w:rFonts w:ascii="Times New Roman" w:hAnsi="Times New Roman"/>
          <w:sz w:val="24"/>
          <w:szCs w:val="24"/>
          <w:vertAlign w:val="subscript"/>
        </w:rPr>
        <w:t>2</w:t>
      </w:r>
      <w:r w:rsidRPr="005F36BF">
        <w:rPr>
          <w:rFonts w:ascii="Times New Roman" w:hAnsi="Times New Roman"/>
          <w:sz w:val="24"/>
          <w:szCs w:val="24"/>
        </w:rPr>
        <w:t xml:space="preserve">-e net abatement amount for the project in relation to a reporting period. </w:t>
      </w:r>
    </w:p>
    <w:p w:rsidR="00153B2F" w:rsidRPr="005F36BF" w:rsidRDefault="00D1214D" w:rsidP="00153B2F">
      <w:pPr>
        <w:spacing w:after="120" w:line="240" w:lineRule="auto"/>
        <w:rPr>
          <w:rFonts w:ascii="Times New Roman" w:hAnsi="Times New Roman"/>
          <w:sz w:val="24"/>
          <w:szCs w:val="24"/>
          <w:u w:val="single"/>
        </w:rPr>
      </w:pP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t xml:space="preserve">Division 2 </w:t>
      </w:r>
      <w:r w:rsidRPr="005F36BF">
        <w:rPr>
          <w:rFonts w:ascii="Times New Roman" w:hAnsi="Times New Roman"/>
          <w:b/>
          <w:sz w:val="24"/>
          <w:szCs w:val="24"/>
        </w:rPr>
        <w:tab/>
      </w:r>
      <w:r w:rsidRPr="005F36BF">
        <w:rPr>
          <w:rFonts w:ascii="Times New Roman" w:hAnsi="Times New Roman"/>
          <w:b/>
          <w:sz w:val="24"/>
          <w:szCs w:val="24"/>
        </w:rPr>
        <w:tab/>
        <w:t>Method for calculating net abatement amount</w:t>
      </w: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13</w:t>
      </w:r>
      <w:r w:rsidRPr="005F36BF">
        <w:rPr>
          <w:rFonts w:ascii="Times New Roman" w:eastAsia="Times New Roman" w:hAnsi="Times New Roman"/>
          <w:sz w:val="24"/>
          <w:szCs w:val="24"/>
          <w:u w:val="single"/>
          <w:lang w:eastAsia="en-AU"/>
        </w:rPr>
        <w:tab/>
        <w:t>Summary</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13 </w:t>
      </w:r>
      <w:r w:rsidRPr="005F36BF">
        <w:rPr>
          <w:rFonts w:ascii="Times New Roman" w:hAnsi="Times New Roman"/>
          <w:sz w:val="24"/>
          <w:szCs w:val="24"/>
        </w:rPr>
        <w:t>provides an overview of the way the CO</w:t>
      </w:r>
      <w:r w:rsidRPr="005F36BF">
        <w:rPr>
          <w:rFonts w:ascii="Times New Roman" w:hAnsi="Times New Roman"/>
          <w:sz w:val="24"/>
          <w:szCs w:val="24"/>
          <w:vertAlign w:val="subscript"/>
        </w:rPr>
        <w:t>2</w:t>
      </w:r>
      <w:r w:rsidRPr="005F36BF">
        <w:rPr>
          <w:rFonts w:ascii="Times New Roman" w:hAnsi="Times New Roman"/>
          <w:sz w:val="24"/>
          <w:szCs w:val="24"/>
        </w:rPr>
        <w:t>-e net abatement amount is calculated and notes factors that are included in the calculation. The CO</w:t>
      </w:r>
      <w:r w:rsidRPr="005F36BF">
        <w:rPr>
          <w:rFonts w:ascii="Times New Roman" w:hAnsi="Times New Roman"/>
          <w:sz w:val="24"/>
          <w:szCs w:val="24"/>
          <w:vertAlign w:val="subscript"/>
        </w:rPr>
        <w:t>2</w:t>
      </w:r>
      <w:r w:rsidRPr="005F36BF">
        <w:rPr>
          <w:rFonts w:ascii="Times New Roman" w:hAnsi="Times New Roman"/>
          <w:sz w:val="24"/>
          <w:szCs w:val="24"/>
        </w:rPr>
        <w:t>-e net abatement amount for a project for a reporting period is the amount of emissions that wou</w:t>
      </w:r>
      <w:r w:rsidRPr="005F36BF">
        <w:rPr>
          <w:rFonts w:ascii="Times New Roman" w:hAnsi="Times New Roman"/>
          <w:sz w:val="24"/>
          <w:szCs w:val="24"/>
        </w:rPr>
        <w:t xml:space="preserve">ld have been vented had the project not taken place, minus the amount of emissions resulting from flaring the re-routed gas, with the result adjusted for both measurement error and ancillary emissions. </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14</w:t>
      </w:r>
      <w:r w:rsidRPr="005F36BF">
        <w:rPr>
          <w:rFonts w:ascii="Times New Roman" w:eastAsia="Times New Roman" w:hAnsi="Times New Roman"/>
          <w:sz w:val="24"/>
          <w:szCs w:val="24"/>
          <w:u w:val="single"/>
          <w:lang w:eastAsia="en-AU"/>
        </w:rPr>
        <w:tab/>
        <w:t>Net abatement amount</w:t>
      </w:r>
    </w:p>
    <w:p w:rsidR="00153B2F" w:rsidRPr="005F36BF" w:rsidRDefault="00D1214D" w:rsidP="00153B2F">
      <w:pPr>
        <w:keepNext/>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This section estimates the net abatement amount achieved by implementing an RTF project over the reporting period. </w:t>
      </w:r>
      <w:r w:rsidRPr="005F36BF">
        <w:rPr>
          <w:rFonts w:ascii="Times New Roman" w:eastAsia="Times New Roman" w:hAnsi="Times New Roman"/>
          <w:b/>
          <w:i/>
          <w:sz w:val="24"/>
          <w:szCs w:val="24"/>
          <w:lang w:eastAsia="en-AU"/>
        </w:rPr>
        <w:t>Equation 1</w:t>
      </w:r>
      <w:r w:rsidRPr="005F36BF">
        <w:rPr>
          <w:rFonts w:ascii="Times New Roman" w:eastAsia="Times New Roman" w:hAnsi="Times New Roman"/>
          <w:sz w:val="24"/>
          <w:szCs w:val="24"/>
          <w:lang w:eastAsia="en-AU"/>
        </w:rPr>
        <w:t xml:space="preserve"> calculates the abatement from the project by summing all abatement generated at each flare device included in the project. The aba</w:t>
      </w:r>
      <w:r w:rsidRPr="005F36BF">
        <w:rPr>
          <w:rFonts w:ascii="Times New Roman" w:eastAsia="Times New Roman" w:hAnsi="Times New Roman"/>
          <w:sz w:val="24"/>
          <w:szCs w:val="24"/>
          <w:lang w:eastAsia="en-AU"/>
        </w:rPr>
        <w:t>tement at each flare device is calculated as the difference between the emissions that would have resulted from venting and the emissions that resulted from flaring. This number is adjusted by the accuracy of the measurement equipment represented by the re</w:t>
      </w:r>
      <w:r w:rsidRPr="005F36BF">
        <w:rPr>
          <w:rFonts w:ascii="Times New Roman" w:eastAsia="Times New Roman" w:hAnsi="Times New Roman"/>
          <w:sz w:val="24"/>
          <w:szCs w:val="24"/>
          <w:lang w:eastAsia="en-AU"/>
        </w:rPr>
        <w:t xml:space="preserve">levant accuracy factor and sampling error discount factor. The results for each flare device are summed together and the ancillary emissions subtracted, forming the net abatement amount for the project.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This section also excludes any carbon abatement that</w:t>
      </w:r>
      <w:r w:rsidRPr="005F36BF">
        <w:rPr>
          <w:rFonts w:ascii="Times New Roman" w:hAnsi="Times New Roman"/>
          <w:sz w:val="24"/>
          <w:szCs w:val="24"/>
        </w:rPr>
        <w:t xml:space="preserve"> is not eligible carbon abatement for the purposes of the Act.</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keepNext/>
        <w:keepLines/>
        <w:spacing w:after="120" w:line="240" w:lineRule="auto"/>
        <w:rPr>
          <w:rFonts w:ascii="Times New Roman" w:hAnsi="Times New Roman"/>
          <w:b/>
          <w:sz w:val="24"/>
          <w:szCs w:val="24"/>
        </w:rPr>
      </w:pPr>
      <w:r w:rsidRPr="005F36BF">
        <w:rPr>
          <w:rFonts w:ascii="Times New Roman" w:hAnsi="Times New Roman"/>
          <w:b/>
          <w:color w:val="000000"/>
          <w:sz w:val="24"/>
          <w:szCs w:val="24"/>
        </w:rPr>
        <w:t xml:space="preserve">Division 3 </w:t>
      </w:r>
      <w:r w:rsidRPr="005F36BF">
        <w:rPr>
          <w:rFonts w:ascii="Times New Roman" w:hAnsi="Times New Roman"/>
          <w:b/>
          <w:color w:val="000000"/>
          <w:sz w:val="24"/>
          <w:szCs w:val="24"/>
        </w:rPr>
        <w:tab/>
      </w:r>
      <w:r w:rsidRPr="005F36BF">
        <w:rPr>
          <w:rFonts w:ascii="Times New Roman" w:hAnsi="Times New Roman"/>
          <w:b/>
          <w:color w:val="000000"/>
          <w:sz w:val="24"/>
          <w:szCs w:val="24"/>
        </w:rPr>
        <w:tab/>
        <w:t xml:space="preserve">Method for calculating </w:t>
      </w:r>
      <w:r w:rsidRPr="005F36BF">
        <w:rPr>
          <w:rFonts w:ascii="Times New Roman" w:hAnsi="Times New Roman"/>
          <w:b/>
          <w:sz w:val="24"/>
          <w:szCs w:val="24"/>
        </w:rPr>
        <w:t>emissions</w:t>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t>Subdivision A – Calculation of emissions that would have occurred if project not undertaken</w:t>
      </w: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15</w:t>
      </w:r>
      <w:r w:rsidRPr="005F36BF">
        <w:rPr>
          <w:rFonts w:ascii="Times New Roman" w:eastAsia="Times New Roman" w:hAnsi="Times New Roman"/>
          <w:sz w:val="24"/>
          <w:szCs w:val="24"/>
          <w:u w:val="single"/>
          <w:lang w:eastAsia="en-AU"/>
        </w:rPr>
        <w:tab/>
        <w:t>Emissions that would have occurred if project not u</w:t>
      </w:r>
      <w:r w:rsidRPr="005F36BF">
        <w:rPr>
          <w:rFonts w:ascii="Times New Roman" w:eastAsia="Times New Roman" w:hAnsi="Times New Roman"/>
          <w:sz w:val="24"/>
          <w:szCs w:val="24"/>
          <w:u w:val="single"/>
          <w:lang w:eastAsia="en-AU"/>
        </w:rPr>
        <w:t>ndertaken</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The baseline emissions under an RFT project are an estimate of the counterfactual situation had the project not occurred. </w:t>
      </w:r>
      <w:r w:rsidRPr="005F36BF">
        <w:rPr>
          <w:rFonts w:ascii="Times New Roman" w:eastAsia="Times New Roman" w:hAnsi="Times New Roman"/>
          <w:b/>
          <w:i/>
          <w:sz w:val="24"/>
          <w:szCs w:val="24"/>
          <w:lang w:eastAsia="en-AU"/>
        </w:rPr>
        <w:t>Equation 2</w:t>
      </w:r>
      <w:r w:rsidRPr="005F36BF">
        <w:rPr>
          <w:rFonts w:ascii="Times New Roman" w:eastAsia="Times New Roman" w:hAnsi="Times New Roman"/>
          <w:b/>
          <w:sz w:val="24"/>
          <w:szCs w:val="24"/>
          <w:lang w:eastAsia="en-AU"/>
        </w:rPr>
        <w:t xml:space="preserve"> </w:t>
      </w:r>
      <w:r w:rsidRPr="005F36BF">
        <w:rPr>
          <w:rFonts w:ascii="Times New Roman" w:eastAsia="Times New Roman" w:hAnsi="Times New Roman"/>
          <w:sz w:val="24"/>
          <w:szCs w:val="24"/>
          <w:lang w:eastAsia="en-AU"/>
        </w:rPr>
        <w:t>calculates the counterfactual emissions scenario by multiplying the quantity of re-routed gas to the flare device</w:t>
      </w:r>
      <w:r w:rsidRPr="005F36BF">
        <w:rPr>
          <w:rFonts w:ascii="Times New Roman" w:eastAsia="Times New Roman" w:hAnsi="Times New Roman"/>
          <w:sz w:val="24"/>
          <w:szCs w:val="24"/>
          <w:lang w:eastAsia="en-AU"/>
        </w:rPr>
        <w:t xml:space="preserve"> by an emissions factor for the gas stream. This emissions factor is calculated by multiplying the global warming potential of each </w:t>
      </w:r>
      <w:r w:rsidRPr="005F36BF">
        <w:rPr>
          <w:rFonts w:ascii="Times New Roman" w:eastAsia="Times New Roman" w:hAnsi="Times New Roman"/>
          <w:b/>
          <w:i/>
          <w:sz w:val="24"/>
          <w:szCs w:val="24"/>
          <w:lang w:eastAsia="en-AU"/>
        </w:rPr>
        <w:t>component</w:t>
      </w:r>
      <w:r w:rsidRPr="005F36BF">
        <w:rPr>
          <w:rFonts w:ascii="Times New Roman" w:eastAsia="Times New Roman" w:hAnsi="Times New Roman"/>
          <w:sz w:val="24"/>
          <w:szCs w:val="24"/>
          <w:lang w:eastAsia="en-AU"/>
        </w:rPr>
        <w:t xml:space="preserve"> of gas by the concentration of that component in the gas stream. This is then summed for each component in the gas</w:t>
      </w:r>
      <w:r w:rsidRPr="005F36BF">
        <w:rPr>
          <w:rFonts w:ascii="Times New Roman" w:eastAsia="Times New Roman" w:hAnsi="Times New Roman"/>
          <w:sz w:val="24"/>
          <w:szCs w:val="24"/>
          <w:lang w:eastAsia="en-AU"/>
        </w:rPr>
        <w:t xml:space="preserve"> stream.</w:t>
      </w:r>
    </w:p>
    <w:p w:rsidR="00153B2F" w:rsidRPr="005F36BF" w:rsidRDefault="00D1214D" w:rsidP="00153B2F">
      <w:pPr>
        <w:spacing w:after="120" w:line="240" w:lineRule="auto"/>
        <w:rPr>
          <w:rFonts w:ascii="Times New Roman" w:hAnsi="Times New Roman"/>
          <w:sz w:val="24"/>
          <w:szCs w:val="24"/>
        </w:rPr>
      </w:pPr>
      <w:r w:rsidRPr="005F36BF">
        <w:rPr>
          <w:rFonts w:ascii="Times New Roman" w:eastAsia="Times New Roman" w:hAnsi="Times New Roman"/>
          <w:sz w:val="24"/>
          <w:szCs w:val="24"/>
          <w:lang w:eastAsia="en-AU"/>
        </w:rPr>
        <w:t xml:space="preserve">Equation 2 is based on the fugitive estimation techniques in the API compendium as referred to in section 3.84 of the </w:t>
      </w:r>
      <w:r w:rsidRPr="005F36BF">
        <w:rPr>
          <w:rFonts w:ascii="Times New Roman" w:eastAsia="Times New Roman" w:hAnsi="Times New Roman"/>
          <w:i/>
          <w:sz w:val="24"/>
          <w:szCs w:val="24"/>
          <w:lang w:eastAsia="en-AU"/>
        </w:rPr>
        <w:t xml:space="preserve">National Greenhouse and Energy Reporting (Measurement) Determination 2008 </w:t>
      </w:r>
      <w:r w:rsidRPr="005F36BF">
        <w:rPr>
          <w:rFonts w:ascii="Times New Roman" w:eastAsia="Times New Roman" w:hAnsi="Times New Roman"/>
          <w:sz w:val="24"/>
          <w:szCs w:val="24"/>
          <w:lang w:eastAsia="en-AU"/>
        </w:rPr>
        <w:t xml:space="preserve">(the </w:t>
      </w:r>
      <w:r w:rsidRPr="005F36BF">
        <w:rPr>
          <w:rFonts w:ascii="Times New Roman" w:eastAsia="Times New Roman" w:hAnsi="Times New Roman"/>
          <w:b/>
          <w:i/>
          <w:sz w:val="24"/>
          <w:szCs w:val="24"/>
          <w:lang w:eastAsia="en-AU"/>
        </w:rPr>
        <w:t>NGER (Measurement) Determination)</w:t>
      </w:r>
      <w:r w:rsidRPr="005F36BF">
        <w:rPr>
          <w:rFonts w:ascii="Times New Roman" w:eastAsia="Times New Roman" w:hAnsi="Times New Roman"/>
          <w:sz w:val="24"/>
          <w:szCs w:val="24"/>
          <w:lang w:eastAsia="en-AU"/>
        </w:rPr>
        <w:t>.</w:t>
      </w:r>
    </w:p>
    <w:p w:rsidR="00153B2F" w:rsidRPr="005F36BF" w:rsidRDefault="00D1214D" w:rsidP="00153B2F">
      <w:pPr>
        <w:spacing w:after="120" w:line="240" w:lineRule="auto"/>
        <w:rPr>
          <w:rFonts w:ascii="Times New Roman" w:hAnsi="Times New Roman"/>
          <w:b/>
          <w:color w:val="000000"/>
          <w:sz w:val="24"/>
          <w:szCs w:val="24"/>
        </w:rPr>
      </w:pPr>
    </w:p>
    <w:p w:rsidR="00153B2F" w:rsidRPr="005F36BF" w:rsidRDefault="00D1214D" w:rsidP="00153B2F">
      <w:pPr>
        <w:rPr>
          <w:rFonts w:ascii="Times New Roman" w:hAnsi="Times New Roman"/>
          <w:b/>
          <w:sz w:val="24"/>
          <w:szCs w:val="24"/>
        </w:rPr>
      </w:pPr>
      <w:r w:rsidRPr="005F36BF">
        <w:rPr>
          <w:rFonts w:ascii="Times New Roman" w:hAnsi="Times New Roman"/>
          <w:b/>
          <w:sz w:val="24"/>
          <w:szCs w:val="24"/>
        </w:rPr>
        <w:br w:type="page"/>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lastRenderedPageBreak/>
        <w:t xml:space="preserve">Subdivision </w:t>
      </w:r>
      <w:r w:rsidRPr="005F36BF">
        <w:rPr>
          <w:rFonts w:ascii="Times New Roman" w:hAnsi="Times New Roman"/>
          <w:b/>
          <w:sz w:val="24"/>
          <w:szCs w:val="24"/>
        </w:rPr>
        <w:t>B – Calculation of emissions from flaring</w:t>
      </w: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16</w:t>
      </w:r>
      <w:r w:rsidRPr="005F36BF">
        <w:rPr>
          <w:rFonts w:ascii="Times New Roman" w:eastAsia="Times New Roman" w:hAnsi="Times New Roman"/>
          <w:sz w:val="24"/>
          <w:szCs w:val="24"/>
          <w:u w:val="single"/>
          <w:lang w:eastAsia="en-AU"/>
        </w:rPr>
        <w:tab/>
        <w:t>Emissions from flaring</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The estimation of emissions from flaring in the reporting period is calculated using </w:t>
      </w:r>
      <w:r w:rsidRPr="005F36BF">
        <w:rPr>
          <w:rFonts w:ascii="Times New Roman" w:eastAsia="Times New Roman" w:hAnsi="Times New Roman"/>
          <w:b/>
          <w:i/>
          <w:sz w:val="24"/>
          <w:szCs w:val="24"/>
          <w:lang w:eastAsia="en-AU"/>
        </w:rPr>
        <w:t>equation</w:t>
      </w:r>
      <w:r w:rsidRPr="005F36BF">
        <w:rPr>
          <w:i/>
        </w:rPr>
        <w:t> </w:t>
      </w:r>
      <w:r w:rsidRPr="005F36BF">
        <w:rPr>
          <w:rFonts w:ascii="Times New Roman" w:eastAsia="Times New Roman" w:hAnsi="Times New Roman"/>
          <w:b/>
          <w:i/>
          <w:sz w:val="24"/>
          <w:szCs w:val="24"/>
          <w:lang w:eastAsia="en-AU"/>
        </w:rPr>
        <w:t>3</w:t>
      </w:r>
      <w:r w:rsidRPr="005F36BF">
        <w:rPr>
          <w:rFonts w:ascii="Times New Roman" w:eastAsia="Times New Roman" w:hAnsi="Times New Roman"/>
          <w:sz w:val="24"/>
          <w:szCs w:val="24"/>
          <w:lang w:eastAsia="en-AU"/>
        </w:rPr>
        <w:t>. The calculation involves multiplying the quantity of re-routed gas amount at each flare dev</w:t>
      </w:r>
      <w:r w:rsidRPr="005F36BF">
        <w:rPr>
          <w:rFonts w:ascii="Times New Roman" w:eastAsia="Times New Roman" w:hAnsi="Times New Roman"/>
          <w:sz w:val="24"/>
          <w:szCs w:val="24"/>
          <w:lang w:eastAsia="en-AU"/>
        </w:rPr>
        <w:t xml:space="preserve">ice with the sum of the adjusted emissions factor for flaring and the </w:t>
      </w:r>
      <w:r w:rsidRPr="005F36BF">
        <w:rPr>
          <w:rFonts w:ascii="Times New Roman" w:eastAsia="Times New Roman" w:hAnsi="Times New Roman"/>
          <w:b/>
          <w:i/>
          <w:sz w:val="24"/>
          <w:szCs w:val="24"/>
          <w:lang w:eastAsia="en-AU"/>
        </w:rPr>
        <w:t>mass fraction</w:t>
      </w:r>
      <w:r w:rsidRPr="005F36BF">
        <w:rPr>
          <w:rFonts w:ascii="Times New Roman" w:eastAsia="Times New Roman" w:hAnsi="Times New Roman"/>
          <w:sz w:val="24"/>
          <w:szCs w:val="24"/>
          <w:lang w:eastAsia="en-AU"/>
        </w:rPr>
        <w:t xml:space="preserve"> of carbon dioxide in the gas stream.</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The adjusted emissions factor represents the emissions generated from combustion of a species of hydrocarbon in the gas stream. This factor is calculated using </w:t>
      </w:r>
      <w:r w:rsidRPr="005F36BF">
        <w:rPr>
          <w:rFonts w:ascii="Times New Roman" w:eastAsia="Times New Roman" w:hAnsi="Times New Roman"/>
          <w:b/>
          <w:i/>
          <w:sz w:val="24"/>
          <w:szCs w:val="24"/>
          <w:lang w:eastAsia="en-AU"/>
        </w:rPr>
        <w:t>equation 4</w:t>
      </w:r>
      <w:r w:rsidRPr="005F36BF">
        <w:rPr>
          <w:rFonts w:ascii="Times New Roman" w:eastAsia="Times New Roman" w:hAnsi="Times New Roman"/>
          <w:sz w:val="24"/>
          <w:szCs w:val="24"/>
          <w:lang w:eastAsia="en-AU"/>
        </w:rPr>
        <w:t xml:space="preserve"> in section </w:t>
      </w:r>
      <w:r w:rsidRPr="005F36BF">
        <w:rPr>
          <w:rFonts w:ascii="Times New Roman" w:eastAsia="Times New Roman" w:hAnsi="Times New Roman"/>
          <w:sz w:val="24"/>
          <w:szCs w:val="24"/>
          <w:lang w:eastAsia="en-AU"/>
        </w:rPr>
        <w:t xml:space="preserve">17 </w:t>
      </w:r>
      <w:r w:rsidRPr="005F36BF">
        <w:rPr>
          <w:rFonts w:ascii="Times New Roman" w:eastAsia="Times New Roman" w:hAnsi="Times New Roman"/>
          <w:sz w:val="24"/>
          <w:szCs w:val="24"/>
          <w:lang w:eastAsia="en-AU"/>
        </w:rPr>
        <w:t xml:space="preserve">of the Determination.  </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The oxidation correction factor adjusts for the</w:t>
      </w:r>
      <w:r w:rsidRPr="005F36BF">
        <w:rPr>
          <w:rFonts w:ascii="Times New Roman" w:eastAsia="Times New Roman" w:hAnsi="Times New Roman"/>
          <w:sz w:val="24"/>
          <w:szCs w:val="24"/>
          <w:lang w:eastAsia="en-AU"/>
        </w:rPr>
        <w:t xml:space="preserve"> difference in the oxidation factor that occurs at a flare and with regular fuel gas. This ensures the flaring oxidation factor is representative of oxidation that occurs at a flare.</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The mass fraction of carbon dioxide in the gas stream is added into this </w:t>
      </w:r>
      <w:r w:rsidRPr="005F36BF">
        <w:rPr>
          <w:rFonts w:ascii="Times New Roman" w:eastAsia="Times New Roman" w:hAnsi="Times New Roman"/>
          <w:sz w:val="24"/>
          <w:szCs w:val="24"/>
          <w:lang w:eastAsia="en-AU"/>
        </w:rPr>
        <w:t>equation because carbon dioxide is not combustible and as such passes through the flare unchanged. The mass fraction of carbon dioxide is added to the emissions factor because this term will subsequently multiply the total gas quantity. This action correct</w:t>
      </w:r>
      <w:r w:rsidRPr="005F36BF">
        <w:rPr>
          <w:rFonts w:ascii="Times New Roman" w:eastAsia="Times New Roman" w:hAnsi="Times New Roman"/>
          <w:sz w:val="24"/>
          <w:szCs w:val="24"/>
          <w:lang w:eastAsia="en-AU"/>
        </w:rPr>
        <w:t>ly converts tonnes of gas quantity measured before combustion to tonnes of carbon dioxide equivalent after combustion.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The final two bracketed terms account for methane and nitrous oxide that pass </w:t>
      </w:r>
      <w:proofErr w:type="spellStart"/>
      <w:r w:rsidRPr="005F36BF">
        <w:rPr>
          <w:rFonts w:ascii="Times New Roman" w:hAnsi="Times New Roman"/>
          <w:sz w:val="24"/>
          <w:szCs w:val="24"/>
        </w:rPr>
        <w:t>uncombusted</w:t>
      </w:r>
      <w:proofErr w:type="spellEnd"/>
      <w:r w:rsidRPr="005F36BF">
        <w:rPr>
          <w:rFonts w:ascii="Times New Roman" w:hAnsi="Times New Roman"/>
          <w:sz w:val="24"/>
          <w:szCs w:val="24"/>
        </w:rPr>
        <w:t xml:space="preserve"> through the flare device. This is calculated by</w:t>
      </w:r>
      <w:r w:rsidRPr="005F36BF">
        <w:rPr>
          <w:rFonts w:ascii="Times New Roman" w:hAnsi="Times New Roman"/>
          <w:sz w:val="24"/>
          <w:szCs w:val="24"/>
        </w:rPr>
        <w:t xml:space="preserve"> multiplying the emission factors for methane and nitrous oxide by the fraction of the gas that is not carbon dioxide. The factors are taken directly from the table in subsection 3.85(2) of the NGER (Measurement) Determination.</w:t>
      </w:r>
    </w:p>
    <w:p w:rsidR="00153B2F" w:rsidRPr="005F36BF" w:rsidRDefault="00D1214D" w:rsidP="00153B2F">
      <w:pPr>
        <w:spacing w:after="120" w:line="240" w:lineRule="auto"/>
        <w:rPr>
          <w:rFonts w:ascii="Times New Roman" w:eastAsia="Times New Roman" w:hAnsi="Times New Roman"/>
          <w:sz w:val="24"/>
          <w:szCs w:val="24"/>
          <w:u w:val="single"/>
          <w:lang w:eastAsia="en-AU"/>
        </w:rPr>
      </w:pP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17</w:t>
      </w:r>
      <w:r w:rsidRPr="005F36BF">
        <w:rPr>
          <w:rFonts w:ascii="Times New Roman" w:eastAsia="Times New Roman" w:hAnsi="Times New Roman"/>
          <w:sz w:val="24"/>
          <w:szCs w:val="24"/>
          <w:u w:val="single"/>
          <w:lang w:eastAsia="en-AU"/>
        </w:rPr>
        <w:tab/>
        <w:t>Emissions factor for a r</w:t>
      </w:r>
      <w:r w:rsidRPr="005F36BF">
        <w:rPr>
          <w:rFonts w:ascii="Times New Roman" w:eastAsia="Times New Roman" w:hAnsi="Times New Roman"/>
          <w:sz w:val="24"/>
          <w:szCs w:val="24"/>
          <w:u w:val="single"/>
          <w:lang w:eastAsia="en-AU"/>
        </w:rPr>
        <w:t>e-routed gas quantity</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hAnsi="Times New Roman"/>
          <w:sz w:val="24"/>
          <w:szCs w:val="24"/>
        </w:rPr>
        <w:t xml:space="preserve">Section </w:t>
      </w:r>
      <w:r w:rsidRPr="005F36BF">
        <w:rPr>
          <w:rFonts w:ascii="Times New Roman" w:hAnsi="Times New Roman"/>
          <w:sz w:val="24"/>
          <w:szCs w:val="24"/>
        </w:rPr>
        <w:t xml:space="preserve">17 </w:t>
      </w:r>
      <w:r w:rsidRPr="005F36BF">
        <w:rPr>
          <w:rFonts w:ascii="Times New Roman" w:hAnsi="Times New Roman"/>
          <w:sz w:val="24"/>
          <w:szCs w:val="24"/>
        </w:rPr>
        <w:t>provides the equation to calculate an emissions factor for a gas quantity. Equation 4 calculates the emissions factor as the combustion of each species of hydrocarbon present in the gas stream, summed together to produce an</w:t>
      </w:r>
      <w:r w:rsidRPr="005F36BF">
        <w:rPr>
          <w:rFonts w:ascii="Times New Roman" w:hAnsi="Times New Roman"/>
          <w:sz w:val="24"/>
          <w:szCs w:val="24"/>
        </w:rPr>
        <w:t xml:space="preserve"> emissions factor for all carbon dioxide emitted from the flare device as a result of combustion. The term performs this by assuming that each carbon atom present in the hydrocarbon forms a carbon dioxide molecule (subject to an oxidation factor) and adjus</w:t>
      </w:r>
      <w:r w:rsidRPr="005F36BF">
        <w:rPr>
          <w:rFonts w:ascii="Times New Roman" w:hAnsi="Times New Roman"/>
          <w:sz w:val="24"/>
          <w:szCs w:val="24"/>
        </w:rPr>
        <w:t>ts for the difference in molecular weight to ensure the correct mass of carbon dioxide is reflected.</w:t>
      </w:r>
    </w:p>
    <w:p w:rsidR="00153B2F" w:rsidRPr="005F36BF" w:rsidRDefault="00D1214D" w:rsidP="00153B2F">
      <w:pPr>
        <w:spacing w:after="120" w:line="240" w:lineRule="auto"/>
        <w:rPr>
          <w:rFonts w:ascii="Times New Roman" w:hAnsi="Times New Roman"/>
          <w:sz w:val="24"/>
          <w:szCs w:val="24"/>
        </w:rPr>
      </w:pPr>
      <w:r w:rsidRPr="005F36BF">
        <w:rPr>
          <w:rFonts w:ascii="Times New Roman" w:eastAsia="Times New Roman" w:hAnsi="Times New Roman"/>
          <w:sz w:val="24"/>
          <w:szCs w:val="24"/>
          <w:lang w:eastAsia="en-AU"/>
        </w:rPr>
        <w:t xml:space="preserve">This approach closely reflects the Method 2 approach for gas flared from natural gas production and processing in the NGER (Measurement) Determination. It </w:t>
      </w:r>
      <w:r w:rsidRPr="005F36BF">
        <w:rPr>
          <w:rFonts w:ascii="Times New Roman" w:eastAsia="Times New Roman" w:hAnsi="Times New Roman"/>
          <w:sz w:val="24"/>
          <w:szCs w:val="24"/>
          <w:lang w:eastAsia="en-AU"/>
        </w:rPr>
        <w:t>differs in one key respect, in that any carbon dioxide already present in the gas quantity is not included in this equation. This is because it is calculated separately and dealt with in Equations 3 and 5.</w:t>
      </w:r>
    </w:p>
    <w:p w:rsidR="00153B2F" w:rsidRPr="005F36BF" w:rsidRDefault="00D1214D" w:rsidP="00153B2F">
      <w:pPr>
        <w:spacing w:after="120" w:line="240" w:lineRule="auto"/>
        <w:rPr>
          <w:rFonts w:ascii="Times New Roman" w:hAnsi="Times New Roman"/>
          <w:b/>
          <w:color w:val="000000"/>
          <w:sz w:val="24"/>
          <w:szCs w:val="24"/>
        </w:rPr>
      </w:pPr>
    </w:p>
    <w:p w:rsidR="00153B2F" w:rsidRPr="005F36BF" w:rsidRDefault="00D1214D" w:rsidP="00153B2F">
      <w:pPr>
        <w:spacing w:after="120" w:line="240" w:lineRule="auto"/>
        <w:rPr>
          <w:rFonts w:ascii="Times New Roman" w:hAnsi="Times New Roman"/>
          <w:b/>
          <w:color w:val="000000"/>
          <w:sz w:val="24"/>
          <w:szCs w:val="24"/>
        </w:rPr>
      </w:pPr>
      <w:r w:rsidRPr="005F36BF">
        <w:rPr>
          <w:rFonts w:ascii="Times New Roman" w:eastAsia="Times New Roman" w:hAnsi="Times New Roman"/>
          <w:sz w:val="24"/>
          <w:szCs w:val="24"/>
          <w:u w:val="single"/>
          <w:lang w:eastAsia="en-AU"/>
        </w:rPr>
        <w:t>18</w:t>
      </w:r>
      <w:r w:rsidRPr="005F36BF">
        <w:rPr>
          <w:rFonts w:ascii="Times New Roman" w:eastAsia="Times New Roman" w:hAnsi="Times New Roman"/>
          <w:sz w:val="24"/>
          <w:szCs w:val="24"/>
          <w:u w:val="single"/>
          <w:lang w:eastAsia="en-AU"/>
        </w:rPr>
        <w:tab/>
        <w:t>Mass fraction of carbon dioxide in a re-routed</w:t>
      </w:r>
      <w:r w:rsidRPr="005F36BF">
        <w:rPr>
          <w:rFonts w:ascii="Times New Roman" w:eastAsia="Times New Roman" w:hAnsi="Times New Roman"/>
          <w:sz w:val="24"/>
          <w:szCs w:val="24"/>
          <w:u w:val="single"/>
          <w:lang w:eastAsia="en-AU"/>
        </w:rPr>
        <w:t xml:space="preserve"> gas quantity</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18 </w:t>
      </w:r>
      <w:r w:rsidRPr="005F36BF">
        <w:rPr>
          <w:rFonts w:ascii="Times New Roman" w:hAnsi="Times New Roman"/>
          <w:sz w:val="24"/>
          <w:szCs w:val="24"/>
        </w:rPr>
        <w:t xml:space="preserve">provides the equation to calculate the mass fraction of carbon dioxide in a </w:t>
      </w:r>
      <w:r w:rsidRPr="005F36BF">
        <w:rPr>
          <w:rFonts w:ascii="Times New Roman" w:hAnsi="Times New Roman"/>
          <w:sz w:val="24"/>
          <w:szCs w:val="24"/>
        </w:rPr>
        <w:br/>
      </w:r>
      <w:r w:rsidRPr="005F36BF">
        <w:rPr>
          <w:rFonts w:ascii="Times New Roman" w:hAnsi="Times New Roman"/>
          <w:b/>
          <w:i/>
          <w:sz w:val="24"/>
          <w:szCs w:val="24"/>
        </w:rPr>
        <w:t>re-routed gas quantity</w:t>
      </w:r>
      <w:r w:rsidRPr="005F36BF">
        <w:rPr>
          <w:rFonts w:ascii="Times New Roman" w:hAnsi="Times New Roman"/>
          <w:sz w:val="24"/>
          <w:szCs w:val="24"/>
        </w:rPr>
        <w:t xml:space="preserve">. </w:t>
      </w:r>
      <w:r w:rsidRPr="005F36BF">
        <w:rPr>
          <w:rFonts w:ascii="Times New Roman" w:hAnsi="Times New Roman"/>
          <w:b/>
          <w:i/>
          <w:sz w:val="24"/>
          <w:szCs w:val="24"/>
        </w:rPr>
        <w:t>Equation 5</w:t>
      </w:r>
      <w:r w:rsidRPr="005F36BF">
        <w:rPr>
          <w:rFonts w:ascii="Times New Roman" w:hAnsi="Times New Roman"/>
          <w:sz w:val="24"/>
          <w:szCs w:val="24"/>
        </w:rPr>
        <w:t xml:space="preserve"> calculates the mass fraction by converting from the </w:t>
      </w:r>
      <w:r w:rsidRPr="005F36BF">
        <w:rPr>
          <w:rFonts w:ascii="Times New Roman" w:hAnsi="Times New Roman"/>
          <w:b/>
          <w:i/>
          <w:sz w:val="24"/>
          <w:szCs w:val="24"/>
        </w:rPr>
        <w:t>molar fraction</w:t>
      </w:r>
      <w:r w:rsidRPr="005F36BF">
        <w:rPr>
          <w:rFonts w:ascii="Times New Roman" w:hAnsi="Times New Roman"/>
          <w:sz w:val="24"/>
          <w:szCs w:val="24"/>
        </w:rPr>
        <w:t xml:space="preserve"> (a value taken from sampling) of the gas quantity by</w:t>
      </w:r>
      <w:r w:rsidRPr="005F36BF">
        <w:rPr>
          <w:rFonts w:ascii="Times New Roman" w:hAnsi="Times New Roman"/>
          <w:sz w:val="24"/>
          <w:szCs w:val="24"/>
        </w:rPr>
        <w:t xml:space="preserve"> multiplying by the molar density of carbon dioxide at </w:t>
      </w:r>
      <w:r w:rsidRPr="005F36BF">
        <w:rPr>
          <w:rFonts w:ascii="Times New Roman" w:hAnsi="Times New Roman"/>
          <w:b/>
          <w:i/>
          <w:sz w:val="24"/>
          <w:szCs w:val="24"/>
        </w:rPr>
        <w:t>standard conditions</w:t>
      </w:r>
      <w:r w:rsidRPr="005F36BF">
        <w:rPr>
          <w:rFonts w:ascii="Times New Roman" w:hAnsi="Times New Roman"/>
          <w:sz w:val="24"/>
          <w:szCs w:val="24"/>
        </w:rPr>
        <w:t xml:space="preserve"> and the density of the gas as calculated in Section </w:t>
      </w:r>
      <w:r w:rsidRPr="005F36BF">
        <w:rPr>
          <w:rFonts w:ascii="Times New Roman" w:hAnsi="Times New Roman"/>
          <w:sz w:val="24"/>
          <w:szCs w:val="24"/>
        </w:rPr>
        <w:t>20</w:t>
      </w:r>
      <w:r w:rsidRPr="005F36BF">
        <w:rPr>
          <w:rFonts w:ascii="Times New Roman" w:hAnsi="Times New Roman"/>
          <w:sz w:val="24"/>
          <w:szCs w:val="24"/>
        </w:rPr>
        <w:t>.</w:t>
      </w:r>
    </w:p>
    <w:p w:rsidR="00153B2F" w:rsidRPr="005F36BF" w:rsidRDefault="00D1214D" w:rsidP="00153B2F">
      <w:pPr>
        <w:spacing w:after="120" w:line="240" w:lineRule="auto"/>
        <w:rPr>
          <w:rFonts w:ascii="Times New Roman" w:hAnsi="Times New Roman"/>
          <w:b/>
          <w:color w:val="000000"/>
          <w:sz w:val="24"/>
          <w:szCs w:val="24"/>
        </w:rPr>
      </w:pPr>
    </w:p>
    <w:p w:rsidR="00153B2F" w:rsidRPr="005F36BF" w:rsidRDefault="00D1214D" w:rsidP="00153B2F">
      <w:pPr>
        <w:rPr>
          <w:rFonts w:ascii="Times New Roman" w:hAnsi="Times New Roman"/>
          <w:b/>
          <w:sz w:val="24"/>
          <w:szCs w:val="24"/>
        </w:rPr>
      </w:pPr>
      <w:r w:rsidRPr="005F36BF">
        <w:rPr>
          <w:rFonts w:ascii="Times New Roman" w:hAnsi="Times New Roman"/>
          <w:b/>
          <w:sz w:val="24"/>
          <w:szCs w:val="24"/>
        </w:rPr>
        <w:br w:type="page"/>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lastRenderedPageBreak/>
        <w:t>Subdivision C – Other calculations relating to emissions</w:t>
      </w: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19</w:t>
      </w:r>
      <w:r w:rsidRPr="005F36BF">
        <w:rPr>
          <w:rFonts w:ascii="Times New Roman" w:eastAsia="Times New Roman" w:hAnsi="Times New Roman"/>
          <w:sz w:val="24"/>
          <w:szCs w:val="24"/>
          <w:u w:val="single"/>
          <w:lang w:eastAsia="en-AU"/>
        </w:rPr>
        <w:tab/>
        <w:t>Re-routed gas quantity</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Subsection </w:t>
      </w:r>
      <w:r w:rsidRPr="005F36BF">
        <w:rPr>
          <w:rFonts w:ascii="Times New Roman" w:eastAsia="Times New Roman" w:hAnsi="Times New Roman"/>
          <w:sz w:val="24"/>
          <w:szCs w:val="24"/>
          <w:lang w:eastAsia="en-AU"/>
        </w:rPr>
        <w:t>19</w:t>
      </w:r>
      <w:r w:rsidRPr="005F36BF">
        <w:rPr>
          <w:rFonts w:ascii="Times New Roman" w:eastAsia="Times New Roman" w:hAnsi="Times New Roman"/>
          <w:sz w:val="24"/>
          <w:szCs w:val="24"/>
          <w:lang w:eastAsia="en-AU"/>
        </w:rPr>
        <w:t xml:space="preserve">(1) </w:t>
      </w:r>
      <w:proofErr w:type="gramStart"/>
      <w:r w:rsidRPr="005F36BF">
        <w:rPr>
          <w:rFonts w:ascii="Times New Roman" w:eastAsia="Times New Roman" w:hAnsi="Times New Roman"/>
          <w:sz w:val="24"/>
          <w:szCs w:val="24"/>
          <w:lang w:eastAsia="en-AU"/>
        </w:rPr>
        <w:t>sets</w:t>
      </w:r>
      <w:proofErr w:type="gramEnd"/>
      <w:r w:rsidRPr="005F36BF">
        <w:rPr>
          <w:rFonts w:ascii="Times New Roman" w:eastAsia="Times New Roman" w:hAnsi="Times New Roman"/>
          <w:sz w:val="24"/>
          <w:szCs w:val="24"/>
          <w:lang w:eastAsia="en-AU"/>
        </w:rPr>
        <w:t xml:space="preserve"> out that the re-routed gas quantity used in equation 2 and 3 is the sum of all </w:t>
      </w:r>
      <w:r w:rsidRPr="005F36BF">
        <w:rPr>
          <w:rFonts w:ascii="Times New Roman" w:eastAsia="Times New Roman" w:hAnsi="Times New Roman"/>
          <w:b/>
          <w:i/>
          <w:sz w:val="24"/>
          <w:szCs w:val="24"/>
          <w:lang w:eastAsia="en-AU"/>
        </w:rPr>
        <w:t>relevant gas quantities</w:t>
      </w:r>
      <w:r w:rsidRPr="005F36BF">
        <w:rPr>
          <w:rFonts w:ascii="Times New Roman" w:eastAsia="Times New Roman" w:hAnsi="Times New Roman"/>
          <w:sz w:val="24"/>
          <w:szCs w:val="24"/>
          <w:lang w:eastAsia="en-AU"/>
        </w:rPr>
        <w:t xml:space="preserve"> from all of the eligible monitoring periods in a reporting period, referred to as </w:t>
      </w:r>
      <w:r w:rsidRPr="005F36BF">
        <w:rPr>
          <w:rFonts w:ascii="Times New Roman" w:eastAsia="Times New Roman" w:hAnsi="Times New Roman"/>
          <w:b/>
          <w:i/>
          <w:sz w:val="24"/>
          <w:szCs w:val="24"/>
          <w:lang w:eastAsia="en-AU"/>
        </w:rPr>
        <w:t>relevant periods</w:t>
      </w:r>
      <w:r w:rsidRPr="005F36BF">
        <w:rPr>
          <w:rFonts w:ascii="Times New Roman" w:eastAsia="Times New Roman" w:hAnsi="Times New Roman"/>
          <w:sz w:val="24"/>
          <w:szCs w:val="24"/>
          <w:lang w:eastAsia="en-AU"/>
        </w:rPr>
        <w:t xml:space="preserve">. </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The method used to calculate the amount of </w:t>
      </w:r>
      <w:r w:rsidRPr="005F36BF">
        <w:rPr>
          <w:rFonts w:ascii="Times New Roman" w:eastAsia="Times New Roman" w:hAnsi="Times New Roman"/>
          <w:sz w:val="24"/>
          <w:szCs w:val="24"/>
          <w:lang w:eastAsia="en-AU"/>
        </w:rPr>
        <w:t xml:space="preserve">gas that is re-routed to a flare under the Determination is dependent on the source of the re-routed gas. </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Subsection </w:t>
      </w:r>
      <w:r w:rsidRPr="005F36BF">
        <w:rPr>
          <w:rFonts w:ascii="Times New Roman" w:eastAsia="Times New Roman" w:hAnsi="Times New Roman"/>
          <w:sz w:val="24"/>
          <w:szCs w:val="24"/>
          <w:lang w:eastAsia="en-AU"/>
        </w:rPr>
        <w:t>19</w:t>
      </w:r>
      <w:r w:rsidRPr="005F36BF">
        <w:rPr>
          <w:rFonts w:ascii="Times New Roman" w:eastAsia="Times New Roman" w:hAnsi="Times New Roman"/>
          <w:sz w:val="24"/>
          <w:szCs w:val="24"/>
          <w:lang w:eastAsia="en-AU"/>
        </w:rPr>
        <w:t>(2) sets out that if the re-routed gas originated from a process vent, then the quantity of gas flared must be monitored continuously in</w:t>
      </w:r>
      <w:r w:rsidRPr="005F36BF">
        <w:rPr>
          <w:rFonts w:ascii="Times New Roman" w:eastAsia="Times New Roman" w:hAnsi="Times New Roman"/>
          <w:sz w:val="24"/>
          <w:szCs w:val="24"/>
          <w:lang w:eastAsia="en-AU"/>
        </w:rPr>
        <w:t xml:space="preserve"> accordance with the </w:t>
      </w:r>
      <w:r w:rsidRPr="005F36BF">
        <w:rPr>
          <w:rFonts w:ascii="Times New Roman" w:eastAsia="Times New Roman" w:hAnsi="Times New Roman"/>
          <w:b/>
          <w:i/>
          <w:sz w:val="24"/>
          <w:szCs w:val="24"/>
          <w:lang w:eastAsia="en-AU"/>
        </w:rPr>
        <w:t>monitoring requirements</w:t>
      </w:r>
      <w:r w:rsidRPr="005F36BF">
        <w:rPr>
          <w:rFonts w:ascii="Times New Roman" w:eastAsia="Times New Roman" w:hAnsi="Times New Roman"/>
          <w:sz w:val="24"/>
          <w:szCs w:val="24"/>
          <w:lang w:eastAsia="en-AU"/>
        </w:rPr>
        <w:t>. This is because the quantity of emissions from process venting is strongly correlated with production and may vary over time due to changes in production – as such continuous monitoring is considered appropriat</w:t>
      </w:r>
      <w:r w:rsidRPr="005F36BF">
        <w:rPr>
          <w:rFonts w:ascii="Times New Roman" w:eastAsia="Times New Roman" w:hAnsi="Times New Roman"/>
          <w:sz w:val="24"/>
          <w:szCs w:val="24"/>
          <w:lang w:eastAsia="en-AU"/>
        </w:rPr>
        <w:t>e.</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Subsection </w:t>
      </w:r>
      <w:r w:rsidRPr="005F36BF">
        <w:rPr>
          <w:rFonts w:ascii="Times New Roman" w:eastAsia="Times New Roman" w:hAnsi="Times New Roman"/>
          <w:sz w:val="24"/>
          <w:szCs w:val="24"/>
          <w:lang w:eastAsia="en-AU"/>
        </w:rPr>
        <w:t>19</w:t>
      </w:r>
      <w:r w:rsidRPr="005F36BF">
        <w:rPr>
          <w:rFonts w:ascii="Times New Roman" w:eastAsia="Times New Roman" w:hAnsi="Times New Roman"/>
          <w:sz w:val="24"/>
          <w:szCs w:val="24"/>
          <w:lang w:eastAsia="en-AU"/>
        </w:rPr>
        <w:t xml:space="preserve">(3) sets out that if the re-routed gas originates from a fugitive leak, then the quantity of emissions can either be: </w:t>
      </w:r>
    </w:p>
    <w:p w:rsidR="00153B2F" w:rsidRPr="005F36BF" w:rsidRDefault="00D1214D" w:rsidP="00153B2F">
      <w:pPr>
        <w:pStyle w:val="ListParagraph"/>
        <w:numPr>
          <w:ilvl w:val="0"/>
          <w:numId w:val="19"/>
        </w:num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monitored continuously in accordance with the monitoring requirements; or </w:t>
      </w:r>
    </w:p>
    <w:p w:rsidR="00153B2F" w:rsidRPr="005F36BF" w:rsidRDefault="00D1214D" w:rsidP="00153B2F">
      <w:pPr>
        <w:pStyle w:val="ListParagraph"/>
        <w:numPr>
          <w:ilvl w:val="0"/>
          <w:numId w:val="19"/>
        </w:num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calculated based on a representative sampling </w:t>
      </w:r>
      <w:r w:rsidRPr="005F36BF">
        <w:rPr>
          <w:rFonts w:ascii="Times New Roman" w:eastAsia="Times New Roman" w:hAnsi="Times New Roman"/>
          <w:sz w:val="24"/>
          <w:szCs w:val="24"/>
          <w:lang w:eastAsia="en-AU"/>
        </w:rPr>
        <w:t xml:space="preserve">approach outlined through requirements set out in section </w:t>
      </w:r>
      <w:r w:rsidRPr="005F36BF">
        <w:rPr>
          <w:rFonts w:ascii="Times New Roman" w:eastAsia="Times New Roman" w:hAnsi="Times New Roman"/>
          <w:sz w:val="24"/>
          <w:szCs w:val="24"/>
          <w:lang w:eastAsia="en-AU"/>
        </w:rPr>
        <w:t xml:space="preserve">33 </w:t>
      </w:r>
      <w:r w:rsidRPr="005F36BF">
        <w:rPr>
          <w:rFonts w:ascii="Times New Roman" w:eastAsia="Times New Roman" w:hAnsi="Times New Roman"/>
          <w:sz w:val="24"/>
          <w:szCs w:val="24"/>
          <w:lang w:eastAsia="en-AU"/>
        </w:rPr>
        <w:t xml:space="preserve">for establishing the </w:t>
      </w:r>
      <w:r w:rsidRPr="005F36BF">
        <w:rPr>
          <w:rFonts w:ascii="Times New Roman" w:eastAsia="Times New Roman" w:hAnsi="Times New Roman"/>
          <w:b/>
          <w:i/>
          <w:sz w:val="24"/>
          <w:szCs w:val="24"/>
          <w:lang w:eastAsia="en-AU"/>
        </w:rPr>
        <w:t>fugitive leak measurement period</w:t>
      </w:r>
      <w:r w:rsidRPr="005F36BF">
        <w:rPr>
          <w:rFonts w:ascii="Times New Roman" w:eastAsia="Times New Roman" w:hAnsi="Times New Roman"/>
          <w:sz w:val="24"/>
          <w:szCs w:val="24"/>
          <w:lang w:eastAsia="en-AU"/>
        </w:rPr>
        <w:t xml:space="preserve">, and in </w:t>
      </w:r>
      <w:r w:rsidRPr="005F36BF">
        <w:rPr>
          <w:rFonts w:ascii="Times New Roman" w:eastAsia="Times New Roman" w:hAnsi="Times New Roman"/>
          <w:b/>
          <w:i/>
          <w:sz w:val="24"/>
          <w:szCs w:val="24"/>
          <w:lang w:eastAsia="en-AU"/>
        </w:rPr>
        <w:t>equation 6</w:t>
      </w:r>
      <w:r w:rsidRPr="005F36BF">
        <w:rPr>
          <w:rFonts w:ascii="Times New Roman" w:eastAsia="Times New Roman" w:hAnsi="Times New Roman"/>
          <w:sz w:val="24"/>
          <w:szCs w:val="24"/>
          <w:lang w:eastAsia="en-AU"/>
        </w:rPr>
        <w:t xml:space="preserve">. </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The representative sampling approach using a fugitive leak measurement period is included in the Determination because f</w:t>
      </w:r>
      <w:r w:rsidRPr="005F36BF">
        <w:rPr>
          <w:rFonts w:ascii="Times New Roman" w:eastAsia="Times New Roman" w:hAnsi="Times New Roman"/>
          <w:sz w:val="24"/>
          <w:szCs w:val="24"/>
          <w:lang w:eastAsia="en-AU"/>
        </w:rPr>
        <w:t>ugitive leak emissions are not strongly correlated with production but instead are relatively constant. An extrapolated quantity based on a fugitive leak measurement period is achieved through this approach and by doing so reduces the amount of measurement</w:t>
      </w:r>
      <w:r w:rsidRPr="005F36BF">
        <w:rPr>
          <w:rFonts w:ascii="Times New Roman" w:eastAsia="Times New Roman" w:hAnsi="Times New Roman"/>
          <w:sz w:val="24"/>
          <w:szCs w:val="24"/>
          <w:lang w:eastAsia="en-AU"/>
        </w:rPr>
        <w:t xml:space="preserve"> required by a proponent. </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hAnsi="Times New Roman"/>
          <w:color w:val="000000"/>
          <w:sz w:val="24"/>
          <w:szCs w:val="24"/>
        </w:rPr>
        <w:t>Once the fugitive leak measurement period is determined as the quantity of gas combusted per unit of time, it will be multiplied by the amount of time the flare device is operating to calculate the quantity of gas combusted in th</w:t>
      </w:r>
      <w:r w:rsidRPr="005F36BF">
        <w:rPr>
          <w:rFonts w:ascii="Times New Roman" w:hAnsi="Times New Roman"/>
          <w:color w:val="000000"/>
          <w:sz w:val="24"/>
          <w:szCs w:val="24"/>
        </w:rPr>
        <w:t>e reporting period.</w:t>
      </w:r>
    </w:p>
    <w:p w:rsidR="00153B2F" w:rsidRPr="005F36BF" w:rsidRDefault="00D1214D" w:rsidP="00153B2F">
      <w:pPr>
        <w:spacing w:after="120" w:line="240" w:lineRule="auto"/>
        <w:rPr>
          <w:rFonts w:ascii="Times New Roman" w:hAnsi="Times New Roman"/>
          <w:sz w:val="24"/>
          <w:szCs w:val="20"/>
        </w:rPr>
      </w:pPr>
      <w:r w:rsidRPr="005F36BF">
        <w:rPr>
          <w:rFonts w:ascii="Times New Roman" w:hAnsi="Times New Roman"/>
          <w:sz w:val="24"/>
          <w:szCs w:val="20"/>
        </w:rPr>
        <w:t xml:space="preserve">Subsection </w:t>
      </w:r>
      <w:r w:rsidRPr="005F36BF">
        <w:rPr>
          <w:rFonts w:ascii="Times New Roman" w:hAnsi="Times New Roman"/>
          <w:sz w:val="24"/>
          <w:szCs w:val="20"/>
        </w:rPr>
        <w:t>19</w:t>
      </w:r>
      <w:r w:rsidRPr="005F36BF">
        <w:rPr>
          <w:rFonts w:ascii="Times New Roman" w:hAnsi="Times New Roman"/>
          <w:sz w:val="24"/>
          <w:szCs w:val="20"/>
        </w:rPr>
        <w:t xml:space="preserve">(4) sets out equation 6, which calculates the quantity of emissions flared from a fugitive leak by multiplying the quantity of gas flared per hour of flare operation in the measurement period by the time of flare operation </w:t>
      </w:r>
      <w:r w:rsidRPr="005F36BF">
        <w:rPr>
          <w:rFonts w:ascii="Times New Roman" w:hAnsi="Times New Roman"/>
          <w:sz w:val="24"/>
          <w:szCs w:val="20"/>
        </w:rPr>
        <w:t>during the reporting period.</w:t>
      </w:r>
    </w:p>
    <w:p w:rsidR="00153B2F" w:rsidRPr="005F36BF" w:rsidRDefault="00D1214D" w:rsidP="00153B2F">
      <w:pPr>
        <w:spacing w:after="240" w:line="240" w:lineRule="auto"/>
        <w:rPr>
          <w:rFonts w:ascii="Times New Roman" w:eastAsia="Times New Roman" w:hAnsi="Times New Roman"/>
          <w:sz w:val="24"/>
          <w:szCs w:val="24"/>
          <w:lang w:eastAsia="en-AU"/>
        </w:rPr>
      </w:pPr>
      <w:r w:rsidRPr="005F36BF">
        <w:rPr>
          <w:rFonts w:ascii="Times New Roman" w:hAnsi="Times New Roman"/>
          <w:sz w:val="24"/>
          <w:szCs w:val="20"/>
        </w:rPr>
        <w:t>If a period occurs when there is a meter malfunction, this period cannot be used for calculating the quantity of gas in this section.</w:t>
      </w:r>
    </w:p>
    <w:p w:rsidR="00305476" w:rsidRPr="005F36BF" w:rsidRDefault="00D1214D" w:rsidP="00153B2F">
      <w:pPr>
        <w:spacing w:after="120" w:line="240" w:lineRule="auto"/>
        <w:rPr>
          <w:rFonts w:ascii="Times New Roman" w:eastAsia="Times New Roman" w:hAnsi="Times New Roman"/>
          <w:sz w:val="24"/>
          <w:szCs w:val="24"/>
          <w:lang w:eastAsia="en-AU"/>
        </w:rPr>
      </w:pP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20</w:t>
      </w:r>
      <w:r w:rsidRPr="005F36BF">
        <w:rPr>
          <w:rFonts w:ascii="Times New Roman" w:eastAsia="Times New Roman" w:hAnsi="Times New Roman"/>
          <w:sz w:val="24"/>
          <w:szCs w:val="24"/>
          <w:u w:val="single"/>
          <w:lang w:eastAsia="en-AU"/>
        </w:rPr>
        <w:tab/>
        <w:t>Density of a re-routed gas quantity</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20 </w:t>
      </w:r>
      <w:r w:rsidRPr="005F36BF">
        <w:rPr>
          <w:rFonts w:ascii="Times New Roman" w:hAnsi="Times New Roman"/>
          <w:sz w:val="24"/>
          <w:szCs w:val="24"/>
        </w:rPr>
        <w:t xml:space="preserve">provides the equation to calculate the density of a gas quantity. </w:t>
      </w:r>
      <w:r w:rsidRPr="005F36BF">
        <w:rPr>
          <w:rFonts w:ascii="Times New Roman" w:hAnsi="Times New Roman"/>
          <w:b/>
          <w:i/>
          <w:sz w:val="24"/>
          <w:szCs w:val="24"/>
        </w:rPr>
        <w:t>Equation 7</w:t>
      </w:r>
      <w:r w:rsidRPr="005F36BF">
        <w:rPr>
          <w:rFonts w:ascii="Times New Roman" w:hAnsi="Times New Roman"/>
          <w:sz w:val="24"/>
          <w:szCs w:val="24"/>
        </w:rPr>
        <w:t xml:space="preserve"> calculates the density as the sum of the molar densities of each component gas at standard conditions weighted by the molar fraction of that component gas in the gas quantity (a v</w:t>
      </w:r>
      <w:r w:rsidRPr="005F36BF">
        <w:rPr>
          <w:rFonts w:ascii="Times New Roman" w:hAnsi="Times New Roman"/>
          <w:sz w:val="24"/>
          <w:szCs w:val="24"/>
        </w:rPr>
        <w:t>alue taken from sampling).</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This calculation includes carbon dioxide as a component gas.</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rPr>
          <w:rFonts w:ascii="Times New Roman" w:hAnsi="Times New Roman"/>
          <w:sz w:val="24"/>
          <w:szCs w:val="24"/>
        </w:rPr>
      </w:pPr>
      <w:r w:rsidRPr="005F36BF">
        <w:rPr>
          <w:rFonts w:ascii="Times New Roman" w:hAnsi="Times New Roman"/>
          <w:sz w:val="24"/>
          <w:szCs w:val="24"/>
        </w:rPr>
        <w:br w:type="page"/>
      </w: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lastRenderedPageBreak/>
        <w:t xml:space="preserve">Division 4 </w:t>
      </w:r>
      <w:r w:rsidRPr="005F36BF">
        <w:rPr>
          <w:rFonts w:ascii="Times New Roman" w:hAnsi="Times New Roman"/>
          <w:b/>
          <w:sz w:val="24"/>
          <w:szCs w:val="24"/>
        </w:rPr>
        <w:tab/>
      </w:r>
      <w:r w:rsidRPr="005F36BF">
        <w:rPr>
          <w:rFonts w:ascii="Times New Roman" w:hAnsi="Times New Roman"/>
          <w:b/>
          <w:sz w:val="24"/>
          <w:szCs w:val="24"/>
        </w:rPr>
        <w:tab/>
        <w:t>Method for calculating sampling discount factor</w:t>
      </w:r>
    </w:p>
    <w:p w:rsidR="00153B2F" w:rsidRPr="005F36BF" w:rsidRDefault="00D1214D" w:rsidP="00153B2F">
      <w:pPr>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21</w:t>
      </w:r>
      <w:r w:rsidRPr="005F36BF">
        <w:rPr>
          <w:rFonts w:ascii="Times New Roman" w:eastAsia="Times New Roman" w:hAnsi="Times New Roman"/>
          <w:sz w:val="24"/>
          <w:szCs w:val="24"/>
          <w:u w:val="single"/>
          <w:lang w:eastAsia="en-AU"/>
        </w:rPr>
        <w:tab/>
        <w:t>Sampling discount factor</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21 </w:t>
      </w:r>
      <w:r w:rsidRPr="005F36BF">
        <w:rPr>
          <w:rFonts w:ascii="Times New Roman" w:hAnsi="Times New Roman"/>
          <w:sz w:val="24"/>
          <w:szCs w:val="24"/>
        </w:rPr>
        <w:t xml:space="preserve">provides the equation for calculating the Sampling Discount Factor (SDF). </w:t>
      </w:r>
      <w:r w:rsidRPr="005F36BF">
        <w:rPr>
          <w:rFonts w:ascii="Times New Roman" w:hAnsi="Times New Roman"/>
          <w:b/>
          <w:i/>
          <w:sz w:val="24"/>
          <w:szCs w:val="24"/>
        </w:rPr>
        <w:t>Equation 8</w:t>
      </w:r>
      <w:r w:rsidRPr="005F36BF">
        <w:rPr>
          <w:rFonts w:ascii="Times New Roman" w:hAnsi="Times New Roman"/>
          <w:sz w:val="24"/>
          <w:szCs w:val="24"/>
        </w:rPr>
        <w:t xml:space="preserve"> calculates the SDF by forming a factor between zero and one that is inversely proportional to sampling uncertainty. This acts to discount abatement if sampling uncertainty</w:t>
      </w:r>
      <w:r w:rsidRPr="005F36BF">
        <w:rPr>
          <w:rFonts w:ascii="Times New Roman" w:hAnsi="Times New Roman"/>
          <w:sz w:val="24"/>
          <w:szCs w:val="24"/>
        </w:rPr>
        <w:t xml:space="preserve"> is greater than 5 per cent.</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If sampling uncertainty is less than 5 per cent, subsection </w:t>
      </w:r>
      <w:r w:rsidRPr="005F36BF">
        <w:rPr>
          <w:rFonts w:ascii="Times New Roman" w:hAnsi="Times New Roman"/>
          <w:sz w:val="24"/>
          <w:szCs w:val="24"/>
        </w:rPr>
        <w:t>21</w:t>
      </w:r>
      <w:r w:rsidRPr="005F36BF">
        <w:rPr>
          <w:rFonts w:ascii="Times New Roman" w:hAnsi="Times New Roman"/>
          <w:sz w:val="24"/>
          <w:szCs w:val="24"/>
        </w:rPr>
        <w:t>(2) ensures that the SDF is treated as having a value of one.</w:t>
      </w:r>
    </w:p>
    <w:p w:rsidR="00153B2F" w:rsidRPr="005F36BF" w:rsidRDefault="00D1214D" w:rsidP="00153B2F">
      <w:pPr>
        <w:spacing w:line="240" w:lineRule="auto"/>
        <w:rPr>
          <w:rFonts w:ascii="Times New Roman" w:hAnsi="Times New Roman"/>
          <w:sz w:val="24"/>
          <w:szCs w:val="24"/>
        </w:rPr>
      </w:pPr>
    </w:p>
    <w:p w:rsidR="00153B2F" w:rsidRPr="005F36BF" w:rsidRDefault="00D1214D" w:rsidP="00153B2F">
      <w:pPr>
        <w:spacing w:line="240" w:lineRule="auto"/>
        <w:rPr>
          <w:rFonts w:ascii="Times New Roman" w:hAnsi="Times New Roman"/>
          <w:sz w:val="24"/>
          <w:szCs w:val="24"/>
        </w:rPr>
      </w:pPr>
      <w:r w:rsidRPr="005F36BF">
        <w:rPr>
          <w:rFonts w:ascii="Times New Roman" w:eastAsia="Times New Roman" w:hAnsi="Times New Roman"/>
          <w:sz w:val="24"/>
          <w:szCs w:val="24"/>
          <w:u w:val="single"/>
          <w:lang w:eastAsia="en-AU"/>
        </w:rPr>
        <w:t>22</w:t>
      </w:r>
      <w:r w:rsidRPr="005F36BF">
        <w:rPr>
          <w:rFonts w:ascii="Times New Roman" w:eastAsia="Times New Roman" w:hAnsi="Times New Roman"/>
          <w:sz w:val="24"/>
          <w:szCs w:val="24"/>
          <w:u w:val="single"/>
          <w:lang w:eastAsia="en-AU"/>
        </w:rPr>
        <w:tab/>
        <w:t>Sampling Uncertainty</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22 </w:t>
      </w:r>
      <w:r w:rsidRPr="005F36BF">
        <w:rPr>
          <w:rFonts w:ascii="Times New Roman" w:hAnsi="Times New Roman"/>
          <w:sz w:val="24"/>
          <w:szCs w:val="24"/>
        </w:rPr>
        <w:t xml:space="preserve">provides the equation, </w:t>
      </w:r>
      <w:r w:rsidRPr="005F36BF">
        <w:rPr>
          <w:rFonts w:ascii="Times New Roman" w:hAnsi="Times New Roman"/>
          <w:b/>
          <w:i/>
          <w:sz w:val="24"/>
          <w:szCs w:val="24"/>
        </w:rPr>
        <w:t>Equation 9</w:t>
      </w:r>
      <w:r w:rsidRPr="005F36BF">
        <w:rPr>
          <w:rFonts w:ascii="Times New Roman" w:hAnsi="Times New Roman"/>
          <w:sz w:val="24"/>
          <w:szCs w:val="24"/>
        </w:rPr>
        <w:t>, to calculate sampling uncertaint</w:t>
      </w:r>
      <w:r w:rsidRPr="005F36BF">
        <w:rPr>
          <w:rFonts w:ascii="Times New Roman" w:hAnsi="Times New Roman"/>
          <w:sz w:val="24"/>
          <w:szCs w:val="24"/>
        </w:rPr>
        <w:t>y. Sampling uncertainty is the uncertainty inherent in forming a mean value for a quantity by taking discrete measurements of that quantity over time. The value of the sampling uncertainty is the maximum distance from the calculated mean that the true mean</w:t>
      </w:r>
      <w:r w:rsidRPr="005F36BF">
        <w:rPr>
          <w:rFonts w:ascii="Times New Roman" w:hAnsi="Times New Roman"/>
          <w:sz w:val="24"/>
          <w:szCs w:val="24"/>
        </w:rPr>
        <w:t xml:space="preserve"> can be said to lie, at a confidence interval of 95 per cent. Subsection </w:t>
      </w:r>
      <w:r w:rsidRPr="005F36BF">
        <w:rPr>
          <w:rFonts w:ascii="Times New Roman" w:hAnsi="Times New Roman"/>
          <w:sz w:val="24"/>
          <w:szCs w:val="24"/>
        </w:rPr>
        <w:t>22</w:t>
      </w:r>
      <w:r w:rsidRPr="005F36BF">
        <w:rPr>
          <w:rFonts w:ascii="Times New Roman" w:hAnsi="Times New Roman"/>
          <w:sz w:val="24"/>
          <w:szCs w:val="24"/>
        </w:rPr>
        <w:t>(2) provides additional instructions on which sampled values are to be used in calculating the sampling uncertainty. An example is included below.</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The equation to determine the samp</w:t>
      </w:r>
      <w:r w:rsidRPr="005F36BF">
        <w:rPr>
          <w:rFonts w:ascii="Times New Roman" w:hAnsi="Times New Roman"/>
          <w:sz w:val="24"/>
          <w:szCs w:val="24"/>
        </w:rPr>
        <w:t>ling uncertainty is as equation 9 in the Determination.</w:t>
      </w:r>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SU</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RSD</m:t>
                  </m:r>
                </m:e>
                <m:sub>
                  <m:r>
                    <w:rPr>
                      <w:rFonts w:ascii="Cambria Math" w:hAnsi="Cambria Math"/>
                      <w:sz w:val="24"/>
                      <w:szCs w:val="24"/>
                    </w:rPr>
                    <m:t>i</m:t>
                  </m:r>
                </m:sub>
              </m:sSub>
            </m:num>
            <m:den>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e>
              </m:rad>
            </m:den>
          </m:f>
        </m:oMath>
      </m:oMathPara>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The proponent takes samples of gas composition once every three months over a 12-month reporting period, for a total of four measurements, with a relative standard deviation o</w:t>
      </w:r>
      <w:r w:rsidRPr="005F36BF">
        <w:rPr>
          <w:rFonts w:ascii="Times New Roman" w:hAnsi="Times New Roman"/>
          <w:sz w:val="24"/>
          <w:szCs w:val="24"/>
        </w:rPr>
        <w:t xml:space="preserve">f 4. Using equation 9 with </w:t>
      </w:r>
      <w:proofErr w:type="spellStart"/>
      <w:r w:rsidRPr="005F36BF">
        <w:rPr>
          <w:rFonts w:ascii="Times New Roman" w:hAnsi="Times New Roman"/>
          <w:sz w:val="24"/>
          <w:szCs w:val="24"/>
        </w:rPr>
        <w:t>t</w:t>
      </w:r>
      <w:r w:rsidRPr="005F36BF">
        <w:rPr>
          <w:rFonts w:ascii="Times New Roman" w:hAnsi="Times New Roman"/>
          <w:sz w:val="24"/>
          <w:szCs w:val="24"/>
          <w:vertAlign w:val="subscript"/>
        </w:rPr>
        <w:t>i</w:t>
      </w:r>
      <w:proofErr w:type="spellEnd"/>
      <w:r w:rsidRPr="005F36BF">
        <w:rPr>
          <w:rFonts w:ascii="Times New Roman" w:hAnsi="Times New Roman"/>
          <w:sz w:val="24"/>
          <w:szCs w:val="24"/>
        </w:rPr>
        <w:t xml:space="preserve"> = 3.18, </w:t>
      </w:r>
      <w:proofErr w:type="spellStart"/>
      <w:r w:rsidRPr="005F36BF">
        <w:rPr>
          <w:rFonts w:ascii="Times New Roman" w:hAnsi="Times New Roman"/>
          <w:sz w:val="24"/>
          <w:szCs w:val="24"/>
        </w:rPr>
        <w:t>RSD</w:t>
      </w:r>
      <w:r w:rsidRPr="005F36BF">
        <w:rPr>
          <w:rFonts w:ascii="Times New Roman" w:hAnsi="Times New Roman"/>
          <w:sz w:val="24"/>
          <w:szCs w:val="24"/>
          <w:vertAlign w:val="subscript"/>
        </w:rPr>
        <w:t>i</w:t>
      </w:r>
      <w:proofErr w:type="spellEnd"/>
      <w:r w:rsidRPr="005F36BF">
        <w:rPr>
          <w:rFonts w:ascii="Times New Roman" w:hAnsi="Times New Roman"/>
          <w:sz w:val="24"/>
          <w:szCs w:val="24"/>
        </w:rPr>
        <w:t xml:space="preserve"> = 3% and </w:t>
      </w:r>
      <w:proofErr w:type="spellStart"/>
      <w:proofErr w:type="gramStart"/>
      <w:r w:rsidRPr="005F36BF">
        <w:rPr>
          <w:rFonts w:ascii="Times New Roman" w:hAnsi="Times New Roman"/>
          <w:sz w:val="24"/>
          <w:szCs w:val="24"/>
        </w:rPr>
        <w:t>n</w:t>
      </w:r>
      <w:r w:rsidRPr="005F36BF">
        <w:rPr>
          <w:rFonts w:ascii="Times New Roman" w:hAnsi="Times New Roman"/>
          <w:sz w:val="24"/>
          <w:szCs w:val="24"/>
          <w:vertAlign w:val="subscript"/>
        </w:rPr>
        <w:t>i</w:t>
      </w:r>
      <w:proofErr w:type="spellEnd"/>
      <w:proofErr w:type="gramEnd"/>
      <w:r w:rsidRPr="005F36BF">
        <w:rPr>
          <w:rFonts w:ascii="Times New Roman" w:hAnsi="Times New Roman"/>
          <w:sz w:val="24"/>
          <w:szCs w:val="24"/>
        </w:rPr>
        <w:t xml:space="preserve"> = 4:</w:t>
      </w:r>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SU</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3.18×4</m:t>
              </m:r>
            </m:num>
            <m:den>
              <m:rad>
                <m:radPr>
                  <m:degHide m:val="on"/>
                  <m:ctrlPr>
                    <w:rPr>
                      <w:rFonts w:ascii="Cambria Math" w:hAnsi="Cambria Math"/>
                      <w:i/>
                      <w:sz w:val="24"/>
                      <w:szCs w:val="24"/>
                    </w:rPr>
                  </m:ctrlPr>
                </m:radPr>
                <m:deg/>
                <m:e>
                  <m:r>
                    <w:rPr>
                      <w:rFonts w:ascii="Cambria Math" w:hAnsi="Cambria Math"/>
                      <w:sz w:val="24"/>
                      <w:szCs w:val="24"/>
                    </w:rPr>
                    <m:t>4</m:t>
                  </m:r>
                </m:e>
              </m:rad>
            </m:den>
          </m:f>
        </m:oMath>
      </m:oMathPara>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SU</m:t>
              </m:r>
            </m:e>
            <m:sub>
              <m:r>
                <w:rPr>
                  <w:rFonts w:ascii="Cambria Math" w:hAnsi="Cambria Math"/>
                  <w:sz w:val="24"/>
                  <w:szCs w:val="24"/>
                </w:rPr>
                <m:t>i</m:t>
              </m:r>
            </m:sub>
          </m:sSub>
          <m:r>
            <w:rPr>
              <w:rFonts w:ascii="Cambria Math" w:hAnsi="Cambria Math"/>
              <w:sz w:val="24"/>
              <w:szCs w:val="24"/>
            </w:rPr>
            <m:t>=1.59×4</m:t>
          </m:r>
        </m:oMath>
      </m:oMathPara>
    </w:p>
    <w:p w:rsidR="00153B2F" w:rsidRPr="005F36BF" w:rsidRDefault="00B75AD3" w:rsidP="00153B2F">
      <w:pPr>
        <w:spacing w:line="240" w:lineRule="auto"/>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SU</m:t>
            </m:r>
          </m:e>
          <m:sub>
            <m:r>
              <w:rPr>
                <w:rFonts w:ascii="Cambria Math" w:hAnsi="Cambria Math"/>
                <w:sz w:val="24"/>
                <w:szCs w:val="24"/>
              </w:rPr>
              <m:t>i</m:t>
            </m:r>
          </m:sub>
        </m:sSub>
        <m:r>
          <w:rPr>
            <w:rFonts w:ascii="Cambria Math" w:hAnsi="Cambria Math"/>
            <w:sz w:val="24"/>
            <w:szCs w:val="24"/>
          </w:rPr>
          <m:t>=6.36%</m:t>
        </m:r>
      </m:oMath>
      <w:r w:rsidR="00D1214D" w:rsidRPr="005F36BF">
        <w:rPr>
          <w:rFonts w:ascii="Times New Roman" w:hAnsi="Times New Roman"/>
          <w:sz w:val="24"/>
          <w:szCs w:val="24"/>
        </w:rPr>
        <w:t xml:space="preserve"> , expressed as 0.0636</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This sampling uncertainty is used to calculate the Sampling Discount Factor as per equation 8, resulting in:</w:t>
      </w:r>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SDF</m:t>
              </m:r>
            </m:e>
            <m:sub>
              <m:r>
                <w:rPr>
                  <w:rFonts w:ascii="Cambria Math" w:hAnsi="Cambria Math"/>
                  <w:sz w:val="24"/>
                  <w:szCs w:val="24"/>
                </w:rPr>
                <m:t>i</m:t>
              </m:r>
            </m:sub>
          </m:sSub>
          <m:r>
            <w:rPr>
              <w:rFonts w:ascii="Cambria Math" w:hAnsi="Cambria Math"/>
              <w:sz w:val="24"/>
              <w:szCs w:val="24"/>
            </w:rPr>
            <m:t>=1-</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SU</m:t>
                  </m:r>
                </m:e>
                <m:sub>
                  <m:r>
                    <w:rPr>
                      <w:rFonts w:ascii="Cambria Math" w:hAnsi="Cambria Math"/>
                      <w:sz w:val="24"/>
                      <w:szCs w:val="24"/>
                    </w:rPr>
                    <m:t>i</m:t>
                  </m:r>
                </m:sub>
              </m:sSub>
              <m:r>
                <w:rPr>
                  <w:rFonts w:ascii="Cambria Math" w:hAnsi="Cambria Math"/>
                  <w:sz w:val="24"/>
                  <w:szCs w:val="24"/>
                </w:rPr>
                <m:t>-0.05</m:t>
              </m:r>
            </m:e>
          </m:d>
        </m:oMath>
      </m:oMathPara>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SDF</m:t>
              </m:r>
            </m:e>
            <m:sub>
              <m:r>
                <w:rPr>
                  <w:rFonts w:ascii="Cambria Math" w:hAnsi="Cambria Math"/>
                  <w:sz w:val="24"/>
                  <w:szCs w:val="24"/>
                </w:rPr>
                <m:t>i</m:t>
              </m:r>
            </m:sub>
          </m:sSub>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0.0636-0.05</m:t>
              </m:r>
            </m:e>
          </m:d>
        </m:oMath>
      </m:oMathPara>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SDF</m:t>
              </m:r>
            </m:e>
            <m:sub>
              <m:r>
                <w:rPr>
                  <w:rFonts w:ascii="Cambria Math" w:hAnsi="Cambria Math"/>
                  <w:sz w:val="24"/>
                  <w:szCs w:val="24"/>
                </w:rPr>
                <m:t>i</m:t>
              </m:r>
            </m:sub>
          </m:sSub>
          <m:r>
            <w:rPr>
              <w:rFonts w:ascii="Cambria Math" w:hAnsi="Cambria Math"/>
              <w:sz w:val="24"/>
              <w:szCs w:val="24"/>
            </w:rPr>
            <m:t>=1-0.0136</m:t>
          </m:r>
        </m:oMath>
      </m:oMathPara>
    </w:p>
    <w:p w:rsidR="00153B2F" w:rsidRPr="005F36BF" w:rsidRDefault="00B75AD3" w:rsidP="00153B2F">
      <w:pPr>
        <w:spacing w:line="24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SDF</m:t>
              </m:r>
            </m:e>
            <m:sub>
              <m:r>
                <w:rPr>
                  <w:rFonts w:ascii="Cambria Math" w:hAnsi="Cambria Math"/>
                  <w:sz w:val="24"/>
                  <w:szCs w:val="24"/>
                </w:rPr>
                <m:t>i</m:t>
              </m:r>
            </m:sub>
          </m:sSub>
          <m:r>
            <w:rPr>
              <w:rFonts w:ascii="Cambria Math" w:hAnsi="Cambria Math"/>
              <w:sz w:val="24"/>
              <w:szCs w:val="24"/>
            </w:rPr>
            <m:t>=0.9864</m:t>
          </m:r>
        </m:oMath>
      </m:oMathPara>
    </w:p>
    <w:p w:rsidR="00153B2F" w:rsidRPr="005F36BF" w:rsidRDefault="00D1214D" w:rsidP="00153B2F">
      <w:pPr>
        <w:spacing w:line="240" w:lineRule="auto"/>
        <w:rPr>
          <w:rFonts w:ascii="Times New Roman" w:hAnsi="Times New Roman"/>
          <w:sz w:val="24"/>
          <w:szCs w:val="24"/>
        </w:rPr>
      </w:pPr>
    </w:p>
    <w:p w:rsidR="00153B2F" w:rsidRPr="005F36BF" w:rsidRDefault="00D1214D" w:rsidP="00153B2F">
      <w:pPr>
        <w:spacing w:line="240" w:lineRule="auto"/>
        <w:rPr>
          <w:rFonts w:ascii="Times New Roman" w:hAnsi="Times New Roman"/>
          <w:sz w:val="24"/>
          <w:szCs w:val="24"/>
        </w:rPr>
      </w:pP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lastRenderedPageBreak/>
        <w:t>A table of the first 23 values of the t-value is included for reference below.</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09"/>
        <w:gridCol w:w="3261"/>
      </w:tblGrid>
      <w:tr w:rsidR="00B75AD3" w:rsidTr="00477476">
        <w:trPr>
          <w:tblHeader/>
        </w:trPr>
        <w:tc>
          <w:tcPr>
            <w:tcW w:w="1809" w:type="dxa"/>
            <w:vAlign w:val="center"/>
          </w:tcPr>
          <w:p w:rsidR="00153B2F" w:rsidRPr="005F36BF" w:rsidRDefault="00D1214D" w:rsidP="00477476">
            <w:pPr>
              <w:spacing w:after="120" w:line="276" w:lineRule="auto"/>
              <w:rPr>
                <w:rFonts w:ascii="Times New Roman" w:hAnsi="Times New Roman"/>
                <w:sz w:val="24"/>
                <w:szCs w:val="24"/>
              </w:rPr>
            </w:pPr>
            <w:r w:rsidRPr="005F36BF">
              <w:rPr>
                <w:rFonts w:ascii="Times New Roman" w:hAnsi="Times New Roman"/>
                <w:sz w:val="24"/>
                <w:szCs w:val="24"/>
              </w:rPr>
              <w:t>Number of measurements</w:t>
            </w:r>
          </w:p>
        </w:tc>
        <w:tc>
          <w:tcPr>
            <w:tcW w:w="3261" w:type="dxa"/>
            <w:vAlign w:val="center"/>
          </w:tcPr>
          <w:p w:rsidR="00153B2F" w:rsidRPr="005F36BF" w:rsidRDefault="00D1214D" w:rsidP="00477476">
            <w:pPr>
              <w:spacing w:after="120" w:line="276" w:lineRule="auto"/>
              <w:rPr>
                <w:rFonts w:ascii="Times New Roman" w:hAnsi="Times New Roman"/>
                <w:sz w:val="24"/>
                <w:szCs w:val="24"/>
              </w:rPr>
            </w:pPr>
            <w:r w:rsidRPr="005F36BF">
              <w:rPr>
                <w:rFonts w:ascii="Times New Roman" w:hAnsi="Times New Roman"/>
                <w:sz w:val="24"/>
                <w:szCs w:val="24"/>
              </w:rPr>
              <w:t>Two-sided Student’s t-value for the 95% confidence interval</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12.71</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3</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4.3</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4</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3.18</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5</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2.78</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6</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2.57</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7</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2.45</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8</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2.36</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9</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2.31</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10</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2.26</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11</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2.23</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12</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2.20</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13</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2.18</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14</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2.16</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15</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2.14</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16</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2.13</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17</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2.12</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18</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2.11</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19</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2.10</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20</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2.09</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21</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2.09</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22</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2.08</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23</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2.07</w:t>
            </w:r>
          </w:p>
        </w:tc>
      </w:tr>
      <w:tr w:rsidR="00B75AD3" w:rsidTr="00477476">
        <w:tc>
          <w:tcPr>
            <w:tcW w:w="1809"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24</w:t>
            </w:r>
          </w:p>
        </w:tc>
        <w:tc>
          <w:tcPr>
            <w:tcW w:w="3261" w:type="dxa"/>
            <w:vAlign w:val="center"/>
          </w:tcPr>
          <w:p w:rsidR="00153B2F" w:rsidRPr="005F36BF" w:rsidRDefault="00D1214D" w:rsidP="00477476">
            <w:pPr>
              <w:spacing w:after="200" w:line="276" w:lineRule="auto"/>
              <w:rPr>
                <w:rFonts w:ascii="Times New Roman" w:hAnsi="Times New Roman"/>
                <w:sz w:val="24"/>
                <w:szCs w:val="24"/>
              </w:rPr>
            </w:pPr>
            <w:r w:rsidRPr="005F36BF">
              <w:rPr>
                <w:rFonts w:ascii="Times New Roman" w:hAnsi="Times New Roman"/>
                <w:sz w:val="24"/>
                <w:szCs w:val="24"/>
              </w:rPr>
              <w:t>2.07</w:t>
            </w:r>
          </w:p>
        </w:tc>
      </w:tr>
    </w:tbl>
    <w:p w:rsidR="00153B2F" w:rsidRPr="005F36BF" w:rsidRDefault="00D1214D" w:rsidP="00153B2F">
      <w:pPr>
        <w:spacing w:line="240" w:lineRule="auto"/>
        <w:rPr>
          <w:rFonts w:ascii="Times New Roman" w:hAnsi="Times New Roman"/>
          <w:sz w:val="24"/>
          <w:szCs w:val="24"/>
        </w:rPr>
      </w:pPr>
    </w:p>
    <w:p w:rsidR="00153B2F" w:rsidRPr="005F36BF" w:rsidRDefault="00D1214D" w:rsidP="00153B2F">
      <w:pPr>
        <w:keepNext/>
        <w:keepLines/>
        <w:spacing w:after="120" w:line="240" w:lineRule="auto"/>
        <w:rPr>
          <w:rFonts w:ascii="Times New Roman" w:hAnsi="Times New Roman"/>
          <w:b/>
          <w:sz w:val="24"/>
          <w:szCs w:val="24"/>
        </w:rPr>
      </w:pPr>
      <w:r w:rsidRPr="005F36BF">
        <w:rPr>
          <w:rFonts w:ascii="Times New Roman" w:hAnsi="Times New Roman"/>
          <w:b/>
          <w:sz w:val="24"/>
          <w:szCs w:val="24"/>
        </w:rPr>
        <w:lastRenderedPageBreak/>
        <w:t>Division 5</w:t>
      </w:r>
      <w:r w:rsidRPr="005F36BF">
        <w:rPr>
          <w:rFonts w:ascii="Times New Roman" w:hAnsi="Times New Roman"/>
          <w:b/>
          <w:sz w:val="24"/>
          <w:szCs w:val="24"/>
        </w:rPr>
        <w:tab/>
        <w:t>Method for calculating ancillary emissions</w:t>
      </w:r>
    </w:p>
    <w:p w:rsidR="00153B2F" w:rsidRPr="005F36BF" w:rsidRDefault="00D1214D" w:rsidP="00153B2F">
      <w:pPr>
        <w:keepNext/>
        <w:spacing w:after="120" w:line="240" w:lineRule="auto"/>
        <w:rPr>
          <w:rFonts w:ascii="Times New Roman" w:eastAsia="Times New Roman" w:hAnsi="Times New Roman"/>
          <w:sz w:val="24"/>
          <w:szCs w:val="24"/>
          <w:u w:val="single"/>
          <w:lang w:eastAsia="en-AU"/>
        </w:rPr>
      </w:pPr>
      <w:r w:rsidRPr="005F36BF">
        <w:rPr>
          <w:rFonts w:ascii="Times New Roman" w:eastAsia="Times New Roman" w:hAnsi="Times New Roman"/>
          <w:sz w:val="24"/>
          <w:szCs w:val="24"/>
          <w:u w:val="single"/>
          <w:lang w:eastAsia="en-AU"/>
        </w:rPr>
        <w:t>23</w:t>
      </w:r>
      <w:r w:rsidRPr="005F36BF">
        <w:rPr>
          <w:rFonts w:ascii="Times New Roman" w:eastAsia="Times New Roman" w:hAnsi="Times New Roman"/>
          <w:sz w:val="24"/>
          <w:szCs w:val="24"/>
          <w:u w:val="single"/>
          <w:lang w:eastAsia="en-AU"/>
        </w:rPr>
        <w:tab/>
        <w:t>Ancillary emissions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23 </w:t>
      </w:r>
      <w:r w:rsidRPr="005F36BF">
        <w:rPr>
          <w:rFonts w:ascii="Times New Roman" w:hAnsi="Times New Roman"/>
          <w:sz w:val="24"/>
          <w:szCs w:val="24"/>
        </w:rPr>
        <w:t xml:space="preserve">provides the equation for estimating ancillary emissions associated with implementing a re-route to flare project. </w:t>
      </w:r>
      <w:r w:rsidRPr="005F36BF">
        <w:rPr>
          <w:rFonts w:ascii="Times New Roman" w:hAnsi="Times New Roman"/>
          <w:b/>
          <w:i/>
          <w:sz w:val="24"/>
          <w:szCs w:val="24"/>
        </w:rPr>
        <w:t>Equation 10</w:t>
      </w:r>
      <w:r w:rsidRPr="005F36BF">
        <w:rPr>
          <w:rFonts w:ascii="Times New Roman" w:hAnsi="Times New Roman"/>
          <w:sz w:val="24"/>
          <w:szCs w:val="24"/>
        </w:rPr>
        <w:t xml:space="preserve"> calculates the ancillary emissions by summing emissions from any electricity use and emissions from any combustion of fuel for st</w:t>
      </w:r>
      <w:r w:rsidRPr="005F36BF">
        <w:rPr>
          <w:rFonts w:ascii="Times New Roman" w:hAnsi="Times New Roman"/>
          <w:sz w:val="24"/>
          <w:szCs w:val="24"/>
        </w:rPr>
        <w:t xml:space="preserve">ationary energy purposes.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Emissions from electricity use are determined by multiplying the quantity of electricity consumed in the reporting period by the relevant electricity emissions factor. Electricity emissions factors are set out in the </w:t>
      </w:r>
      <w:r w:rsidRPr="005F36BF">
        <w:rPr>
          <w:rFonts w:ascii="Times New Roman" w:hAnsi="Times New Roman"/>
          <w:b/>
          <w:i/>
          <w:sz w:val="24"/>
          <w:szCs w:val="24"/>
        </w:rPr>
        <w:t xml:space="preserve">NGA Factors </w:t>
      </w:r>
      <w:r w:rsidRPr="005F36BF">
        <w:rPr>
          <w:rFonts w:ascii="Times New Roman" w:hAnsi="Times New Roman"/>
          <w:b/>
          <w:i/>
          <w:sz w:val="24"/>
          <w:szCs w:val="24"/>
        </w:rPr>
        <w:t>document</w:t>
      </w:r>
      <w:r w:rsidRPr="005F36BF">
        <w:rPr>
          <w:rFonts w:ascii="Times New Roman" w:hAnsi="Times New Roman"/>
          <w:sz w:val="24"/>
          <w:szCs w:val="24"/>
        </w:rPr>
        <w:t>. For electricity imported from off-grid sources, the factor set out in the NGA Factors document or provided by the supplier can be used.</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Emissions from fuel combustion are required to be calculated in accordance with the relevant sections of the N</w:t>
      </w:r>
      <w:r w:rsidRPr="005F36BF">
        <w:rPr>
          <w:rFonts w:ascii="Times New Roman" w:hAnsi="Times New Roman"/>
          <w:sz w:val="24"/>
          <w:szCs w:val="24"/>
        </w:rPr>
        <w:t>GER (Measurement) Determination.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Ancillary emissions are taken to be zero if including the total ancillary emissions for an RTF project would not result in a difference of five per cent or more to the net abatement amount in a reporting period.</w:t>
      </w:r>
    </w:p>
    <w:p w:rsidR="00153B2F" w:rsidRPr="005F36BF" w:rsidRDefault="00D1214D" w:rsidP="00153B2F">
      <w:pPr>
        <w:keepNext/>
        <w:spacing w:after="120" w:line="240" w:lineRule="auto"/>
        <w:rPr>
          <w:rFonts w:ascii="Times New Roman" w:hAnsi="Times New Roman"/>
          <w:sz w:val="24"/>
          <w:szCs w:val="24"/>
        </w:rPr>
      </w:pPr>
    </w:p>
    <w:p w:rsidR="00163EE9" w:rsidRPr="005F36BF" w:rsidRDefault="00D1214D">
      <w:pPr>
        <w:rPr>
          <w:rFonts w:ascii="Times New Roman" w:hAnsi="Times New Roman"/>
          <w:b/>
          <w:sz w:val="24"/>
          <w:szCs w:val="24"/>
        </w:rPr>
      </w:pPr>
      <w:r w:rsidRPr="005F36BF">
        <w:rPr>
          <w:rFonts w:ascii="Times New Roman" w:hAnsi="Times New Roman"/>
          <w:b/>
          <w:sz w:val="24"/>
          <w:szCs w:val="24"/>
        </w:rPr>
        <w:br w:type="page"/>
      </w:r>
    </w:p>
    <w:p w:rsidR="00153B2F" w:rsidRPr="005F36BF" w:rsidRDefault="00D1214D" w:rsidP="00153B2F">
      <w:pPr>
        <w:keepNext/>
        <w:spacing w:after="120" w:line="240" w:lineRule="auto"/>
        <w:rPr>
          <w:rFonts w:ascii="Times New Roman" w:hAnsi="Times New Roman"/>
          <w:b/>
          <w:sz w:val="24"/>
          <w:szCs w:val="24"/>
        </w:rPr>
      </w:pPr>
      <w:r w:rsidRPr="005F36BF">
        <w:rPr>
          <w:rFonts w:ascii="Times New Roman" w:hAnsi="Times New Roman"/>
          <w:b/>
          <w:sz w:val="24"/>
          <w:szCs w:val="24"/>
        </w:rPr>
        <w:lastRenderedPageBreak/>
        <w:t>Part 5</w:t>
      </w:r>
      <w:r w:rsidRPr="005F36BF">
        <w:rPr>
          <w:rFonts w:ascii="Times New Roman" w:hAnsi="Times New Roman"/>
          <w:b/>
          <w:sz w:val="24"/>
          <w:szCs w:val="24"/>
        </w:rPr>
        <w:tab/>
      </w:r>
      <w:r w:rsidRPr="005F36BF">
        <w:rPr>
          <w:rFonts w:ascii="Times New Roman" w:hAnsi="Times New Roman"/>
          <w:b/>
          <w:sz w:val="24"/>
          <w:szCs w:val="24"/>
        </w:rPr>
        <w:tab/>
      </w:r>
      <w:r w:rsidRPr="005F36BF">
        <w:rPr>
          <w:rFonts w:ascii="Times New Roman" w:hAnsi="Times New Roman"/>
          <w:b/>
          <w:sz w:val="24"/>
          <w:szCs w:val="24"/>
        </w:rPr>
        <w:t>Reporting, record-keeping and monitoring requirements</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Subsection 106(3) of the Act provides that a methodology determination may subject the proponent of an eligible offsets project to specified reporting, notification, record</w:t>
      </w:r>
      <w:r w:rsidRPr="005F36BF">
        <w:rPr>
          <w:rFonts w:ascii="Times New Roman" w:eastAsia="Times New Roman" w:hAnsi="Times New Roman"/>
          <w:sz w:val="24"/>
          <w:szCs w:val="24"/>
          <w:lang w:eastAsia="en-AU"/>
        </w:rPr>
        <w:noBreakHyphen/>
      </w:r>
      <w:proofErr w:type="spellStart"/>
      <w:r w:rsidRPr="005F36BF">
        <w:rPr>
          <w:rFonts w:ascii="Times New Roman" w:eastAsia="Times New Roman" w:hAnsi="Times New Roman"/>
          <w:sz w:val="24"/>
          <w:szCs w:val="24"/>
          <w:lang w:eastAsia="en-AU"/>
        </w:rPr>
        <w:t>keeping</w:t>
      </w:r>
      <w:proofErr w:type="spellEnd"/>
      <w:r w:rsidRPr="005F36BF">
        <w:rPr>
          <w:rFonts w:ascii="Times New Roman" w:eastAsia="Times New Roman" w:hAnsi="Times New Roman"/>
          <w:sz w:val="24"/>
          <w:szCs w:val="24"/>
          <w:lang w:eastAsia="en-AU"/>
        </w:rPr>
        <w:t xml:space="preserve"> and monitoring requir</w:t>
      </w:r>
      <w:r w:rsidRPr="005F36BF">
        <w:rPr>
          <w:rFonts w:ascii="Times New Roman" w:eastAsia="Times New Roman" w:hAnsi="Times New Roman"/>
          <w:sz w:val="24"/>
          <w:szCs w:val="24"/>
          <w:lang w:eastAsia="en-AU"/>
        </w:rPr>
        <w:t xml:space="preserve">ements. </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Under Parts 17 and 21 of the Act, a failure to comply with these requirements may constitute a breach of a civil penalty provision and a financial penalty may be payable.</w:t>
      </w:r>
    </w:p>
    <w:p w:rsidR="00153B2F" w:rsidRPr="005F36BF" w:rsidRDefault="00D1214D" w:rsidP="00153B2F">
      <w:pPr>
        <w:pStyle w:val="ListParagraph"/>
        <w:spacing w:after="120" w:line="240" w:lineRule="auto"/>
        <w:ind w:left="0"/>
        <w:rPr>
          <w:rFonts w:ascii="Times New Roman" w:hAnsi="Times New Roman"/>
          <w:sz w:val="24"/>
          <w:szCs w:val="24"/>
        </w:rPr>
      </w:pPr>
      <w:r w:rsidRPr="005F36BF">
        <w:rPr>
          <w:rFonts w:ascii="Times New Roman" w:hAnsi="Times New Roman"/>
          <w:sz w:val="24"/>
          <w:szCs w:val="24"/>
        </w:rPr>
        <w:t>The reporting, notification and record-keeping requirements specified in Par</w:t>
      </w:r>
      <w:r w:rsidRPr="005F36BF">
        <w:rPr>
          <w:rFonts w:ascii="Times New Roman" w:hAnsi="Times New Roman"/>
          <w:sz w:val="24"/>
          <w:szCs w:val="24"/>
        </w:rPr>
        <w:t xml:space="preserve">t 5 of the Determination are in addition to any requirements specified in the Act, regulations and legislative rules.  </w:t>
      </w:r>
    </w:p>
    <w:p w:rsidR="00153B2F" w:rsidRPr="005F36BF" w:rsidRDefault="00D1214D" w:rsidP="00153B2F">
      <w:pPr>
        <w:spacing w:after="0" w:line="240" w:lineRule="auto"/>
        <w:rPr>
          <w:rFonts w:ascii="Times New Roman" w:hAnsi="Times New Roman"/>
          <w:sz w:val="24"/>
          <w:szCs w:val="24"/>
          <w:u w:val="single"/>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Reporting periods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Act and subordinate legislation provide for flexible reporting periods generally between six months and two years</w:t>
      </w:r>
      <w:r w:rsidRPr="005F36BF">
        <w:rPr>
          <w:rFonts w:ascii="Times New Roman" w:hAnsi="Times New Roman"/>
          <w:sz w:val="24"/>
          <w:szCs w:val="24"/>
        </w:rPr>
        <w:t xml:space="preserve"> in duration (with monthly reporting available if abatement meets or exceeds 2,000 tonnes of carbon dioxide equivalent).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u w:val="single"/>
        </w:rPr>
        <w:br/>
        <w:t>Audit requirements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Act provides for a risk-based approach to auditing abatement. Subsections 13(1) and 76(4) of the Act provide fo</w:t>
      </w:r>
      <w:r w:rsidRPr="005F36BF">
        <w:rPr>
          <w:rFonts w:ascii="Times New Roman" w:hAnsi="Times New Roman"/>
          <w:sz w:val="24"/>
          <w:szCs w:val="24"/>
        </w:rPr>
        <w:t xml:space="preserve">r legislative rules to be made by the Minister, specifying the level of assurance, and the frequency and scope of the audit report that must be provided with project reports for different types of projects. These are outlined in the </w:t>
      </w:r>
      <w:r w:rsidRPr="005F36BF">
        <w:rPr>
          <w:rFonts w:ascii="Times New Roman" w:hAnsi="Times New Roman"/>
          <w:i/>
          <w:sz w:val="24"/>
          <w:szCs w:val="24"/>
        </w:rPr>
        <w:t xml:space="preserve">Carbon Credits (Carbon </w:t>
      </w:r>
      <w:r w:rsidRPr="005F36BF">
        <w:rPr>
          <w:rFonts w:ascii="Times New Roman" w:hAnsi="Times New Roman"/>
          <w:i/>
          <w:sz w:val="24"/>
          <w:szCs w:val="24"/>
        </w:rPr>
        <w:t>Farming Initiative) Rule 2015.</w:t>
      </w:r>
    </w:p>
    <w:p w:rsidR="00153B2F" w:rsidRPr="005F36BF" w:rsidRDefault="00D1214D" w:rsidP="00153B2F">
      <w:pPr>
        <w:spacing w:after="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Reporting, notification and record-keeping requirements</w:t>
      </w: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rPr>
        <w:t xml:space="preserve">In addition to the requirements in the Determination, the Act and </w:t>
      </w:r>
      <w:r w:rsidRPr="005F36BF">
        <w:rPr>
          <w:rFonts w:ascii="Times New Roman" w:hAnsi="Times New Roman"/>
          <w:i/>
          <w:sz w:val="24"/>
          <w:szCs w:val="24"/>
        </w:rPr>
        <w:t xml:space="preserve">Carbon Credits (Carbon Farming Initiative) Rule 2015 </w:t>
      </w:r>
      <w:r w:rsidRPr="005F36BF">
        <w:rPr>
          <w:rFonts w:ascii="Times New Roman" w:hAnsi="Times New Roman"/>
          <w:sz w:val="24"/>
          <w:szCs w:val="24"/>
        </w:rPr>
        <w:t xml:space="preserve">specify other reporting, notification, </w:t>
      </w:r>
      <w:r w:rsidRPr="005F36BF">
        <w:rPr>
          <w:rFonts w:ascii="Times New Roman" w:hAnsi="Times New Roman"/>
          <w:sz w:val="24"/>
          <w:szCs w:val="24"/>
        </w:rPr>
        <w:t>record-keeping, and monitoring requirements that apply to all ERF projects.</w:t>
      </w:r>
    </w:p>
    <w:p w:rsidR="00163EE9" w:rsidRPr="005F36BF" w:rsidRDefault="00D1214D" w:rsidP="00153B2F">
      <w:pPr>
        <w:keepNext/>
        <w:spacing w:after="120" w:line="240" w:lineRule="auto"/>
        <w:rPr>
          <w:rFonts w:ascii="Times New Roman" w:hAnsi="Times New Roman"/>
          <w:b/>
          <w:sz w:val="24"/>
          <w:szCs w:val="24"/>
        </w:rPr>
      </w:pP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b/>
          <w:sz w:val="24"/>
          <w:szCs w:val="24"/>
        </w:rPr>
        <w:t>Division 1</w:t>
      </w:r>
      <w:r w:rsidRPr="005F36BF">
        <w:rPr>
          <w:rFonts w:ascii="Times New Roman" w:hAnsi="Times New Roman"/>
          <w:b/>
          <w:sz w:val="24"/>
          <w:szCs w:val="24"/>
        </w:rPr>
        <w:tab/>
      </w:r>
      <w:r w:rsidRPr="005F36BF">
        <w:rPr>
          <w:rFonts w:ascii="Times New Roman" w:hAnsi="Times New Roman"/>
          <w:b/>
          <w:sz w:val="24"/>
          <w:szCs w:val="24"/>
        </w:rPr>
        <w:tab/>
        <w:t>Reporting requirements</w:t>
      </w: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r w:rsidRPr="005F36BF">
        <w:rPr>
          <w:rFonts w:ascii="Times New Roman" w:hAnsi="Times New Roman"/>
          <w:sz w:val="24"/>
          <w:szCs w:val="24"/>
          <w:u w:val="single"/>
        </w:rPr>
        <w:t>24</w:t>
      </w:r>
      <w:r w:rsidRPr="005F36BF">
        <w:rPr>
          <w:rFonts w:ascii="Times New Roman" w:hAnsi="Times New Roman"/>
          <w:sz w:val="24"/>
          <w:szCs w:val="24"/>
          <w:u w:val="single"/>
        </w:rPr>
        <w:tab/>
        <w:t>Operation of this Division</w:t>
      </w: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rPr>
        <w:t>The effect of paragraph 106(3</w:t>
      </w:r>
      <w:proofErr w:type="gramStart"/>
      <w:r w:rsidRPr="005F36BF">
        <w:rPr>
          <w:rFonts w:ascii="Times New Roman" w:hAnsi="Times New Roman"/>
          <w:sz w:val="24"/>
          <w:szCs w:val="24"/>
        </w:rPr>
        <w:t>)(</w:t>
      </w:r>
      <w:proofErr w:type="gramEnd"/>
      <w:r w:rsidRPr="005F36BF">
        <w:rPr>
          <w:rFonts w:ascii="Times New Roman" w:hAnsi="Times New Roman"/>
          <w:sz w:val="24"/>
          <w:szCs w:val="24"/>
        </w:rPr>
        <w:t xml:space="preserve">a) of the Act is that a methodology determination may set out reporting </w:t>
      </w:r>
      <w:r w:rsidRPr="005F36BF">
        <w:rPr>
          <w:rFonts w:ascii="Times New Roman" w:hAnsi="Times New Roman"/>
          <w:sz w:val="24"/>
          <w:szCs w:val="24"/>
        </w:rPr>
        <w:t>requirements for an eligible offsets project. Division 1 sets out certain reporting requirements.</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25</w:t>
      </w:r>
      <w:r w:rsidRPr="005F36BF">
        <w:rPr>
          <w:rFonts w:ascii="Times New Roman" w:hAnsi="Times New Roman"/>
          <w:sz w:val="24"/>
          <w:szCs w:val="24"/>
          <w:u w:val="single"/>
        </w:rPr>
        <w:tab/>
        <w:t>Offsets report requirements</w:t>
      </w: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rPr>
        <w:t xml:space="preserve">Section </w:t>
      </w:r>
      <w:r w:rsidRPr="005F36BF">
        <w:rPr>
          <w:rFonts w:ascii="Times New Roman" w:hAnsi="Times New Roman"/>
          <w:sz w:val="24"/>
          <w:szCs w:val="24"/>
        </w:rPr>
        <w:t xml:space="preserve">25 </w:t>
      </w:r>
      <w:r w:rsidRPr="005F36BF">
        <w:rPr>
          <w:rFonts w:ascii="Times New Roman" w:hAnsi="Times New Roman"/>
          <w:sz w:val="24"/>
          <w:szCs w:val="24"/>
        </w:rPr>
        <w:t>sets out a number of requirements to include information in an offsets report in circumstances where emissions bein</w:t>
      </w:r>
      <w:r w:rsidRPr="005F36BF">
        <w:rPr>
          <w:rFonts w:ascii="Times New Roman" w:hAnsi="Times New Roman"/>
          <w:sz w:val="24"/>
          <w:szCs w:val="24"/>
        </w:rPr>
        <w:t>g reporting under the offsets project have also been, or are likely to be, reported under the NGER Act through an NGER report. This reporting requirement is intended to allow the national emissions inventory to incorporate more accurate estimates of emissi</w:t>
      </w:r>
      <w:r w:rsidRPr="005F36BF">
        <w:rPr>
          <w:rFonts w:ascii="Times New Roman" w:hAnsi="Times New Roman"/>
          <w:sz w:val="24"/>
          <w:szCs w:val="24"/>
        </w:rPr>
        <w:t xml:space="preserve">ons from facilities that undertake oil and gas projects.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Paragraph</w:t>
      </w:r>
      <w:r w:rsidRPr="005F36BF">
        <w:rPr>
          <w:rFonts w:ascii="Times New Roman" w:hAnsi="Times New Roman"/>
          <w:sz w:val="24"/>
          <w:szCs w:val="24"/>
        </w:rPr>
        <w:t>s</w:t>
      </w:r>
      <w:r w:rsidRPr="005F36BF">
        <w:rPr>
          <w:rFonts w:ascii="Times New Roman" w:hAnsi="Times New Roman"/>
          <w:sz w:val="24"/>
          <w:szCs w:val="24"/>
        </w:rPr>
        <w:t xml:space="preserve"> </w:t>
      </w:r>
      <w:r w:rsidRPr="005F36BF">
        <w:rPr>
          <w:rFonts w:ascii="Times New Roman" w:hAnsi="Times New Roman"/>
          <w:sz w:val="24"/>
          <w:szCs w:val="24"/>
        </w:rPr>
        <w:t>25</w:t>
      </w:r>
      <w:r w:rsidRPr="005F36BF">
        <w:rPr>
          <w:rFonts w:ascii="Times New Roman" w:hAnsi="Times New Roman"/>
          <w:sz w:val="24"/>
          <w:szCs w:val="24"/>
        </w:rPr>
        <w:t>(1)(a) and</w:t>
      </w:r>
      <w:r w:rsidRPr="005F36BF">
        <w:rPr>
          <w:rFonts w:ascii="Times New Roman" w:hAnsi="Times New Roman"/>
          <w:sz w:val="24"/>
          <w:szCs w:val="24"/>
        </w:rPr>
        <w:t xml:space="preserve"> </w:t>
      </w:r>
      <w:r w:rsidRPr="005F36BF">
        <w:rPr>
          <w:rFonts w:ascii="Times New Roman" w:hAnsi="Times New Roman"/>
          <w:sz w:val="24"/>
          <w:szCs w:val="24"/>
        </w:rPr>
        <w:t xml:space="preserve">(b) set out that where subsection </w:t>
      </w:r>
      <w:r w:rsidRPr="005F36BF">
        <w:rPr>
          <w:rFonts w:ascii="Times New Roman" w:hAnsi="Times New Roman"/>
          <w:sz w:val="24"/>
          <w:szCs w:val="24"/>
        </w:rPr>
        <w:t>25</w:t>
      </w:r>
      <w:r w:rsidRPr="005F36BF">
        <w:rPr>
          <w:rFonts w:ascii="Times New Roman" w:hAnsi="Times New Roman"/>
          <w:sz w:val="24"/>
          <w:szCs w:val="24"/>
        </w:rPr>
        <w:t>(1) applies, the offsets report must include identifying information for the reporting entity and relevant facility for emissions that are</w:t>
      </w:r>
      <w:r w:rsidRPr="005F36BF">
        <w:rPr>
          <w:rFonts w:ascii="Times New Roman" w:hAnsi="Times New Roman"/>
          <w:sz w:val="24"/>
          <w:szCs w:val="24"/>
        </w:rPr>
        <w:t xml:space="preserve"> being reported through both an NGER report and an offsets report.</w:t>
      </w: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sz w:val="24"/>
          <w:szCs w:val="24"/>
        </w:rPr>
        <w:lastRenderedPageBreak/>
        <w:t xml:space="preserve">Paragraph </w:t>
      </w:r>
      <w:r w:rsidRPr="005F36BF">
        <w:rPr>
          <w:rFonts w:ascii="Times New Roman" w:hAnsi="Times New Roman"/>
          <w:sz w:val="24"/>
          <w:szCs w:val="24"/>
        </w:rPr>
        <w:t>25</w:t>
      </w:r>
      <w:r w:rsidRPr="005F36BF">
        <w:rPr>
          <w:rFonts w:ascii="Times New Roman" w:hAnsi="Times New Roman"/>
          <w:sz w:val="24"/>
          <w:szCs w:val="24"/>
        </w:rPr>
        <w:t>(1</w:t>
      </w:r>
      <w:proofErr w:type="gramStart"/>
      <w:r w:rsidRPr="005F36BF">
        <w:rPr>
          <w:rFonts w:ascii="Times New Roman" w:hAnsi="Times New Roman"/>
          <w:sz w:val="24"/>
          <w:szCs w:val="24"/>
        </w:rPr>
        <w:t>)(</w:t>
      </w:r>
      <w:proofErr w:type="gramEnd"/>
      <w:r w:rsidRPr="005F36BF">
        <w:rPr>
          <w:rFonts w:ascii="Times New Roman" w:hAnsi="Times New Roman"/>
          <w:sz w:val="24"/>
          <w:szCs w:val="24"/>
        </w:rPr>
        <w:t xml:space="preserve">c) sets out that where subsection </w:t>
      </w:r>
      <w:r w:rsidRPr="005F36BF">
        <w:rPr>
          <w:rFonts w:ascii="Times New Roman" w:hAnsi="Times New Roman"/>
          <w:sz w:val="24"/>
          <w:szCs w:val="24"/>
        </w:rPr>
        <w:t>25</w:t>
      </w:r>
      <w:r w:rsidRPr="005F36BF">
        <w:rPr>
          <w:rFonts w:ascii="Times New Roman" w:hAnsi="Times New Roman"/>
          <w:sz w:val="24"/>
          <w:szCs w:val="24"/>
        </w:rPr>
        <w:t>(1) applies, the offsets report must include details of the relevant provisions of the NGER (Measurement) Determination that have or will</w:t>
      </w:r>
      <w:r w:rsidRPr="005F36BF">
        <w:rPr>
          <w:rFonts w:ascii="Times New Roman" w:hAnsi="Times New Roman"/>
          <w:sz w:val="24"/>
          <w:szCs w:val="24"/>
        </w:rPr>
        <w:t xml:space="preserve"> be applied to estimate the emissions which are also being estimated through the requirements of the offsets project. This requirement allows the end-user of an offsets report to determine the NGER methodology that has been applied to the estimation of emi</w:t>
      </w:r>
      <w:r w:rsidRPr="005F36BF">
        <w:rPr>
          <w:rFonts w:ascii="Times New Roman" w:hAnsi="Times New Roman"/>
          <w:sz w:val="24"/>
          <w:szCs w:val="24"/>
        </w:rPr>
        <w:t xml:space="preserve">ssions and ultimately whether it is a higher or lower order approach than applied under the offsets report. </w:t>
      </w: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sz w:val="24"/>
          <w:szCs w:val="24"/>
        </w:rPr>
        <w:t>Paragraph</w:t>
      </w:r>
      <w:r w:rsidRPr="005F36BF">
        <w:rPr>
          <w:rFonts w:ascii="Times New Roman" w:hAnsi="Times New Roman"/>
          <w:sz w:val="24"/>
          <w:szCs w:val="24"/>
        </w:rPr>
        <w:t>s</w:t>
      </w:r>
      <w:r w:rsidRPr="005F36BF">
        <w:rPr>
          <w:rFonts w:ascii="Times New Roman" w:hAnsi="Times New Roman"/>
          <w:sz w:val="24"/>
          <w:szCs w:val="24"/>
        </w:rPr>
        <w:t xml:space="preserve"> </w:t>
      </w:r>
      <w:r w:rsidRPr="005F36BF">
        <w:rPr>
          <w:rFonts w:ascii="Times New Roman" w:hAnsi="Times New Roman"/>
          <w:sz w:val="24"/>
          <w:szCs w:val="24"/>
        </w:rPr>
        <w:t>25</w:t>
      </w:r>
      <w:r w:rsidRPr="005F36BF">
        <w:rPr>
          <w:rFonts w:ascii="Times New Roman" w:hAnsi="Times New Roman"/>
          <w:sz w:val="24"/>
          <w:szCs w:val="24"/>
        </w:rPr>
        <w:t>(1</w:t>
      </w:r>
      <w:proofErr w:type="gramStart"/>
      <w:r w:rsidRPr="005F36BF">
        <w:rPr>
          <w:rFonts w:ascii="Times New Roman" w:hAnsi="Times New Roman"/>
          <w:sz w:val="24"/>
          <w:szCs w:val="24"/>
        </w:rPr>
        <w:t>)(</w:t>
      </w:r>
      <w:proofErr w:type="gramEnd"/>
      <w:r w:rsidRPr="005F36BF">
        <w:rPr>
          <w:rFonts w:ascii="Times New Roman" w:hAnsi="Times New Roman"/>
          <w:sz w:val="24"/>
          <w:szCs w:val="24"/>
        </w:rPr>
        <w:t>d)</w:t>
      </w:r>
      <w:r w:rsidRPr="005F36BF">
        <w:rPr>
          <w:rFonts w:ascii="Times New Roman" w:hAnsi="Times New Roman"/>
          <w:sz w:val="24"/>
          <w:szCs w:val="24"/>
        </w:rPr>
        <w:t xml:space="preserve"> and </w:t>
      </w:r>
      <w:r w:rsidRPr="005F36BF">
        <w:rPr>
          <w:rFonts w:ascii="Times New Roman" w:hAnsi="Times New Roman"/>
          <w:sz w:val="24"/>
          <w:szCs w:val="24"/>
        </w:rPr>
        <w:t xml:space="preserve"> </w:t>
      </w:r>
      <w:r w:rsidRPr="005F36BF">
        <w:rPr>
          <w:rFonts w:ascii="Times New Roman" w:hAnsi="Times New Roman"/>
          <w:sz w:val="24"/>
          <w:szCs w:val="24"/>
        </w:rPr>
        <w:t>(</w:t>
      </w:r>
      <w:r w:rsidRPr="005F36BF">
        <w:rPr>
          <w:rFonts w:ascii="Times New Roman" w:hAnsi="Times New Roman"/>
          <w:sz w:val="24"/>
          <w:szCs w:val="24"/>
        </w:rPr>
        <w:t>e</w:t>
      </w:r>
      <w:r w:rsidRPr="005F36BF">
        <w:rPr>
          <w:rFonts w:ascii="Times New Roman" w:hAnsi="Times New Roman"/>
          <w:sz w:val="24"/>
          <w:szCs w:val="24"/>
        </w:rPr>
        <w:t xml:space="preserve">) </w:t>
      </w:r>
      <w:r w:rsidRPr="005F36BF">
        <w:rPr>
          <w:rFonts w:ascii="Times New Roman" w:hAnsi="Times New Roman"/>
          <w:sz w:val="24"/>
          <w:szCs w:val="24"/>
        </w:rPr>
        <w:t xml:space="preserve">set out that where subsection </w:t>
      </w:r>
      <w:r w:rsidRPr="005F36BF">
        <w:rPr>
          <w:rFonts w:ascii="Times New Roman" w:hAnsi="Times New Roman"/>
          <w:sz w:val="24"/>
          <w:szCs w:val="24"/>
        </w:rPr>
        <w:t>25</w:t>
      </w:r>
      <w:r w:rsidRPr="005F36BF">
        <w:rPr>
          <w:rFonts w:ascii="Times New Roman" w:hAnsi="Times New Roman"/>
          <w:sz w:val="24"/>
          <w:szCs w:val="24"/>
        </w:rPr>
        <w:t xml:space="preserve">(1) applies, the offsets report must include information for a number of quantities </w:t>
      </w:r>
      <w:r w:rsidRPr="005F36BF">
        <w:rPr>
          <w:rFonts w:ascii="Times New Roman" w:hAnsi="Times New Roman"/>
          <w:sz w:val="24"/>
          <w:szCs w:val="24"/>
        </w:rPr>
        <w:t xml:space="preserve">or values </w:t>
      </w:r>
      <w:r w:rsidRPr="005F36BF">
        <w:rPr>
          <w:rFonts w:ascii="Times New Roman" w:hAnsi="Times New Roman"/>
          <w:sz w:val="24"/>
          <w:szCs w:val="24"/>
        </w:rPr>
        <w:t xml:space="preserve">that have been estimated using the measurement requirements set out in the Determination. These quantities </w:t>
      </w:r>
      <w:r w:rsidRPr="005F36BF">
        <w:rPr>
          <w:rFonts w:ascii="Times New Roman" w:hAnsi="Times New Roman"/>
          <w:sz w:val="24"/>
          <w:szCs w:val="24"/>
        </w:rPr>
        <w:t xml:space="preserve">or values </w:t>
      </w:r>
      <w:r w:rsidRPr="005F36BF">
        <w:rPr>
          <w:rFonts w:ascii="Times New Roman" w:hAnsi="Times New Roman"/>
          <w:sz w:val="24"/>
          <w:szCs w:val="24"/>
        </w:rPr>
        <w:t>are not necessarily the outcomes of standalone equations, however the Determination includes equations for which these quantities</w:t>
      </w:r>
      <w:r w:rsidRPr="005F36BF">
        <w:rPr>
          <w:rFonts w:ascii="Times New Roman" w:hAnsi="Times New Roman"/>
          <w:sz w:val="24"/>
          <w:szCs w:val="24"/>
        </w:rPr>
        <w:t xml:space="preserve"> are included in the working, and this is the effect of subsection </w:t>
      </w:r>
      <w:r w:rsidRPr="005F36BF">
        <w:rPr>
          <w:rFonts w:ascii="Times New Roman" w:hAnsi="Times New Roman"/>
          <w:sz w:val="24"/>
          <w:szCs w:val="24"/>
        </w:rPr>
        <w:t>25</w:t>
      </w:r>
      <w:r w:rsidRPr="005F36BF">
        <w:rPr>
          <w:rFonts w:ascii="Times New Roman" w:hAnsi="Times New Roman"/>
          <w:sz w:val="24"/>
          <w:szCs w:val="24"/>
        </w:rPr>
        <w:t>(</w:t>
      </w:r>
      <w:r w:rsidRPr="005F36BF">
        <w:rPr>
          <w:rFonts w:ascii="Times New Roman" w:hAnsi="Times New Roman"/>
          <w:sz w:val="24"/>
          <w:szCs w:val="24"/>
        </w:rPr>
        <w:t>3</w:t>
      </w:r>
      <w:r w:rsidRPr="005F36BF">
        <w:rPr>
          <w:rFonts w:ascii="Times New Roman" w:hAnsi="Times New Roman"/>
          <w:sz w:val="24"/>
          <w:szCs w:val="24"/>
        </w:rPr>
        <w:t>).</w:t>
      </w: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sz w:val="24"/>
          <w:szCs w:val="24"/>
        </w:rPr>
        <w:t xml:space="preserve">Subsection </w:t>
      </w:r>
      <w:r w:rsidRPr="005F36BF">
        <w:rPr>
          <w:rFonts w:ascii="Times New Roman" w:hAnsi="Times New Roman"/>
          <w:sz w:val="24"/>
          <w:szCs w:val="24"/>
        </w:rPr>
        <w:t>25</w:t>
      </w:r>
      <w:r w:rsidRPr="005F36BF">
        <w:rPr>
          <w:rFonts w:ascii="Times New Roman" w:hAnsi="Times New Roman"/>
          <w:sz w:val="24"/>
          <w:szCs w:val="24"/>
        </w:rPr>
        <w:t>(</w:t>
      </w:r>
      <w:r w:rsidRPr="005F36BF">
        <w:rPr>
          <w:rFonts w:ascii="Times New Roman" w:hAnsi="Times New Roman"/>
          <w:sz w:val="24"/>
          <w:szCs w:val="24"/>
        </w:rPr>
        <w:t>2</w:t>
      </w:r>
      <w:r w:rsidRPr="005F36BF">
        <w:rPr>
          <w:rFonts w:ascii="Times New Roman" w:hAnsi="Times New Roman"/>
          <w:sz w:val="24"/>
          <w:szCs w:val="24"/>
        </w:rPr>
        <w:t xml:space="preserve">) </w:t>
      </w:r>
      <w:r w:rsidRPr="005F36BF">
        <w:rPr>
          <w:rFonts w:ascii="Times New Roman" w:hAnsi="Times New Roman"/>
          <w:sz w:val="24"/>
          <w:szCs w:val="24"/>
        </w:rPr>
        <w:t>provides that</w:t>
      </w:r>
      <w:r w:rsidRPr="005F36BF">
        <w:rPr>
          <w:rFonts w:ascii="Times New Roman" w:hAnsi="Times New Roman"/>
          <w:sz w:val="24"/>
          <w:szCs w:val="24"/>
        </w:rPr>
        <w:t xml:space="preserve"> in circumstances where it is not reasonably practicable for the project proponent to obtain information set out in </w:t>
      </w:r>
      <w:r w:rsidRPr="005F36BF">
        <w:rPr>
          <w:rFonts w:ascii="Times New Roman" w:hAnsi="Times New Roman"/>
          <w:sz w:val="24"/>
          <w:szCs w:val="24"/>
        </w:rPr>
        <w:t>paragraphs 25(1)(a),(b) or (c)</w:t>
      </w:r>
      <w:r w:rsidRPr="005F36BF">
        <w:rPr>
          <w:rFonts w:ascii="Times New Roman" w:hAnsi="Times New Roman"/>
          <w:sz w:val="24"/>
          <w:szCs w:val="24"/>
        </w:rPr>
        <w:t xml:space="preserve"> that </w:t>
      </w:r>
      <w:r w:rsidRPr="005F36BF">
        <w:rPr>
          <w:rFonts w:ascii="Times New Roman" w:hAnsi="Times New Roman"/>
          <w:sz w:val="24"/>
          <w:szCs w:val="24"/>
        </w:rPr>
        <w:t>the information is not required to be included. Such a circumstance may exist where the project proponent is not the same entity that is providing the NGER report and the project proponent can demonstrate that it was not reasonably practicable to obtain th</w:t>
      </w:r>
      <w:r w:rsidRPr="005F36BF">
        <w:rPr>
          <w:rFonts w:ascii="Times New Roman" w:hAnsi="Times New Roman"/>
          <w:sz w:val="24"/>
          <w:szCs w:val="24"/>
        </w:rPr>
        <w:t xml:space="preserve">e information set out in paragraphs </w:t>
      </w:r>
      <w:r w:rsidRPr="005F36BF">
        <w:rPr>
          <w:rFonts w:ascii="Times New Roman" w:hAnsi="Times New Roman"/>
          <w:sz w:val="24"/>
          <w:szCs w:val="24"/>
        </w:rPr>
        <w:t>25</w:t>
      </w:r>
      <w:r w:rsidRPr="005F36BF">
        <w:rPr>
          <w:rFonts w:ascii="Times New Roman" w:hAnsi="Times New Roman"/>
          <w:sz w:val="24"/>
          <w:szCs w:val="24"/>
        </w:rPr>
        <w:t>(1)(a</w:t>
      </w:r>
      <w:r w:rsidRPr="005F36BF">
        <w:rPr>
          <w:rFonts w:ascii="Times New Roman" w:hAnsi="Times New Roman"/>
          <w:sz w:val="24"/>
          <w:szCs w:val="24"/>
        </w:rPr>
        <w:t>),(b) or (</w:t>
      </w:r>
      <w:r w:rsidRPr="005F36BF">
        <w:rPr>
          <w:rFonts w:ascii="Times New Roman" w:hAnsi="Times New Roman"/>
          <w:sz w:val="24"/>
          <w:szCs w:val="24"/>
        </w:rPr>
        <w:t xml:space="preserve">c) from the separate entity. </w:t>
      </w:r>
    </w:p>
    <w:p w:rsidR="00153B2F" w:rsidRPr="005F36BF" w:rsidRDefault="00D1214D" w:rsidP="00153B2F">
      <w:pPr>
        <w:keepNext/>
        <w:spacing w:after="120" w:line="240" w:lineRule="auto"/>
        <w:rPr>
          <w:rFonts w:ascii="Times New Roman" w:hAnsi="Times New Roman"/>
          <w:sz w:val="24"/>
          <w:szCs w:val="24"/>
          <w:u w:val="single"/>
        </w:rPr>
      </w:pPr>
    </w:p>
    <w:p w:rsidR="00153B2F" w:rsidRPr="005F36BF" w:rsidRDefault="00D1214D" w:rsidP="00153B2F">
      <w:pPr>
        <w:keepNext/>
        <w:spacing w:after="120" w:line="240" w:lineRule="auto"/>
        <w:rPr>
          <w:rFonts w:ascii="Times New Roman" w:hAnsi="Times New Roman"/>
          <w:sz w:val="24"/>
          <w:szCs w:val="24"/>
        </w:rPr>
      </w:pPr>
      <w:r w:rsidRPr="005F36BF">
        <w:rPr>
          <w:rFonts w:ascii="Times New Roman" w:hAnsi="Times New Roman"/>
          <w:b/>
          <w:sz w:val="24"/>
          <w:szCs w:val="24"/>
        </w:rPr>
        <w:t>Division 2</w:t>
      </w:r>
      <w:r w:rsidRPr="005F36BF">
        <w:rPr>
          <w:rFonts w:ascii="Times New Roman" w:hAnsi="Times New Roman"/>
          <w:b/>
          <w:sz w:val="24"/>
          <w:szCs w:val="24"/>
        </w:rPr>
        <w:tab/>
      </w:r>
      <w:r w:rsidRPr="005F36BF">
        <w:rPr>
          <w:rFonts w:ascii="Times New Roman" w:hAnsi="Times New Roman"/>
          <w:b/>
          <w:sz w:val="24"/>
          <w:szCs w:val="24"/>
        </w:rPr>
        <w:tab/>
        <w:t>Record-keeping requirements</w:t>
      </w: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r w:rsidRPr="005F36BF">
        <w:rPr>
          <w:rFonts w:ascii="Times New Roman" w:hAnsi="Times New Roman"/>
          <w:sz w:val="24"/>
          <w:szCs w:val="24"/>
          <w:u w:val="single"/>
        </w:rPr>
        <w:t>26</w:t>
      </w:r>
      <w:r w:rsidRPr="005F36BF">
        <w:rPr>
          <w:rFonts w:ascii="Times New Roman" w:hAnsi="Times New Roman"/>
          <w:sz w:val="24"/>
          <w:szCs w:val="24"/>
          <w:u w:val="single"/>
        </w:rPr>
        <w:tab/>
        <w:t>Operation of this Division</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The effect of paragraph 106(3</w:t>
      </w:r>
      <w:proofErr w:type="gramStart"/>
      <w:r w:rsidRPr="005F36BF">
        <w:rPr>
          <w:rFonts w:ascii="Times New Roman" w:hAnsi="Times New Roman"/>
          <w:sz w:val="24"/>
          <w:szCs w:val="24"/>
        </w:rPr>
        <w:t>)(</w:t>
      </w:r>
      <w:proofErr w:type="gramEnd"/>
      <w:r w:rsidRPr="005F36BF">
        <w:rPr>
          <w:rFonts w:ascii="Times New Roman" w:hAnsi="Times New Roman"/>
          <w:sz w:val="24"/>
          <w:szCs w:val="24"/>
        </w:rPr>
        <w:t>c) of the Act is that a methodology determination may set out record</w:t>
      </w:r>
      <w:r w:rsidRPr="005F36BF">
        <w:rPr>
          <w:rFonts w:ascii="Times New Roman" w:hAnsi="Times New Roman"/>
          <w:sz w:val="24"/>
          <w:szCs w:val="24"/>
        </w:rPr>
        <w:noBreakHyphen/>
      </w:r>
      <w:proofErr w:type="spellStart"/>
      <w:r w:rsidRPr="005F36BF">
        <w:rPr>
          <w:rFonts w:ascii="Times New Roman" w:hAnsi="Times New Roman"/>
          <w:sz w:val="24"/>
          <w:szCs w:val="24"/>
        </w:rPr>
        <w:t>ke</w:t>
      </w:r>
      <w:r w:rsidRPr="005F36BF">
        <w:rPr>
          <w:rFonts w:ascii="Times New Roman" w:hAnsi="Times New Roman"/>
          <w:sz w:val="24"/>
          <w:szCs w:val="24"/>
        </w:rPr>
        <w:t>eping</w:t>
      </w:r>
      <w:proofErr w:type="spellEnd"/>
      <w:r w:rsidRPr="005F36BF">
        <w:rPr>
          <w:rFonts w:ascii="Times New Roman" w:hAnsi="Times New Roman"/>
          <w:sz w:val="24"/>
          <w:szCs w:val="24"/>
        </w:rPr>
        <w:t xml:space="preserve"> requirements for an eligible offsets project. Division </w:t>
      </w:r>
      <w:r w:rsidRPr="005F36BF">
        <w:rPr>
          <w:rFonts w:ascii="Times New Roman" w:hAnsi="Times New Roman"/>
          <w:sz w:val="24"/>
          <w:szCs w:val="24"/>
        </w:rPr>
        <w:t xml:space="preserve">2 </w:t>
      </w:r>
      <w:r w:rsidRPr="005F36BF">
        <w:rPr>
          <w:rFonts w:ascii="Times New Roman" w:hAnsi="Times New Roman"/>
          <w:sz w:val="24"/>
          <w:szCs w:val="24"/>
        </w:rPr>
        <w:t>sets out certain record</w:t>
      </w:r>
      <w:r w:rsidRPr="005F36BF">
        <w:rPr>
          <w:rFonts w:ascii="Times New Roman" w:hAnsi="Times New Roman"/>
          <w:sz w:val="24"/>
          <w:szCs w:val="24"/>
        </w:rPr>
        <w:noBreakHyphen/>
      </w:r>
      <w:proofErr w:type="spellStart"/>
      <w:r w:rsidRPr="005F36BF">
        <w:rPr>
          <w:rFonts w:ascii="Times New Roman" w:hAnsi="Times New Roman"/>
          <w:sz w:val="24"/>
          <w:szCs w:val="24"/>
        </w:rPr>
        <w:t>keeping</w:t>
      </w:r>
      <w:proofErr w:type="spellEnd"/>
      <w:r w:rsidRPr="005F36BF">
        <w:rPr>
          <w:rFonts w:ascii="Times New Roman" w:hAnsi="Times New Roman"/>
          <w:sz w:val="24"/>
          <w:szCs w:val="24"/>
        </w:rPr>
        <w:t xml:space="preserve"> requirements.</w:t>
      </w:r>
    </w:p>
    <w:p w:rsidR="00153B2F" w:rsidRPr="005F36BF" w:rsidRDefault="00D1214D" w:rsidP="00153B2F">
      <w:pPr>
        <w:keepNext/>
        <w:spacing w:after="120" w:line="240" w:lineRule="auto"/>
        <w:rPr>
          <w:rFonts w:ascii="Times New Roman" w:hAnsi="Times New Roman"/>
          <w:sz w:val="24"/>
          <w:szCs w:val="24"/>
          <w:u w:val="single"/>
        </w:rPr>
      </w:pPr>
    </w:p>
    <w:p w:rsidR="00153B2F" w:rsidRPr="005F36BF" w:rsidRDefault="00D1214D" w:rsidP="00153B2F">
      <w:pPr>
        <w:keepNext/>
        <w:spacing w:after="120" w:line="240" w:lineRule="auto"/>
        <w:rPr>
          <w:rFonts w:ascii="Times New Roman" w:hAnsi="Times New Roman"/>
          <w:sz w:val="24"/>
          <w:szCs w:val="24"/>
          <w:u w:val="single"/>
        </w:rPr>
      </w:pPr>
      <w:r w:rsidRPr="005F36BF">
        <w:rPr>
          <w:rFonts w:ascii="Times New Roman" w:hAnsi="Times New Roman"/>
          <w:sz w:val="24"/>
          <w:szCs w:val="24"/>
          <w:u w:val="single"/>
        </w:rPr>
        <w:t>27</w:t>
      </w:r>
      <w:r w:rsidRPr="005F36BF">
        <w:rPr>
          <w:rFonts w:ascii="Times New Roman" w:hAnsi="Times New Roman"/>
          <w:sz w:val="24"/>
          <w:szCs w:val="24"/>
          <w:u w:val="single"/>
        </w:rPr>
        <w:tab/>
        <w:t>Records of choices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27 </w:t>
      </w:r>
      <w:r w:rsidRPr="005F36BF">
        <w:rPr>
          <w:rFonts w:ascii="Times New Roman" w:hAnsi="Times New Roman"/>
          <w:sz w:val="24"/>
          <w:szCs w:val="24"/>
        </w:rPr>
        <w:t xml:space="preserve">requires proponents to keep a record of all decisions made under section </w:t>
      </w:r>
      <w:r w:rsidRPr="005F36BF">
        <w:rPr>
          <w:rFonts w:ascii="Times New Roman" w:hAnsi="Times New Roman"/>
          <w:sz w:val="24"/>
          <w:szCs w:val="24"/>
        </w:rPr>
        <w:t xml:space="preserve">33 </w:t>
      </w:r>
      <w:r w:rsidRPr="005F36BF">
        <w:rPr>
          <w:rFonts w:ascii="Times New Roman" w:hAnsi="Times New Roman"/>
          <w:sz w:val="24"/>
          <w:szCs w:val="24"/>
        </w:rPr>
        <w:t xml:space="preserve">or </w:t>
      </w:r>
      <w:r w:rsidRPr="005F36BF">
        <w:rPr>
          <w:rFonts w:ascii="Times New Roman" w:hAnsi="Times New Roman"/>
          <w:sz w:val="24"/>
          <w:szCs w:val="24"/>
        </w:rPr>
        <w:t xml:space="preserve">34 </w:t>
      </w:r>
      <w:r w:rsidRPr="005F36BF">
        <w:rPr>
          <w:rFonts w:ascii="Times New Roman" w:hAnsi="Times New Roman"/>
          <w:sz w:val="24"/>
          <w:szCs w:val="24"/>
        </w:rPr>
        <w:t>of the Determination. This ensu</w:t>
      </w:r>
      <w:r w:rsidRPr="005F36BF">
        <w:rPr>
          <w:rFonts w:ascii="Times New Roman" w:hAnsi="Times New Roman"/>
          <w:sz w:val="24"/>
          <w:szCs w:val="24"/>
        </w:rPr>
        <w:t xml:space="preserve">res that decisions such as whether historic sampling data is used or whether a fugitive leak measurement period is used are recorded and the timing of these choices </w:t>
      </w:r>
      <w:proofErr w:type="gramStart"/>
      <w:r w:rsidRPr="005F36BF">
        <w:rPr>
          <w:rFonts w:ascii="Times New Roman" w:hAnsi="Times New Roman"/>
          <w:sz w:val="24"/>
          <w:szCs w:val="24"/>
        </w:rPr>
        <w:t>are</w:t>
      </w:r>
      <w:proofErr w:type="gramEnd"/>
      <w:r w:rsidRPr="005F36BF">
        <w:rPr>
          <w:rFonts w:ascii="Times New Roman" w:hAnsi="Times New Roman"/>
          <w:sz w:val="24"/>
          <w:szCs w:val="24"/>
        </w:rPr>
        <w:t xml:space="preserve"> documented. </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keepNext/>
        <w:spacing w:line="240" w:lineRule="auto"/>
        <w:rPr>
          <w:rFonts w:ascii="Times New Roman" w:hAnsi="Times New Roman"/>
          <w:sz w:val="24"/>
          <w:szCs w:val="24"/>
          <w:u w:val="single"/>
        </w:rPr>
      </w:pPr>
      <w:r w:rsidRPr="005F36BF">
        <w:rPr>
          <w:rFonts w:ascii="Times New Roman" w:hAnsi="Times New Roman"/>
          <w:sz w:val="24"/>
          <w:szCs w:val="24"/>
          <w:u w:val="single"/>
        </w:rPr>
        <w:t>28</w:t>
      </w:r>
      <w:r w:rsidRPr="005F36BF">
        <w:rPr>
          <w:rFonts w:ascii="Times New Roman" w:hAnsi="Times New Roman"/>
          <w:sz w:val="24"/>
          <w:szCs w:val="24"/>
          <w:u w:val="single"/>
        </w:rPr>
        <w:tab/>
        <w:t>Records relating to ancillary emissions</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28 </w:t>
      </w:r>
      <w:r w:rsidRPr="005F36BF">
        <w:rPr>
          <w:rFonts w:ascii="Times New Roman" w:hAnsi="Times New Roman"/>
          <w:sz w:val="24"/>
          <w:szCs w:val="24"/>
        </w:rPr>
        <w:t>requires proponents</w:t>
      </w:r>
      <w:r w:rsidRPr="005F36BF">
        <w:rPr>
          <w:rFonts w:ascii="Times New Roman" w:hAnsi="Times New Roman"/>
          <w:sz w:val="24"/>
          <w:szCs w:val="24"/>
        </w:rPr>
        <w:t xml:space="preserve"> to keep a record of any assessments made relating to whether ancillary emissions would not result in a difference of five per cent or more in the net abatement amount.</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line="240" w:lineRule="auto"/>
        <w:rPr>
          <w:rFonts w:ascii="Times New Roman" w:hAnsi="Times New Roman"/>
          <w:sz w:val="24"/>
          <w:szCs w:val="24"/>
          <w:u w:val="single"/>
        </w:rPr>
      </w:pPr>
      <w:r w:rsidRPr="005F36BF">
        <w:rPr>
          <w:rFonts w:ascii="Times New Roman" w:hAnsi="Times New Roman"/>
          <w:sz w:val="24"/>
          <w:szCs w:val="24"/>
          <w:u w:val="single"/>
        </w:rPr>
        <w:t>29</w:t>
      </w:r>
      <w:r w:rsidRPr="005F36BF">
        <w:rPr>
          <w:rFonts w:ascii="Times New Roman" w:hAnsi="Times New Roman"/>
          <w:sz w:val="24"/>
          <w:szCs w:val="24"/>
          <w:u w:val="single"/>
        </w:rPr>
        <w:tab/>
        <w:t xml:space="preserve">Records relating to historical sampling data </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29 </w:t>
      </w:r>
      <w:r w:rsidRPr="005F36BF">
        <w:rPr>
          <w:rFonts w:ascii="Times New Roman" w:hAnsi="Times New Roman"/>
          <w:sz w:val="24"/>
          <w:szCs w:val="24"/>
        </w:rPr>
        <w:t xml:space="preserve">requires proponents to keep a record of any documentation that is used to demonstrate that the data used as historical sampling data satisfies the provisions listed in subsection </w:t>
      </w:r>
      <w:r w:rsidRPr="005F36BF">
        <w:rPr>
          <w:rFonts w:ascii="Times New Roman" w:hAnsi="Times New Roman"/>
          <w:sz w:val="24"/>
          <w:szCs w:val="24"/>
        </w:rPr>
        <w:t>34</w:t>
      </w:r>
      <w:r w:rsidRPr="005F36BF">
        <w:rPr>
          <w:rFonts w:ascii="Times New Roman" w:hAnsi="Times New Roman"/>
          <w:sz w:val="24"/>
          <w:szCs w:val="24"/>
        </w:rPr>
        <w:t>(2).</w:t>
      </w:r>
    </w:p>
    <w:p w:rsidR="00153B2F" w:rsidRPr="005F36BF" w:rsidRDefault="00D1214D" w:rsidP="00153B2F">
      <w:pPr>
        <w:spacing w:after="120" w:line="240" w:lineRule="auto"/>
        <w:rPr>
          <w:rFonts w:ascii="Times New Roman" w:hAnsi="Times New Roman"/>
          <w:b/>
          <w:sz w:val="24"/>
          <w:szCs w:val="24"/>
        </w:rPr>
      </w:pPr>
    </w:p>
    <w:p w:rsidR="00153B2F" w:rsidRPr="005F36BF" w:rsidRDefault="00D1214D" w:rsidP="00153B2F">
      <w:pPr>
        <w:spacing w:after="120" w:line="240" w:lineRule="auto"/>
        <w:rPr>
          <w:rFonts w:ascii="Times New Roman" w:hAnsi="Times New Roman"/>
          <w:b/>
          <w:sz w:val="24"/>
          <w:szCs w:val="24"/>
        </w:rPr>
      </w:pPr>
    </w:p>
    <w:p w:rsidR="00153B2F" w:rsidRPr="005F36BF" w:rsidRDefault="00D1214D" w:rsidP="00153B2F">
      <w:pPr>
        <w:spacing w:after="120" w:line="240" w:lineRule="auto"/>
        <w:rPr>
          <w:rFonts w:ascii="Times New Roman" w:hAnsi="Times New Roman"/>
          <w:b/>
          <w:sz w:val="24"/>
          <w:szCs w:val="24"/>
        </w:rPr>
      </w:pPr>
      <w:r w:rsidRPr="005F36BF">
        <w:rPr>
          <w:rFonts w:ascii="Times New Roman" w:hAnsi="Times New Roman"/>
          <w:b/>
          <w:sz w:val="24"/>
          <w:szCs w:val="24"/>
        </w:rPr>
        <w:lastRenderedPageBreak/>
        <w:t>Division 3</w:t>
      </w:r>
      <w:r w:rsidRPr="005F36BF">
        <w:rPr>
          <w:rFonts w:ascii="Times New Roman" w:hAnsi="Times New Roman"/>
          <w:b/>
          <w:sz w:val="24"/>
          <w:szCs w:val="24"/>
        </w:rPr>
        <w:tab/>
      </w:r>
      <w:r w:rsidRPr="005F36BF">
        <w:rPr>
          <w:rFonts w:ascii="Times New Roman" w:hAnsi="Times New Roman"/>
          <w:b/>
          <w:sz w:val="24"/>
          <w:szCs w:val="24"/>
        </w:rPr>
        <w:tab/>
      </w:r>
      <w:r w:rsidRPr="005F36BF">
        <w:rPr>
          <w:rFonts w:ascii="Times New Roman" w:hAnsi="Times New Roman"/>
          <w:b/>
          <w:sz w:val="24"/>
          <w:szCs w:val="24"/>
        </w:rPr>
        <w:t>Monitoring requirements</w:t>
      </w: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r w:rsidRPr="005F36BF">
        <w:rPr>
          <w:rFonts w:ascii="Times New Roman" w:hAnsi="Times New Roman"/>
          <w:sz w:val="24"/>
          <w:szCs w:val="24"/>
          <w:u w:val="single"/>
        </w:rPr>
        <w:t>30</w:t>
      </w:r>
      <w:r w:rsidRPr="005F36BF">
        <w:rPr>
          <w:rFonts w:ascii="Times New Roman" w:hAnsi="Times New Roman"/>
          <w:sz w:val="24"/>
          <w:szCs w:val="24"/>
          <w:u w:val="single"/>
        </w:rPr>
        <w:tab/>
        <w:t>Operation of this Division</w:t>
      </w:r>
    </w:p>
    <w:p w:rsidR="00153B2F" w:rsidRPr="005F36BF" w:rsidRDefault="00D1214D" w:rsidP="00153B2F">
      <w:pPr>
        <w:pStyle w:val="ListParagraph"/>
        <w:spacing w:after="120" w:line="240" w:lineRule="auto"/>
        <w:ind w:left="0"/>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30 </w:t>
      </w:r>
      <w:r w:rsidRPr="005F36BF">
        <w:rPr>
          <w:rFonts w:ascii="Times New Roman" w:hAnsi="Times New Roman"/>
          <w:sz w:val="24"/>
          <w:szCs w:val="24"/>
        </w:rPr>
        <w:t>sets out the two general provisions of the Division. Firstly, the Division specifies a number of monitoring provisions relating to certain parameters used in the equations in the Determination. Secondly, the Division stipulates consequential act</w:t>
      </w:r>
      <w:r w:rsidRPr="005F36BF">
        <w:rPr>
          <w:rFonts w:ascii="Times New Roman" w:hAnsi="Times New Roman"/>
          <w:sz w:val="24"/>
          <w:szCs w:val="24"/>
        </w:rPr>
        <w:t>ions if certain parameters are not monitored correctly.</w:t>
      </w: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r w:rsidRPr="005F36BF">
        <w:rPr>
          <w:rFonts w:ascii="Times New Roman" w:hAnsi="Times New Roman"/>
          <w:sz w:val="24"/>
          <w:szCs w:val="24"/>
          <w:u w:val="single"/>
        </w:rPr>
        <w:t>31</w:t>
      </w:r>
      <w:r w:rsidRPr="005F36BF">
        <w:rPr>
          <w:rFonts w:ascii="Times New Roman" w:hAnsi="Times New Roman"/>
          <w:sz w:val="24"/>
          <w:szCs w:val="24"/>
          <w:u w:val="single"/>
        </w:rPr>
        <w:tab/>
        <w:t>Monitoring requirements - general</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31 </w:t>
      </w:r>
      <w:r w:rsidRPr="005F36BF">
        <w:rPr>
          <w:rFonts w:ascii="Times New Roman" w:hAnsi="Times New Roman"/>
          <w:sz w:val="24"/>
          <w:szCs w:val="24"/>
        </w:rPr>
        <w:t>sets out the measurement procedure for a number of parameters used in calculations throughout the determination. Each item in the table describes any p</w:t>
      </w:r>
      <w:r w:rsidRPr="005F36BF">
        <w:rPr>
          <w:rFonts w:ascii="Times New Roman" w:hAnsi="Times New Roman"/>
          <w:sz w:val="24"/>
          <w:szCs w:val="24"/>
        </w:rPr>
        <w:t>articular provisions that must be applied to the measurement of the relevant parameter, including the manner and frequency of monitoring.</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For item 1 of the table in subsection </w:t>
      </w:r>
      <w:r w:rsidRPr="005F36BF">
        <w:rPr>
          <w:rFonts w:ascii="Times New Roman" w:hAnsi="Times New Roman"/>
          <w:sz w:val="24"/>
          <w:szCs w:val="24"/>
        </w:rPr>
        <w:t>31</w:t>
      </w:r>
      <w:r w:rsidRPr="005F36BF">
        <w:rPr>
          <w:rFonts w:ascii="Times New Roman" w:hAnsi="Times New Roman"/>
          <w:sz w:val="24"/>
          <w:szCs w:val="24"/>
        </w:rPr>
        <w:t>(1), the requirement concerning units of measurement describes the procedure t</w:t>
      </w:r>
      <w:r w:rsidRPr="005F36BF">
        <w:rPr>
          <w:rFonts w:ascii="Times New Roman" w:hAnsi="Times New Roman"/>
          <w:sz w:val="24"/>
          <w:szCs w:val="24"/>
        </w:rPr>
        <w:t>hat must be taken to correctly modify measurements for use in calculations. In particular, quantity measurements in the determination are input as tonnes, whereas it is common practice to measure gas quantity in volumetric terms. Additionally, the quantity</w:t>
      </w:r>
      <w:r w:rsidRPr="005F36BF">
        <w:rPr>
          <w:rFonts w:ascii="Times New Roman" w:hAnsi="Times New Roman"/>
          <w:sz w:val="24"/>
          <w:szCs w:val="24"/>
        </w:rPr>
        <w:t xml:space="preserve"> measured must be corrected for any deviation of ambient conditions from standard conditions.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For items 4 and 5 of the table in subsection </w:t>
      </w:r>
      <w:r w:rsidRPr="005F36BF">
        <w:rPr>
          <w:rFonts w:ascii="Times New Roman" w:hAnsi="Times New Roman"/>
          <w:sz w:val="24"/>
          <w:szCs w:val="24"/>
        </w:rPr>
        <w:t>31</w:t>
      </w:r>
      <w:r w:rsidRPr="005F36BF">
        <w:rPr>
          <w:rFonts w:ascii="Times New Roman" w:hAnsi="Times New Roman"/>
          <w:sz w:val="24"/>
          <w:szCs w:val="24"/>
        </w:rPr>
        <w:t>(1), the requirement concerning samples used for the purpose of the measurement is necessary to ensure that samples</w:t>
      </w:r>
      <w:r w:rsidRPr="005F36BF">
        <w:rPr>
          <w:rFonts w:ascii="Times New Roman" w:hAnsi="Times New Roman"/>
          <w:sz w:val="24"/>
          <w:szCs w:val="24"/>
        </w:rPr>
        <w:t xml:space="preserve"> of gas composition are representative of the gas quantity measured in the project.</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Subsection </w:t>
      </w:r>
      <w:r w:rsidRPr="005F36BF">
        <w:rPr>
          <w:rFonts w:ascii="Times New Roman" w:hAnsi="Times New Roman"/>
          <w:sz w:val="24"/>
          <w:szCs w:val="24"/>
        </w:rPr>
        <w:t>31</w:t>
      </w:r>
      <w:r w:rsidRPr="005F36BF">
        <w:rPr>
          <w:rFonts w:ascii="Times New Roman" w:hAnsi="Times New Roman"/>
          <w:sz w:val="24"/>
          <w:szCs w:val="24"/>
        </w:rPr>
        <w:t>(2) precludes the event in which gas that would have been otherwise flared, recovered or otherwise used is not redirected to a different or new flare device as</w:t>
      </w:r>
      <w:r w:rsidRPr="005F36BF">
        <w:rPr>
          <w:rFonts w:ascii="Times New Roman" w:hAnsi="Times New Roman"/>
          <w:sz w:val="24"/>
          <w:szCs w:val="24"/>
        </w:rPr>
        <w:t xml:space="preserve"> a result of the project. This provision is necessary to ensure that credited emissions reductions are additional.</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Subsection </w:t>
      </w:r>
      <w:r w:rsidRPr="005F36BF">
        <w:rPr>
          <w:rFonts w:ascii="Times New Roman" w:hAnsi="Times New Roman"/>
          <w:sz w:val="24"/>
          <w:szCs w:val="24"/>
        </w:rPr>
        <w:t>31</w:t>
      </w:r>
      <w:r w:rsidRPr="005F36BF">
        <w:rPr>
          <w:rFonts w:ascii="Times New Roman" w:hAnsi="Times New Roman"/>
          <w:sz w:val="24"/>
          <w:szCs w:val="24"/>
        </w:rPr>
        <w:t xml:space="preserve">(3) </w:t>
      </w:r>
      <w:r w:rsidRPr="005F36BF">
        <w:rPr>
          <w:rFonts w:ascii="Times New Roman" w:hAnsi="Times New Roman"/>
          <w:sz w:val="24"/>
          <w:szCs w:val="24"/>
        </w:rPr>
        <w:t xml:space="preserve">sets out that </w:t>
      </w:r>
      <w:proofErr w:type="spellStart"/>
      <w:r w:rsidRPr="005F36BF">
        <w:rPr>
          <w:rFonts w:ascii="Times New Roman" w:hAnsi="Times New Roman"/>
          <w:sz w:val="24"/>
          <w:szCs w:val="24"/>
        </w:rPr>
        <w:t>Paramaters</w:t>
      </w:r>
      <w:proofErr w:type="spellEnd"/>
      <w:r w:rsidRPr="005F36BF">
        <w:rPr>
          <w:rFonts w:ascii="Times New Roman" w:hAnsi="Times New Roman"/>
          <w:sz w:val="24"/>
          <w:szCs w:val="24"/>
        </w:rPr>
        <w:t xml:space="preserve"> s and molar fraction are to be worked out using</w:t>
      </w:r>
      <w:r w:rsidRPr="005F36BF">
        <w:rPr>
          <w:rFonts w:ascii="Times New Roman" w:hAnsi="Times New Roman"/>
          <w:sz w:val="24"/>
          <w:szCs w:val="24"/>
        </w:rPr>
        <w:t xml:space="preserve"> historical sampling data instead of monitoring para</w:t>
      </w:r>
      <w:r w:rsidRPr="005F36BF">
        <w:rPr>
          <w:rFonts w:ascii="Times New Roman" w:hAnsi="Times New Roman"/>
          <w:sz w:val="24"/>
          <w:szCs w:val="24"/>
        </w:rPr>
        <w:t xml:space="preserve">meters in Items 4 and 5 of the table in </w:t>
      </w:r>
      <w:r w:rsidRPr="005F36BF">
        <w:rPr>
          <w:rFonts w:ascii="Times New Roman" w:hAnsi="Times New Roman"/>
          <w:sz w:val="24"/>
          <w:szCs w:val="24"/>
        </w:rPr>
        <w:t>33</w:t>
      </w:r>
      <w:r w:rsidRPr="005F36BF">
        <w:rPr>
          <w:rFonts w:ascii="Times New Roman" w:hAnsi="Times New Roman"/>
          <w:sz w:val="24"/>
          <w:szCs w:val="24"/>
        </w:rPr>
        <w:t xml:space="preserve">(1). Also see the description of Section </w:t>
      </w:r>
      <w:r w:rsidRPr="005F36BF">
        <w:rPr>
          <w:rFonts w:ascii="Times New Roman" w:hAnsi="Times New Roman"/>
          <w:sz w:val="24"/>
          <w:szCs w:val="24"/>
        </w:rPr>
        <w:t>34</w:t>
      </w:r>
      <w:r w:rsidRPr="005F36BF">
        <w:rPr>
          <w:rFonts w:ascii="Times New Roman" w:hAnsi="Times New Roman"/>
          <w:sz w:val="24"/>
          <w:szCs w:val="24"/>
        </w:rPr>
        <w:t>.</w:t>
      </w:r>
    </w:p>
    <w:p w:rsidR="00153B2F" w:rsidRPr="005F36BF" w:rsidRDefault="00D1214D" w:rsidP="00153B2F">
      <w:pPr>
        <w:pStyle w:val="ListParagraph"/>
        <w:keepNext/>
        <w:keepLines/>
        <w:spacing w:after="120" w:line="240" w:lineRule="auto"/>
        <w:ind w:left="0"/>
        <w:rPr>
          <w:rFonts w:ascii="Times New Roman" w:hAnsi="Times New Roman"/>
          <w:sz w:val="24"/>
          <w:szCs w:val="24"/>
        </w:rPr>
      </w:pP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r w:rsidRPr="005F36BF">
        <w:rPr>
          <w:rFonts w:ascii="Times New Roman" w:hAnsi="Times New Roman"/>
          <w:sz w:val="24"/>
          <w:szCs w:val="24"/>
          <w:u w:val="single"/>
        </w:rPr>
        <w:t>32</w:t>
      </w:r>
      <w:r w:rsidRPr="005F36BF">
        <w:rPr>
          <w:rFonts w:ascii="Times New Roman" w:hAnsi="Times New Roman"/>
          <w:sz w:val="24"/>
          <w:szCs w:val="24"/>
          <w:u w:val="single"/>
        </w:rPr>
        <w:tab/>
        <w:t>Monitoring requirements—monitored operating period</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Section </w:t>
      </w:r>
      <w:r w:rsidRPr="005F36BF">
        <w:rPr>
          <w:rFonts w:ascii="Times New Roman" w:hAnsi="Times New Roman"/>
          <w:sz w:val="24"/>
          <w:szCs w:val="24"/>
        </w:rPr>
        <w:t xml:space="preserve">32 </w:t>
      </w:r>
      <w:r w:rsidRPr="005F36BF">
        <w:rPr>
          <w:rFonts w:ascii="Times New Roman" w:hAnsi="Times New Roman"/>
          <w:sz w:val="24"/>
          <w:szCs w:val="24"/>
        </w:rPr>
        <w:t xml:space="preserve">requires a proponent to monitor a flare device included in a project, forming a </w:t>
      </w:r>
      <w:r w:rsidRPr="005F36BF">
        <w:rPr>
          <w:rFonts w:ascii="Times New Roman" w:hAnsi="Times New Roman"/>
          <w:b/>
          <w:i/>
          <w:sz w:val="24"/>
          <w:szCs w:val="24"/>
        </w:rPr>
        <w:t xml:space="preserve">monitored operating </w:t>
      </w:r>
      <w:r w:rsidRPr="005F36BF">
        <w:rPr>
          <w:rFonts w:ascii="Times New Roman" w:hAnsi="Times New Roman"/>
          <w:b/>
          <w:i/>
          <w:sz w:val="24"/>
          <w:szCs w:val="24"/>
        </w:rPr>
        <w:t>period</w:t>
      </w:r>
      <w:r w:rsidRPr="005F36BF">
        <w:rPr>
          <w:rFonts w:ascii="Times New Roman" w:hAnsi="Times New Roman"/>
          <w:sz w:val="24"/>
          <w:szCs w:val="24"/>
        </w:rPr>
        <w:t>. It allows for temperature measurement, UV detection or another internationally recognised monitoring apparatus to be applied in determining whether a flare device is operating in a particular period. The section provides for when the flare device i</w:t>
      </w:r>
      <w:r w:rsidRPr="005F36BF">
        <w:rPr>
          <w:rFonts w:ascii="Times New Roman" w:hAnsi="Times New Roman"/>
          <w:sz w:val="24"/>
          <w:szCs w:val="24"/>
        </w:rPr>
        <w:t>s considered to be operating or not for each type of flare monitoring apparatus and also stipulates a minimum frequency at which the operation of the flare must be monitored. These provisions are necessary to help ensure that projects involving flaring are</w:t>
      </w:r>
      <w:r w:rsidRPr="005F36BF">
        <w:rPr>
          <w:rFonts w:ascii="Times New Roman" w:hAnsi="Times New Roman"/>
          <w:sz w:val="24"/>
          <w:szCs w:val="24"/>
        </w:rPr>
        <w:t xml:space="preserve"> only credited for genuine emissions reductions.</w:t>
      </w:r>
    </w:p>
    <w:p w:rsidR="00153B2F" w:rsidRPr="005F36BF" w:rsidRDefault="00D1214D" w:rsidP="00153B2F">
      <w:pPr>
        <w:spacing w:after="120" w:line="240" w:lineRule="auto"/>
        <w:rPr>
          <w:rFonts w:ascii="Times New Roman" w:hAnsi="Times New Roman"/>
          <w:sz w:val="24"/>
          <w:szCs w:val="24"/>
        </w:rPr>
      </w:pPr>
    </w:p>
    <w:p w:rsidR="00153B2F" w:rsidRPr="005F36BF" w:rsidRDefault="00D1214D" w:rsidP="00153B2F">
      <w:pPr>
        <w:spacing w:after="120" w:line="240" w:lineRule="auto"/>
        <w:rPr>
          <w:rFonts w:ascii="Times New Roman" w:hAnsi="Times New Roman"/>
          <w:sz w:val="24"/>
          <w:szCs w:val="24"/>
          <w:u w:val="single"/>
        </w:rPr>
      </w:pPr>
      <w:r w:rsidRPr="005F36BF">
        <w:rPr>
          <w:rFonts w:ascii="Times New Roman" w:hAnsi="Times New Roman"/>
          <w:sz w:val="24"/>
          <w:szCs w:val="24"/>
          <w:u w:val="single"/>
        </w:rPr>
        <w:t>33</w:t>
      </w:r>
      <w:r w:rsidRPr="005F36BF">
        <w:rPr>
          <w:rFonts w:ascii="Times New Roman" w:hAnsi="Times New Roman"/>
          <w:sz w:val="24"/>
          <w:szCs w:val="24"/>
          <w:u w:val="single"/>
        </w:rPr>
        <w:tab/>
        <w:t>Monitoring requirements—fugitive leak measurement period</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t xml:space="preserve">Section </w:t>
      </w:r>
      <w:r w:rsidRPr="005F36BF">
        <w:rPr>
          <w:rFonts w:ascii="Times New Roman" w:eastAsia="Times New Roman" w:hAnsi="Times New Roman"/>
          <w:sz w:val="24"/>
          <w:szCs w:val="24"/>
          <w:lang w:eastAsia="en-AU"/>
        </w:rPr>
        <w:t xml:space="preserve">33 </w:t>
      </w:r>
      <w:r w:rsidRPr="005F36BF">
        <w:rPr>
          <w:rFonts w:ascii="Times New Roman" w:eastAsia="Times New Roman" w:hAnsi="Times New Roman"/>
          <w:sz w:val="24"/>
          <w:szCs w:val="24"/>
          <w:lang w:eastAsia="en-AU"/>
        </w:rPr>
        <w:t>includes monitoring requirements for circumstances that a project proponent has chosen to estimate the re-routed gas quantity in accord</w:t>
      </w:r>
      <w:r w:rsidRPr="005F36BF">
        <w:rPr>
          <w:rFonts w:ascii="Times New Roman" w:eastAsia="Times New Roman" w:hAnsi="Times New Roman"/>
          <w:sz w:val="24"/>
          <w:szCs w:val="24"/>
          <w:lang w:eastAsia="en-AU"/>
        </w:rPr>
        <w:t xml:space="preserve">ance with the representative sampling option (obtained from a fugitive leak measurement period) provided </w:t>
      </w:r>
      <w:r w:rsidRPr="005F36BF">
        <w:rPr>
          <w:rFonts w:ascii="Times New Roman" w:eastAsia="Times New Roman" w:hAnsi="Times New Roman"/>
          <w:sz w:val="24"/>
          <w:szCs w:val="24"/>
          <w:lang w:eastAsia="en-AU"/>
        </w:rPr>
        <w:t xml:space="preserve">for </w:t>
      </w:r>
      <w:r w:rsidRPr="005F36BF">
        <w:rPr>
          <w:rFonts w:ascii="Times New Roman" w:eastAsia="Times New Roman" w:hAnsi="Times New Roman"/>
          <w:sz w:val="24"/>
          <w:szCs w:val="24"/>
          <w:lang w:eastAsia="en-AU"/>
        </w:rPr>
        <w:t xml:space="preserve">in paragraph </w:t>
      </w:r>
      <w:r w:rsidRPr="005F36BF">
        <w:rPr>
          <w:rFonts w:ascii="Times New Roman" w:eastAsia="Times New Roman" w:hAnsi="Times New Roman"/>
          <w:sz w:val="24"/>
          <w:szCs w:val="24"/>
          <w:lang w:eastAsia="en-AU"/>
        </w:rPr>
        <w:t>19</w:t>
      </w:r>
      <w:r w:rsidRPr="005F36BF">
        <w:rPr>
          <w:rFonts w:ascii="Times New Roman" w:eastAsia="Times New Roman" w:hAnsi="Times New Roman"/>
          <w:sz w:val="24"/>
          <w:szCs w:val="24"/>
          <w:lang w:eastAsia="en-AU"/>
        </w:rPr>
        <w:t>(3)(b) of the Determination.</w:t>
      </w:r>
    </w:p>
    <w:p w:rsidR="00153B2F" w:rsidRPr="005F36BF" w:rsidRDefault="00D1214D" w:rsidP="00153B2F">
      <w:pPr>
        <w:spacing w:after="120" w:line="240" w:lineRule="auto"/>
        <w:rPr>
          <w:rFonts w:ascii="Times New Roman" w:eastAsia="Times New Roman" w:hAnsi="Times New Roman"/>
          <w:sz w:val="24"/>
          <w:szCs w:val="24"/>
          <w:lang w:eastAsia="en-AU"/>
        </w:rPr>
      </w:pPr>
      <w:r w:rsidRPr="005F36BF">
        <w:rPr>
          <w:rFonts w:ascii="Times New Roman" w:eastAsia="Times New Roman" w:hAnsi="Times New Roman"/>
          <w:sz w:val="24"/>
          <w:szCs w:val="24"/>
          <w:lang w:eastAsia="en-AU"/>
        </w:rPr>
        <w:lastRenderedPageBreak/>
        <w:t xml:space="preserve">Subsection </w:t>
      </w:r>
      <w:r w:rsidRPr="005F36BF">
        <w:rPr>
          <w:rFonts w:ascii="Times New Roman" w:eastAsia="Times New Roman" w:hAnsi="Times New Roman"/>
          <w:sz w:val="24"/>
          <w:szCs w:val="24"/>
          <w:lang w:eastAsia="en-AU"/>
        </w:rPr>
        <w:t>33</w:t>
      </w:r>
      <w:r w:rsidRPr="005F36BF">
        <w:rPr>
          <w:rFonts w:ascii="Times New Roman" w:eastAsia="Times New Roman" w:hAnsi="Times New Roman"/>
          <w:sz w:val="24"/>
          <w:szCs w:val="24"/>
          <w:lang w:eastAsia="en-AU"/>
        </w:rPr>
        <w:t xml:space="preserve">(1) </w:t>
      </w:r>
      <w:proofErr w:type="gramStart"/>
      <w:r w:rsidRPr="005F36BF">
        <w:rPr>
          <w:rFonts w:ascii="Times New Roman" w:eastAsia="Times New Roman" w:hAnsi="Times New Roman"/>
          <w:sz w:val="24"/>
          <w:szCs w:val="24"/>
          <w:lang w:eastAsia="en-AU"/>
        </w:rPr>
        <w:t>sets</w:t>
      </w:r>
      <w:proofErr w:type="gramEnd"/>
      <w:r w:rsidRPr="005F36BF">
        <w:rPr>
          <w:rFonts w:ascii="Times New Roman" w:eastAsia="Times New Roman" w:hAnsi="Times New Roman"/>
          <w:sz w:val="24"/>
          <w:szCs w:val="24"/>
          <w:lang w:eastAsia="en-AU"/>
        </w:rPr>
        <w:t xml:space="preserve"> out that when a fugitive leak measurement period is used, it must start at or aft</w:t>
      </w:r>
      <w:r w:rsidRPr="005F36BF">
        <w:rPr>
          <w:rFonts w:ascii="Times New Roman" w:eastAsia="Times New Roman" w:hAnsi="Times New Roman"/>
          <w:sz w:val="24"/>
          <w:szCs w:val="24"/>
          <w:lang w:eastAsia="en-AU"/>
        </w:rPr>
        <w:t>er the start of the first reporting period for the project. This is to ensure that the fugitive leak measurement period is representative of what will be occurring as a result of the project.</w:t>
      </w:r>
    </w:p>
    <w:p w:rsidR="00153B2F" w:rsidRPr="005F36BF" w:rsidRDefault="00D1214D" w:rsidP="00153B2F">
      <w:pPr>
        <w:spacing w:after="120" w:line="240" w:lineRule="auto"/>
        <w:rPr>
          <w:rFonts w:ascii="Times New Roman" w:hAnsi="Times New Roman"/>
          <w:color w:val="000000"/>
          <w:sz w:val="24"/>
          <w:szCs w:val="24"/>
        </w:rPr>
      </w:pPr>
      <w:r w:rsidRPr="005F36BF">
        <w:rPr>
          <w:rFonts w:ascii="Times New Roman" w:eastAsia="Times New Roman" w:hAnsi="Times New Roman"/>
          <w:sz w:val="24"/>
          <w:szCs w:val="24"/>
          <w:lang w:eastAsia="en-AU"/>
        </w:rPr>
        <w:t xml:space="preserve">Subsection </w:t>
      </w:r>
      <w:r w:rsidRPr="005F36BF">
        <w:rPr>
          <w:rFonts w:ascii="Times New Roman" w:eastAsia="Times New Roman" w:hAnsi="Times New Roman"/>
          <w:sz w:val="24"/>
          <w:szCs w:val="24"/>
          <w:lang w:eastAsia="en-AU"/>
        </w:rPr>
        <w:t>33</w:t>
      </w:r>
      <w:r w:rsidRPr="005F36BF">
        <w:rPr>
          <w:rFonts w:ascii="Times New Roman" w:eastAsia="Times New Roman" w:hAnsi="Times New Roman"/>
          <w:sz w:val="24"/>
          <w:szCs w:val="24"/>
          <w:lang w:eastAsia="en-AU"/>
        </w:rPr>
        <w:t>(2) sets out that a fugitive leak measurement perio</w:t>
      </w:r>
      <w:r w:rsidRPr="005F36BF">
        <w:rPr>
          <w:rFonts w:ascii="Times New Roman" w:eastAsia="Times New Roman" w:hAnsi="Times New Roman"/>
          <w:sz w:val="24"/>
          <w:szCs w:val="24"/>
          <w:lang w:eastAsia="en-AU"/>
        </w:rPr>
        <w:t xml:space="preserve">d must </w:t>
      </w:r>
      <w:r w:rsidRPr="005F36BF">
        <w:rPr>
          <w:rFonts w:ascii="Times New Roman" w:hAnsi="Times New Roman"/>
          <w:color w:val="000000"/>
          <w:sz w:val="24"/>
          <w:szCs w:val="24"/>
        </w:rPr>
        <w:t>reflect the regular operations of the relevant equipment in order to accurately work out the representative quantity of gas flared.</w:t>
      </w:r>
    </w:p>
    <w:p w:rsidR="00153B2F" w:rsidRPr="005F36BF" w:rsidRDefault="00D1214D" w:rsidP="00153B2F">
      <w:pPr>
        <w:spacing w:after="120" w:line="240" w:lineRule="auto"/>
        <w:rPr>
          <w:rFonts w:ascii="Times New Roman" w:hAnsi="Times New Roman"/>
          <w:color w:val="000000"/>
          <w:sz w:val="24"/>
          <w:szCs w:val="24"/>
        </w:rPr>
      </w:pPr>
      <w:r w:rsidRPr="005F36BF">
        <w:rPr>
          <w:rFonts w:ascii="Times New Roman" w:eastAsia="Times New Roman" w:hAnsi="Times New Roman"/>
          <w:sz w:val="24"/>
          <w:szCs w:val="24"/>
          <w:lang w:eastAsia="en-AU"/>
        </w:rPr>
        <w:t xml:space="preserve">Subsection </w:t>
      </w:r>
      <w:r w:rsidRPr="005F36BF">
        <w:rPr>
          <w:rFonts w:ascii="Times New Roman" w:eastAsia="Times New Roman" w:hAnsi="Times New Roman"/>
          <w:sz w:val="24"/>
          <w:szCs w:val="24"/>
          <w:lang w:eastAsia="en-AU"/>
        </w:rPr>
        <w:t>33</w:t>
      </w:r>
      <w:r w:rsidRPr="005F36BF">
        <w:rPr>
          <w:rFonts w:ascii="Times New Roman" w:eastAsia="Times New Roman" w:hAnsi="Times New Roman"/>
          <w:sz w:val="24"/>
          <w:szCs w:val="24"/>
          <w:lang w:eastAsia="en-AU"/>
        </w:rPr>
        <w:t xml:space="preserve">(3) sets out that </w:t>
      </w:r>
      <w:r w:rsidRPr="005F36BF">
        <w:rPr>
          <w:rFonts w:ascii="Times New Roman" w:hAnsi="Times New Roman"/>
          <w:color w:val="000000"/>
          <w:sz w:val="24"/>
          <w:szCs w:val="24"/>
        </w:rPr>
        <w:t xml:space="preserve">the </w:t>
      </w:r>
      <w:r w:rsidRPr="005F36BF">
        <w:rPr>
          <w:rFonts w:ascii="Times New Roman" w:hAnsi="Times New Roman"/>
          <w:b/>
          <w:i/>
          <w:color w:val="000000"/>
          <w:sz w:val="24"/>
          <w:szCs w:val="24"/>
        </w:rPr>
        <w:t>gas quantity</w:t>
      </w:r>
      <w:r w:rsidRPr="005F36BF">
        <w:rPr>
          <w:rFonts w:ascii="Times New Roman" w:hAnsi="Times New Roman"/>
          <w:color w:val="000000"/>
          <w:sz w:val="24"/>
          <w:szCs w:val="24"/>
        </w:rPr>
        <w:t xml:space="preserve"> must be measured in accordance with the monitoring requirements </w:t>
      </w:r>
      <w:r w:rsidRPr="005F36BF">
        <w:rPr>
          <w:rFonts w:ascii="Times New Roman" w:eastAsia="Times New Roman" w:hAnsi="Times New Roman"/>
          <w:sz w:val="24"/>
          <w:szCs w:val="24"/>
          <w:lang w:eastAsia="en-AU"/>
        </w:rPr>
        <w:t xml:space="preserve">for </w:t>
      </w:r>
      <w:r w:rsidRPr="005F36BF">
        <w:rPr>
          <w:rFonts w:ascii="Times New Roman" w:hAnsi="Times New Roman"/>
          <w:color w:val="000000"/>
          <w:sz w:val="24"/>
          <w:szCs w:val="24"/>
        </w:rPr>
        <w:t xml:space="preserve">the duration of the fugitive leak measurement period. This is to ensure that the period covers the full range of operating conditions that the flare device is likely to experience during the crediting period. </w:t>
      </w:r>
    </w:p>
    <w:p w:rsidR="00153B2F" w:rsidRPr="005F36BF" w:rsidRDefault="00D1214D" w:rsidP="00153B2F">
      <w:pPr>
        <w:spacing w:after="120" w:line="240" w:lineRule="auto"/>
        <w:rPr>
          <w:rFonts w:ascii="Times New Roman" w:hAnsi="Times New Roman"/>
          <w:color w:val="000000"/>
          <w:sz w:val="24"/>
          <w:szCs w:val="24"/>
        </w:rPr>
      </w:pPr>
      <w:r w:rsidRPr="005F36BF">
        <w:rPr>
          <w:rFonts w:ascii="Times New Roman" w:hAnsi="Times New Roman"/>
          <w:color w:val="000000"/>
          <w:sz w:val="24"/>
          <w:szCs w:val="24"/>
        </w:rPr>
        <w:t xml:space="preserve">Subsection </w:t>
      </w:r>
      <w:r w:rsidRPr="005F36BF">
        <w:rPr>
          <w:rFonts w:ascii="Times New Roman" w:hAnsi="Times New Roman"/>
          <w:color w:val="000000"/>
          <w:sz w:val="24"/>
          <w:szCs w:val="24"/>
        </w:rPr>
        <w:t>33</w:t>
      </w:r>
      <w:r w:rsidRPr="005F36BF">
        <w:rPr>
          <w:rFonts w:ascii="Times New Roman" w:hAnsi="Times New Roman"/>
          <w:color w:val="000000"/>
          <w:sz w:val="24"/>
          <w:szCs w:val="24"/>
        </w:rPr>
        <w:t>(4) sets out that any period in w</w:t>
      </w:r>
      <w:r w:rsidRPr="005F36BF">
        <w:rPr>
          <w:rFonts w:ascii="Times New Roman" w:hAnsi="Times New Roman"/>
          <w:color w:val="000000"/>
          <w:sz w:val="24"/>
          <w:szCs w:val="24"/>
        </w:rPr>
        <w:t xml:space="preserve">hich the flare device is not operating must be disregarded for working out both the quantity and time period when setting the fugitive leak measurement period.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color w:val="000000"/>
          <w:sz w:val="24"/>
          <w:szCs w:val="24"/>
        </w:rPr>
        <w:t xml:space="preserve">Subsection </w:t>
      </w:r>
      <w:r w:rsidRPr="005F36BF">
        <w:rPr>
          <w:rFonts w:ascii="Times New Roman" w:hAnsi="Times New Roman"/>
          <w:color w:val="000000"/>
          <w:sz w:val="24"/>
          <w:szCs w:val="24"/>
        </w:rPr>
        <w:t>33</w:t>
      </w:r>
      <w:r w:rsidRPr="005F36BF">
        <w:rPr>
          <w:rFonts w:ascii="Times New Roman" w:hAnsi="Times New Roman"/>
          <w:color w:val="000000"/>
          <w:sz w:val="24"/>
          <w:szCs w:val="24"/>
        </w:rPr>
        <w:t xml:space="preserve">(5) sets out requirements to ensure that </w:t>
      </w:r>
      <w:r w:rsidRPr="005F36BF">
        <w:rPr>
          <w:rFonts w:ascii="Times New Roman" w:hAnsi="Times New Roman"/>
          <w:sz w:val="24"/>
          <w:szCs w:val="24"/>
        </w:rPr>
        <w:t xml:space="preserve">if a significant change to the equipment </w:t>
      </w:r>
      <w:r w:rsidRPr="005F36BF">
        <w:rPr>
          <w:rFonts w:ascii="Times New Roman" w:hAnsi="Times New Roman"/>
          <w:sz w:val="24"/>
          <w:szCs w:val="24"/>
        </w:rPr>
        <w:t xml:space="preserve">leaking the fugitive emissions has occurred after the end of a measurement period for a flare device, the fugitive leak measurement period ceases to apply. In such cases, subsection </w:t>
      </w:r>
      <w:r w:rsidRPr="005F36BF">
        <w:rPr>
          <w:rFonts w:ascii="Times New Roman" w:hAnsi="Times New Roman"/>
          <w:sz w:val="24"/>
          <w:szCs w:val="24"/>
        </w:rPr>
        <w:t>33</w:t>
      </w:r>
      <w:r w:rsidRPr="005F36BF">
        <w:rPr>
          <w:rFonts w:ascii="Times New Roman" w:hAnsi="Times New Roman"/>
          <w:sz w:val="24"/>
          <w:szCs w:val="24"/>
        </w:rPr>
        <w:t>(6) ensures that proponents are able to set a new representative measure</w:t>
      </w:r>
      <w:r w:rsidRPr="005F36BF">
        <w:rPr>
          <w:rFonts w:ascii="Times New Roman" w:hAnsi="Times New Roman"/>
          <w:sz w:val="24"/>
          <w:szCs w:val="24"/>
        </w:rPr>
        <w:t xml:space="preserve">ment period if so desired. </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If the fugitive leak measurement period is not appropriately representative, this would constitute a failure to monitor certain parameters in accordance with the monitoring requirements. Unless alternative monitoring arrangement</w:t>
      </w:r>
      <w:r w:rsidRPr="005F36BF">
        <w:rPr>
          <w:rFonts w:ascii="Times New Roman" w:hAnsi="Times New Roman"/>
          <w:sz w:val="24"/>
          <w:szCs w:val="24"/>
        </w:rPr>
        <w:t xml:space="preserve">s were in place, the relevant response would be determined in accordance with section </w:t>
      </w:r>
      <w:r w:rsidRPr="005F36BF">
        <w:rPr>
          <w:rFonts w:ascii="Times New Roman" w:hAnsi="Times New Roman"/>
          <w:sz w:val="24"/>
          <w:szCs w:val="24"/>
        </w:rPr>
        <w:t>35</w:t>
      </w:r>
      <w:r w:rsidRPr="005F36BF">
        <w:rPr>
          <w:rFonts w:ascii="Times New Roman" w:hAnsi="Times New Roman"/>
          <w:sz w:val="24"/>
          <w:szCs w:val="24"/>
        </w:rPr>
        <w:t>.</w:t>
      </w:r>
    </w:p>
    <w:p w:rsidR="00B54BDF" w:rsidRDefault="00D1214D" w:rsidP="00B54BDF">
      <w:pPr>
        <w:rPr>
          <w:rFonts w:ascii="Times New Roman" w:hAnsi="Times New Roman"/>
          <w:sz w:val="24"/>
          <w:szCs w:val="24"/>
          <w:u w:val="single"/>
        </w:rPr>
      </w:pPr>
    </w:p>
    <w:p w:rsidR="00153B2F" w:rsidRPr="005F36BF" w:rsidRDefault="00D1214D" w:rsidP="00B54BDF">
      <w:pPr>
        <w:rPr>
          <w:rFonts w:ascii="Times New Roman" w:hAnsi="Times New Roman"/>
          <w:sz w:val="24"/>
          <w:szCs w:val="24"/>
          <w:u w:val="single"/>
        </w:rPr>
      </w:pPr>
      <w:r w:rsidRPr="005F36BF">
        <w:rPr>
          <w:rFonts w:ascii="Times New Roman" w:hAnsi="Times New Roman"/>
          <w:sz w:val="24"/>
          <w:szCs w:val="24"/>
          <w:u w:val="single"/>
        </w:rPr>
        <w:t>34</w:t>
      </w:r>
      <w:r w:rsidRPr="005F36BF">
        <w:rPr>
          <w:rFonts w:ascii="Times New Roman" w:hAnsi="Times New Roman"/>
          <w:sz w:val="24"/>
          <w:szCs w:val="24"/>
          <w:u w:val="single"/>
        </w:rPr>
        <w:tab/>
        <w:t>Monitoring requirements—use of historic sampling data</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The methodology provides for proponents to choose to use </w:t>
      </w:r>
      <w:r w:rsidRPr="005F36BF">
        <w:rPr>
          <w:rFonts w:ascii="Times New Roman" w:hAnsi="Times New Roman"/>
          <w:b/>
          <w:i/>
          <w:sz w:val="24"/>
          <w:szCs w:val="24"/>
        </w:rPr>
        <w:t>historical sampling data</w:t>
      </w:r>
      <w:r w:rsidRPr="005F36BF">
        <w:rPr>
          <w:rFonts w:ascii="Times New Roman" w:hAnsi="Times New Roman"/>
          <w:sz w:val="24"/>
          <w:szCs w:val="24"/>
        </w:rPr>
        <w:t xml:space="preserve"> rather than sampling during a reporting period. This provision relates only to gas composition sampling, and not to gas quantity or other measurements. Subsection </w:t>
      </w:r>
      <w:r w:rsidRPr="005F36BF">
        <w:rPr>
          <w:rFonts w:ascii="Times New Roman" w:hAnsi="Times New Roman"/>
          <w:sz w:val="24"/>
          <w:szCs w:val="24"/>
        </w:rPr>
        <w:t>34</w:t>
      </w:r>
      <w:r w:rsidRPr="005F36BF">
        <w:rPr>
          <w:rFonts w:ascii="Times New Roman" w:hAnsi="Times New Roman"/>
          <w:sz w:val="24"/>
          <w:szCs w:val="24"/>
        </w:rPr>
        <w:t xml:space="preserve">(2) lists the requirements incumbent on the proponent if they are to use historical sampling data. </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If a proponent intends to use historic sampling data, the data must be recorded prior to the reporting period, and not greater than five years earlier. Any </w:t>
      </w:r>
      <w:r w:rsidRPr="005F36BF">
        <w:rPr>
          <w:rFonts w:ascii="Times New Roman" w:hAnsi="Times New Roman"/>
          <w:sz w:val="24"/>
          <w:szCs w:val="24"/>
        </w:rPr>
        <w:t xml:space="preserve">significant changes to equipment since the data was collected would exclude the data from being historical sampling data. </w:t>
      </w:r>
    </w:p>
    <w:p w:rsidR="00153B2F" w:rsidRPr="005F36BF" w:rsidRDefault="00D1214D" w:rsidP="00153B2F">
      <w:pPr>
        <w:spacing w:line="240" w:lineRule="auto"/>
        <w:rPr>
          <w:rFonts w:ascii="Times New Roman" w:hAnsi="Times New Roman"/>
          <w:sz w:val="24"/>
          <w:szCs w:val="24"/>
        </w:rPr>
      </w:pPr>
      <w:r w:rsidRPr="005F36BF">
        <w:rPr>
          <w:rFonts w:ascii="Times New Roman" w:hAnsi="Times New Roman"/>
          <w:sz w:val="24"/>
          <w:szCs w:val="24"/>
        </w:rPr>
        <w:t xml:space="preserve">Additionally, the proponent must be able to demonstrate that the data being used is representative of what would have been collected </w:t>
      </w:r>
      <w:r w:rsidRPr="005F36BF">
        <w:rPr>
          <w:rFonts w:ascii="Times New Roman" w:hAnsi="Times New Roman"/>
          <w:sz w:val="24"/>
          <w:szCs w:val="24"/>
        </w:rPr>
        <w:t>if sampling had been performed. For example, this provision may allow a proponent to use data from a similar project conducted previously, or a previous reporting period from the same offsets project.</w:t>
      </w:r>
    </w:p>
    <w:p w:rsidR="00153B2F" w:rsidRDefault="00D1214D" w:rsidP="00153B2F">
      <w:pPr>
        <w:spacing w:line="240" w:lineRule="auto"/>
        <w:rPr>
          <w:rFonts w:ascii="Times New Roman" w:hAnsi="Times New Roman"/>
          <w:sz w:val="24"/>
          <w:szCs w:val="24"/>
        </w:rPr>
      </w:pPr>
      <w:r w:rsidRPr="005F36BF">
        <w:rPr>
          <w:rFonts w:ascii="Times New Roman" w:hAnsi="Times New Roman"/>
          <w:sz w:val="24"/>
          <w:szCs w:val="24"/>
        </w:rPr>
        <w:t>If historic sampling data is not appropriately represen</w:t>
      </w:r>
      <w:r w:rsidRPr="005F36BF">
        <w:rPr>
          <w:rFonts w:ascii="Times New Roman" w:hAnsi="Times New Roman"/>
          <w:sz w:val="24"/>
          <w:szCs w:val="24"/>
        </w:rPr>
        <w:t xml:space="preserve">tative, this would constitute a failure to monitor certain parameters in accordance with the monitoring requirements, and unless alternative monitoring arrangements were in place, the relevant response would be determined in accordance with section </w:t>
      </w:r>
      <w:r w:rsidRPr="005F36BF">
        <w:rPr>
          <w:rFonts w:ascii="Times New Roman" w:hAnsi="Times New Roman"/>
          <w:sz w:val="24"/>
          <w:szCs w:val="24"/>
        </w:rPr>
        <w:t>35</w:t>
      </w:r>
      <w:r w:rsidRPr="005F36BF">
        <w:rPr>
          <w:rFonts w:ascii="Times New Roman" w:hAnsi="Times New Roman"/>
          <w:sz w:val="24"/>
          <w:szCs w:val="24"/>
        </w:rPr>
        <w:t>.</w:t>
      </w:r>
    </w:p>
    <w:p w:rsidR="00B54BDF" w:rsidRPr="005F36BF" w:rsidRDefault="00D1214D" w:rsidP="00153B2F">
      <w:pPr>
        <w:spacing w:line="240" w:lineRule="auto"/>
        <w:rPr>
          <w:rFonts w:ascii="Times New Roman" w:hAnsi="Times New Roman"/>
          <w:sz w:val="24"/>
          <w:szCs w:val="24"/>
        </w:rPr>
      </w:pPr>
    </w:p>
    <w:p w:rsidR="00153B2F" w:rsidRPr="005F36BF" w:rsidRDefault="00D1214D" w:rsidP="00153B2F">
      <w:pPr>
        <w:pStyle w:val="ListParagraph"/>
        <w:keepNext/>
        <w:keepLines/>
        <w:spacing w:after="120" w:line="240" w:lineRule="auto"/>
        <w:ind w:left="0"/>
        <w:rPr>
          <w:rFonts w:ascii="Times New Roman" w:hAnsi="Times New Roman"/>
          <w:sz w:val="24"/>
          <w:szCs w:val="24"/>
          <w:u w:val="single"/>
        </w:rPr>
      </w:pPr>
      <w:r w:rsidRPr="005F36BF">
        <w:rPr>
          <w:rFonts w:ascii="Times New Roman" w:hAnsi="Times New Roman"/>
          <w:sz w:val="24"/>
          <w:szCs w:val="24"/>
          <w:u w:val="single"/>
        </w:rPr>
        <w:lastRenderedPageBreak/>
        <w:t>35</w:t>
      </w:r>
      <w:r w:rsidRPr="005F36BF">
        <w:rPr>
          <w:rFonts w:ascii="Times New Roman" w:hAnsi="Times New Roman"/>
          <w:sz w:val="24"/>
          <w:szCs w:val="24"/>
          <w:u w:val="single"/>
        </w:rPr>
        <w:tab/>
        <w:t>Consequence of failure to monitor certain parameters</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Compliance with requirements for monitoring of parameters is important to ensure that abatement credited by the project is calculated correctly. Monitoring requirements outlined in Division 3 of Part 5 </w:t>
      </w:r>
      <w:r w:rsidRPr="005F36BF">
        <w:rPr>
          <w:rFonts w:ascii="Times New Roman" w:hAnsi="Times New Roman"/>
          <w:sz w:val="24"/>
          <w:szCs w:val="24"/>
        </w:rPr>
        <w:t xml:space="preserve">of the Determination include the process for monitoring and the standard to which monitoring must occur.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In some cases for reasons beyond their control, a project proponent may be unable to monitor a parameter to the requirements set out in sections </w:t>
      </w:r>
      <w:r w:rsidRPr="005F36BF">
        <w:rPr>
          <w:rFonts w:ascii="Times New Roman" w:hAnsi="Times New Roman"/>
          <w:sz w:val="24"/>
          <w:szCs w:val="24"/>
        </w:rPr>
        <w:t xml:space="preserve">31 </w:t>
      </w:r>
      <w:r w:rsidRPr="005F36BF">
        <w:rPr>
          <w:rFonts w:ascii="Times New Roman" w:hAnsi="Times New Roman"/>
          <w:sz w:val="24"/>
          <w:szCs w:val="24"/>
        </w:rPr>
        <w:t>to</w:t>
      </w:r>
      <w:r w:rsidRPr="005F36BF">
        <w:rPr>
          <w:rFonts w:ascii="Times New Roman" w:hAnsi="Times New Roman"/>
          <w:sz w:val="24"/>
          <w:szCs w:val="24"/>
        </w:rPr>
        <w:t xml:space="preserve"> </w:t>
      </w:r>
      <w:r w:rsidRPr="005F36BF">
        <w:rPr>
          <w:rFonts w:ascii="Times New Roman" w:hAnsi="Times New Roman"/>
          <w:sz w:val="24"/>
          <w:szCs w:val="24"/>
        </w:rPr>
        <w:t>34</w:t>
      </w:r>
      <w:r w:rsidRPr="005F36BF">
        <w:rPr>
          <w:rFonts w:ascii="Times New Roman" w:hAnsi="Times New Roman"/>
          <w:sz w:val="24"/>
          <w:szCs w:val="24"/>
        </w:rPr>
        <w:t xml:space="preserve">. When this occurs, section </w:t>
      </w:r>
      <w:r w:rsidRPr="005F36BF">
        <w:rPr>
          <w:rFonts w:ascii="Times New Roman" w:hAnsi="Times New Roman"/>
          <w:sz w:val="24"/>
          <w:szCs w:val="24"/>
        </w:rPr>
        <w:t xml:space="preserve">35 </w:t>
      </w:r>
      <w:r w:rsidRPr="005F36BF">
        <w:rPr>
          <w:rFonts w:ascii="Times New Roman" w:hAnsi="Times New Roman"/>
          <w:sz w:val="24"/>
          <w:szCs w:val="24"/>
        </w:rPr>
        <w:t xml:space="preserve">requires that adjustments must be applied for the time intervals that the parameters are not being monitored in accordance with requirements (termed the </w:t>
      </w:r>
      <w:r w:rsidRPr="005F36BF">
        <w:rPr>
          <w:rFonts w:ascii="Times New Roman" w:hAnsi="Times New Roman"/>
          <w:b/>
          <w:bCs/>
          <w:i/>
          <w:iCs/>
          <w:sz w:val="24"/>
          <w:szCs w:val="24"/>
        </w:rPr>
        <w:t>non-monitored period</w:t>
      </w:r>
      <w:r w:rsidRPr="005F36BF">
        <w:rPr>
          <w:rFonts w:ascii="Times New Roman" w:hAnsi="Times New Roman"/>
          <w:sz w:val="24"/>
          <w:szCs w:val="24"/>
        </w:rPr>
        <w:t>). The adjustment is necessary to ensure that all</w:t>
      </w:r>
      <w:r w:rsidRPr="005F36BF">
        <w:rPr>
          <w:rFonts w:ascii="Times New Roman" w:hAnsi="Times New Roman"/>
          <w:sz w:val="24"/>
          <w:szCs w:val="24"/>
        </w:rPr>
        <w:t xml:space="preserve"> estimates or assumptions used in the Determination are conservative and are in accordance with the offsets integrity standards outlined in </w:t>
      </w:r>
      <w:r w:rsidRPr="005F36BF">
        <w:rPr>
          <w:rFonts w:ascii="Times New Roman" w:hAnsi="Times New Roman"/>
          <w:sz w:val="24"/>
          <w:szCs w:val="24"/>
        </w:rPr>
        <w:br/>
        <w:t xml:space="preserve">section 133 of the Act. </w:t>
      </w:r>
    </w:p>
    <w:p w:rsidR="00153B2F" w:rsidRPr="005F36BF" w:rsidRDefault="00D1214D" w:rsidP="00153B2F">
      <w:pPr>
        <w:spacing w:after="120" w:line="240" w:lineRule="auto"/>
        <w:rPr>
          <w:rFonts w:ascii="Times New Roman" w:hAnsi="Times New Roman"/>
          <w:position w:val="-6"/>
          <w:sz w:val="24"/>
          <w:szCs w:val="24"/>
        </w:rPr>
      </w:pPr>
      <w:r w:rsidRPr="005F36BF">
        <w:rPr>
          <w:rFonts w:ascii="Times New Roman" w:hAnsi="Times New Roman"/>
          <w:position w:val="-6"/>
          <w:sz w:val="24"/>
          <w:szCs w:val="24"/>
        </w:rPr>
        <w:t xml:space="preserve">For parameters listed in item 1 of the table in subsection </w:t>
      </w:r>
      <w:r w:rsidRPr="005F36BF">
        <w:rPr>
          <w:rFonts w:ascii="Times New Roman" w:hAnsi="Times New Roman"/>
          <w:position w:val="-6"/>
          <w:sz w:val="24"/>
          <w:szCs w:val="24"/>
        </w:rPr>
        <w:t>35</w:t>
      </w:r>
      <w:r w:rsidRPr="005F36BF">
        <w:rPr>
          <w:rFonts w:ascii="Times New Roman" w:hAnsi="Times New Roman"/>
          <w:position w:val="-6"/>
          <w:sz w:val="24"/>
          <w:szCs w:val="24"/>
        </w:rPr>
        <w:t xml:space="preserve">(1), the consequence for not </w:t>
      </w:r>
      <w:r w:rsidRPr="005F36BF">
        <w:rPr>
          <w:rFonts w:ascii="Times New Roman" w:hAnsi="Times New Roman"/>
          <w:position w:val="-6"/>
          <w:sz w:val="24"/>
          <w:szCs w:val="24"/>
        </w:rPr>
        <w:t>monitoring in accordance with the requirements is that the parameter is determined to be zero for the duration of the non-monitored period.</w:t>
      </w:r>
    </w:p>
    <w:p w:rsidR="00153B2F" w:rsidRPr="005F36BF" w:rsidRDefault="00D1214D" w:rsidP="00153B2F">
      <w:pPr>
        <w:spacing w:after="120" w:line="240" w:lineRule="auto"/>
        <w:rPr>
          <w:rFonts w:ascii="Times New Roman" w:hAnsi="Times New Roman"/>
          <w:position w:val="-6"/>
          <w:sz w:val="24"/>
          <w:szCs w:val="24"/>
        </w:rPr>
      </w:pPr>
      <w:r w:rsidRPr="005F36BF">
        <w:rPr>
          <w:rFonts w:ascii="Times New Roman" w:hAnsi="Times New Roman"/>
          <w:position w:val="-6"/>
          <w:sz w:val="24"/>
          <w:szCs w:val="24"/>
        </w:rPr>
        <w:t>For parameters listed in item 2 of the table, the consequence for not monitoring these parameters in accordance with</w:t>
      </w:r>
      <w:r w:rsidRPr="005F36BF">
        <w:rPr>
          <w:rFonts w:ascii="Times New Roman" w:hAnsi="Times New Roman"/>
          <w:position w:val="-6"/>
          <w:sz w:val="24"/>
          <w:szCs w:val="24"/>
        </w:rPr>
        <w:t xml:space="preserve"> the monitoring requirements will require the project to make a conservative estimate of the parameter for the duration of the non-monitored period. </w:t>
      </w:r>
    </w:p>
    <w:p w:rsidR="00153B2F" w:rsidRPr="005F36BF" w:rsidRDefault="00D1214D" w:rsidP="00153B2F">
      <w:pPr>
        <w:spacing w:after="120" w:line="240" w:lineRule="auto"/>
        <w:rPr>
          <w:rFonts w:ascii="Times New Roman" w:hAnsi="Times New Roman"/>
          <w:sz w:val="24"/>
          <w:szCs w:val="24"/>
        </w:rPr>
      </w:pPr>
      <w:r w:rsidRPr="005F36BF">
        <w:rPr>
          <w:rFonts w:ascii="Times New Roman" w:hAnsi="Times New Roman"/>
          <w:sz w:val="24"/>
          <w:szCs w:val="24"/>
        </w:rPr>
        <w:t xml:space="preserve">The need for a proponent to apply section </w:t>
      </w:r>
      <w:r w:rsidRPr="005F36BF">
        <w:rPr>
          <w:rFonts w:ascii="Times New Roman" w:hAnsi="Times New Roman"/>
          <w:sz w:val="24"/>
          <w:szCs w:val="24"/>
        </w:rPr>
        <w:t xml:space="preserve">35 </w:t>
      </w:r>
      <w:r w:rsidRPr="005F36BF">
        <w:rPr>
          <w:rFonts w:ascii="Times New Roman" w:hAnsi="Times New Roman"/>
          <w:sz w:val="24"/>
          <w:szCs w:val="24"/>
        </w:rPr>
        <w:t>arises from failure to meet monitoring requirements. In accordance with the Act, the Regulator may determine an appropriate response within its compliance and enforcement framework depending on the nature of the non-compliance (i.e. whether it is a one-off</w:t>
      </w:r>
      <w:r w:rsidRPr="005F36BF">
        <w:rPr>
          <w:rFonts w:ascii="Times New Roman" w:hAnsi="Times New Roman"/>
          <w:sz w:val="24"/>
          <w:szCs w:val="24"/>
        </w:rPr>
        <w:t xml:space="preserve"> minor event or a more significant or repeated breach). This could include determining that that no eligible net abatement has been achieved by the project for the period of the breach. A note to subsection </w:t>
      </w:r>
      <w:r w:rsidRPr="005F36BF">
        <w:rPr>
          <w:rFonts w:ascii="Times New Roman" w:hAnsi="Times New Roman"/>
          <w:sz w:val="24"/>
          <w:szCs w:val="24"/>
        </w:rPr>
        <w:t>35</w:t>
      </w:r>
      <w:r w:rsidRPr="005F36BF">
        <w:rPr>
          <w:rFonts w:ascii="Times New Roman" w:hAnsi="Times New Roman"/>
          <w:sz w:val="24"/>
          <w:szCs w:val="24"/>
        </w:rPr>
        <w:t xml:space="preserve">(2) indicates other actions that the Regulator </w:t>
      </w:r>
      <w:r w:rsidRPr="005F36BF">
        <w:rPr>
          <w:rFonts w:ascii="Times New Roman" w:hAnsi="Times New Roman"/>
          <w:sz w:val="24"/>
          <w:szCs w:val="24"/>
        </w:rPr>
        <w:t xml:space="preserve">may choose to take in response to a project failing to meet monitoring requirements. </w:t>
      </w:r>
    </w:p>
    <w:p w:rsidR="00153B2F" w:rsidRPr="005F36BF" w:rsidRDefault="00D1214D" w:rsidP="00153B2F">
      <w:pPr>
        <w:spacing w:after="120" w:line="240" w:lineRule="auto"/>
        <w:rPr>
          <w:rFonts w:ascii="Times New Roman" w:hAnsi="Times New Roman"/>
          <w:sz w:val="24"/>
          <w:szCs w:val="24"/>
        </w:rPr>
        <w:sectPr w:rsidR="00153B2F" w:rsidRPr="005F36BF" w:rsidSect="00E367D1">
          <w:footerReference w:type="default" r:id="rId12"/>
          <w:pgSz w:w="11906" w:h="16838"/>
          <w:pgMar w:top="1440" w:right="1440" w:bottom="1440" w:left="1440" w:header="708" w:footer="708" w:gutter="0"/>
          <w:cols w:space="708"/>
          <w:docGrid w:linePitch="360"/>
        </w:sectPr>
      </w:pPr>
    </w:p>
    <w:p w:rsidR="00153B2F" w:rsidRPr="00153B2F" w:rsidRDefault="00B75AD3" w:rsidP="00153B2F">
      <w:pPr>
        <w:pStyle w:val="Footer"/>
        <w:pageBreakBefore/>
        <w:spacing w:after="120"/>
        <w:jc w:val="right"/>
        <w:rPr>
          <w:rFonts w:ascii="Times New Roman" w:hAnsi="Times New Roman"/>
          <w:sz w:val="24"/>
          <w:szCs w:val="24"/>
          <w:u w:val="single"/>
        </w:rPr>
      </w:pPr>
      <w:r w:rsidRPr="00B75AD3">
        <w:rPr>
          <w:rFonts w:ascii="Times New Roman" w:hAnsi="Times New Roman"/>
          <w:noProof/>
          <w:color w:val="000000"/>
          <w:sz w:val="24"/>
          <w:szCs w:val="24"/>
          <w:lang w:eastAsia="en-AU"/>
        </w:rPr>
        <w:lastRenderedPageBreak/>
        <w:pict>
          <v:rect id="_x0000_s1026" style="position:absolute;left:0;text-align:left;margin-left:-2.7pt;margin-top:41.9pt;width:481.8pt;height:627.3pt;z-index:251658240;mso-position-horizontal-relative:margin;mso-position-vertical-relative:margin" strokeweight="6pt">
            <v:stroke linestyle="thickBetweenThin"/>
            <v:textbox inset="14.17pt,,14.17pt">
              <w:txbxContent>
                <w:p w:rsidR="00253716" w:rsidRDefault="00D1214D" w:rsidP="00153B2F">
                  <w:pPr>
                    <w:spacing w:before="360" w:after="120"/>
                    <w:jc w:val="center"/>
                    <w:rPr>
                      <w:rFonts w:ascii="Times New Roman" w:hAnsi="Times New Roman"/>
                      <w:b/>
                      <w:bCs/>
                      <w:sz w:val="28"/>
                      <w:szCs w:val="28"/>
                    </w:rPr>
                  </w:pPr>
                  <w:r>
                    <w:rPr>
                      <w:rFonts w:ascii="Times New Roman" w:hAnsi="Times New Roman"/>
                      <w:b/>
                      <w:bCs/>
                      <w:sz w:val="28"/>
                      <w:szCs w:val="28"/>
                    </w:rPr>
                    <w:t>Statement of Compatibility with Human Rights</w:t>
                  </w:r>
                </w:p>
                <w:p w:rsidR="00253716" w:rsidRDefault="00D1214D" w:rsidP="00153B2F">
                  <w:pPr>
                    <w:spacing w:before="120" w:after="120"/>
                    <w:jc w:val="center"/>
                    <w:rPr>
                      <w:rFonts w:ascii="Times New Roman" w:hAnsi="Times New Roman"/>
                      <w:sz w:val="24"/>
                      <w:szCs w:val="24"/>
                    </w:rPr>
                  </w:pPr>
                  <w:r>
                    <w:rPr>
                      <w:rFonts w:ascii="Times New Roman" w:hAnsi="Times New Roman"/>
                      <w:i/>
                      <w:iCs/>
                      <w:sz w:val="24"/>
                      <w:szCs w:val="24"/>
                    </w:rPr>
                    <w:t xml:space="preserve">Prepared in accordance with Part </w:t>
                  </w:r>
                  <w:r w:rsidRPr="00163EE9">
                    <w:rPr>
                      <w:rFonts w:ascii="Times New Roman" w:hAnsi="Times New Roman"/>
                      <w:i/>
                      <w:iCs/>
                      <w:sz w:val="24"/>
                      <w:szCs w:val="24"/>
                    </w:rPr>
                    <w:t>3</w:t>
                  </w:r>
                  <w:r>
                    <w:rPr>
                      <w:rFonts w:ascii="Times New Roman" w:hAnsi="Times New Roman"/>
                      <w:i/>
                      <w:iCs/>
                      <w:sz w:val="24"/>
                      <w:szCs w:val="24"/>
                    </w:rPr>
                    <w:t xml:space="preserve"> of the Human Rights (Parliamentary Scrutiny) Act </w:t>
                  </w:r>
                  <w:r w:rsidRPr="00163EE9">
                    <w:rPr>
                      <w:rFonts w:ascii="Times New Roman" w:hAnsi="Times New Roman"/>
                      <w:i/>
                      <w:iCs/>
                      <w:sz w:val="24"/>
                      <w:szCs w:val="24"/>
                    </w:rPr>
                    <w:t>2011</w:t>
                  </w:r>
                </w:p>
                <w:p w:rsidR="00253716" w:rsidRDefault="00D1214D" w:rsidP="00153B2F">
                  <w:pPr>
                    <w:spacing w:before="120" w:after="240"/>
                    <w:jc w:val="center"/>
                    <w:rPr>
                      <w:rFonts w:ascii="Times New Roman" w:hAnsi="Times New Roman"/>
                      <w:b/>
                      <w:bCs/>
                      <w:i/>
                      <w:iCs/>
                      <w:sz w:val="24"/>
                      <w:szCs w:val="24"/>
                    </w:rPr>
                  </w:pPr>
                  <w:r w:rsidRPr="00333153">
                    <w:rPr>
                      <w:rFonts w:ascii="Times New Roman" w:hAnsi="Times New Roman"/>
                      <w:b/>
                      <w:bCs/>
                      <w:i/>
                      <w:iCs/>
                      <w:sz w:val="24"/>
                      <w:szCs w:val="24"/>
                    </w:rPr>
                    <w:t>Carbon Credits (Carbon Farming Initiative—</w:t>
                  </w:r>
                  <w:r>
                    <w:rPr>
                      <w:rFonts w:ascii="Times New Roman" w:hAnsi="Times New Roman"/>
                      <w:b/>
                      <w:bCs/>
                      <w:i/>
                      <w:iCs/>
                      <w:sz w:val="24"/>
                      <w:szCs w:val="24"/>
                    </w:rPr>
                    <w:t>Oil and Gas Fugitives</w:t>
                  </w:r>
                  <w:r w:rsidRPr="00333153">
                    <w:rPr>
                      <w:rFonts w:ascii="Times New Roman" w:hAnsi="Times New Roman"/>
                      <w:b/>
                      <w:bCs/>
                      <w:i/>
                      <w:iCs/>
                      <w:sz w:val="24"/>
                      <w:szCs w:val="24"/>
                    </w:rPr>
                    <w:t xml:space="preserve">) Methodology Determination </w:t>
                  </w:r>
                  <w:r w:rsidRPr="00163EE9">
                    <w:rPr>
                      <w:rFonts w:ascii="Times New Roman" w:hAnsi="Times New Roman"/>
                      <w:b/>
                      <w:bCs/>
                      <w:i/>
                      <w:iCs/>
                      <w:sz w:val="24"/>
                      <w:szCs w:val="24"/>
                    </w:rPr>
                    <w:t>2015</w:t>
                  </w:r>
                </w:p>
                <w:p w:rsidR="00253716" w:rsidRDefault="00D1214D" w:rsidP="00153B2F">
                  <w:pPr>
                    <w:spacing w:before="120" w:after="120"/>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w:t>
                  </w:r>
                  <w:r w:rsidRPr="00163EE9">
                    <w:rPr>
                      <w:rFonts w:ascii="Times New Roman" w:hAnsi="Times New Roman"/>
                      <w:sz w:val="24"/>
                      <w:szCs w:val="24"/>
                    </w:rPr>
                    <w:t>3</w:t>
                  </w:r>
                  <w:r>
                    <w:rPr>
                      <w:rFonts w:ascii="Times New Roman" w:hAnsi="Times New Roman"/>
                      <w:sz w:val="24"/>
                      <w:szCs w:val="24"/>
                    </w:rPr>
                    <w:t xml:space="preserve"> of the </w:t>
                  </w:r>
                  <w:r>
                    <w:rPr>
                      <w:rFonts w:ascii="Times New Roman" w:hAnsi="Times New Roman"/>
                      <w:i/>
                      <w:iCs/>
                      <w:sz w:val="24"/>
                      <w:szCs w:val="24"/>
                    </w:rPr>
                    <w:t xml:space="preserve">Human Rights (Parliamentary Scrutiny) Act </w:t>
                  </w:r>
                  <w:r w:rsidRPr="00163EE9">
                    <w:rPr>
                      <w:rFonts w:ascii="Times New Roman" w:hAnsi="Times New Roman"/>
                      <w:i/>
                      <w:iCs/>
                      <w:sz w:val="24"/>
                      <w:szCs w:val="24"/>
                    </w:rPr>
                    <w:t>2011</w:t>
                  </w:r>
                  <w:r>
                    <w:rPr>
                      <w:rFonts w:ascii="Times New Roman" w:hAnsi="Times New Roman"/>
                      <w:sz w:val="24"/>
                      <w:szCs w:val="24"/>
                    </w:rPr>
                    <w:t>.</w:t>
                  </w:r>
                </w:p>
                <w:p w:rsidR="00253716" w:rsidRDefault="00D1214D" w:rsidP="00153B2F">
                  <w:pPr>
                    <w:spacing w:before="120" w:after="120"/>
                    <w:jc w:val="both"/>
                    <w:rPr>
                      <w:rFonts w:ascii="Times New Roman" w:hAnsi="Times New Roman"/>
                      <w:b/>
                      <w:bCs/>
                      <w:sz w:val="24"/>
                      <w:szCs w:val="24"/>
                    </w:rPr>
                  </w:pPr>
                  <w:r>
                    <w:rPr>
                      <w:rFonts w:ascii="Times New Roman" w:hAnsi="Times New Roman"/>
                      <w:b/>
                      <w:bCs/>
                      <w:sz w:val="24"/>
                      <w:szCs w:val="24"/>
                    </w:rPr>
                    <w:t>Overview of the Legislative Instrument</w:t>
                  </w:r>
                </w:p>
                <w:p w:rsidR="00253716" w:rsidRDefault="00D1214D" w:rsidP="00153B2F">
                  <w:pPr>
                    <w:autoSpaceDE w:val="0"/>
                    <w:autoSpaceDN w:val="0"/>
                    <w:rPr>
                      <w:rFonts w:ascii="Times New Roman" w:hAnsi="Times New Roman"/>
                      <w:sz w:val="24"/>
                      <w:szCs w:val="24"/>
                    </w:rPr>
                  </w:pPr>
                  <w:r>
                    <w:rPr>
                      <w:rFonts w:ascii="Times New Roman" w:hAnsi="Times New Roman"/>
                      <w:sz w:val="24"/>
                      <w:szCs w:val="24"/>
                    </w:rPr>
                    <w:t xml:space="preserve">The </w:t>
                  </w:r>
                  <w:r w:rsidRPr="000F7779">
                    <w:rPr>
                      <w:rFonts w:ascii="Times New Roman" w:hAnsi="Times New Roman"/>
                      <w:i/>
                      <w:sz w:val="24"/>
                      <w:szCs w:val="24"/>
                    </w:rPr>
                    <w:t>Carbo</w:t>
                  </w:r>
                  <w:r w:rsidRPr="000F7779">
                    <w:rPr>
                      <w:rFonts w:ascii="Times New Roman" w:hAnsi="Times New Roman"/>
                      <w:i/>
                      <w:sz w:val="24"/>
                      <w:szCs w:val="24"/>
                    </w:rPr>
                    <w:t xml:space="preserve">n Credits (Carbon Farming Initiative—Oil and Gas Fugitives) Methodology Determination </w:t>
                  </w:r>
                  <w:r w:rsidRPr="00163EE9">
                    <w:rPr>
                      <w:rFonts w:ascii="Times New Roman" w:hAnsi="Times New Roman"/>
                      <w:i/>
                      <w:sz w:val="24"/>
                      <w:szCs w:val="24"/>
                    </w:rPr>
                    <w:t>2015</w:t>
                  </w:r>
                  <w:r w:rsidRPr="00333153">
                    <w:rPr>
                      <w:rFonts w:ascii="Times New Roman" w:hAnsi="Times New Roman"/>
                      <w:i/>
                      <w:sz w:val="24"/>
                      <w:szCs w:val="24"/>
                    </w:rPr>
                    <w:t xml:space="preserve"> </w:t>
                  </w:r>
                  <w:r>
                    <w:rPr>
                      <w:rFonts w:ascii="Times New Roman" w:hAnsi="Times New Roman"/>
                      <w:sz w:val="24"/>
                      <w:szCs w:val="24"/>
                    </w:rPr>
                    <w:t xml:space="preserve">(the Determination) </w:t>
                  </w:r>
                  <w:r w:rsidRPr="00B32674">
                    <w:rPr>
                      <w:rFonts w:ascii="Times New Roman" w:hAnsi="Times New Roman"/>
                      <w:sz w:val="24"/>
                      <w:szCs w:val="24"/>
                    </w:rPr>
                    <w:t xml:space="preserve">applies to facilities that have fugitive emissions from oil or gas. The Determination provides for facilities to </w:t>
                  </w:r>
                  <w:r>
                    <w:rPr>
                      <w:rFonts w:ascii="Times New Roman" w:hAnsi="Times New Roman"/>
                      <w:sz w:val="24"/>
                      <w:szCs w:val="24"/>
                    </w:rPr>
                    <w:t xml:space="preserve">reduce their emissions through </w:t>
                  </w:r>
                  <w:r w:rsidRPr="00B32674">
                    <w:rPr>
                      <w:rFonts w:ascii="Times New Roman" w:hAnsi="Times New Roman"/>
                      <w:sz w:val="24"/>
                      <w:szCs w:val="24"/>
                    </w:rPr>
                    <w:t>re-routing fugitive emissions to a flare instead of allowing them to be vented to the atmosphere</w:t>
                  </w:r>
                  <w:r>
                    <w:rPr>
                      <w:rFonts w:ascii="Times New Roman" w:hAnsi="Times New Roman"/>
                      <w:sz w:val="24"/>
                      <w:szCs w:val="24"/>
                    </w:rPr>
                    <w:t>.</w:t>
                  </w:r>
                </w:p>
                <w:p w:rsidR="00253716" w:rsidRDefault="00D1214D" w:rsidP="00153B2F">
                  <w:pPr>
                    <w:autoSpaceDE w:val="0"/>
                    <w:autoSpaceDN w:val="0"/>
                    <w:spacing w:after="0"/>
                    <w:rPr>
                      <w:rFonts w:ascii="Times New Roman" w:hAnsi="Times New Roman"/>
                      <w:sz w:val="24"/>
                      <w:szCs w:val="24"/>
                    </w:rPr>
                  </w:pPr>
                  <w:r>
                    <w:rPr>
                      <w:rFonts w:ascii="Times New Roman" w:hAnsi="Times New Roman"/>
                      <w:sz w:val="24"/>
                      <w:szCs w:val="24"/>
                    </w:rPr>
                    <w:t>Project proponents wishing to implement the Determination must make an application to the</w:t>
                  </w:r>
                </w:p>
                <w:p w:rsidR="00253716" w:rsidRDefault="00D1214D" w:rsidP="00153B2F">
                  <w:pPr>
                    <w:autoSpaceDE w:val="0"/>
                    <w:autoSpaceDN w:val="0"/>
                    <w:spacing w:after="0"/>
                    <w:rPr>
                      <w:rFonts w:ascii="Times New Roman" w:hAnsi="Times New Roman"/>
                      <w:sz w:val="24"/>
                      <w:szCs w:val="24"/>
                    </w:rPr>
                  </w:pPr>
                  <w:r>
                    <w:rPr>
                      <w:rFonts w:ascii="Times New Roman" w:hAnsi="Times New Roman"/>
                      <w:sz w:val="24"/>
                      <w:szCs w:val="24"/>
                    </w:rPr>
                    <w:t>Clean Energy Regulator (the Regulator) and meet the eligibility requ</w:t>
                  </w:r>
                  <w:r>
                    <w:rPr>
                      <w:rFonts w:ascii="Times New Roman" w:hAnsi="Times New Roman"/>
                      <w:sz w:val="24"/>
                      <w:szCs w:val="24"/>
                    </w:rPr>
                    <w:t>irements set out under</w:t>
                  </w:r>
                </w:p>
                <w:p w:rsidR="00253716" w:rsidRDefault="00D1214D" w:rsidP="00153B2F">
                  <w:pPr>
                    <w:spacing w:after="12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Determination. Offsets projects that are approved by the Regulator can generate Australian Carbon Credit Units, representing emissions reductions from the project.</w:t>
                  </w:r>
                </w:p>
                <w:p w:rsidR="00253716" w:rsidRDefault="00D1214D" w:rsidP="00153B2F">
                  <w:pPr>
                    <w:autoSpaceDE w:val="0"/>
                    <w:autoSpaceDN w:val="0"/>
                    <w:spacing w:after="0"/>
                    <w:rPr>
                      <w:rFonts w:ascii="Times New Roman" w:hAnsi="Times New Roman"/>
                      <w:sz w:val="24"/>
                      <w:szCs w:val="24"/>
                    </w:rPr>
                  </w:pPr>
                  <w:r>
                    <w:rPr>
                      <w:rFonts w:ascii="Times New Roman" w:hAnsi="Times New Roman"/>
                      <w:sz w:val="24"/>
                      <w:szCs w:val="24"/>
                    </w:rPr>
                    <w:t>Project proponents can receive funding from the Emissions Reducti</w:t>
                  </w:r>
                  <w:r>
                    <w:rPr>
                      <w:rFonts w:ascii="Times New Roman" w:hAnsi="Times New Roman"/>
                      <w:sz w:val="24"/>
                      <w:szCs w:val="24"/>
                    </w:rPr>
                    <w:t>on Fund by submitting their projects into a competitive auction run by the Regulator. The Government will enter into contracts with successful proponents, which will guarantee the price and payment for the future delivery of emissions reductions.</w:t>
                  </w:r>
                </w:p>
                <w:p w:rsidR="00253716" w:rsidRDefault="00D1214D" w:rsidP="00153B2F">
                  <w:pPr>
                    <w:spacing w:before="120" w:after="120"/>
                    <w:rPr>
                      <w:rFonts w:ascii="Times New Roman" w:hAnsi="Times New Roman"/>
                      <w:b/>
                      <w:bCs/>
                      <w:sz w:val="24"/>
                      <w:szCs w:val="24"/>
                    </w:rPr>
                  </w:pPr>
                  <w:r>
                    <w:rPr>
                      <w:rFonts w:ascii="Times New Roman" w:hAnsi="Times New Roman"/>
                      <w:b/>
                      <w:bCs/>
                      <w:sz w:val="24"/>
                      <w:szCs w:val="24"/>
                    </w:rPr>
                    <w:t>Human rig</w:t>
                  </w:r>
                  <w:r>
                    <w:rPr>
                      <w:rFonts w:ascii="Times New Roman" w:hAnsi="Times New Roman"/>
                      <w:b/>
                      <w:bCs/>
                      <w:sz w:val="24"/>
                      <w:szCs w:val="24"/>
                    </w:rPr>
                    <w:t>hts implications</w:t>
                  </w:r>
                </w:p>
                <w:p w:rsidR="00253716" w:rsidRDefault="00D1214D" w:rsidP="00153B2F">
                  <w:pPr>
                    <w:spacing w:before="120" w:after="120"/>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rsidR="00253716" w:rsidRDefault="00D1214D" w:rsidP="00153B2F">
                  <w:pPr>
                    <w:spacing w:before="120" w:after="120"/>
                    <w:rPr>
                      <w:rFonts w:ascii="Times New Roman" w:hAnsi="Times New Roman"/>
                      <w:b/>
                      <w:bCs/>
                      <w:sz w:val="24"/>
                      <w:szCs w:val="24"/>
                    </w:rPr>
                  </w:pPr>
                  <w:r>
                    <w:rPr>
                      <w:rFonts w:ascii="Times New Roman" w:hAnsi="Times New Roman"/>
                      <w:b/>
                      <w:bCs/>
                      <w:sz w:val="24"/>
                      <w:szCs w:val="24"/>
                    </w:rPr>
                    <w:t>Conclusion</w:t>
                  </w:r>
                </w:p>
                <w:p w:rsidR="00253716" w:rsidRDefault="00D1214D" w:rsidP="00153B2F">
                  <w:pPr>
                    <w:spacing w:before="120" w:after="120"/>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253716" w:rsidRDefault="00D1214D" w:rsidP="00153B2F">
                  <w:pPr>
                    <w:spacing w:before="120" w:after="120"/>
                    <w:jc w:val="center"/>
                    <w:rPr>
                      <w:rFonts w:ascii="Times New Roman" w:hAnsi="Times New Roman"/>
                      <w:sz w:val="24"/>
                      <w:szCs w:val="24"/>
                    </w:rPr>
                  </w:pPr>
                </w:p>
                <w:p w:rsidR="00253716" w:rsidRDefault="00D1214D" w:rsidP="00153B2F">
                  <w:pPr>
                    <w:spacing w:before="120" w:after="120"/>
                    <w:jc w:val="center"/>
                    <w:rPr>
                      <w:rFonts w:ascii="Times New Roman" w:hAnsi="Times New Roman"/>
                      <w:sz w:val="24"/>
                      <w:szCs w:val="24"/>
                    </w:rPr>
                  </w:pPr>
                </w:p>
                <w:p w:rsidR="00253716" w:rsidRDefault="00D1214D" w:rsidP="00153B2F">
                  <w:pPr>
                    <w:spacing w:before="120" w:after="120"/>
                    <w:jc w:val="center"/>
                    <w:rPr>
                      <w:rFonts w:ascii="Times New Roman" w:hAnsi="Times New Roman"/>
                      <w:sz w:val="24"/>
                      <w:szCs w:val="24"/>
                    </w:rPr>
                  </w:pPr>
                  <w:r>
                    <w:rPr>
                      <w:rFonts w:ascii="Times New Roman" w:hAnsi="Times New Roman"/>
                      <w:b/>
                      <w:bCs/>
                      <w:sz w:val="24"/>
                      <w:szCs w:val="24"/>
                    </w:rPr>
                    <w:t>Greg Hunt, Minister for the Enviro</w:t>
                  </w:r>
                  <w:r>
                    <w:rPr>
                      <w:rFonts w:ascii="Times New Roman" w:hAnsi="Times New Roman"/>
                      <w:b/>
                      <w:bCs/>
                      <w:sz w:val="24"/>
                      <w:szCs w:val="24"/>
                    </w:rPr>
                    <w:t>nment</w:t>
                  </w:r>
                </w:p>
              </w:txbxContent>
            </v:textbox>
            <w10:wrap type="square" anchorx="margin" anchory="margin"/>
          </v:rect>
        </w:pict>
      </w:r>
      <w:r w:rsidR="00D1214D" w:rsidRPr="005F36BF">
        <w:rPr>
          <w:rFonts w:ascii="Times New Roman" w:hAnsi="Times New Roman"/>
          <w:sz w:val="24"/>
          <w:szCs w:val="24"/>
          <w:u w:val="single"/>
        </w:rPr>
        <w:t>Attachment B</w:t>
      </w:r>
    </w:p>
    <w:p w:rsidR="008F38E6" w:rsidRPr="00605481" w:rsidRDefault="00D1214D" w:rsidP="00D0101C">
      <w:pPr>
        <w:spacing w:after="120" w:line="240" w:lineRule="auto"/>
        <w:rPr>
          <w:rFonts w:ascii="Times New Roman" w:hAnsi="Times New Roman"/>
          <w:color w:val="000000"/>
          <w:sz w:val="24"/>
          <w:szCs w:val="24"/>
        </w:rPr>
      </w:pPr>
    </w:p>
    <w:sectPr w:rsidR="008F38E6" w:rsidRPr="00605481" w:rsidSect="00E367D1">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AD3" w:rsidRDefault="00B75AD3" w:rsidP="00B75AD3">
      <w:pPr>
        <w:spacing w:after="0" w:line="240" w:lineRule="auto"/>
      </w:pPr>
      <w:r>
        <w:separator/>
      </w:r>
    </w:p>
  </w:endnote>
  <w:endnote w:type="continuationSeparator" w:id="0">
    <w:p w:rsidR="00B75AD3" w:rsidRDefault="00B75AD3" w:rsidP="00B75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40820"/>
      <w:docPartObj>
        <w:docPartGallery w:val="Page Numbers (Bottom of Page)"/>
        <w:docPartUnique/>
      </w:docPartObj>
    </w:sdtPr>
    <w:sdtContent>
      <w:p w:rsidR="00253716" w:rsidRDefault="00B75AD3">
        <w:pPr>
          <w:pStyle w:val="Footer"/>
          <w:jc w:val="center"/>
        </w:pPr>
        <w:r>
          <w:fldChar w:fldCharType="begin"/>
        </w:r>
        <w:r w:rsidR="00D1214D">
          <w:instrText xml:space="preserve"> PAGE   \* MERGEFORMAT </w:instrText>
        </w:r>
        <w:r>
          <w:fldChar w:fldCharType="separate"/>
        </w:r>
        <w:r w:rsidR="00D1214D">
          <w:rPr>
            <w:noProof/>
          </w:rPr>
          <w:t>1</w:t>
        </w:r>
        <w:r>
          <w:rPr>
            <w:noProof/>
          </w:rPr>
          <w:fldChar w:fldCharType="end"/>
        </w:r>
      </w:p>
    </w:sdtContent>
  </w:sdt>
  <w:p w:rsidR="00253716" w:rsidRDefault="00D12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1626"/>
      <w:docPartObj>
        <w:docPartGallery w:val="Page Numbers (Bottom of Page)"/>
        <w:docPartUnique/>
      </w:docPartObj>
    </w:sdtPr>
    <w:sdtContent>
      <w:p w:rsidR="00253716" w:rsidRDefault="00B75AD3">
        <w:pPr>
          <w:pStyle w:val="Footer"/>
          <w:jc w:val="center"/>
        </w:pPr>
        <w:r>
          <w:fldChar w:fldCharType="begin"/>
        </w:r>
        <w:r w:rsidR="00D1214D">
          <w:instrText xml:space="preserve"> PAGE   \* MERGEFORMAT </w:instrText>
        </w:r>
        <w:r>
          <w:fldChar w:fldCharType="separate"/>
        </w:r>
        <w:r w:rsidR="00D1214D">
          <w:rPr>
            <w:noProof/>
          </w:rPr>
          <w:t>20</w:t>
        </w:r>
        <w:r>
          <w:rPr>
            <w:noProof/>
          </w:rPr>
          <w:fldChar w:fldCharType="end"/>
        </w:r>
      </w:p>
    </w:sdtContent>
  </w:sdt>
  <w:p w:rsidR="00253716" w:rsidRDefault="00D12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716" w:rsidRDefault="00D1214D" w:rsidP="00BB4755">
      <w:pPr>
        <w:spacing w:after="0" w:line="240" w:lineRule="auto"/>
      </w:pPr>
      <w:r>
        <w:separator/>
      </w:r>
    </w:p>
  </w:footnote>
  <w:footnote w:type="continuationSeparator" w:id="0">
    <w:p w:rsidR="00253716" w:rsidRDefault="00D1214D" w:rsidP="00BB4755">
      <w:pPr>
        <w:spacing w:after="0" w:line="240" w:lineRule="auto"/>
      </w:pPr>
      <w:r>
        <w:continuationSeparator/>
      </w:r>
    </w:p>
  </w:footnote>
  <w:footnote w:id="1">
    <w:p w:rsidR="00253716" w:rsidRPr="00260891" w:rsidRDefault="00D1214D" w:rsidP="00153B2F">
      <w:pPr>
        <w:pStyle w:val="FootnoteText"/>
        <w:rPr>
          <w:rFonts w:ascii="Times New Roman" w:hAnsi="Times New Roman"/>
        </w:rPr>
      </w:pPr>
      <w:r w:rsidRPr="00260891">
        <w:rPr>
          <w:rStyle w:val="FootnoteReference"/>
          <w:rFonts w:ascii="Times New Roman" w:hAnsi="Times New Roman"/>
        </w:rPr>
        <w:footnoteRef/>
      </w:r>
      <w:r w:rsidRPr="00260891">
        <w:rPr>
          <w:rFonts w:ascii="Times New Roman" w:hAnsi="Times New Roman"/>
        </w:rPr>
        <w:t xml:space="preserve"> </w:t>
      </w:r>
      <w:proofErr w:type="gramStart"/>
      <w:r w:rsidRPr="00260891">
        <w:rPr>
          <w:rFonts w:ascii="Times New Roman" w:hAnsi="Times New Roman"/>
        </w:rPr>
        <w:t>Department of the Environment (</w:t>
      </w:r>
      <w:r w:rsidRPr="00163EE9">
        <w:rPr>
          <w:rFonts w:ascii="Times New Roman" w:hAnsi="Times New Roman"/>
        </w:rPr>
        <w:t>2013</w:t>
      </w:r>
      <w:r w:rsidRPr="00260891">
        <w:rPr>
          <w:rFonts w:ascii="Times New Roman" w:hAnsi="Times New Roman"/>
        </w:rPr>
        <w:t xml:space="preserve">), </w:t>
      </w:r>
      <w:r w:rsidRPr="00260891">
        <w:rPr>
          <w:rFonts w:ascii="Times New Roman" w:hAnsi="Times New Roman"/>
          <w:i/>
        </w:rPr>
        <w:t xml:space="preserve">Australia’s Abatement Task and </w:t>
      </w:r>
      <w:r w:rsidRPr="00163EE9">
        <w:rPr>
          <w:rFonts w:ascii="Times New Roman" w:hAnsi="Times New Roman"/>
          <w:i/>
        </w:rPr>
        <w:t>2013</w:t>
      </w:r>
      <w:r w:rsidRPr="00260891">
        <w:rPr>
          <w:rFonts w:ascii="Times New Roman" w:hAnsi="Times New Roman"/>
          <w:i/>
        </w:rPr>
        <w:t xml:space="preserve"> Emissions Projections</w:t>
      </w:r>
      <w:r w:rsidRPr="00260891">
        <w:rPr>
          <w:rFonts w:ascii="Times New Roman" w:hAnsi="Times New Roman"/>
        </w:rPr>
        <w:t>.</w:t>
      </w:r>
      <w:proofErr w:type="gramEnd"/>
      <w:r w:rsidRPr="00260891">
        <w:rPr>
          <w:rFonts w:ascii="Times New Roman" w:hAnsi="Times New Roman"/>
        </w:rPr>
        <w:t xml:space="preserve"> Available at:</w:t>
      </w:r>
      <w:r w:rsidRPr="00260891">
        <w:rPr>
          <w:rFonts w:ascii="Times New Roman" w:hAnsi="Times New Roman"/>
        </w:rPr>
        <w:br/>
      </w:r>
      <w:hyperlink r:id="rId1" w:history="1">
        <w:r w:rsidRPr="00260891">
          <w:rPr>
            <w:rStyle w:val="Hyperlink"/>
            <w:rFonts w:ascii="Times New Roman" w:hAnsi="Times New Roman"/>
          </w:rPr>
          <w:t>http://www.environment.gov.au/system/files/resources/</w:t>
        </w:r>
        <w:r w:rsidRPr="00163EE9">
          <w:rPr>
            <w:rStyle w:val="Hyperlink"/>
            <w:rFonts w:ascii="Times New Roman" w:hAnsi="Times New Roman"/>
          </w:rPr>
          <w:t>51</w:t>
        </w:r>
        <w:r w:rsidRPr="00260891">
          <w:rPr>
            <w:rStyle w:val="Hyperlink"/>
            <w:rFonts w:ascii="Times New Roman" w:hAnsi="Times New Roman"/>
          </w:rPr>
          <w:t>b</w:t>
        </w:r>
        <w:r w:rsidRPr="00163EE9">
          <w:rPr>
            <w:rStyle w:val="Hyperlink"/>
            <w:rFonts w:ascii="Times New Roman" w:hAnsi="Times New Roman"/>
          </w:rPr>
          <w:t>72</w:t>
        </w:r>
        <w:r w:rsidRPr="00260891">
          <w:rPr>
            <w:rStyle w:val="Hyperlink"/>
            <w:rFonts w:ascii="Times New Roman" w:hAnsi="Times New Roman"/>
          </w:rPr>
          <w:t>a</w:t>
        </w:r>
        <w:r w:rsidRPr="00163EE9">
          <w:rPr>
            <w:rStyle w:val="Hyperlink"/>
            <w:rFonts w:ascii="Times New Roman" w:hAnsi="Times New Roman"/>
          </w:rPr>
          <w:t>94</w:t>
        </w:r>
        <w:r w:rsidRPr="00260891">
          <w:rPr>
            <w:rStyle w:val="Hyperlink"/>
            <w:rFonts w:ascii="Times New Roman" w:hAnsi="Times New Roman"/>
          </w:rPr>
          <w:t>-</w:t>
        </w:r>
        <w:r w:rsidRPr="00163EE9">
          <w:rPr>
            <w:rStyle w:val="Hyperlink"/>
            <w:rFonts w:ascii="Times New Roman" w:hAnsi="Times New Roman"/>
          </w:rPr>
          <w:t>7</w:t>
        </w:r>
        <w:r w:rsidRPr="00260891">
          <w:rPr>
            <w:rStyle w:val="Hyperlink"/>
            <w:rFonts w:ascii="Times New Roman" w:hAnsi="Times New Roman"/>
          </w:rPr>
          <w:t>c</w:t>
        </w:r>
        <w:r w:rsidRPr="00163EE9">
          <w:rPr>
            <w:rStyle w:val="Hyperlink"/>
            <w:rFonts w:ascii="Times New Roman" w:hAnsi="Times New Roman"/>
          </w:rPr>
          <w:t>7</w:t>
        </w:r>
        <w:r w:rsidRPr="00260891">
          <w:rPr>
            <w:rStyle w:val="Hyperlink"/>
            <w:rFonts w:ascii="Times New Roman" w:hAnsi="Times New Roman"/>
          </w:rPr>
          <w:t>a-</w:t>
        </w:r>
        <w:r w:rsidRPr="00163EE9">
          <w:rPr>
            <w:rStyle w:val="Hyperlink"/>
            <w:rFonts w:ascii="Times New Roman" w:hAnsi="Times New Roman"/>
          </w:rPr>
          <w:t>48</w:t>
        </w:r>
        <w:r w:rsidRPr="00260891">
          <w:rPr>
            <w:rStyle w:val="Hyperlink"/>
            <w:rFonts w:ascii="Times New Roman" w:hAnsi="Times New Roman"/>
          </w:rPr>
          <w:t>c</w:t>
        </w:r>
        <w:r w:rsidRPr="00163EE9">
          <w:rPr>
            <w:rStyle w:val="Hyperlink"/>
            <w:rFonts w:ascii="Times New Roman" w:hAnsi="Times New Roman"/>
          </w:rPr>
          <w:t>4</w:t>
        </w:r>
        <w:r w:rsidRPr="00260891">
          <w:rPr>
            <w:rStyle w:val="Hyperlink"/>
            <w:rFonts w:ascii="Times New Roman" w:hAnsi="Times New Roman"/>
          </w:rPr>
          <w:t>-</w:t>
        </w:r>
        <w:r w:rsidRPr="00163EE9">
          <w:rPr>
            <w:rStyle w:val="Hyperlink"/>
            <w:rFonts w:ascii="Times New Roman" w:hAnsi="Times New Roman"/>
          </w:rPr>
          <w:t>887</w:t>
        </w:r>
        <w:r w:rsidRPr="00260891">
          <w:rPr>
            <w:rStyle w:val="Hyperlink"/>
            <w:rFonts w:ascii="Times New Roman" w:hAnsi="Times New Roman"/>
          </w:rPr>
          <w:t>a-</w:t>
        </w:r>
        <w:r w:rsidRPr="00163EE9">
          <w:rPr>
            <w:rStyle w:val="Hyperlink"/>
            <w:rFonts w:ascii="Times New Roman" w:hAnsi="Times New Roman"/>
          </w:rPr>
          <w:t>02</w:t>
        </w:r>
        <w:r w:rsidRPr="00260891">
          <w:rPr>
            <w:rStyle w:val="Hyperlink"/>
            <w:rFonts w:ascii="Times New Roman" w:hAnsi="Times New Roman"/>
          </w:rPr>
          <w:t>c</w:t>
        </w:r>
        <w:r w:rsidRPr="00163EE9">
          <w:rPr>
            <w:rStyle w:val="Hyperlink"/>
            <w:rFonts w:ascii="Times New Roman" w:hAnsi="Times New Roman"/>
          </w:rPr>
          <w:t>7</w:t>
        </w:r>
        <w:r w:rsidRPr="00260891">
          <w:rPr>
            <w:rStyle w:val="Hyperlink"/>
            <w:rFonts w:ascii="Times New Roman" w:hAnsi="Times New Roman"/>
          </w:rPr>
          <w:t>b</w:t>
        </w:r>
        <w:r w:rsidRPr="00163EE9">
          <w:rPr>
            <w:rStyle w:val="Hyperlink"/>
            <w:rFonts w:ascii="Times New Roman" w:hAnsi="Times New Roman"/>
          </w:rPr>
          <w:t>7</w:t>
        </w:r>
        <w:r w:rsidRPr="00260891">
          <w:rPr>
            <w:rStyle w:val="Hyperlink"/>
            <w:rFonts w:ascii="Times New Roman" w:hAnsi="Times New Roman"/>
          </w:rPr>
          <w:t>d</w:t>
        </w:r>
        <w:r w:rsidRPr="00163EE9">
          <w:rPr>
            <w:rStyle w:val="Hyperlink"/>
            <w:rFonts w:ascii="Times New Roman" w:hAnsi="Times New Roman"/>
          </w:rPr>
          <w:t>2</w:t>
        </w:r>
        <w:r w:rsidRPr="00260891">
          <w:rPr>
            <w:rStyle w:val="Hyperlink"/>
            <w:rFonts w:ascii="Times New Roman" w:hAnsi="Times New Roman"/>
          </w:rPr>
          <w:t>bd</w:t>
        </w:r>
        <w:r w:rsidRPr="00163EE9">
          <w:rPr>
            <w:rStyle w:val="Hyperlink"/>
            <w:rFonts w:ascii="Times New Roman" w:hAnsi="Times New Roman"/>
          </w:rPr>
          <w:t>4</w:t>
        </w:r>
        <w:r w:rsidRPr="00260891">
          <w:rPr>
            <w:rStyle w:val="Hyperlink"/>
            <w:rFonts w:ascii="Times New Roman" w:hAnsi="Times New Roman"/>
          </w:rPr>
          <w:t>c/files/abatement-task-</w:t>
        </w:r>
        <w:r w:rsidRPr="00260891">
          <w:rPr>
            <w:rStyle w:val="Hyperlink"/>
            <w:rFonts w:ascii="Times New Roman" w:hAnsi="Times New Roman"/>
          </w:rPr>
          <w:t>summary-report_</w:t>
        </w:r>
        <w:r w:rsidRPr="00163EE9">
          <w:rPr>
            <w:rStyle w:val="Hyperlink"/>
            <w:rFonts w:ascii="Times New Roman" w:hAnsi="Times New Roman"/>
          </w:rPr>
          <w:t>1</w:t>
        </w:r>
        <w:r w:rsidRPr="00260891">
          <w:rPr>
            <w:rStyle w:val="Hyperlink"/>
            <w:rFonts w:ascii="Times New Roman" w:hAnsi="Times New Roman"/>
          </w:rPr>
          <w:t>.pdf</w:t>
        </w:r>
      </w:hyperlink>
      <w:r w:rsidRPr="00260891">
        <w:rPr>
          <w:rFonts w:ascii="Times New Roman" w:hAnsi="Times New Roman"/>
        </w:rPr>
        <w:t xml:space="preserve"> </w:t>
      </w:r>
    </w:p>
  </w:footnote>
  <w:footnote w:id="2">
    <w:p w:rsidR="00253716" w:rsidRDefault="00D1214D" w:rsidP="00153B2F">
      <w:pPr>
        <w:pStyle w:val="FootnoteText"/>
      </w:pPr>
      <w:r w:rsidRPr="00260891">
        <w:rPr>
          <w:rStyle w:val="FootnoteReference"/>
          <w:rFonts w:ascii="Times New Roman" w:hAnsi="Times New Roman"/>
        </w:rPr>
        <w:footnoteRef/>
      </w:r>
      <w:r w:rsidRPr="00260891">
        <w:rPr>
          <w:rFonts w:ascii="Times New Roman" w:hAnsi="Times New Roman"/>
        </w:rPr>
        <w:t xml:space="preserve"> Department of the Environment (</w:t>
      </w:r>
      <w:r w:rsidRPr="00163EE9">
        <w:rPr>
          <w:rFonts w:ascii="Times New Roman" w:hAnsi="Times New Roman"/>
        </w:rPr>
        <w:t>2014</w:t>
      </w:r>
      <w:r w:rsidRPr="00260891">
        <w:rPr>
          <w:rFonts w:ascii="Times New Roman" w:hAnsi="Times New Roman"/>
        </w:rPr>
        <w:t xml:space="preserve">), </w:t>
      </w:r>
      <w:r w:rsidRPr="00260891">
        <w:rPr>
          <w:rFonts w:ascii="Times New Roman" w:hAnsi="Times New Roman"/>
          <w:i/>
        </w:rPr>
        <w:t xml:space="preserve">National Inventory Report </w:t>
      </w:r>
      <w:r w:rsidRPr="00163EE9">
        <w:rPr>
          <w:rFonts w:ascii="Times New Roman" w:hAnsi="Times New Roman"/>
          <w:i/>
        </w:rPr>
        <w:t>2012</w:t>
      </w:r>
      <w:r w:rsidRPr="00260891">
        <w:rPr>
          <w:rFonts w:ascii="Times New Roman" w:hAnsi="Times New Roman"/>
          <w:i/>
        </w:rPr>
        <w:t xml:space="preserve">: Volume </w:t>
      </w:r>
      <w:r w:rsidRPr="00163EE9">
        <w:rPr>
          <w:rFonts w:ascii="Times New Roman" w:hAnsi="Times New Roman"/>
          <w:i/>
        </w:rPr>
        <w:t>1</w:t>
      </w:r>
      <w:r w:rsidRPr="00260891">
        <w:rPr>
          <w:rFonts w:ascii="Times New Roman" w:hAnsi="Times New Roman"/>
        </w:rPr>
        <w:t xml:space="preserve">. Available at: </w:t>
      </w:r>
      <w:hyperlink r:id="rId2" w:history="1">
        <w:r w:rsidRPr="00260891">
          <w:rPr>
            <w:rStyle w:val="Hyperlink"/>
            <w:rFonts w:ascii="Times New Roman" w:hAnsi="Times New Roman"/>
          </w:rPr>
          <w:t>http://www.environment.gov.au/system/files/resources/</w:t>
        </w:r>
        <w:r w:rsidRPr="00163EE9">
          <w:rPr>
            <w:rStyle w:val="Hyperlink"/>
            <w:rFonts w:ascii="Times New Roman" w:hAnsi="Times New Roman"/>
          </w:rPr>
          <w:t>6</w:t>
        </w:r>
        <w:r w:rsidRPr="00260891">
          <w:rPr>
            <w:rStyle w:val="Hyperlink"/>
            <w:rFonts w:ascii="Times New Roman" w:hAnsi="Times New Roman"/>
          </w:rPr>
          <w:t>b</w:t>
        </w:r>
        <w:r w:rsidRPr="00163EE9">
          <w:rPr>
            <w:rStyle w:val="Hyperlink"/>
            <w:rFonts w:ascii="Times New Roman" w:hAnsi="Times New Roman"/>
          </w:rPr>
          <w:t>894230</w:t>
        </w:r>
        <w:r w:rsidRPr="00260891">
          <w:rPr>
            <w:rStyle w:val="Hyperlink"/>
            <w:rFonts w:ascii="Times New Roman" w:hAnsi="Times New Roman"/>
          </w:rPr>
          <w:t>-f</w:t>
        </w:r>
        <w:r w:rsidRPr="00163EE9">
          <w:rPr>
            <w:rStyle w:val="Hyperlink"/>
            <w:rFonts w:ascii="Times New Roman" w:hAnsi="Times New Roman"/>
          </w:rPr>
          <w:t>15</w:t>
        </w:r>
        <w:r w:rsidRPr="00260891">
          <w:rPr>
            <w:rStyle w:val="Hyperlink"/>
            <w:rFonts w:ascii="Times New Roman" w:hAnsi="Times New Roman"/>
          </w:rPr>
          <w:t>f-</w:t>
        </w:r>
        <w:r w:rsidRPr="00163EE9">
          <w:rPr>
            <w:rStyle w:val="Hyperlink"/>
            <w:rFonts w:ascii="Times New Roman" w:hAnsi="Times New Roman"/>
          </w:rPr>
          <w:t>4</w:t>
        </w:r>
        <w:r w:rsidRPr="00260891">
          <w:rPr>
            <w:rStyle w:val="Hyperlink"/>
            <w:rFonts w:ascii="Times New Roman" w:hAnsi="Times New Roman"/>
          </w:rPr>
          <w:t>a</w:t>
        </w:r>
        <w:r w:rsidRPr="00163EE9">
          <w:rPr>
            <w:rStyle w:val="Hyperlink"/>
            <w:rFonts w:ascii="Times New Roman" w:hAnsi="Times New Roman"/>
          </w:rPr>
          <w:t>69</w:t>
        </w:r>
        <w:r w:rsidRPr="00260891">
          <w:rPr>
            <w:rStyle w:val="Hyperlink"/>
            <w:rFonts w:ascii="Times New Roman" w:hAnsi="Times New Roman"/>
          </w:rPr>
          <w:t>-a</w:t>
        </w:r>
        <w:r w:rsidRPr="00163EE9">
          <w:rPr>
            <w:rStyle w:val="Hyperlink"/>
            <w:rFonts w:ascii="Times New Roman" w:hAnsi="Times New Roman"/>
          </w:rPr>
          <w:t>50</w:t>
        </w:r>
        <w:r w:rsidRPr="00260891">
          <w:rPr>
            <w:rStyle w:val="Hyperlink"/>
            <w:rFonts w:ascii="Times New Roman" w:hAnsi="Times New Roman"/>
          </w:rPr>
          <w:t>c-</w:t>
        </w:r>
        <w:r w:rsidRPr="00163EE9">
          <w:rPr>
            <w:rStyle w:val="Hyperlink"/>
            <w:rFonts w:ascii="Times New Roman" w:hAnsi="Times New Roman"/>
          </w:rPr>
          <w:t>5577</w:t>
        </w:r>
        <w:r w:rsidRPr="00260891">
          <w:rPr>
            <w:rStyle w:val="Hyperlink"/>
            <w:rFonts w:ascii="Times New Roman" w:hAnsi="Times New Roman"/>
          </w:rPr>
          <w:t>fecc</w:t>
        </w:r>
        <w:r w:rsidRPr="00163EE9">
          <w:rPr>
            <w:rStyle w:val="Hyperlink"/>
            <w:rFonts w:ascii="Times New Roman" w:hAnsi="Times New Roman"/>
          </w:rPr>
          <w:t>8</w:t>
        </w:r>
        <w:r w:rsidRPr="00260891">
          <w:rPr>
            <w:rStyle w:val="Hyperlink"/>
            <w:rFonts w:ascii="Times New Roman" w:hAnsi="Times New Roman"/>
          </w:rPr>
          <w:t>bc</w:t>
        </w:r>
        <w:r w:rsidRPr="00163EE9">
          <w:rPr>
            <w:rStyle w:val="Hyperlink"/>
            <w:rFonts w:ascii="Times New Roman" w:hAnsi="Times New Roman"/>
          </w:rPr>
          <w:t>2</w:t>
        </w:r>
        <w:r w:rsidRPr="00260891">
          <w:rPr>
            <w:rStyle w:val="Hyperlink"/>
            <w:rFonts w:ascii="Times New Roman" w:hAnsi="Times New Roman"/>
          </w:rPr>
          <w:t>/files/national-inventory-report-</w:t>
        </w:r>
        <w:r w:rsidRPr="00163EE9">
          <w:rPr>
            <w:rStyle w:val="Hyperlink"/>
            <w:rFonts w:ascii="Times New Roman" w:hAnsi="Times New Roman"/>
          </w:rPr>
          <w:t>2012</w:t>
        </w:r>
        <w:r w:rsidRPr="00260891">
          <w:rPr>
            <w:rStyle w:val="Hyperlink"/>
            <w:rFonts w:ascii="Times New Roman" w:hAnsi="Times New Roman"/>
          </w:rPr>
          <w:t>-vol</w:t>
        </w:r>
        <w:r w:rsidRPr="00163EE9">
          <w:rPr>
            <w:rStyle w:val="Hyperlink"/>
            <w:rFonts w:ascii="Times New Roman" w:hAnsi="Times New Roman"/>
          </w:rPr>
          <w:t>1</w:t>
        </w:r>
        <w:r w:rsidRPr="00260891">
          <w:rPr>
            <w:rStyle w:val="Hyperlink"/>
            <w:rFonts w:ascii="Times New Roman" w:hAnsi="Times New Roman"/>
          </w:rPr>
          <w:t>.pdf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E2A"/>
    <w:multiLevelType w:val="hybridMultilevel"/>
    <w:tmpl w:val="32660080"/>
    <w:lvl w:ilvl="0" w:tplc="D0004940">
      <w:start w:val="1"/>
      <w:numFmt w:val="decimal"/>
      <w:lvlText w:val="%1."/>
      <w:lvlJc w:val="left"/>
      <w:pPr>
        <w:ind w:left="720" w:hanging="360"/>
      </w:pPr>
    </w:lvl>
    <w:lvl w:ilvl="1" w:tplc="796E1654">
      <w:start w:val="1"/>
      <w:numFmt w:val="lowerLetter"/>
      <w:lvlText w:val="%2)"/>
      <w:lvlJc w:val="left"/>
      <w:pPr>
        <w:ind w:left="1440" w:hanging="360"/>
      </w:pPr>
    </w:lvl>
    <w:lvl w:ilvl="2" w:tplc="E21CDF04">
      <w:start w:val="1"/>
      <w:numFmt w:val="bullet"/>
      <w:lvlText w:val=""/>
      <w:lvlJc w:val="left"/>
      <w:pPr>
        <w:ind w:left="2160" w:hanging="360"/>
      </w:pPr>
      <w:rPr>
        <w:rFonts w:ascii="Wingdings" w:hAnsi="Wingdings" w:hint="default"/>
      </w:rPr>
    </w:lvl>
    <w:lvl w:ilvl="3" w:tplc="5F384FF4">
      <w:start w:val="1"/>
      <w:numFmt w:val="decimal"/>
      <w:lvlText w:val="%4."/>
      <w:lvlJc w:val="left"/>
      <w:pPr>
        <w:tabs>
          <w:tab w:val="num" w:pos="2880"/>
        </w:tabs>
        <w:ind w:left="2880" w:hanging="360"/>
      </w:pPr>
    </w:lvl>
    <w:lvl w:ilvl="4" w:tplc="C12E8064">
      <w:start w:val="1"/>
      <w:numFmt w:val="decimal"/>
      <w:lvlText w:val="%5."/>
      <w:lvlJc w:val="left"/>
      <w:pPr>
        <w:tabs>
          <w:tab w:val="num" w:pos="3600"/>
        </w:tabs>
        <w:ind w:left="3600" w:hanging="360"/>
      </w:pPr>
    </w:lvl>
    <w:lvl w:ilvl="5" w:tplc="E0C20E28">
      <w:start w:val="1"/>
      <w:numFmt w:val="decimal"/>
      <w:lvlText w:val="%6."/>
      <w:lvlJc w:val="left"/>
      <w:pPr>
        <w:tabs>
          <w:tab w:val="num" w:pos="4320"/>
        </w:tabs>
        <w:ind w:left="4320" w:hanging="360"/>
      </w:pPr>
    </w:lvl>
    <w:lvl w:ilvl="6" w:tplc="9B38558C">
      <w:start w:val="1"/>
      <w:numFmt w:val="decimal"/>
      <w:lvlText w:val="%7."/>
      <w:lvlJc w:val="left"/>
      <w:pPr>
        <w:tabs>
          <w:tab w:val="num" w:pos="5040"/>
        </w:tabs>
        <w:ind w:left="5040" w:hanging="360"/>
      </w:pPr>
    </w:lvl>
    <w:lvl w:ilvl="7" w:tplc="61B03A62">
      <w:start w:val="1"/>
      <w:numFmt w:val="decimal"/>
      <w:lvlText w:val="%8."/>
      <w:lvlJc w:val="left"/>
      <w:pPr>
        <w:tabs>
          <w:tab w:val="num" w:pos="5760"/>
        </w:tabs>
        <w:ind w:left="5760" w:hanging="360"/>
      </w:pPr>
    </w:lvl>
    <w:lvl w:ilvl="8" w:tplc="31B09A12">
      <w:start w:val="1"/>
      <w:numFmt w:val="decimal"/>
      <w:lvlText w:val="%9."/>
      <w:lvlJc w:val="left"/>
      <w:pPr>
        <w:tabs>
          <w:tab w:val="num" w:pos="6480"/>
        </w:tabs>
        <w:ind w:left="6480" w:hanging="360"/>
      </w:pPr>
    </w:lvl>
  </w:abstractNum>
  <w:abstractNum w:abstractNumId="1">
    <w:nsid w:val="05F962FD"/>
    <w:multiLevelType w:val="hybridMultilevel"/>
    <w:tmpl w:val="28FE22F8"/>
    <w:lvl w:ilvl="0" w:tplc="BC628A44">
      <w:start w:val="1"/>
      <w:numFmt w:val="lowerLetter"/>
      <w:lvlText w:val="(%1)"/>
      <w:lvlJc w:val="left"/>
      <w:pPr>
        <w:ind w:left="1080" w:hanging="360"/>
      </w:pPr>
      <w:rPr>
        <w:rFonts w:hint="default"/>
      </w:rPr>
    </w:lvl>
    <w:lvl w:ilvl="1" w:tplc="C5D05ACE" w:tentative="1">
      <w:start w:val="1"/>
      <w:numFmt w:val="lowerLetter"/>
      <w:lvlText w:val="%2."/>
      <w:lvlJc w:val="left"/>
      <w:pPr>
        <w:ind w:left="1800" w:hanging="360"/>
      </w:pPr>
    </w:lvl>
    <w:lvl w:ilvl="2" w:tplc="F4C85DEA" w:tentative="1">
      <w:start w:val="1"/>
      <w:numFmt w:val="lowerRoman"/>
      <w:lvlText w:val="%3."/>
      <w:lvlJc w:val="right"/>
      <w:pPr>
        <w:ind w:left="2520" w:hanging="180"/>
      </w:pPr>
    </w:lvl>
    <w:lvl w:ilvl="3" w:tplc="471C5596" w:tentative="1">
      <w:start w:val="1"/>
      <w:numFmt w:val="decimal"/>
      <w:lvlText w:val="%4."/>
      <w:lvlJc w:val="left"/>
      <w:pPr>
        <w:ind w:left="3240" w:hanging="360"/>
      </w:pPr>
    </w:lvl>
    <w:lvl w:ilvl="4" w:tplc="D1901592" w:tentative="1">
      <w:start w:val="1"/>
      <w:numFmt w:val="lowerLetter"/>
      <w:lvlText w:val="%5."/>
      <w:lvlJc w:val="left"/>
      <w:pPr>
        <w:ind w:left="3960" w:hanging="360"/>
      </w:pPr>
    </w:lvl>
    <w:lvl w:ilvl="5" w:tplc="F520960C" w:tentative="1">
      <w:start w:val="1"/>
      <w:numFmt w:val="lowerRoman"/>
      <w:lvlText w:val="%6."/>
      <w:lvlJc w:val="right"/>
      <w:pPr>
        <w:ind w:left="4680" w:hanging="180"/>
      </w:pPr>
    </w:lvl>
    <w:lvl w:ilvl="6" w:tplc="B492EC18" w:tentative="1">
      <w:start w:val="1"/>
      <w:numFmt w:val="decimal"/>
      <w:lvlText w:val="%7."/>
      <w:lvlJc w:val="left"/>
      <w:pPr>
        <w:ind w:left="5400" w:hanging="360"/>
      </w:pPr>
    </w:lvl>
    <w:lvl w:ilvl="7" w:tplc="0BF070CA" w:tentative="1">
      <w:start w:val="1"/>
      <w:numFmt w:val="lowerLetter"/>
      <w:lvlText w:val="%8."/>
      <w:lvlJc w:val="left"/>
      <w:pPr>
        <w:ind w:left="6120" w:hanging="360"/>
      </w:pPr>
    </w:lvl>
    <w:lvl w:ilvl="8" w:tplc="8F06636A" w:tentative="1">
      <w:start w:val="1"/>
      <w:numFmt w:val="lowerRoman"/>
      <w:lvlText w:val="%9."/>
      <w:lvlJc w:val="right"/>
      <w:pPr>
        <w:ind w:left="6840" w:hanging="180"/>
      </w:pPr>
    </w:lvl>
  </w:abstractNum>
  <w:abstractNum w:abstractNumId="2">
    <w:nsid w:val="0A0337F6"/>
    <w:multiLevelType w:val="hybridMultilevel"/>
    <w:tmpl w:val="36769674"/>
    <w:lvl w:ilvl="0" w:tplc="8E885EF2">
      <w:start w:val="1"/>
      <w:numFmt w:val="bullet"/>
      <w:lvlText w:val=""/>
      <w:lvlJc w:val="left"/>
      <w:pPr>
        <w:ind w:left="766" w:hanging="360"/>
      </w:pPr>
      <w:rPr>
        <w:rFonts w:ascii="Symbol" w:hAnsi="Symbol" w:hint="default"/>
      </w:rPr>
    </w:lvl>
    <w:lvl w:ilvl="1" w:tplc="DF0ECCA6" w:tentative="1">
      <w:start w:val="1"/>
      <w:numFmt w:val="bullet"/>
      <w:lvlText w:val="o"/>
      <w:lvlJc w:val="left"/>
      <w:pPr>
        <w:ind w:left="1486" w:hanging="360"/>
      </w:pPr>
      <w:rPr>
        <w:rFonts w:ascii="Courier New" w:hAnsi="Courier New" w:cs="Courier New" w:hint="default"/>
      </w:rPr>
    </w:lvl>
    <w:lvl w:ilvl="2" w:tplc="7980BC58" w:tentative="1">
      <w:start w:val="1"/>
      <w:numFmt w:val="bullet"/>
      <w:lvlText w:val=""/>
      <w:lvlJc w:val="left"/>
      <w:pPr>
        <w:ind w:left="2206" w:hanging="360"/>
      </w:pPr>
      <w:rPr>
        <w:rFonts w:ascii="Wingdings" w:hAnsi="Wingdings" w:hint="default"/>
      </w:rPr>
    </w:lvl>
    <w:lvl w:ilvl="3" w:tplc="2B9A07AA" w:tentative="1">
      <w:start w:val="1"/>
      <w:numFmt w:val="bullet"/>
      <w:lvlText w:val=""/>
      <w:lvlJc w:val="left"/>
      <w:pPr>
        <w:ind w:left="2926" w:hanging="360"/>
      </w:pPr>
      <w:rPr>
        <w:rFonts w:ascii="Symbol" w:hAnsi="Symbol" w:hint="default"/>
      </w:rPr>
    </w:lvl>
    <w:lvl w:ilvl="4" w:tplc="7B5E507C" w:tentative="1">
      <w:start w:val="1"/>
      <w:numFmt w:val="bullet"/>
      <w:lvlText w:val="o"/>
      <w:lvlJc w:val="left"/>
      <w:pPr>
        <w:ind w:left="3646" w:hanging="360"/>
      </w:pPr>
      <w:rPr>
        <w:rFonts w:ascii="Courier New" w:hAnsi="Courier New" w:cs="Courier New" w:hint="default"/>
      </w:rPr>
    </w:lvl>
    <w:lvl w:ilvl="5" w:tplc="F9FE164A" w:tentative="1">
      <w:start w:val="1"/>
      <w:numFmt w:val="bullet"/>
      <w:lvlText w:val=""/>
      <w:lvlJc w:val="left"/>
      <w:pPr>
        <w:ind w:left="4366" w:hanging="360"/>
      </w:pPr>
      <w:rPr>
        <w:rFonts w:ascii="Wingdings" w:hAnsi="Wingdings" w:hint="default"/>
      </w:rPr>
    </w:lvl>
    <w:lvl w:ilvl="6" w:tplc="64EC4788" w:tentative="1">
      <w:start w:val="1"/>
      <w:numFmt w:val="bullet"/>
      <w:lvlText w:val=""/>
      <w:lvlJc w:val="left"/>
      <w:pPr>
        <w:ind w:left="5086" w:hanging="360"/>
      </w:pPr>
      <w:rPr>
        <w:rFonts w:ascii="Symbol" w:hAnsi="Symbol" w:hint="default"/>
      </w:rPr>
    </w:lvl>
    <w:lvl w:ilvl="7" w:tplc="94CE1D32" w:tentative="1">
      <w:start w:val="1"/>
      <w:numFmt w:val="bullet"/>
      <w:lvlText w:val="o"/>
      <w:lvlJc w:val="left"/>
      <w:pPr>
        <w:ind w:left="5806" w:hanging="360"/>
      </w:pPr>
      <w:rPr>
        <w:rFonts w:ascii="Courier New" w:hAnsi="Courier New" w:cs="Courier New" w:hint="default"/>
      </w:rPr>
    </w:lvl>
    <w:lvl w:ilvl="8" w:tplc="599C2B62" w:tentative="1">
      <w:start w:val="1"/>
      <w:numFmt w:val="bullet"/>
      <w:lvlText w:val=""/>
      <w:lvlJc w:val="left"/>
      <w:pPr>
        <w:ind w:left="6526" w:hanging="360"/>
      </w:pPr>
      <w:rPr>
        <w:rFonts w:ascii="Wingdings" w:hAnsi="Wingdings" w:hint="default"/>
      </w:rPr>
    </w:lvl>
  </w:abstractNum>
  <w:abstractNum w:abstractNumId="3">
    <w:nsid w:val="108C00E0"/>
    <w:multiLevelType w:val="hybridMultilevel"/>
    <w:tmpl w:val="6B8A0808"/>
    <w:lvl w:ilvl="0" w:tplc="8E5E28F2">
      <w:start w:val="1"/>
      <w:numFmt w:val="bullet"/>
      <w:lvlText w:val=""/>
      <w:lvlJc w:val="left"/>
      <w:pPr>
        <w:ind w:left="750" w:hanging="360"/>
      </w:pPr>
      <w:rPr>
        <w:rFonts w:ascii="Symbol" w:hAnsi="Symbol" w:hint="default"/>
      </w:rPr>
    </w:lvl>
    <w:lvl w:ilvl="1" w:tplc="159EBF34" w:tentative="1">
      <w:start w:val="1"/>
      <w:numFmt w:val="bullet"/>
      <w:lvlText w:val="o"/>
      <w:lvlJc w:val="left"/>
      <w:pPr>
        <w:ind w:left="1470" w:hanging="360"/>
      </w:pPr>
      <w:rPr>
        <w:rFonts w:ascii="Courier New" w:hAnsi="Courier New" w:cs="Courier New" w:hint="default"/>
      </w:rPr>
    </w:lvl>
    <w:lvl w:ilvl="2" w:tplc="B23C588E" w:tentative="1">
      <w:start w:val="1"/>
      <w:numFmt w:val="bullet"/>
      <w:lvlText w:val=""/>
      <w:lvlJc w:val="left"/>
      <w:pPr>
        <w:ind w:left="2190" w:hanging="360"/>
      </w:pPr>
      <w:rPr>
        <w:rFonts w:ascii="Wingdings" w:hAnsi="Wingdings" w:hint="default"/>
      </w:rPr>
    </w:lvl>
    <w:lvl w:ilvl="3" w:tplc="C33440E8" w:tentative="1">
      <w:start w:val="1"/>
      <w:numFmt w:val="bullet"/>
      <w:lvlText w:val=""/>
      <w:lvlJc w:val="left"/>
      <w:pPr>
        <w:ind w:left="2910" w:hanging="360"/>
      </w:pPr>
      <w:rPr>
        <w:rFonts w:ascii="Symbol" w:hAnsi="Symbol" w:hint="default"/>
      </w:rPr>
    </w:lvl>
    <w:lvl w:ilvl="4" w:tplc="6E54302E" w:tentative="1">
      <w:start w:val="1"/>
      <w:numFmt w:val="bullet"/>
      <w:lvlText w:val="o"/>
      <w:lvlJc w:val="left"/>
      <w:pPr>
        <w:ind w:left="3630" w:hanging="360"/>
      </w:pPr>
      <w:rPr>
        <w:rFonts w:ascii="Courier New" w:hAnsi="Courier New" w:cs="Courier New" w:hint="default"/>
      </w:rPr>
    </w:lvl>
    <w:lvl w:ilvl="5" w:tplc="B192D7CA" w:tentative="1">
      <w:start w:val="1"/>
      <w:numFmt w:val="bullet"/>
      <w:lvlText w:val=""/>
      <w:lvlJc w:val="left"/>
      <w:pPr>
        <w:ind w:left="4350" w:hanging="360"/>
      </w:pPr>
      <w:rPr>
        <w:rFonts w:ascii="Wingdings" w:hAnsi="Wingdings" w:hint="default"/>
      </w:rPr>
    </w:lvl>
    <w:lvl w:ilvl="6" w:tplc="111CD43A" w:tentative="1">
      <w:start w:val="1"/>
      <w:numFmt w:val="bullet"/>
      <w:lvlText w:val=""/>
      <w:lvlJc w:val="left"/>
      <w:pPr>
        <w:ind w:left="5070" w:hanging="360"/>
      </w:pPr>
      <w:rPr>
        <w:rFonts w:ascii="Symbol" w:hAnsi="Symbol" w:hint="default"/>
      </w:rPr>
    </w:lvl>
    <w:lvl w:ilvl="7" w:tplc="35EE3D3E" w:tentative="1">
      <w:start w:val="1"/>
      <w:numFmt w:val="bullet"/>
      <w:lvlText w:val="o"/>
      <w:lvlJc w:val="left"/>
      <w:pPr>
        <w:ind w:left="5790" w:hanging="360"/>
      </w:pPr>
      <w:rPr>
        <w:rFonts w:ascii="Courier New" w:hAnsi="Courier New" w:cs="Courier New" w:hint="default"/>
      </w:rPr>
    </w:lvl>
    <w:lvl w:ilvl="8" w:tplc="FB64ED34" w:tentative="1">
      <w:start w:val="1"/>
      <w:numFmt w:val="bullet"/>
      <w:lvlText w:val=""/>
      <w:lvlJc w:val="left"/>
      <w:pPr>
        <w:ind w:left="6510" w:hanging="360"/>
      </w:pPr>
      <w:rPr>
        <w:rFonts w:ascii="Wingdings" w:hAnsi="Wingdings" w:hint="default"/>
      </w:rPr>
    </w:lvl>
  </w:abstractNum>
  <w:abstractNum w:abstractNumId="4">
    <w:nsid w:val="15051140"/>
    <w:multiLevelType w:val="hybridMultilevel"/>
    <w:tmpl w:val="13A05892"/>
    <w:lvl w:ilvl="0" w:tplc="47F633A0">
      <w:start w:val="1"/>
      <w:numFmt w:val="bullet"/>
      <w:lvlText w:val=""/>
      <w:lvlJc w:val="left"/>
      <w:pPr>
        <w:ind w:left="754" w:hanging="360"/>
      </w:pPr>
      <w:rPr>
        <w:rFonts w:ascii="Symbol" w:hAnsi="Symbol" w:hint="default"/>
      </w:rPr>
    </w:lvl>
    <w:lvl w:ilvl="1" w:tplc="CB5056D0" w:tentative="1">
      <w:start w:val="1"/>
      <w:numFmt w:val="bullet"/>
      <w:lvlText w:val="o"/>
      <w:lvlJc w:val="left"/>
      <w:pPr>
        <w:ind w:left="1474" w:hanging="360"/>
      </w:pPr>
      <w:rPr>
        <w:rFonts w:ascii="Courier New" w:hAnsi="Courier New" w:cs="Courier New" w:hint="default"/>
      </w:rPr>
    </w:lvl>
    <w:lvl w:ilvl="2" w:tplc="E7C04640" w:tentative="1">
      <w:start w:val="1"/>
      <w:numFmt w:val="bullet"/>
      <w:lvlText w:val=""/>
      <w:lvlJc w:val="left"/>
      <w:pPr>
        <w:ind w:left="2194" w:hanging="360"/>
      </w:pPr>
      <w:rPr>
        <w:rFonts w:ascii="Wingdings" w:hAnsi="Wingdings" w:hint="default"/>
      </w:rPr>
    </w:lvl>
    <w:lvl w:ilvl="3" w:tplc="6814220C" w:tentative="1">
      <w:start w:val="1"/>
      <w:numFmt w:val="bullet"/>
      <w:lvlText w:val=""/>
      <w:lvlJc w:val="left"/>
      <w:pPr>
        <w:ind w:left="2914" w:hanging="360"/>
      </w:pPr>
      <w:rPr>
        <w:rFonts w:ascii="Symbol" w:hAnsi="Symbol" w:hint="default"/>
      </w:rPr>
    </w:lvl>
    <w:lvl w:ilvl="4" w:tplc="A6720E8A" w:tentative="1">
      <w:start w:val="1"/>
      <w:numFmt w:val="bullet"/>
      <w:lvlText w:val="o"/>
      <w:lvlJc w:val="left"/>
      <w:pPr>
        <w:ind w:left="3634" w:hanging="360"/>
      </w:pPr>
      <w:rPr>
        <w:rFonts w:ascii="Courier New" w:hAnsi="Courier New" w:cs="Courier New" w:hint="default"/>
      </w:rPr>
    </w:lvl>
    <w:lvl w:ilvl="5" w:tplc="4B2425AA" w:tentative="1">
      <w:start w:val="1"/>
      <w:numFmt w:val="bullet"/>
      <w:lvlText w:val=""/>
      <w:lvlJc w:val="left"/>
      <w:pPr>
        <w:ind w:left="4354" w:hanging="360"/>
      </w:pPr>
      <w:rPr>
        <w:rFonts w:ascii="Wingdings" w:hAnsi="Wingdings" w:hint="default"/>
      </w:rPr>
    </w:lvl>
    <w:lvl w:ilvl="6" w:tplc="47C6EA10" w:tentative="1">
      <w:start w:val="1"/>
      <w:numFmt w:val="bullet"/>
      <w:lvlText w:val=""/>
      <w:lvlJc w:val="left"/>
      <w:pPr>
        <w:ind w:left="5074" w:hanging="360"/>
      </w:pPr>
      <w:rPr>
        <w:rFonts w:ascii="Symbol" w:hAnsi="Symbol" w:hint="default"/>
      </w:rPr>
    </w:lvl>
    <w:lvl w:ilvl="7" w:tplc="288E23E2" w:tentative="1">
      <w:start w:val="1"/>
      <w:numFmt w:val="bullet"/>
      <w:lvlText w:val="o"/>
      <w:lvlJc w:val="left"/>
      <w:pPr>
        <w:ind w:left="5794" w:hanging="360"/>
      </w:pPr>
      <w:rPr>
        <w:rFonts w:ascii="Courier New" w:hAnsi="Courier New" w:cs="Courier New" w:hint="default"/>
      </w:rPr>
    </w:lvl>
    <w:lvl w:ilvl="8" w:tplc="11DA5EF8" w:tentative="1">
      <w:start w:val="1"/>
      <w:numFmt w:val="bullet"/>
      <w:lvlText w:val=""/>
      <w:lvlJc w:val="left"/>
      <w:pPr>
        <w:ind w:left="6514" w:hanging="360"/>
      </w:pPr>
      <w:rPr>
        <w:rFonts w:ascii="Wingdings" w:hAnsi="Wingdings" w:hint="default"/>
      </w:rPr>
    </w:lvl>
  </w:abstractNum>
  <w:abstractNum w:abstractNumId="5">
    <w:nsid w:val="1BAC53FE"/>
    <w:multiLevelType w:val="hybridMultilevel"/>
    <w:tmpl w:val="EAF08310"/>
    <w:lvl w:ilvl="0" w:tplc="FDE4E060">
      <w:start w:val="1"/>
      <w:numFmt w:val="bullet"/>
      <w:lvlText w:val=""/>
      <w:lvlJc w:val="left"/>
      <w:pPr>
        <w:ind w:left="770" w:hanging="360"/>
      </w:pPr>
      <w:rPr>
        <w:rFonts w:ascii="Symbol" w:hAnsi="Symbol" w:hint="default"/>
      </w:rPr>
    </w:lvl>
    <w:lvl w:ilvl="1" w:tplc="62E46392" w:tentative="1">
      <w:start w:val="1"/>
      <w:numFmt w:val="bullet"/>
      <w:lvlText w:val="o"/>
      <w:lvlJc w:val="left"/>
      <w:pPr>
        <w:ind w:left="1490" w:hanging="360"/>
      </w:pPr>
      <w:rPr>
        <w:rFonts w:ascii="Courier New" w:hAnsi="Courier New" w:cs="Courier New" w:hint="default"/>
      </w:rPr>
    </w:lvl>
    <w:lvl w:ilvl="2" w:tplc="2FF2CFD6" w:tentative="1">
      <w:start w:val="1"/>
      <w:numFmt w:val="bullet"/>
      <w:lvlText w:val=""/>
      <w:lvlJc w:val="left"/>
      <w:pPr>
        <w:ind w:left="2210" w:hanging="360"/>
      </w:pPr>
      <w:rPr>
        <w:rFonts w:ascii="Wingdings" w:hAnsi="Wingdings" w:hint="default"/>
      </w:rPr>
    </w:lvl>
    <w:lvl w:ilvl="3" w:tplc="E2A0C438" w:tentative="1">
      <w:start w:val="1"/>
      <w:numFmt w:val="bullet"/>
      <w:lvlText w:val=""/>
      <w:lvlJc w:val="left"/>
      <w:pPr>
        <w:ind w:left="2930" w:hanging="360"/>
      </w:pPr>
      <w:rPr>
        <w:rFonts w:ascii="Symbol" w:hAnsi="Symbol" w:hint="default"/>
      </w:rPr>
    </w:lvl>
    <w:lvl w:ilvl="4" w:tplc="2480B2EE" w:tentative="1">
      <w:start w:val="1"/>
      <w:numFmt w:val="bullet"/>
      <w:lvlText w:val="o"/>
      <w:lvlJc w:val="left"/>
      <w:pPr>
        <w:ind w:left="3650" w:hanging="360"/>
      </w:pPr>
      <w:rPr>
        <w:rFonts w:ascii="Courier New" w:hAnsi="Courier New" w:cs="Courier New" w:hint="default"/>
      </w:rPr>
    </w:lvl>
    <w:lvl w:ilvl="5" w:tplc="FABCA25C" w:tentative="1">
      <w:start w:val="1"/>
      <w:numFmt w:val="bullet"/>
      <w:lvlText w:val=""/>
      <w:lvlJc w:val="left"/>
      <w:pPr>
        <w:ind w:left="4370" w:hanging="360"/>
      </w:pPr>
      <w:rPr>
        <w:rFonts w:ascii="Wingdings" w:hAnsi="Wingdings" w:hint="default"/>
      </w:rPr>
    </w:lvl>
    <w:lvl w:ilvl="6" w:tplc="29F4E8AE" w:tentative="1">
      <w:start w:val="1"/>
      <w:numFmt w:val="bullet"/>
      <w:lvlText w:val=""/>
      <w:lvlJc w:val="left"/>
      <w:pPr>
        <w:ind w:left="5090" w:hanging="360"/>
      </w:pPr>
      <w:rPr>
        <w:rFonts w:ascii="Symbol" w:hAnsi="Symbol" w:hint="default"/>
      </w:rPr>
    </w:lvl>
    <w:lvl w:ilvl="7" w:tplc="0D9C5D72" w:tentative="1">
      <w:start w:val="1"/>
      <w:numFmt w:val="bullet"/>
      <w:lvlText w:val="o"/>
      <w:lvlJc w:val="left"/>
      <w:pPr>
        <w:ind w:left="5810" w:hanging="360"/>
      </w:pPr>
      <w:rPr>
        <w:rFonts w:ascii="Courier New" w:hAnsi="Courier New" w:cs="Courier New" w:hint="default"/>
      </w:rPr>
    </w:lvl>
    <w:lvl w:ilvl="8" w:tplc="5EEE6264" w:tentative="1">
      <w:start w:val="1"/>
      <w:numFmt w:val="bullet"/>
      <w:lvlText w:val=""/>
      <w:lvlJc w:val="left"/>
      <w:pPr>
        <w:ind w:left="6530" w:hanging="360"/>
      </w:pPr>
      <w:rPr>
        <w:rFonts w:ascii="Wingdings" w:hAnsi="Wingdings" w:hint="default"/>
      </w:rPr>
    </w:lvl>
  </w:abstractNum>
  <w:abstractNum w:abstractNumId="6">
    <w:nsid w:val="1C867AE9"/>
    <w:multiLevelType w:val="hybridMultilevel"/>
    <w:tmpl w:val="FF96DCD8"/>
    <w:lvl w:ilvl="0" w:tplc="DDA47580">
      <w:start w:val="1"/>
      <w:numFmt w:val="decimal"/>
      <w:lvlText w:val="%1."/>
      <w:lvlJc w:val="left"/>
      <w:pPr>
        <w:ind w:left="720" w:hanging="360"/>
      </w:pPr>
    </w:lvl>
    <w:lvl w:ilvl="1" w:tplc="4560C45A">
      <w:start w:val="1"/>
      <w:numFmt w:val="lowerLetter"/>
      <w:lvlText w:val="%2)"/>
      <w:lvlJc w:val="left"/>
      <w:pPr>
        <w:ind w:left="1440" w:hanging="360"/>
      </w:pPr>
    </w:lvl>
    <w:lvl w:ilvl="2" w:tplc="5D28532C">
      <w:start w:val="1"/>
      <w:numFmt w:val="lowerRoman"/>
      <w:lvlText w:val="%3."/>
      <w:lvlJc w:val="right"/>
      <w:pPr>
        <w:ind w:left="2160" w:hanging="360"/>
      </w:pPr>
    </w:lvl>
    <w:lvl w:ilvl="3" w:tplc="4A3414E2">
      <w:start w:val="1"/>
      <w:numFmt w:val="decimal"/>
      <w:lvlText w:val="%4."/>
      <w:lvlJc w:val="left"/>
      <w:pPr>
        <w:tabs>
          <w:tab w:val="num" w:pos="2880"/>
        </w:tabs>
        <w:ind w:left="2880" w:hanging="360"/>
      </w:pPr>
    </w:lvl>
    <w:lvl w:ilvl="4" w:tplc="9364CF26">
      <w:start w:val="1"/>
      <w:numFmt w:val="decimal"/>
      <w:lvlText w:val="%5."/>
      <w:lvlJc w:val="left"/>
      <w:pPr>
        <w:tabs>
          <w:tab w:val="num" w:pos="3600"/>
        </w:tabs>
        <w:ind w:left="3600" w:hanging="360"/>
      </w:pPr>
    </w:lvl>
    <w:lvl w:ilvl="5" w:tplc="68AE749E">
      <w:start w:val="1"/>
      <w:numFmt w:val="decimal"/>
      <w:lvlText w:val="%6."/>
      <w:lvlJc w:val="left"/>
      <w:pPr>
        <w:tabs>
          <w:tab w:val="num" w:pos="4320"/>
        </w:tabs>
        <w:ind w:left="4320" w:hanging="360"/>
      </w:pPr>
    </w:lvl>
    <w:lvl w:ilvl="6" w:tplc="3530D54E">
      <w:start w:val="1"/>
      <w:numFmt w:val="decimal"/>
      <w:lvlText w:val="%7."/>
      <w:lvlJc w:val="left"/>
      <w:pPr>
        <w:tabs>
          <w:tab w:val="num" w:pos="5040"/>
        </w:tabs>
        <w:ind w:left="5040" w:hanging="360"/>
      </w:pPr>
    </w:lvl>
    <w:lvl w:ilvl="7" w:tplc="A6302130">
      <w:start w:val="1"/>
      <w:numFmt w:val="decimal"/>
      <w:lvlText w:val="%8."/>
      <w:lvlJc w:val="left"/>
      <w:pPr>
        <w:tabs>
          <w:tab w:val="num" w:pos="5760"/>
        </w:tabs>
        <w:ind w:left="5760" w:hanging="360"/>
      </w:pPr>
    </w:lvl>
    <w:lvl w:ilvl="8" w:tplc="7D1646DA">
      <w:start w:val="1"/>
      <w:numFmt w:val="decimal"/>
      <w:lvlText w:val="%9."/>
      <w:lvlJc w:val="left"/>
      <w:pPr>
        <w:tabs>
          <w:tab w:val="num" w:pos="6480"/>
        </w:tabs>
        <w:ind w:left="6480" w:hanging="360"/>
      </w:pPr>
    </w:lvl>
  </w:abstractNum>
  <w:abstractNum w:abstractNumId="7">
    <w:nsid w:val="29637F80"/>
    <w:multiLevelType w:val="hybridMultilevel"/>
    <w:tmpl w:val="4BD470B8"/>
    <w:lvl w:ilvl="0" w:tplc="E5C206C6">
      <w:start w:val="1"/>
      <w:numFmt w:val="bullet"/>
      <w:lvlText w:val=""/>
      <w:lvlJc w:val="left"/>
      <w:pPr>
        <w:ind w:left="720" w:hanging="360"/>
      </w:pPr>
      <w:rPr>
        <w:rFonts w:ascii="Symbol" w:hAnsi="Symbol" w:hint="default"/>
      </w:rPr>
    </w:lvl>
    <w:lvl w:ilvl="1" w:tplc="217E22D0" w:tentative="1">
      <w:start w:val="1"/>
      <w:numFmt w:val="bullet"/>
      <w:lvlText w:val="o"/>
      <w:lvlJc w:val="left"/>
      <w:pPr>
        <w:ind w:left="1440" w:hanging="360"/>
      </w:pPr>
      <w:rPr>
        <w:rFonts w:ascii="Courier New" w:hAnsi="Courier New" w:cs="Courier New" w:hint="default"/>
      </w:rPr>
    </w:lvl>
    <w:lvl w:ilvl="2" w:tplc="F15634A2" w:tentative="1">
      <w:start w:val="1"/>
      <w:numFmt w:val="bullet"/>
      <w:lvlText w:val=""/>
      <w:lvlJc w:val="left"/>
      <w:pPr>
        <w:ind w:left="2160" w:hanging="360"/>
      </w:pPr>
      <w:rPr>
        <w:rFonts w:ascii="Wingdings" w:hAnsi="Wingdings" w:hint="default"/>
      </w:rPr>
    </w:lvl>
    <w:lvl w:ilvl="3" w:tplc="8CFE912E" w:tentative="1">
      <w:start w:val="1"/>
      <w:numFmt w:val="bullet"/>
      <w:lvlText w:val=""/>
      <w:lvlJc w:val="left"/>
      <w:pPr>
        <w:ind w:left="2880" w:hanging="360"/>
      </w:pPr>
      <w:rPr>
        <w:rFonts w:ascii="Symbol" w:hAnsi="Symbol" w:hint="default"/>
      </w:rPr>
    </w:lvl>
    <w:lvl w:ilvl="4" w:tplc="22B0353C" w:tentative="1">
      <w:start w:val="1"/>
      <w:numFmt w:val="bullet"/>
      <w:lvlText w:val="o"/>
      <w:lvlJc w:val="left"/>
      <w:pPr>
        <w:ind w:left="3600" w:hanging="360"/>
      </w:pPr>
      <w:rPr>
        <w:rFonts w:ascii="Courier New" w:hAnsi="Courier New" w:cs="Courier New" w:hint="default"/>
      </w:rPr>
    </w:lvl>
    <w:lvl w:ilvl="5" w:tplc="9D740F54" w:tentative="1">
      <w:start w:val="1"/>
      <w:numFmt w:val="bullet"/>
      <w:lvlText w:val=""/>
      <w:lvlJc w:val="left"/>
      <w:pPr>
        <w:ind w:left="4320" w:hanging="360"/>
      </w:pPr>
      <w:rPr>
        <w:rFonts w:ascii="Wingdings" w:hAnsi="Wingdings" w:hint="default"/>
      </w:rPr>
    </w:lvl>
    <w:lvl w:ilvl="6" w:tplc="6590E598" w:tentative="1">
      <w:start w:val="1"/>
      <w:numFmt w:val="bullet"/>
      <w:lvlText w:val=""/>
      <w:lvlJc w:val="left"/>
      <w:pPr>
        <w:ind w:left="5040" w:hanging="360"/>
      </w:pPr>
      <w:rPr>
        <w:rFonts w:ascii="Symbol" w:hAnsi="Symbol" w:hint="default"/>
      </w:rPr>
    </w:lvl>
    <w:lvl w:ilvl="7" w:tplc="B98EF424" w:tentative="1">
      <w:start w:val="1"/>
      <w:numFmt w:val="bullet"/>
      <w:lvlText w:val="o"/>
      <w:lvlJc w:val="left"/>
      <w:pPr>
        <w:ind w:left="5760" w:hanging="360"/>
      </w:pPr>
      <w:rPr>
        <w:rFonts w:ascii="Courier New" w:hAnsi="Courier New" w:cs="Courier New" w:hint="default"/>
      </w:rPr>
    </w:lvl>
    <w:lvl w:ilvl="8" w:tplc="D4F072E4" w:tentative="1">
      <w:start w:val="1"/>
      <w:numFmt w:val="bullet"/>
      <w:lvlText w:val=""/>
      <w:lvlJc w:val="left"/>
      <w:pPr>
        <w:ind w:left="6480" w:hanging="360"/>
      </w:pPr>
      <w:rPr>
        <w:rFonts w:ascii="Wingdings" w:hAnsi="Wingdings" w:hint="default"/>
      </w:rPr>
    </w:lvl>
  </w:abstractNum>
  <w:abstractNum w:abstractNumId="8">
    <w:nsid w:val="36FF23B9"/>
    <w:multiLevelType w:val="hybridMultilevel"/>
    <w:tmpl w:val="A6DCC672"/>
    <w:lvl w:ilvl="0" w:tplc="B2A28318">
      <w:start w:val="1"/>
      <w:numFmt w:val="bullet"/>
      <w:lvlText w:val=""/>
      <w:lvlJc w:val="left"/>
      <w:pPr>
        <w:ind w:left="720" w:hanging="360"/>
      </w:pPr>
      <w:rPr>
        <w:rFonts w:ascii="Symbol" w:hAnsi="Symbol" w:hint="default"/>
      </w:rPr>
    </w:lvl>
    <w:lvl w:ilvl="1" w:tplc="D1D471C4">
      <w:start w:val="1"/>
      <w:numFmt w:val="bullet"/>
      <w:lvlText w:val="o"/>
      <w:lvlJc w:val="left"/>
      <w:pPr>
        <w:ind w:left="1440" w:hanging="360"/>
      </w:pPr>
      <w:rPr>
        <w:rFonts w:ascii="Courier New" w:hAnsi="Courier New" w:cs="Courier New" w:hint="default"/>
      </w:rPr>
    </w:lvl>
    <w:lvl w:ilvl="2" w:tplc="02AAADA6">
      <w:start w:val="1"/>
      <w:numFmt w:val="bullet"/>
      <w:lvlText w:val=""/>
      <w:lvlJc w:val="left"/>
      <w:pPr>
        <w:ind w:left="2160" w:hanging="360"/>
      </w:pPr>
      <w:rPr>
        <w:rFonts w:ascii="Wingdings" w:hAnsi="Wingdings" w:hint="default"/>
      </w:rPr>
    </w:lvl>
    <w:lvl w:ilvl="3" w:tplc="3EEEA8BA">
      <w:start w:val="1"/>
      <w:numFmt w:val="decimal"/>
      <w:lvlText w:val="%4."/>
      <w:lvlJc w:val="left"/>
      <w:pPr>
        <w:tabs>
          <w:tab w:val="num" w:pos="2820"/>
        </w:tabs>
        <w:ind w:left="2820" w:hanging="360"/>
      </w:pPr>
    </w:lvl>
    <w:lvl w:ilvl="4" w:tplc="88244756">
      <w:start w:val="1"/>
      <w:numFmt w:val="decimal"/>
      <w:lvlText w:val="%5."/>
      <w:lvlJc w:val="left"/>
      <w:pPr>
        <w:tabs>
          <w:tab w:val="num" w:pos="3540"/>
        </w:tabs>
        <w:ind w:left="3540" w:hanging="360"/>
      </w:pPr>
    </w:lvl>
    <w:lvl w:ilvl="5" w:tplc="080E3EF6">
      <w:start w:val="1"/>
      <w:numFmt w:val="decimal"/>
      <w:lvlText w:val="%6."/>
      <w:lvlJc w:val="left"/>
      <w:pPr>
        <w:tabs>
          <w:tab w:val="num" w:pos="4260"/>
        </w:tabs>
        <w:ind w:left="4260" w:hanging="360"/>
      </w:pPr>
    </w:lvl>
    <w:lvl w:ilvl="6" w:tplc="DF88FDF4">
      <w:start w:val="1"/>
      <w:numFmt w:val="decimal"/>
      <w:lvlText w:val="%7."/>
      <w:lvlJc w:val="left"/>
      <w:pPr>
        <w:tabs>
          <w:tab w:val="num" w:pos="4980"/>
        </w:tabs>
        <w:ind w:left="4980" w:hanging="360"/>
      </w:pPr>
    </w:lvl>
    <w:lvl w:ilvl="7" w:tplc="1B20EDB4">
      <w:start w:val="1"/>
      <w:numFmt w:val="decimal"/>
      <w:lvlText w:val="%8."/>
      <w:lvlJc w:val="left"/>
      <w:pPr>
        <w:tabs>
          <w:tab w:val="num" w:pos="5700"/>
        </w:tabs>
        <w:ind w:left="5700" w:hanging="360"/>
      </w:pPr>
    </w:lvl>
    <w:lvl w:ilvl="8" w:tplc="C780FF4E">
      <w:start w:val="1"/>
      <w:numFmt w:val="decimal"/>
      <w:lvlText w:val="%9."/>
      <w:lvlJc w:val="left"/>
      <w:pPr>
        <w:tabs>
          <w:tab w:val="num" w:pos="6420"/>
        </w:tabs>
        <w:ind w:left="6420" w:hanging="360"/>
      </w:pPr>
    </w:lvl>
  </w:abstractNum>
  <w:abstractNum w:abstractNumId="9">
    <w:nsid w:val="371C694B"/>
    <w:multiLevelType w:val="hybridMultilevel"/>
    <w:tmpl w:val="661229F2"/>
    <w:lvl w:ilvl="0" w:tplc="D9FE99AA">
      <w:start w:val="1"/>
      <w:numFmt w:val="bullet"/>
      <w:lvlText w:val=""/>
      <w:lvlJc w:val="left"/>
      <w:pPr>
        <w:ind w:left="765" w:hanging="360"/>
      </w:pPr>
      <w:rPr>
        <w:rFonts w:ascii="Symbol" w:hAnsi="Symbol" w:hint="default"/>
      </w:rPr>
    </w:lvl>
    <w:lvl w:ilvl="1" w:tplc="8DE29A62" w:tentative="1">
      <w:start w:val="1"/>
      <w:numFmt w:val="bullet"/>
      <w:lvlText w:val="o"/>
      <w:lvlJc w:val="left"/>
      <w:pPr>
        <w:ind w:left="1485" w:hanging="360"/>
      </w:pPr>
      <w:rPr>
        <w:rFonts w:ascii="Courier New" w:hAnsi="Courier New" w:cs="Courier New" w:hint="default"/>
      </w:rPr>
    </w:lvl>
    <w:lvl w:ilvl="2" w:tplc="377A8ABA" w:tentative="1">
      <w:start w:val="1"/>
      <w:numFmt w:val="bullet"/>
      <w:lvlText w:val=""/>
      <w:lvlJc w:val="left"/>
      <w:pPr>
        <w:ind w:left="2205" w:hanging="360"/>
      </w:pPr>
      <w:rPr>
        <w:rFonts w:ascii="Wingdings" w:hAnsi="Wingdings" w:hint="default"/>
      </w:rPr>
    </w:lvl>
    <w:lvl w:ilvl="3" w:tplc="9754F4D0" w:tentative="1">
      <w:start w:val="1"/>
      <w:numFmt w:val="bullet"/>
      <w:lvlText w:val=""/>
      <w:lvlJc w:val="left"/>
      <w:pPr>
        <w:ind w:left="2925" w:hanging="360"/>
      </w:pPr>
      <w:rPr>
        <w:rFonts w:ascii="Symbol" w:hAnsi="Symbol" w:hint="default"/>
      </w:rPr>
    </w:lvl>
    <w:lvl w:ilvl="4" w:tplc="7BC6CC30" w:tentative="1">
      <w:start w:val="1"/>
      <w:numFmt w:val="bullet"/>
      <w:lvlText w:val="o"/>
      <w:lvlJc w:val="left"/>
      <w:pPr>
        <w:ind w:left="3645" w:hanging="360"/>
      </w:pPr>
      <w:rPr>
        <w:rFonts w:ascii="Courier New" w:hAnsi="Courier New" w:cs="Courier New" w:hint="default"/>
      </w:rPr>
    </w:lvl>
    <w:lvl w:ilvl="5" w:tplc="DE74A45A" w:tentative="1">
      <w:start w:val="1"/>
      <w:numFmt w:val="bullet"/>
      <w:lvlText w:val=""/>
      <w:lvlJc w:val="left"/>
      <w:pPr>
        <w:ind w:left="4365" w:hanging="360"/>
      </w:pPr>
      <w:rPr>
        <w:rFonts w:ascii="Wingdings" w:hAnsi="Wingdings" w:hint="default"/>
      </w:rPr>
    </w:lvl>
    <w:lvl w:ilvl="6" w:tplc="BC6CFAD8" w:tentative="1">
      <w:start w:val="1"/>
      <w:numFmt w:val="bullet"/>
      <w:lvlText w:val=""/>
      <w:lvlJc w:val="left"/>
      <w:pPr>
        <w:ind w:left="5085" w:hanging="360"/>
      </w:pPr>
      <w:rPr>
        <w:rFonts w:ascii="Symbol" w:hAnsi="Symbol" w:hint="default"/>
      </w:rPr>
    </w:lvl>
    <w:lvl w:ilvl="7" w:tplc="E3200280" w:tentative="1">
      <w:start w:val="1"/>
      <w:numFmt w:val="bullet"/>
      <w:lvlText w:val="o"/>
      <w:lvlJc w:val="left"/>
      <w:pPr>
        <w:ind w:left="5805" w:hanging="360"/>
      </w:pPr>
      <w:rPr>
        <w:rFonts w:ascii="Courier New" w:hAnsi="Courier New" w:cs="Courier New" w:hint="default"/>
      </w:rPr>
    </w:lvl>
    <w:lvl w:ilvl="8" w:tplc="690E9B60" w:tentative="1">
      <w:start w:val="1"/>
      <w:numFmt w:val="bullet"/>
      <w:lvlText w:val=""/>
      <w:lvlJc w:val="left"/>
      <w:pPr>
        <w:ind w:left="6525" w:hanging="360"/>
      </w:pPr>
      <w:rPr>
        <w:rFonts w:ascii="Wingdings" w:hAnsi="Wingdings" w:hint="default"/>
      </w:rPr>
    </w:lvl>
  </w:abstractNum>
  <w:abstractNum w:abstractNumId="10">
    <w:nsid w:val="3C1F30DF"/>
    <w:multiLevelType w:val="hybridMultilevel"/>
    <w:tmpl w:val="24CE3BEE"/>
    <w:lvl w:ilvl="0" w:tplc="6EAE85E6">
      <w:start w:val="1"/>
      <w:numFmt w:val="bullet"/>
      <w:lvlText w:val=""/>
      <w:lvlJc w:val="left"/>
      <w:pPr>
        <w:ind w:left="720" w:hanging="360"/>
      </w:pPr>
      <w:rPr>
        <w:rFonts w:ascii="Symbol" w:hAnsi="Symbol" w:hint="default"/>
      </w:rPr>
    </w:lvl>
    <w:lvl w:ilvl="1" w:tplc="2F1A6A68" w:tentative="1">
      <w:start w:val="1"/>
      <w:numFmt w:val="bullet"/>
      <w:lvlText w:val="o"/>
      <w:lvlJc w:val="left"/>
      <w:pPr>
        <w:ind w:left="1440" w:hanging="360"/>
      </w:pPr>
      <w:rPr>
        <w:rFonts w:ascii="Courier New" w:hAnsi="Courier New" w:cs="Courier New" w:hint="default"/>
      </w:rPr>
    </w:lvl>
    <w:lvl w:ilvl="2" w:tplc="A3BE57AE" w:tentative="1">
      <w:start w:val="1"/>
      <w:numFmt w:val="bullet"/>
      <w:lvlText w:val=""/>
      <w:lvlJc w:val="left"/>
      <w:pPr>
        <w:ind w:left="2160" w:hanging="360"/>
      </w:pPr>
      <w:rPr>
        <w:rFonts w:ascii="Wingdings" w:hAnsi="Wingdings" w:hint="default"/>
      </w:rPr>
    </w:lvl>
    <w:lvl w:ilvl="3" w:tplc="270A2562" w:tentative="1">
      <w:start w:val="1"/>
      <w:numFmt w:val="bullet"/>
      <w:lvlText w:val=""/>
      <w:lvlJc w:val="left"/>
      <w:pPr>
        <w:ind w:left="2880" w:hanging="360"/>
      </w:pPr>
      <w:rPr>
        <w:rFonts w:ascii="Symbol" w:hAnsi="Symbol" w:hint="default"/>
      </w:rPr>
    </w:lvl>
    <w:lvl w:ilvl="4" w:tplc="8428806E" w:tentative="1">
      <w:start w:val="1"/>
      <w:numFmt w:val="bullet"/>
      <w:lvlText w:val="o"/>
      <w:lvlJc w:val="left"/>
      <w:pPr>
        <w:ind w:left="3600" w:hanging="360"/>
      </w:pPr>
      <w:rPr>
        <w:rFonts w:ascii="Courier New" w:hAnsi="Courier New" w:cs="Courier New" w:hint="default"/>
      </w:rPr>
    </w:lvl>
    <w:lvl w:ilvl="5" w:tplc="6F34AA74" w:tentative="1">
      <w:start w:val="1"/>
      <w:numFmt w:val="bullet"/>
      <w:lvlText w:val=""/>
      <w:lvlJc w:val="left"/>
      <w:pPr>
        <w:ind w:left="4320" w:hanging="360"/>
      </w:pPr>
      <w:rPr>
        <w:rFonts w:ascii="Wingdings" w:hAnsi="Wingdings" w:hint="default"/>
      </w:rPr>
    </w:lvl>
    <w:lvl w:ilvl="6" w:tplc="95F68558" w:tentative="1">
      <w:start w:val="1"/>
      <w:numFmt w:val="bullet"/>
      <w:lvlText w:val=""/>
      <w:lvlJc w:val="left"/>
      <w:pPr>
        <w:ind w:left="5040" w:hanging="360"/>
      </w:pPr>
      <w:rPr>
        <w:rFonts w:ascii="Symbol" w:hAnsi="Symbol" w:hint="default"/>
      </w:rPr>
    </w:lvl>
    <w:lvl w:ilvl="7" w:tplc="F34EBD9A" w:tentative="1">
      <w:start w:val="1"/>
      <w:numFmt w:val="bullet"/>
      <w:lvlText w:val="o"/>
      <w:lvlJc w:val="left"/>
      <w:pPr>
        <w:ind w:left="5760" w:hanging="360"/>
      </w:pPr>
      <w:rPr>
        <w:rFonts w:ascii="Courier New" w:hAnsi="Courier New" w:cs="Courier New" w:hint="default"/>
      </w:rPr>
    </w:lvl>
    <w:lvl w:ilvl="8" w:tplc="4ECA0202" w:tentative="1">
      <w:start w:val="1"/>
      <w:numFmt w:val="bullet"/>
      <w:lvlText w:val=""/>
      <w:lvlJc w:val="left"/>
      <w:pPr>
        <w:ind w:left="6480" w:hanging="360"/>
      </w:pPr>
      <w:rPr>
        <w:rFonts w:ascii="Wingdings" w:hAnsi="Wingdings" w:hint="default"/>
      </w:rPr>
    </w:lvl>
  </w:abstractNum>
  <w:abstractNum w:abstractNumId="11">
    <w:nsid w:val="3C473CC6"/>
    <w:multiLevelType w:val="hybridMultilevel"/>
    <w:tmpl w:val="89089494"/>
    <w:lvl w:ilvl="0" w:tplc="AA96C766">
      <w:start w:val="1"/>
      <w:numFmt w:val="bullet"/>
      <w:lvlText w:val=""/>
      <w:lvlJc w:val="left"/>
      <w:pPr>
        <w:ind w:left="720" w:hanging="360"/>
      </w:pPr>
      <w:rPr>
        <w:rFonts w:ascii="Symbol" w:hAnsi="Symbol" w:hint="default"/>
      </w:rPr>
    </w:lvl>
    <w:lvl w:ilvl="1" w:tplc="5032EDF2" w:tentative="1">
      <w:start w:val="1"/>
      <w:numFmt w:val="bullet"/>
      <w:lvlText w:val="o"/>
      <w:lvlJc w:val="left"/>
      <w:pPr>
        <w:ind w:left="1440" w:hanging="360"/>
      </w:pPr>
      <w:rPr>
        <w:rFonts w:ascii="Courier New" w:hAnsi="Courier New" w:cs="Courier New" w:hint="default"/>
      </w:rPr>
    </w:lvl>
    <w:lvl w:ilvl="2" w:tplc="07E645F6" w:tentative="1">
      <w:start w:val="1"/>
      <w:numFmt w:val="bullet"/>
      <w:lvlText w:val=""/>
      <w:lvlJc w:val="left"/>
      <w:pPr>
        <w:ind w:left="2160" w:hanging="360"/>
      </w:pPr>
      <w:rPr>
        <w:rFonts w:ascii="Wingdings" w:hAnsi="Wingdings" w:hint="default"/>
      </w:rPr>
    </w:lvl>
    <w:lvl w:ilvl="3" w:tplc="805CD9B6" w:tentative="1">
      <w:start w:val="1"/>
      <w:numFmt w:val="bullet"/>
      <w:lvlText w:val=""/>
      <w:lvlJc w:val="left"/>
      <w:pPr>
        <w:ind w:left="2880" w:hanging="360"/>
      </w:pPr>
      <w:rPr>
        <w:rFonts w:ascii="Symbol" w:hAnsi="Symbol" w:hint="default"/>
      </w:rPr>
    </w:lvl>
    <w:lvl w:ilvl="4" w:tplc="A1EE8FFC" w:tentative="1">
      <w:start w:val="1"/>
      <w:numFmt w:val="bullet"/>
      <w:lvlText w:val="o"/>
      <w:lvlJc w:val="left"/>
      <w:pPr>
        <w:ind w:left="3600" w:hanging="360"/>
      </w:pPr>
      <w:rPr>
        <w:rFonts w:ascii="Courier New" w:hAnsi="Courier New" w:cs="Courier New" w:hint="default"/>
      </w:rPr>
    </w:lvl>
    <w:lvl w:ilvl="5" w:tplc="1A5EE56A" w:tentative="1">
      <w:start w:val="1"/>
      <w:numFmt w:val="bullet"/>
      <w:lvlText w:val=""/>
      <w:lvlJc w:val="left"/>
      <w:pPr>
        <w:ind w:left="4320" w:hanging="360"/>
      </w:pPr>
      <w:rPr>
        <w:rFonts w:ascii="Wingdings" w:hAnsi="Wingdings" w:hint="default"/>
      </w:rPr>
    </w:lvl>
    <w:lvl w:ilvl="6" w:tplc="AFCE001C" w:tentative="1">
      <w:start w:val="1"/>
      <w:numFmt w:val="bullet"/>
      <w:lvlText w:val=""/>
      <w:lvlJc w:val="left"/>
      <w:pPr>
        <w:ind w:left="5040" w:hanging="360"/>
      </w:pPr>
      <w:rPr>
        <w:rFonts w:ascii="Symbol" w:hAnsi="Symbol" w:hint="default"/>
      </w:rPr>
    </w:lvl>
    <w:lvl w:ilvl="7" w:tplc="A28C421A" w:tentative="1">
      <w:start w:val="1"/>
      <w:numFmt w:val="bullet"/>
      <w:lvlText w:val="o"/>
      <w:lvlJc w:val="left"/>
      <w:pPr>
        <w:ind w:left="5760" w:hanging="360"/>
      </w:pPr>
      <w:rPr>
        <w:rFonts w:ascii="Courier New" w:hAnsi="Courier New" w:cs="Courier New" w:hint="default"/>
      </w:rPr>
    </w:lvl>
    <w:lvl w:ilvl="8" w:tplc="52CA8F64" w:tentative="1">
      <w:start w:val="1"/>
      <w:numFmt w:val="bullet"/>
      <w:lvlText w:val=""/>
      <w:lvlJc w:val="left"/>
      <w:pPr>
        <w:ind w:left="6480" w:hanging="360"/>
      </w:pPr>
      <w:rPr>
        <w:rFonts w:ascii="Wingdings" w:hAnsi="Wingdings" w:hint="default"/>
      </w:rPr>
    </w:lvl>
  </w:abstractNum>
  <w:abstractNum w:abstractNumId="12">
    <w:nsid w:val="45FA3F29"/>
    <w:multiLevelType w:val="hybridMultilevel"/>
    <w:tmpl w:val="6D68AD0E"/>
    <w:lvl w:ilvl="0" w:tplc="A10CD57E">
      <w:start w:val="1"/>
      <w:numFmt w:val="lowerLetter"/>
      <w:lvlText w:val="%1)"/>
      <w:lvlJc w:val="left"/>
      <w:pPr>
        <w:ind w:left="720" w:hanging="360"/>
      </w:pPr>
    </w:lvl>
    <w:lvl w:ilvl="1" w:tplc="E1C61936" w:tentative="1">
      <w:start w:val="1"/>
      <w:numFmt w:val="lowerLetter"/>
      <w:lvlText w:val="%2."/>
      <w:lvlJc w:val="left"/>
      <w:pPr>
        <w:ind w:left="1440" w:hanging="360"/>
      </w:pPr>
    </w:lvl>
    <w:lvl w:ilvl="2" w:tplc="8CEEE880" w:tentative="1">
      <w:start w:val="1"/>
      <w:numFmt w:val="lowerRoman"/>
      <w:lvlText w:val="%3."/>
      <w:lvlJc w:val="right"/>
      <w:pPr>
        <w:ind w:left="2160" w:hanging="180"/>
      </w:pPr>
    </w:lvl>
    <w:lvl w:ilvl="3" w:tplc="1200D024" w:tentative="1">
      <w:start w:val="1"/>
      <w:numFmt w:val="decimal"/>
      <w:lvlText w:val="%4."/>
      <w:lvlJc w:val="left"/>
      <w:pPr>
        <w:ind w:left="2880" w:hanging="360"/>
      </w:pPr>
    </w:lvl>
    <w:lvl w:ilvl="4" w:tplc="A2C851F0" w:tentative="1">
      <w:start w:val="1"/>
      <w:numFmt w:val="lowerLetter"/>
      <w:lvlText w:val="%5."/>
      <w:lvlJc w:val="left"/>
      <w:pPr>
        <w:ind w:left="3600" w:hanging="360"/>
      </w:pPr>
    </w:lvl>
    <w:lvl w:ilvl="5" w:tplc="D9E81EAC" w:tentative="1">
      <w:start w:val="1"/>
      <w:numFmt w:val="lowerRoman"/>
      <w:lvlText w:val="%6."/>
      <w:lvlJc w:val="right"/>
      <w:pPr>
        <w:ind w:left="4320" w:hanging="180"/>
      </w:pPr>
    </w:lvl>
    <w:lvl w:ilvl="6" w:tplc="297E4146" w:tentative="1">
      <w:start w:val="1"/>
      <w:numFmt w:val="decimal"/>
      <w:lvlText w:val="%7."/>
      <w:lvlJc w:val="left"/>
      <w:pPr>
        <w:ind w:left="5040" w:hanging="360"/>
      </w:pPr>
    </w:lvl>
    <w:lvl w:ilvl="7" w:tplc="7256C77E" w:tentative="1">
      <w:start w:val="1"/>
      <w:numFmt w:val="lowerLetter"/>
      <w:lvlText w:val="%8."/>
      <w:lvlJc w:val="left"/>
      <w:pPr>
        <w:ind w:left="5760" w:hanging="360"/>
      </w:pPr>
    </w:lvl>
    <w:lvl w:ilvl="8" w:tplc="AB9AB558" w:tentative="1">
      <w:start w:val="1"/>
      <w:numFmt w:val="lowerRoman"/>
      <w:lvlText w:val="%9."/>
      <w:lvlJc w:val="right"/>
      <w:pPr>
        <w:ind w:left="6480" w:hanging="180"/>
      </w:pPr>
    </w:lvl>
  </w:abstractNum>
  <w:abstractNum w:abstractNumId="13">
    <w:nsid w:val="53CD357E"/>
    <w:multiLevelType w:val="hybridMultilevel"/>
    <w:tmpl w:val="CFE40E18"/>
    <w:lvl w:ilvl="0" w:tplc="95848332">
      <w:start w:val="1"/>
      <w:numFmt w:val="bullet"/>
      <w:lvlText w:val=""/>
      <w:lvlJc w:val="left"/>
      <w:pPr>
        <w:ind w:left="720" w:hanging="360"/>
      </w:pPr>
      <w:rPr>
        <w:rFonts w:ascii="Symbol" w:hAnsi="Symbol" w:hint="default"/>
      </w:rPr>
    </w:lvl>
    <w:lvl w:ilvl="1" w:tplc="786E8694">
      <w:start w:val="1"/>
      <w:numFmt w:val="bullet"/>
      <w:lvlText w:val="o"/>
      <w:lvlJc w:val="left"/>
      <w:pPr>
        <w:ind w:left="1440" w:hanging="360"/>
      </w:pPr>
      <w:rPr>
        <w:rFonts w:ascii="Courier New" w:hAnsi="Courier New" w:cs="Courier New" w:hint="default"/>
      </w:rPr>
    </w:lvl>
    <w:lvl w:ilvl="2" w:tplc="56B8672A" w:tentative="1">
      <w:start w:val="1"/>
      <w:numFmt w:val="bullet"/>
      <w:lvlText w:val=""/>
      <w:lvlJc w:val="left"/>
      <w:pPr>
        <w:ind w:left="2160" w:hanging="360"/>
      </w:pPr>
      <w:rPr>
        <w:rFonts w:ascii="Wingdings" w:hAnsi="Wingdings" w:hint="default"/>
      </w:rPr>
    </w:lvl>
    <w:lvl w:ilvl="3" w:tplc="1C6E11B4" w:tentative="1">
      <w:start w:val="1"/>
      <w:numFmt w:val="bullet"/>
      <w:lvlText w:val=""/>
      <w:lvlJc w:val="left"/>
      <w:pPr>
        <w:ind w:left="2880" w:hanging="360"/>
      </w:pPr>
      <w:rPr>
        <w:rFonts w:ascii="Symbol" w:hAnsi="Symbol" w:hint="default"/>
      </w:rPr>
    </w:lvl>
    <w:lvl w:ilvl="4" w:tplc="84EA915E" w:tentative="1">
      <w:start w:val="1"/>
      <w:numFmt w:val="bullet"/>
      <w:lvlText w:val="o"/>
      <w:lvlJc w:val="left"/>
      <w:pPr>
        <w:ind w:left="3600" w:hanging="360"/>
      </w:pPr>
      <w:rPr>
        <w:rFonts w:ascii="Courier New" w:hAnsi="Courier New" w:cs="Courier New" w:hint="default"/>
      </w:rPr>
    </w:lvl>
    <w:lvl w:ilvl="5" w:tplc="58F644A8" w:tentative="1">
      <w:start w:val="1"/>
      <w:numFmt w:val="bullet"/>
      <w:lvlText w:val=""/>
      <w:lvlJc w:val="left"/>
      <w:pPr>
        <w:ind w:left="4320" w:hanging="360"/>
      </w:pPr>
      <w:rPr>
        <w:rFonts w:ascii="Wingdings" w:hAnsi="Wingdings" w:hint="default"/>
      </w:rPr>
    </w:lvl>
    <w:lvl w:ilvl="6" w:tplc="532E7988" w:tentative="1">
      <w:start w:val="1"/>
      <w:numFmt w:val="bullet"/>
      <w:lvlText w:val=""/>
      <w:lvlJc w:val="left"/>
      <w:pPr>
        <w:ind w:left="5040" w:hanging="360"/>
      </w:pPr>
      <w:rPr>
        <w:rFonts w:ascii="Symbol" w:hAnsi="Symbol" w:hint="default"/>
      </w:rPr>
    </w:lvl>
    <w:lvl w:ilvl="7" w:tplc="C4D818E2" w:tentative="1">
      <w:start w:val="1"/>
      <w:numFmt w:val="bullet"/>
      <w:lvlText w:val="o"/>
      <w:lvlJc w:val="left"/>
      <w:pPr>
        <w:ind w:left="5760" w:hanging="360"/>
      </w:pPr>
      <w:rPr>
        <w:rFonts w:ascii="Courier New" w:hAnsi="Courier New" w:cs="Courier New" w:hint="default"/>
      </w:rPr>
    </w:lvl>
    <w:lvl w:ilvl="8" w:tplc="07F6B476" w:tentative="1">
      <w:start w:val="1"/>
      <w:numFmt w:val="bullet"/>
      <w:lvlText w:val=""/>
      <w:lvlJc w:val="left"/>
      <w:pPr>
        <w:ind w:left="6480" w:hanging="360"/>
      </w:pPr>
      <w:rPr>
        <w:rFonts w:ascii="Wingdings" w:hAnsi="Wingdings" w:hint="default"/>
      </w:rPr>
    </w:lvl>
  </w:abstractNum>
  <w:abstractNum w:abstractNumId="14">
    <w:nsid w:val="5648523B"/>
    <w:multiLevelType w:val="hybridMultilevel"/>
    <w:tmpl w:val="EFA2D906"/>
    <w:lvl w:ilvl="0" w:tplc="29EC9BE0">
      <w:start w:val="1"/>
      <w:numFmt w:val="bullet"/>
      <w:lvlText w:val=""/>
      <w:lvlJc w:val="left"/>
      <w:pPr>
        <w:ind w:left="720" w:hanging="360"/>
      </w:pPr>
      <w:rPr>
        <w:rFonts w:ascii="Symbol" w:hAnsi="Symbol" w:hint="default"/>
      </w:rPr>
    </w:lvl>
    <w:lvl w:ilvl="1" w:tplc="9052324E" w:tentative="1">
      <w:start w:val="1"/>
      <w:numFmt w:val="bullet"/>
      <w:lvlText w:val="o"/>
      <w:lvlJc w:val="left"/>
      <w:pPr>
        <w:ind w:left="1440" w:hanging="360"/>
      </w:pPr>
      <w:rPr>
        <w:rFonts w:ascii="Courier New" w:hAnsi="Courier New" w:cs="Courier New" w:hint="default"/>
      </w:rPr>
    </w:lvl>
    <w:lvl w:ilvl="2" w:tplc="558EA72E" w:tentative="1">
      <w:start w:val="1"/>
      <w:numFmt w:val="bullet"/>
      <w:lvlText w:val=""/>
      <w:lvlJc w:val="left"/>
      <w:pPr>
        <w:ind w:left="2160" w:hanging="360"/>
      </w:pPr>
      <w:rPr>
        <w:rFonts w:ascii="Wingdings" w:hAnsi="Wingdings" w:hint="default"/>
      </w:rPr>
    </w:lvl>
    <w:lvl w:ilvl="3" w:tplc="10BA05AA" w:tentative="1">
      <w:start w:val="1"/>
      <w:numFmt w:val="bullet"/>
      <w:lvlText w:val=""/>
      <w:lvlJc w:val="left"/>
      <w:pPr>
        <w:ind w:left="2880" w:hanging="360"/>
      </w:pPr>
      <w:rPr>
        <w:rFonts w:ascii="Symbol" w:hAnsi="Symbol" w:hint="default"/>
      </w:rPr>
    </w:lvl>
    <w:lvl w:ilvl="4" w:tplc="C9A8F040" w:tentative="1">
      <w:start w:val="1"/>
      <w:numFmt w:val="bullet"/>
      <w:lvlText w:val="o"/>
      <w:lvlJc w:val="left"/>
      <w:pPr>
        <w:ind w:left="3600" w:hanging="360"/>
      </w:pPr>
      <w:rPr>
        <w:rFonts w:ascii="Courier New" w:hAnsi="Courier New" w:cs="Courier New" w:hint="default"/>
      </w:rPr>
    </w:lvl>
    <w:lvl w:ilvl="5" w:tplc="51D86432" w:tentative="1">
      <w:start w:val="1"/>
      <w:numFmt w:val="bullet"/>
      <w:lvlText w:val=""/>
      <w:lvlJc w:val="left"/>
      <w:pPr>
        <w:ind w:left="4320" w:hanging="360"/>
      </w:pPr>
      <w:rPr>
        <w:rFonts w:ascii="Wingdings" w:hAnsi="Wingdings" w:hint="default"/>
      </w:rPr>
    </w:lvl>
    <w:lvl w:ilvl="6" w:tplc="2F043148" w:tentative="1">
      <w:start w:val="1"/>
      <w:numFmt w:val="bullet"/>
      <w:lvlText w:val=""/>
      <w:lvlJc w:val="left"/>
      <w:pPr>
        <w:ind w:left="5040" w:hanging="360"/>
      </w:pPr>
      <w:rPr>
        <w:rFonts w:ascii="Symbol" w:hAnsi="Symbol" w:hint="default"/>
      </w:rPr>
    </w:lvl>
    <w:lvl w:ilvl="7" w:tplc="091A8022" w:tentative="1">
      <w:start w:val="1"/>
      <w:numFmt w:val="bullet"/>
      <w:lvlText w:val="o"/>
      <w:lvlJc w:val="left"/>
      <w:pPr>
        <w:ind w:left="5760" w:hanging="360"/>
      </w:pPr>
      <w:rPr>
        <w:rFonts w:ascii="Courier New" w:hAnsi="Courier New" w:cs="Courier New" w:hint="default"/>
      </w:rPr>
    </w:lvl>
    <w:lvl w:ilvl="8" w:tplc="3A1819C4" w:tentative="1">
      <w:start w:val="1"/>
      <w:numFmt w:val="bullet"/>
      <w:lvlText w:val=""/>
      <w:lvlJc w:val="left"/>
      <w:pPr>
        <w:ind w:left="6480" w:hanging="360"/>
      </w:pPr>
      <w:rPr>
        <w:rFonts w:ascii="Wingdings" w:hAnsi="Wingdings" w:hint="default"/>
      </w:rPr>
    </w:lvl>
  </w:abstractNum>
  <w:abstractNum w:abstractNumId="15">
    <w:nsid w:val="565E10A8"/>
    <w:multiLevelType w:val="hybridMultilevel"/>
    <w:tmpl w:val="754A21DE"/>
    <w:lvl w:ilvl="0" w:tplc="58A6455C">
      <w:start w:val="1"/>
      <w:numFmt w:val="lowerRoman"/>
      <w:lvlText w:val="%1."/>
      <w:lvlJc w:val="left"/>
      <w:pPr>
        <w:ind w:left="1080" w:hanging="720"/>
      </w:pPr>
      <w:rPr>
        <w:rFonts w:hint="default"/>
      </w:rPr>
    </w:lvl>
    <w:lvl w:ilvl="1" w:tplc="4E28D388" w:tentative="1">
      <w:start w:val="1"/>
      <w:numFmt w:val="lowerLetter"/>
      <w:lvlText w:val="%2."/>
      <w:lvlJc w:val="left"/>
      <w:pPr>
        <w:ind w:left="1440" w:hanging="360"/>
      </w:pPr>
    </w:lvl>
    <w:lvl w:ilvl="2" w:tplc="92949AB0" w:tentative="1">
      <w:start w:val="1"/>
      <w:numFmt w:val="lowerRoman"/>
      <w:lvlText w:val="%3."/>
      <w:lvlJc w:val="right"/>
      <w:pPr>
        <w:ind w:left="2160" w:hanging="180"/>
      </w:pPr>
    </w:lvl>
    <w:lvl w:ilvl="3" w:tplc="F4E451F4" w:tentative="1">
      <w:start w:val="1"/>
      <w:numFmt w:val="decimal"/>
      <w:lvlText w:val="%4."/>
      <w:lvlJc w:val="left"/>
      <w:pPr>
        <w:ind w:left="2880" w:hanging="360"/>
      </w:pPr>
    </w:lvl>
    <w:lvl w:ilvl="4" w:tplc="60CE25CC" w:tentative="1">
      <w:start w:val="1"/>
      <w:numFmt w:val="lowerLetter"/>
      <w:lvlText w:val="%5."/>
      <w:lvlJc w:val="left"/>
      <w:pPr>
        <w:ind w:left="3600" w:hanging="360"/>
      </w:pPr>
    </w:lvl>
    <w:lvl w:ilvl="5" w:tplc="5D7A7168" w:tentative="1">
      <w:start w:val="1"/>
      <w:numFmt w:val="lowerRoman"/>
      <w:lvlText w:val="%6."/>
      <w:lvlJc w:val="right"/>
      <w:pPr>
        <w:ind w:left="4320" w:hanging="180"/>
      </w:pPr>
    </w:lvl>
    <w:lvl w:ilvl="6" w:tplc="19F2B750" w:tentative="1">
      <w:start w:val="1"/>
      <w:numFmt w:val="decimal"/>
      <w:lvlText w:val="%7."/>
      <w:lvlJc w:val="left"/>
      <w:pPr>
        <w:ind w:left="5040" w:hanging="360"/>
      </w:pPr>
    </w:lvl>
    <w:lvl w:ilvl="7" w:tplc="2A3CB06C" w:tentative="1">
      <w:start w:val="1"/>
      <w:numFmt w:val="lowerLetter"/>
      <w:lvlText w:val="%8."/>
      <w:lvlJc w:val="left"/>
      <w:pPr>
        <w:ind w:left="5760" w:hanging="360"/>
      </w:pPr>
    </w:lvl>
    <w:lvl w:ilvl="8" w:tplc="C988E4D8" w:tentative="1">
      <w:start w:val="1"/>
      <w:numFmt w:val="lowerRoman"/>
      <w:lvlText w:val="%9."/>
      <w:lvlJc w:val="right"/>
      <w:pPr>
        <w:ind w:left="6480" w:hanging="180"/>
      </w:pPr>
    </w:lvl>
  </w:abstractNum>
  <w:abstractNum w:abstractNumId="16">
    <w:nsid w:val="59FC61DE"/>
    <w:multiLevelType w:val="hybridMultilevel"/>
    <w:tmpl w:val="B0600750"/>
    <w:lvl w:ilvl="0" w:tplc="1B7A6670">
      <w:start w:val="1"/>
      <w:numFmt w:val="bullet"/>
      <w:lvlText w:val=""/>
      <w:lvlJc w:val="left"/>
      <w:pPr>
        <w:ind w:left="720" w:hanging="360"/>
      </w:pPr>
      <w:rPr>
        <w:rFonts w:ascii="Symbol" w:hAnsi="Symbol" w:hint="default"/>
      </w:rPr>
    </w:lvl>
    <w:lvl w:ilvl="1" w:tplc="2B888F70" w:tentative="1">
      <w:start w:val="1"/>
      <w:numFmt w:val="bullet"/>
      <w:lvlText w:val="o"/>
      <w:lvlJc w:val="left"/>
      <w:pPr>
        <w:ind w:left="1440" w:hanging="360"/>
      </w:pPr>
      <w:rPr>
        <w:rFonts w:ascii="Courier New" w:hAnsi="Courier New" w:cs="Courier New" w:hint="default"/>
      </w:rPr>
    </w:lvl>
    <w:lvl w:ilvl="2" w:tplc="30C0AA82" w:tentative="1">
      <w:start w:val="1"/>
      <w:numFmt w:val="bullet"/>
      <w:lvlText w:val=""/>
      <w:lvlJc w:val="left"/>
      <w:pPr>
        <w:ind w:left="2160" w:hanging="360"/>
      </w:pPr>
      <w:rPr>
        <w:rFonts w:ascii="Wingdings" w:hAnsi="Wingdings" w:hint="default"/>
      </w:rPr>
    </w:lvl>
    <w:lvl w:ilvl="3" w:tplc="CC1611D6" w:tentative="1">
      <w:start w:val="1"/>
      <w:numFmt w:val="bullet"/>
      <w:lvlText w:val=""/>
      <w:lvlJc w:val="left"/>
      <w:pPr>
        <w:ind w:left="2880" w:hanging="360"/>
      </w:pPr>
      <w:rPr>
        <w:rFonts w:ascii="Symbol" w:hAnsi="Symbol" w:hint="default"/>
      </w:rPr>
    </w:lvl>
    <w:lvl w:ilvl="4" w:tplc="9962DE10" w:tentative="1">
      <w:start w:val="1"/>
      <w:numFmt w:val="bullet"/>
      <w:lvlText w:val="o"/>
      <w:lvlJc w:val="left"/>
      <w:pPr>
        <w:ind w:left="3600" w:hanging="360"/>
      </w:pPr>
      <w:rPr>
        <w:rFonts w:ascii="Courier New" w:hAnsi="Courier New" w:cs="Courier New" w:hint="default"/>
      </w:rPr>
    </w:lvl>
    <w:lvl w:ilvl="5" w:tplc="99F272AC" w:tentative="1">
      <w:start w:val="1"/>
      <w:numFmt w:val="bullet"/>
      <w:lvlText w:val=""/>
      <w:lvlJc w:val="left"/>
      <w:pPr>
        <w:ind w:left="4320" w:hanging="360"/>
      </w:pPr>
      <w:rPr>
        <w:rFonts w:ascii="Wingdings" w:hAnsi="Wingdings" w:hint="default"/>
      </w:rPr>
    </w:lvl>
    <w:lvl w:ilvl="6" w:tplc="A8426276" w:tentative="1">
      <w:start w:val="1"/>
      <w:numFmt w:val="bullet"/>
      <w:lvlText w:val=""/>
      <w:lvlJc w:val="left"/>
      <w:pPr>
        <w:ind w:left="5040" w:hanging="360"/>
      </w:pPr>
      <w:rPr>
        <w:rFonts w:ascii="Symbol" w:hAnsi="Symbol" w:hint="default"/>
      </w:rPr>
    </w:lvl>
    <w:lvl w:ilvl="7" w:tplc="AAEA51BE" w:tentative="1">
      <w:start w:val="1"/>
      <w:numFmt w:val="bullet"/>
      <w:lvlText w:val="o"/>
      <w:lvlJc w:val="left"/>
      <w:pPr>
        <w:ind w:left="5760" w:hanging="360"/>
      </w:pPr>
      <w:rPr>
        <w:rFonts w:ascii="Courier New" w:hAnsi="Courier New" w:cs="Courier New" w:hint="default"/>
      </w:rPr>
    </w:lvl>
    <w:lvl w:ilvl="8" w:tplc="72D4B844" w:tentative="1">
      <w:start w:val="1"/>
      <w:numFmt w:val="bullet"/>
      <w:lvlText w:val=""/>
      <w:lvlJc w:val="left"/>
      <w:pPr>
        <w:ind w:left="6480" w:hanging="360"/>
      </w:pPr>
      <w:rPr>
        <w:rFonts w:ascii="Wingdings" w:hAnsi="Wingdings" w:hint="default"/>
      </w:rPr>
    </w:lvl>
  </w:abstractNum>
  <w:abstractNum w:abstractNumId="17">
    <w:nsid w:val="5E7B6969"/>
    <w:multiLevelType w:val="hybridMultilevel"/>
    <w:tmpl w:val="69BCDD1A"/>
    <w:lvl w:ilvl="0" w:tplc="77D838D0">
      <w:start w:val="1"/>
      <w:numFmt w:val="bullet"/>
      <w:lvlText w:val=""/>
      <w:lvlJc w:val="left"/>
      <w:pPr>
        <w:ind w:left="765" w:hanging="360"/>
      </w:pPr>
      <w:rPr>
        <w:rFonts w:ascii="Symbol" w:hAnsi="Symbol" w:hint="default"/>
      </w:rPr>
    </w:lvl>
    <w:lvl w:ilvl="1" w:tplc="DCB81056" w:tentative="1">
      <w:start w:val="1"/>
      <w:numFmt w:val="bullet"/>
      <w:lvlText w:val="o"/>
      <w:lvlJc w:val="left"/>
      <w:pPr>
        <w:ind w:left="1485" w:hanging="360"/>
      </w:pPr>
      <w:rPr>
        <w:rFonts w:ascii="Courier New" w:hAnsi="Courier New" w:cs="Courier New" w:hint="default"/>
      </w:rPr>
    </w:lvl>
    <w:lvl w:ilvl="2" w:tplc="2DB25918" w:tentative="1">
      <w:start w:val="1"/>
      <w:numFmt w:val="bullet"/>
      <w:lvlText w:val=""/>
      <w:lvlJc w:val="left"/>
      <w:pPr>
        <w:ind w:left="2205" w:hanging="360"/>
      </w:pPr>
      <w:rPr>
        <w:rFonts w:ascii="Wingdings" w:hAnsi="Wingdings" w:hint="default"/>
      </w:rPr>
    </w:lvl>
    <w:lvl w:ilvl="3" w:tplc="5B0EB340" w:tentative="1">
      <w:start w:val="1"/>
      <w:numFmt w:val="bullet"/>
      <w:lvlText w:val=""/>
      <w:lvlJc w:val="left"/>
      <w:pPr>
        <w:ind w:left="2925" w:hanging="360"/>
      </w:pPr>
      <w:rPr>
        <w:rFonts w:ascii="Symbol" w:hAnsi="Symbol" w:hint="default"/>
      </w:rPr>
    </w:lvl>
    <w:lvl w:ilvl="4" w:tplc="2D86E496" w:tentative="1">
      <w:start w:val="1"/>
      <w:numFmt w:val="bullet"/>
      <w:lvlText w:val="o"/>
      <w:lvlJc w:val="left"/>
      <w:pPr>
        <w:ind w:left="3645" w:hanging="360"/>
      </w:pPr>
      <w:rPr>
        <w:rFonts w:ascii="Courier New" w:hAnsi="Courier New" w:cs="Courier New" w:hint="default"/>
      </w:rPr>
    </w:lvl>
    <w:lvl w:ilvl="5" w:tplc="02C0CA76" w:tentative="1">
      <w:start w:val="1"/>
      <w:numFmt w:val="bullet"/>
      <w:lvlText w:val=""/>
      <w:lvlJc w:val="left"/>
      <w:pPr>
        <w:ind w:left="4365" w:hanging="360"/>
      </w:pPr>
      <w:rPr>
        <w:rFonts w:ascii="Wingdings" w:hAnsi="Wingdings" w:hint="default"/>
      </w:rPr>
    </w:lvl>
    <w:lvl w:ilvl="6" w:tplc="BC1E51B2" w:tentative="1">
      <w:start w:val="1"/>
      <w:numFmt w:val="bullet"/>
      <w:lvlText w:val=""/>
      <w:lvlJc w:val="left"/>
      <w:pPr>
        <w:ind w:left="5085" w:hanging="360"/>
      </w:pPr>
      <w:rPr>
        <w:rFonts w:ascii="Symbol" w:hAnsi="Symbol" w:hint="default"/>
      </w:rPr>
    </w:lvl>
    <w:lvl w:ilvl="7" w:tplc="6FCC64FA" w:tentative="1">
      <w:start w:val="1"/>
      <w:numFmt w:val="bullet"/>
      <w:lvlText w:val="o"/>
      <w:lvlJc w:val="left"/>
      <w:pPr>
        <w:ind w:left="5805" w:hanging="360"/>
      </w:pPr>
      <w:rPr>
        <w:rFonts w:ascii="Courier New" w:hAnsi="Courier New" w:cs="Courier New" w:hint="default"/>
      </w:rPr>
    </w:lvl>
    <w:lvl w:ilvl="8" w:tplc="6A386ACC" w:tentative="1">
      <w:start w:val="1"/>
      <w:numFmt w:val="bullet"/>
      <w:lvlText w:val=""/>
      <w:lvlJc w:val="left"/>
      <w:pPr>
        <w:ind w:left="6525" w:hanging="360"/>
      </w:pPr>
      <w:rPr>
        <w:rFonts w:ascii="Wingdings" w:hAnsi="Wingdings" w:hint="default"/>
      </w:rPr>
    </w:lvl>
  </w:abstractNum>
  <w:abstractNum w:abstractNumId="18">
    <w:nsid w:val="69BA57CB"/>
    <w:multiLevelType w:val="hybridMultilevel"/>
    <w:tmpl w:val="79564226"/>
    <w:lvl w:ilvl="0" w:tplc="24682E08">
      <w:start w:val="1"/>
      <w:numFmt w:val="bullet"/>
      <w:lvlText w:val=""/>
      <w:lvlJc w:val="left"/>
      <w:pPr>
        <w:ind w:left="720" w:hanging="360"/>
      </w:pPr>
      <w:rPr>
        <w:rFonts w:ascii="Symbol" w:hAnsi="Symbol" w:hint="default"/>
      </w:rPr>
    </w:lvl>
    <w:lvl w:ilvl="1" w:tplc="741E47A0">
      <w:start w:val="1"/>
      <w:numFmt w:val="bullet"/>
      <w:lvlText w:val="o"/>
      <w:lvlJc w:val="left"/>
      <w:pPr>
        <w:ind w:left="1440" w:hanging="360"/>
      </w:pPr>
      <w:rPr>
        <w:rFonts w:ascii="Courier New" w:hAnsi="Courier New" w:cs="Courier New" w:hint="default"/>
      </w:rPr>
    </w:lvl>
    <w:lvl w:ilvl="2" w:tplc="5202A844" w:tentative="1">
      <w:start w:val="1"/>
      <w:numFmt w:val="bullet"/>
      <w:lvlText w:val=""/>
      <w:lvlJc w:val="left"/>
      <w:pPr>
        <w:ind w:left="2160" w:hanging="360"/>
      </w:pPr>
      <w:rPr>
        <w:rFonts w:ascii="Wingdings" w:hAnsi="Wingdings" w:hint="default"/>
      </w:rPr>
    </w:lvl>
    <w:lvl w:ilvl="3" w:tplc="B7ACDB44" w:tentative="1">
      <w:start w:val="1"/>
      <w:numFmt w:val="bullet"/>
      <w:lvlText w:val=""/>
      <w:lvlJc w:val="left"/>
      <w:pPr>
        <w:ind w:left="2880" w:hanging="360"/>
      </w:pPr>
      <w:rPr>
        <w:rFonts w:ascii="Symbol" w:hAnsi="Symbol" w:hint="default"/>
      </w:rPr>
    </w:lvl>
    <w:lvl w:ilvl="4" w:tplc="69CE9278" w:tentative="1">
      <w:start w:val="1"/>
      <w:numFmt w:val="bullet"/>
      <w:lvlText w:val="o"/>
      <w:lvlJc w:val="left"/>
      <w:pPr>
        <w:ind w:left="3600" w:hanging="360"/>
      </w:pPr>
      <w:rPr>
        <w:rFonts w:ascii="Courier New" w:hAnsi="Courier New" w:cs="Courier New" w:hint="default"/>
      </w:rPr>
    </w:lvl>
    <w:lvl w:ilvl="5" w:tplc="9EE41F56" w:tentative="1">
      <w:start w:val="1"/>
      <w:numFmt w:val="bullet"/>
      <w:lvlText w:val=""/>
      <w:lvlJc w:val="left"/>
      <w:pPr>
        <w:ind w:left="4320" w:hanging="360"/>
      </w:pPr>
      <w:rPr>
        <w:rFonts w:ascii="Wingdings" w:hAnsi="Wingdings" w:hint="default"/>
      </w:rPr>
    </w:lvl>
    <w:lvl w:ilvl="6" w:tplc="ABDC96C0" w:tentative="1">
      <w:start w:val="1"/>
      <w:numFmt w:val="bullet"/>
      <w:lvlText w:val=""/>
      <w:lvlJc w:val="left"/>
      <w:pPr>
        <w:ind w:left="5040" w:hanging="360"/>
      </w:pPr>
      <w:rPr>
        <w:rFonts w:ascii="Symbol" w:hAnsi="Symbol" w:hint="default"/>
      </w:rPr>
    </w:lvl>
    <w:lvl w:ilvl="7" w:tplc="BED0BB90" w:tentative="1">
      <w:start w:val="1"/>
      <w:numFmt w:val="bullet"/>
      <w:lvlText w:val="o"/>
      <w:lvlJc w:val="left"/>
      <w:pPr>
        <w:ind w:left="5760" w:hanging="360"/>
      </w:pPr>
      <w:rPr>
        <w:rFonts w:ascii="Courier New" w:hAnsi="Courier New" w:cs="Courier New" w:hint="default"/>
      </w:rPr>
    </w:lvl>
    <w:lvl w:ilvl="8" w:tplc="1886503A"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11"/>
  </w:num>
  <w:num w:numId="5">
    <w:abstractNumId w:val="7"/>
  </w:num>
  <w:num w:numId="6">
    <w:abstractNumId w:val="2"/>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7"/>
  </w:num>
  <w:num w:numId="12">
    <w:abstractNumId w:val="1"/>
  </w:num>
  <w:num w:numId="13">
    <w:abstractNumId w:val="12"/>
  </w:num>
  <w:num w:numId="1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15"/>
  </w:num>
  <w:num w:numId="19">
    <w:abstractNumId w:val="13"/>
  </w:num>
  <w:num w:numId="20">
    <w:abstractNumId w:val="9"/>
  </w:num>
  <w:num w:numId="2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B75AD3"/>
    <w:rsid w:val="00B75AD3"/>
    <w:rsid w:val="00D1214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55"/>
    <w:rPr>
      <w:rFonts w:ascii="Calibri" w:eastAsia="Calibri" w:hAnsi="Calibri" w:cs="Times New Roman"/>
    </w:rPr>
  </w:style>
  <w:style w:type="paragraph" w:styleId="Heading1">
    <w:name w:val="heading 1"/>
    <w:basedOn w:val="Normal"/>
    <w:link w:val="Heading1Char"/>
    <w:uiPriority w:val="99"/>
    <w:qFormat/>
    <w:rsid w:val="00BB4755"/>
    <w:pPr>
      <w:spacing w:before="319" w:after="79" w:line="240" w:lineRule="auto"/>
      <w:outlineLvl w:val="0"/>
    </w:pPr>
    <w:rPr>
      <w:rFonts w:ascii="Times New Roman" w:eastAsia="Times New Roman" w:hAnsi="Times New Roman"/>
      <w:b/>
      <w:bCs/>
      <w:color w:val="336699"/>
      <w:kern w:val="36"/>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4755"/>
    <w:rPr>
      <w:rFonts w:ascii="Times New Roman" w:eastAsia="Times New Roman" w:hAnsi="Times New Roman" w:cs="Times New Roman"/>
      <w:b/>
      <w:bCs/>
      <w:color w:val="336699"/>
      <w:kern w:val="36"/>
      <w:sz w:val="23"/>
      <w:szCs w:val="23"/>
      <w:lang w:eastAsia="en-AU"/>
    </w:rPr>
  </w:style>
  <w:style w:type="character" w:styleId="Hyperlink">
    <w:name w:val="Hyperlink"/>
    <w:basedOn w:val="DefaultParagraphFont"/>
    <w:uiPriority w:val="99"/>
    <w:rsid w:val="00BB4755"/>
    <w:rPr>
      <w:rFonts w:cs="Times New Roman"/>
      <w:color w:val="0000FF"/>
      <w:u w:val="single"/>
    </w:rPr>
  </w:style>
  <w:style w:type="paragraph" w:styleId="ListParagraph">
    <w:name w:val="List Paragraph"/>
    <w:basedOn w:val="Normal"/>
    <w:link w:val="ListParagraphChar"/>
    <w:uiPriority w:val="34"/>
    <w:qFormat/>
    <w:rsid w:val="00BB4755"/>
    <w:pPr>
      <w:ind w:left="720"/>
    </w:pPr>
  </w:style>
  <w:style w:type="paragraph" w:styleId="Footer">
    <w:name w:val="footer"/>
    <w:basedOn w:val="Normal"/>
    <w:link w:val="FooterChar"/>
    <w:uiPriority w:val="99"/>
    <w:rsid w:val="00BB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755"/>
    <w:rPr>
      <w:rFonts w:ascii="Calibri" w:eastAsia="Calibri" w:hAnsi="Calibri" w:cs="Times New Roman"/>
    </w:rPr>
  </w:style>
  <w:style w:type="paragraph" w:styleId="FootnoteText">
    <w:name w:val="footnote text"/>
    <w:basedOn w:val="Normal"/>
    <w:link w:val="FootnoteTextChar"/>
    <w:uiPriority w:val="99"/>
    <w:rsid w:val="00BB4755"/>
    <w:pPr>
      <w:spacing w:after="0" w:line="240" w:lineRule="auto"/>
    </w:pPr>
    <w:rPr>
      <w:sz w:val="20"/>
      <w:szCs w:val="20"/>
    </w:rPr>
  </w:style>
  <w:style w:type="character" w:customStyle="1" w:styleId="FootnoteTextChar">
    <w:name w:val="Footnote Text Char"/>
    <w:basedOn w:val="DefaultParagraphFont"/>
    <w:link w:val="FootnoteText"/>
    <w:uiPriority w:val="99"/>
    <w:rsid w:val="00BB4755"/>
    <w:rPr>
      <w:rFonts w:ascii="Calibri" w:eastAsia="Calibri" w:hAnsi="Calibri" w:cs="Times New Roman"/>
      <w:sz w:val="20"/>
      <w:szCs w:val="20"/>
    </w:rPr>
  </w:style>
  <w:style w:type="character" w:styleId="FootnoteReference">
    <w:name w:val="footnote reference"/>
    <w:basedOn w:val="DefaultParagraphFont"/>
    <w:uiPriority w:val="99"/>
    <w:rsid w:val="00BB4755"/>
    <w:rPr>
      <w:rFonts w:cs="Times New Roman"/>
      <w:vertAlign w:val="superscript"/>
    </w:rPr>
  </w:style>
  <w:style w:type="paragraph" w:customStyle="1" w:styleId="Default">
    <w:name w:val="Default"/>
    <w:rsid w:val="00BB4755"/>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basedOn w:val="DefaultParagraphFont"/>
    <w:link w:val="ListParagraph"/>
    <w:uiPriority w:val="34"/>
    <w:locked/>
    <w:rsid w:val="00BB4755"/>
    <w:rPr>
      <w:rFonts w:ascii="Calibri" w:eastAsia="Calibri" w:hAnsi="Calibri" w:cs="Times New Roman"/>
    </w:rPr>
  </w:style>
  <w:style w:type="paragraph" w:customStyle="1" w:styleId="base-text-paragraphnonumbers">
    <w:name w:val="base-text-paragraph no numbers"/>
    <w:basedOn w:val="Normal"/>
    <w:rsid w:val="00BB4755"/>
    <w:pPr>
      <w:spacing w:before="120" w:after="120" w:line="240" w:lineRule="auto"/>
      <w:ind w:left="1134"/>
    </w:pPr>
    <w:rPr>
      <w:rFonts w:ascii="Times New Roman" w:eastAsia="Times New Roman" w:hAnsi="Times New Roman"/>
      <w:szCs w:val="20"/>
      <w:lang w:eastAsia="en-AU"/>
    </w:rPr>
  </w:style>
  <w:style w:type="character" w:styleId="CommentReference">
    <w:name w:val="annotation reference"/>
    <w:basedOn w:val="DefaultParagraphFont"/>
    <w:uiPriority w:val="99"/>
    <w:rsid w:val="00BB4755"/>
    <w:rPr>
      <w:rFonts w:cs="Times New Roman"/>
      <w:sz w:val="16"/>
      <w:szCs w:val="16"/>
    </w:rPr>
  </w:style>
  <w:style w:type="paragraph" w:styleId="CommentText">
    <w:name w:val="annotation text"/>
    <w:basedOn w:val="Normal"/>
    <w:link w:val="CommentTextChar"/>
    <w:uiPriority w:val="99"/>
    <w:rsid w:val="00BB4755"/>
    <w:pPr>
      <w:spacing w:line="240" w:lineRule="auto"/>
    </w:pPr>
    <w:rPr>
      <w:sz w:val="20"/>
      <w:szCs w:val="20"/>
    </w:rPr>
  </w:style>
  <w:style w:type="character" w:customStyle="1" w:styleId="CommentTextChar">
    <w:name w:val="Comment Text Char"/>
    <w:basedOn w:val="DefaultParagraphFont"/>
    <w:link w:val="CommentText"/>
    <w:uiPriority w:val="99"/>
    <w:rsid w:val="00BB4755"/>
    <w:rPr>
      <w:rFonts w:ascii="Calibri" w:eastAsia="Calibri" w:hAnsi="Calibri" w:cs="Times New Roman"/>
      <w:sz w:val="20"/>
      <w:szCs w:val="20"/>
    </w:rPr>
  </w:style>
  <w:style w:type="paragraph" w:customStyle="1" w:styleId="tMain">
    <w:name w:val="t_Main"/>
    <w:basedOn w:val="Normal"/>
    <w:uiPriority w:val="99"/>
    <w:qFormat/>
    <w:rsid w:val="00BB4755"/>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Definition">
    <w:name w:val="Definition"/>
    <w:aliases w:val="dd"/>
    <w:basedOn w:val="Normal"/>
    <w:rsid w:val="00BB4755"/>
    <w:pPr>
      <w:spacing w:before="180" w:after="0" w:line="240" w:lineRule="auto"/>
      <w:ind w:left="1134"/>
    </w:pPr>
    <w:rPr>
      <w:rFonts w:ascii="Times New Roman" w:hAnsi="Times New Roman"/>
      <w:lang w:eastAsia="en-AU"/>
    </w:rPr>
  </w:style>
  <w:style w:type="paragraph" w:styleId="BalloonText">
    <w:name w:val="Balloon Text"/>
    <w:basedOn w:val="Normal"/>
    <w:link w:val="BalloonTextChar"/>
    <w:uiPriority w:val="99"/>
    <w:semiHidden/>
    <w:unhideWhenUsed/>
    <w:rsid w:val="00BB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5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E9127E"/>
    <w:rPr>
      <w:b/>
      <w:bCs/>
    </w:rPr>
  </w:style>
  <w:style w:type="character" w:customStyle="1" w:styleId="CommentSubjectChar">
    <w:name w:val="Comment Subject Char"/>
    <w:basedOn w:val="CommentTextChar"/>
    <w:link w:val="CommentSubject"/>
    <w:uiPriority w:val="99"/>
    <w:semiHidden/>
    <w:rsid w:val="00E9127E"/>
    <w:rPr>
      <w:b/>
      <w:bCs/>
    </w:rPr>
  </w:style>
  <w:style w:type="paragraph" w:styleId="Header">
    <w:name w:val="header"/>
    <w:basedOn w:val="Normal"/>
    <w:link w:val="HeaderChar"/>
    <w:uiPriority w:val="99"/>
    <w:semiHidden/>
    <w:unhideWhenUsed/>
    <w:rsid w:val="00C15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4C1"/>
    <w:rPr>
      <w:rFonts w:ascii="Calibri" w:eastAsia="Calibri" w:hAnsi="Calibri" w:cs="Times New Roman"/>
    </w:rPr>
  </w:style>
  <w:style w:type="paragraph" w:customStyle="1" w:styleId="paragraph">
    <w:name w:val="paragraph"/>
    <w:aliases w:val="a"/>
    <w:basedOn w:val="Normal"/>
    <w:rsid w:val="000D1BCE"/>
    <w:pPr>
      <w:tabs>
        <w:tab w:val="right" w:pos="1531"/>
      </w:tabs>
      <w:spacing w:before="40" w:after="0" w:line="240" w:lineRule="auto"/>
      <w:ind w:left="1644" w:hanging="1644"/>
    </w:pPr>
    <w:rPr>
      <w:rFonts w:ascii="Times New Roman" w:eastAsia="Times New Roman" w:hAnsi="Times New Roman"/>
      <w:szCs w:val="20"/>
      <w:lang w:eastAsia="en-AU"/>
    </w:rPr>
  </w:style>
  <w:style w:type="table" w:styleId="TableGrid">
    <w:name w:val="Table Grid"/>
    <w:basedOn w:val="TableNormal"/>
    <w:uiPriority w:val="59"/>
    <w:rsid w:val="008F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7328"/>
    <w:pPr>
      <w:spacing w:after="0" w:line="240" w:lineRule="auto"/>
    </w:pPr>
    <w:rPr>
      <w:rFonts w:ascii="Calibri" w:eastAsia="Calibri" w:hAnsi="Calibri" w:cs="Times New Roman"/>
    </w:rPr>
  </w:style>
  <w:style w:type="paragraph" w:styleId="NoSpacing">
    <w:name w:val="No Spacing"/>
    <w:uiPriority w:val="1"/>
    <w:qFormat/>
    <w:rsid w:val="00795814"/>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71208"/>
    <w:rPr>
      <w:color w:val="808080"/>
    </w:rPr>
  </w:style>
  <w:style w:type="character" w:customStyle="1" w:styleId="subsectionChar">
    <w:name w:val="subsection Char"/>
    <w:aliases w:val="ss Char"/>
    <w:basedOn w:val="DefaultParagraphFont"/>
    <w:link w:val="subsection"/>
    <w:locked/>
    <w:rsid w:val="00EF5735"/>
    <w:rPr>
      <w:rFonts w:ascii="Calibri" w:hAnsi="Calibri"/>
    </w:rPr>
  </w:style>
  <w:style w:type="paragraph" w:customStyle="1" w:styleId="subsection">
    <w:name w:val="subsection"/>
    <w:aliases w:val="ss"/>
    <w:basedOn w:val="Normal"/>
    <w:link w:val="subsectionChar"/>
    <w:rsid w:val="00EF5735"/>
    <w:pPr>
      <w:spacing w:before="180" w:after="0" w:line="240" w:lineRule="auto"/>
      <w:ind w:left="1134" w:hanging="1134"/>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emissions-reduction-fun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system/files/resources/6b894230-f15f-4a69-a50c-5577fecc8bc2/files/national-inventory-report-2012-vol1.pdf" TargetMode="External"/><Relationship Id="rId1" Type="http://schemas.openxmlformats.org/officeDocument/2006/relationships/hyperlink" Target="http://www.environment.gov.au/system/files/resources/51b72a94-7c7a-48c4-887a-02c7b7d2bd4c/files/abatement-task-summary-report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Classification xmlns="40E42C59-030C-4825-9B8E-8F58FC4897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9C2A55E05FEF4EBDD3A377A51698CD" ma:contentTypeVersion="" ma:contentTypeDescription="PDMS Document Site Content Type" ma:contentTypeScope="" ma:versionID="850dbeb6a506ef290c1fd55184e8d09a">
  <xsd:schema xmlns:xsd="http://www.w3.org/2001/XMLSchema" xmlns:xs="http://www.w3.org/2001/XMLSchema" xmlns:p="http://schemas.microsoft.com/office/2006/metadata/properties" xmlns:ns2="40E42C59-030C-4825-9B8E-8F58FC4897F8" targetNamespace="http://schemas.microsoft.com/office/2006/metadata/properties" ma:root="true" ma:fieldsID="a2e534d3f961845f4f33329c280dfc54" ns2:_="">
    <xsd:import namespace="40E42C59-030C-4825-9B8E-8F58FC4897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2C59-030C-4825-9B8E-8F58FC4897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B871C-D486-4230-97DC-C629A6ECCC0C}">
  <ds:schemaRefs/>
</ds:datastoreItem>
</file>

<file path=customXml/itemProps2.xml><?xml version="1.0" encoding="utf-8"?>
<ds:datastoreItem xmlns:ds="http://schemas.openxmlformats.org/officeDocument/2006/customXml" ds:itemID="{C5FC55A6-F06D-4F64-B02A-A31D9C4DD7E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0E42C59-030C-4825-9B8E-8F58FC4897F8"/>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F02533A-6026-42E2-958A-14DB8D444960}">
  <ds:schemaRefs/>
</ds:datastoreItem>
</file>

<file path=customXml/itemProps4.xml><?xml version="1.0" encoding="utf-8"?>
<ds:datastoreItem xmlns:ds="http://schemas.openxmlformats.org/officeDocument/2006/customXml" ds:itemID="{52CBDCC8-115C-49F6-8E8C-422346D5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6450</Words>
  <Characters>36768</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2015-08-06T00:14:00Z</dcterms:created>
  <dcterms:modified xsi:type="dcterms:W3CDTF">2015-08-06T00:14:00Z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29 July 2015</vt:lpwstr>
  </property>
  <property fmtid="{D5CDD505-2E9C-101B-9397-08002B2CF9AE}" pid="4" name="ClearanceDueDate">
    <vt:lpwstr/>
  </property>
  <property fmtid="{D5CDD505-2E9C-101B-9397-08002B2CF9AE}" pid="5" name="ContentTypeId">
    <vt:lpwstr>0x01010053158623521E02459344FD72CDD99ED600AFFF6C954ADB7E4B9327DB615AA2CB53</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Emissions Reduction Fund</vt:lpwstr>
  </property>
  <property fmtid="{D5CDD505-2E9C-101B-9397-08002B2CF9AE}" pid="9" name="HandlingProtocol">
    <vt:lpwstr>Standard</vt:lpwstr>
  </property>
  <property fmtid="{D5CDD505-2E9C-101B-9397-08002B2CF9AE}" pid="10" name="IconOverlay">
    <vt:lpwstr/>
  </property>
  <property fmtid="{D5CDD505-2E9C-101B-9397-08002B2CF9AE}" pid="11" name="InformationMinister">
    <vt:lpwstr> </vt:lpwstr>
  </property>
  <property fmtid="{D5CDD505-2E9C-101B-9397-08002B2CF9AE}" pid="12" name="LastClearingOfficer">
    <vt:lpwstr>Clare Jasnos</vt:lpwstr>
  </property>
  <property fmtid="{D5CDD505-2E9C-101B-9397-08002B2CF9AE}" pid="13" name="Ministers">
    <vt:lpwstr>Greg Hunt</vt:lpwstr>
  </property>
  <property fmtid="{D5CDD505-2E9C-101B-9397-08002B2CF9AE}" pid="14" name="PdrId">
    <vt:lpwstr>MS15-001163</vt:lpwstr>
  </property>
  <property fmtid="{D5CDD505-2E9C-101B-9397-08002B2CF9AE}" pid="15" name="Principal">
    <vt:lpwstr>Minister</vt:lpwstr>
  </property>
  <property fmtid="{D5CDD505-2E9C-101B-9397-08002B2CF9AE}" pid="16" name="ReasonForSensitivity">
    <vt:lpwstr/>
  </property>
  <property fmtid="{D5CDD505-2E9C-101B-9397-08002B2CF9AE}" pid="17" name="RecordPoint_ActiveItemListId">
    <vt:lpwstr>{678eb0e5-6715-4dcc-a270-df338d924cb8}</vt:lpwstr>
  </property>
  <property fmtid="{D5CDD505-2E9C-101B-9397-08002B2CF9AE}" pid="18" name="RecordPoint_ActiveItemMoved">
    <vt:lpwstr/>
  </property>
  <property fmtid="{D5CDD505-2E9C-101B-9397-08002B2CF9AE}" pid="19" name="RecordPoint_ActiveItemSiteId">
    <vt:lpwstr>{65a9c67d-8621-4daf-8c18-51b91f4b20f6}</vt:lpwstr>
  </property>
  <property fmtid="{D5CDD505-2E9C-101B-9397-08002B2CF9AE}" pid="20" name="RecordPoint_ActiveItemUniqueId">
    <vt:lpwstr>{c8fb2d66-7397-4089-ace8-3e4944ea312d}</vt:lpwstr>
  </property>
  <property fmtid="{D5CDD505-2E9C-101B-9397-08002B2CF9AE}" pid="21" name="RecordPoint_ActiveItemWebId">
    <vt:lpwstr>{477fa1b6-0443-4a23-9b80-6d3c61e37946}</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15 May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EMISSIONS REDUCTION FUND: Determination for consideration - Oil and gas fugitives</vt:lpwstr>
  </property>
  <property fmtid="{D5CDD505-2E9C-101B-9397-08002B2CF9AE}" pid="33" name="TaskSeqNo">
    <vt:lpwstr>1</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ies>
</file>