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7BBC" w14:textId="77777777" w:rsidR="00F016AF" w:rsidRPr="00C117CF" w:rsidRDefault="00F016AF" w:rsidP="00F016AF">
      <w:pPr>
        <w:pStyle w:val="BodyText"/>
        <w:spacing w:line="260" w:lineRule="atLeast"/>
        <w:jc w:val="center"/>
        <w:rPr>
          <w:rFonts w:ascii="Arial" w:eastAsia="Calibri" w:hAnsi="Arial" w:cs="Arial"/>
          <w:b/>
          <w:sz w:val="20"/>
          <w:lang w:eastAsia="en-US"/>
        </w:rPr>
      </w:pPr>
      <w:r w:rsidRPr="00C117CF">
        <w:rPr>
          <w:rFonts w:ascii="Arial" w:eastAsia="Calibri" w:hAnsi="Arial" w:cs="Arial"/>
          <w:b/>
          <w:sz w:val="20"/>
          <w:lang w:eastAsia="en-US"/>
        </w:rPr>
        <w:t>EXPLANATORY STATEMENT</w:t>
      </w:r>
    </w:p>
    <w:p w14:paraId="667BA3D3" w14:textId="77777777" w:rsidR="00F016AF" w:rsidRPr="00C117CF" w:rsidRDefault="00F016AF" w:rsidP="00F016AF">
      <w:pPr>
        <w:jc w:val="center"/>
        <w:rPr>
          <w:rFonts w:ascii="Arial" w:hAnsi="Arial" w:cs="Arial"/>
          <w:b/>
          <w:sz w:val="20"/>
          <w:szCs w:val="20"/>
        </w:rPr>
      </w:pPr>
      <w:r w:rsidRPr="00C117CF">
        <w:rPr>
          <w:rFonts w:ascii="Arial" w:hAnsi="Arial" w:cs="Arial"/>
          <w:b/>
          <w:sz w:val="20"/>
          <w:szCs w:val="20"/>
        </w:rPr>
        <w:t>Issued by the Australian Communications and Media Authority</w:t>
      </w:r>
    </w:p>
    <w:p w14:paraId="3048CF43" w14:textId="13B1D968" w:rsidR="00705CCA" w:rsidRPr="00C117CF" w:rsidRDefault="006015D8" w:rsidP="009F154B">
      <w:pPr>
        <w:jc w:val="center"/>
        <w:rPr>
          <w:rFonts w:ascii="Arial" w:hAnsi="Arial" w:cs="Arial"/>
          <w:b/>
          <w:i/>
          <w:sz w:val="20"/>
          <w:szCs w:val="20"/>
        </w:rPr>
      </w:pPr>
      <w:proofErr w:type="spellStart"/>
      <w:r>
        <w:rPr>
          <w:rFonts w:ascii="Arial" w:hAnsi="Arial" w:cs="Arial"/>
          <w:b/>
          <w:i/>
          <w:sz w:val="20"/>
          <w:szCs w:val="20"/>
        </w:rPr>
        <w:t>Radiocommunications</w:t>
      </w:r>
      <w:proofErr w:type="spellEnd"/>
      <w:r>
        <w:rPr>
          <w:rFonts w:ascii="Arial" w:hAnsi="Arial" w:cs="Arial"/>
          <w:b/>
          <w:i/>
          <w:sz w:val="20"/>
          <w:szCs w:val="20"/>
        </w:rPr>
        <w:t xml:space="preserve"> </w:t>
      </w:r>
      <w:r w:rsidR="008B4916">
        <w:rPr>
          <w:rFonts w:ascii="Arial" w:hAnsi="Arial" w:cs="Arial"/>
          <w:b/>
          <w:i/>
          <w:sz w:val="20"/>
          <w:szCs w:val="20"/>
        </w:rPr>
        <w:t>1.5 GHz Frequency Band Plan</w:t>
      </w:r>
      <w:r>
        <w:rPr>
          <w:rFonts w:ascii="Arial" w:hAnsi="Arial" w:cs="Arial"/>
          <w:b/>
          <w:i/>
          <w:sz w:val="20"/>
          <w:szCs w:val="20"/>
        </w:rPr>
        <w:t xml:space="preserve"> 201</w:t>
      </w:r>
      <w:r w:rsidR="00D21D60">
        <w:rPr>
          <w:rFonts w:ascii="Arial" w:hAnsi="Arial" w:cs="Arial"/>
          <w:b/>
          <w:i/>
          <w:sz w:val="20"/>
          <w:szCs w:val="20"/>
        </w:rPr>
        <w:t>5</w:t>
      </w:r>
    </w:p>
    <w:p w14:paraId="74440F9C" w14:textId="77777777" w:rsidR="009F154B" w:rsidRPr="00C117CF" w:rsidRDefault="009F154B" w:rsidP="009F154B">
      <w:pPr>
        <w:pStyle w:val="Subtitle"/>
        <w:rPr>
          <w:rFonts w:ascii="Arial" w:hAnsi="Arial" w:cs="Arial"/>
          <w:i/>
          <w:sz w:val="20"/>
        </w:rPr>
      </w:pPr>
      <w:proofErr w:type="spellStart"/>
      <w:r w:rsidRPr="00C117CF">
        <w:rPr>
          <w:rFonts w:ascii="Arial" w:hAnsi="Arial" w:cs="Arial"/>
          <w:i/>
          <w:sz w:val="20"/>
        </w:rPr>
        <w:t>Radiocommunications</w:t>
      </w:r>
      <w:proofErr w:type="spellEnd"/>
      <w:r w:rsidRPr="00C117CF">
        <w:rPr>
          <w:rFonts w:ascii="Arial" w:hAnsi="Arial" w:cs="Arial"/>
          <w:i/>
          <w:sz w:val="20"/>
        </w:rPr>
        <w:t xml:space="preserve"> Act 1992</w:t>
      </w:r>
    </w:p>
    <w:p w14:paraId="7217BE71" w14:textId="77777777" w:rsidR="000E7C20" w:rsidRDefault="000E7C20" w:rsidP="003640D5">
      <w:pPr>
        <w:rPr>
          <w:rFonts w:ascii="Arial" w:hAnsi="Arial" w:cs="Arial"/>
          <w:b/>
          <w:sz w:val="20"/>
          <w:szCs w:val="20"/>
        </w:rPr>
      </w:pPr>
    </w:p>
    <w:p w14:paraId="13F1EF1D" w14:textId="77777777" w:rsidR="003640D5" w:rsidRPr="00C117CF" w:rsidRDefault="003640D5" w:rsidP="003640D5">
      <w:pPr>
        <w:rPr>
          <w:rFonts w:ascii="Arial" w:hAnsi="Arial" w:cs="Arial"/>
          <w:b/>
          <w:sz w:val="20"/>
          <w:szCs w:val="20"/>
        </w:rPr>
      </w:pPr>
      <w:r w:rsidRPr="00C117CF">
        <w:rPr>
          <w:rFonts w:ascii="Arial" w:hAnsi="Arial" w:cs="Arial"/>
          <w:b/>
          <w:sz w:val="20"/>
          <w:szCs w:val="20"/>
        </w:rPr>
        <w:t>Purpose</w:t>
      </w:r>
    </w:p>
    <w:p w14:paraId="436EDAF7" w14:textId="02480989" w:rsidR="00D91BB2" w:rsidRPr="00C117CF" w:rsidRDefault="00486BB4" w:rsidP="00D91BB2">
      <w:pPr>
        <w:rPr>
          <w:rFonts w:ascii="Arial" w:hAnsi="Arial" w:cs="Arial"/>
          <w:sz w:val="20"/>
          <w:szCs w:val="20"/>
        </w:rPr>
      </w:pPr>
      <w:r>
        <w:rPr>
          <w:rFonts w:ascii="Arial" w:hAnsi="Arial" w:cs="Arial"/>
          <w:sz w:val="20"/>
          <w:szCs w:val="20"/>
        </w:rPr>
        <w:t>T</w:t>
      </w:r>
      <w:r w:rsidR="00D91BB2" w:rsidRPr="00446732">
        <w:rPr>
          <w:rFonts w:ascii="Arial" w:hAnsi="Arial" w:cs="Arial"/>
          <w:sz w:val="20"/>
          <w:szCs w:val="20"/>
        </w:rPr>
        <w:t>he Australian Communications and Media Authority (</w:t>
      </w:r>
      <w:r w:rsidR="00707D9D">
        <w:rPr>
          <w:rFonts w:ascii="Arial" w:hAnsi="Arial" w:cs="Arial"/>
          <w:sz w:val="20"/>
          <w:szCs w:val="20"/>
        </w:rPr>
        <w:t xml:space="preserve">the </w:t>
      </w:r>
      <w:r w:rsidR="00D91BB2" w:rsidRPr="00446732">
        <w:rPr>
          <w:rFonts w:ascii="Arial" w:hAnsi="Arial" w:cs="Arial"/>
          <w:b/>
          <w:sz w:val="20"/>
          <w:szCs w:val="20"/>
        </w:rPr>
        <w:t>ACMA</w:t>
      </w:r>
      <w:r w:rsidR="00D91BB2" w:rsidRPr="00446732">
        <w:rPr>
          <w:rFonts w:ascii="Arial" w:hAnsi="Arial" w:cs="Arial"/>
          <w:sz w:val="20"/>
          <w:szCs w:val="20"/>
        </w:rPr>
        <w:t xml:space="preserve">) </w:t>
      </w:r>
      <w:r>
        <w:rPr>
          <w:rFonts w:ascii="Arial" w:hAnsi="Arial" w:cs="Arial"/>
          <w:sz w:val="20"/>
          <w:szCs w:val="20"/>
        </w:rPr>
        <w:t xml:space="preserve">has </w:t>
      </w:r>
      <w:r w:rsidR="00D91BB2" w:rsidRPr="00446732">
        <w:rPr>
          <w:rFonts w:ascii="Arial" w:hAnsi="Arial" w:cs="Arial"/>
          <w:sz w:val="20"/>
          <w:szCs w:val="20"/>
        </w:rPr>
        <w:t>made the</w:t>
      </w:r>
      <w:r w:rsidR="00D91BB2" w:rsidRPr="00C117CF">
        <w:rPr>
          <w:rFonts w:ascii="Arial" w:hAnsi="Arial" w:cs="Arial"/>
          <w:sz w:val="20"/>
          <w:szCs w:val="20"/>
        </w:rPr>
        <w:t xml:space="preserve"> </w:t>
      </w:r>
      <w:proofErr w:type="spellStart"/>
      <w:r w:rsidR="00D91BB2" w:rsidRPr="00C117CF">
        <w:rPr>
          <w:rFonts w:ascii="Arial" w:hAnsi="Arial" w:cs="Arial"/>
          <w:i/>
          <w:sz w:val="20"/>
          <w:szCs w:val="20"/>
        </w:rPr>
        <w:t>Radiocommunications</w:t>
      </w:r>
      <w:proofErr w:type="spellEnd"/>
      <w:r w:rsidR="00D91BB2" w:rsidRPr="00C117CF">
        <w:rPr>
          <w:rFonts w:ascii="Arial" w:hAnsi="Arial" w:cs="Arial"/>
          <w:i/>
          <w:sz w:val="20"/>
          <w:szCs w:val="20"/>
        </w:rPr>
        <w:t xml:space="preserve"> </w:t>
      </w:r>
      <w:r w:rsidR="00DA2192">
        <w:rPr>
          <w:rFonts w:ascii="Arial" w:hAnsi="Arial" w:cs="Arial"/>
          <w:i/>
          <w:sz w:val="20"/>
          <w:szCs w:val="20"/>
        </w:rPr>
        <w:t>1.5 GHz Frequency Band Plan</w:t>
      </w:r>
      <w:r w:rsidR="006015D8">
        <w:rPr>
          <w:rFonts w:ascii="Arial" w:hAnsi="Arial" w:cs="Arial"/>
          <w:i/>
          <w:sz w:val="20"/>
          <w:szCs w:val="20"/>
        </w:rPr>
        <w:t xml:space="preserve"> 201</w:t>
      </w:r>
      <w:r w:rsidR="00D21D60">
        <w:rPr>
          <w:rFonts w:ascii="Arial" w:hAnsi="Arial" w:cs="Arial"/>
          <w:i/>
          <w:sz w:val="20"/>
          <w:szCs w:val="20"/>
        </w:rPr>
        <w:t>5</w:t>
      </w:r>
      <w:r w:rsidR="00D91BB2" w:rsidRPr="00C117CF">
        <w:rPr>
          <w:rFonts w:ascii="Arial" w:hAnsi="Arial" w:cs="Arial"/>
          <w:i/>
          <w:sz w:val="20"/>
          <w:szCs w:val="20"/>
        </w:rPr>
        <w:t xml:space="preserve"> </w:t>
      </w:r>
      <w:r w:rsidR="00D91BB2" w:rsidRPr="00C117CF">
        <w:rPr>
          <w:rFonts w:ascii="Arial" w:hAnsi="Arial" w:cs="Arial"/>
          <w:sz w:val="20"/>
          <w:szCs w:val="20"/>
        </w:rPr>
        <w:t>(the</w:t>
      </w:r>
      <w:r w:rsidR="00D91BB2" w:rsidRPr="00C117CF">
        <w:rPr>
          <w:rFonts w:ascii="Arial" w:hAnsi="Arial" w:cs="Arial"/>
          <w:b/>
          <w:sz w:val="20"/>
          <w:szCs w:val="20"/>
        </w:rPr>
        <w:t xml:space="preserve"> </w:t>
      </w:r>
      <w:r w:rsidR="00DA2192">
        <w:rPr>
          <w:rFonts w:ascii="Arial" w:hAnsi="Arial" w:cs="Arial"/>
          <w:b/>
          <w:sz w:val="20"/>
          <w:szCs w:val="20"/>
        </w:rPr>
        <w:t>Plan</w:t>
      </w:r>
      <w:r w:rsidR="00D91BB2" w:rsidRPr="00C117CF">
        <w:rPr>
          <w:rFonts w:ascii="Arial" w:hAnsi="Arial" w:cs="Arial"/>
          <w:sz w:val="20"/>
          <w:szCs w:val="20"/>
        </w:rPr>
        <w:t>).</w:t>
      </w:r>
    </w:p>
    <w:p w14:paraId="0ED30EC0" w14:textId="00C04F74" w:rsidR="003640D5" w:rsidRPr="00C117CF" w:rsidRDefault="003640D5" w:rsidP="005824CE">
      <w:pPr>
        <w:spacing w:line="260" w:lineRule="atLeast"/>
        <w:rPr>
          <w:rFonts w:ascii="Arial" w:hAnsi="Arial" w:cs="Arial"/>
          <w:sz w:val="20"/>
          <w:szCs w:val="20"/>
        </w:rPr>
      </w:pPr>
      <w:r w:rsidRPr="00C117CF">
        <w:rPr>
          <w:rStyle w:val="CharSectno"/>
          <w:rFonts w:ascii="Arial" w:eastAsia="Times New Roman" w:hAnsi="Arial" w:cs="Arial"/>
          <w:sz w:val="20"/>
          <w:szCs w:val="20"/>
        </w:rPr>
        <w:t xml:space="preserve">The </w:t>
      </w:r>
      <w:r w:rsidR="00DA2192">
        <w:rPr>
          <w:rFonts w:ascii="Arial" w:hAnsi="Arial" w:cs="Arial"/>
          <w:sz w:val="20"/>
          <w:szCs w:val="20"/>
        </w:rPr>
        <w:t>Plan</w:t>
      </w:r>
      <w:r w:rsidR="00DA2192" w:rsidRPr="00C117CF">
        <w:rPr>
          <w:rFonts w:ascii="Arial" w:hAnsi="Arial" w:cs="Arial"/>
          <w:sz w:val="20"/>
          <w:szCs w:val="20"/>
        </w:rPr>
        <w:t xml:space="preserve"> </w:t>
      </w:r>
      <w:r w:rsidRPr="00C117CF">
        <w:rPr>
          <w:rFonts w:ascii="Arial" w:hAnsi="Arial" w:cs="Arial"/>
          <w:sz w:val="20"/>
          <w:szCs w:val="20"/>
        </w:rPr>
        <w:t xml:space="preserve">revokes and replaces the </w:t>
      </w:r>
      <w:r w:rsidR="00DA2192">
        <w:rPr>
          <w:rFonts w:ascii="Arial" w:hAnsi="Arial" w:cs="Arial"/>
          <w:i/>
          <w:sz w:val="20"/>
          <w:szCs w:val="20"/>
        </w:rPr>
        <w:t>1.5 GHz Band Plan</w:t>
      </w:r>
      <w:r w:rsidRPr="00C117CF">
        <w:rPr>
          <w:rFonts w:ascii="Arial" w:hAnsi="Arial" w:cs="Arial"/>
          <w:i/>
          <w:sz w:val="20"/>
          <w:szCs w:val="20"/>
        </w:rPr>
        <w:t xml:space="preserve"> </w:t>
      </w:r>
      <w:r w:rsidRPr="00C117CF">
        <w:rPr>
          <w:rFonts w:ascii="Arial" w:hAnsi="Arial" w:cs="Arial"/>
          <w:sz w:val="20"/>
          <w:szCs w:val="20"/>
        </w:rPr>
        <w:t xml:space="preserve">(the </w:t>
      </w:r>
      <w:r w:rsidR="00DA2192">
        <w:rPr>
          <w:rFonts w:ascii="Arial" w:hAnsi="Arial" w:cs="Arial"/>
          <w:b/>
          <w:sz w:val="20"/>
          <w:szCs w:val="20"/>
        </w:rPr>
        <w:t>1996</w:t>
      </w:r>
      <w:r w:rsidR="00DA2192" w:rsidRPr="00C117CF">
        <w:rPr>
          <w:rFonts w:ascii="Arial" w:hAnsi="Arial" w:cs="Arial"/>
          <w:b/>
          <w:sz w:val="20"/>
          <w:szCs w:val="20"/>
        </w:rPr>
        <w:t xml:space="preserve"> </w:t>
      </w:r>
      <w:r w:rsidR="00D91BB2" w:rsidRPr="00C117CF">
        <w:rPr>
          <w:rFonts w:ascii="Arial" w:hAnsi="Arial" w:cs="Arial"/>
          <w:b/>
          <w:sz w:val="20"/>
          <w:szCs w:val="20"/>
        </w:rPr>
        <w:t>Instrument</w:t>
      </w:r>
      <w:r w:rsidRPr="00C117CF">
        <w:rPr>
          <w:rFonts w:ascii="Arial" w:hAnsi="Arial" w:cs="Arial"/>
          <w:sz w:val="20"/>
          <w:szCs w:val="20"/>
        </w:rPr>
        <w:t>)</w:t>
      </w:r>
      <w:r w:rsidR="00D91BB2" w:rsidRPr="00C117CF">
        <w:rPr>
          <w:rFonts w:ascii="Arial" w:hAnsi="Arial" w:cs="Arial"/>
          <w:sz w:val="20"/>
          <w:szCs w:val="20"/>
        </w:rPr>
        <w:t xml:space="preserve"> without making any significant changes to the regulatory arrangements created by the </w:t>
      </w:r>
      <w:r w:rsidR="00DA2192">
        <w:rPr>
          <w:rFonts w:ascii="Arial" w:hAnsi="Arial" w:cs="Arial"/>
          <w:sz w:val="20"/>
          <w:szCs w:val="20"/>
        </w:rPr>
        <w:t>1996</w:t>
      </w:r>
      <w:r w:rsidR="00DA2192" w:rsidRPr="00C117CF">
        <w:rPr>
          <w:rFonts w:ascii="Arial" w:hAnsi="Arial" w:cs="Arial"/>
          <w:sz w:val="20"/>
          <w:szCs w:val="20"/>
        </w:rPr>
        <w:t xml:space="preserve"> </w:t>
      </w:r>
      <w:r w:rsidR="00D91BB2" w:rsidRPr="00C117CF">
        <w:rPr>
          <w:rFonts w:ascii="Arial" w:hAnsi="Arial" w:cs="Arial"/>
          <w:sz w:val="20"/>
          <w:szCs w:val="20"/>
        </w:rPr>
        <w:t>Instrument</w:t>
      </w:r>
      <w:r w:rsidRPr="00C117CF">
        <w:rPr>
          <w:rFonts w:ascii="Arial" w:hAnsi="Arial" w:cs="Arial"/>
          <w:sz w:val="20"/>
          <w:szCs w:val="20"/>
        </w:rPr>
        <w:t>.</w:t>
      </w:r>
    </w:p>
    <w:p w14:paraId="51E98722" w14:textId="7BAB217F" w:rsidR="00D91BB2" w:rsidRPr="00C117CF" w:rsidRDefault="00D91BB2" w:rsidP="00C117CF">
      <w:pPr>
        <w:rPr>
          <w:rFonts w:ascii="Arial" w:hAnsi="Arial" w:cs="Arial"/>
          <w:sz w:val="20"/>
          <w:szCs w:val="20"/>
        </w:rPr>
      </w:pPr>
      <w:r w:rsidRPr="00C117CF">
        <w:rPr>
          <w:rFonts w:ascii="Arial" w:hAnsi="Arial" w:cs="Arial"/>
          <w:sz w:val="20"/>
          <w:szCs w:val="20"/>
        </w:rPr>
        <w:t xml:space="preserve">The ACMA has made the </w:t>
      </w:r>
      <w:r w:rsidR="00DA2192">
        <w:rPr>
          <w:rFonts w:ascii="Arial" w:hAnsi="Arial" w:cs="Arial"/>
          <w:sz w:val="20"/>
          <w:szCs w:val="20"/>
        </w:rPr>
        <w:t>Plan</w:t>
      </w:r>
      <w:r w:rsidR="00DA2192" w:rsidRPr="00C117CF">
        <w:rPr>
          <w:rFonts w:ascii="Arial" w:hAnsi="Arial" w:cs="Arial"/>
          <w:sz w:val="20"/>
          <w:szCs w:val="20"/>
        </w:rPr>
        <w:t xml:space="preserve"> </w:t>
      </w:r>
      <w:r w:rsidRPr="00C117CF">
        <w:rPr>
          <w:rFonts w:ascii="Arial" w:hAnsi="Arial" w:cs="Arial"/>
          <w:sz w:val="20"/>
          <w:szCs w:val="20"/>
        </w:rPr>
        <w:t xml:space="preserve">because the </w:t>
      </w:r>
      <w:r w:rsidR="00DA2192">
        <w:rPr>
          <w:rFonts w:ascii="Arial" w:hAnsi="Arial" w:cs="Arial"/>
          <w:sz w:val="20"/>
          <w:szCs w:val="20"/>
        </w:rPr>
        <w:t>1996</w:t>
      </w:r>
      <w:r w:rsidR="00DA2192" w:rsidRPr="00C117CF">
        <w:rPr>
          <w:rFonts w:ascii="Arial" w:hAnsi="Arial" w:cs="Arial"/>
          <w:sz w:val="20"/>
          <w:szCs w:val="20"/>
        </w:rPr>
        <w:t xml:space="preserve"> </w:t>
      </w:r>
      <w:r w:rsidRPr="00C117CF">
        <w:rPr>
          <w:rFonts w:ascii="Arial" w:hAnsi="Arial" w:cs="Arial"/>
          <w:sz w:val="20"/>
          <w:szCs w:val="20"/>
        </w:rPr>
        <w:t xml:space="preserve">Instrument was due to “sunset” (i.e. be </w:t>
      </w:r>
      <w:r w:rsidR="00C117CF">
        <w:rPr>
          <w:rFonts w:ascii="Arial" w:hAnsi="Arial" w:cs="Arial"/>
          <w:sz w:val="20"/>
          <w:szCs w:val="20"/>
        </w:rPr>
        <w:t xml:space="preserve">automatically </w:t>
      </w:r>
      <w:r w:rsidRPr="00C117CF">
        <w:rPr>
          <w:rFonts w:ascii="Arial" w:hAnsi="Arial" w:cs="Arial"/>
          <w:sz w:val="20"/>
          <w:szCs w:val="20"/>
        </w:rPr>
        <w:t xml:space="preserve">repealed) on 1 </w:t>
      </w:r>
      <w:r w:rsidR="00813BC5">
        <w:rPr>
          <w:rFonts w:ascii="Arial" w:hAnsi="Arial" w:cs="Arial"/>
          <w:sz w:val="20"/>
          <w:szCs w:val="20"/>
        </w:rPr>
        <w:t>October</w:t>
      </w:r>
      <w:r w:rsidR="00813BC5" w:rsidRPr="00C117CF">
        <w:rPr>
          <w:rFonts w:ascii="Arial" w:hAnsi="Arial" w:cs="Arial"/>
          <w:sz w:val="20"/>
          <w:szCs w:val="20"/>
        </w:rPr>
        <w:t xml:space="preserve"> </w:t>
      </w:r>
      <w:r w:rsidRPr="00C117CF">
        <w:rPr>
          <w:rFonts w:ascii="Arial" w:hAnsi="Arial" w:cs="Arial"/>
          <w:sz w:val="20"/>
          <w:szCs w:val="20"/>
        </w:rPr>
        <w:t xml:space="preserve">2015, in accordance with Part 6 of the </w:t>
      </w:r>
      <w:r w:rsidRPr="00C117CF">
        <w:rPr>
          <w:rFonts w:ascii="Arial" w:hAnsi="Arial" w:cs="Arial"/>
          <w:i/>
          <w:sz w:val="20"/>
          <w:szCs w:val="20"/>
        </w:rPr>
        <w:t>Legislative Instruments Act 2003</w:t>
      </w:r>
      <w:r w:rsidRPr="00C117CF">
        <w:rPr>
          <w:rFonts w:ascii="Arial" w:hAnsi="Arial" w:cs="Arial"/>
          <w:sz w:val="20"/>
          <w:szCs w:val="20"/>
        </w:rPr>
        <w:t xml:space="preserve"> (the </w:t>
      </w:r>
      <w:r w:rsidRPr="00C117CF">
        <w:rPr>
          <w:rFonts w:ascii="Arial" w:hAnsi="Arial" w:cs="Arial"/>
          <w:b/>
          <w:sz w:val="20"/>
          <w:szCs w:val="20"/>
        </w:rPr>
        <w:t>LIA</w:t>
      </w:r>
      <w:r w:rsidRPr="00C117CF">
        <w:rPr>
          <w:rFonts w:ascii="Arial" w:hAnsi="Arial" w:cs="Arial"/>
          <w:sz w:val="20"/>
          <w:szCs w:val="20"/>
        </w:rPr>
        <w:t>).</w:t>
      </w:r>
      <w:r w:rsidRPr="00631595">
        <w:rPr>
          <w:rFonts w:ascii="Arial" w:hAnsi="Arial" w:cs="Arial"/>
          <w:sz w:val="20"/>
          <w:szCs w:val="20"/>
        </w:rPr>
        <w:t xml:space="preserve"> </w:t>
      </w:r>
      <w:r w:rsidRPr="00DA2192">
        <w:rPr>
          <w:rFonts w:ascii="Arial" w:hAnsi="Arial" w:cs="Arial"/>
          <w:sz w:val="20"/>
          <w:szCs w:val="20"/>
        </w:rPr>
        <w:t>Fo</w:t>
      </w:r>
      <w:r w:rsidRPr="00C117CF">
        <w:rPr>
          <w:rFonts w:ascii="Arial" w:hAnsi="Arial" w:cs="Arial"/>
          <w:sz w:val="20"/>
          <w:szCs w:val="20"/>
        </w:rPr>
        <w:t xml:space="preserve">llowing review, and consultation as described below, the ACMA formed the view that the </w:t>
      </w:r>
      <w:r w:rsidR="00DA2192">
        <w:rPr>
          <w:rFonts w:ascii="Arial" w:hAnsi="Arial" w:cs="Arial"/>
          <w:sz w:val="20"/>
          <w:szCs w:val="20"/>
        </w:rPr>
        <w:t>1996</w:t>
      </w:r>
      <w:r w:rsidR="00DA2192" w:rsidRPr="00C117CF">
        <w:rPr>
          <w:rFonts w:ascii="Arial" w:hAnsi="Arial" w:cs="Arial"/>
          <w:sz w:val="20"/>
          <w:szCs w:val="20"/>
        </w:rPr>
        <w:t xml:space="preserve"> </w:t>
      </w:r>
      <w:r w:rsidRPr="00C117CF">
        <w:rPr>
          <w:rFonts w:ascii="Arial" w:hAnsi="Arial" w:cs="Arial"/>
          <w:sz w:val="20"/>
          <w:szCs w:val="20"/>
        </w:rPr>
        <w:t>Instrument was operating effectively and efficiently</w:t>
      </w:r>
      <w:r w:rsidR="00C117CF">
        <w:rPr>
          <w:rFonts w:ascii="Arial" w:hAnsi="Arial" w:cs="Arial"/>
          <w:sz w:val="20"/>
          <w:szCs w:val="20"/>
        </w:rPr>
        <w:t>,</w:t>
      </w:r>
      <w:r w:rsidRPr="00C117CF">
        <w:rPr>
          <w:rFonts w:ascii="Arial" w:hAnsi="Arial" w:cs="Arial"/>
          <w:sz w:val="20"/>
          <w:szCs w:val="20"/>
        </w:rPr>
        <w:t xml:space="preserve"> and continued to form a necessary and useful part of the legislative framework. Accordingly, the ACMA has remade the </w:t>
      </w:r>
      <w:r w:rsidR="00DA2192">
        <w:rPr>
          <w:rFonts w:ascii="Arial" w:hAnsi="Arial" w:cs="Arial"/>
          <w:sz w:val="20"/>
          <w:szCs w:val="20"/>
        </w:rPr>
        <w:t>1996</w:t>
      </w:r>
      <w:r w:rsidR="00DA2192" w:rsidRPr="00C117CF">
        <w:rPr>
          <w:rFonts w:ascii="Arial" w:hAnsi="Arial" w:cs="Arial"/>
          <w:sz w:val="20"/>
          <w:szCs w:val="20"/>
        </w:rPr>
        <w:t xml:space="preserve"> </w:t>
      </w:r>
      <w:r w:rsidRPr="00C117CF">
        <w:rPr>
          <w:rFonts w:ascii="Arial" w:hAnsi="Arial" w:cs="Arial"/>
          <w:sz w:val="20"/>
          <w:szCs w:val="20"/>
        </w:rPr>
        <w:t xml:space="preserve">Instrument by making the </w:t>
      </w:r>
      <w:r w:rsidR="00DA2192">
        <w:rPr>
          <w:rFonts w:ascii="Arial" w:hAnsi="Arial" w:cs="Arial"/>
          <w:sz w:val="20"/>
          <w:szCs w:val="20"/>
        </w:rPr>
        <w:t>Plan</w:t>
      </w:r>
      <w:r w:rsidRPr="00C117CF">
        <w:rPr>
          <w:rFonts w:ascii="Arial" w:hAnsi="Arial" w:cs="Arial"/>
          <w:sz w:val="20"/>
          <w:szCs w:val="20"/>
        </w:rPr>
        <w:t>, without any significant changes, so that its on-going effect is preserved.</w:t>
      </w:r>
    </w:p>
    <w:p w14:paraId="06F203B7" w14:textId="77777777" w:rsidR="009F154B" w:rsidRPr="000E7C20" w:rsidRDefault="009F154B" w:rsidP="00ED2635">
      <w:pPr>
        <w:pStyle w:val="BodyText"/>
        <w:spacing w:before="120" w:line="260" w:lineRule="atLeast"/>
        <w:rPr>
          <w:rFonts w:ascii="Arial" w:hAnsi="Arial" w:cs="Arial"/>
          <w:b/>
          <w:sz w:val="20"/>
        </w:rPr>
      </w:pPr>
      <w:r w:rsidRPr="000E7C20">
        <w:rPr>
          <w:rFonts w:ascii="Arial" w:hAnsi="Arial" w:cs="Arial"/>
          <w:b/>
          <w:sz w:val="20"/>
        </w:rPr>
        <w:t>Legislative Provisions</w:t>
      </w:r>
    </w:p>
    <w:p w14:paraId="0D85273A" w14:textId="4CEC8E15" w:rsidR="002C2BC9" w:rsidRPr="002C2BC9" w:rsidRDefault="002C2BC9" w:rsidP="002C2BC9">
      <w:pPr>
        <w:spacing w:line="260" w:lineRule="atLeast"/>
        <w:rPr>
          <w:rStyle w:val="CharSectno"/>
          <w:rFonts w:ascii="Arial" w:eastAsia="Times New Roman" w:hAnsi="Arial" w:cs="Arial"/>
          <w:sz w:val="20"/>
          <w:szCs w:val="20"/>
        </w:rPr>
      </w:pPr>
      <w:r w:rsidRPr="002C2BC9">
        <w:rPr>
          <w:rStyle w:val="CharSectno"/>
          <w:rFonts w:ascii="Arial" w:eastAsia="Times New Roman" w:hAnsi="Arial" w:cs="Arial"/>
          <w:sz w:val="20"/>
          <w:szCs w:val="20"/>
        </w:rPr>
        <w:t xml:space="preserve">The </w:t>
      </w:r>
      <w:r w:rsidR="00DE6FCE">
        <w:rPr>
          <w:rStyle w:val="CharSectno"/>
          <w:rFonts w:ascii="Arial" w:eastAsia="Times New Roman" w:hAnsi="Arial" w:cs="Arial"/>
          <w:sz w:val="20"/>
          <w:szCs w:val="20"/>
        </w:rPr>
        <w:t>Plan</w:t>
      </w:r>
      <w:r w:rsidR="00DE6FCE" w:rsidRPr="002C2BC9">
        <w:rPr>
          <w:rStyle w:val="CharSectno"/>
          <w:rFonts w:ascii="Arial" w:eastAsia="Times New Roman" w:hAnsi="Arial" w:cs="Arial"/>
          <w:sz w:val="20"/>
          <w:szCs w:val="20"/>
        </w:rPr>
        <w:t xml:space="preserve"> </w:t>
      </w:r>
      <w:r w:rsidRPr="002C2BC9">
        <w:rPr>
          <w:rStyle w:val="CharSectno"/>
          <w:rFonts w:ascii="Arial" w:eastAsia="Times New Roman" w:hAnsi="Arial" w:cs="Arial"/>
          <w:sz w:val="20"/>
          <w:szCs w:val="20"/>
        </w:rPr>
        <w:t xml:space="preserve">has been made by the </w:t>
      </w:r>
      <w:r w:rsidR="00130887">
        <w:rPr>
          <w:rStyle w:val="CharSectno"/>
          <w:rFonts w:ascii="Arial" w:eastAsia="Times New Roman" w:hAnsi="Arial" w:cs="Arial"/>
          <w:sz w:val="20"/>
          <w:szCs w:val="20"/>
        </w:rPr>
        <w:t>ACMA</w:t>
      </w:r>
      <w:r w:rsidRPr="002C2BC9">
        <w:rPr>
          <w:rStyle w:val="CharSectno"/>
          <w:rFonts w:ascii="Arial" w:eastAsia="Times New Roman" w:hAnsi="Arial" w:cs="Arial"/>
          <w:sz w:val="20"/>
          <w:szCs w:val="20"/>
        </w:rPr>
        <w:t xml:space="preserve"> in accordance with subsection </w:t>
      </w:r>
      <w:r w:rsidR="00631595">
        <w:rPr>
          <w:rStyle w:val="CharSectno"/>
          <w:rFonts w:ascii="Arial" w:eastAsia="Times New Roman" w:hAnsi="Arial" w:cs="Arial"/>
          <w:sz w:val="20"/>
          <w:szCs w:val="20"/>
        </w:rPr>
        <w:t>32</w:t>
      </w:r>
      <w:r w:rsidRPr="002C2BC9">
        <w:rPr>
          <w:rStyle w:val="CharSectno"/>
          <w:rFonts w:ascii="Arial" w:eastAsia="Times New Roman" w:hAnsi="Arial" w:cs="Arial"/>
          <w:sz w:val="20"/>
          <w:szCs w:val="20"/>
        </w:rPr>
        <w:t>(</w:t>
      </w:r>
      <w:r w:rsidR="00631595">
        <w:rPr>
          <w:rStyle w:val="CharSectno"/>
          <w:rFonts w:ascii="Arial" w:eastAsia="Times New Roman" w:hAnsi="Arial" w:cs="Arial"/>
          <w:sz w:val="20"/>
          <w:szCs w:val="20"/>
        </w:rPr>
        <w:t>1</w:t>
      </w:r>
      <w:r w:rsidRPr="002C2BC9">
        <w:rPr>
          <w:rStyle w:val="CharSectno"/>
          <w:rFonts w:ascii="Arial" w:eastAsia="Times New Roman" w:hAnsi="Arial" w:cs="Arial"/>
          <w:sz w:val="20"/>
          <w:szCs w:val="20"/>
        </w:rPr>
        <w:t xml:space="preserve">) of the </w:t>
      </w:r>
      <w:proofErr w:type="spellStart"/>
      <w:r w:rsidRPr="00ED2635">
        <w:rPr>
          <w:rStyle w:val="CharSectno"/>
          <w:rFonts w:ascii="Arial" w:eastAsia="Times New Roman" w:hAnsi="Arial" w:cs="Arial"/>
          <w:i/>
          <w:sz w:val="20"/>
          <w:szCs w:val="20"/>
        </w:rPr>
        <w:t>Radiocommunications</w:t>
      </w:r>
      <w:proofErr w:type="spellEnd"/>
      <w:r w:rsidRPr="00ED2635">
        <w:rPr>
          <w:rStyle w:val="CharSectno"/>
          <w:rFonts w:ascii="Arial" w:eastAsia="Times New Roman" w:hAnsi="Arial" w:cs="Arial"/>
          <w:i/>
          <w:sz w:val="20"/>
          <w:szCs w:val="20"/>
        </w:rPr>
        <w:t xml:space="preserve"> </w:t>
      </w:r>
      <w:r w:rsidR="00256906" w:rsidRPr="00ED2635">
        <w:rPr>
          <w:rStyle w:val="CharSectno"/>
          <w:rFonts w:ascii="Arial" w:eastAsia="Times New Roman" w:hAnsi="Arial" w:cs="Arial"/>
          <w:i/>
          <w:sz w:val="20"/>
          <w:szCs w:val="20"/>
        </w:rPr>
        <w:t>Act </w:t>
      </w:r>
      <w:r w:rsidRPr="00ED2635">
        <w:rPr>
          <w:rStyle w:val="CharSectno"/>
          <w:rFonts w:ascii="Arial" w:eastAsia="Times New Roman" w:hAnsi="Arial" w:cs="Arial"/>
          <w:i/>
          <w:sz w:val="20"/>
          <w:szCs w:val="20"/>
        </w:rPr>
        <w:t>1992</w:t>
      </w:r>
      <w:r w:rsidRPr="002C2BC9">
        <w:rPr>
          <w:rStyle w:val="CharSectno"/>
          <w:rFonts w:ascii="Arial" w:eastAsia="Times New Roman" w:hAnsi="Arial" w:cs="Arial"/>
          <w:sz w:val="20"/>
          <w:szCs w:val="20"/>
        </w:rPr>
        <w:t xml:space="preserve"> (the </w:t>
      </w:r>
      <w:r w:rsidRPr="00ED2635">
        <w:rPr>
          <w:rStyle w:val="CharSectno"/>
          <w:rFonts w:ascii="Arial" w:eastAsia="Times New Roman" w:hAnsi="Arial" w:cs="Arial"/>
          <w:b/>
          <w:sz w:val="20"/>
          <w:szCs w:val="20"/>
        </w:rPr>
        <w:t>Act</w:t>
      </w:r>
      <w:r w:rsidRPr="002C2BC9">
        <w:rPr>
          <w:rStyle w:val="CharSectno"/>
          <w:rFonts w:ascii="Arial" w:eastAsia="Times New Roman" w:hAnsi="Arial" w:cs="Arial"/>
          <w:sz w:val="20"/>
          <w:szCs w:val="20"/>
        </w:rPr>
        <w:t xml:space="preserve">) and in accordance with subsection 33(3) of the </w:t>
      </w:r>
      <w:r w:rsidRPr="00ED2635">
        <w:rPr>
          <w:rStyle w:val="CharSectno"/>
          <w:rFonts w:ascii="Arial" w:eastAsia="Times New Roman" w:hAnsi="Arial" w:cs="Arial"/>
          <w:i/>
          <w:sz w:val="20"/>
          <w:szCs w:val="20"/>
        </w:rPr>
        <w:t>Acts Interpretation Act</w:t>
      </w:r>
      <w:r w:rsidR="00256906" w:rsidRPr="00ED2635">
        <w:rPr>
          <w:rStyle w:val="CommentReference"/>
          <w:i/>
        </w:rPr>
        <w:t> </w:t>
      </w:r>
      <w:r w:rsidRPr="00ED2635">
        <w:rPr>
          <w:rStyle w:val="CharSectno"/>
          <w:rFonts w:ascii="Arial" w:eastAsia="Times New Roman" w:hAnsi="Arial" w:cs="Arial"/>
          <w:i/>
          <w:sz w:val="20"/>
          <w:szCs w:val="20"/>
        </w:rPr>
        <w:t>1901</w:t>
      </w:r>
      <w:r w:rsidRPr="002C2BC9">
        <w:rPr>
          <w:rStyle w:val="CharSectno"/>
          <w:rFonts w:ascii="Arial" w:eastAsia="Times New Roman" w:hAnsi="Arial" w:cs="Arial"/>
          <w:sz w:val="20"/>
          <w:szCs w:val="20"/>
        </w:rPr>
        <w:t xml:space="preserve"> (the </w:t>
      </w:r>
      <w:r w:rsidRPr="00ED2635">
        <w:rPr>
          <w:rStyle w:val="CharSectno"/>
          <w:rFonts w:ascii="Arial" w:eastAsia="Times New Roman" w:hAnsi="Arial" w:cs="Arial"/>
          <w:b/>
          <w:sz w:val="20"/>
          <w:szCs w:val="20"/>
        </w:rPr>
        <w:t>AIA</w:t>
      </w:r>
      <w:r w:rsidRPr="002C2BC9">
        <w:rPr>
          <w:rStyle w:val="CharSectno"/>
          <w:rFonts w:ascii="Arial" w:eastAsia="Times New Roman" w:hAnsi="Arial" w:cs="Arial"/>
          <w:sz w:val="20"/>
          <w:szCs w:val="20"/>
        </w:rPr>
        <w:t>).</w:t>
      </w:r>
    </w:p>
    <w:p w14:paraId="483E81D6" w14:textId="721B1316" w:rsidR="002C2BC9" w:rsidRPr="002C2BC9" w:rsidRDefault="002C2BC9" w:rsidP="002C2BC9">
      <w:pPr>
        <w:spacing w:line="260" w:lineRule="atLeast"/>
        <w:rPr>
          <w:rStyle w:val="CharSectno"/>
          <w:rFonts w:ascii="Arial" w:eastAsia="Times New Roman" w:hAnsi="Arial" w:cs="Arial"/>
          <w:sz w:val="20"/>
          <w:szCs w:val="20"/>
        </w:rPr>
      </w:pPr>
      <w:r w:rsidRPr="002C2BC9">
        <w:rPr>
          <w:rStyle w:val="CharSectno"/>
          <w:rFonts w:ascii="Arial" w:eastAsia="Times New Roman" w:hAnsi="Arial" w:cs="Arial"/>
          <w:sz w:val="20"/>
          <w:szCs w:val="20"/>
        </w:rPr>
        <w:t xml:space="preserve">Subsection </w:t>
      </w:r>
      <w:r w:rsidR="00451C93">
        <w:rPr>
          <w:rStyle w:val="CharSectno"/>
          <w:rFonts w:ascii="Arial" w:eastAsia="Times New Roman" w:hAnsi="Arial" w:cs="Arial"/>
          <w:sz w:val="20"/>
          <w:szCs w:val="20"/>
        </w:rPr>
        <w:t>32</w:t>
      </w:r>
      <w:r w:rsidRPr="002C2BC9">
        <w:rPr>
          <w:rStyle w:val="CharSectno"/>
          <w:rFonts w:ascii="Arial" w:eastAsia="Times New Roman" w:hAnsi="Arial" w:cs="Arial"/>
          <w:sz w:val="20"/>
          <w:szCs w:val="20"/>
        </w:rPr>
        <w:t>(</w:t>
      </w:r>
      <w:r w:rsidR="00451C93">
        <w:rPr>
          <w:rStyle w:val="CharSectno"/>
          <w:rFonts w:ascii="Arial" w:eastAsia="Times New Roman" w:hAnsi="Arial" w:cs="Arial"/>
          <w:sz w:val="20"/>
          <w:szCs w:val="20"/>
        </w:rPr>
        <w:t>1</w:t>
      </w:r>
      <w:r w:rsidRPr="002C2BC9">
        <w:rPr>
          <w:rStyle w:val="CharSectno"/>
          <w:rFonts w:ascii="Arial" w:eastAsia="Times New Roman" w:hAnsi="Arial" w:cs="Arial"/>
          <w:sz w:val="20"/>
          <w:szCs w:val="20"/>
        </w:rPr>
        <w:t xml:space="preserve">) of the Act </w:t>
      </w:r>
      <w:r w:rsidR="00451C93">
        <w:rPr>
          <w:rStyle w:val="CharSectno"/>
          <w:rFonts w:ascii="Arial" w:eastAsia="Times New Roman" w:hAnsi="Arial" w:cs="Arial"/>
          <w:sz w:val="20"/>
          <w:szCs w:val="20"/>
        </w:rPr>
        <w:t>allows</w:t>
      </w:r>
      <w:r w:rsidRPr="002C2BC9">
        <w:rPr>
          <w:rStyle w:val="CharSectno"/>
          <w:rFonts w:ascii="Arial" w:eastAsia="Times New Roman" w:hAnsi="Arial" w:cs="Arial"/>
          <w:sz w:val="20"/>
          <w:szCs w:val="20"/>
        </w:rPr>
        <w:t xml:space="preserve"> the ACMA </w:t>
      </w:r>
      <w:r w:rsidR="00451C93">
        <w:rPr>
          <w:rStyle w:val="CharSectno"/>
          <w:rFonts w:ascii="Arial" w:eastAsia="Times New Roman" w:hAnsi="Arial" w:cs="Arial"/>
          <w:sz w:val="20"/>
          <w:szCs w:val="20"/>
        </w:rPr>
        <w:t>to prepare frequency band plans, each relating to one or more frequency bands.</w:t>
      </w:r>
      <w:r w:rsidR="00276417">
        <w:rPr>
          <w:rStyle w:val="CharSectno"/>
          <w:rFonts w:ascii="Arial" w:eastAsia="Times New Roman" w:hAnsi="Arial" w:cs="Arial"/>
          <w:sz w:val="20"/>
          <w:szCs w:val="20"/>
        </w:rPr>
        <w:t xml:space="preserve">  A frequency band plan is a legislative instrument (section 35 of the Act).</w:t>
      </w:r>
    </w:p>
    <w:p w14:paraId="2107B733" w14:textId="74B98361" w:rsidR="00E14CCB" w:rsidRPr="00EF7DF4" w:rsidRDefault="000B7524" w:rsidP="002C2BC9">
      <w:pPr>
        <w:spacing w:line="260" w:lineRule="atLeast"/>
        <w:rPr>
          <w:rFonts w:ascii="Arial" w:hAnsi="Arial" w:cs="Arial"/>
          <w:color w:val="000000"/>
          <w:sz w:val="20"/>
          <w:szCs w:val="20"/>
          <w:shd w:val="clear" w:color="auto" w:fill="FFFFFF"/>
        </w:rPr>
      </w:pPr>
      <w:r>
        <w:rPr>
          <w:rStyle w:val="CharSectno"/>
          <w:rFonts w:ascii="Arial" w:eastAsia="Times New Roman" w:hAnsi="Arial" w:cs="Arial"/>
          <w:sz w:val="20"/>
          <w:szCs w:val="20"/>
        </w:rPr>
        <w:t>Under s</w:t>
      </w:r>
      <w:r w:rsidR="002C2BC9" w:rsidRPr="002C2BC9">
        <w:rPr>
          <w:rStyle w:val="CharSectno"/>
          <w:rFonts w:ascii="Arial" w:eastAsia="Times New Roman" w:hAnsi="Arial" w:cs="Arial"/>
          <w:sz w:val="20"/>
          <w:szCs w:val="20"/>
        </w:rPr>
        <w:t>ubsection 33(3) of the AIA</w:t>
      </w:r>
      <w:r>
        <w:rPr>
          <w:rStyle w:val="CharSectno"/>
          <w:rFonts w:ascii="Arial" w:eastAsia="Times New Roman" w:hAnsi="Arial" w:cs="Arial"/>
          <w:sz w:val="20"/>
          <w:szCs w:val="20"/>
        </w:rPr>
        <w:t>,</w:t>
      </w:r>
      <w:r w:rsidR="002C2BC9" w:rsidRPr="002C2BC9">
        <w:rPr>
          <w:rStyle w:val="CharSectno"/>
          <w:rFonts w:ascii="Arial" w:eastAsia="Times New Roman" w:hAnsi="Arial" w:cs="Arial"/>
          <w:sz w:val="20"/>
          <w:szCs w:val="20"/>
        </w:rPr>
        <w:t xml:space="preserve"> where an Act confers a power to make</w:t>
      </w:r>
      <w:r>
        <w:rPr>
          <w:rStyle w:val="CharSectno"/>
          <w:rFonts w:ascii="Arial" w:eastAsia="Times New Roman" w:hAnsi="Arial" w:cs="Arial"/>
          <w:sz w:val="20"/>
          <w:szCs w:val="20"/>
        </w:rPr>
        <w:t>, grant or issue any instrument of</w:t>
      </w:r>
      <w:r w:rsidR="002C2BC9" w:rsidRPr="002C2BC9">
        <w:rPr>
          <w:rStyle w:val="CharSectno"/>
          <w:rFonts w:ascii="Arial" w:eastAsia="Times New Roman" w:hAnsi="Arial" w:cs="Arial"/>
          <w:sz w:val="20"/>
          <w:szCs w:val="20"/>
        </w:rPr>
        <w:t xml:space="preserve"> a legislative </w:t>
      </w:r>
      <w:r>
        <w:rPr>
          <w:rStyle w:val="CharSectno"/>
          <w:rFonts w:ascii="Arial" w:eastAsia="Times New Roman" w:hAnsi="Arial" w:cs="Arial"/>
          <w:sz w:val="20"/>
          <w:szCs w:val="20"/>
        </w:rPr>
        <w:t>character</w:t>
      </w:r>
      <w:r w:rsidR="002C2BC9" w:rsidRPr="002C2BC9">
        <w:rPr>
          <w:rStyle w:val="CharSectno"/>
          <w:rFonts w:ascii="Arial" w:eastAsia="Times New Roman" w:hAnsi="Arial" w:cs="Arial"/>
          <w:sz w:val="20"/>
          <w:szCs w:val="20"/>
        </w:rPr>
        <w:t>, the power shall be construed as including a power exercisable in the like manner and subject to the like conditions (if any) to repeal, rescind, revoke, amend, or vary any such instrument.</w:t>
      </w:r>
      <w:r>
        <w:rPr>
          <w:rStyle w:val="CharSectno"/>
          <w:rFonts w:ascii="Arial" w:eastAsia="Times New Roman" w:hAnsi="Arial" w:cs="Arial"/>
          <w:sz w:val="20"/>
          <w:szCs w:val="20"/>
        </w:rPr>
        <w:t xml:space="preserve">  The Plan revokes the 1996 Instrument.</w:t>
      </w:r>
    </w:p>
    <w:p w14:paraId="400BEBCE" w14:textId="77777777" w:rsidR="00445CBC" w:rsidRPr="00C117CF" w:rsidRDefault="002853C4" w:rsidP="00ED2635">
      <w:pPr>
        <w:pStyle w:val="BodyText"/>
        <w:spacing w:before="120" w:line="260" w:lineRule="atLeast"/>
        <w:rPr>
          <w:rFonts w:ascii="Arial" w:hAnsi="Arial" w:cs="Arial"/>
          <w:b/>
          <w:sz w:val="20"/>
        </w:rPr>
      </w:pPr>
      <w:r w:rsidRPr="00C117CF">
        <w:rPr>
          <w:rFonts w:ascii="Arial" w:hAnsi="Arial" w:cs="Arial"/>
          <w:b/>
          <w:sz w:val="20"/>
        </w:rPr>
        <w:t>Background</w:t>
      </w:r>
    </w:p>
    <w:p w14:paraId="4E81EBA0" w14:textId="75CE4729" w:rsidR="000B7524" w:rsidRDefault="00A87A9D" w:rsidP="000B7524">
      <w:pPr>
        <w:pStyle w:val="BodyText"/>
        <w:spacing w:before="120" w:line="260" w:lineRule="atLeast"/>
        <w:rPr>
          <w:rFonts w:ascii="Arial" w:hAnsi="Arial" w:cs="Arial"/>
          <w:sz w:val="20"/>
          <w:lang w:eastAsia="en-US"/>
        </w:rPr>
      </w:pPr>
      <w:r>
        <w:rPr>
          <w:rFonts w:ascii="Arial" w:hAnsi="Arial" w:cs="Arial"/>
          <w:sz w:val="20"/>
          <w:lang w:eastAsia="en-US"/>
        </w:rPr>
        <w:t>On 2 December 1996</w:t>
      </w:r>
      <w:r w:rsidR="00E3516F">
        <w:rPr>
          <w:rFonts w:ascii="Arial" w:hAnsi="Arial" w:cs="Arial"/>
          <w:sz w:val="20"/>
          <w:lang w:eastAsia="en-US"/>
        </w:rPr>
        <w:t>, the then Spectrum Manager, acting for the Spectrum Management Agency</w:t>
      </w:r>
      <w:r w:rsidR="00276417">
        <w:rPr>
          <w:rFonts w:ascii="Arial" w:hAnsi="Arial" w:cs="Arial"/>
          <w:sz w:val="20"/>
          <w:lang w:eastAsia="en-US"/>
        </w:rPr>
        <w:t>,</w:t>
      </w:r>
      <w:r w:rsidR="00E3516F">
        <w:rPr>
          <w:rFonts w:ascii="Arial" w:hAnsi="Arial" w:cs="Arial"/>
          <w:sz w:val="20"/>
          <w:lang w:eastAsia="en-US"/>
        </w:rPr>
        <w:t xml:space="preserve"> made </w:t>
      </w:r>
      <w:r w:rsidR="00E3516F" w:rsidRPr="00DE14ED">
        <w:rPr>
          <w:rFonts w:ascii="Arial" w:hAnsi="Arial" w:cs="Arial"/>
          <w:sz w:val="20"/>
          <w:lang w:eastAsia="en-US"/>
        </w:rPr>
        <w:t xml:space="preserve">the </w:t>
      </w:r>
      <w:r w:rsidR="00256906" w:rsidRPr="00ED2635">
        <w:rPr>
          <w:rFonts w:ascii="Arial" w:hAnsi="Arial" w:cs="Arial"/>
          <w:sz w:val="20"/>
          <w:lang w:eastAsia="en-US"/>
        </w:rPr>
        <w:t>1996 Instrument</w:t>
      </w:r>
      <w:r w:rsidR="00D35CCF">
        <w:rPr>
          <w:rFonts w:ascii="Arial" w:hAnsi="Arial" w:cs="Arial"/>
          <w:sz w:val="20"/>
          <w:lang w:eastAsia="en-US"/>
        </w:rPr>
        <w:t xml:space="preserve"> under subsection 32(1) of the </w:t>
      </w:r>
      <w:r w:rsidR="00256906">
        <w:rPr>
          <w:rFonts w:ascii="Arial" w:hAnsi="Arial" w:cs="Arial"/>
          <w:sz w:val="20"/>
          <w:lang w:eastAsia="en-US"/>
        </w:rPr>
        <w:t>Act</w:t>
      </w:r>
      <w:r w:rsidR="008D5FEF">
        <w:rPr>
          <w:rFonts w:ascii="Arial" w:hAnsi="Arial" w:cs="Arial"/>
          <w:sz w:val="20"/>
          <w:lang w:eastAsia="en-US"/>
        </w:rPr>
        <w:t>.</w:t>
      </w:r>
      <w:r w:rsidR="00454D0F">
        <w:rPr>
          <w:rFonts w:ascii="Arial" w:hAnsi="Arial" w:cs="Arial"/>
          <w:sz w:val="20"/>
          <w:lang w:eastAsia="en-US"/>
        </w:rPr>
        <w:t xml:space="preserve"> </w:t>
      </w:r>
      <w:r w:rsidR="00454D0F" w:rsidRPr="00DE14ED">
        <w:rPr>
          <w:rFonts w:ascii="Arial" w:hAnsi="Arial" w:cs="Arial"/>
          <w:sz w:val="20"/>
          <w:lang w:eastAsia="en-US"/>
        </w:rPr>
        <w:t xml:space="preserve">The </w:t>
      </w:r>
      <w:r w:rsidR="00256906" w:rsidRPr="00ED2635">
        <w:rPr>
          <w:rFonts w:ascii="Arial" w:hAnsi="Arial" w:cs="Arial"/>
          <w:sz w:val="20"/>
          <w:lang w:eastAsia="en-US"/>
        </w:rPr>
        <w:t>1996 Instrument</w:t>
      </w:r>
      <w:r w:rsidR="00454D0F" w:rsidRPr="00454D0F">
        <w:rPr>
          <w:rFonts w:ascii="Arial" w:hAnsi="Arial" w:cs="Arial"/>
          <w:sz w:val="20"/>
          <w:lang w:eastAsia="en-US"/>
        </w:rPr>
        <w:t xml:space="preserve"> provide</w:t>
      </w:r>
      <w:r w:rsidR="000B7524">
        <w:rPr>
          <w:rFonts w:ascii="Arial" w:hAnsi="Arial" w:cs="Arial"/>
          <w:sz w:val="20"/>
          <w:lang w:eastAsia="en-US"/>
        </w:rPr>
        <w:t>d</w:t>
      </w:r>
      <w:r w:rsidR="00454D0F" w:rsidRPr="00454D0F">
        <w:rPr>
          <w:rFonts w:ascii="Arial" w:hAnsi="Arial" w:cs="Arial"/>
          <w:sz w:val="20"/>
          <w:lang w:eastAsia="en-US"/>
        </w:rPr>
        <w:t xml:space="preserve"> that a frequency band that is part of the 1.5</w:t>
      </w:r>
      <w:r w:rsidR="00454D0F">
        <w:rPr>
          <w:rFonts w:ascii="Arial" w:hAnsi="Arial" w:cs="Arial"/>
          <w:sz w:val="20"/>
          <w:lang w:eastAsia="en-US"/>
        </w:rPr>
        <w:t> </w:t>
      </w:r>
      <w:r w:rsidR="00454D0F" w:rsidRPr="00454D0F">
        <w:rPr>
          <w:rFonts w:ascii="Arial" w:hAnsi="Arial" w:cs="Arial"/>
          <w:sz w:val="20"/>
          <w:lang w:eastAsia="en-US"/>
        </w:rPr>
        <w:t>GHz band</w:t>
      </w:r>
      <w:r w:rsidR="006F082E">
        <w:rPr>
          <w:rFonts w:ascii="Arial" w:hAnsi="Arial" w:cs="Arial"/>
          <w:sz w:val="20"/>
          <w:lang w:eastAsia="en-US"/>
        </w:rPr>
        <w:t>, stated on page 2,</w:t>
      </w:r>
      <w:r w:rsidR="000B7524">
        <w:rPr>
          <w:rFonts w:ascii="Arial" w:hAnsi="Arial" w:cs="Arial"/>
          <w:sz w:val="20"/>
          <w:lang w:eastAsia="en-US"/>
        </w:rPr>
        <w:t xml:space="preserve"> </w:t>
      </w:r>
      <w:proofErr w:type="gramStart"/>
      <w:r w:rsidR="00454D0F" w:rsidRPr="00454D0F">
        <w:rPr>
          <w:rFonts w:ascii="Arial" w:hAnsi="Arial" w:cs="Arial"/>
          <w:sz w:val="20"/>
          <w:lang w:eastAsia="en-US"/>
        </w:rPr>
        <w:t>may</w:t>
      </w:r>
      <w:proofErr w:type="gramEnd"/>
      <w:r w:rsidR="00454D0F" w:rsidRPr="00454D0F">
        <w:rPr>
          <w:rFonts w:ascii="Arial" w:hAnsi="Arial" w:cs="Arial"/>
          <w:sz w:val="20"/>
          <w:lang w:eastAsia="en-US"/>
        </w:rPr>
        <w:t xml:space="preserve"> be used for the operation of authorised services</w:t>
      </w:r>
      <w:r w:rsidR="004705CF">
        <w:rPr>
          <w:rFonts w:ascii="Arial" w:hAnsi="Arial" w:cs="Arial"/>
          <w:sz w:val="20"/>
          <w:lang w:eastAsia="en-US"/>
        </w:rPr>
        <w:t>, subject to some limitations</w:t>
      </w:r>
      <w:r w:rsidR="00454D0F" w:rsidRPr="00454D0F">
        <w:rPr>
          <w:rFonts w:ascii="Arial" w:hAnsi="Arial" w:cs="Arial"/>
          <w:sz w:val="20"/>
          <w:lang w:eastAsia="en-US"/>
        </w:rPr>
        <w:t>. Authorised services include</w:t>
      </w:r>
      <w:r w:rsidR="000B7524">
        <w:rPr>
          <w:rFonts w:ascii="Arial" w:hAnsi="Arial" w:cs="Arial"/>
          <w:sz w:val="20"/>
          <w:lang w:eastAsia="en-US"/>
        </w:rPr>
        <w:t>d</w:t>
      </w:r>
      <w:r w:rsidR="00454D0F" w:rsidRPr="00454D0F">
        <w:rPr>
          <w:rFonts w:ascii="Arial" w:hAnsi="Arial" w:cs="Arial"/>
          <w:sz w:val="20"/>
          <w:lang w:eastAsia="en-US"/>
        </w:rPr>
        <w:t xml:space="preserve"> those that </w:t>
      </w:r>
      <w:r w:rsidR="000B7524">
        <w:rPr>
          <w:rFonts w:ascii="Arial" w:hAnsi="Arial" w:cs="Arial"/>
          <w:sz w:val="20"/>
          <w:lang w:eastAsia="en-US"/>
        </w:rPr>
        <w:t>we</w:t>
      </w:r>
      <w:r w:rsidR="004705CF">
        <w:rPr>
          <w:rFonts w:ascii="Arial" w:hAnsi="Arial" w:cs="Arial"/>
          <w:sz w:val="20"/>
          <w:lang w:eastAsia="en-US"/>
        </w:rPr>
        <w:t xml:space="preserve">re listed in </w:t>
      </w:r>
      <w:r w:rsidR="004705CF" w:rsidRPr="006B1C0E">
        <w:rPr>
          <w:rFonts w:ascii="Arial" w:hAnsi="Arial" w:cs="Arial"/>
          <w:i/>
          <w:sz w:val="20"/>
          <w:lang w:eastAsia="en-US"/>
        </w:rPr>
        <w:t>Australian Radiofrequency Spectrum Plan</w:t>
      </w:r>
      <w:r w:rsidR="004705CF">
        <w:rPr>
          <w:rFonts w:ascii="Arial" w:hAnsi="Arial" w:cs="Arial"/>
          <w:sz w:val="20"/>
          <w:lang w:eastAsia="en-US"/>
        </w:rPr>
        <w:t xml:space="preserve"> for the relevant part of the 1.5 GH</w:t>
      </w:r>
      <w:r w:rsidR="000B7524">
        <w:rPr>
          <w:rFonts w:ascii="Arial" w:hAnsi="Arial" w:cs="Arial"/>
          <w:sz w:val="20"/>
          <w:lang w:eastAsia="en-US"/>
        </w:rPr>
        <w:t>z</w:t>
      </w:r>
      <w:r w:rsidR="004705CF">
        <w:rPr>
          <w:rFonts w:ascii="Arial" w:hAnsi="Arial" w:cs="Arial"/>
          <w:sz w:val="20"/>
          <w:lang w:eastAsia="en-US"/>
        </w:rPr>
        <w:t xml:space="preserve"> band. The limitations include</w:t>
      </w:r>
      <w:r w:rsidR="000B7524">
        <w:rPr>
          <w:rFonts w:ascii="Arial" w:hAnsi="Arial" w:cs="Arial"/>
          <w:sz w:val="20"/>
          <w:lang w:eastAsia="en-US"/>
        </w:rPr>
        <w:t>d</w:t>
      </w:r>
      <w:r w:rsidR="004705CF">
        <w:rPr>
          <w:rFonts w:ascii="Arial" w:hAnsi="Arial" w:cs="Arial"/>
          <w:sz w:val="20"/>
          <w:lang w:eastAsia="en-US"/>
        </w:rPr>
        <w:t>, for example, not operating a fixed service in certain parts of the band</w:t>
      </w:r>
      <w:r w:rsidR="000B7524">
        <w:rPr>
          <w:rFonts w:ascii="Arial" w:hAnsi="Arial" w:cs="Arial"/>
          <w:sz w:val="20"/>
          <w:lang w:eastAsia="en-US"/>
        </w:rPr>
        <w:t>.  However, that limitation itself was</w:t>
      </w:r>
      <w:r w:rsidR="004705CF">
        <w:rPr>
          <w:rFonts w:ascii="Arial" w:hAnsi="Arial" w:cs="Arial"/>
          <w:sz w:val="20"/>
          <w:lang w:eastAsia="en-US"/>
        </w:rPr>
        <w:t xml:space="preserve"> </w:t>
      </w:r>
      <w:r w:rsidR="000B7524">
        <w:rPr>
          <w:rFonts w:ascii="Arial" w:hAnsi="Arial" w:cs="Arial"/>
          <w:sz w:val="20"/>
          <w:lang w:eastAsia="en-US"/>
        </w:rPr>
        <w:t>subject to some exceptions:</w:t>
      </w:r>
    </w:p>
    <w:p w14:paraId="38691146" w14:textId="3956A15E" w:rsidR="000B7524" w:rsidRDefault="004705CF" w:rsidP="006B1C0E">
      <w:pPr>
        <w:pStyle w:val="BodyText"/>
        <w:numPr>
          <w:ilvl w:val="0"/>
          <w:numId w:val="20"/>
        </w:numPr>
        <w:spacing w:before="120" w:line="260" w:lineRule="atLeast"/>
        <w:rPr>
          <w:rFonts w:ascii="Arial" w:hAnsi="Arial" w:cs="Arial"/>
          <w:sz w:val="20"/>
          <w:lang w:eastAsia="en-US"/>
        </w:rPr>
      </w:pPr>
      <w:r>
        <w:rPr>
          <w:rFonts w:ascii="Arial" w:hAnsi="Arial" w:cs="Arial"/>
          <w:sz w:val="20"/>
          <w:lang w:eastAsia="en-US"/>
        </w:rPr>
        <w:t xml:space="preserve">the person had a </w:t>
      </w:r>
      <w:r w:rsidR="00454D0F" w:rsidRPr="00454D0F">
        <w:rPr>
          <w:rFonts w:ascii="Arial" w:hAnsi="Arial" w:cs="Arial"/>
          <w:sz w:val="20"/>
          <w:lang w:eastAsia="en-US"/>
        </w:rPr>
        <w:t>licen</w:t>
      </w:r>
      <w:r w:rsidR="001A2599">
        <w:rPr>
          <w:rFonts w:ascii="Arial" w:hAnsi="Arial" w:cs="Arial"/>
          <w:sz w:val="20"/>
          <w:lang w:eastAsia="en-US"/>
        </w:rPr>
        <w:t>c</w:t>
      </w:r>
      <w:r w:rsidR="00454D0F" w:rsidRPr="00454D0F">
        <w:rPr>
          <w:rFonts w:ascii="Arial" w:hAnsi="Arial" w:cs="Arial"/>
          <w:sz w:val="20"/>
          <w:lang w:eastAsia="en-US"/>
        </w:rPr>
        <w:t xml:space="preserve">e in force when the </w:t>
      </w:r>
      <w:r w:rsidR="000B7524">
        <w:rPr>
          <w:rFonts w:ascii="Arial" w:hAnsi="Arial" w:cs="Arial"/>
          <w:sz w:val="20"/>
          <w:lang w:eastAsia="en-US"/>
        </w:rPr>
        <w:t>1996 Instrument</w:t>
      </w:r>
      <w:r w:rsidR="00454D0F" w:rsidRPr="00454D0F">
        <w:rPr>
          <w:rFonts w:ascii="Arial" w:hAnsi="Arial" w:cs="Arial"/>
          <w:sz w:val="20"/>
          <w:lang w:eastAsia="en-US"/>
        </w:rPr>
        <w:t xml:space="preserve"> commenced</w:t>
      </w:r>
      <w:r w:rsidR="000B7524">
        <w:rPr>
          <w:rFonts w:ascii="Arial" w:hAnsi="Arial" w:cs="Arial"/>
          <w:sz w:val="20"/>
          <w:lang w:eastAsia="en-US"/>
        </w:rPr>
        <w:t>; or</w:t>
      </w:r>
    </w:p>
    <w:p w14:paraId="48DC5AF7" w14:textId="05D217F0" w:rsidR="000B7524" w:rsidRDefault="000B7524" w:rsidP="006B1C0E">
      <w:pPr>
        <w:pStyle w:val="BodyText"/>
        <w:numPr>
          <w:ilvl w:val="0"/>
          <w:numId w:val="20"/>
        </w:numPr>
        <w:spacing w:before="120" w:line="260" w:lineRule="atLeast"/>
        <w:rPr>
          <w:rFonts w:ascii="Arial" w:hAnsi="Arial" w:cs="Arial"/>
          <w:sz w:val="20"/>
          <w:lang w:eastAsia="en-US"/>
        </w:rPr>
      </w:pPr>
      <w:proofErr w:type="gramStart"/>
      <w:r>
        <w:rPr>
          <w:rFonts w:ascii="Arial" w:hAnsi="Arial" w:cs="Arial"/>
          <w:sz w:val="20"/>
          <w:lang w:eastAsia="en-US"/>
        </w:rPr>
        <w:t>the</w:t>
      </w:r>
      <w:proofErr w:type="gramEnd"/>
      <w:r>
        <w:rPr>
          <w:rFonts w:ascii="Arial" w:hAnsi="Arial" w:cs="Arial"/>
          <w:sz w:val="20"/>
          <w:lang w:eastAsia="en-US"/>
        </w:rPr>
        <w:t xml:space="preserve"> person was operating a </w:t>
      </w:r>
      <w:r w:rsidR="00454D0F" w:rsidRPr="00454D0F">
        <w:rPr>
          <w:rFonts w:ascii="Arial" w:hAnsi="Arial" w:cs="Arial"/>
          <w:sz w:val="20"/>
          <w:lang w:eastAsia="en-US"/>
        </w:rPr>
        <w:t>point</w:t>
      </w:r>
      <w:r w:rsidR="00240F53">
        <w:rPr>
          <w:rFonts w:ascii="Arial" w:hAnsi="Arial" w:cs="Arial"/>
          <w:sz w:val="20"/>
          <w:lang w:eastAsia="en-US"/>
        </w:rPr>
        <w:t xml:space="preserve"> </w:t>
      </w:r>
      <w:r w:rsidR="00454D0F" w:rsidRPr="00454D0F">
        <w:rPr>
          <w:rFonts w:ascii="Arial" w:hAnsi="Arial" w:cs="Arial"/>
          <w:sz w:val="20"/>
          <w:lang w:eastAsia="en-US"/>
        </w:rPr>
        <w:t>to</w:t>
      </w:r>
      <w:r w:rsidR="00240F53">
        <w:rPr>
          <w:rFonts w:ascii="Arial" w:hAnsi="Arial" w:cs="Arial"/>
          <w:sz w:val="20"/>
          <w:lang w:eastAsia="en-US"/>
        </w:rPr>
        <w:t xml:space="preserve"> </w:t>
      </w:r>
      <w:r w:rsidR="00454D0F" w:rsidRPr="00454D0F">
        <w:rPr>
          <w:rFonts w:ascii="Arial" w:hAnsi="Arial" w:cs="Arial"/>
          <w:sz w:val="20"/>
          <w:lang w:eastAsia="en-US"/>
        </w:rPr>
        <w:t xml:space="preserve">multipoint </w:t>
      </w:r>
      <w:r w:rsidR="004705CF">
        <w:rPr>
          <w:rFonts w:ascii="Arial" w:hAnsi="Arial" w:cs="Arial"/>
          <w:sz w:val="20"/>
          <w:lang w:eastAsia="en-US"/>
        </w:rPr>
        <w:t>service</w:t>
      </w:r>
      <w:r>
        <w:rPr>
          <w:rFonts w:ascii="Arial" w:hAnsi="Arial" w:cs="Arial"/>
          <w:sz w:val="20"/>
          <w:lang w:eastAsia="en-US"/>
        </w:rPr>
        <w:t>,</w:t>
      </w:r>
      <w:r w:rsidR="00454D0F" w:rsidRPr="00454D0F">
        <w:rPr>
          <w:rFonts w:ascii="Arial" w:hAnsi="Arial" w:cs="Arial"/>
          <w:sz w:val="20"/>
          <w:lang w:eastAsia="en-US"/>
        </w:rPr>
        <w:t xml:space="preserve"> </w:t>
      </w:r>
      <w:r>
        <w:rPr>
          <w:rFonts w:ascii="Arial" w:hAnsi="Arial" w:cs="Arial"/>
          <w:sz w:val="20"/>
          <w:lang w:eastAsia="en-US"/>
        </w:rPr>
        <w:t xml:space="preserve">on specified frequencies, </w:t>
      </w:r>
      <w:r w:rsidR="00454D0F" w:rsidRPr="00454D0F">
        <w:rPr>
          <w:rFonts w:ascii="Arial" w:hAnsi="Arial" w:cs="Arial"/>
          <w:sz w:val="20"/>
          <w:lang w:eastAsia="en-US"/>
        </w:rPr>
        <w:t xml:space="preserve">used to supply a public telecommunications service in rural and remote areas (that is areas that are outside of significant population centres). </w:t>
      </w:r>
    </w:p>
    <w:p w14:paraId="412E8D64" w14:textId="0B6F3764" w:rsidR="00454D0F" w:rsidRDefault="00454D0F" w:rsidP="000B7524">
      <w:pPr>
        <w:pStyle w:val="BodyText"/>
        <w:spacing w:before="120" w:line="260" w:lineRule="atLeast"/>
        <w:rPr>
          <w:rFonts w:ascii="Arial" w:hAnsi="Arial" w:cs="Arial"/>
          <w:sz w:val="20"/>
          <w:lang w:eastAsia="en-US"/>
        </w:rPr>
      </w:pPr>
      <w:r w:rsidRPr="00454D0F">
        <w:rPr>
          <w:rFonts w:ascii="Arial" w:hAnsi="Arial" w:cs="Arial"/>
          <w:sz w:val="20"/>
          <w:lang w:eastAsia="en-US"/>
        </w:rPr>
        <w:t>Th</w:t>
      </w:r>
      <w:r w:rsidR="000B7524">
        <w:rPr>
          <w:rFonts w:ascii="Arial" w:hAnsi="Arial" w:cs="Arial"/>
          <w:sz w:val="20"/>
          <w:lang w:eastAsia="en-US"/>
        </w:rPr>
        <w:t>e limitations</w:t>
      </w:r>
      <w:r w:rsidRPr="00454D0F">
        <w:rPr>
          <w:rFonts w:ascii="Arial" w:hAnsi="Arial" w:cs="Arial"/>
          <w:sz w:val="20"/>
          <w:lang w:eastAsia="en-US"/>
        </w:rPr>
        <w:t xml:space="preserve"> effectively restrict</w:t>
      </w:r>
      <w:r w:rsidR="000B7524">
        <w:rPr>
          <w:rFonts w:ascii="Arial" w:hAnsi="Arial" w:cs="Arial"/>
          <w:sz w:val="20"/>
          <w:lang w:eastAsia="en-US"/>
        </w:rPr>
        <w:t>ed</w:t>
      </w:r>
      <w:r w:rsidRPr="00454D0F">
        <w:rPr>
          <w:rFonts w:ascii="Arial" w:hAnsi="Arial" w:cs="Arial"/>
          <w:sz w:val="20"/>
          <w:lang w:eastAsia="en-US"/>
        </w:rPr>
        <w:t xml:space="preserve"> access to some parts of the 1.5</w:t>
      </w:r>
      <w:r>
        <w:rPr>
          <w:rFonts w:ascii="Arial" w:hAnsi="Arial" w:cs="Arial"/>
          <w:sz w:val="20"/>
          <w:lang w:eastAsia="en-US"/>
        </w:rPr>
        <w:t> </w:t>
      </w:r>
      <w:r w:rsidRPr="00454D0F">
        <w:rPr>
          <w:rFonts w:ascii="Arial" w:hAnsi="Arial" w:cs="Arial"/>
          <w:sz w:val="20"/>
          <w:lang w:eastAsia="en-US"/>
        </w:rPr>
        <w:t>GHz band, for the purpose of preserving future planning options</w:t>
      </w:r>
      <w:r w:rsidR="000B7524">
        <w:rPr>
          <w:rFonts w:ascii="Arial" w:hAnsi="Arial" w:cs="Arial"/>
          <w:sz w:val="20"/>
          <w:lang w:eastAsia="en-US"/>
        </w:rPr>
        <w:t xml:space="preserve"> in that band</w:t>
      </w:r>
      <w:r w:rsidRPr="00454D0F">
        <w:rPr>
          <w:rFonts w:ascii="Arial" w:hAnsi="Arial" w:cs="Arial"/>
          <w:sz w:val="20"/>
          <w:lang w:eastAsia="en-US"/>
        </w:rPr>
        <w:t>.</w:t>
      </w:r>
    </w:p>
    <w:p w14:paraId="1F298AF7" w14:textId="77777777" w:rsidR="003640D5" w:rsidRPr="00C117CF" w:rsidRDefault="00213EF9" w:rsidP="006F082E">
      <w:pPr>
        <w:pStyle w:val="BodyText"/>
        <w:keepNext/>
        <w:spacing w:before="120" w:line="260" w:lineRule="atLeast"/>
        <w:rPr>
          <w:rFonts w:ascii="Arial" w:eastAsia="Calibri" w:hAnsi="Arial" w:cs="Arial"/>
          <w:b/>
          <w:sz w:val="20"/>
          <w:lang w:eastAsia="en-US"/>
        </w:rPr>
      </w:pPr>
      <w:bookmarkStart w:id="0" w:name="OLE_LINK8"/>
      <w:bookmarkStart w:id="1" w:name="OLE_LINK9"/>
      <w:r w:rsidRPr="00C117CF">
        <w:rPr>
          <w:rFonts w:ascii="Arial" w:eastAsia="Calibri" w:hAnsi="Arial" w:cs="Arial"/>
          <w:b/>
          <w:sz w:val="20"/>
          <w:lang w:eastAsia="en-US"/>
        </w:rPr>
        <w:lastRenderedPageBreak/>
        <w:t>Operation</w:t>
      </w:r>
    </w:p>
    <w:p w14:paraId="55C08D6D" w14:textId="52DE23E0" w:rsidR="00256906" w:rsidRDefault="00256906" w:rsidP="00ED2635">
      <w:pPr>
        <w:pStyle w:val="BodyText"/>
        <w:spacing w:before="120" w:line="260" w:lineRule="atLeast"/>
        <w:rPr>
          <w:rFonts w:ascii="Arial" w:hAnsi="Arial" w:cs="Arial"/>
          <w:sz w:val="20"/>
        </w:rPr>
      </w:pPr>
      <w:r w:rsidRPr="00256906">
        <w:rPr>
          <w:rFonts w:ascii="Arial" w:hAnsi="Arial" w:cs="Arial"/>
          <w:sz w:val="20"/>
        </w:rPr>
        <w:t>Th</w:t>
      </w:r>
      <w:r w:rsidRPr="00DE14ED">
        <w:rPr>
          <w:rFonts w:ascii="Arial" w:hAnsi="Arial" w:cs="Arial"/>
          <w:sz w:val="20"/>
        </w:rPr>
        <w:t xml:space="preserve">e </w:t>
      </w:r>
      <w:r w:rsidRPr="00ED2635">
        <w:rPr>
          <w:rFonts w:ascii="Arial" w:hAnsi="Arial" w:cs="Arial"/>
          <w:sz w:val="20"/>
        </w:rPr>
        <w:t>Plan</w:t>
      </w:r>
      <w:r w:rsidRPr="00DE14ED">
        <w:rPr>
          <w:rFonts w:ascii="Arial" w:hAnsi="Arial" w:cs="Arial"/>
          <w:sz w:val="20"/>
        </w:rPr>
        <w:t xml:space="preserve"> relates to the 1.5 </w:t>
      </w:r>
      <w:r w:rsidRPr="00AA1EEE">
        <w:rPr>
          <w:rFonts w:ascii="Arial" w:hAnsi="Arial" w:cs="Arial"/>
          <w:sz w:val="20"/>
        </w:rPr>
        <w:t>GHz band, which is the frequency band greater than 1427 </w:t>
      </w:r>
      <w:r w:rsidRPr="003A17D3">
        <w:rPr>
          <w:rFonts w:ascii="Arial" w:hAnsi="Arial" w:cs="Arial"/>
          <w:sz w:val="20"/>
        </w:rPr>
        <w:t xml:space="preserve">MHz and not </w:t>
      </w:r>
      <w:r w:rsidRPr="00256906">
        <w:rPr>
          <w:rFonts w:ascii="Arial" w:hAnsi="Arial" w:cs="Arial"/>
          <w:sz w:val="20"/>
        </w:rPr>
        <w:t>exceeding 1535</w:t>
      </w:r>
      <w:r>
        <w:rPr>
          <w:rFonts w:ascii="Arial" w:hAnsi="Arial" w:cs="Arial"/>
          <w:sz w:val="20"/>
        </w:rPr>
        <w:t> </w:t>
      </w:r>
      <w:proofErr w:type="spellStart"/>
      <w:r w:rsidRPr="00256906">
        <w:rPr>
          <w:rFonts w:ascii="Arial" w:hAnsi="Arial" w:cs="Arial"/>
          <w:sz w:val="20"/>
        </w:rPr>
        <w:t>MHz.</w:t>
      </w:r>
      <w:proofErr w:type="spellEnd"/>
      <w:r w:rsidRPr="00256906">
        <w:rPr>
          <w:rFonts w:ascii="Arial" w:hAnsi="Arial" w:cs="Arial"/>
          <w:sz w:val="20"/>
        </w:rPr>
        <w:t xml:space="preserve"> </w:t>
      </w:r>
      <w:r w:rsidR="000B7524">
        <w:rPr>
          <w:rFonts w:ascii="Arial" w:hAnsi="Arial" w:cs="Arial"/>
          <w:sz w:val="20"/>
        </w:rPr>
        <w:t xml:space="preserve"> It specifies the purpose </w:t>
      </w:r>
      <w:r w:rsidR="00327D9A">
        <w:rPr>
          <w:rFonts w:ascii="Arial" w:hAnsi="Arial" w:cs="Arial"/>
          <w:sz w:val="20"/>
        </w:rPr>
        <w:t>for which</w:t>
      </w:r>
      <w:r w:rsidR="000B7524">
        <w:rPr>
          <w:rFonts w:ascii="Arial" w:hAnsi="Arial" w:cs="Arial"/>
          <w:sz w:val="20"/>
        </w:rPr>
        <w:t xml:space="preserve"> the 1.5 GHz band</w:t>
      </w:r>
      <w:r w:rsidR="00327D9A">
        <w:rPr>
          <w:rFonts w:ascii="Arial" w:hAnsi="Arial" w:cs="Arial"/>
          <w:sz w:val="20"/>
        </w:rPr>
        <w:t xml:space="preserve"> may be used</w:t>
      </w:r>
      <w:r w:rsidR="000B7524">
        <w:rPr>
          <w:rFonts w:ascii="Arial" w:hAnsi="Arial" w:cs="Arial"/>
          <w:sz w:val="20"/>
        </w:rPr>
        <w:t>,</w:t>
      </w:r>
      <w:r w:rsidR="00327D9A">
        <w:rPr>
          <w:rFonts w:ascii="Arial" w:hAnsi="Arial" w:cs="Arial"/>
          <w:sz w:val="20"/>
        </w:rPr>
        <w:t xml:space="preserve"> namely, </w:t>
      </w:r>
      <w:r w:rsidR="007C2A8D">
        <w:rPr>
          <w:rFonts w:ascii="Arial" w:hAnsi="Arial" w:cs="Arial"/>
          <w:sz w:val="20"/>
        </w:rPr>
        <w:t xml:space="preserve">the operation of services specified for the band in the spectrum plan made under section 30 of the Act, subject to some additional limitations.  </w:t>
      </w:r>
      <w:r w:rsidRPr="00256906">
        <w:rPr>
          <w:rFonts w:ascii="Arial" w:hAnsi="Arial" w:cs="Arial"/>
          <w:sz w:val="20"/>
        </w:rPr>
        <w:t>The effect of th</w:t>
      </w:r>
      <w:r w:rsidRPr="00DE14ED">
        <w:rPr>
          <w:rFonts w:ascii="Arial" w:hAnsi="Arial" w:cs="Arial"/>
          <w:sz w:val="20"/>
        </w:rPr>
        <w:t>e Plan</w:t>
      </w:r>
      <w:r w:rsidRPr="00AA1EEE">
        <w:rPr>
          <w:rFonts w:ascii="Arial" w:hAnsi="Arial" w:cs="Arial"/>
          <w:sz w:val="20"/>
        </w:rPr>
        <w:t xml:space="preserve"> </w:t>
      </w:r>
      <w:r w:rsidRPr="00256906">
        <w:rPr>
          <w:rFonts w:ascii="Arial" w:hAnsi="Arial" w:cs="Arial"/>
          <w:sz w:val="20"/>
        </w:rPr>
        <w:t xml:space="preserve">is that the ACMA is generally not permitted to issue any licences in relation to that frequency band that would be inconsistent with the </w:t>
      </w:r>
      <w:r w:rsidR="000B7524">
        <w:rPr>
          <w:rFonts w:ascii="Arial" w:hAnsi="Arial" w:cs="Arial"/>
          <w:sz w:val="20"/>
        </w:rPr>
        <w:t>P</w:t>
      </w:r>
      <w:r w:rsidRPr="00256906">
        <w:rPr>
          <w:rFonts w:ascii="Arial" w:hAnsi="Arial" w:cs="Arial"/>
          <w:sz w:val="20"/>
        </w:rPr>
        <w:t xml:space="preserve">lan (see </w:t>
      </w:r>
      <w:r w:rsidR="000B7524" w:rsidRPr="00256906">
        <w:rPr>
          <w:rFonts w:ascii="Arial" w:hAnsi="Arial" w:cs="Arial"/>
          <w:sz w:val="20"/>
        </w:rPr>
        <w:t>paragraphs 39(6)(b) and 39A(8)(b)</w:t>
      </w:r>
      <w:r w:rsidR="000B7524">
        <w:rPr>
          <w:rFonts w:ascii="Arial" w:hAnsi="Arial" w:cs="Arial"/>
          <w:sz w:val="20"/>
        </w:rPr>
        <w:t xml:space="preserve">, </w:t>
      </w:r>
      <w:r w:rsidRPr="00256906">
        <w:rPr>
          <w:rFonts w:ascii="Arial" w:hAnsi="Arial" w:cs="Arial"/>
          <w:sz w:val="20"/>
        </w:rPr>
        <w:t>subsection 104(1)</w:t>
      </w:r>
      <w:r w:rsidR="000B7524">
        <w:rPr>
          <w:rFonts w:ascii="Arial" w:hAnsi="Arial" w:cs="Arial"/>
          <w:sz w:val="20"/>
        </w:rPr>
        <w:t xml:space="preserve"> and</w:t>
      </w:r>
      <w:r w:rsidRPr="00256906">
        <w:rPr>
          <w:rFonts w:ascii="Arial" w:hAnsi="Arial" w:cs="Arial"/>
          <w:sz w:val="20"/>
        </w:rPr>
        <w:t xml:space="preserve"> section 137 of the Act). Transmitter licences issued to authorise the use of transmitters in these frequencies are also subject to the condition that the transmitter must not be operated for a purpose that is inconsistent with the relevant band plan (see paragraph 108(2)(a) of the Act).</w:t>
      </w:r>
    </w:p>
    <w:p w14:paraId="77CA6108" w14:textId="77777777" w:rsidR="0088274A" w:rsidRPr="00C117CF" w:rsidRDefault="0088274A" w:rsidP="00ED2635">
      <w:pPr>
        <w:pStyle w:val="BodyText"/>
        <w:spacing w:before="120" w:line="260" w:lineRule="atLeast"/>
        <w:rPr>
          <w:rFonts w:ascii="Arial" w:eastAsia="Calibri" w:hAnsi="Arial" w:cs="Arial"/>
          <w:b/>
          <w:sz w:val="20"/>
          <w:lang w:eastAsia="en-US"/>
        </w:rPr>
      </w:pPr>
      <w:r w:rsidRPr="00C117CF">
        <w:rPr>
          <w:rFonts w:ascii="Arial" w:eastAsia="Calibri" w:hAnsi="Arial" w:cs="Arial"/>
          <w:b/>
          <w:sz w:val="20"/>
          <w:lang w:eastAsia="en-US"/>
        </w:rPr>
        <w:t>Consultation</w:t>
      </w:r>
      <w:bookmarkEnd w:id="0"/>
      <w:bookmarkEnd w:id="1"/>
    </w:p>
    <w:p w14:paraId="29F96F23" w14:textId="77777777" w:rsidR="009F7C54" w:rsidRDefault="009F7C54" w:rsidP="009F7C54">
      <w:pPr>
        <w:rPr>
          <w:rFonts w:ascii="Arial" w:hAnsi="Arial" w:cs="Arial"/>
          <w:snapToGrid w:val="0"/>
          <w:sz w:val="20"/>
          <w:szCs w:val="20"/>
        </w:rPr>
      </w:pPr>
      <w:r w:rsidRPr="00C117CF">
        <w:rPr>
          <w:rFonts w:ascii="Arial" w:hAnsi="Arial" w:cs="Arial"/>
          <w:snapToGrid w:val="0"/>
          <w:sz w:val="20"/>
          <w:szCs w:val="20"/>
        </w:rPr>
        <w:t xml:space="preserve">Subsection 17(1) of the LIA requires that, before the ACMA makes a legislative instrument, </w:t>
      </w:r>
      <w:r w:rsidR="00EF4C8B">
        <w:rPr>
          <w:rFonts w:ascii="Arial" w:hAnsi="Arial" w:cs="Arial"/>
          <w:snapToGrid w:val="0"/>
          <w:sz w:val="20"/>
          <w:szCs w:val="20"/>
        </w:rPr>
        <w:t>the ACMA</w:t>
      </w:r>
      <w:r w:rsidRPr="00C117CF">
        <w:rPr>
          <w:rFonts w:ascii="Arial" w:hAnsi="Arial" w:cs="Arial"/>
          <w:snapToGrid w:val="0"/>
          <w:sz w:val="20"/>
          <w:szCs w:val="20"/>
        </w:rPr>
        <w:t xml:space="preserve"> must be satisfied that any consultation that </w:t>
      </w:r>
      <w:r w:rsidR="00EF4C8B">
        <w:rPr>
          <w:rFonts w:ascii="Arial" w:hAnsi="Arial" w:cs="Arial"/>
          <w:snapToGrid w:val="0"/>
          <w:sz w:val="20"/>
          <w:szCs w:val="20"/>
        </w:rPr>
        <w:t>it</w:t>
      </w:r>
      <w:r w:rsidRPr="00C117CF">
        <w:rPr>
          <w:rFonts w:ascii="Arial" w:hAnsi="Arial" w:cs="Arial"/>
          <w:snapToGrid w:val="0"/>
          <w:sz w:val="20"/>
          <w:szCs w:val="20"/>
        </w:rPr>
        <w:t xml:space="preserve"> considers is appropriate and reasonably practicable to undertake has been undertaken.</w:t>
      </w:r>
    </w:p>
    <w:p w14:paraId="1BA46248" w14:textId="1285C7F6" w:rsidR="007C2A8D" w:rsidRPr="00C117CF" w:rsidRDefault="007C2A8D" w:rsidP="009F7C54">
      <w:pPr>
        <w:rPr>
          <w:rFonts w:ascii="Arial" w:hAnsi="Arial" w:cs="Arial"/>
          <w:snapToGrid w:val="0"/>
          <w:sz w:val="20"/>
          <w:szCs w:val="20"/>
        </w:rPr>
      </w:pPr>
      <w:r>
        <w:rPr>
          <w:rFonts w:ascii="Arial" w:hAnsi="Arial" w:cs="Arial"/>
          <w:snapToGrid w:val="0"/>
          <w:sz w:val="20"/>
          <w:szCs w:val="20"/>
        </w:rPr>
        <w:t>Section 33 of the Act provides that, before preparing a band plan, the ACMA must, b</w:t>
      </w:r>
      <w:r w:rsidR="00340203">
        <w:rPr>
          <w:rFonts w:ascii="Arial" w:hAnsi="Arial" w:cs="Arial"/>
          <w:snapToGrid w:val="0"/>
          <w:sz w:val="20"/>
          <w:szCs w:val="20"/>
        </w:rPr>
        <w:t>y</w:t>
      </w:r>
      <w:r>
        <w:rPr>
          <w:rFonts w:ascii="Arial" w:hAnsi="Arial" w:cs="Arial"/>
          <w:snapToGrid w:val="0"/>
          <w:sz w:val="20"/>
          <w:szCs w:val="20"/>
        </w:rPr>
        <w:t xml:space="preserve"> notice published on its website, state that a draft of the plan is available, set out the draft plan, and invite interested parties to make representations about the draft plan.  Interested parties must have at least one month to make representations, and the ACMA must give due consideration to any representations made.</w:t>
      </w:r>
    </w:p>
    <w:p w14:paraId="612955AC" w14:textId="1DC2C64C" w:rsidR="009F7C54" w:rsidRPr="00C117CF" w:rsidRDefault="009F7C54" w:rsidP="009F7C54">
      <w:pPr>
        <w:rPr>
          <w:rFonts w:ascii="Arial" w:hAnsi="Arial" w:cs="Arial"/>
          <w:snapToGrid w:val="0"/>
          <w:sz w:val="20"/>
          <w:szCs w:val="20"/>
        </w:rPr>
      </w:pPr>
      <w:r w:rsidRPr="00C117CF">
        <w:rPr>
          <w:rFonts w:ascii="Arial" w:hAnsi="Arial" w:cs="Arial"/>
          <w:snapToGrid w:val="0"/>
          <w:sz w:val="20"/>
          <w:szCs w:val="20"/>
        </w:rPr>
        <w:t>In this case</w:t>
      </w:r>
      <w:r w:rsidR="00C117CF">
        <w:rPr>
          <w:rFonts w:ascii="Arial" w:hAnsi="Arial" w:cs="Arial"/>
          <w:snapToGrid w:val="0"/>
          <w:sz w:val="20"/>
          <w:szCs w:val="20"/>
        </w:rPr>
        <w:t>,</w:t>
      </w:r>
      <w:r w:rsidRPr="00C117CF">
        <w:rPr>
          <w:rFonts w:ascii="Arial" w:hAnsi="Arial" w:cs="Arial"/>
          <w:snapToGrid w:val="0"/>
          <w:sz w:val="20"/>
          <w:szCs w:val="20"/>
        </w:rPr>
        <w:t xml:space="preserve"> the ACMA consulted publicly </w:t>
      </w:r>
      <w:r w:rsidR="00D21D60">
        <w:rPr>
          <w:rFonts w:ascii="Arial" w:hAnsi="Arial" w:cs="Arial"/>
          <w:snapToGrid w:val="0"/>
          <w:sz w:val="20"/>
          <w:szCs w:val="20"/>
        </w:rPr>
        <w:t>from</w:t>
      </w:r>
      <w:r w:rsidRPr="00C117CF">
        <w:rPr>
          <w:rFonts w:ascii="Arial" w:hAnsi="Arial" w:cs="Arial"/>
          <w:snapToGrid w:val="0"/>
          <w:sz w:val="20"/>
          <w:szCs w:val="20"/>
        </w:rPr>
        <w:t xml:space="preserve"> </w:t>
      </w:r>
      <w:r w:rsidR="00BE3BA5">
        <w:rPr>
          <w:rFonts w:ascii="Arial" w:hAnsi="Arial" w:cs="Arial"/>
          <w:snapToGrid w:val="0"/>
          <w:sz w:val="20"/>
          <w:szCs w:val="20"/>
        </w:rPr>
        <w:t>28</w:t>
      </w:r>
      <w:r w:rsidR="00D21D60">
        <w:rPr>
          <w:rFonts w:ascii="Arial" w:hAnsi="Arial" w:cs="Arial"/>
          <w:snapToGrid w:val="0"/>
          <w:sz w:val="20"/>
          <w:szCs w:val="20"/>
        </w:rPr>
        <w:t xml:space="preserve"> </w:t>
      </w:r>
      <w:r w:rsidR="00BE3BA5">
        <w:rPr>
          <w:rFonts w:ascii="Arial" w:hAnsi="Arial" w:cs="Arial"/>
          <w:snapToGrid w:val="0"/>
          <w:sz w:val="20"/>
          <w:szCs w:val="20"/>
        </w:rPr>
        <w:t xml:space="preserve">May </w:t>
      </w:r>
      <w:r w:rsidRPr="00C117CF">
        <w:rPr>
          <w:rFonts w:ascii="Arial" w:hAnsi="Arial" w:cs="Arial"/>
          <w:snapToGrid w:val="0"/>
          <w:sz w:val="20"/>
          <w:szCs w:val="20"/>
        </w:rPr>
        <w:t>201</w:t>
      </w:r>
      <w:r w:rsidR="00BE3BA5">
        <w:rPr>
          <w:rFonts w:ascii="Arial" w:hAnsi="Arial" w:cs="Arial"/>
          <w:snapToGrid w:val="0"/>
          <w:sz w:val="20"/>
          <w:szCs w:val="20"/>
        </w:rPr>
        <w:t>5</w:t>
      </w:r>
      <w:r w:rsidR="00D21D60">
        <w:rPr>
          <w:rFonts w:ascii="Arial" w:hAnsi="Arial" w:cs="Arial"/>
          <w:snapToGrid w:val="0"/>
          <w:sz w:val="20"/>
          <w:szCs w:val="20"/>
        </w:rPr>
        <w:t xml:space="preserve"> to </w:t>
      </w:r>
      <w:r w:rsidR="00BE3BA5">
        <w:rPr>
          <w:rFonts w:ascii="Arial" w:hAnsi="Arial" w:cs="Arial"/>
          <w:snapToGrid w:val="0"/>
          <w:sz w:val="20"/>
          <w:szCs w:val="20"/>
        </w:rPr>
        <w:t>3</w:t>
      </w:r>
      <w:r w:rsidR="00D21D60">
        <w:rPr>
          <w:rFonts w:ascii="Arial" w:hAnsi="Arial" w:cs="Arial"/>
          <w:snapToGrid w:val="0"/>
          <w:sz w:val="20"/>
          <w:szCs w:val="20"/>
        </w:rPr>
        <w:t xml:space="preserve"> </w:t>
      </w:r>
      <w:r w:rsidR="00BE3BA5">
        <w:rPr>
          <w:rFonts w:ascii="Arial" w:hAnsi="Arial" w:cs="Arial"/>
          <w:snapToGrid w:val="0"/>
          <w:sz w:val="20"/>
          <w:szCs w:val="20"/>
        </w:rPr>
        <w:t xml:space="preserve">July </w:t>
      </w:r>
      <w:r w:rsidR="00D21D60">
        <w:rPr>
          <w:rFonts w:ascii="Arial" w:hAnsi="Arial" w:cs="Arial"/>
          <w:snapToGrid w:val="0"/>
          <w:sz w:val="20"/>
          <w:szCs w:val="20"/>
        </w:rPr>
        <w:t>2015</w:t>
      </w:r>
      <w:r w:rsidRPr="00C117CF">
        <w:rPr>
          <w:rFonts w:ascii="Arial" w:hAnsi="Arial" w:cs="Arial"/>
          <w:snapToGrid w:val="0"/>
          <w:sz w:val="20"/>
          <w:szCs w:val="20"/>
        </w:rPr>
        <w:t xml:space="preserve"> by means of a </w:t>
      </w:r>
      <w:r w:rsidR="007C2A8D">
        <w:rPr>
          <w:rFonts w:ascii="Arial" w:hAnsi="Arial" w:cs="Arial"/>
          <w:snapToGrid w:val="0"/>
          <w:sz w:val="20"/>
          <w:szCs w:val="20"/>
        </w:rPr>
        <w:t xml:space="preserve">notice, </w:t>
      </w:r>
      <w:r w:rsidRPr="00C117CF">
        <w:rPr>
          <w:rFonts w:ascii="Arial" w:hAnsi="Arial" w:cs="Arial"/>
          <w:snapToGrid w:val="0"/>
          <w:sz w:val="20"/>
          <w:szCs w:val="20"/>
        </w:rPr>
        <w:t>consultation paper</w:t>
      </w:r>
      <w:r w:rsidR="007D3D2F">
        <w:rPr>
          <w:rFonts w:ascii="Arial" w:hAnsi="Arial" w:cs="Arial"/>
          <w:snapToGrid w:val="0"/>
          <w:sz w:val="20"/>
          <w:szCs w:val="20"/>
        </w:rPr>
        <w:t xml:space="preserve"> </w:t>
      </w:r>
      <w:r w:rsidR="007C2A8D">
        <w:rPr>
          <w:rFonts w:ascii="Arial" w:hAnsi="Arial" w:cs="Arial"/>
          <w:snapToGrid w:val="0"/>
          <w:sz w:val="20"/>
          <w:szCs w:val="20"/>
        </w:rPr>
        <w:t>and</w:t>
      </w:r>
      <w:r w:rsidR="007D3D2F">
        <w:rPr>
          <w:rFonts w:ascii="Arial" w:hAnsi="Arial" w:cs="Arial"/>
          <w:snapToGrid w:val="0"/>
          <w:sz w:val="20"/>
          <w:szCs w:val="20"/>
        </w:rPr>
        <w:t xml:space="preserve"> draft version of the proposed instrument </w:t>
      </w:r>
      <w:r w:rsidRPr="00C117CF">
        <w:rPr>
          <w:rFonts w:ascii="Arial" w:hAnsi="Arial" w:cs="Arial"/>
          <w:snapToGrid w:val="0"/>
          <w:sz w:val="20"/>
          <w:szCs w:val="20"/>
        </w:rPr>
        <w:t xml:space="preserve">published on its website. That paper explained the </w:t>
      </w:r>
      <w:proofErr w:type="spellStart"/>
      <w:r w:rsidRPr="00C117CF">
        <w:rPr>
          <w:rFonts w:ascii="Arial" w:hAnsi="Arial" w:cs="Arial"/>
          <w:snapToGrid w:val="0"/>
          <w:sz w:val="20"/>
          <w:szCs w:val="20"/>
        </w:rPr>
        <w:t>sunsetting</w:t>
      </w:r>
      <w:proofErr w:type="spellEnd"/>
      <w:r w:rsidRPr="00C117CF">
        <w:rPr>
          <w:rFonts w:ascii="Arial" w:hAnsi="Arial" w:cs="Arial"/>
          <w:snapToGrid w:val="0"/>
          <w:sz w:val="20"/>
          <w:szCs w:val="20"/>
        </w:rPr>
        <w:t xml:space="preserve"> process and the ACMA’s preliminary view that the existing arrangements should be saved from </w:t>
      </w:r>
      <w:r w:rsidRPr="00EA21E0">
        <w:rPr>
          <w:rFonts w:ascii="Arial" w:hAnsi="Arial" w:cs="Arial"/>
          <w:snapToGrid w:val="0"/>
          <w:sz w:val="20"/>
          <w:szCs w:val="20"/>
        </w:rPr>
        <w:t xml:space="preserve">automatic repeal and remade without any significant changes. Interested parties were invited to comment. </w:t>
      </w:r>
      <w:r w:rsidRPr="00607AC7">
        <w:rPr>
          <w:rFonts w:ascii="Arial" w:hAnsi="Arial" w:cs="Arial"/>
          <w:snapToGrid w:val="0"/>
          <w:sz w:val="20"/>
          <w:szCs w:val="20"/>
        </w:rPr>
        <w:t xml:space="preserve">The ACMA </w:t>
      </w:r>
      <w:r w:rsidR="00064DBC" w:rsidRPr="00607AC7">
        <w:rPr>
          <w:rFonts w:ascii="Arial" w:hAnsi="Arial" w:cs="Arial"/>
          <w:snapToGrid w:val="0"/>
          <w:sz w:val="20"/>
          <w:szCs w:val="20"/>
        </w:rPr>
        <w:t xml:space="preserve">received </w:t>
      </w:r>
      <w:r w:rsidR="00E16E4E" w:rsidRPr="00607AC7">
        <w:rPr>
          <w:rFonts w:ascii="Arial" w:hAnsi="Arial" w:cs="Arial"/>
          <w:snapToGrid w:val="0"/>
          <w:sz w:val="20"/>
          <w:szCs w:val="20"/>
        </w:rPr>
        <w:t xml:space="preserve">one </w:t>
      </w:r>
      <w:r w:rsidR="00064DBC" w:rsidRPr="00607AC7">
        <w:rPr>
          <w:rFonts w:ascii="Arial" w:hAnsi="Arial" w:cs="Arial"/>
          <w:snapToGrid w:val="0"/>
          <w:sz w:val="20"/>
          <w:szCs w:val="20"/>
        </w:rPr>
        <w:t xml:space="preserve">submission in response to the consultation paper </w:t>
      </w:r>
      <w:r w:rsidR="00EC3364" w:rsidRPr="00607AC7">
        <w:rPr>
          <w:rFonts w:ascii="Arial" w:hAnsi="Arial" w:cs="Arial"/>
          <w:snapToGrid w:val="0"/>
          <w:sz w:val="20"/>
          <w:szCs w:val="20"/>
        </w:rPr>
        <w:t xml:space="preserve">which </w:t>
      </w:r>
      <w:r w:rsidR="00607AC7">
        <w:rPr>
          <w:rFonts w:ascii="Arial" w:hAnsi="Arial" w:cs="Arial"/>
          <w:snapToGrid w:val="0"/>
          <w:sz w:val="20"/>
          <w:szCs w:val="20"/>
        </w:rPr>
        <w:t xml:space="preserve">supported the ACMA’s proposal to remake the </w:t>
      </w:r>
      <w:r w:rsidR="007C2A8D">
        <w:rPr>
          <w:rFonts w:ascii="Arial" w:hAnsi="Arial" w:cs="Arial"/>
          <w:snapToGrid w:val="0"/>
          <w:sz w:val="20"/>
          <w:szCs w:val="20"/>
        </w:rPr>
        <w:t>1996 I</w:t>
      </w:r>
      <w:r w:rsidR="00607AC7">
        <w:rPr>
          <w:rFonts w:ascii="Arial" w:hAnsi="Arial" w:cs="Arial"/>
          <w:snapToGrid w:val="0"/>
          <w:sz w:val="20"/>
          <w:szCs w:val="20"/>
        </w:rPr>
        <w:t>nstrument in its current form.</w:t>
      </w:r>
    </w:p>
    <w:p w14:paraId="09C89E06" w14:textId="21552163" w:rsidR="00F46548" w:rsidRPr="00C117CF" w:rsidRDefault="00F46548" w:rsidP="00ED2635">
      <w:pPr>
        <w:pStyle w:val="BodyText"/>
        <w:spacing w:before="120" w:line="260" w:lineRule="atLeast"/>
        <w:rPr>
          <w:rFonts w:ascii="Arial" w:eastAsia="Calibri" w:hAnsi="Arial" w:cs="Arial"/>
          <w:b/>
          <w:sz w:val="20"/>
          <w:lang w:eastAsia="en-US"/>
        </w:rPr>
      </w:pPr>
      <w:r w:rsidRPr="00C117CF">
        <w:rPr>
          <w:rFonts w:ascii="Arial" w:eastAsia="Calibri" w:hAnsi="Arial" w:cs="Arial"/>
          <w:b/>
          <w:sz w:val="20"/>
          <w:lang w:eastAsia="en-US"/>
        </w:rPr>
        <w:t xml:space="preserve">Detailed Description of the </w:t>
      </w:r>
      <w:r w:rsidR="0018034A">
        <w:rPr>
          <w:rFonts w:ascii="Arial" w:eastAsia="Calibri" w:hAnsi="Arial" w:cs="Arial"/>
          <w:b/>
          <w:sz w:val="20"/>
          <w:lang w:eastAsia="en-US"/>
        </w:rPr>
        <w:t>Plan</w:t>
      </w:r>
    </w:p>
    <w:p w14:paraId="70630D4A" w14:textId="161F63D2" w:rsidR="00F46548" w:rsidRPr="00C117CF" w:rsidRDefault="00F46548" w:rsidP="00F46548">
      <w:pPr>
        <w:rPr>
          <w:rFonts w:ascii="Arial" w:hAnsi="Arial" w:cs="Arial"/>
          <w:b/>
          <w:sz w:val="20"/>
          <w:szCs w:val="20"/>
        </w:rPr>
      </w:pPr>
      <w:r w:rsidRPr="00C117CF">
        <w:rPr>
          <w:rFonts w:ascii="Arial" w:hAnsi="Arial" w:cs="Arial"/>
          <w:sz w:val="20"/>
          <w:szCs w:val="20"/>
        </w:rPr>
        <w:t xml:space="preserve">Details of the </w:t>
      </w:r>
      <w:r w:rsidR="0018034A">
        <w:rPr>
          <w:rFonts w:ascii="Arial" w:hAnsi="Arial" w:cs="Arial"/>
          <w:sz w:val="20"/>
          <w:szCs w:val="20"/>
        </w:rPr>
        <w:t>Plan</w:t>
      </w:r>
      <w:r w:rsidR="0018034A" w:rsidRPr="00C117CF">
        <w:rPr>
          <w:rFonts w:ascii="Arial" w:hAnsi="Arial" w:cs="Arial"/>
          <w:sz w:val="20"/>
          <w:szCs w:val="20"/>
        </w:rPr>
        <w:t xml:space="preserve"> </w:t>
      </w:r>
      <w:r w:rsidRPr="00C117CF">
        <w:rPr>
          <w:rFonts w:ascii="Arial" w:hAnsi="Arial" w:cs="Arial"/>
          <w:sz w:val="20"/>
          <w:szCs w:val="20"/>
        </w:rPr>
        <w:t xml:space="preserve">are set out in </w:t>
      </w:r>
      <w:r w:rsidRPr="00C117CF">
        <w:rPr>
          <w:rFonts w:ascii="Arial" w:hAnsi="Arial" w:cs="Arial"/>
          <w:b/>
          <w:sz w:val="20"/>
          <w:szCs w:val="20"/>
        </w:rPr>
        <w:t>Attachment A.</w:t>
      </w:r>
    </w:p>
    <w:p w14:paraId="2301CA2B" w14:textId="4B796FFC" w:rsidR="00636BEB" w:rsidRPr="007D3D2F" w:rsidRDefault="00636BEB" w:rsidP="00636BEB">
      <w:pPr>
        <w:outlineLvl w:val="0"/>
        <w:rPr>
          <w:rFonts w:ascii="Arial" w:hAnsi="Arial" w:cs="Arial"/>
          <w:b/>
          <w:sz w:val="20"/>
          <w:szCs w:val="20"/>
        </w:rPr>
      </w:pPr>
      <w:r w:rsidRPr="007D3D2F">
        <w:rPr>
          <w:rFonts w:ascii="Arial" w:hAnsi="Arial" w:cs="Arial"/>
          <w:b/>
          <w:sz w:val="20"/>
          <w:szCs w:val="20"/>
        </w:rPr>
        <w:t>Documents incorporated in th</w:t>
      </w:r>
      <w:r w:rsidR="001A2599">
        <w:rPr>
          <w:rFonts w:ascii="Arial" w:hAnsi="Arial" w:cs="Arial"/>
          <w:b/>
          <w:sz w:val="20"/>
          <w:szCs w:val="20"/>
        </w:rPr>
        <w:t>e</w:t>
      </w:r>
      <w:r w:rsidRPr="007D3D2F">
        <w:rPr>
          <w:rFonts w:ascii="Arial" w:hAnsi="Arial" w:cs="Arial"/>
          <w:b/>
          <w:sz w:val="20"/>
          <w:szCs w:val="20"/>
        </w:rPr>
        <w:t xml:space="preserve"> </w:t>
      </w:r>
      <w:r w:rsidR="0018034A">
        <w:rPr>
          <w:rFonts w:ascii="Arial" w:hAnsi="Arial" w:cs="Arial"/>
          <w:b/>
          <w:sz w:val="20"/>
          <w:szCs w:val="20"/>
        </w:rPr>
        <w:t>Plan</w:t>
      </w:r>
      <w:r w:rsidR="0018034A" w:rsidRPr="007D3D2F">
        <w:rPr>
          <w:rFonts w:ascii="Arial" w:hAnsi="Arial" w:cs="Arial"/>
          <w:b/>
          <w:sz w:val="20"/>
          <w:szCs w:val="20"/>
        </w:rPr>
        <w:t xml:space="preserve"> </w:t>
      </w:r>
      <w:r w:rsidRPr="007D3D2F">
        <w:rPr>
          <w:rFonts w:ascii="Arial" w:hAnsi="Arial" w:cs="Arial"/>
          <w:b/>
          <w:sz w:val="20"/>
          <w:szCs w:val="20"/>
        </w:rPr>
        <w:t>by Reference</w:t>
      </w:r>
    </w:p>
    <w:p w14:paraId="16B597E2" w14:textId="0CC9F26A" w:rsidR="00636BEB" w:rsidRPr="007D3D2F" w:rsidRDefault="00636BEB" w:rsidP="00ED2635">
      <w:pPr>
        <w:pStyle w:val="ACMABulletLevel1"/>
        <w:numPr>
          <w:ilvl w:val="0"/>
          <w:numId w:val="0"/>
        </w:numPr>
        <w:rPr>
          <w:rFonts w:ascii="Arial" w:eastAsia="Calibri" w:hAnsi="Arial" w:cs="Arial"/>
          <w:snapToGrid w:val="0"/>
          <w:sz w:val="20"/>
        </w:rPr>
      </w:pPr>
      <w:r w:rsidRPr="007D3D2F">
        <w:rPr>
          <w:rFonts w:ascii="Arial" w:eastAsia="Calibri" w:hAnsi="Arial" w:cs="Arial"/>
          <w:snapToGrid w:val="0"/>
          <w:sz w:val="20"/>
        </w:rPr>
        <w:t xml:space="preserve">The </w:t>
      </w:r>
      <w:r w:rsidR="0018034A">
        <w:rPr>
          <w:rFonts w:ascii="Arial" w:eastAsia="Calibri" w:hAnsi="Arial" w:cs="Arial"/>
          <w:snapToGrid w:val="0"/>
          <w:sz w:val="20"/>
        </w:rPr>
        <w:t>Plan</w:t>
      </w:r>
      <w:r w:rsidR="0018034A" w:rsidRPr="007D3D2F">
        <w:rPr>
          <w:rFonts w:ascii="Arial" w:eastAsia="Calibri" w:hAnsi="Arial" w:cs="Arial"/>
          <w:snapToGrid w:val="0"/>
          <w:sz w:val="20"/>
        </w:rPr>
        <w:t xml:space="preserve"> </w:t>
      </w:r>
      <w:r w:rsidRPr="007D3D2F">
        <w:rPr>
          <w:rFonts w:ascii="Arial" w:eastAsia="Calibri" w:hAnsi="Arial" w:cs="Arial"/>
          <w:snapToGrid w:val="0"/>
          <w:sz w:val="20"/>
        </w:rPr>
        <w:t xml:space="preserve">incorporates by reference the following </w:t>
      </w:r>
      <w:r w:rsidR="00EB03E2">
        <w:rPr>
          <w:rFonts w:ascii="Arial" w:eastAsia="Calibri" w:hAnsi="Arial" w:cs="Arial"/>
          <w:snapToGrid w:val="0"/>
          <w:sz w:val="20"/>
        </w:rPr>
        <w:t xml:space="preserve">Act and legislative instruments </w:t>
      </w:r>
      <w:r w:rsidRPr="007D3D2F">
        <w:rPr>
          <w:rFonts w:ascii="Arial" w:eastAsia="Calibri" w:hAnsi="Arial" w:cs="Arial"/>
          <w:snapToGrid w:val="0"/>
          <w:sz w:val="20"/>
        </w:rPr>
        <w:t>as in force from time to time</w:t>
      </w:r>
      <w:r w:rsidR="00EB03E2">
        <w:rPr>
          <w:rFonts w:ascii="Arial" w:eastAsia="Calibri" w:hAnsi="Arial" w:cs="Arial"/>
          <w:snapToGrid w:val="0"/>
          <w:sz w:val="20"/>
        </w:rPr>
        <w:t xml:space="preserve"> (as permitted by section 13 of the LIA and section </w:t>
      </w:r>
      <w:r w:rsidR="000E7866">
        <w:rPr>
          <w:rFonts w:ascii="Arial" w:eastAsia="Calibri" w:hAnsi="Arial" w:cs="Arial"/>
          <w:snapToGrid w:val="0"/>
          <w:sz w:val="20"/>
        </w:rPr>
        <w:t xml:space="preserve">314A </w:t>
      </w:r>
      <w:r w:rsidR="00EB03E2">
        <w:rPr>
          <w:rFonts w:ascii="Arial" w:eastAsia="Calibri" w:hAnsi="Arial" w:cs="Arial"/>
          <w:snapToGrid w:val="0"/>
          <w:sz w:val="20"/>
        </w:rPr>
        <w:t>of the Act)</w:t>
      </w:r>
      <w:r w:rsidRPr="007D3D2F">
        <w:rPr>
          <w:rFonts w:ascii="Arial" w:eastAsia="Calibri" w:hAnsi="Arial" w:cs="Arial"/>
          <w:snapToGrid w:val="0"/>
          <w:sz w:val="20"/>
        </w:rPr>
        <w:t xml:space="preserve"> or otherwise refers to them:</w:t>
      </w:r>
    </w:p>
    <w:p w14:paraId="4F907EC9" w14:textId="7D5471D3" w:rsidR="00636BEB" w:rsidRDefault="00EB03E2" w:rsidP="00636BEB">
      <w:pPr>
        <w:pStyle w:val="ListParagraph"/>
        <w:numPr>
          <w:ilvl w:val="0"/>
          <w:numId w:val="18"/>
        </w:numPr>
        <w:spacing w:after="0" w:line="240" w:lineRule="auto"/>
        <w:contextualSpacing w:val="0"/>
        <w:outlineLvl w:val="0"/>
        <w:rPr>
          <w:rFonts w:ascii="Arial" w:hAnsi="Arial" w:cs="Arial"/>
          <w:i/>
          <w:snapToGrid w:val="0"/>
          <w:sz w:val="20"/>
          <w:szCs w:val="20"/>
        </w:rPr>
      </w:pPr>
      <w:r>
        <w:rPr>
          <w:rFonts w:ascii="Arial" w:hAnsi="Arial" w:cs="Arial"/>
          <w:snapToGrid w:val="0"/>
          <w:sz w:val="20"/>
          <w:szCs w:val="20"/>
        </w:rPr>
        <w:t>the Act</w:t>
      </w:r>
      <w:r w:rsidR="00340203">
        <w:rPr>
          <w:rFonts w:ascii="Arial" w:hAnsi="Arial" w:cs="Arial"/>
          <w:snapToGrid w:val="0"/>
          <w:sz w:val="20"/>
          <w:szCs w:val="20"/>
        </w:rPr>
        <w:t>;</w:t>
      </w:r>
    </w:p>
    <w:p w14:paraId="515D12F9" w14:textId="193500D6" w:rsidR="0068168A" w:rsidRDefault="0068168A" w:rsidP="00636BEB">
      <w:pPr>
        <w:pStyle w:val="ListParagraph"/>
        <w:numPr>
          <w:ilvl w:val="0"/>
          <w:numId w:val="18"/>
        </w:numPr>
        <w:spacing w:after="0" w:line="240" w:lineRule="auto"/>
        <w:contextualSpacing w:val="0"/>
        <w:outlineLvl w:val="0"/>
        <w:rPr>
          <w:rFonts w:ascii="Arial" w:hAnsi="Arial" w:cs="Arial"/>
          <w:i/>
          <w:snapToGrid w:val="0"/>
          <w:sz w:val="20"/>
          <w:szCs w:val="20"/>
        </w:rPr>
      </w:pPr>
      <w:r>
        <w:rPr>
          <w:rFonts w:ascii="Arial" w:hAnsi="Arial" w:cs="Arial"/>
          <w:i/>
          <w:snapToGrid w:val="0"/>
          <w:sz w:val="20"/>
          <w:szCs w:val="20"/>
        </w:rPr>
        <w:t xml:space="preserve">Australian Radiofrequency </w:t>
      </w:r>
      <w:r w:rsidR="005175AE">
        <w:rPr>
          <w:rFonts w:ascii="Arial" w:hAnsi="Arial" w:cs="Arial"/>
          <w:i/>
          <w:snapToGrid w:val="0"/>
          <w:sz w:val="20"/>
          <w:szCs w:val="20"/>
        </w:rPr>
        <w:t xml:space="preserve">Spectrum </w:t>
      </w:r>
      <w:r>
        <w:rPr>
          <w:rFonts w:ascii="Arial" w:hAnsi="Arial" w:cs="Arial"/>
          <w:i/>
          <w:snapToGrid w:val="0"/>
          <w:sz w:val="20"/>
          <w:szCs w:val="20"/>
        </w:rPr>
        <w:t>Plan 2013</w:t>
      </w:r>
      <w:r w:rsidR="00340203">
        <w:rPr>
          <w:rFonts w:ascii="Arial" w:hAnsi="Arial" w:cs="Arial"/>
          <w:snapToGrid w:val="0"/>
          <w:sz w:val="20"/>
          <w:szCs w:val="20"/>
        </w:rPr>
        <w:t>;</w:t>
      </w:r>
    </w:p>
    <w:p w14:paraId="18412F23" w14:textId="216DE357" w:rsidR="00636BEB" w:rsidRPr="008763AD" w:rsidRDefault="0068168A">
      <w:pPr>
        <w:pStyle w:val="ListParagraph"/>
        <w:numPr>
          <w:ilvl w:val="0"/>
          <w:numId w:val="18"/>
        </w:numPr>
        <w:spacing w:after="0" w:line="240" w:lineRule="auto"/>
        <w:contextualSpacing w:val="0"/>
        <w:outlineLvl w:val="0"/>
        <w:rPr>
          <w:rFonts w:ascii="Arial" w:hAnsi="Arial" w:cs="Arial"/>
          <w:snapToGrid w:val="0"/>
          <w:sz w:val="20"/>
          <w:szCs w:val="20"/>
        </w:rPr>
      </w:pPr>
      <w:proofErr w:type="spellStart"/>
      <w:r w:rsidRPr="00DE14ED">
        <w:rPr>
          <w:rFonts w:ascii="Arial" w:hAnsi="Arial" w:cs="Arial"/>
          <w:i/>
          <w:snapToGrid w:val="0"/>
          <w:sz w:val="20"/>
          <w:szCs w:val="20"/>
        </w:rPr>
        <w:t>Radiocommunications</w:t>
      </w:r>
      <w:proofErr w:type="spellEnd"/>
      <w:r w:rsidRPr="00DE14ED">
        <w:rPr>
          <w:rFonts w:ascii="Arial" w:hAnsi="Arial" w:cs="Arial"/>
          <w:i/>
          <w:snapToGrid w:val="0"/>
          <w:sz w:val="20"/>
          <w:szCs w:val="20"/>
        </w:rPr>
        <w:t xml:space="preserve"> (Interpret</w:t>
      </w:r>
      <w:r w:rsidRPr="00AA1EEE">
        <w:rPr>
          <w:rFonts w:ascii="Arial" w:hAnsi="Arial" w:cs="Arial"/>
          <w:i/>
          <w:snapToGrid w:val="0"/>
          <w:sz w:val="20"/>
          <w:szCs w:val="20"/>
        </w:rPr>
        <w:t>ation) Determination 2015</w:t>
      </w:r>
      <w:r w:rsidR="00340203">
        <w:rPr>
          <w:rFonts w:ascii="Arial" w:hAnsi="Arial" w:cs="Arial"/>
          <w:snapToGrid w:val="0"/>
          <w:sz w:val="20"/>
          <w:szCs w:val="20"/>
        </w:rPr>
        <w:t>.</w:t>
      </w:r>
    </w:p>
    <w:p w14:paraId="17B9FD67" w14:textId="3A657425" w:rsidR="00636BEB" w:rsidRPr="007D3D2F" w:rsidRDefault="001A2599" w:rsidP="00ED2635">
      <w:pPr>
        <w:suppressAutoHyphens/>
        <w:spacing w:before="120" w:after="120" w:line="280" w:lineRule="atLeast"/>
        <w:rPr>
          <w:rFonts w:ascii="Arial" w:hAnsi="Arial" w:cs="Arial"/>
          <w:snapToGrid w:val="0"/>
          <w:sz w:val="20"/>
          <w:szCs w:val="20"/>
        </w:rPr>
      </w:pPr>
      <w:r>
        <w:rPr>
          <w:rFonts w:ascii="Arial" w:hAnsi="Arial" w:cs="Arial"/>
          <w:snapToGrid w:val="0"/>
          <w:sz w:val="20"/>
          <w:szCs w:val="20"/>
        </w:rPr>
        <w:t xml:space="preserve">The </w:t>
      </w:r>
      <w:r w:rsidR="00636BEB" w:rsidRPr="00636BEB">
        <w:rPr>
          <w:rFonts w:ascii="Arial" w:hAnsi="Arial" w:cs="Arial"/>
          <w:snapToGrid w:val="0"/>
          <w:sz w:val="20"/>
          <w:szCs w:val="20"/>
        </w:rPr>
        <w:t xml:space="preserve">Act and legislative instruments referenced in the </w:t>
      </w:r>
      <w:r w:rsidR="0018034A">
        <w:rPr>
          <w:rFonts w:ascii="Arial" w:hAnsi="Arial" w:cs="Arial"/>
          <w:snapToGrid w:val="0"/>
          <w:sz w:val="20"/>
          <w:szCs w:val="20"/>
        </w:rPr>
        <w:t>Plan</w:t>
      </w:r>
      <w:r w:rsidR="0018034A" w:rsidRPr="00636BEB">
        <w:rPr>
          <w:rFonts w:ascii="Arial" w:hAnsi="Arial" w:cs="Arial"/>
          <w:snapToGrid w:val="0"/>
          <w:sz w:val="20"/>
          <w:szCs w:val="20"/>
        </w:rPr>
        <w:t xml:space="preserve"> </w:t>
      </w:r>
      <w:r w:rsidR="00636BEB" w:rsidRPr="00636BEB">
        <w:rPr>
          <w:rFonts w:ascii="Arial" w:hAnsi="Arial" w:cs="Arial"/>
          <w:snapToGrid w:val="0"/>
          <w:sz w:val="20"/>
          <w:szCs w:val="20"/>
        </w:rPr>
        <w:t xml:space="preserve">can be found on the </w:t>
      </w:r>
      <w:proofErr w:type="spellStart"/>
      <w:r w:rsidR="00636BEB" w:rsidRPr="00636BEB">
        <w:rPr>
          <w:rFonts w:ascii="Arial" w:hAnsi="Arial" w:cs="Arial"/>
          <w:snapToGrid w:val="0"/>
          <w:sz w:val="20"/>
          <w:szCs w:val="20"/>
        </w:rPr>
        <w:t>ComLaw</w:t>
      </w:r>
      <w:proofErr w:type="spellEnd"/>
      <w:r w:rsidR="00636BEB" w:rsidRPr="00636BEB">
        <w:rPr>
          <w:rFonts w:ascii="Arial" w:hAnsi="Arial" w:cs="Arial"/>
          <w:snapToGrid w:val="0"/>
          <w:sz w:val="20"/>
          <w:szCs w:val="20"/>
        </w:rPr>
        <w:t xml:space="preserve"> website (</w:t>
      </w:r>
      <w:hyperlink r:id="rId14" w:history="1">
        <w:r w:rsidR="00636BEB" w:rsidRPr="007D3D2F">
          <w:rPr>
            <w:rFonts w:ascii="Arial" w:hAnsi="Arial" w:cs="Arial"/>
            <w:snapToGrid w:val="0"/>
            <w:sz w:val="20"/>
            <w:szCs w:val="20"/>
          </w:rPr>
          <w:t>http://www.comlaw.gov.au</w:t>
        </w:r>
      </w:hyperlink>
      <w:r w:rsidR="00636BEB" w:rsidRPr="007D3D2F">
        <w:rPr>
          <w:rFonts w:ascii="Arial" w:hAnsi="Arial" w:cs="Arial"/>
          <w:snapToGrid w:val="0"/>
          <w:sz w:val="20"/>
          <w:szCs w:val="20"/>
        </w:rPr>
        <w:t xml:space="preserve">). </w:t>
      </w:r>
    </w:p>
    <w:p w14:paraId="553B07EC" w14:textId="77777777" w:rsidR="00F46548" w:rsidRPr="00C117CF" w:rsidRDefault="00F46548" w:rsidP="00ED2635">
      <w:pPr>
        <w:pStyle w:val="BodyText"/>
        <w:spacing w:before="120" w:line="260" w:lineRule="atLeast"/>
        <w:rPr>
          <w:rFonts w:ascii="Arial" w:eastAsia="Calibri" w:hAnsi="Arial" w:cs="Arial"/>
          <w:b/>
          <w:sz w:val="20"/>
          <w:lang w:eastAsia="en-US"/>
        </w:rPr>
      </w:pPr>
      <w:r w:rsidRPr="00C117CF">
        <w:rPr>
          <w:rFonts w:ascii="Arial" w:eastAsia="Calibri" w:hAnsi="Arial" w:cs="Arial"/>
          <w:b/>
          <w:sz w:val="20"/>
          <w:lang w:eastAsia="en-US"/>
        </w:rPr>
        <w:t xml:space="preserve">Statement of </w:t>
      </w:r>
      <w:r w:rsidR="009F7C54" w:rsidRPr="00C117CF">
        <w:rPr>
          <w:rFonts w:ascii="Arial" w:eastAsia="Calibri" w:hAnsi="Arial" w:cs="Arial"/>
          <w:b/>
          <w:sz w:val="20"/>
          <w:lang w:eastAsia="en-US"/>
        </w:rPr>
        <w:t xml:space="preserve">Compatibility </w:t>
      </w:r>
      <w:r w:rsidRPr="00C117CF">
        <w:rPr>
          <w:rFonts w:ascii="Arial" w:eastAsia="Calibri" w:hAnsi="Arial" w:cs="Arial"/>
          <w:b/>
          <w:sz w:val="20"/>
          <w:lang w:eastAsia="en-US"/>
        </w:rPr>
        <w:t xml:space="preserve">with </w:t>
      </w:r>
      <w:r w:rsidR="009F7C54" w:rsidRPr="00C117CF">
        <w:rPr>
          <w:rFonts w:ascii="Arial" w:eastAsia="Calibri" w:hAnsi="Arial" w:cs="Arial"/>
          <w:b/>
          <w:sz w:val="20"/>
          <w:lang w:eastAsia="en-US"/>
        </w:rPr>
        <w:t>Human Rights</w:t>
      </w:r>
    </w:p>
    <w:p w14:paraId="54ABC8B7" w14:textId="77777777" w:rsidR="009F7C54" w:rsidRPr="00C117CF" w:rsidRDefault="009F7C54" w:rsidP="009F7C54">
      <w:pPr>
        <w:pStyle w:val="ACMABodyText"/>
        <w:rPr>
          <w:rFonts w:ascii="Arial" w:hAnsi="Arial" w:cs="Arial"/>
          <w:sz w:val="20"/>
          <w:lang w:val="en-US"/>
        </w:rPr>
      </w:pPr>
      <w:r w:rsidRPr="00C117CF">
        <w:rPr>
          <w:rFonts w:ascii="Arial" w:hAnsi="Arial" w:cs="Arial"/>
          <w:sz w:val="20"/>
        </w:rPr>
        <w:t xml:space="preserve">As required under </w:t>
      </w:r>
      <w:r w:rsidRPr="00C117CF">
        <w:rPr>
          <w:rFonts w:ascii="Arial" w:hAnsi="Arial" w:cs="Arial"/>
          <w:sz w:val="20"/>
          <w:lang w:val="en-US"/>
        </w:rPr>
        <w:t xml:space="preserve">the </w:t>
      </w:r>
      <w:r w:rsidRPr="00C117CF">
        <w:rPr>
          <w:rFonts w:ascii="Arial" w:hAnsi="Arial" w:cs="Arial"/>
          <w:i/>
          <w:sz w:val="20"/>
          <w:lang w:val="en-US"/>
        </w:rPr>
        <w:t>Human Rights (Parliamentary Scrutiny) Act 2011</w:t>
      </w:r>
      <w:r w:rsidRPr="00C117CF">
        <w:rPr>
          <w:rFonts w:ascii="Arial" w:hAnsi="Arial" w:cs="Arial"/>
          <w:sz w:val="20"/>
          <w:lang w:val="en-US"/>
        </w:rPr>
        <w:t xml:space="preserve">, a Statement of Compatibility with Human Rights has been prepared by the ACMA and is </w:t>
      </w:r>
      <w:r w:rsidR="00B922F1">
        <w:rPr>
          <w:rFonts w:ascii="Arial" w:hAnsi="Arial" w:cs="Arial"/>
          <w:sz w:val="20"/>
          <w:lang w:val="en-US"/>
        </w:rPr>
        <w:t>at</w:t>
      </w:r>
      <w:r w:rsidRPr="00C117CF">
        <w:rPr>
          <w:rFonts w:ascii="Arial" w:hAnsi="Arial" w:cs="Arial"/>
          <w:sz w:val="20"/>
          <w:lang w:val="en-US"/>
        </w:rPr>
        <w:t xml:space="preserve"> </w:t>
      </w:r>
      <w:r w:rsidRPr="004E07C4">
        <w:rPr>
          <w:rFonts w:ascii="Arial" w:hAnsi="Arial" w:cs="Arial"/>
          <w:b/>
          <w:sz w:val="20"/>
          <w:lang w:val="en-US"/>
        </w:rPr>
        <w:t>Attachment B.</w:t>
      </w:r>
    </w:p>
    <w:p w14:paraId="5D400878" w14:textId="77777777" w:rsidR="0088274A" w:rsidRPr="00C117CF" w:rsidRDefault="0088274A" w:rsidP="00ED2635">
      <w:pPr>
        <w:pStyle w:val="BodyText"/>
        <w:spacing w:before="120" w:line="260" w:lineRule="atLeast"/>
        <w:rPr>
          <w:rFonts w:ascii="Arial" w:eastAsia="Calibri" w:hAnsi="Arial" w:cs="Arial"/>
          <w:b/>
          <w:sz w:val="20"/>
          <w:lang w:eastAsia="en-US"/>
        </w:rPr>
      </w:pPr>
      <w:r w:rsidRPr="00C117CF">
        <w:rPr>
          <w:rFonts w:ascii="Arial" w:eastAsia="Calibri" w:hAnsi="Arial" w:cs="Arial"/>
          <w:b/>
          <w:sz w:val="20"/>
          <w:lang w:eastAsia="en-US"/>
        </w:rPr>
        <w:t>Regulation Impact Statement</w:t>
      </w:r>
    </w:p>
    <w:p w14:paraId="7C91C453" w14:textId="25862F68" w:rsidR="004305E7" w:rsidRPr="006957D5" w:rsidRDefault="009F7C54" w:rsidP="00C2735B">
      <w:pPr>
        <w:pStyle w:val="PlainText"/>
        <w:spacing w:after="200" w:line="276" w:lineRule="auto"/>
        <w:rPr>
          <w:rFonts w:ascii="Arial" w:hAnsi="Arial" w:cs="Arial"/>
          <w:sz w:val="20"/>
          <w:szCs w:val="20"/>
        </w:rPr>
      </w:pPr>
      <w:r w:rsidRPr="00C117CF">
        <w:rPr>
          <w:rFonts w:ascii="Arial" w:hAnsi="Arial" w:cs="Arial"/>
          <w:snapToGrid w:val="0"/>
          <w:sz w:val="20"/>
          <w:szCs w:val="20"/>
          <w:lang w:eastAsia="en-US"/>
        </w:rPr>
        <w:t xml:space="preserve">Under the Guidance Note </w:t>
      </w:r>
      <w:proofErr w:type="spellStart"/>
      <w:r w:rsidRPr="00C117CF">
        <w:rPr>
          <w:rFonts w:ascii="Arial" w:hAnsi="Arial" w:cs="Arial"/>
          <w:i/>
          <w:snapToGrid w:val="0"/>
          <w:sz w:val="20"/>
          <w:szCs w:val="20"/>
          <w:lang w:eastAsia="en-US"/>
        </w:rPr>
        <w:t>Sunsetting</w:t>
      </w:r>
      <w:proofErr w:type="spellEnd"/>
      <w:r w:rsidRPr="00C117CF">
        <w:rPr>
          <w:rFonts w:ascii="Arial" w:hAnsi="Arial" w:cs="Arial"/>
          <w:i/>
          <w:snapToGrid w:val="0"/>
          <w:sz w:val="20"/>
          <w:szCs w:val="20"/>
          <w:lang w:eastAsia="en-US"/>
        </w:rPr>
        <w:t xml:space="preserve"> Legislation </w:t>
      </w:r>
      <w:r w:rsidRPr="00C117CF">
        <w:rPr>
          <w:rFonts w:ascii="Arial" w:hAnsi="Arial" w:cs="Arial"/>
          <w:snapToGrid w:val="0"/>
          <w:sz w:val="20"/>
          <w:szCs w:val="20"/>
          <w:lang w:eastAsia="en-US"/>
        </w:rPr>
        <w:t>published by the Office of Best Practice Regulation (</w:t>
      </w:r>
      <w:r w:rsidRPr="006B1C0E">
        <w:rPr>
          <w:rFonts w:ascii="Arial" w:hAnsi="Arial" w:cs="Arial"/>
          <w:b/>
          <w:snapToGrid w:val="0"/>
          <w:sz w:val="20"/>
          <w:szCs w:val="20"/>
          <w:lang w:eastAsia="en-US"/>
        </w:rPr>
        <w:t>OBPR</w:t>
      </w:r>
      <w:r w:rsidRPr="00C117CF">
        <w:rPr>
          <w:rFonts w:ascii="Arial" w:hAnsi="Arial" w:cs="Arial"/>
          <w:snapToGrid w:val="0"/>
          <w:sz w:val="20"/>
          <w:szCs w:val="20"/>
          <w:lang w:eastAsia="en-US"/>
        </w:rPr>
        <w:t xml:space="preserve">) in March 2013, streamlined administrative processes apply to </w:t>
      </w:r>
      <w:proofErr w:type="spellStart"/>
      <w:r w:rsidRPr="00C117CF">
        <w:rPr>
          <w:rFonts w:ascii="Arial" w:hAnsi="Arial" w:cs="Arial"/>
          <w:snapToGrid w:val="0"/>
          <w:sz w:val="20"/>
          <w:szCs w:val="20"/>
          <w:lang w:eastAsia="en-US"/>
        </w:rPr>
        <w:t>sunsetting</w:t>
      </w:r>
      <w:proofErr w:type="spellEnd"/>
      <w:r w:rsidRPr="00C117CF">
        <w:rPr>
          <w:rFonts w:ascii="Arial" w:hAnsi="Arial" w:cs="Arial"/>
          <w:snapToGrid w:val="0"/>
          <w:sz w:val="20"/>
          <w:szCs w:val="20"/>
          <w:lang w:eastAsia="en-US"/>
        </w:rPr>
        <w:t xml:space="preserve"> legislative instruments. As the ACMA has determined that the </w:t>
      </w:r>
      <w:r w:rsidR="00CE28EA">
        <w:rPr>
          <w:rFonts w:ascii="Arial" w:hAnsi="Arial" w:cs="Arial"/>
          <w:snapToGrid w:val="0"/>
          <w:sz w:val="20"/>
          <w:szCs w:val="20"/>
          <w:lang w:eastAsia="en-US"/>
        </w:rPr>
        <w:t>1996</w:t>
      </w:r>
      <w:r w:rsidR="00CE28EA" w:rsidRPr="00C117CF">
        <w:rPr>
          <w:rFonts w:ascii="Arial" w:hAnsi="Arial" w:cs="Arial"/>
          <w:snapToGrid w:val="0"/>
          <w:sz w:val="20"/>
          <w:szCs w:val="20"/>
          <w:lang w:eastAsia="en-US"/>
        </w:rPr>
        <w:t xml:space="preserve"> </w:t>
      </w:r>
      <w:r w:rsidRPr="00C117CF">
        <w:rPr>
          <w:rFonts w:ascii="Arial" w:hAnsi="Arial" w:cs="Arial"/>
          <w:snapToGrid w:val="0"/>
          <w:sz w:val="20"/>
          <w:szCs w:val="20"/>
          <w:lang w:eastAsia="en-US"/>
        </w:rPr>
        <w:t xml:space="preserve">Instrument was fit for purpose, and should be remade without any significant changes, and has certified those matters to OBPR, no Regulation </w:t>
      </w:r>
      <w:r w:rsidRPr="00C117CF">
        <w:rPr>
          <w:rFonts w:ascii="Arial" w:hAnsi="Arial" w:cs="Arial"/>
          <w:snapToGrid w:val="0"/>
          <w:sz w:val="20"/>
          <w:szCs w:val="20"/>
          <w:lang w:eastAsia="en-US"/>
        </w:rPr>
        <w:lastRenderedPageBreak/>
        <w:t>Impact Statement</w:t>
      </w:r>
      <w:r w:rsidR="0078424D">
        <w:rPr>
          <w:rFonts w:ascii="Arial" w:hAnsi="Arial" w:cs="Arial"/>
          <w:snapToGrid w:val="0"/>
          <w:sz w:val="20"/>
          <w:szCs w:val="20"/>
          <w:lang w:eastAsia="en-US"/>
        </w:rPr>
        <w:t xml:space="preserve"> </w:t>
      </w:r>
      <w:r w:rsidRPr="00C117CF">
        <w:rPr>
          <w:rFonts w:ascii="Arial" w:hAnsi="Arial" w:cs="Arial"/>
          <w:snapToGrid w:val="0"/>
          <w:sz w:val="20"/>
          <w:szCs w:val="20"/>
          <w:lang w:eastAsia="en-US"/>
        </w:rPr>
        <w:t>is required</w:t>
      </w:r>
      <w:r w:rsidR="004305E7">
        <w:rPr>
          <w:rFonts w:ascii="Arial" w:hAnsi="Arial" w:cs="Arial"/>
          <w:snapToGrid w:val="0"/>
          <w:sz w:val="20"/>
          <w:szCs w:val="20"/>
          <w:lang w:eastAsia="en-US"/>
        </w:rPr>
        <w:t xml:space="preserve"> in relation to the making of the </w:t>
      </w:r>
      <w:r w:rsidR="0018034A">
        <w:rPr>
          <w:rFonts w:ascii="Arial" w:hAnsi="Arial" w:cs="Arial"/>
          <w:snapToGrid w:val="0"/>
          <w:sz w:val="20"/>
          <w:szCs w:val="20"/>
          <w:lang w:eastAsia="en-US"/>
        </w:rPr>
        <w:t>Plan</w:t>
      </w:r>
      <w:r w:rsidR="002D3D1C">
        <w:rPr>
          <w:rFonts w:ascii="Arial" w:hAnsi="Arial" w:cs="Arial"/>
          <w:snapToGrid w:val="0"/>
          <w:sz w:val="20"/>
          <w:szCs w:val="20"/>
          <w:lang w:eastAsia="en-US"/>
        </w:rPr>
        <w:t>,</w:t>
      </w:r>
      <w:r w:rsidR="00C2735B">
        <w:rPr>
          <w:rFonts w:ascii="Arial" w:hAnsi="Arial" w:cs="Arial"/>
          <w:snapToGrid w:val="0"/>
          <w:sz w:val="20"/>
          <w:szCs w:val="20"/>
          <w:lang w:eastAsia="en-US"/>
        </w:rPr>
        <w:t xml:space="preserve"> </w:t>
      </w:r>
      <w:r w:rsidR="00813BC5">
        <w:rPr>
          <w:rFonts w:ascii="Arial" w:hAnsi="Arial" w:cs="Arial"/>
          <w:snapToGrid w:val="0"/>
          <w:sz w:val="20"/>
          <w:szCs w:val="20"/>
          <w:lang w:eastAsia="en-US"/>
        </w:rPr>
        <w:t>(</w:t>
      </w:r>
      <w:r w:rsidR="004305E7" w:rsidRPr="006957D5">
        <w:rPr>
          <w:rFonts w:ascii="Arial" w:hAnsi="Arial" w:cs="Arial"/>
          <w:sz w:val="20"/>
          <w:szCs w:val="20"/>
        </w:rPr>
        <w:t xml:space="preserve">OBPR reference number </w:t>
      </w:r>
      <w:r w:rsidR="00240F53" w:rsidRPr="006957D5">
        <w:rPr>
          <w:rFonts w:ascii="Arial" w:hAnsi="Arial" w:cs="Arial"/>
          <w:sz w:val="20"/>
          <w:szCs w:val="20"/>
        </w:rPr>
        <w:t>ID</w:t>
      </w:r>
      <w:r w:rsidR="00240F53">
        <w:rPr>
          <w:rFonts w:ascii="Arial" w:hAnsi="Arial" w:cs="Arial"/>
          <w:sz w:val="20"/>
          <w:szCs w:val="20"/>
        </w:rPr>
        <w:t> </w:t>
      </w:r>
      <w:r w:rsidR="00CE28EA">
        <w:rPr>
          <w:rFonts w:ascii="Arial" w:hAnsi="Arial" w:cs="Arial"/>
          <w:sz w:val="20"/>
          <w:szCs w:val="20"/>
        </w:rPr>
        <w:t>18666</w:t>
      </w:r>
      <w:r w:rsidR="00813BC5">
        <w:rPr>
          <w:rFonts w:ascii="Arial" w:hAnsi="Arial" w:cs="Arial"/>
          <w:sz w:val="20"/>
          <w:szCs w:val="20"/>
        </w:rPr>
        <w:t>)</w:t>
      </w:r>
      <w:r w:rsidR="004305E7" w:rsidRPr="006957D5">
        <w:rPr>
          <w:rFonts w:ascii="Arial" w:hAnsi="Arial" w:cs="Arial"/>
          <w:sz w:val="20"/>
          <w:szCs w:val="20"/>
        </w:rPr>
        <w:t>.</w:t>
      </w:r>
    </w:p>
    <w:p w14:paraId="7F259118" w14:textId="2D9A0E8B" w:rsidR="009467CC" w:rsidRPr="00C117CF" w:rsidRDefault="009467CC">
      <w:pPr>
        <w:rPr>
          <w:rFonts w:ascii="Arial" w:hAnsi="Arial" w:cs="Arial"/>
          <w:b/>
          <w:sz w:val="20"/>
          <w:szCs w:val="20"/>
        </w:rPr>
      </w:pPr>
      <w:bookmarkStart w:id="2" w:name="_GoBack"/>
      <w:bookmarkEnd w:id="2"/>
      <w:r w:rsidRPr="00C117CF">
        <w:rPr>
          <w:rFonts w:ascii="Arial" w:hAnsi="Arial" w:cs="Arial"/>
          <w:sz w:val="20"/>
          <w:szCs w:val="20"/>
        </w:rPr>
        <w:br w:type="page"/>
      </w:r>
      <w:r w:rsidRPr="00C117CF">
        <w:rPr>
          <w:rFonts w:ascii="Arial" w:hAnsi="Arial" w:cs="Arial"/>
          <w:b/>
          <w:sz w:val="20"/>
          <w:szCs w:val="20"/>
        </w:rPr>
        <w:lastRenderedPageBreak/>
        <w:t>Attachment A</w:t>
      </w:r>
    </w:p>
    <w:p w14:paraId="5F3C4A1E" w14:textId="00BC7716" w:rsidR="007D4840" w:rsidRPr="00C117CF" w:rsidRDefault="002D3D1C" w:rsidP="007D4840">
      <w:pPr>
        <w:pStyle w:val="BodyText"/>
        <w:spacing w:before="120" w:line="260" w:lineRule="atLeast"/>
        <w:jc w:val="both"/>
        <w:rPr>
          <w:rFonts w:ascii="Arial" w:eastAsia="Calibri" w:hAnsi="Arial" w:cs="Arial"/>
          <w:b/>
          <w:sz w:val="20"/>
          <w:lang w:eastAsia="en-US"/>
        </w:rPr>
      </w:pPr>
      <w:r>
        <w:rPr>
          <w:rFonts w:ascii="Arial" w:eastAsia="Calibri" w:hAnsi="Arial" w:cs="Arial"/>
          <w:b/>
          <w:sz w:val="20"/>
          <w:lang w:eastAsia="en-US"/>
        </w:rPr>
        <w:t>Details of the</w:t>
      </w:r>
      <w:r w:rsidR="007D4840" w:rsidRPr="00C117CF">
        <w:rPr>
          <w:rFonts w:ascii="Arial" w:eastAsia="Calibri" w:hAnsi="Arial" w:cs="Arial"/>
          <w:b/>
          <w:sz w:val="20"/>
          <w:lang w:eastAsia="en-US"/>
        </w:rPr>
        <w:t xml:space="preserve"> </w:t>
      </w:r>
      <w:proofErr w:type="spellStart"/>
      <w:r w:rsidR="007571CA" w:rsidRPr="00C117CF">
        <w:rPr>
          <w:rFonts w:ascii="Arial" w:eastAsia="Calibri" w:hAnsi="Arial" w:cs="Arial"/>
          <w:b/>
          <w:i/>
          <w:sz w:val="20"/>
          <w:lang w:eastAsia="en-US"/>
        </w:rPr>
        <w:t>Radiocommunications</w:t>
      </w:r>
      <w:proofErr w:type="spellEnd"/>
      <w:r w:rsidR="007D4840" w:rsidRPr="00C117CF">
        <w:rPr>
          <w:rFonts w:ascii="Arial" w:eastAsia="Calibri" w:hAnsi="Arial" w:cs="Arial"/>
          <w:b/>
          <w:i/>
          <w:sz w:val="20"/>
          <w:lang w:eastAsia="en-US"/>
        </w:rPr>
        <w:t xml:space="preserve"> </w:t>
      </w:r>
      <w:r w:rsidR="00973E52">
        <w:rPr>
          <w:rFonts w:ascii="Arial" w:eastAsia="Calibri" w:hAnsi="Arial" w:cs="Arial"/>
          <w:b/>
          <w:i/>
          <w:sz w:val="20"/>
          <w:lang w:eastAsia="en-US"/>
        </w:rPr>
        <w:t>1.5 </w:t>
      </w:r>
      <w:r w:rsidR="00D21D60">
        <w:rPr>
          <w:rFonts w:ascii="Arial" w:eastAsia="Calibri" w:hAnsi="Arial" w:cs="Arial"/>
          <w:b/>
          <w:i/>
          <w:sz w:val="20"/>
          <w:lang w:eastAsia="en-US"/>
        </w:rPr>
        <w:t xml:space="preserve">GHz </w:t>
      </w:r>
      <w:r w:rsidR="00973E52">
        <w:rPr>
          <w:rFonts w:ascii="Arial" w:eastAsia="Calibri" w:hAnsi="Arial" w:cs="Arial"/>
          <w:b/>
          <w:i/>
          <w:sz w:val="20"/>
          <w:lang w:eastAsia="en-US"/>
        </w:rPr>
        <w:t xml:space="preserve">Frequency </w:t>
      </w:r>
      <w:r w:rsidR="00D21D60">
        <w:rPr>
          <w:rFonts w:ascii="Arial" w:eastAsia="Calibri" w:hAnsi="Arial" w:cs="Arial"/>
          <w:b/>
          <w:i/>
          <w:sz w:val="20"/>
          <w:lang w:eastAsia="en-US"/>
        </w:rPr>
        <w:t>Band</w:t>
      </w:r>
      <w:r w:rsidR="00973E52">
        <w:rPr>
          <w:rFonts w:ascii="Arial" w:eastAsia="Calibri" w:hAnsi="Arial" w:cs="Arial"/>
          <w:b/>
          <w:i/>
          <w:sz w:val="20"/>
          <w:lang w:eastAsia="en-US"/>
        </w:rPr>
        <w:t xml:space="preserve"> Plan</w:t>
      </w:r>
      <w:r w:rsidR="00D21D60">
        <w:rPr>
          <w:rFonts w:ascii="Arial" w:eastAsia="Calibri" w:hAnsi="Arial" w:cs="Arial"/>
          <w:b/>
          <w:i/>
          <w:sz w:val="20"/>
          <w:lang w:eastAsia="en-US"/>
        </w:rPr>
        <w:t xml:space="preserve"> 2015</w:t>
      </w:r>
    </w:p>
    <w:p w14:paraId="26F4393E" w14:textId="121DD472" w:rsidR="009467CC" w:rsidRPr="00C117CF" w:rsidRDefault="007D4840" w:rsidP="007D4840">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 xml:space="preserve">Section 1 </w:t>
      </w:r>
      <w:r w:rsidR="00DE14ED">
        <w:rPr>
          <w:rFonts w:ascii="Arial" w:eastAsia="Calibri" w:hAnsi="Arial" w:cs="Arial"/>
          <w:b/>
          <w:sz w:val="20"/>
          <w:lang w:eastAsia="en-US"/>
        </w:rPr>
        <w:t>—</w:t>
      </w:r>
      <w:r w:rsidR="00DE14ED" w:rsidRPr="00C117CF">
        <w:rPr>
          <w:rFonts w:ascii="Arial" w:eastAsia="Calibri" w:hAnsi="Arial" w:cs="Arial"/>
          <w:b/>
          <w:sz w:val="20"/>
          <w:lang w:eastAsia="en-US"/>
        </w:rPr>
        <w:t xml:space="preserve"> </w:t>
      </w:r>
      <w:r w:rsidR="00671F5D">
        <w:rPr>
          <w:rFonts w:ascii="Arial" w:eastAsia="Calibri" w:hAnsi="Arial" w:cs="Arial"/>
          <w:b/>
          <w:sz w:val="20"/>
          <w:lang w:eastAsia="en-US"/>
        </w:rPr>
        <w:t>Name of frequency band plan</w:t>
      </w:r>
      <w:r w:rsidR="00671F5D" w:rsidRPr="00C117CF">
        <w:rPr>
          <w:rFonts w:ascii="Arial" w:eastAsia="Calibri" w:hAnsi="Arial" w:cs="Arial"/>
          <w:b/>
          <w:sz w:val="20"/>
          <w:lang w:eastAsia="en-US"/>
        </w:rPr>
        <w:t xml:space="preserve"> </w:t>
      </w:r>
    </w:p>
    <w:p w14:paraId="0244B8EC" w14:textId="102F3480" w:rsidR="007D4840" w:rsidRPr="00C117CF" w:rsidRDefault="003A7768">
      <w:pPr>
        <w:rPr>
          <w:rFonts w:ascii="Arial" w:hAnsi="Arial" w:cs="Arial"/>
          <w:sz w:val="20"/>
          <w:szCs w:val="20"/>
        </w:rPr>
      </w:pPr>
      <w:r>
        <w:rPr>
          <w:rFonts w:ascii="Arial" w:hAnsi="Arial" w:cs="Arial"/>
          <w:sz w:val="20"/>
          <w:szCs w:val="20"/>
        </w:rPr>
        <w:t>Section 1</w:t>
      </w:r>
      <w:r w:rsidR="007D4840" w:rsidRPr="00C117CF">
        <w:rPr>
          <w:rFonts w:ascii="Arial" w:hAnsi="Arial" w:cs="Arial"/>
          <w:sz w:val="20"/>
          <w:szCs w:val="20"/>
        </w:rPr>
        <w:t xml:space="preserve"> provides that the </w:t>
      </w:r>
      <w:r w:rsidR="00973E52">
        <w:rPr>
          <w:rFonts w:ascii="Arial" w:hAnsi="Arial" w:cs="Arial"/>
          <w:sz w:val="20"/>
          <w:szCs w:val="20"/>
        </w:rPr>
        <w:t>Plan</w:t>
      </w:r>
      <w:r w:rsidR="00973E52" w:rsidRPr="00C117CF">
        <w:rPr>
          <w:rFonts w:ascii="Arial" w:hAnsi="Arial" w:cs="Arial"/>
          <w:sz w:val="20"/>
          <w:szCs w:val="20"/>
        </w:rPr>
        <w:t xml:space="preserve"> </w:t>
      </w:r>
      <w:r w:rsidR="007D4840" w:rsidRPr="00C117CF">
        <w:rPr>
          <w:rFonts w:ascii="Arial" w:hAnsi="Arial" w:cs="Arial"/>
          <w:sz w:val="20"/>
          <w:szCs w:val="20"/>
        </w:rPr>
        <w:t xml:space="preserve">is </w:t>
      </w:r>
      <w:r w:rsidR="00FD6A40">
        <w:rPr>
          <w:rFonts w:ascii="Arial" w:hAnsi="Arial" w:cs="Arial"/>
          <w:sz w:val="20"/>
          <w:szCs w:val="20"/>
        </w:rPr>
        <w:t xml:space="preserve">called the </w:t>
      </w:r>
      <w:proofErr w:type="spellStart"/>
      <w:r w:rsidR="001B70AC" w:rsidRPr="0082083E">
        <w:rPr>
          <w:rFonts w:ascii="Arial" w:hAnsi="Arial" w:cs="Arial"/>
          <w:i/>
          <w:sz w:val="20"/>
          <w:szCs w:val="20"/>
        </w:rPr>
        <w:t>R</w:t>
      </w:r>
      <w:r w:rsidR="007D4840" w:rsidRPr="00C117CF">
        <w:rPr>
          <w:rFonts w:ascii="Arial" w:hAnsi="Arial" w:cs="Arial"/>
          <w:i/>
          <w:sz w:val="20"/>
          <w:szCs w:val="20"/>
        </w:rPr>
        <w:t>adiocommunications</w:t>
      </w:r>
      <w:proofErr w:type="spellEnd"/>
      <w:r w:rsidR="007D4840" w:rsidRPr="00C117CF">
        <w:rPr>
          <w:rFonts w:ascii="Arial" w:hAnsi="Arial" w:cs="Arial"/>
          <w:i/>
          <w:sz w:val="20"/>
          <w:szCs w:val="20"/>
        </w:rPr>
        <w:t xml:space="preserve"> </w:t>
      </w:r>
      <w:r w:rsidR="00973E52">
        <w:rPr>
          <w:rFonts w:ascii="Arial" w:hAnsi="Arial" w:cs="Arial"/>
          <w:i/>
          <w:sz w:val="20"/>
          <w:szCs w:val="20"/>
        </w:rPr>
        <w:t>1.5 GHz Frequency Band Plan</w:t>
      </w:r>
      <w:r w:rsidR="001B70AC">
        <w:rPr>
          <w:rFonts w:ascii="Arial" w:hAnsi="Arial" w:cs="Arial"/>
          <w:i/>
          <w:sz w:val="20"/>
          <w:szCs w:val="20"/>
        </w:rPr>
        <w:t xml:space="preserve"> 201</w:t>
      </w:r>
      <w:r w:rsidR="00D21D60">
        <w:rPr>
          <w:rFonts w:ascii="Arial" w:hAnsi="Arial" w:cs="Arial"/>
          <w:i/>
          <w:sz w:val="20"/>
          <w:szCs w:val="20"/>
        </w:rPr>
        <w:t>5</w:t>
      </w:r>
      <w:r w:rsidR="001D480F" w:rsidRPr="00C117CF">
        <w:rPr>
          <w:rFonts w:ascii="Arial" w:hAnsi="Arial" w:cs="Arial"/>
          <w:sz w:val="20"/>
          <w:szCs w:val="20"/>
        </w:rPr>
        <w:t>.</w:t>
      </w:r>
    </w:p>
    <w:p w14:paraId="2176EE75" w14:textId="32DFC5BF" w:rsidR="00D320A3" w:rsidRDefault="00D320A3" w:rsidP="00D320A3">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 xml:space="preserve">Section </w:t>
      </w:r>
      <w:r w:rsidR="001B70AC">
        <w:rPr>
          <w:rFonts w:ascii="Arial" w:eastAsia="Calibri" w:hAnsi="Arial" w:cs="Arial"/>
          <w:b/>
          <w:sz w:val="20"/>
          <w:lang w:eastAsia="en-US"/>
        </w:rPr>
        <w:t>2</w:t>
      </w:r>
      <w:r>
        <w:rPr>
          <w:rFonts w:ascii="Arial" w:eastAsia="Calibri" w:hAnsi="Arial" w:cs="Arial"/>
          <w:b/>
          <w:sz w:val="20"/>
          <w:lang w:eastAsia="en-US"/>
        </w:rPr>
        <w:t xml:space="preserve"> </w:t>
      </w:r>
      <w:r w:rsidR="00DE14ED">
        <w:rPr>
          <w:rFonts w:ascii="Arial" w:eastAsia="Calibri" w:hAnsi="Arial" w:cs="Arial"/>
          <w:b/>
          <w:sz w:val="20"/>
          <w:lang w:eastAsia="en-US"/>
        </w:rPr>
        <w:t xml:space="preserve">— </w:t>
      </w:r>
      <w:r>
        <w:rPr>
          <w:rFonts w:ascii="Arial" w:eastAsia="Calibri" w:hAnsi="Arial" w:cs="Arial"/>
          <w:b/>
          <w:sz w:val="20"/>
          <w:lang w:eastAsia="en-US"/>
        </w:rPr>
        <w:t>Commencement</w:t>
      </w:r>
    </w:p>
    <w:p w14:paraId="6AA6C53C" w14:textId="72D07D57" w:rsidR="00D320A3" w:rsidRPr="00DB73CD" w:rsidRDefault="00D320A3" w:rsidP="00D320A3">
      <w:pPr>
        <w:rPr>
          <w:rFonts w:ascii="Arial" w:hAnsi="Arial" w:cs="Arial"/>
          <w:sz w:val="20"/>
          <w:szCs w:val="20"/>
        </w:rPr>
      </w:pPr>
      <w:r w:rsidRPr="00DB73CD">
        <w:rPr>
          <w:rFonts w:ascii="Arial" w:hAnsi="Arial" w:cs="Arial"/>
          <w:sz w:val="20"/>
          <w:szCs w:val="20"/>
        </w:rPr>
        <w:t xml:space="preserve">Section </w:t>
      </w:r>
      <w:r w:rsidR="00933CC0">
        <w:rPr>
          <w:rFonts w:ascii="Arial" w:hAnsi="Arial" w:cs="Arial"/>
          <w:sz w:val="20"/>
          <w:szCs w:val="20"/>
        </w:rPr>
        <w:t>2</w:t>
      </w:r>
      <w:r w:rsidRPr="00DB73CD">
        <w:rPr>
          <w:rFonts w:ascii="Arial" w:hAnsi="Arial" w:cs="Arial"/>
          <w:sz w:val="20"/>
          <w:szCs w:val="20"/>
        </w:rPr>
        <w:t xml:space="preserve"> provides that the </w:t>
      </w:r>
      <w:r w:rsidR="00973E52">
        <w:rPr>
          <w:rFonts w:ascii="Arial" w:hAnsi="Arial" w:cs="Arial"/>
          <w:sz w:val="20"/>
          <w:szCs w:val="20"/>
        </w:rPr>
        <w:t xml:space="preserve">Plan </w:t>
      </w:r>
      <w:r w:rsidRPr="00DB73CD">
        <w:rPr>
          <w:rFonts w:ascii="Arial" w:hAnsi="Arial" w:cs="Arial"/>
          <w:sz w:val="20"/>
          <w:szCs w:val="20"/>
        </w:rPr>
        <w:t xml:space="preserve">commences on </w:t>
      </w:r>
      <w:r>
        <w:rPr>
          <w:rFonts w:ascii="Arial" w:hAnsi="Arial" w:cs="Arial"/>
          <w:sz w:val="20"/>
          <w:szCs w:val="20"/>
        </w:rPr>
        <w:t>the day after it is registered on the Federal Register of Legislative Instruments.</w:t>
      </w:r>
    </w:p>
    <w:p w14:paraId="1AE991A0" w14:textId="43655C1B" w:rsidR="00D320A3" w:rsidRDefault="00D320A3" w:rsidP="00D320A3">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 xml:space="preserve">Section </w:t>
      </w:r>
      <w:r w:rsidR="00933CC0">
        <w:rPr>
          <w:rFonts w:ascii="Arial" w:eastAsia="Calibri" w:hAnsi="Arial" w:cs="Arial"/>
          <w:b/>
          <w:sz w:val="20"/>
          <w:lang w:eastAsia="en-US"/>
        </w:rPr>
        <w:t>3</w:t>
      </w:r>
      <w:r>
        <w:rPr>
          <w:rFonts w:ascii="Arial" w:eastAsia="Calibri" w:hAnsi="Arial" w:cs="Arial"/>
          <w:b/>
          <w:sz w:val="20"/>
          <w:lang w:eastAsia="en-US"/>
        </w:rPr>
        <w:t xml:space="preserve"> </w:t>
      </w:r>
      <w:r w:rsidR="00DE14ED">
        <w:rPr>
          <w:rFonts w:ascii="Arial" w:eastAsia="Calibri" w:hAnsi="Arial" w:cs="Arial"/>
          <w:b/>
          <w:sz w:val="20"/>
          <w:lang w:eastAsia="en-US"/>
        </w:rPr>
        <w:t xml:space="preserve">— </w:t>
      </w:r>
      <w:r>
        <w:rPr>
          <w:rFonts w:ascii="Arial" w:eastAsia="Calibri" w:hAnsi="Arial" w:cs="Arial"/>
          <w:b/>
          <w:sz w:val="20"/>
          <w:lang w:eastAsia="en-US"/>
        </w:rPr>
        <w:t xml:space="preserve">Revocation </w:t>
      </w:r>
    </w:p>
    <w:p w14:paraId="0D846026" w14:textId="4168118C" w:rsidR="00D320A3" w:rsidRPr="00DB73CD" w:rsidRDefault="00D320A3" w:rsidP="00D320A3">
      <w:pPr>
        <w:rPr>
          <w:rFonts w:ascii="Arial" w:hAnsi="Arial" w:cs="Arial"/>
          <w:i/>
          <w:sz w:val="20"/>
          <w:szCs w:val="20"/>
        </w:rPr>
      </w:pPr>
      <w:r w:rsidRPr="00DB73CD">
        <w:rPr>
          <w:rFonts w:ascii="Arial" w:hAnsi="Arial" w:cs="Arial"/>
          <w:sz w:val="20"/>
          <w:szCs w:val="20"/>
        </w:rPr>
        <w:t xml:space="preserve">Section </w:t>
      </w:r>
      <w:r w:rsidR="00933CC0">
        <w:rPr>
          <w:rFonts w:ascii="Arial" w:hAnsi="Arial" w:cs="Arial"/>
          <w:sz w:val="20"/>
          <w:szCs w:val="20"/>
        </w:rPr>
        <w:t>3</w:t>
      </w:r>
      <w:r w:rsidRPr="00DB73CD">
        <w:rPr>
          <w:rFonts w:ascii="Arial" w:hAnsi="Arial" w:cs="Arial"/>
          <w:sz w:val="20"/>
          <w:szCs w:val="20"/>
        </w:rPr>
        <w:t xml:space="preserve"> provides that </w:t>
      </w:r>
      <w:r>
        <w:rPr>
          <w:rFonts w:ascii="Arial" w:hAnsi="Arial" w:cs="Arial"/>
          <w:sz w:val="20"/>
          <w:szCs w:val="20"/>
        </w:rPr>
        <w:t xml:space="preserve">the </w:t>
      </w:r>
      <w:r w:rsidR="00973E52">
        <w:rPr>
          <w:rFonts w:ascii="Arial" w:hAnsi="Arial" w:cs="Arial"/>
          <w:sz w:val="20"/>
          <w:szCs w:val="20"/>
        </w:rPr>
        <w:t xml:space="preserve">1996 </w:t>
      </w:r>
      <w:r>
        <w:rPr>
          <w:rFonts w:ascii="Arial" w:hAnsi="Arial" w:cs="Arial"/>
          <w:sz w:val="20"/>
          <w:szCs w:val="20"/>
        </w:rPr>
        <w:t>Instrument is revoked.</w:t>
      </w:r>
    </w:p>
    <w:p w14:paraId="2A694E0C" w14:textId="33D3F00D" w:rsidR="007D4840" w:rsidRPr="00C117CF" w:rsidRDefault="007D4840" w:rsidP="007D4840">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 xml:space="preserve">Section </w:t>
      </w:r>
      <w:r w:rsidR="00933CC0">
        <w:rPr>
          <w:rFonts w:ascii="Arial" w:eastAsia="Calibri" w:hAnsi="Arial" w:cs="Arial"/>
          <w:b/>
          <w:sz w:val="20"/>
          <w:lang w:eastAsia="en-US"/>
        </w:rPr>
        <w:t>4</w:t>
      </w:r>
      <w:r w:rsidRPr="00C117CF">
        <w:rPr>
          <w:rFonts w:ascii="Arial" w:eastAsia="Calibri" w:hAnsi="Arial" w:cs="Arial"/>
          <w:b/>
          <w:sz w:val="20"/>
          <w:lang w:eastAsia="en-US"/>
        </w:rPr>
        <w:t xml:space="preserve"> </w:t>
      </w:r>
      <w:r w:rsidR="00DE14ED">
        <w:rPr>
          <w:rFonts w:ascii="Arial" w:eastAsia="Calibri" w:hAnsi="Arial" w:cs="Arial"/>
          <w:b/>
          <w:sz w:val="20"/>
          <w:lang w:eastAsia="en-US"/>
        </w:rPr>
        <w:t>—</w:t>
      </w:r>
      <w:r w:rsidR="00DE14ED" w:rsidRPr="00C117CF">
        <w:rPr>
          <w:rFonts w:ascii="Arial" w:eastAsia="Calibri" w:hAnsi="Arial" w:cs="Arial"/>
          <w:b/>
          <w:sz w:val="20"/>
          <w:lang w:eastAsia="en-US"/>
        </w:rPr>
        <w:t xml:space="preserve"> </w:t>
      </w:r>
      <w:r w:rsidR="00671F5D">
        <w:rPr>
          <w:rFonts w:ascii="Arial" w:eastAsia="Calibri" w:hAnsi="Arial" w:cs="Arial"/>
          <w:b/>
          <w:sz w:val="20"/>
          <w:lang w:eastAsia="en-US"/>
        </w:rPr>
        <w:t>Interpretation</w:t>
      </w:r>
    </w:p>
    <w:p w14:paraId="70C1725D" w14:textId="484D5352" w:rsidR="00671F5D" w:rsidRDefault="00671F5D">
      <w:pPr>
        <w:rPr>
          <w:rFonts w:ascii="Arial" w:hAnsi="Arial" w:cs="Arial"/>
          <w:sz w:val="20"/>
          <w:szCs w:val="20"/>
        </w:rPr>
      </w:pPr>
      <w:r>
        <w:rPr>
          <w:rFonts w:ascii="Arial" w:hAnsi="Arial" w:cs="Arial"/>
          <w:sz w:val="20"/>
          <w:szCs w:val="20"/>
        </w:rPr>
        <w:t>Section 4 defines various terms which are used in the Plan.</w:t>
      </w:r>
    </w:p>
    <w:p w14:paraId="6214F028" w14:textId="18AE1AD3" w:rsidR="006961E4" w:rsidRDefault="006961E4">
      <w:pPr>
        <w:rPr>
          <w:rFonts w:ascii="Arial" w:hAnsi="Arial" w:cs="Arial"/>
          <w:sz w:val="20"/>
          <w:szCs w:val="20"/>
        </w:rPr>
      </w:pPr>
      <w:r>
        <w:rPr>
          <w:rFonts w:ascii="Arial" w:hAnsi="Arial" w:cs="Arial"/>
          <w:sz w:val="20"/>
          <w:szCs w:val="20"/>
        </w:rPr>
        <w:t xml:space="preserve">The </w:t>
      </w:r>
      <w:r>
        <w:rPr>
          <w:rFonts w:ascii="Arial" w:hAnsi="Arial" w:cs="Arial"/>
          <w:i/>
          <w:sz w:val="20"/>
          <w:szCs w:val="20"/>
        </w:rPr>
        <w:t xml:space="preserve">1.5 GHz band </w:t>
      </w:r>
      <w:r>
        <w:rPr>
          <w:rFonts w:ascii="Arial" w:hAnsi="Arial" w:cs="Arial"/>
          <w:sz w:val="20"/>
          <w:szCs w:val="20"/>
        </w:rPr>
        <w:t>means the range of frequencies greater than 1427 MHz and not exceeding 1535 </w:t>
      </w:r>
      <w:proofErr w:type="spellStart"/>
      <w:r>
        <w:rPr>
          <w:rFonts w:ascii="Arial" w:hAnsi="Arial" w:cs="Arial"/>
          <w:sz w:val="20"/>
          <w:szCs w:val="20"/>
        </w:rPr>
        <w:t>MHz.</w:t>
      </w:r>
      <w:proofErr w:type="spellEnd"/>
    </w:p>
    <w:p w14:paraId="680EBE79" w14:textId="0FB75308" w:rsidR="006961E4" w:rsidRPr="006961E4" w:rsidRDefault="006961E4">
      <w:pPr>
        <w:rPr>
          <w:rFonts w:ascii="Arial" w:hAnsi="Arial" w:cs="Arial"/>
          <w:sz w:val="20"/>
          <w:szCs w:val="20"/>
        </w:rPr>
      </w:pPr>
      <w:r>
        <w:rPr>
          <w:rFonts w:ascii="Arial" w:hAnsi="Arial" w:cs="Arial"/>
          <w:sz w:val="20"/>
          <w:szCs w:val="20"/>
        </w:rPr>
        <w:t xml:space="preserve">An </w:t>
      </w:r>
      <w:r>
        <w:rPr>
          <w:rFonts w:ascii="Arial" w:hAnsi="Arial" w:cs="Arial"/>
          <w:i/>
          <w:sz w:val="20"/>
          <w:szCs w:val="20"/>
        </w:rPr>
        <w:t>authorised service</w:t>
      </w:r>
      <w:r>
        <w:rPr>
          <w:rFonts w:ascii="Arial" w:hAnsi="Arial" w:cs="Arial"/>
          <w:sz w:val="20"/>
          <w:szCs w:val="20"/>
        </w:rPr>
        <w:t xml:space="preserve"> is a service specified in the </w:t>
      </w:r>
      <w:r>
        <w:rPr>
          <w:rFonts w:ascii="Arial" w:hAnsi="Arial" w:cs="Arial"/>
          <w:i/>
          <w:sz w:val="20"/>
          <w:szCs w:val="20"/>
        </w:rPr>
        <w:t>Australian Radiofrequency Spectrum Plan 2013</w:t>
      </w:r>
      <w:r>
        <w:rPr>
          <w:rFonts w:ascii="Arial" w:hAnsi="Arial" w:cs="Arial"/>
          <w:sz w:val="20"/>
          <w:szCs w:val="20"/>
        </w:rPr>
        <w:t xml:space="preserve"> as a primary or secondary service for the 1.5 GHz band</w:t>
      </w:r>
      <w:r w:rsidR="00340203">
        <w:rPr>
          <w:rFonts w:ascii="Arial" w:hAnsi="Arial" w:cs="Arial"/>
          <w:sz w:val="20"/>
          <w:szCs w:val="20"/>
        </w:rPr>
        <w:t>, or a part of that band</w:t>
      </w:r>
      <w:r>
        <w:rPr>
          <w:rFonts w:ascii="Arial" w:hAnsi="Arial" w:cs="Arial"/>
          <w:sz w:val="20"/>
          <w:szCs w:val="20"/>
        </w:rPr>
        <w:t>.</w:t>
      </w:r>
    </w:p>
    <w:p w14:paraId="59887F9D" w14:textId="09E95BDB" w:rsidR="007D4840" w:rsidRPr="00C117CF" w:rsidRDefault="00224088" w:rsidP="00ED2635">
      <w:pPr>
        <w:rPr>
          <w:rFonts w:ascii="Arial" w:hAnsi="Arial" w:cs="Arial"/>
          <w:b/>
          <w:sz w:val="20"/>
        </w:rPr>
      </w:pPr>
      <w:r w:rsidRPr="00C117CF">
        <w:rPr>
          <w:rFonts w:ascii="Arial" w:hAnsi="Arial" w:cs="Arial"/>
          <w:b/>
          <w:sz w:val="20"/>
        </w:rPr>
        <w:t xml:space="preserve">Section </w:t>
      </w:r>
      <w:r w:rsidR="00933CC0">
        <w:rPr>
          <w:rFonts w:ascii="Arial" w:hAnsi="Arial" w:cs="Arial"/>
          <w:b/>
          <w:sz w:val="20"/>
        </w:rPr>
        <w:t>5</w:t>
      </w:r>
      <w:r w:rsidRPr="00C117CF">
        <w:rPr>
          <w:rFonts w:ascii="Arial" w:hAnsi="Arial" w:cs="Arial"/>
          <w:b/>
          <w:sz w:val="20"/>
        </w:rPr>
        <w:t xml:space="preserve"> </w:t>
      </w:r>
      <w:r w:rsidR="00DE14ED">
        <w:rPr>
          <w:rFonts w:ascii="Arial" w:hAnsi="Arial" w:cs="Arial"/>
          <w:b/>
          <w:sz w:val="20"/>
        </w:rPr>
        <w:t>—</w:t>
      </w:r>
      <w:r w:rsidR="00DE14ED" w:rsidRPr="00C117CF">
        <w:rPr>
          <w:rFonts w:ascii="Arial" w:hAnsi="Arial" w:cs="Arial"/>
          <w:b/>
          <w:sz w:val="20"/>
        </w:rPr>
        <w:t xml:space="preserve"> </w:t>
      </w:r>
      <w:r w:rsidR="00671F5D">
        <w:rPr>
          <w:rFonts w:ascii="Arial" w:hAnsi="Arial" w:cs="Arial"/>
          <w:b/>
          <w:sz w:val="20"/>
        </w:rPr>
        <w:t>Purpose</w:t>
      </w:r>
      <w:r w:rsidR="00DE14ED">
        <w:rPr>
          <w:rFonts w:ascii="Arial" w:hAnsi="Arial" w:cs="Arial"/>
          <w:b/>
          <w:sz w:val="20"/>
        </w:rPr>
        <w:t xml:space="preserve"> of the 1.5 GHz band</w:t>
      </w:r>
    </w:p>
    <w:p w14:paraId="6DCDFF80" w14:textId="5F28CF36" w:rsidR="00DE14ED" w:rsidRDefault="005B40D7" w:rsidP="005B40D7">
      <w:pPr>
        <w:rPr>
          <w:rFonts w:ascii="Arial" w:hAnsi="Arial" w:cs="Arial"/>
          <w:sz w:val="20"/>
          <w:szCs w:val="20"/>
        </w:rPr>
      </w:pPr>
      <w:r>
        <w:rPr>
          <w:rFonts w:ascii="Arial" w:hAnsi="Arial" w:cs="Arial"/>
          <w:sz w:val="20"/>
          <w:szCs w:val="20"/>
        </w:rPr>
        <w:t xml:space="preserve">Section </w:t>
      </w:r>
      <w:r w:rsidR="00933CC0">
        <w:rPr>
          <w:rFonts w:ascii="Arial" w:hAnsi="Arial" w:cs="Arial"/>
          <w:sz w:val="20"/>
          <w:szCs w:val="20"/>
        </w:rPr>
        <w:t>5</w:t>
      </w:r>
      <w:r>
        <w:rPr>
          <w:rFonts w:ascii="Arial" w:hAnsi="Arial" w:cs="Arial"/>
          <w:sz w:val="20"/>
          <w:szCs w:val="20"/>
        </w:rPr>
        <w:t xml:space="preserve"> </w:t>
      </w:r>
      <w:r w:rsidR="00DE14ED">
        <w:rPr>
          <w:rFonts w:ascii="Arial" w:hAnsi="Arial" w:cs="Arial"/>
          <w:sz w:val="20"/>
          <w:szCs w:val="20"/>
        </w:rPr>
        <w:t>provides that</w:t>
      </w:r>
      <w:r w:rsidR="006961E4">
        <w:rPr>
          <w:rFonts w:ascii="Arial" w:hAnsi="Arial" w:cs="Arial"/>
          <w:sz w:val="20"/>
          <w:szCs w:val="20"/>
        </w:rPr>
        <w:t>,</w:t>
      </w:r>
      <w:r w:rsidR="00DE14ED">
        <w:rPr>
          <w:rFonts w:ascii="Arial" w:hAnsi="Arial" w:cs="Arial"/>
          <w:sz w:val="20"/>
          <w:szCs w:val="20"/>
        </w:rPr>
        <w:t xml:space="preserve"> subject to section 6, a frequency band that is part of the 1.5 GHz band may be used for the operation of each authorised service that relates to the frequency band.</w:t>
      </w:r>
      <w:r w:rsidR="00CF053F">
        <w:rPr>
          <w:rFonts w:ascii="Arial" w:hAnsi="Arial" w:cs="Arial"/>
          <w:sz w:val="20"/>
          <w:szCs w:val="20"/>
        </w:rPr>
        <w:t xml:space="preserve"> </w:t>
      </w:r>
    </w:p>
    <w:p w14:paraId="2FA844A7" w14:textId="52E0EEFD" w:rsidR="007D4840" w:rsidRPr="00C117CF" w:rsidRDefault="00721C92" w:rsidP="00721C92">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 xml:space="preserve">Section </w:t>
      </w:r>
      <w:r w:rsidR="00933CC0">
        <w:rPr>
          <w:rFonts w:ascii="Arial" w:eastAsia="Calibri" w:hAnsi="Arial" w:cs="Arial"/>
          <w:b/>
          <w:sz w:val="20"/>
          <w:lang w:eastAsia="en-US"/>
        </w:rPr>
        <w:t>6</w:t>
      </w:r>
      <w:r w:rsidRPr="00C117CF">
        <w:rPr>
          <w:rFonts w:ascii="Arial" w:eastAsia="Calibri" w:hAnsi="Arial" w:cs="Arial"/>
          <w:b/>
          <w:sz w:val="20"/>
          <w:lang w:eastAsia="en-US"/>
        </w:rPr>
        <w:t xml:space="preserve"> </w:t>
      </w:r>
      <w:r w:rsidR="00DE14ED">
        <w:rPr>
          <w:rFonts w:ascii="Arial" w:eastAsia="Calibri" w:hAnsi="Arial" w:cs="Arial"/>
          <w:b/>
          <w:sz w:val="20"/>
          <w:lang w:eastAsia="en-US"/>
        </w:rPr>
        <w:t>—</w:t>
      </w:r>
      <w:r w:rsidR="00DE14ED" w:rsidRPr="00C117CF">
        <w:rPr>
          <w:rFonts w:ascii="Arial" w:eastAsia="Calibri" w:hAnsi="Arial" w:cs="Arial"/>
          <w:b/>
          <w:sz w:val="20"/>
          <w:lang w:eastAsia="en-US"/>
        </w:rPr>
        <w:t xml:space="preserve"> </w:t>
      </w:r>
      <w:r w:rsidR="00DE14ED">
        <w:rPr>
          <w:rFonts w:ascii="Arial" w:eastAsia="Calibri" w:hAnsi="Arial" w:cs="Arial"/>
          <w:b/>
          <w:sz w:val="20"/>
          <w:lang w:eastAsia="en-US"/>
        </w:rPr>
        <w:t>Limitation</w:t>
      </w:r>
      <w:r w:rsidR="006805A9">
        <w:rPr>
          <w:rFonts w:ascii="Arial" w:eastAsia="Calibri" w:hAnsi="Arial" w:cs="Arial"/>
          <w:b/>
          <w:sz w:val="20"/>
          <w:lang w:eastAsia="en-US"/>
        </w:rPr>
        <w:t>s</w:t>
      </w:r>
      <w:r w:rsidR="00DE14ED">
        <w:rPr>
          <w:rFonts w:ascii="Arial" w:eastAsia="Calibri" w:hAnsi="Arial" w:cs="Arial"/>
          <w:b/>
          <w:sz w:val="20"/>
          <w:lang w:eastAsia="en-US"/>
        </w:rPr>
        <w:t xml:space="preserve"> on the use of the 1.5 GHz band</w:t>
      </w:r>
    </w:p>
    <w:p w14:paraId="6158A999" w14:textId="5F9D80B3" w:rsidR="00ED689F" w:rsidRPr="00C117CF" w:rsidRDefault="00B32B39">
      <w:pPr>
        <w:rPr>
          <w:rFonts w:ascii="Arial" w:hAnsi="Arial" w:cs="Arial"/>
          <w:sz w:val="20"/>
          <w:szCs w:val="20"/>
        </w:rPr>
      </w:pPr>
      <w:r>
        <w:rPr>
          <w:rFonts w:ascii="Arial" w:hAnsi="Arial" w:cs="Arial"/>
          <w:sz w:val="20"/>
          <w:szCs w:val="20"/>
        </w:rPr>
        <w:t>Section 6 limits the use of frequency bands that are part of the 1.5 GHz band</w:t>
      </w:r>
      <w:r w:rsidR="005175AE">
        <w:rPr>
          <w:rFonts w:ascii="Arial" w:hAnsi="Arial" w:cs="Arial"/>
          <w:sz w:val="20"/>
          <w:szCs w:val="20"/>
        </w:rPr>
        <w:t xml:space="preserve"> </w:t>
      </w:r>
      <w:r w:rsidR="00CF053F">
        <w:rPr>
          <w:rFonts w:ascii="Arial" w:hAnsi="Arial" w:cs="Arial"/>
          <w:sz w:val="20"/>
          <w:szCs w:val="20"/>
        </w:rPr>
        <w:t xml:space="preserve">in the manner set out in Schedule 1, </w:t>
      </w:r>
      <w:r w:rsidR="005175AE">
        <w:rPr>
          <w:rFonts w:ascii="Arial" w:hAnsi="Arial" w:cs="Arial"/>
          <w:sz w:val="20"/>
          <w:szCs w:val="20"/>
        </w:rPr>
        <w:t xml:space="preserve">subject to subsections 10(4) </w:t>
      </w:r>
      <w:r w:rsidR="001A2599">
        <w:rPr>
          <w:rFonts w:ascii="Arial" w:hAnsi="Arial" w:cs="Arial"/>
          <w:sz w:val="20"/>
          <w:szCs w:val="20"/>
        </w:rPr>
        <w:t>to</w:t>
      </w:r>
      <w:r w:rsidR="005175AE">
        <w:rPr>
          <w:rFonts w:ascii="Arial" w:hAnsi="Arial" w:cs="Arial"/>
          <w:sz w:val="20"/>
          <w:szCs w:val="20"/>
        </w:rPr>
        <w:t xml:space="preserve"> 10(8) inclusive of the </w:t>
      </w:r>
      <w:r w:rsidR="005175AE" w:rsidRPr="00ED2635">
        <w:rPr>
          <w:rFonts w:ascii="Arial" w:hAnsi="Arial" w:cs="Arial"/>
          <w:i/>
          <w:sz w:val="20"/>
          <w:szCs w:val="20"/>
        </w:rPr>
        <w:t>Australian Radiofrequency Spectrum Plan 2013</w:t>
      </w:r>
      <w:r w:rsidR="00CF053F">
        <w:rPr>
          <w:rFonts w:ascii="Arial" w:hAnsi="Arial" w:cs="Arial"/>
          <w:i/>
          <w:sz w:val="20"/>
          <w:szCs w:val="20"/>
        </w:rPr>
        <w:t xml:space="preserve"> </w:t>
      </w:r>
      <w:r w:rsidR="00CF053F">
        <w:rPr>
          <w:rFonts w:ascii="Arial" w:hAnsi="Arial" w:cs="Arial"/>
          <w:sz w:val="20"/>
          <w:szCs w:val="20"/>
        </w:rPr>
        <w:t>which allow use of the band in certain instances</w:t>
      </w:r>
      <w:r w:rsidR="005175AE">
        <w:rPr>
          <w:rFonts w:ascii="Arial" w:hAnsi="Arial" w:cs="Arial"/>
          <w:sz w:val="20"/>
          <w:szCs w:val="20"/>
        </w:rPr>
        <w:t>.</w:t>
      </w:r>
    </w:p>
    <w:p w14:paraId="4DEE9094" w14:textId="49FDA610" w:rsidR="00200A19" w:rsidRDefault="00200A19" w:rsidP="00200A19">
      <w:pPr>
        <w:pStyle w:val="BodyText"/>
        <w:spacing w:before="120" w:line="260" w:lineRule="atLeast"/>
        <w:rPr>
          <w:rFonts w:ascii="Arial" w:eastAsia="Calibri" w:hAnsi="Arial" w:cs="Arial"/>
          <w:b/>
          <w:sz w:val="20"/>
          <w:lang w:eastAsia="en-US"/>
        </w:rPr>
      </w:pPr>
      <w:r>
        <w:rPr>
          <w:rFonts w:ascii="Arial" w:eastAsia="Calibri" w:hAnsi="Arial" w:cs="Arial"/>
          <w:b/>
          <w:sz w:val="20"/>
          <w:lang w:eastAsia="en-US"/>
        </w:rPr>
        <w:t xml:space="preserve">Schedule 1 </w:t>
      </w:r>
      <w:r w:rsidR="0018034A">
        <w:rPr>
          <w:rFonts w:ascii="Arial" w:eastAsia="Calibri" w:hAnsi="Arial" w:cs="Arial"/>
          <w:b/>
          <w:sz w:val="20"/>
          <w:lang w:eastAsia="en-US"/>
        </w:rPr>
        <w:t xml:space="preserve">— </w:t>
      </w:r>
      <w:r w:rsidR="00796C37">
        <w:rPr>
          <w:rFonts w:ascii="Arial" w:eastAsia="Calibri" w:hAnsi="Arial" w:cs="Arial"/>
          <w:b/>
          <w:sz w:val="20"/>
          <w:lang w:eastAsia="en-US"/>
        </w:rPr>
        <w:t>Limitations on the use of the 1.5 GHz band</w:t>
      </w:r>
    </w:p>
    <w:p w14:paraId="7FC5F55A" w14:textId="4F3A87E2" w:rsidR="00C15F8D" w:rsidRDefault="00802853">
      <w:pPr>
        <w:pStyle w:val="BodyText"/>
        <w:spacing w:before="120" w:line="260" w:lineRule="atLeast"/>
        <w:rPr>
          <w:rFonts w:ascii="Arial" w:eastAsia="Calibri" w:hAnsi="Arial" w:cs="Arial"/>
          <w:sz w:val="20"/>
          <w:lang w:eastAsia="en-US"/>
        </w:rPr>
      </w:pPr>
      <w:r>
        <w:rPr>
          <w:rFonts w:ascii="Arial" w:eastAsia="Calibri" w:hAnsi="Arial" w:cs="Arial"/>
          <w:sz w:val="20"/>
          <w:lang w:eastAsia="en-US"/>
        </w:rPr>
        <w:t>Schedule 1 places limits on the types of services that can operate in the bands 1452–1492 MHz and 1525–1530 MHz</w:t>
      </w:r>
      <w:r w:rsidR="006805A9">
        <w:rPr>
          <w:rFonts w:ascii="Arial" w:eastAsia="Calibri" w:hAnsi="Arial" w:cs="Arial"/>
          <w:sz w:val="20"/>
          <w:lang w:eastAsia="en-US"/>
        </w:rPr>
        <w:t>, which are both a part of</w:t>
      </w:r>
      <w:r>
        <w:rPr>
          <w:rFonts w:ascii="Arial" w:eastAsia="Calibri" w:hAnsi="Arial" w:cs="Arial"/>
          <w:sz w:val="20"/>
          <w:lang w:eastAsia="en-US"/>
        </w:rPr>
        <w:t xml:space="preserve"> the 1.5 GHz band.</w:t>
      </w:r>
    </w:p>
    <w:p w14:paraId="6C0F656F" w14:textId="64C73145" w:rsidR="00C15F8D" w:rsidRDefault="00C15F8D">
      <w:pPr>
        <w:pStyle w:val="BodyText"/>
        <w:spacing w:before="120" w:line="260" w:lineRule="atLeast"/>
        <w:rPr>
          <w:rFonts w:ascii="Arial" w:eastAsia="Calibri" w:hAnsi="Arial" w:cs="Arial"/>
          <w:sz w:val="20"/>
          <w:lang w:eastAsia="en-US"/>
        </w:rPr>
      </w:pPr>
      <w:r>
        <w:rPr>
          <w:rFonts w:ascii="Arial" w:eastAsia="Calibri" w:hAnsi="Arial" w:cs="Arial"/>
          <w:sz w:val="20"/>
          <w:lang w:eastAsia="en-US"/>
        </w:rPr>
        <w:t xml:space="preserve">The limitations </w:t>
      </w:r>
      <w:r w:rsidR="006253EB">
        <w:rPr>
          <w:rFonts w:ascii="Arial" w:eastAsia="Calibri" w:hAnsi="Arial" w:cs="Arial"/>
          <w:sz w:val="20"/>
          <w:lang w:eastAsia="en-US"/>
        </w:rPr>
        <w:t>are</w:t>
      </w:r>
      <w:r>
        <w:rPr>
          <w:rFonts w:ascii="Arial" w:eastAsia="Calibri" w:hAnsi="Arial" w:cs="Arial"/>
          <w:sz w:val="20"/>
          <w:lang w:eastAsia="en-US"/>
        </w:rPr>
        <w:t xml:space="preserve"> on the operation of fixed services in the bands (subject to some exceptions), the operation of mobile services in the bands (again, subject to an exception), and the operation of broadcasting services or broadcasting-satellite services in the bands.</w:t>
      </w:r>
    </w:p>
    <w:p w14:paraId="14D12FF2" w14:textId="031D5099" w:rsidR="00C15F8D" w:rsidRDefault="00C15F8D">
      <w:pPr>
        <w:pStyle w:val="BodyText"/>
        <w:spacing w:before="120" w:line="260" w:lineRule="atLeast"/>
        <w:rPr>
          <w:rFonts w:ascii="Arial" w:eastAsia="Calibri" w:hAnsi="Arial" w:cs="Arial"/>
          <w:sz w:val="20"/>
          <w:lang w:eastAsia="en-US"/>
        </w:rPr>
      </w:pPr>
      <w:r>
        <w:rPr>
          <w:rFonts w:ascii="Arial" w:eastAsia="Calibri" w:hAnsi="Arial" w:cs="Arial"/>
          <w:sz w:val="20"/>
          <w:lang w:eastAsia="en-US"/>
        </w:rPr>
        <w:t xml:space="preserve">One of the exceptions </w:t>
      </w:r>
      <w:r w:rsidR="006253EB">
        <w:rPr>
          <w:rFonts w:ascii="Arial" w:eastAsia="Calibri" w:hAnsi="Arial" w:cs="Arial"/>
          <w:sz w:val="20"/>
          <w:lang w:eastAsia="en-US"/>
        </w:rPr>
        <w:t>to the prohibition on the operation of fixed services in the band is where the service is a point to multipoint service operated for the delivery of public telecommunications services in a rural or remote area (that is, an area outside a significant population centre), on particular frequencies listed in the Schedule.</w:t>
      </w:r>
    </w:p>
    <w:p w14:paraId="06229197" w14:textId="0E9921BA" w:rsidR="0088274A" w:rsidRPr="00C117CF" w:rsidRDefault="00813BC5" w:rsidP="006B1C0E">
      <w:pPr>
        <w:pStyle w:val="BodyText"/>
        <w:spacing w:before="120" w:line="260" w:lineRule="atLeast"/>
        <w:rPr>
          <w:rFonts w:ascii="Arial" w:hAnsi="Arial" w:cs="Arial"/>
          <w:b/>
          <w:sz w:val="20"/>
        </w:rPr>
      </w:pPr>
      <w:r>
        <w:rPr>
          <w:rFonts w:ascii="Arial" w:eastAsia="Calibri" w:hAnsi="Arial" w:cs="Arial"/>
          <w:b/>
          <w:sz w:val="20"/>
          <w:lang w:eastAsia="en-US"/>
        </w:rPr>
        <w:br w:type="page"/>
      </w:r>
      <w:r w:rsidR="008637FE" w:rsidRPr="00C117CF">
        <w:rPr>
          <w:rFonts w:ascii="Arial" w:hAnsi="Arial" w:cs="Arial"/>
          <w:b/>
          <w:sz w:val="20"/>
        </w:rPr>
        <w:lastRenderedPageBreak/>
        <w:t xml:space="preserve">Attachment </w:t>
      </w:r>
      <w:r w:rsidR="007E61BB" w:rsidRPr="00C117CF">
        <w:rPr>
          <w:rFonts w:ascii="Arial" w:hAnsi="Arial" w:cs="Arial"/>
          <w:b/>
          <w:sz w:val="20"/>
        </w:rPr>
        <w:t>B</w:t>
      </w:r>
    </w:p>
    <w:p w14:paraId="7737F2DE" w14:textId="77777777" w:rsidR="007E61BB" w:rsidRPr="00C117CF" w:rsidRDefault="007E61BB" w:rsidP="007E61BB">
      <w:pPr>
        <w:spacing w:before="120" w:after="120" w:line="260" w:lineRule="atLeast"/>
        <w:jc w:val="center"/>
        <w:rPr>
          <w:rFonts w:ascii="Arial" w:hAnsi="Arial" w:cs="Arial"/>
          <w:b/>
          <w:sz w:val="20"/>
          <w:szCs w:val="20"/>
        </w:rPr>
      </w:pPr>
      <w:r w:rsidRPr="00C117CF">
        <w:rPr>
          <w:rFonts w:ascii="Arial" w:hAnsi="Arial" w:cs="Arial"/>
          <w:b/>
          <w:sz w:val="20"/>
          <w:szCs w:val="20"/>
        </w:rPr>
        <w:t>Statement of Compatibility with Human Rights</w:t>
      </w:r>
    </w:p>
    <w:p w14:paraId="386D2483" w14:textId="77777777" w:rsidR="007E61BB" w:rsidRPr="00C117CF" w:rsidRDefault="007E61BB" w:rsidP="007E61BB">
      <w:pPr>
        <w:pStyle w:val="ListBullet"/>
        <w:numPr>
          <w:ilvl w:val="0"/>
          <w:numId w:val="0"/>
        </w:numPr>
        <w:ind w:left="720"/>
        <w:jc w:val="center"/>
        <w:rPr>
          <w:rFonts w:ascii="Arial" w:hAnsi="Arial" w:cs="Arial"/>
          <w:i/>
          <w:szCs w:val="20"/>
        </w:rPr>
      </w:pPr>
      <w:r w:rsidRPr="00C117CF">
        <w:rPr>
          <w:rFonts w:ascii="Arial" w:hAnsi="Arial" w:cs="Arial"/>
          <w:szCs w:val="20"/>
        </w:rPr>
        <w:t xml:space="preserve">Prepared in accordance with Part 3 of the </w:t>
      </w:r>
      <w:r w:rsidRPr="00C117CF">
        <w:rPr>
          <w:rFonts w:ascii="Arial" w:hAnsi="Arial" w:cs="Arial"/>
          <w:i/>
          <w:szCs w:val="20"/>
        </w:rPr>
        <w:t>Human Rights (Parliamentary Scrutiny) Act 2011</w:t>
      </w:r>
    </w:p>
    <w:p w14:paraId="4E1E84CA" w14:textId="77777777" w:rsidR="007E61BB" w:rsidRPr="00C117CF" w:rsidRDefault="007E61BB" w:rsidP="007E61BB">
      <w:pPr>
        <w:pStyle w:val="ListBullet"/>
        <w:numPr>
          <w:ilvl w:val="0"/>
          <w:numId w:val="0"/>
        </w:numPr>
        <w:ind w:left="720"/>
        <w:jc w:val="center"/>
        <w:rPr>
          <w:rFonts w:ascii="Arial" w:hAnsi="Arial" w:cs="Arial"/>
          <w:i/>
          <w:szCs w:val="20"/>
        </w:rPr>
      </w:pPr>
    </w:p>
    <w:p w14:paraId="0536514D" w14:textId="77777777" w:rsidR="00602E79" w:rsidRPr="00C117CF" w:rsidRDefault="00602E79" w:rsidP="00602E79">
      <w:pPr>
        <w:jc w:val="center"/>
        <w:rPr>
          <w:rFonts w:ascii="Arial" w:hAnsi="Arial" w:cs="Arial"/>
          <w:b/>
          <w:i/>
          <w:sz w:val="20"/>
          <w:szCs w:val="20"/>
        </w:rPr>
      </w:pPr>
      <w:proofErr w:type="spellStart"/>
      <w:r>
        <w:rPr>
          <w:rFonts w:ascii="Arial" w:hAnsi="Arial" w:cs="Arial"/>
          <w:b/>
          <w:i/>
          <w:sz w:val="20"/>
          <w:szCs w:val="20"/>
        </w:rPr>
        <w:t>Radiocommunications</w:t>
      </w:r>
      <w:proofErr w:type="spellEnd"/>
      <w:r>
        <w:rPr>
          <w:rFonts w:ascii="Arial" w:hAnsi="Arial" w:cs="Arial"/>
          <w:b/>
          <w:i/>
          <w:sz w:val="20"/>
          <w:szCs w:val="20"/>
        </w:rPr>
        <w:t xml:space="preserve"> 1.5 GHz Frequency Band Plan 2015</w:t>
      </w:r>
    </w:p>
    <w:p w14:paraId="39BAA3C4" w14:textId="77777777" w:rsidR="008F4512" w:rsidRPr="00C117CF" w:rsidRDefault="008F4512" w:rsidP="007E61BB">
      <w:pPr>
        <w:pStyle w:val="ListBullet"/>
        <w:numPr>
          <w:ilvl w:val="0"/>
          <w:numId w:val="0"/>
        </w:numPr>
        <w:rPr>
          <w:rFonts w:ascii="Arial" w:hAnsi="Arial" w:cs="Arial"/>
          <w:szCs w:val="20"/>
        </w:rPr>
      </w:pPr>
    </w:p>
    <w:p w14:paraId="48297BF5" w14:textId="77777777" w:rsidR="007E61BB" w:rsidRPr="00C117CF" w:rsidRDefault="007E61BB" w:rsidP="008F4512">
      <w:pPr>
        <w:pStyle w:val="ListBullet"/>
        <w:numPr>
          <w:ilvl w:val="0"/>
          <w:numId w:val="0"/>
        </w:numPr>
        <w:spacing w:after="200"/>
        <w:rPr>
          <w:rFonts w:ascii="Arial" w:hAnsi="Arial" w:cs="Arial"/>
          <w:i/>
          <w:szCs w:val="20"/>
        </w:rPr>
      </w:pPr>
      <w:r w:rsidRPr="00C117CF">
        <w:rPr>
          <w:rFonts w:ascii="Arial" w:hAnsi="Arial" w:cs="Arial"/>
          <w:szCs w:val="20"/>
        </w:rPr>
        <w:t xml:space="preserve">The </w:t>
      </w:r>
      <w:r w:rsidR="008F4512" w:rsidRPr="00C117CF">
        <w:rPr>
          <w:rFonts w:ascii="Arial" w:hAnsi="Arial" w:cs="Arial"/>
          <w:szCs w:val="20"/>
        </w:rPr>
        <w:t xml:space="preserve">legislative instrument is compatible with the human rights and freedoms recognised or declared in the international instruments listed in section 3 of the </w:t>
      </w:r>
      <w:r w:rsidR="008F4512" w:rsidRPr="00C117CF">
        <w:rPr>
          <w:rFonts w:ascii="Arial" w:hAnsi="Arial" w:cs="Arial"/>
          <w:i/>
          <w:szCs w:val="20"/>
        </w:rPr>
        <w:t>Human Rights (Parliamentary Scrutiny) Act 2011.</w:t>
      </w:r>
    </w:p>
    <w:p w14:paraId="7A85331A" w14:textId="77777777" w:rsidR="007E61BB" w:rsidRPr="00C117CF" w:rsidRDefault="008F4512" w:rsidP="008F4512">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Overview of the Legislative Instrument</w:t>
      </w:r>
    </w:p>
    <w:p w14:paraId="63066920" w14:textId="3DE60931" w:rsidR="00984C8A" w:rsidRDefault="008F4512" w:rsidP="00C117CF">
      <w:pPr>
        <w:pStyle w:val="ListBullet"/>
        <w:numPr>
          <w:ilvl w:val="0"/>
          <w:numId w:val="0"/>
        </w:numPr>
        <w:spacing w:after="200"/>
        <w:rPr>
          <w:rFonts w:ascii="Arial" w:hAnsi="Arial" w:cs="Arial"/>
          <w:szCs w:val="20"/>
        </w:rPr>
      </w:pPr>
      <w:r w:rsidRPr="00C117CF">
        <w:rPr>
          <w:rFonts w:ascii="Arial" w:hAnsi="Arial" w:cs="Arial"/>
          <w:szCs w:val="20"/>
        </w:rPr>
        <w:t xml:space="preserve">The </w:t>
      </w:r>
      <w:proofErr w:type="spellStart"/>
      <w:r w:rsidRPr="00C117CF">
        <w:rPr>
          <w:rFonts w:ascii="Arial" w:hAnsi="Arial" w:cs="Arial"/>
          <w:i/>
          <w:szCs w:val="20"/>
        </w:rPr>
        <w:t>Radiocommunications</w:t>
      </w:r>
      <w:proofErr w:type="spellEnd"/>
      <w:r w:rsidRPr="00C117CF">
        <w:rPr>
          <w:rFonts w:ascii="Arial" w:hAnsi="Arial" w:cs="Arial"/>
          <w:i/>
          <w:szCs w:val="20"/>
        </w:rPr>
        <w:t xml:space="preserve"> </w:t>
      </w:r>
      <w:r w:rsidR="00602E79">
        <w:rPr>
          <w:rFonts w:ascii="Arial" w:hAnsi="Arial" w:cs="Arial"/>
          <w:i/>
          <w:szCs w:val="20"/>
        </w:rPr>
        <w:t>1.5 GHz Frequency Band Plan</w:t>
      </w:r>
      <w:r w:rsidR="007A7C21">
        <w:rPr>
          <w:rFonts w:ascii="Arial" w:hAnsi="Arial" w:cs="Arial"/>
          <w:i/>
          <w:szCs w:val="20"/>
        </w:rPr>
        <w:t xml:space="preserve"> 201</w:t>
      </w:r>
      <w:r w:rsidR="00D21D60">
        <w:rPr>
          <w:rFonts w:ascii="Arial" w:hAnsi="Arial" w:cs="Arial"/>
          <w:i/>
          <w:szCs w:val="20"/>
        </w:rPr>
        <w:t>5</w:t>
      </w:r>
      <w:r w:rsidR="007A7C21">
        <w:rPr>
          <w:rFonts w:ascii="Arial" w:hAnsi="Arial" w:cs="Arial"/>
          <w:i/>
          <w:szCs w:val="20"/>
        </w:rPr>
        <w:t xml:space="preserve"> </w:t>
      </w:r>
      <w:r w:rsidR="0022074C" w:rsidRPr="00C117CF">
        <w:rPr>
          <w:rFonts w:ascii="Arial" w:hAnsi="Arial" w:cs="Arial"/>
          <w:szCs w:val="20"/>
        </w:rPr>
        <w:t xml:space="preserve">revokes and replaces the </w:t>
      </w:r>
      <w:r w:rsidR="00602E79">
        <w:rPr>
          <w:rFonts w:ascii="Arial" w:hAnsi="Arial" w:cs="Arial"/>
          <w:i/>
          <w:szCs w:val="20"/>
        </w:rPr>
        <w:t>1.5 GHz Band Plan</w:t>
      </w:r>
      <w:r w:rsidR="0022074C" w:rsidRPr="00C117CF">
        <w:rPr>
          <w:rFonts w:ascii="Arial" w:hAnsi="Arial" w:cs="Arial"/>
          <w:i/>
          <w:szCs w:val="20"/>
        </w:rPr>
        <w:t xml:space="preserve"> </w:t>
      </w:r>
      <w:r w:rsidR="0022074C" w:rsidRPr="00C117CF">
        <w:rPr>
          <w:rFonts w:ascii="Arial" w:hAnsi="Arial" w:cs="Arial"/>
          <w:szCs w:val="20"/>
        </w:rPr>
        <w:t xml:space="preserve">without making any significant changes to the regulatory arrangements created by </w:t>
      </w:r>
      <w:r w:rsidR="00A27351">
        <w:rPr>
          <w:rFonts w:ascii="Arial" w:hAnsi="Arial" w:cs="Arial"/>
          <w:szCs w:val="20"/>
        </w:rPr>
        <w:t>that in</w:t>
      </w:r>
      <w:r w:rsidR="0022074C" w:rsidRPr="00C117CF">
        <w:rPr>
          <w:rFonts w:ascii="Arial" w:hAnsi="Arial" w:cs="Arial"/>
          <w:szCs w:val="20"/>
        </w:rPr>
        <w:t>strument.</w:t>
      </w:r>
    </w:p>
    <w:p w14:paraId="07FBD40F" w14:textId="0B5CBB1B" w:rsidR="009B0E37" w:rsidRPr="00C117CF" w:rsidRDefault="007A6B74">
      <w:pPr>
        <w:pStyle w:val="ListBullet"/>
        <w:numPr>
          <w:ilvl w:val="0"/>
          <w:numId w:val="0"/>
        </w:numPr>
        <w:spacing w:after="200"/>
        <w:rPr>
          <w:rFonts w:ascii="Arial" w:hAnsi="Arial" w:cs="Arial"/>
          <w:szCs w:val="20"/>
        </w:rPr>
      </w:pPr>
      <w:r w:rsidRPr="00C117CF">
        <w:rPr>
          <w:rFonts w:ascii="Arial" w:hAnsi="Arial" w:cs="Arial"/>
          <w:szCs w:val="20"/>
        </w:rPr>
        <w:t xml:space="preserve">The </w:t>
      </w:r>
      <w:proofErr w:type="spellStart"/>
      <w:r w:rsidR="00602E79" w:rsidRPr="00C117CF">
        <w:rPr>
          <w:rFonts w:ascii="Arial" w:hAnsi="Arial" w:cs="Arial"/>
          <w:i/>
          <w:szCs w:val="20"/>
        </w:rPr>
        <w:t>Radiocommunications</w:t>
      </w:r>
      <w:proofErr w:type="spellEnd"/>
      <w:r w:rsidR="00602E79" w:rsidRPr="00C117CF">
        <w:rPr>
          <w:rFonts w:ascii="Arial" w:hAnsi="Arial" w:cs="Arial"/>
          <w:i/>
          <w:szCs w:val="20"/>
        </w:rPr>
        <w:t xml:space="preserve"> </w:t>
      </w:r>
      <w:r w:rsidR="00602E79">
        <w:rPr>
          <w:rFonts w:ascii="Arial" w:hAnsi="Arial" w:cs="Arial"/>
          <w:i/>
          <w:szCs w:val="20"/>
        </w:rPr>
        <w:t>1.5 GHz Frequency Band Plan 2015</w:t>
      </w:r>
      <w:r w:rsidR="00602E79" w:rsidRPr="00ED2635">
        <w:rPr>
          <w:rFonts w:ascii="Arial" w:hAnsi="Arial" w:cs="Arial"/>
          <w:szCs w:val="20"/>
        </w:rPr>
        <w:t xml:space="preserve"> </w:t>
      </w:r>
      <w:r w:rsidR="00602E79">
        <w:rPr>
          <w:rFonts w:ascii="Arial" w:hAnsi="Arial" w:cs="Arial"/>
          <w:szCs w:val="20"/>
        </w:rPr>
        <w:t>places restrictions on the use of parts of the 1.5 GHz band to preserve future planning options.</w:t>
      </w:r>
    </w:p>
    <w:p w14:paraId="6302F859" w14:textId="77777777" w:rsidR="009B0E37" w:rsidRPr="00C117CF" w:rsidRDefault="009B0E37" w:rsidP="009B0E37">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Human Rights Implications</w:t>
      </w:r>
    </w:p>
    <w:p w14:paraId="03FE5151" w14:textId="29D73CB5" w:rsidR="009B0E37" w:rsidRPr="00C117CF" w:rsidRDefault="009B0E37" w:rsidP="009B0E37">
      <w:pPr>
        <w:pStyle w:val="ListBullet"/>
        <w:numPr>
          <w:ilvl w:val="0"/>
          <w:numId w:val="0"/>
        </w:numPr>
        <w:spacing w:after="200"/>
        <w:rPr>
          <w:rFonts w:ascii="Arial" w:hAnsi="Arial" w:cs="Arial"/>
          <w:szCs w:val="20"/>
        </w:rPr>
      </w:pPr>
      <w:r w:rsidRPr="00C117CF">
        <w:rPr>
          <w:rFonts w:ascii="Arial" w:hAnsi="Arial" w:cs="Arial"/>
          <w:szCs w:val="20"/>
        </w:rPr>
        <w:t xml:space="preserve">The </w:t>
      </w:r>
      <w:proofErr w:type="spellStart"/>
      <w:r w:rsidR="00602E79" w:rsidRPr="00C117CF">
        <w:rPr>
          <w:rFonts w:ascii="Arial" w:hAnsi="Arial" w:cs="Arial"/>
          <w:i/>
          <w:szCs w:val="20"/>
        </w:rPr>
        <w:t>Radiocommunications</w:t>
      </w:r>
      <w:proofErr w:type="spellEnd"/>
      <w:r w:rsidR="00602E79" w:rsidRPr="00C117CF">
        <w:rPr>
          <w:rFonts w:ascii="Arial" w:hAnsi="Arial" w:cs="Arial"/>
          <w:i/>
          <w:szCs w:val="20"/>
        </w:rPr>
        <w:t xml:space="preserve"> </w:t>
      </w:r>
      <w:r w:rsidR="00602E79">
        <w:rPr>
          <w:rFonts w:ascii="Arial" w:hAnsi="Arial" w:cs="Arial"/>
          <w:i/>
          <w:szCs w:val="20"/>
        </w:rPr>
        <w:t xml:space="preserve">1.5 GHz Frequency Band Plan 2015 </w:t>
      </w:r>
      <w:r w:rsidRPr="00C117CF">
        <w:rPr>
          <w:rFonts w:ascii="Arial" w:hAnsi="Arial" w:cs="Arial"/>
          <w:szCs w:val="20"/>
        </w:rPr>
        <w:t>does not engage any of the applicable rights or freedoms.</w:t>
      </w:r>
    </w:p>
    <w:p w14:paraId="4E8241E1" w14:textId="77777777" w:rsidR="009B0E37" w:rsidRPr="00C117CF" w:rsidRDefault="009B0E37" w:rsidP="009B0E37">
      <w:pPr>
        <w:pStyle w:val="BodyText"/>
        <w:spacing w:before="120" w:line="260" w:lineRule="atLeast"/>
        <w:jc w:val="both"/>
        <w:rPr>
          <w:rFonts w:ascii="Arial" w:eastAsia="Calibri" w:hAnsi="Arial" w:cs="Arial"/>
          <w:b/>
          <w:sz w:val="20"/>
          <w:lang w:eastAsia="en-US"/>
        </w:rPr>
      </w:pPr>
      <w:r w:rsidRPr="00C117CF">
        <w:rPr>
          <w:rFonts w:ascii="Arial" w:eastAsia="Calibri" w:hAnsi="Arial" w:cs="Arial"/>
          <w:b/>
          <w:sz w:val="20"/>
          <w:lang w:eastAsia="en-US"/>
        </w:rPr>
        <w:t>Conclusion</w:t>
      </w:r>
    </w:p>
    <w:p w14:paraId="76262A14" w14:textId="77777777" w:rsidR="009B0E37" w:rsidRPr="00C117CF" w:rsidRDefault="00B10313" w:rsidP="009B0E37">
      <w:pPr>
        <w:pStyle w:val="ListBullet"/>
        <w:numPr>
          <w:ilvl w:val="0"/>
          <w:numId w:val="0"/>
        </w:numPr>
        <w:spacing w:after="200"/>
        <w:rPr>
          <w:rFonts w:ascii="Arial" w:hAnsi="Arial" w:cs="Arial"/>
          <w:szCs w:val="20"/>
        </w:rPr>
      </w:pPr>
      <w:r w:rsidRPr="00C117CF">
        <w:rPr>
          <w:rFonts w:ascii="Arial" w:hAnsi="Arial" w:cs="Arial"/>
          <w:szCs w:val="20"/>
        </w:rPr>
        <w:t>The legislative instrument is compatible with human rights as it does not raise any human rights issues.</w:t>
      </w:r>
    </w:p>
    <w:p w14:paraId="31293D33" w14:textId="77777777" w:rsidR="00B10313" w:rsidRDefault="00B10313" w:rsidP="00C117CF">
      <w:pPr>
        <w:pStyle w:val="ListBullet"/>
        <w:numPr>
          <w:ilvl w:val="0"/>
          <w:numId w:val="0"/>
        </w:numPr>
        <w:spacing w:after="200"/>
        <w:jc w:val="center"/>
        <w:rPr>
          <w:rFonts w:ascii="Arial" w:hAnsi="Arial" w:cs="Arial"/>
          <w:b/>
          <w:szCs w:val="20"/>
        </w:rPr>
      </w:pPr>
    </w:p>
    <w:p w14:paraId="161D91CA" w14:textId="77777777" w:rsidR="007A7C21" w:rsidRPr="00C117CF" w:rsidRDefault="007A7C21" w:rsidP="00C117CF">
      <w:pPr>
        <w:pStyle w:val="ListBullet"/>
        <w:numPr>
          <w:ilvl w:val="0"/>
          <w:numId w:val="0"/>
        </w:numPr>
        <w:spacing w:after="200"/>
        <w:jc w:val="center"/>
        <w:rPr>
          <w:rFonts w:ascii="Arial" w:hAnsi="Arial" w:cs="Arial"/>
          <w:b/>
          <w:szCs w:val="20"/>
        </w:rPr>
      </w:pPr>
    </w:p>
    <w:sectPr w:rsidR="007A7C21" w:rsidRPr="00C117CF" w:rsidSect="00A2296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708A0" w14:textId="77777777" w:rsidR="00DE54DE" w:rsidRDefault="00DE54DE" w:rsidP="00E6652C">
      <w:pPr>
        <w:spacing w:after="0" w:line="240" w:lineRule="auto"/>
      </w:pPr>
      <w:r>
        <w:separator/>
      </w:r>
    </w:p>
  </w:endnote>
  <w:endnote w:type="continuationSeparator" w:id="0">
    <w:p w14:paraId="7FB3503D" w14:textId="77777777" w:rsidR="00DE54DE" w:rsidRDefault="00DE54DE" w:rsidP="00E6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Franklin Gothic Dem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AAD7" w14:textId="77777777" w:rsidR="002C2BC9" w:rsidRDefault="002C2BC9">
    <w:pPr>
      <w:pStyle w:val="Footer"/>
    </w:pPr>
    <w:r>
      <w:fldChar w:fldCharType="begin"/>
    </w:r>
    <w:r>
      <w:instrText xml:space="preserve"> PAGE   \* MERGEFORMAT </w:instrText>
    </w:r>
    <w:r>
      <w:fldChar w:fldCharType="separate"/>
    </w:r>
    <w:r w:rsidR="006F082E">
      <w:rPr>
        <w:noProof/>
      </w:rPr>
      <w:t>1</w:t>
    </w:r>
    <w:r>
      <w:rPr>
        <w:noProof/>
      </w:rPr>
      <w:fldChar w:fldCharType="end"/>
    </w:r>
  </w:p>
  <w:p w14:paraId="1568B201" w14:textId="77777777" w:rsidR="002C2BC9" w:rsidRDefault="002C2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293F1" w14:textId="77777777" w:rsidR="00DE54DE" w:rsidRDefault="00DE54DE" w:rsidP="00E6652C">
      <w:pPr>
        <w:spacing w:after="0" w:line="240" w:lineRule="auto"/>
      </w:pPr>
      <w:r>
        <w:separator/>
      </w:r>
    </w:p>
  </w:footnote>
  <w:footnote w:type="continuationSeparator" w:id="0">
    <w:p w14:paraId="0513D0C5" w14:textId="77777777" w:rsidR="00DE54DE" w:rsidRDefault="00DE54DE" w:rsidP="00E66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41AFD7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54A05DB"/>
    <w:multiLevelType w:val="hybridMultilevel"/>
    <w:tmpl w:val="A8346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A475CB"/>
    <w:multiLevelType w:val="hybridMultilevel"/>
    <w:tmpl w:val="654EF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754D79"/>
    <w:multiLevelType w:val="hybridMultilevel"/>
    <w:tmpl w:val="C55A9A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12C780C"/>
    <w:multiLevelType w:val="hybridMultilevel"/>
    <w:tmpl w:val="5A501412"/>
    <w:lvl w:ilvl="0" w:tplc="4F3C186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8CB4DC4"/>
    <w:multiLevelType w:val="hybridMultilevel"/>
    <w:tmpl w:val="901027E6"/>
    <w:lvl w:ilvl="0" w:tplc="CAA22A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EB0908"/>
    <w:multiLevelType w:val="hybridMultilevel"/>
    <w:tmpl w:val="3814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A5080"/>
    <w:multiLevelType w:val="hybridMultilevel"/>
    <w:tmpl w:val="24705096"/>
    <w:lvl w:ilvl="0" w:tplc="33362AD0">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1292061"/>
    <w:multiLevelType w:val="hybridMultilevel"/>
    <w:tmpl w:val="B4D4C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4E48EA"/>
    <w:multiLevelType w:val="hybridMultilevel"/>
    <w:tmpl w:val="E1D66F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12838A1"/>
    <w:multiLevelType w:val="hybridMultilevel"/>
    <w:tmpl w:val="0E98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777273F"/>
    <w:multiLevelType w:val="hybridMultilevel"/>
    <w:tmpl w:val="C1883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497C03"/>
    <w:multiLevelType w:val="hybridMultilevel"/>
    <w:tmpl w:val="C2BE7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F824B5"/>
    <w:multiLevelType w:val="hybridMultilevel"/>
    <w:tmpl w:val="397A4F1A"/>
    <w:lvl w:ilvl="0" w:tplc="4F3C1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2C278ED"/>
    <w:multiLevelType w:val="multilevel"/>
    <w:tmpl w:val="F9F6F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5D54DC"/>
    <w:multiLevelType w:val="hybridMultilevel"/>
    <w:tmpl w:val="911A1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1E4550"/>
    <w:multiLevelType w:val="hybridMultilevel"/>
    <w:tmpl w:val="B7F277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D925812"/>
    <w:multiLevelType w:val="hybridMultilevel"/>
    <w:tmpl w:val="D72C7040"/>
    <w:lvl w:ilvl="0" w:tplc="4F3C18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5EA68A6"/>
    <w:multiLevelType w:val="hybridMultilevel"/>
    <w:tmpl w:val="E7DC6E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7F6939B8"/>
    <w:multiLevelType w:val="hybridMultilevel"/>
    <w:tmpl w:val="0C86B1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2"/>
  </w:num>
  <w:num w:numId="5">
    <w:abstractNumId w:val="19"/>
  </w:num>
  <w:num w:numId="6">
    <w:abstractNumId w:val="5"/>
  </w:num>
  <w:num w:numId="7">
    <w:abstractNumId w:val="18"/>
  </w:num>
  <w:num w:numId="8">
    <w:abstractNumId w:val="16"/>
  </w:num>
  <w:num w:numId="9">
    <w:abstractNumId w:val="11"/>
  </w:num>
  <w:num w:numId="10">
    <w:abstractNumId w:val="13"/>
  </w:num>
  <w:num w:numId="11">
    <w:abstractNumId w:val="4"/>
  </w:num>
  <w:num w:numId="12">
    <w:abstractNumId w:val="17"/>
  </w:num>
  <w:num w:numId="13">
    <w:abstractNumId w:val="6"/>
  </w:num>
  <w:num w:numId="14">
    <w:abstractNumId w:val="1"/>
  </w:num>
  <w:num w:numId="15">
    <w:abstractNumId w:val="15"/>
  </w:num>
  <w:num w:numId="16">
    <w:abstractNumId w:val="14"/>
  </w:num>
  <w:num w:numId="17">
    <w:abstractNumId w:val="7"/>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AF"/>
    <w:rsid w:val="00005DD5"/>
    <w:rsid w:val="00006D60"/>
    <w:rsid w:val="000079C6"/>
    <w:rsid w:val="00012931"/>
    <w:rsid w:val="0001723B"/>
    <w:rsid w:val="00042D29"/>
    <w:rsid w:val="00045958"/>
    <w:rsid w:val="0005221C"/>
    <w:rsid w:val="00064DBC"/>
    <w:rsid w:val="00071CA1"/>
    <w:rsid w:val="00085FC7"/>
    <w:rsid w:val="000954A0"/>
    <w:rsid w:val="000A19B6"/>
    <w:rsid w:val="000A20FE"/>
    <w:rsid w:val="000A31DB"/>
    <w:rsid w:val="000B2054"/>
    <w:rsid w:val="000B422A"/>
    <w:rsid w:val="000B5562"/>
    <w:rsid w:val="000B7524"/>
    <w:rsid w:val="000B7868"/>
    <w:rsid w:val="000C185D"/>
    <w:rsid w:val="000D290E"/>
    <w:rsid w:val="000D364A"/>
    <w:rsid w:val="000D4339"/>
    <w:rsid w:val="000E4848"/>
    <w:rsid w:val="000E4C77"/>
    <w:rsid w:val="000E5727"/>
    <w:rsid w:val="000E5861"/>
    <w:rsid w:val="000E7866"/>
    <w:rsid w:val="000E7C20"/>
    <w:rsid w:val="00107FF3"/>
    <w:rsid w:val="001300AC"/>
    <w:rsid w:val="00130887"/>
    <w:rsid w:val="00131760"/>
    <w:rsid w:val="00132FB6"/>
    <w:rsid w:val="00134E31"/>
    <w:rsid w:val="00141F7E"/>
    <w:rsid w:val="0014589C"/>
    <w:rsid w:val="001502F8"/>
    <w:rsid w:val="00152D1A"/>
    <w:rsid w:val="001612F3"/>
    <w:rsid w:val="001623FB"/>
    <w:rsid w:val="00164B97"/>
    <w:rsid w:val="00166CAE"/>
    <w:rsid w:val="001717E9"/>
    <w:rsid w:val="0018034A"/>
    <w:rsid w:val="00183319"/>
    <w:rsid w:val="0018548D"/>
    <w:rsid w:val="001854CB"/>
    <w:rsid w:val="0019149D"/>
    <w:rsid w:val="001918D4"/>
    <w:rsid w:val="00191DA4"/>
    <w:rsid w:val="00195DD5"/>
    <w:rsid w:val="001A2599"/>
    <w:rsid w:val="001A5B17"/>
    <w:rsid w:val="001B2ECE"/>
    <w:rsid w:val="001B492D"/>
    <w:rsid w:val="001B4CFE"/>
    <w:rsid w:val="001B70AC"/>
    <w:rsid w:val="001C129E"/>
    <w:rsid w:val="001C5356"/>
    <w:rsid w:val="001D480F"/>
    <w:rsid w:val="001F5C56"/>
    <w:rsid w:val="001F7C51"/>
    <w:rsid w:val="00200A19"/>
    <w:rsid w:val="002053E6"/>
    <w:rsid w:val="00213EF9"/>
    <w:rsid w:val="0022025A"/>
    <w:rsid w:val="0022074C"/>
    <w:rsid w:val="002210B7"/>
    <w:rsid w:val="002223E0"/>
    <w:rsid w:val="00224088"/>
    <w:rsid w:val="00226EE1"/>
    <w:rsid w:val="00227C9F"/>
    <w:rsid w:val="00230CA4"/>
    <w:rsid w:val="00236D01"/>
    <w:rsid w:val="00240444"/>
    <w:rsid w:val="002404DA"/>
    <w:rsid w:val="00240F53"/>
    <w:rsid w:val="00247235"/>
    <w:rsid w:val="0025078B"/>
    <w:rsid w:val="00256906"/>
    <w:rsid w:val="00261BE1"/>
    <w:rsid w:val="00263B60"/>
    <w:rsid w:val="00272771"/>
    <w:rsid w:val="00275A7C"/>
    <w:rsid w:val="00276417"/>
    <w:rsid w:val="00284628"/>
    <w:rsid w:val="002853C4"/>
    <w:rsid w:val="0029179E"/>
    <w:rsid w:val="00293A91"/>
    <w:rsid w:val="002A261D"/>
    <w:rsid w:val="002A3732"/>
    <w:rsid w:val="002A4343"/>
    <w:rsid w:val="002A526C"/>
    <w:rsid w:val="002A64BB"/>
    <w:rsid w:val="002B578C"/>
    <w:rsid w:val="002C2BC9"/>
    <w:rsid w:val="002C786A"/>
    <w:rsid w:val="002D3D1C"/>
    <w:rsid w:val="002D7BB6"/>
    <w:rsid w:val="003033F3"/>
    <w:rsid w:val="00307D2D"/>
    <w:rsid w:val="003120B4"/>
    <w:rsid w:val="0032038A"/>
    <w:rsid w:val="00327D9A"/>
    <w:rsid w:val="0033388B"/>
    <w:rsid w:val="00340203"/>
    <w:rsid w:val="00345ECF"/>
    <w:rsid w:val="003516F2"/>
    <w:rsid w:val="003603DC"/>
    <w:rsid w:val="003640D5"/>
    <w:rsid w:val="00382D84"/>
    <w:rsid w:val="003841A2"/>
    <w:rsid w:val="00392983"/>
    <w:rsid w:val="00395A39"/>
    <w:rsid w:val="003A0FB2"/>
    <w:rsid w:val="003A17D3"/>
    <w:rsid w:val="003A3813"/>
    <w:rsid w:val="003A7768"/>
    <w:rsid w:val="003A7981"/>
    <w:rsid w:val="003B34DF"/>
    <w:rsid w:val="003E078D"/>
    <w:rsid w:val="003E0FB3"/>
    <w:rsid w:val="003F2463"/>
    <w:rsid w:val="003F5CF9"/>
    <w:rsid w:val="003F6675"/>
    <w:rsid w:val="003F6702"/>
    <w:rsid w:val="004005EE"/>
    <w:rsid w:val="00400FAE"/>
    <w:rsid w:val="00401EA0"/>
    <w:rsid w:val="00421A27"/>
    <w:rsid w:val="004256F5"/>
    <w:rsid w:val="004305E7"/>
    <w:rsid w:val="00431BD2"/>
    <w:rsid w:val="00431E10"/>
    <w:rsid w:val="00432563"/>
    <w:rsid w:val="00433C02"/>
    <w:rsid w:val="00433F80"/>
    <w:rsid w:val="0043476D"/>
    <w:rsid w:val="00435D5F"/>
    <w:rsid w:val="00445CBC"/>
    <w:rsid w:val="00446732"/>
    <w:rsid w:val="00451C93"/>
    <w:rsid w:val="00454D0F"/>
    <w:rsid w:val="00456955"/>
    <w:rsid w:val="0045743B"/>
    <w:rsid w:val="004705CF"/>
    <w:rsid w:val="00486BB4"/>
    <w:rsid w:val="004936D2"/>
    <w:rsid w:val="004A7DE2"/>
    <w:rsid w:val="004B109B"/>
    <w:rsid w:val="004B3F5D"/>
    <w:rsid w:val="004C30C3"/>
    <w:rsid w:val="004C4008"/>
    <w:rsid w:val="004C6BDB"/>
    <w:rsid w:val="004D13E6"/>
    <w:rsid w:val="004D519A"/>
    <w:rsid w:val="004E07C4"/>
    <w:rsid w:val="004E1F88"/>
    <w:rsid w:val="004F1412"/>
    <w:rsid w:val="00513D37"/>
    <w:rsid w:val="005175AE"/>
    <w:rsid w:val="00520FFA"/>
    <w:rsid w:val="00524350"/>
    <w:rsid w:val="005249C1"/>
    <w:rsid w:val="00526EA5"/>
    <w:rsid w:val="005278D1"/>
    <w:rsid w:val="00530ED8"/>
    <w:rsid w:val="00533106"/>
    <w:rsid w:val="005472A4"/>
    <w:rsid w:val="00562B80"/>
    <w:rsid w:val="0056516A"/>
    <w:rsid w:val="005824CE"/>
    <w:rsid w:val="00594553"/>
    <w:rsid w:val="005B17E8"/>
    <w:rsid w:val="005B40D7"/>
    <w:rsid w:val="005B52AB"/>
    <w:rsid w:val="005C499A"/>
    <w:rsid w:val="005D14F5"/>
    <w:rsid w:val="005E6E55"/>
    <w:rsid w:val="005E7604"/>
    <w:rsid w:val="005F03E0"/>
    <w:rsid w:val="005F53F0"/>
    <w:rsid w:val="006015D8"/>
    <w:rsid w:val="00602E79"/>
    <w:rsid w:val="00607AC7"/>
    <w:rsid w:val="006174AF"/>
    <w:rsid w:val="006207D7"/>
    <w:rsid w:val="006253EB"/>
    <w:rsid w:val="00630586"/>
    <w:rsid w:val="00631595"/>
    <w:rsid w:val="0063311C"/>
    <w:rsid w:val="00635423"/>
    <w:rsid w:val="00636BEB"/>
    <w:rsid w:val="00643351"/>
    <w:rsid w:val="00643C7D"/>
    <w:rsid w:val="006500AB"/>
    <w:rsid w:val="00656C35"/>
    <w:rsid w:val="00662A81"/>
    <w:rsid w:val="00666332"/>
    <w:rsid w:val="00671F5D"/>
    <w:rsid w:val="006743E2"/>
    <w:rsid w:val="006769F0"/>
    <w:rsid w:val="006805A9"/>
    <w:rsid w:val="0068168A"/>
    <w:rsid w:val="00693C0A"/>
    <w:rsid w:val="006957D5"/>
    <w:rsid w:val="006961E4"/>
    <w:rsid w:val="006A5AAE"/>
    <w:rsid w:val="006B1C0E"/>
    <w:rsid w:val="006C11D3"/>
    <w:rsid w:val="006C3665"/>
    <w:rsid w:val="006D4FF1"/>
    <w:rsid w:val="006D5A09"/>
    <w:rsid w:val="006D7AE5"/>
    <w:rsid w:val="006F082E"/>
    <w:rsid w:val="006F3E81"/>
    <w:rsid w:val="006F50FF"/>
    <w:rsid w:val="00700737"/>
    <w:rsid w:val="00700F63"/>
    <w:rsid w:val="00705CCA"/>
    <w:rsid w:val="00707D9D"/>
    <w:rsid w:val="00721C92"/>
    <w:rsid w:val="007271E5"/>
    <w:rsid w:val="00733915"/>
    <w:rsid w:val="00750235"/>
    <w:rsid w:val="00752D40"/>
    <w:rsid w:val="0075467B"/>
    <w:rsid w:val="007571CA"/>
    <w:rsid w:val="00762AA4"/>
    <w:rsid w:val="00781013"/>
    <w:rsid w:val="0078424D"/>
    <w:rsid w:val="00796C37"/>
    <w:rsid w:val="00796FAB"/>
    <w:rsid w:val="007A001A"/>
    <w:rsid w:val="007A6422"/>
    <w:rsid w:val="007A6B74"/>
    <w:rsid w:val="007A7C21"/>
    <w:rsid w:val="007B0306"/>
    <w:rsid w:val="007C2A8D"/>
    <w:rsid w:val="007C5299"/>
    <w:rsid w:val="007D0A00"/>
    <w:rsid w:val="007D3D2F"/>
    <w:rsid w:val="007D4840"/>
    <w:rsid w:val="007D664C"/>
    <w:rsid w:val="007E0505"/>
    <w:rsid w:val="007E61BB"/>
    <w:rsid w:val="007F24A2"/>
    <w:rsid w:val="007F2A4D"/>
    <w:rsid w:val="007F5025"/>
    <w:rsid w:val="007F67AC"/>
    <w:rsid w:val="007F6E9A"/>
    <w:rsid w:val="00802853"/>
    <w:rsid w:val="00803512"/>
    <w:rsid w:val="0080491D"/>
    <w:rsid w:val="00804980"/>
    <w:rsid w:val="00813289"/>
    <w:rsid w:val="00813BC5"/>
    <w:rsid w:val="0082083E"/>
    <w:rsid w:val="008309BD"/>
    <w:rsid w:val="00842ACB"/>
    <w:rsid w:val="00853233"/>
    <w:rsid w:val="00860811"/>
    <w:rsid w:val="008637FE"/>
    <w:rsid w:val="008729D3"/>
    <w:rsid w:val="008763AD"/>
    <w:rsid w:val="00881433"/>
    <w:rsid w:val="0088274A"/>
    <w:rsid w:val="00887D2C"/>
    <w:rsid w:val="00893D2C"/>
    <w:rsid w:val="008A4719"/>
    <w:rsid w:val="008B4916"/>
    <w:rsid w:val="008B59CC"/>
    <w:rsid w:val="008C27E5"/>
    <w:rsid w:val="008C523C"/>
    <w:rsid w:val="008C5D8F"/>
    <w:rsid w:val="008D35A2"/>
    <w:rsid w:val="008D486E"/>
    <w:rsid w:val="008D5FEF"/>
    <w:rsid w:val="008E0345"/>
    <w:rsid w:val="008E0A9D"/>
    <w:rsid w:val="008F4512"/>
    <w:rsid w:val="008F56BA"/>
    <w:rsid w:val="00914478"/>
    <w:rsid w:val="00922D5D"/>
    <w:rsid w:val="00933CC0"/>
    <w:rsid w:val="009467CC"/>
    <w:rsid w:val="00946988"/>
    <w:rsid w:val="00947F2B"/>
    <w:rsid w:val="0096681B"/>
    <w:rsid w:val="00973E52"/>
    <w:rsid w:val="00974A3E"/>
    <w:rsid w:val="00975E46"/>
    <w:rsid w:val="00984C8A"/>
    <w:rsid w:val="00992645"/>
    <w:rsid w:val="00995591"/>
    <w:rsid w:val="0099574D"/>
    <w:rsid w:val="00996327"/>
    <w:rsid w:val="009A409A"/>
    <w:rsid w:val="009B0477"/>
    <w:rsid w:val="009B0E37"/>
    <w:rsid w:val="009B66AA"/>
    <w:rsid w:val="009C1B56"/>
    <w:rsid w:val="009E18F7"/>
    <w:rsid w:val="009F154B"/>
    <w:rsid w:val="009F7307"/>
    <w:rsid w:val="009F7C54"/>
    <w:rsid w:val="00A2296D"/>
    <w:rsid w:val="00A25001"/>
    <w:rsid w:val="00A27351"/>
    <w:rsid w:val="00A33E22"/>
    <w:rsid w:val="00A34BC1"/>
    <w:rsid w:val="00A34C71"/>
    <w:rsid w:val="00A42E8A"/>
    <w:rsid w:val="00A60530"/>
    <w:rsid w:val="00A73CE6"/>
    <w:rsid w:val="00A84B61"/>
    <w:rsid w:val="00A87A9D"/>
    <w:rsid w:val="00A9537D"/>
    <w:rsid w:val="00AA1EEE"/>
    <w:rsid w:val="00AA4864"/>
    <w:rsid w:val="00AB2E86"/>
    <w:rsid w:val="00AB3E58"/>
    <w:rsid w:val="00AB4AD8"/>
    <w:rsid w:val="00AC19AD"/>
    <w:rsid w:val="00AC1A35"/>
    <w:rsid w:val="00AC4FB2"/>
    <w:rsid w:val="00AC5626"/>
    <w:rsid w:val="00AC70FF"/>
    <w:rsid w:val="00AD16F7"/>
    <w:rsid w:val="00AD213B"/>
    <w:rsid w:val="00AD7580"/>
    <w:rsid w:val="00B10313"/>
    <w:rsid w:val="00B16D8C"/>
    <w:rsid w:val="00B32B39"/>
    <w:rsid w:val="00B3632E"/>
    <w:rsid w:val="00B428DB"/>
    <w:rsid w:val="00B45F0F"/>
    <w:rsid w:val="00B46534"/>
    <w:rsid w:val="00B47EE8"/>
    <w:rsid w:val="00B6572B"/>
    <w:rsid w:val="00B76B82"/>
    <w:rsid w:val="00B83715"/>
    <w:rsid w:val="00B901BC"/>
    <w:rsid w:val="00B922F1"/>
    <w:rsid w:val="00B92461"/>
    <w:rsid w:val="00BA04C8"/>
    <w:rsid w:val="00BA4AE4"/>
    <w:rsid w:val="00BC1839"/>
    <w:rsid w:val="00BC2C11"/>
    <w:rsid w:val="00BD1066"/>
    <w:rsid w:val="00BD1320"/>
    <w:rsid w:val="00BD4EA9"/>
    <w:rsid w:val="00BE3BA5"/>
    <w:rsid w:val="00BF3BAD"/>
    <w:rsid w:val="00BF58C8"/>
    <w:rsid w:val="00BF6B79"/>
    <w:rsid w:val="00C07BF3"/>
    <w:rsid w:val="00C117CF"/>
    <w:rsid w:val="00C12211"/>
    <w:rsid w:val="00C15F8D"/>
    <w:rsid w:val="00C224BC"/>
    <w:rsid w:val="00C2735B"/>
    <w:rsid w:val="00C32A27"/>
    <w:rsid w:val="00C355E9"/>
    <w:rsid w:val="00C51283"/>
    <w:rsid w:val="00C82223"/>
    <w:rsid w:val="00C853F7"/>
    <w:rsid w:val="00C87D73"/>
    <w:rsid w:val="00CB7226"/>
    <w:rsid w:val="00CE12CA"/>
    <w:rsid w:val="00CE28EA"/>
    <w:rsid w:val="00CF053F"/>
    <w:rsid w:val="00CF1D81"/>
    <w:rsid w:val="00D018D1"/>
    <w:rsid w:val="00D12E81"/>
    <w:rsid w:val="00D21902"/>
    <w:rsid w:val="00D21D60"/>
    <w:rsid w:val="00D2229B"/>
    <w:rsid w:val="00D320A3"/>
    <w:rsid w:val="00D35CCF"/>
    <w:rsid w:val="00D407A6"/>
    <w:rsid w:val="00D55139"/>
    <w:rsid w:val="00D604FF"/>
    <w:rsid w:val="00D73801"/>
    <w:rsid w:val="00D7434C"/>
    <w:rsid w:val="00D755D5"/>
    <w:rsid w:val="00D90E0D"/>
    <w:rsid w:val="00D91BB2"/>
    <w:rsid w:val="00D9236D"/>
    <w:rsid w:val="00DA2192"/>
    <w:rsid w:val="00DB461E"/>
    <w:rsid w:val="00DB5F64"/>
    <w:rsid w:val="00DC3047"/>
    <w:rsid w:val="00DD4FFE"/>
    <w:rsid w:val="00DD51E0"/>
    <w:rsid w:val="00DE14ED"/>
    <w:rsid w:val="00DE54DE"/>
    <w:rsid w:val="00DE6FCE"/>
    <w:rsid w:val="00DF5400"/>
    <w:rsid w:val="00E14CCB"/>
    <w:rsid w:val="00E16E4E"/>
    <w:rsid w:val="00E21EDD"/>
    <w:rsid w:val="00E23EA1"/>
    <w:rsid w:val="00E3516F"/>
    <w:rsid w:val="00E519D2"/>
    <w:rsid w:val="00E6652C"/>
    <w:rsid w:val="00E968A9"/>
    <w:rsid w:val="00EA21E0"/>
    <w:rsid w:val="00EB03E2"/>
    <w:rsid w:val="00EB06B4"/>
    <w:rsid w:val="00EB7A10"/>
    <w:rsid w:val="00EC2506"/>
    <w:rsid w:val="00EC3364"/>
    <w:rsid w:val="00EC55F7"/>
    <w:rsid w:val="00ED223C"/>
    <w:rsid w:val="00ED2635"/>
    <w:rsid w:val="00ED689F"/>
    <w:rsid w:val="00EE59AF"/>
    <w:rsid w:val="00EF0B59"/>
    <w:rsid w:val="00EF1572"/>
    <w:rsid w:val="00EF37B5"/>
    <w:rsid w:val="00EF4C8B"/>
    <w:rsid w:val="00EF7DF4"/>
    <w:rsid w:val="00F016AF"/>
    <w:rsid w:val="00F04E54"/>
    <w:rsid w:val="00F1296D"/>
    <w:rsid w:val="00F237BD"/>
    <w:rsid w:val="00F37F8C"/>
    <w:rsid w:val="00F46548"/>
    <w:rsid w:val="00F4682E"/>
    <w:rsid w:val="00F5629D"/>
    <w:rsid w:val="00F667EA"/>
    <w:rsid w:val="00F80D1D"/>
    <w:rsid w:val="00F955B2"/>
    <w:rsid w:val="00FA023C"/>
    <w:rsid w:val="00FA1804"/>
    <w:rsid w:val="00FA2545"/>
    <w:rsid w:val="00FB22D6"/>
    <w:rsid w:val="00FC4005"/>
    <w:rsid w:val="00FD6A40"/>
    <w:rsid w:val="00FE1423"/>
    <w:rsid w:val="00FE38FD"/>
    <w:rsid w:val="00FF0072"/>
    <w:rsid w:val="00FF0608"/>
    <w:rsid w:val="00FF6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4D29B1D"/>
  <w15:chartTrackingRefBased/>
  <w15:docId w15:val="{A2085CB7-3884-4E4D-A139-A0896754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AF"/>
    <w:pPr>
      <w:spacing w:after="200" w:line="276" w:lineRule="auto"/>
    </w:pPr>
    <w:rPr>
      <w:sz w:val="22"/>
      <w:szCs w:val="22"/>
      <w:lang w:eastAsia="en-US"/>
    </w:rPr>
  </w:style>
  <w:style w:type="paragraph" w:styleId="Heading1">
    <w:name w:val="heading 1"/>
    <w:basedOn w:val="Normal"/>
    <w:next w:val="Normal"/>
    <w:link w:val="Heading1Char"/>
    <w:qFormat/>
    <w:rsid w:val="009F154B"/>
    <w:pPr>
      <w:keepNext/>
      <w:spacing w:before="240" w:after="60" w:line="240" w:lineRule="auto"/>
      <w:outlineLvl w:val="0"/>
    </w:pPr>
    <w:rPr>
      <w:rFonts w:ascii="Times New Roman" w:eastAsia="Times New Roman" w:hAnsi="Times New Roman"/>
      <w:b/>
      <w:cap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16AF"/>
    <w:pPr>
      <w:overflowPunct w:val="0"/>
      <w:autoSpaceDE w:val="0"/>
      <w:autoSpaceDN w:val="0"/>
      <w:adjustRightInd w:val="0"/>
      <w:spacing w:after="120" w:line="240" w:lineRule="auto"/>
      <w:textAlignment w:val="baseline"/>
    </w:pPr>
    <w:rPr>
      <w:rFonts w:ascii="Times New Roman" w:eastAsia="Times New Roman" w:hAnsi="Times New Roman"/>
      <w:sz w:val="24"/>
      <w:szCs w:val="20"/>
      <w:lang w:eastAsia="en-AU"/>
    </w:rPr>
  </w:style>
  <w:style w:type="character" w:customStyle="1" w:styleId="BodyTextChar">
    <w:name w:val="Body Text Char"/>
    <w:link w:val="BodyText"/>
    <w:rsid w:val="00F016AF"/>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9F154B"/>
    <w:pPr>
      <w:spacing w:after="0" w:line="240" w:lineRule="auto"/>
      <w:jc w:val="center"/>
    </w:pPr>
    <w:rPr>
      <w:rFonts w:ascii="Times New Roman" w:eastAsia="Times New Roman" w:hAnsi="Times New Roman"/>
      <w:b/>
      <w:sz w:val="24"/>
      <w:szCs w:val="20"/>
      <w:lang w:eastAsia="en-AU"/>
    </w:rPr>
  </w:style>
  <w:style w:type="character" w:customStyle="1" w:styleId="SubtitleChar">
    <w:name w:val="Subtitle Char"/>
    <w:link w:val="Subtitle"/>
    <w:rsid w:val="009F154B"/>
    <w:rPr>
      <w:rFonts w:ascii="Times New Roman" w:eastAsia="Times New Roman" w:hAnsi="Times New Roman" w:cs="Times New Roman"/>
      <w:b/>
      <w:sz w:val="24"/>
      <w:szCs w:val="20"/>
      <w:lang w:eastAsia="en-AU"/>
    </w:rPr>
  </w:style>
  <w:style w:type="character" w:customStyle="1" w:styleId="Heading1Char">
    <w:name w:val="Heading 1 Char"/>
    <w:link w:val="Heading1"/>
    <w:rsid w:val="009F154B"/>
    <w:rPr>
      <w:rFonts w:ascii="Times New Roman" w:eastAsia="Times New Roman" w:hAnsi="Times New Roman" w:cs="Times New Roman"/>
      <w:b/>
      <w:caps/>
      <w:sz w:val="24"/>
      <w:szCs w:val="20"/>
      <w:lang w:eastAsia="en-AU"/>
    </w:rPr>
  </w:style>
  <w:style w:type="paragraph" w:customStyle="1" w:styleId="indenta">
    <w:name w:val="indent(a)"/>
    <w:aliases w:val="a"/>
    <w:basedOn w:val="Normal"/>
    <w:rsid w:val="009F154B"/>
    <w:pPr>
      <w:tabs>
        <w:tab w:val="right" w:pos="1531"/>
      </w:tabs>
      <w:spacing w:before="40" w:after="0" w:line="260" w:lineRule="atLeast"/>
      <w:ind w:left="1644" w:hanging="1644"/>
    </w:pPr>
    <w:rPr>
      <w:rFonts w:ascii="Times" w:eastAsia="Times New Roman" w:hAnsi="Times"/>
      <w:szCs w:val="20"/>
    </w:rPr>
  </w:style>
  <w:style w:type="character" w:customStyle="1" w:styleId="CharSectno">
    <w:name w:val="CharSectno"/>
    <w:basedOn w:val="DefaultParagraphFont"/>
    <w:rsid w:val="009F154B"/>
  </w:style>
  <w:style w:type="paragraph" w:styleId="ListBullet">
    <w:name w:val="List Bullet"/>
    <w:basedOn w:val="Normal"/>
    <w:link w:val="ListBulletChar"/>
    <w:rsid w:val="002A3732"/>
    <w:pPr>
      <w:numPr>
        <w:numId w:val="1"/>
      </w:numPr>
      <w:spacing w:after="80" w:line="240" w:lineRule="atLeast"/>
    </w:pPr>
    <w:rPr>
      <w:rFonts w:ascii="HelveticaNeueLT Std Lt" w:eastAsia="Times New Roman" w:hAnsi="HelveticaNeueLT Std Lt"/>
      <w:sz w:val="20"/>
      <w:szCs w:val="24"/>
      <w:lang w:eastAsia="en-AU"/>
    </w:rPr>
  </w:style>
  <w:style w:type="character" w:customStyle="1" w:styleId="ListBulletChar">
    <w:name w:val="List Bullet Char"/>
    <w:link w:val="ListBullet"/>
    <w:rsid w:val="002A3732"/>
    <w:rPr>
      <w:rFonts w:ascii="HelveticaNeueLT Std Lt" w:eastAsia="Times New Roman" w:hAnsi="HelveticaNeueLT Std Lt" w:cs="Times New Roman"/>
      <w:sz w:val="20"/>
      <w:szCs w:val="24"/>
      <w:lang w:eastAsia="en-AU"/>
    </w:rPr>
  </w:style>
  <w:style w:type="paragraph" w:styleId="ListParagraph">
    <w:name w:val="List Paragraph"/>
    <w:basedOn w:val="Normal"/>
    <w:uiPriority w:val="34"/>
    <w:qFormat/>
    <w:rsid w:val="002A3732"/>
    <w:pPr>
      <w:ind w:left="720"/>
      <w:contextualSpacing/>
    </w:pPr>
  </w:style>
  <w:style w:type="paragraph" w:styleId="BalloonText">
    <w:name w:val="Balloon Text"/>
    <w:basedOn w:val="Normal"/>
    <w:link w:val="BalloonTextChar"/>
    <w:uiPriority w:val="99"/>
    <w:semiHidden/>
    <w:unhideWhenUsed/>
    <w:rsid w:val="008C27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7E5"/>
    <w:rPr>
      <w:rFonts w:ascii="Tahoma" w:hAnsi="Tahoma" w:cs="Tahoma"/>
      <w:sz w:val="16"/>
      <w:szCs w:val="16"/>
    </w:rPr>
  </w:style>
  <w:style w:type="character" w:styleId="CommentReference">
    <w:name w:val="annotation reference"/>
    <w:uiPriority w:val="99"/>
    <w:semiHidden/>
    <w:unhideWhenUsed/>
    <w:rsid w:val="008C27E5"/>
    <w:rPr>
      <w:sz w:val="16"/>
      <w:szCs w:val="16"/>
    </w:rPr>
  </w:style>
  <w:style w:type="paragraph" w:styleId="CommentText">
    <w:name w:val="annotation text"/>
    <w:basedOn w:val="Normal"/>
    <w:link w:val="CommentTextChar"/>
    <w:uiPriority w:val="99"/>
    <w:semiHidden/>
    <w:unhideWhenUsed/>
    <w:rsid w:val="008C27E5"/>
    <w:pPr>
      <w:spacing w:line="240" w:lineRule="auto"/>
    </w:pPr>
    <w:rPr>
      <w:sz w:val="20"/>
      <w:szCs w:val="20"/>
    </w:rPr>
  </w:style>
  <w:style w:type="character" w:customStyle="1" w:styleId="CommentTextChar">
    <w:name w:val="Comment Text Char"/>
    <w:link w:val="CommentText"/>
    <w:uiPriority w:val="99"/>
    <w:semiHidden/>
    <w:rsid w:val="008C27E5"/>
    <w:rPr>
      <w:sz w:val="20"/>
      <w:szCs w:val="20"/>
    </w:rPr>
  </w:style>
  <w:style w:type="paragraph" w:styleId="CommentSubject">
    <w:name w:val="annotation subject"/>
    <w:basedOn w:val="CommentText"/>
    <w:next w:val="CommentText"/>
    <w:link w:val="CommentSubjectChar"/>
    <w:uiPriority w:val="99"/>
    <w:semiHidden/>
    <w:unhideWhenUsed/>
    <w:rsid w:val="008C27E5"/>
    <w:rPr>
      <w:b/>
      <w:bCs/>
    </w:rPr>
  </w:style>
  <w:style w:type="character" w:customStyle="1" w:styleId="CommentSubjectChar">
    <w:name w:val="Comment Subject Char"/>
    <w:link w:val="CommentSubject"/>
    <w:uiPriority w:val="99"/>
    <w:semiHidden/>
    <w:rsid w:val="008C27E5"/>
    <w:rPr>
      <w:b/>
      <w:bCs/>
      <w:sz w:val="20"/>
      <w:szCs w:val="20"/>
    </w:rPr>
  </w:style>
  <w:style w:type="paragraph" w:styleId="Header">
    <w:name w:val="header"/>
    <w:basedOn w:val="Normal"/>
    <w:link w:val="HeaderChar"/>
    <w:uiPriority w:val="99"/>
    <w:unhideWhenUsed/>
    <w:rsid w:val="00E66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52C"/>
  </w:style>
  <w:style w:type="paragraph" w:styleId="Footer">
    <w:name w:val="footer"/>
    <w:basedOn w:val="Normal"/>
    <w:link w:val="FooterChar"/>
    <w:uiPriority w:val="99"/>
    <w:unhideWhenUsed/>
    <w:rsid w:val="00E66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52C"/>
  </w:style>
  <w:style w:type="paragraph" w:customStyle="1" w:styleId="ACMABodyText">
    <w:name w:val="ACMA Body Text"/>
    <w:link w:val="ACMABodyTextChar1"/>
    <w:uiPriority w:val="99"/>
    <w:rsid w:val="009F7C54"/>
    <w:pPr>
      <w:suppressAutoHyphens/>
      <w:spacing w:before="80" w:after="120" w:line="280" w:lineRule="atLeast"/>
    </w:pPr>
    <w:rPr>
      <w:rFonts w:ascii="Times New Roman" w:eastAsia="Times New Roman" w:hAnsi="Times New Roman"/>
      <w:snapToGrid w:val="0"/>
      <w:sz w:val="24"/>
      <w:lang w:eastAsia="en-US"/>
    </w:rPr>
  </w:style>
  <w:style w:type="character" w:customStyle="1" w:styleId="ACMABodyTextChar1">
    <w:name w:val="ACMA Body Text Char1"/>
    <w:link w:val="ACMABodyText"/>
    <w:uiPriority w:val="99"/>
    <w:rsid w:val="009F7C54"/>
    <w:rPr>
      <w:rFonts w:ascii="Times New Roman" w:eastAsia="Times New Roman" w:hAnsi="Times New Roman"/>
      <w:snapToGrid w:val="0"/>
      <w:sz w:val="24"/>
      <w:lang w:val="en-AU" w:eastAsia="en-US" w:bidi="ar-SA"/>
    </w:rPr>
  </w:style>
  <w:style w:type="paragraph" w:styleId="PlainText">
    <w:name w:val="Plain Text"/>
    <w:basedOn w:val="Normal"/>
    <w:link w:val="PlainTextChar"/>
    <w:uiPriority w:val="99"/>
    <w:unhideWhenUsed/>
    <w:rsid w:val="009F7C54"/>
    <w:pPr>
      <w:spacing w:after="0" w:line="240" w:lineRule="auto"/>
    </w:pPr>
    <w:rPr>
      <w:rFonts w:ascii="Consolas" w:hAnsi="Consolas" w:cs="Consolas"/>
      <w:sz w:val="21"/>
      <w:szCs w:val="21"/>
      <w:lang w:eastAsia="en-AU"/>
    </w:rPr>
  </w:style>
  <w:style w:type="character" w:customStyle="1" w:styleId="PlainTextChar">
    <w:name w:val="Plain Text Char"/>
    <w:link w:val="PlainText"/>
    <w:uiPriority w:val="99"/>
    <w:rsid w:val="009F7C54"/>
    <w:rPr>
      <w:rFonts w:ascii="Consolas" w:eastAsia="Calibri" w:hAnsi="Consolas" w:cs="Consolas"/>
      <w:sz w:val="21"/>
      <w:szCs w:val="21"/>
    </w:rPr>
  </w:style>
  <w:style w:type="character" w:customStyle="1" w:styleId="apple-converted-space">
    <w:name w:val="apple-converted-space"/>
    <w:basedOn w:val="DefaultParagraphFont"/>
    <w:rsid w:val="00EF7DF4"/>
  </w:style>
  <w:style w:type="character" w:styleId="Hyperlink">
    <w:name w:val="Hyperlink"/>
    <w:uiPriority w:val="99"/>
    <w:unhideWhenUsed/>
    <w:rsid w:val="00636BEB"/>
    <w:rPr>
      <w:color w:val="0000FF"/>
      <w:u w:val="single"/>
    </w:rPr>
  </w:style>
  <w:style w:type="paragraph" w:customStyle="1" w:styleId="ACMABulletLevel1">
    <w:name w:val="ACMA Bullet Level 1"/>
    <w:rsid w:val="00636BEB"/>
    <w:pPr>
      <w:numPr>
        <w:numId w:val="17"/>
      </w:numPr>
      <w:spacing w:after="120"/>
    </w:pPr>
    <w:rPr>
      <w:rFonts w:ascii="Times New Roman" w:eastAsia="Times New Roman" w:hAnsi="Times New Roman"/>
      <w:sz w:val="24"/>
      <w:lang w:eastAsia="en-US"/>
    </w:rPr>
  </w:style>
  <w:style w:type="paragraph" w:styleId="Revision">
    <w:name w:val="Revision"/>
    <w:hidden/>
    <w:uiPriority w:val="99"/>
    <w:semiHidden/>
    <w:rsid w:val="008208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9544">
      <w:bodyDiv w:val="1"/>
      <w:marLeft w:val="0"/>
      <w:marRight w:val="0"/>
      <w:marTop w:val="0"/>
      <w:marBottom w:val="0"/>
      <w:divBdr>
        <w:top w:val="none" w:sz="0" w:space="0" w:color="auto"/>
        <w:left w:val="none" w:sz="0" w:space="0" w:color="auto"/>
        <w:bottom w:val="none" w:sz="0" w:space="0" w:color="auto"/>
        <w:right w:val="none" w:sz="0" w:space="0" w:color="auto"/>
      </w:divBdr>
    </w:div>
    <w:div w:id="237329888">
      <w:bodyDiv w:val="1"/>
      <w:marLeft w:val="0"/>
      <w:marRight w:val="0"/>
      <w:marTop w:val="0"/>
      <w:marBottom w:val="0"/>
      <w:divBdr>
        <w:top w:val="none" w:sz="0" w:space="0" w:color="auto"/>
        <w:left w:val="none" w:sz="0" w:space="0" w:color="auto"/>
        <w:bottom w:val="none" w:sz="0" w:space="0" w:color="auto"/>
        <w:right w:val="none" w:sz="0" w:space="0" w:color="auto"/>
      </w:divBdr>
      <w:divsChild>
        <w:div w:id="1475609851">
          <w:marLeft w:val="0"/>
          <w:marRight w:val="0"/>
          <w:marTop w:val="0"/>
          <w:marBottom w:val="0"/>
          <w:divBdr>
            <w:top w:val="none" w:sz="0" w:space="0" w:color="auto"/>
            <w:left w:val="none" w:sz="0" w:space="0" w:color="auto"/>
            <w:bottom w:val="none" w:sz="0" w:space="0" w:color="auto"/>
            <w:right w:val="none" w:sz="0" w:space="0" w:color="auto"/>
          </w:divBdr>
          <w:divsChild>
            <w:div w:id="847251065">
              <w:marLeft w:val="0"/>
              <w:marRight w:val="0"/>
              <w:marTop w:val="0"/>
              <w:marBottom w:val="0"/>
              <w:divBdr>
                <w:top w:val="none" w:sz="0" w:space="0" w:color="auto"/>
                <w:left w:val="none" w:sz="0" w:space="0" w:color="auto"/>
                <w:bottom w:val="none" w:sz="0" w:space="0" w:color="auto"/>
                <w:right w:val="none" w:sz="0" w:space="0" w:color="auto"/>
              </w:divBdr>
              <w:divsChild>
                <w:div w:id="249239328">
                  <w:marLeft w:val="0"/>
                  <w:marRight w:val="0"/>
                  <w:marTop w:val="0"/>
                  <w:marBottom w:val="0"/>
                  <w:divBdr>
                    <w:top w:val="none" w:sz="0" w:space="0" w:color="auto"/>
                    <w:left w:val="none" w:sz="0" w:space="0" w:color="auto"/>
                    <w:bottom w:val="none" w:sz="0" w:space="0" w:color="auto"/>
                    <w:right w:val="none" w:sz="0" w:space="0" w:color="auto"/>
                  </w:divBdr>
                  <w:divsChild>
                    <w:div w:id="1953973750">
                      <w:marLeft w:val="0"/>
                      <w:marRight w:val="0"/>
                      <w:marTop w:val="0"/>
                      <w:marBottom w:val="0"/>
                      <w:divBdr>
                        <w:top w:val="none" w:sz="0" w:space="0" w:color="auto"/>
                        <w:left w:val="none" w:sz="0" w:space="0" w:color="auto"/>
                        <w:bottom w:val="none" w:sz="0" w:space="0" w:color="auto"/>
                        <w:right w:val="none" w:sz="0" w:space="0" w:color="auto"/>
                      </w:divBdr>
                      <w:divsChild>
                        <w:div w:id="1651708028">
                          <w:marLeft w:val="0"/>
                          <w:marRight w:val="0"/>
                          <w:marTop w:val="0"/>
                          <w:marBottom w:val="0"/>
                          <w:divBdr>
                            <w:top w:val="single" w:sz="4" w:space="0" w:color="828282"/>
                            <w:left w:val="single" w:sz="4" w:space="0" w:color="828282"/>
                            <w:bottom w:val="single" w:sz="4" w:space="0" w:color="828282"/>
                            <w:right w:val="single" w:sz="4" w:space="0" w:color="828282"/>
                          </w:divBdr>
                          <w:divsChild>
                            <w:div w:id="1800343215">
                              <w:marLeft w:val="0"/>
                              <w:marRight w:val="0"/>
                              <w:marTop w:val="0"/>
                              <w:marBottom w:val="0"/>
                              <w:divBdr>
                                <w:top w:val="none" w:sz="0" w:space="0" w:color="auto"/>
                                <w:left w:val="none" w:sz="0" w:space="0" w:color="auto"/>
                                <w:bottom w:val="none" w:sz="0" w:space="0" w:color="auto"/>
                                <w:right w:val="none" w:sz="0" w:space="0" w:color="auto"/>
                              </w:divBdr>
                              <w:divsChild>
                                <w:div w:id="1444111617">
                                  <w:marLeft w:val="0"/>
                                  <w:marRight w:val="0"/>
                                  <w:marTop w:val="0"/>
                                  <w:marBottom w:val="0"/>
                                  <w:divBdr>
                                    <w:top w:val="none" w:sz="0" w:space="0" w:color="auto"/>
                                    <w:left w:val="none" w:sz="0" w:space="0" w:color="auto"/>
                                    <w:bottom w:val="none" w:sz="0" w:space="0" w:color="auto"/>
                                    <w:right w:val="none" w:sz="0" w:space="0" w:color="auto"/>
                                  </w:divBdr>
                                  <w:divsChild>
                                    <w:div w:id="2143814211">
                                      <w:marLeft w:val="0"/>
                                      <w:marRight w:val="0"/>
                                      <w:marTop w:val="0"/>
                                      <w:marBottom w:val="0"/>
                                      <w:divBdr>
                                        <w:top w:val="none" w:sz="0" w:space="0" w:color="auto"/>
                                        <w:left w:val="none" w:sz="0" w:space="0" w:color="auto"/>
                                        <w:bottom w:val="none" w:sz="0" w:space="0" w:color="auto"/>
                                        <w:right w:val="none" w:sz="0" w:space="0" w:color="auto"/>
                                      </w:divBdr>
                                      <w:divsChild>
                                        <w:div w:id="348724042">
                                          <w:marLeft w:val="0"/>
                                          <w:marRight w:val="0"/>
                                          <w:marTop w:val="0"/>
                                          <w:marBottom w:val="0"/>
                                          <w:divBdr>
                                            <w:top w:val="none" w:sz="0" w:space="0" w:color="auto"/>
                                            <w:left w:val="none" w:sz="0" w:space="0" w:color="auto"/>
                                            <w:bottom w:val="none" w:sz="0" w:space="0" w:color="auto"/>
                                            <w:right w:val="none" w:sz="0" w:space="0" w:color="auto"/>
                                          </w:divBdr>
                                          <w:divsChild>
                                            <w:div w:id="1300526963">
                                              <w:marLeft w:val="0"/>
                                              <w:marRight w:val="0"/>
                                              <w:marTop w:val="0"/>
                                              <w:marBottom w:val="0"/>
                                              <w:divBdr>
                                                <w:top w:val="none" w:sz="0" w:space="0" w:color="auto"/>
                                                <w:left w:val="none" w:sz="0" w:space="0" w:color="auto"/>
                                                <w:bottom w:val="none" w:sz="0" w:space="0" w:color="auto"/>
                                                <w:right w:val="none" w:sz="0" w:space="0" w:color="auto"/>
                                              </w:divBdr>
                                              <w:divsChild>
                                                <w:div w:id="20720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405790">
      <w:bodyDiv w:val="1"/>
      <w:marLeft w:val="0"/>
      <w:marRight w:val="0"/>
      <w:marTop w:val="0"/>
      <w:marBottom w:val="0"/>
      <w:divBdr>
        <w:top w:val="none" w:sz="0" w:space="0" w:color="auto"/>
        <w:left w:val="none" w:sz="0" w:space="0" w:color="auto"/>
        <w:bottom w:val="none" w:sz="0" w:space="0" w:color="auto"/>
        <w:right w:val="none" w:sz="0" w:space="0" w:color="auto"/>
      </w:divBdr>
      <w:divsChild>
        <w:div w:id="302808153">
          <w:marLeft w:val="0"/>
          <w:marRight w:val="0"/>
          <w:marTop w:val="0"/>
          <w:marBottom w:val="0"/>
          <w:divBdr>
            <w:top w:val="none" w:sz="0" w:space="0" w:color="auto"/>
            <w:left w:val="none" w:sz="0" w:space="0" w:color="auto"/>
            <w:bottom w:val="none" w:sz="0" w:space="0" w:color="auto"/>
            <w:right w:val="none" w:sz="0" w:space="0" w:color="auto"/>
          </w:divBdr>
          <w:divsChild>
            <w:div w:id="485781322">
              <w:marLeft w:val="0"/>
              <w:marRight w:val="0"/>
              <w:marTop w:val="0"/>
              <w:marBottom w:val="0"/>
              <w:divBdr>
                <w:top w:val="none" w:sz="0" w:space="0" w:color="auto"/>
                <w:left w:val="none" w:sz="0" w:space="0" w:color="auto"/>
                <w:bottom w:val="none" w:sz="0" w:space="0" w:color="auto"/>
                <w:right w:val="none" w:sz="0" w:space="0" w:color="auto"/>
              </w:divBdr>
              <w:divsChild>
                <w:div w:id="1033337805">
                  <w:marLeft w:val="0"/>
                  <w:marRight w:val="0"/>
                  <w:marTop w:val="0"/>
                  <w:marBottom w:val="0"/>
                  <w:divBdr>
                    <w:top w:val="none" w:sz="0" w:space="0" w:color="auto"/>
                    <w:left w:val="none" w:sz="0" w:space="0" w:color="auto"/>
                    <w:bottom w:val="none" w:sz="0" w:space="0" w:color="auto"/>
                    <w:right w:val="none" w:sz="0" w:space="0" w:color="auto"/>
                  </w:divBdr>
                  <w:divsChild>
                    <w:div w:id="419061765">
                      <w:marLeft w:val="0"/>
                      <w:marRight w:val="0"/>
                      <w:marTop w:val="0"/>
                      <w:marBottom w:val="0"/>
                      <w:divBdr>
                        <w:top w:val="none" w:sz="0" w:space="0" w:color="auto"/>
                        <w:left w:val="none" w:sz="0" w:space="0" w:color="auto"/>
                        <w:bottom w:val="none" w:sz="0" w:space="0" w:color="auto"/>
                        <w:right w:val="none" w:sz="0" w:space="0" w:color="auto"/>
                      </w:divBdr>
                      <w:divsChild>
                        <w:div w:id="533660803">
                          <w:marLeft w:val="0"/>
                          <w:marRight w:val="0"/>
                          <w:marTop w:val="0"/>
                          <w:marBottom w:val="0"/>
                          <w:divBdr>
                            <w:top w:val="single" w:sz="4" w:space="0" w:color="828282"/>
                            <w:left w:val="single" w:sz="4" w:space="0" w:color="828282"/>
                            <w:bottom w:val="single" w:sz="4" w:space="0" w:color="828282"/>
                            <w:right w:val="single" w:sz="4" w:space="0" w:color="828282"/>
                          </w:divBdr>
                          <w:divsChild>
                            <w:div w:id="1015233181">
                              <w:marLeft w:val="0"/>
                              <w:marRight w:val="0"/>
                              <w:marTop w:val="0"/>
                              <w:marBottom w:val="0"/>
                              <w:divBdr>
                                <w:top w:val="none" w:sz="0" w:space="0" w:color="auto"/>
                                <w:left w:val="none" w:sz="0" w:space="0" w:color="auto"/>
                                <w:bottom w:val="none" w:sz="0" w:space="0" w:color="auto"/>
                                <w:right w:val="none" w:sz="0" w:space="0" w:color="auto"/>
                              </w:divBdr>
                              <w:divsChild>
                                <w:div w:id="225726227">
                                  <w:marLeft w:val="0"/>
                                  <w:marRight w:val="0"/>
                                  <w:marTop w:val="0"/>
                                  <w:marBottom w:val="0"/>
                                  <w:divBdr>
                                    <w:top w:val="none" w:sz="0" w:space="0" w:color="auto"/>
                                    <w:left w:val="none" w:sz="0" w:space="0" w:color="auto"/>
                                    <w:bottom w:val="none" w:sz="0" w:space="0" w:color="auto"/>
                                    <w:right w:val="none" w:sz="0" w:space="0" w:color="auto"/>
                                  </w:divBdr>
                                  <w:divsChild>
                                    <w:div w:id="1622419843">
                                      <w:marLeft w:val="0"/>
                                      <w:marRight w:val="0"/>
                                      <w:marTop w:val="0"/>
                                      <w:marBottom w:val="0"/>
                                      <w:divBdr>
                                        <w:top w:val="none" w:sz="0" w:space="0" w:color="auto"/>
                                        <w:left w:val="none" w:sz="0" w:space="0" w:color="auto"/>
                                        <w:bottom w:val="none" w:sz="0" w:space="0" w:color="auto"/>
                                        <w:right w:val="none" w:sz="0" w:space="0" w:color="auto"/>
                                      </w:divBdr>
                                      <w:divsChild>
                                        <w:div w:id="567811697">
                                          <w:marLeft w:val="0"/>
                                          <w:marRight w:val="0"/>
                                          <w:marTop w:val="0"/>
                                          <w:marBottom w:val="0"/>
                                          <w:divBdr>
                                            <w:top w:val="none" w:sz="0" w:space="0" w:color="auto"/>
                                            <w:left w:val="none" w:sz="0" w:space="0" w:color="auto"/>
                                            <w:bottom w:val="none" w:sz="0" w:space="0" w:color="auto"/>
                                            <w:right w:val="none" w:sz="0" w:space="0" w:color="auto"/>
                                          </w:divBdr>
                                          <w:divsChild>
                                            <w:div w:id="1298487687">
                                              <w:marLeft w:val="0"/>
                                              <w:marRight w:val="0"/>
                                              <w:marTop w:val="0"/>
                                              <w:marBottom w:val="0"/>
                                              <w:divBdr>
                                                <w:top w:val="none" w:sz="0" w:space="0" w:color="auto"/>
                                                <w:left w:val="none" w:sz="0" w:space="0" w:color="auto"/>
                                                <w:bottom w:val="none" w:sz="0" w:space="0" w:color="auto"/>
                                                <w:right w:val="none" w:sz="0" w:space="0" w:color="auto"/>
                                              </w:divBdr>
                                              <w:divsChild>
                                                <w:div w:id="1527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475436">
      <w:bodyDiv w:val="1"/>
      <w:marLeft w:val="0"/>
      <w:marRight w:val="0"/>
      <w:marTop w:val="0"/>
      <w:marBottom w:val="0"/>
      <w:divBdr>
        <w:top w:val="none" w:sz="0" w:space="0" w:color="auto"/>
        <w:left w:val="none" w:sz="0" w:space="0" w:color="auto"/>
        <w:bottom w:val="none" w:sz="0" w:space="0" w:color="auto"/>
        <w:right w:val="none" w:sz="0" w:space="0" w:color="auto"/>
      </w:divBdr>
      <w:divsChild>
        <w:div w:id="551769085">
          <w:marLeft w:val="0"/>
          <w:marRight w:val="0"/>
          <w:marTop w:val="0"/>
          <w:marBottom w:val="0"/>
          <w:divBdr>
            <w:top w:val="none" w:sz="0" w:space="0" w:color="auto"/>
            <w:left w:val="none" w:sz="0" w:space="0" w:color="auto"/>
            <w:bottom w:val="none" w:sz="0" w:space="0" w:color="auto"/>
            <w:right w:val="none" w:sz="0" w:space="0" w:color="auto"/>
          </w:divBdr>
          <w:divsChild>
            <w:div w:id="481897072">
              <w:marLeft w:val="0"/>
              <w:marRight w:val="0"/>
              <w:marTop w:val="0"/>
              <w:marBottom w:val="0"/>
              <w:divBdr>
                <w:top w:val="none" w:sz="0" w:space="0" w:color="auto"/>
                <w:left w:val="none" w:sz="0" w:space="0" w:color="auto"/>
                <w:bottom w:val="none" w:sz="0" w:space="0" w:color="auto"/>
                <w:right w:val="none" w:sz="0" w:space="0" w:color="auto"/>
              </w:divBdr>
              <w:divsChild>
                <w:div w:id="466779008">
                  <w:marLeft w:val="0"/>
                  <w:marRight w:val="0"/>
                  <w:marTop w:val="0"/>
                  <w:marBottom w:val="0"/>
                  <w:divBdr>
                    <w:top w:val="none" w:sz="0" w:space="0" w:color="auto"/>
                    <w:left w:val="none" w:sz="0" w:space="0" w:color="auto"/>
                    <w:bottom w:val="none" w:sz="0" w:space="0" w:color="auto"/>
                    <w:right w:val="none" w:sz="0" w:space="0" w:color="auto"/>
                  </w:divBdr>
                  <w:divsChild>
                    <w:div w:id="176626424">
                      <w:marLeft w:val="0"/>
                      <w:marRight w:val="0"/>
                      <w:marTop w:val="0"/>
                      <w:marBottom w:val="0"/>
                      <w:divBdr>
                        <w:top w:val="none" w:sz="0" w:space="0" w:color="auto"/>
                        <w:left w:val="none" w:sz="0" w:space="0" w:color="auto"/>
                        <w:bottom w:val="none" w:sz="0" w:space="0" w:color="auto"/>
                        <w:right w:val="none" w:sz="0" w:space="0" w:color="auto"/>
                      </w:divBdr>
                      <w:divsChild>
                        <w:div w:id="911623750">
                          <w:marLeft w:val="0"/>
                          <w:marRight w:val="0"/>
                          <w:marTop w:val="0"/>
                          <w:marBottom w:val="0"/>
                          <w:divBdr>
                            <w:top w:val="single" w:sz="4" w:space="0" w:color="828282"/>
                            <w:left w:val="single" w:sz="4" w:space="0" w:color="828282"/>
                            <w:bottom w:val="single" w:sz="4" w:space="0" w:color="828282"/>
                            <w:right w:val="single" w:sz="4" w:space="0" w:color="828282"/>
                          </w:divBdr>
                          <w:divsChild>
                            <w:div w:id="1797749036">
                              <w:marLeft w:val="0"/>
                              <w:marRight w:val="0"/>
                              <w:marTop w:val="0"/>
                              <w:marBottom w:val="0"/>
                              <w:divBdr>
                                <w:top w:val="none" w:sz="0" w:space="0" w:color="auto"/>
                                <w:left w:val="none" w:sz="0" w:space="0" w:color="auto"/>
                                <w:bottom w:val="none" w:sz="0" w:space="0" w:color="auto"/>
                                <w:right w:val="none" w:sz="0" w:space="0" w:color="auto"/>
                              </w:divBdr>
                              <w:divsChild>
                                <w:div w:id="771433554">
                                  <w:marLeft w:val="0"/>
                                  <w:marRight w:val="0"/>
                                  <w:marTop w:val="0"/>
                                  <w:marBottom w:val="0"/>
                                  <w:divBdr>
                                    <w:top w:val="none" w:sz="0" w:space="0" w:color="auto"/>
                                    <w:left w:val="none" w:sz="0" w:space="0" w:color="auto"/>
                                    <w:bottom w:val="none" w:sz="0" w:space="0" w:color="auto"/>
                                    <w:right w:val="none" w:sz="0" w:space="0" w:color="auto"/>
                                  </w:divBdr>
                                  <w:divsChild>
                                    <w:div w:id="748235683">
                                      <w:marLeft w:val="0"/>
                                      <w:marRight w:val="0"/>
                                      <w:marTop w:val="0"/>
                                      <w:marBottom w:val="0"/>
                                      <w:divBdr>
                                        <w:top w:val="none" w:sz="0" w:space="0" w:color="auto"/>
                                        <w:left w:val="none" w:sz="0" w:space="0" w:color="auto"/>
                                        <w:bottom w:val="none" w:sz="0" w:space="0" w:color="auto"/>
                                        <w:right w:val="none" w:sz="0" w:space="0" w:color="auto"/>
                                      </w:divBdr>
                                      <w:divsChild>
                                        <w:div w:id="1180385909">
                                          <w:marLeft w:val="0"/>
                                          <w:marRight w:val="0"/>
                                          <w:marTop w:val="0"/>
                                          <w:marBottom w:val="0"/>
                                          <w:divBdr>
                                            <w:top w:val="none" w:sz="0" w:space="0" w:color="auto"/>
                                            <w:left w:val="none" w:sz="0" w:space="0" w:color="auto"/>
                                            <w:bottom w:val="none" w:sz="0" w:space="0" w:color="auto"/>
                                            <w:right w:val="none" w:sz="0" w:space="0" w:color="auto"/>
                                          </w:divBdr>
                                          <w:divsChild>
                                            <w:div w:id="1509176936">
                                              <w:marLeft w:val="0"/>
                                              <w:marRight w:val="0"/>
                                              <w:marTop w:val="0"/>
                                              <w:marBottom w:val="0"/>
                                              <w:divBdr>
                                                <w:top w:val="none" w:sz="0" w:space="0" w:color="auto"/>
                                                <w:left w:val="none" w:sz="0" w:space="0" w:color="auto"/>
                                                <w:bottom w:val="none" w:sz="0" w:space="0" w:color="auto"/>
                                                <w:right w:val="none" w:sz="0" w:space="0" w:color="auto"/>
                                              </w:divBdr>
                                              <w:divsChild>
                                                <w:div w:id="805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037919">
      <w:bodyDiv w:val="1"/>
      <w:marLeft w:val="0"/>
      <w:marRight w:val="0"/>
      <w:marTop w:val="0"/>
      <w:marBottom w:val="0"/>
      <w:divBdr>
        <w:top w:val="none" w:sz="0" w:space="0" w:color="auto"/>
        <w:left w:val="none" w:sz="0" w:space="0" w:color="auto"/>
        <w:bottom w:val="none" w:sz="0" w:space="0" w:color="auto"/>
        <w:right w:val="none" w:sz="0" w:space="0" w:color="auto"/>
      </w:divBdr>
      <w:divsChild>
        <w:div w:id="603810217">
          <w:marLeft w:val="0"/>
          <w:marRight w:val="0"/>
          <w:marTop w:val="0"/>
          <w:marBottom w:val="0"/>
          <w:divBdr>
            <w:top w:val="none" w:sz="0" w:space="0" w:color="auto"/>
            <w:left w:val="none" w:sz="0" w:space="0" w:color="auto"/>
            <w:bottom w:val="none" w:sz="0" w:space="0" w:color="auto"/>
            <w:right w:val="none" w:sz="0" w:space="0" w:color="auto"/>
          </w:divBdr>
          <w:divsChild>
            <w:div w:id="1489319020">
              <w:marLeft w:val="0"/>
              <w:marRight w:val="0"/>
              <w:marTop w:val="0"/>
              <w:marBottom w:val="0"/>
              <w:divBdr>
                <w:top w:val="none" w:sz="0" w:space="0" w:color="auto"/>
                <w:left w:val="none" w:sz="0" w:space="0" w:color="auto"/>
                <w:bottom w:val="none" w:sz="0" w:space="0" w:color="auto"/>
                <w:right w:val="none" w:sz="0" w:space="0" w:color="auto"/>
              </w:divBdr>
              <w:divsChild>
                <w:div w:id="338117535">
                  <w:marLeft w:val="0"/>
                  <w:marRight w:val="0"/>
                  <w:marTop w:val="0"/>
                  <w:marBottom w:val="0"/>
                  <w:divBdr>
                    <w:top w:val="none" w:sz="0" w:space="0" w:color="auto"/>
                    <w:left w:val="none" w:sz="0" w:space="0" w:color="auto"/>
                    <w:bottom w:val="none" w:sz="0" w:space="0" w:color="auto"/>
                    <w:right w:val="none" w:sz="0" w:space="0" w:color="auto"/>
                  </w:divBdr>
                  <w:divsChild>
                    <w:div w:id="756248718">
                      <w:marLeft w:val="0"/>
                      <w:marRight w:val="0"/>
                      <w:marTop w:val="0"/>
                      <w:marBottom w:val="0"/>
                      <w:divBdr>
                        <w:top w:val="none" w:sz="0" w:space="0" w:color="auto"/>
                        <w:left w:val="none" w:sz="0" w:space="0" w:color="auto"/>
                        <w:bottom w:val="none" w:sz="0" w:space="0" w:color="auto"/>
                        <w:right w:val="none" w:sz="0" w:space="0" w:color="auto"/>
                      </w:divBdr>
                      <w:divsChild>
                        <w:div w:id="402604194">
                          <w:marLeft w:val="0"/>
                          <w:marRight w:val="0"/>
                          <w:marTop w:val="0"/>
                          <w:marBottom w:val="0"/>
                          <w:divBdr>
                            <w:top w:val="single" w:sz="4" w:space="0" w:color="828282"/>
                            <w:left w:val="single" w:sz="4" w:space="0" w:color="828282"/>
                            <w:bottom w:val="single" w:sz="4" w:space="0" w:color="828282"/>
                            <w:right w:val="single" w:sz="4" w:space="0" w:color="828282"/>
                          </w:divBdr>
                          <w:divsChild>
                            <w:div w:id="299575116">
                              <w:marLeft w:val="0"/>
                              <w:marRight w:val="0"/>
                              <w:marTop w:val="0"/>
                              <w:marBottom w:val="0"/>
                              <w:divBdr>
                                <w:top w:val="none" w:sz="0" w:space="0" w:color="auto"/>
                                <w:left w:val="none" w:sz="0" w:space="0" w:color="auto"/>
                                <w:bottom w:val="none" w:sz="0" w:space="0" w:color="auto"/>
                                <w:right w:val="none" w:sz="0" w:space="0" w:color="auto"/>
                              </w:divBdr>
                              <w:divsChild>
                                <w:div w:id="1167593403">
                                  <w:marLeft w:val="0"/>
                                  <w:marRight w:val="0"/>
                                  <w:marTop w:val="0"/>
                                  <w:marBottom w:val="0"/>
                                  <w:divBdr>
                                    <w:top w:val="none" w:sz="0" w:space="0" w:color="auto"/>
                                    <w:left w:val="none" w:sz="0" w:space="0" w:color="auto"/>
                                    <w:bottom w:val="none" w:sz="0" w:space="0" w:color="auto"/>
                                    <w:right w:val="none" w:sz="0" w:space="0" w:color="auto"/>
                                  </w:divBdr>
                                  <w:divsChild>
                                    <w:div w:id="769741254">
                                      <w:marLeft w:val="0"/>
                                      <w:marRight w:val="0"/>
                                      <w:marTop w:val="0"/>
                                      <w:marBottom w:val="0"/>
                                      <w:divBdr>
                                        <w:top w:val="none" w:sz="0" w:space="0" w:color="auto"/>
                                        <w:left w:val="none" w:sz="0" w:space="0" w:color="auto"/>
                                        <w:bottom w:val="none" w:sz="0" w:space="0" w:color="auto"/>
                                        <w:right w:val="none" w:sz="0" w:space="0" w:color="auto"/>
                                      </w:divBdr>
                                      <w:divsChild>
                                        <w:div w:id="58748974">
                                          <w:marLeft w:val="0"/>
                                          <w:marRight w:val="0"/>
                                          <w:marTop w:val="0"/>
                                          <w:marBottom w:val="0"/>
                                          <w:divBdr>
                                            <w:top w:val="none" w:sz="0" w:space="0" w:color="auto"/>
                                            <w:left w:val="none" w:sz="0" w:space="0" w:color="auto"/>
                                            <w:bottom w:val="none" w:sz="0" w:space="0" w:color="auto"/>
                                            <w:right w:val="none" w:sz="0" w:space="0" w:color="auto"/>
                                          </w:divBdr>
                                          <w:divsChild>
                                            <w:div w:id="678125041">
                                              <w:marLeft w:val="0"/>
                                              <w:marRight w:val="0"/>
                                              <w:marTop w:val="0"/>
                                              <w:marBottom w:val="0"/>
                                              <w:divBdr>
                                                <w:top w:val="none" w:sz="0" w:space="0" w:color="auto"/>
                                                <w:left w:val="none" w:sz="0" w:space="0" w:color="auto"/>
                                                <w:bottom w:val="none" w:sz="0" w:space="0" w:color="auto"/>
                                                <w:right w:val="none" w:sz="0" w:space="0" w:color="auto"/>
                                              </w:divBdr>
                                              <w:divsChild>
                                                <w:div w:id="96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533577">
      <w:bodyDiv w:val="1"/>
      <w:marLeft w:val="0"/>
      <w:marRight w:val="0"/>
      <w:marTop w:val="0"/>
      <w:marBottom w:val="0"/>
      <w:divBdr>
        <w:top w:val="none" w:sz="0" w:space="0" w:color="auto"/>
        <w:left w:val="none" w:sz="0" w:space="0" w:color="auto"/>
        <w:bottom w:val="none" w:sz="0" w:space="0" w:color="auto"/>
        <w:right w:val="none" w:sz="0" w:space="0" w:color="auto"/>
      </w:divBdr>
      <w:divsChild>
        <w:div w:id="1857498667">
          <w:marLeft w:val="0"/>
          <w:marRight w:val="0"/>
          <w:marTop w:val="0"/>
          <w:marBottom w:val="0"/>
          <w:divBdr>
            <w:top w:val="none" w:sz="0" w:space="0" w:color="auto"/>
            <w:left w:val="none" w:sz="0" w:space="0" w:color="auto"/>
            <w:bottom w:val="none" w:sz="0" w:space="0" w:color="auto"/>
            <w:right w:val="none" w:sz="0" w:space="0" w:color="auto"/>
          </w:divBdr>
          <w:divsChild>
            <w:div w:id="73939211">
              <w:marLeft w:val="0"/>
              <w:marRight w:val="0"/>
              <w:marTop w:val="0"/>
              <w:marBottom w:val="0"/>
              <w:divBdr>
                <w:top w:val="none" w:sz="0" w:space="0" w:color="auto"/>
                <w:left w:val="none" w:sz="0" w:space="0" w:color="auto"/>
                <w:bottom w:val="none" w:sz="0" w:space="0" w:color="auto"/>
                <w:right w:val="none" w:sz="0" w:space="0" w:color="auto"/>
              </w:divBdr>
              <w:divsChild>
                <w:div w:id="1578440922">
                  <w:marLeft w:val="0"/>
                  <w:marRight w:val="0"/>
                  <w:marTop w:val="0"/>
                  <w:marBottom w:val="0"/>
                  <w:divBdr>
                    <w:top w:val="none" w:sz="0" w:space="0" w:color="auto"/>
                    <w:left w:val="none" w:sz="0" w:space="0" w:color="auto"/>
                    <w:bottom w:val="none" w:sz="0" w:space="0" w:color="auto"/>
                    <w:right w:val="none" w:sz="0" w:space="0" w:color="auto"/>
                  </w:divBdr>
                  <w:divsChild>
                    <w:div w:id="2087266766">
                      <w:marLeft w:val="0"/>
                      <w:marRight w:val="0"/>
                      <w:marTop w:val="0"/>
                      <w:marBottom w:val="0"/>
                      <w:divBdr>
                        <w:top w:val="none" w:sz="0" w:space="0" w:color="auto"/>
                        <w:left w:val="none" w:sz="0" w:space="0" w:color="auto"/>
                        <w:bottom w:val="none" w:sz="0" w:space="0" w:color="auto"/>
                        <w:right w:val="none" w:sz="0" w:space="0" w:color="auto"/>
                      </w:divBdr>
                      <w:divsChild>
                        <w:div w:id="1469931620">
                          <w:marLeft w:val="0"/>
                          <w:marRight w:val="0"/>
                          <w:marTop w:val="0"/>
                          <w:marBottom w:val="0"/>
                          <w:divBdr>
                            <w:top w:val="single" w:sz="4" w:space="0" w:color="828282"/>
                            <w:left w:val="single" w:sz="4" w:space="0" w:color="828282"/>
                            <w:bottom w:val="single" w:sz="4" w:space="0" w:color="828282"/>
                            <w:right w:val="single" w:sz="4" w:space="0" w:color="828282"/>
                          </w:divBdr>
                          <w:divsChild>
                            <w:div w:id="346907404">
                              <w:marLeft w:val="0"/>
                              <w:marRight w:val="0"/>
                              <w:marTop w:val="0"/>
                              <w:marBottom w:val="0"/>
                              <w:divBdr>
                                <w:top w:val="none" w:sz="0" w:space="0" w:color="auto"/>
                                <w:left w:val="none" w:sz="0" w:space="0" w:color="auto"/>
                                <w:bottom w:val="none" w:sz="0" w:space="0" w:color="auto"/>
                                <w:right w:val="none" w:sz="0" w:space="0" w:color="auto"/>
                              </w:divBdr>
                              <w:divsChild>
                                <w:div w:id="1697267987">
                                  <w:marLeft w:val="0"/>
                                  <w:marRight w:val="0"/>
                                  <w:marTop w:val="0"/>
                                  <w:marBottom w:val="0"/>
                                  <w:divBdr>
                                    <w:top w:val="none" w:sz="0" w:space="0" w:color="auto"/>
                                    <w:left w:val="none" w:sz="0" w:space="0" w:color="auto"/>
                                    <w:bottom w:val="none" w:sz="0" w:space="0" w:color="auto"/>
                                    <w:right w:val="none" w:sz="0" w:space="0" w:color="auto"/>
                                  </w:divBdr>
                                  <w:divsChild>
                                    <w:div w:id="713652275">
                                      <w:marLeft w:val="0"/>
                                      <w:marRight w:val="0"/>
                                      <w:marTop w:val="0"/>
                                      <w:marBottom w:val="0"/>
                                      <w:divBdr>
                                        <w:top w:val="none" w:sz="0" w:space="0" w:color="auto"/>
                                        <w:left w:val="none" w:sz="0" w:space="0" w:color="auto"/>
                                        <w:bottom w:val="none" w:sz="0" w:space="0" w:color="auto"/>
                                        <w:right w:val="none" w:sz="0" w:space="0" w:color="auto"/>
                                      </w:divBdr>
                                      <w:divsChild>
                                        <w:div w:id="338237126">
                                          <w:marLeft w:val="0"/>
                                          <w:marRight w:val="0"/>
                                          <w:marTop w:val="0"/>
                                          <w:marBottom w:val="0"/>
                                          <w:divBdr>
                                            <w:top w:val="none" w:sz="0" w:space="0" w:color="auto"/>
                                            <w:left w:val="none" w:sz="0" w:space="0" w:color="auto"/>
                                            <w:bottom w:val="none" w:sz="0" w:space="0" w:color="auto"/>
                                            <w:right w:val="none" w:sz="0" w:space="0" w:color="auto"/>
                                          </w:divBdr>
                                          <w:divsChild>
                                            <w:div w:id="1548569075">
                                              <w:marLeft w:val="0"/>
                                              <w:marRight w:val="0"/>
                                              <w:marTop w:val="0"/>
                                              <w:marBottom w:val="0"/>
                                              <w:divBdr>
                                                <w:top w:val="none" w:sz="0" w:space="0" w:color="auto"/>
                                                <w:left w:val="none" w:sz="0" w:space="0" w:color="auto"/>
                                                <w:bottom w:val="none" w:sz="0" w:space="0" w:color="auto"/>
                                                <w:right w:val="none" w:sz="0" w:space="0" w:color="auto"/>
                                              </w:divBdr>
                                              <w:divsChild>
                                                <w:div w:id="516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134571">
      <w:bodyDiv w:val="1"/>
      <w:marLeft w:val="0"/>
      <w:marRight w:val="0"/>
      <w:marTop w:val="0"/>
      <w:marBottom w:val="0"/>
      <w:divBdr>
        <w:top w:val="none" w:sz="0" w:space="0" w:color="auto"/>
        <w:left w:val="none" w:sz="0" w:space="0" w:color="auto"/>
        <w:bottom w:val="none" w:sz="0" w:space="0" w:color="auto"/>
        <w:right w:val="none" w:sz="0" w:space="0" w:color="auto"/>
      </w:divBdr>
      <w:divsChild>
        <w:div w:id="1098139057">
          <w:marLeft w:val="0"/>
          <w:marRight w:val="0"/>
          <w:marTop w:val="0"/>
          <w:marBottom w:val="0"/>
          <w:divBdr>
            <w:top w:val="none" w:sz="0" w:space="0" w:color="auto"/>
            <w:left w:val="none" w:sz="0" w:space="0" w:color="auto"/>
            <w:bottom w:val="none" w:sz="0" w:space="0" w:color="auto"/>
            <w:right w:val="none" w:sz="0" w:space="0" w:color="auto"/>
          </w:divBdr>
          <w:divsChild>
            <w:div w:id="1725374938">
              <w:marLeft w:val="0"/>
              <w:marRight w:val="0"/>
              <w:marTop w:val="0"/>
              <w:marBottom w:val="0"/>
              <w:divBdr>
                <w:top w:val="none" w:sz="0" w:space="0" w:color="auto"/>
                <w:left w:val="none" w:sz="0" w:space="0" w:color="auto"/>
                <w:bottom w:val="none" w:sz="0" w:space="0" w:color="auto"/>
                <w:right w:val="none" w:sz="0" w:space="0" w:color="auto"/>
              </w:divBdr>
              <w:divsChild>
                <w:div w:id="1291984367">
                  <w:marLeft w:val="0"/>
                  <w:marRight w:val="0"/>
                  <w:marTop w:val="0"/>
                  <w:marBottom w:val="0"/>
                  <w:divBdr>
                    <w:top w:val="none" w:sz="0" w:space="0" w:color="auto"/>
                    <w:left w:val="none" w:sz="0" w:space="0" w:color="auto"/>
                    <w:bottom w:val="none" w:sz="0" w:space="0" w:color="auto"/>
                    <w:right w:val="none" w:sz="0" w:space="0" w:color="auto"/>
                  </w:divBdr>
                  <w:divsChild>
                    <w:div w:id="2060590467">
                      <w:marLeft w:val="0"/>
                      <w:marRight w:val="0"/>
                      <w:marTop w:val="0"/>
                      <w:marBottom w:val="0"/>
                      <w:divBdr>
                        <w:top w:val="none" w:sz="0" w:space="0" w:color="auto"/>
                        <w:left w:val="none" w:sz="0" w:space="0" w:color="auto"/>
                        <w:bottom w:val="none" w:sz="0" w:space="0" w:color="auto"/>
                        <w:right w:val="none" w:sz="0" w:space="0" w:color="auto"/>
                      </w:divBdr>
                      <w:divsChild>
                        <w:div w:id="2134784044">
                          <w:marLeft w:val="0"/>
                          <w:marRight w:val="0"/>
                          <w:marTop w:val="0"/>
                          <w:marBottom w:val="0"/>
                          <w:divBdr>
                            <w:top w:val="single" w:sz="4" w:space="0" w:color="828282"/>
                            <w:left w:val="single" w:sz="4" w:space="0" w:color="828282"/>
                            <w:bottom w:val="single" w:sz="4" w:space="0" w:color="828282"/>
                            <w:right w:val="single" w:sz="4" w:space="0" w:color="828282"/>
                          </w:divBdr>
                          <w:divsChild>
                            <w:div w:id="1015809288">
                              <w:marLeft w:val="0"/>
                              <w:marRight w:val="0"/>
                              <w:marTop w:val="0"/>
                              <w:marBottom w:val="0"/>
                              <w:divBdr>
                                <w:top w:val="none" w:sz="0" w:space="0" w:color="auto"/>
                                <w:left w:val="none" w:sz="0" w:space="0" w:color="auto"/>
                                <w:bottom w:val="none" w:sz="0" w:space="0" w:color="auto"/>
                                <w:right w:val="none" w:sz="0" w:space="0" w:color="auto"/>
                              </w:divBdr>
                              <w:divsChild>
                                <w:div w:id="2129472336">
                                  <w:marLeft w:val="0"/>
                                  <w:marRight w:val="0"/>
                                  <w:marTop w:val="0"/>
                                  <w:marBottom w:val="0"/>
                                  <w:divBdr>
                                    <w:top w:val="none" w:sz="0" w:space="0" w:color="auto"/>
                                    <w:left w:val="none" w:sz="0" w:space="0" w:color="auto"/>
                                    <w:bottom w:val="none" w:sz="0" w:space="0" w:color="auto"/>
                                    <w:right w:val="none" w:sz="0" w:space="0" w:color="auto"/>
                                  </w:divBdr>
                                  <w:divsChild>
                                    <w:div w:id="255678760">
                                      <w:marLeft w:val="0"/>
                                      <w:marRight w:val="0"/>
                                      <w:marTop w:val="0"/>
                                      <w:marBottom w:val="0"/>
                                      <w:divBdr>
                                        <w:top w:val="none" w:sz="0" w:space="0" w:color="auto"/>
                                        <w:left w:val="none" w:sz="0" w:space="0" w:color="auto"/>
                                        <w:bottom w:val="none" w:sz="0" w:space="0" w:color="auto"/>
                                        <w:right w:val="none" w:sz="0" w:space="0" w:color="auto"/>
                                      </w:divBdr>
                                      <w:divsChild>
                                        <w:div w:id="1643387065">
                                          <w:marLeft w:val="0"/>
                                          <w:marRight w:val="0"/>
                                          <w:marTop w:val="0"/>
                                          <w:marBottom w:val="0"/>
                                          <w:divBdr>
                                            <w:top w:val="none" w:sz="0" w:space="0" w:color="auto"/>
                                            <w:left w:val="none" w:sz="0" w:space="0" w:color="auto"/>
                                            <w:bottom w:val="none" w:sz="0" w:space="0" w:color="auto"/>
                                            <w:right w:val="none" w:sz="0" w:space="0" w:color="auto"/>
                                          </w:divBdr>
                                          <w:divsChild>
                                            <w:div w:id="2029793169">
                                              <w:marLeft w:val="0"/>
                                              <w:marRight w:val="0"/>
                                              <w:marTop w:val="0"/>
                                              <w:marBottom w:val="0"/>
                                              <w:divBdr>
                                                <w:top w:val="none" w:sz="0" w:space="0" w:color="auto"/>
                                                <w:left w:val="none" w:sz="0" w:space="0" w:color="auto"/>
                                                <w:bottom w:val="none" w:sz="0" w:space="0" w:color="auto"/>
                                                <w:right w:val="none" w:sz="0" w:space="0" w:color="auto"/>
                                              </w:divBdr>
                                              <w:divsChild>
                                                <w:div w:id="428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295161">
      <w:bodyDiv w:val="1"/>
      <w:marLeft w:val="0"/>
      <w:marRight w:val="0"/>
      <w:marTop w:val="0"/>
      <w:marBottom w:val="0"/>
      <w:divBdr>
        <w:top w:val="none" w:sz="0" w:space="0" w:color="auto"/>
        <w:left w:val="none" w:sz="0" w:space="0" w:color="auto"/>
        <w:bottom w:val="none" w:sz="0" w:space="0" w:color="auto"/>
        <w:right w:val="none" w:sz="0" w:space="0" w:color="auto"/>
      </w:divBdr>
      <w:divsChild>
        <w:div w:id="860553298">
          <w:marLeft w:val="0"/>
          <w:marRight w:val="0"/>
          <w:marTop w:val="0"/>
          <w:marBottom w:val="0"/>
          <w:divBdr>
            <w:top w:val="none" w:sz="0" w:space="0" w:color="auto"/>
            <w:left w:val="none" w:sz="0" w:space="0" w:color="auto"/>
            <w:bottom w:val="none" w:sz="0" w:space="0" w:color="auto"/>
            <w:right w:val="none" w:sz="0" w:space="0" w:color="auto"/>
          </w:divBdr>
          <w:divsChild>
            <w:div w:id="1599026588">
              <w:marLeft w:val="0"/>
              <w:marRight w:val="0"/>
              <w:marTop w:val="0"/>
              <w:marBottom w:val="0"/>
              <w:divBdr>
                <w:top w:val="none" w:sz="0" w:space="0" w:color="auto"/>
                <w:left w:val="none" w:sz="0" w:space="0" w:color="auto"/>
                <w:bottom w:val="none" w:sz="0" w:space="0" w:color="auto"/>
                <w:right w:val="none" w:sz="0" w:space="0" w:color="auto"/>
              </w:divBdr>
              <w:divsChild>
                <w:div w:id="1018702300">
                  <w:marLeft w:val="0"/>
                  <w:marRight w:val="0"/>
                  <w:marTop w:val="0"/>
                  <w:marBottom w:val="0"/>
                  <w:divBdr>
                    <w:top w:val="none" w:sz="0" w:space="0" w:color="auto"/>
                    <w:left w:val="none" w:sz="0" w:space="0" w:color="auto"/>
                    <w:bottom w:val="none" w:sz="0" w:space="0" w:color="auto"/>
                    <w:right w:val="none" w:sz="0" w:space="0" w:color="auto"/>
                  </w:divBdr>
                  <w:divsChild>
                    <w:div w:id="983237137">
                      <w:marLeft w:val="0"/>
                      <w:marRight w:val="0"/>
                      <w:marTop w:val="0"/>
                      <w:marBottom w:val="0"/>
                      <w:divBdr>
                        <w:top w:val="none" w:sz="0" w:space="0" w:color="auto"/>
                        <w:left w:val="none" w:sz="0" w:space="0" w:color="auto"/>
                        <w:bottom w:val="none" w:sz="0" w:space="0" w:color="auto"/>
                        <w:right w:val="none" w:sz="0" w:space="0" w:color="auto"/>
                      </w:divBdr>
                      <w:divsChild>
                        <w:div w:id="1127235096">
                          <w:marLeft w:val="0"/>
                          <w:marRight w:val="0"/>
                          <w:marTop w:val="0"/>
                          <w:marBottom w:val="0"/>
                          <w:divBdr>
                            <w:top w:val="single" w:sz="4" w:space="0" w:color="828282"/>
                            <w:left w:val="single" w:sz="4" w:space="0" w:color="828282"/>
                            <w:bottom w:val="single" w:sz="4" w:space="0" w:color="828282"/>
                            <w:right w:val="single" w:sz="4" w:space="0" w:color="828282"/>
                          </w:divBdr>
                          <w:divsChild>
                            <w:div w:id="440801030">
                              <w:marLeft w:val="0"/>
                              <w:marRight w:val="0"/>
                              <w:marTop w:val="0"/>
                              <w:marBottom w:val="0"/>
                              <w:divBdr>
                                <w:top w:val="none" w:sz="0" w:space="0" w:color="auto"/>
                                <w:left w:val="none" w:sz="0" w:space="0" w:color="auto"/>
                                <w:bottom w:val="none" w:sz="0" w:space="0" w:color="auto"/>
                                <w:right w:val="none" w:sz="0" w:space="0" w:color="auto"/>
                              </w:divBdr>
                              <w:divsChild>
                                <w:div w:id="1637834642">
                                  <w:marLeft w:val="0"/>
                                  <w:marRight w:val="0"/>
                                  <w:marTop w:val="0"/>
                                  <w:marBottom w:val="0"/>
                                  <w:divBdr>
                                    <w:top w:val="none" w:sz="0" w:space="0" w:color="auto"/>
                                    <w:left w:val="none" w:sz="0" w:space="0" w:color="auto"/>
                                    <w:bottom w:val="none" w:sz="0" w:space="0" w:color="auto"/>
                                    <w:right w:val="none" w:sz="0" w:space="0" w:color="auto"/>
                                  </w:divBdr>
                                  <w:divsChild>
                                    <w:div w:id="1594169428">
                                      <w:marLeft w:val="0"/>
                                      <w:marRight w:val="0"/>
                                      <w:marTop w:val="0"/>
                                      <w:marBottom w:val="0"/>
                                      <w:divBdr>
                                        <w:top w:val="none" w:sz="0" w:space="0" w:color="auto"/>
                                        <w:left w:val="none" w:sz="0" w:space="0" w:color="auto"/>
                                        <w:bottom w:val="none" w:sz="0" w:space="0" w:color="auto"/>
                                        <w:right w:val="none" w:sz="0" w:space="0" w:color="auto"/>
                                      </w:divBdr>
                                      <w:divsChild>
                                        <w:div w:id="1124468315">
                                          <w:marLeft w:val="0"/>
                                          <w:marRight w:val="0"/>
                                          <w:marTop w:val="0"/>
                                          <w:marBottom w:val="0"/>
                                          <w:divBdr>
                                            <w:top w:val="none" w:sz="0" w:space="0" w:color="auto"/>
                                            <w:left w:val="none" w:sz="0" w:space="0" w:color="auto"/>
                                            <w:bottom w:val="none" w:sz="0" w:space="0" w:color="auto"/>
                                            <w:right w:val="none" w:sz="0" w:space="0" w:color="auto"/>
                                          </w:divBdr>
                                          <w:divsChild>
                                            <w:div w:id="296762134">
                                              <w:marLeft w:val="0"/>
                                              <w:marRight w:val="0"/>
                                              <w:marTop w:val="0"/>
                                              <w:marBottom w:val="0"/>
                                              <w:divBdr>
                                                <w:top w:val="none" w:sz="0" w:space="0" w:color="auto"/>
                                                <w:left w:val="none" w:sz="0" w:space="0" w:color="auto"/>
                                                <w:bottom w:val="none" w:sz="0" w:space="0" w:color="auto"/>
                                                <w:right w:val="none" w:sz="0" w:space="0" w:color="auto"/>
                                              </w:divBdr>
                                              <w:divsChild>
                                                <w:div w:id="1785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00568">
      <w:bodyDiv w:val="1"/>
      <w:marLeft w:val="0"/>
      <w:marRight w:val="0"/>
      <w:marTop w:val="0"/>
      <w:marBottom w:val="0"/>
      <w:divBdr>
        <w:top w:val="none" w:sz="0" w:space="0" w:color="auto"/>
        <w:left w:val="none" w:sz="0" w:space="0" w:color="auto"/>
        <w:bottom w:val="none" w:sz="0" w:space="0" w:color="auto"/>
        <w:right w:val="none" w:sz="0" w:space="0" w:color="auto"/>
      </w:divBdr>
    </w:div>
    <w:div w:id="18593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033047a-93aa-421b-8aef-52cbfb63cf36" ContentTypeId="0x01010070E27D6A746B5B48ADF22C2128054D55" PreviousValue="false"/>
</file>

<file path=customXml/item3.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_x0020_Number xmlns="83630db1-6fc2-4dfd-b3fe-d61d34e1440c" xsi:nil="true"/>
    <Legacy_x0020_Record_x0020_Number xmlns="83630db1-6fc2-4dfd-b3fe-d61d34e1440c" xsi:nil="true"/>
    <IconOverlay xmlns="http://schemas.microsoft.com/sharepoint/v4" xsi:nil="true"/>
    <Category xmlns="5e268b55-9e20-462b-aba6-694451a37717">(none)</Category>
    <_dlc_DocId xmlns="6db8f3c6-01a1-4322-b043-a3b2a190f7a8">KNAH4PPFC442-3114-841</_dlc_DocId>
    <_dlc_DocIdUrl xmlns="6db8f3c6-01a1-4322-b043-a3b2a190f7a8">
      <Url>http://collaboration/organisation/Auth/Chair/Auth/_layouts/DocIdRedir.aspx?ID=KNAH4PPFC442-3114-841</Url>
      <Description>KNAH4PPFC442-3114-841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1A3C5-122A-4FC0-9EA1-DBE9A0CE6223}">
  <ds:schemaRefs>
    <ds:schemaRef ds:uri="http://schemas.microsoft.com/sharepoint/events"/>
  </ds:schemaRefs>
</ds:datastoreItem>
</file>

<file path=customXml/itemProps2.xml><?xml version="1.0" encoding="utf-8"?>
<ds:datastoreItem xmlns:ds="http://schemas.openxmlformats.org/officeDocument/2006/customXml" ds:itemID="{F57C1E2F-D422-43FD-A244-FDB6D19A5C70}">
  <ds:schemaRefs>
    <ds:schemaRef ds:uri="Microsoft.SharePoint.Taxonomy.ContentTypeSync"/>
  </ds:schemaRefs>
</ds:datastoreItem>
</file>

<file path=customXml/itemProps3.xml><?xml version="1.0" encoding="utf-8"?>
<ds:datastoreItem xmlns:ds="http://schemas.openxmlformats.org/officeDocument/2006/customXml" ds:itemID="{4FA39EF4-EF79-4E76-9A3C-F1AF7846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FCD3A-7F9E-41F9-9230-C8CFE00A4EE9}">
  <ds:schemaRefs>
    <ds:schemaRef ds:uri="83630db1-6fc2-4dfd-b3fe-d61d34e1440c"/>
    <ds:schemaRef ds:uri="http://schemas.microsoft.com/office/2006/documentManagement/types"/>
    <ds:schemaRef ds:uri="5e268b55-9e20-462b-aba6-694451a37717"/>
    <ds:schemaRef ds:uri="http://schemas.microsoft.com/office/2006/metadata/properties"/>
    <ds:schemaRef ds:uri="http://schemas.microsoft.com/sharepoint/v4"/>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6db8f3c6-01a1-4322-b043-a3b2a190f7a8"/>
  </ds:schemaRefs>
</ds:datastoreItem>
</file>

<file path=customXml/itemProps5.xml><?xml version="1.0" encoding="utf-8"?>
<ds:datastoreItem xmlns:ds="http://schemas.openxmlformats.org/officeDocument/2006/customXml" ds:itemID="{A460011C-9587-4F85-B095-4633D5C1E2A2}">
  <ds:schemaRefs>
    <ds:schemaRef ds:uri="http://schemas.microsoft.com/sharepoint/v3/contenttype/forms"/>
  </ds:schemaRefs>
</ds:datastoreItem>
</file>

<file path=customXml/itemProps6.xml><?xml version="1.0" encoding="utf-8"?>
<ds:datastoreItem xmlns:ds="http://schemas.openxmlformats.org/officeDocument/2006/customXml" ds:itemID="{5871565D-9D66-474A-8150-BC04D034338B}">
  <ds:schemaRefs>
    <ds:schemaRef ds:uri="http://schemas.microsoft.com/office/2006/metadata/longProperties"/>
  </ds:schemaRefs>
</ds:datastoreItem>
</file>

<file path=customXml/itemProps7.xml><?xml version="1.0" encoding="utf-8"?>
<ds:datastoreItem xmlns:ds="http://schemas.openxmlformats.org/officeDocument/2006/customXml" ds:itemID="{7272758B-E18B-4DF3-A71C-B4637079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9625</CharactersWithSpaces>
  <SharedDoc>false</SharedDoc>
  <HLinks>
    <vt:vector size="18" baseType="variant">
      <vt:variant>
        <vt:i4>6160468</vt:i4>
      </vt:variant>
      <vt:variant>
        <vt:i4>6</vt:i4>
      </vt:variant>
      <vt:variant>
        <vt:i4>0</vt:i4>
      </vt:variant>
      <vt:variant>
        <vt:i4>5</vt:i4>
      </vt:variant>
      <vt:variant>
        <vt:lpwstr>http://www.comlaw.gov.au/</vt:lpwstr>
      </vt:variant>
      <vt:variant>
        <vt:lpwstr/>
      </vt:variant>
      <vt:variant>
        <vt:i4>2752612</vt:i4>
      </vt:variant>
      <vt:variant>
        <vt:i4>3</vt:i4>
      </vt:variant>
      <vt:variant>
        <vt:i4>0</vt:i4>
      </vt:variant>
      <vt:variant>
        <vt:i4>5</vt:i4>
      </vt:variant>
      <vt:variant>
        <vt:lpwstr>http://www.itu.int/</vt:lpwstr>
      </vt:variant>
      <vt:variant>
        <vt:lpwstr/>
      </vt:variant>
      <vt:variant>
        <vt:i4>3997730</vt:i4>
      </vt:variant>
      <vt:variant>
        <vt:i4>0</vt:i4>
      </vt:variant>
      <vt:variant>
        <vt:i4>0</vt:i4>
      </vt:variant>
      <vt:variant>
        <vt:i4>5</vt:i4>
      </vt:variant>
      <vt:variant>
        <vt:lpwstr>http://www.acma.gov.au/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Patrick Belton</dc:creator>
  <cp:keywords/>
  <cp:lastModifiedBy>Patrick Belton</cp:lastModifiedBy>
  <cp:revision>3</cp:revision>
  <dcterms:created xsi:type="dcterms:W3CDTF">2015-08-07T00:08:00Z</dcterms:created>
  <dcterms:modified xsi:type="dcterms:W3CDTF">2015-08-07T00:09:00Z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KNAH4PPFC442-2596-307</vt:lpwstr>
  </property>
  <property fmtid="{D5CDD505-2E9C-101B-9397-08002B2CF9AE}" pid="3" name="_dlc_DocIdItemGuid">
    <vt:lpwstr>3801cb65-cb56-475c-9ae8-ca4c5737030d</vt:lpwstr>
  </property>
  <property fmtid="{D5CDD505-2E9C-101B-9397-08002B2CF9AE}" pid="4" name="_dlc_DocIdUrl">
    <vt:lpwstr>http://collaboration/organisation/CID/RPB/RLPS/lib/_layouts/DocIdRedir.aspx?ID=KNAH4PPFC442-2596-307, KNAH4PPFC442-2596-307</vt:lpwstr>
  </property>
  <property fmtid="{D5CDD505-2E9C-101B-9397-08002B2CF9AE}" pid="5" name="ContentTypeId">
    <vt:lpwstr>0x01010070E27D6A746B5B48ADF22C2128054D5500EE817EA22CCD994CB2E127746CF12863</vt:lpwstr>
  </property>
  <property fmtid="{D5CDD505-2E9C-101B-9397-08002B2CF9AE}" pid="6" name="RecordPoint_SubmissionDate">
    <vt:lpwstr/>
  </property>
  <property fmtid="{D5CDD505-2E9C-101B-9397-08002B2CF9AE}" pid="7" name="RecordPoint_ActiveItemSiteId">
    <vt:lpwstr>{7ba5f3c1-1ab9-4cc3-a7c0-334d2b0aec73}</vt:lpwstr>
  </property>
  <property fmtid="{D5CDD505-2E9C-101B-9397-08002B2CF9AE}" pid="8" name="RecordPoint_ActiveItemListId">
    <vt:lpwstr>{f1c3c3d6-c421-46f6-a621-f79f6b29635f}</vt:lpwstr>
  </property>
  <property fmtid="{D5CDD505-2E9C-101B-9397-08002B2CF9AE}" pid="9" name="RecordPoint_ActiveItemMoved">
    <vt:lpwstr/>
  </property>
  <property fmtid="{D5CDD505-2E9C-101B-9397-08002B2CF9AE}" pid="10" name="RecordPoint_SubmissionCompleted">
    <vt:lpwstr/>
  </property>
  <property fmtid="{D5CDD505-2E9C-101B-9397-08002B2CF9AE}" pid="11" name="RecordPoint_ActiveItemUniqueId">
    <vt:lpwstr>{3801cb65-cb56-475c-9ae8-ca4c5737030d}</vt:lpwstr>
  </property>
  <property fmtid="{D5CDD505-2E9C-101B-9397-08002B2CF9AE}" pid="12" name="RecordPoint_RecordFormat">
    <vt:lpwstr/>
  </property>
  <property fmtid="{D5CDD505-2E9C-101B-9397-08002B2CF9AE}" pid="13" name="RecordPoint_ActiveItemWebId">
    <vt:lpwstr>{e61cc4da-a431-400f-9f48-bf2ba12a7e9a}</vt:lpwstr>
  </property>
  <property fmtid="{D5CDD505-2E9C-101B-9397-08002B2CF9AE}" pid="14" name="RecordPoint_WorkflowType">
    <vt:lpwstr>ActiveSubmitStub</vt:lpwstr>
  </property>
</Properties>
</file>