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8A" w:rsidRPr="003F7530" w:rsidRDefault="00825478" w:rsidP="00056DC2">
      <w:pPr>
        <w:pStyle w:val="Heading"/>
        <w:spacing w:before="0" w:after="240"/>
        <w:jc w:val="center"/>
        <w:rPr>
          <w:rFonts w:cs="Times New Roman"/>
          <w:sz w:val="24"/>
          <w:szCs w:val="24"/>
        </w:rPr>
      </w:pPr>
      <w:bookmarkStart w:id="0" w:name="bkInstrumentSubTitle"/>
      <w:bookmarkStart w:id="1" w:name="_GoBack"/>
      <w:bookmarkEnd w:id="0"/>
      <w:bookmarkEnd w:id="1"/>
      <w:r w:rsidRPr="003F7530">
        <w:rPr>
          <w:rFonts w:cs="Times New Roman"/>
          <w:sz w:val="24"/>
          <w:szCs w:val="24"/>
        </w:rPr>
        <w:t>Financial Sector (Collection of Data) (reporting stand</w:t>
      </w:r>
      <w:r w:rsidRPr="00D274B4">
        <w:rPr>
          <w:rFonts w:cs="Times New Roman"/>
          <w:sz w:val="24"/>
          <w:szCs w:val="24"/>
        </w:rPr>
        <w:t>ard) determination</w:t>
      </w:r>
      <w:r w:rsidR="00CB3E9A" w:rsidRPr="00D274B4">
        <w:rPr>
          <w:rFonts w:cs="Times New Roman"/>
          <w:sz w:val="24"/>
          <w:szCs w:val="24"/>
        </w:rPr>
        <w:t>s</w:t>
      </w:r>
      <w:r w:rsidRPr="00D274B4">
        <w:rPr>
          <w:rFonts w:cs="Times New Roman"/>
          <w:sz w:val="24"/>
          <w:szCs w:val="24"/>
        </w:rPr>
        <w:t xml:space="preserve"> </w:t>
      </w:r>
      <w:r w:rsidR="00865B6D" w:rsidRPr="00D274B4">
        <w:rPr>
          <w:rFonts w:cs="Times New Roman"/>
          <w:sz w:val="24"/>
          <w:szCs w:val="24"/>
        </w:rPr>
        <w:t xml:space="preserve">No. </w:t>
      </w:r>
      <w:r w:rsidR="008F302F" w:rsidRPr="00D274B4">
        <w:rPr>
          <w:rFonts w:cs="Times New Roman"/>
          <w:sz w:val="24"/>
          <w:szCs w:val="24"/>
        </w:rPr>
        <w:t>27</w:t>
      </w:r>
      <w:r w:rsidR="001312BE" w:rsidRPr="00D274B4">
        <w:rPr>
          <w:rFonts w:cs="Times New Roman"/>
          <w:sz w:val="24"/>
          <w:szCs w:val="24"/>
        </w:rPr>
        <w:t xml:space="preserve"> </w:t>
      </w:r>
      <w:r w:rsidR="00865B6D" w:rsidRPr="00D274B4">
        <w:rPr>
          <w:rFonts w:cs="Times New Roman"/>
          <w:sz w:val="24"/>
          <w:szCs w:val="24"/>
        </w:rPr>
        <w:t xml:space="preserve">and No. </w:t>
      </w:r>
      <w:r w:rsidR="008F302F" w:rsidRPr="00D274B4">
        <w:rPr>
          <w:rFonts w:cs="Times New Roman"/>
          <w:sz w:val="24"/>
          <w:szCs w:val="24"/>
        </w:rPr>
        <w:t>28</w:t>
      </w:r>
      <w:r w:rsidR="001312BE" w:rsidRPr="00D274B4">
        <w:rPr>
          <w:rFonts w:cs="Times New Roman"/>
          <w:sz w:val="24"/>
          <w:szCs w:val="24"/>
        </w:rPr>
        <w:t xml:space="preserve"> </w:t>
      </w:r>
      <w:r w:rsidR="00865B6D" w:rsidRPr="00D274B4">
        <w:rPr>
          <w:rFonts w:cs="Times New Roman"/>
          <w:sz w:val="24"/>
          <w:szCs w:val="24"/>
        </w:rPr>
        <w:t>of</w:t>
      </w:r>
      <w:r w:rsidR="00865B6D" w:rsidRPr="00EF40BB">
        <w:rPr>
          <w:rFonts w:cs="Times New Roman"/>
          <w:sz w:val="24"/>
          <w:szCs w:val="24"/>
        </w:rPr>
        <w:t xml:space="preserve"> 2015</w:t>
      </w:r>
    </w:p>
    <w:p w:rsidR="005941E1" w:rsidRPr="003F7530" w:rsidRDefault="00825478" w:rsidP="00056DC2">
      <w:pPr>
        <w:pStyle w:val="Heading"/>
        <w:tabs>
          <w:tab w:val="left" w:pos="360"/>
        </w:tabs>
        <w:spacing w:before="0" w:after="240"/>
        <w:ind w:left="-360"/>
        <w:jc w:val="center"/>
        <w:rPr>
          <w:rFonts w:cs="Times New Roman"/>
          <w:sz w:val="24"/>
          <w:szCs w:val="24"/>
          <w:u w:val="single"/>
        </w:rPr>
      </w:pPr>
      <w:bookmarkStart w:id="2" w:name="bkStart"/>
      <w:bookmarkEnd w:id="2"/>
      <w:r w:rsidRPr="003F7530">
        <w:rPr>
          <w:rFonts w:cs="Times New Roman"/>
          <w:sz w:val="24"/>
          <w:szCs w:val="24"/>
          <w:u w:val="single"/>
        </w:rPr>
        <w:t>EXPLANATORY STATEMENT</w:t>
      </w:r>
    </w:p>
    <w:p w:rsidR="00102F9E" w:rsidRPr="003F7530" w:rsidRDefault="00825478" w:rsidP="00056DC2">
      <w:pPr>
        <w:pStyle w:val="Heading"/>
        <w:spacing w:before="0" w:after="240"/>
        <w:jc w:val="center"/>
        <w:rPr>
          <w:rFonts w:cs="Times New Roman"/>
          <w:sz w:val="24"/>
          <w:szCs w:val="24"/>
        </w:rPr>
      </w:pPr>
      <w:r w:rsidRPr="003F7530">
        <w:rPr>
          <w:rFonts w:cs="Times New Roman"/>
          <w:sz w:val="24"/>
          <w:szCs w:val="24"/>
        </w:rPr>
        <w:t>Prepared by the Australian Prudential Regulation Authority</w:t>
      </w:r>
      <w:r w:rsidR="00882496" w:rsidRPr="003F7530">
        <w:rPr>
          <w:rFonts w:cs="Times New Roman"/>
          <w:sz w:val="24"/>
          <w:szCs w:val="24"/>
        </w:rPr>
        <w:t xml:space="preserve"> (APRA)</w:t>
      </w:r>
    </w:p>
    <w:p w:rsidR="00746F83" w:rsidRPr="003F7530" w:rsidRDefault="00825478" w:rsidP="00845EFE">
      <w:pPr>
        <w:spacing w:after="240"/>
        <w:jc w:val="center"/>
      </w:pPr>
      <w:bookmarkStart w:id="3" w:name="bkAct"/>
      <w:bookmarkStart w:id="4" w:name="bkExplanatory"/>
      <w:bookmarkEnd w:id="3"/>
      <w:bookmarkEnd w:id="4"/>
      <w:r w:rsidRPr="003F7530">
        <w:rPr>
          <w:i/>
        </w:rPr>
        <w:t>Financial Sector (Collection of Data) Act 2001</w:t>
      </w:r>
      <w:r w:rsidRPr="003F7530">
        <w:t xml:space="preserve">, </w:t>
      </w:r>
      <w:r w:rsidR="007A09EC" w:rsidRPr="003F7530">
        <w:t>sections</w:t>
      </w:r>
      <w:r w:rsidRPr="003F7530">
        <w:t xml:space="preserve"> 13 and 15</w:t>
      </w:r>
    </w:p>
    <w:p w:rsidR="00B51A76" w:rsidRDefault="00B31081" w:rsidP="00B51A76">
      <w:pPr>
        <w:spacing w:after="240"/>
        <w:jc w:val="both"/>
      </w:pPr>
      <w:r w:rsidRPr="003F7530">
        <w:t>Under</w:t>
      </w:r>
      <w:r w:rsidR="00825478" w:rsidRPr="003F7530">
        <w:t xml:space="preserve"> </w:t>
      </w:r>
      <w:r w:rsidR="00D8110D">
        <w:t>subsection</w:t>
      </w:r>
      <w:r w:rsidR="00825478" w:rsidRPr="003F7530">
        <w:t xml:space="preserve"> 13(1) of the </w:t>
      </w:r>
      <w:r w:rsidR="00825478" w:rsidRPr="003F7530">
        <w:rPr>
          <w:i/>
        </w:rPr>
        <w:t xml:space="preserve">Financial Sector (Collection of Data) Act 2001 </w:t>
      </w:r>
      <w:r w:rsidR="00825478" w:rsidRPr="003F7530">
        <w:t>(</w:t>
      </w:r>
      <w:r w:rsidR="00D8110D">
        <w:t>the Act</w:t>
      </w:r>
      <w:r w:rsidR="00825478" w:rsidRPr="003F7530">
        <w:t xml:space="preserve">), APRA </w:t>
      </w:r>
      <w:r w:rsidR="007A09EC" w:rsidRPr="003F7530">
        <w:t>has the power to</w:t>
      </w:r>
      <w:r w:rsidR="00825478" w:rsidRPr="003F7530">
        <w:t xml:space="preserve"> determine reporting standards</w:t>
      </w:r>
      <w:r w:rsidR="007A09EC" w:rsidRPr="003F7530">
        <w:t>, in writing,</w:t>
      </w:r>
      <w:r w:rsidR="00825478" w:rsidRPr="003F7530">
        <w:t xml:space="preserve"> with which financial sector entities must comply. Such standards relate to reporting financial or accounting data and other information regarding the business </w:t>
      </w:r>
      <w:r w:rsidR="00D8110D">
        <w:t>or activities of the entities.</w:t>
      </w:r>
    </w:p>
    <w:p w:rsidR="00B51A76" w:rsidRDefault="00B51A76" w:rsidP="00400D96">
      <w:pPr>
        <w:tabs>
          <w:tab w:val="left" w:pos="0"/>
        </w:tabs>
        <w:spacing w:after="240"/>
        <w:jc w:val="both"/>
      </w:pPr>
      <w:r w:rsidRPr="00B51A76">
        <w:t xml:space="preserve">On </w:t>
      </w:r>
      <w:r w:rsidR="00FD7721" w:rsidRPr="00F46CA8">
        <w:t>1</w:t>
      </w:r>
      <w:r w:rsidR="0074638D" w:rsidRPr="00F46CA8">
        <w:t>3</w:t>
      </w:r>
      <w:r w:rsidR="001312BE" w:rsidRPr="00F46CA8">
        <w:t xml:space="preserve"> August</w:t>
      </w:r>
      <w:r w:rsidR="001312BE">
        <w:t xml:space="preserve"> </w:t>
      </w:r>
      <w:r>
        <w:t>201</w:t>
      </w:r>
      <w:r w:rsidR="00C1076B">
        <w:t>5</w:t>
      </w:r>
      <w:r w:rsidRPr="00B51A76">
        <w:t xml:space="preserve">, APRA made </w:t>
      </w:r>
      <w:r w:rsidR="003250DE">
        <w:t xml:space="preserve">the following determinations (the </w:t>
      </w:r>
      <w:r w:rsidR="003250DE" w:rsidRPr="003250DE">
        <w:rPr>
          <w:b/>
        </w:rPr>
        <w:t>revised reporting standards</w:t>
      </w:r>
      <w:r w:rsidR="003250DE">
        <w:t>):</w:t>
      </w:r>
    </w:p>
    <w:p w:rsidR="00163C7F" w:rsidRDefault="00163C7F" w:rsidP="003250D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Financial Sector (Collection of Data) (reporting standard) determination No</w:t>
      </w:r>
      <w:r w:rsidRPr="00D274B4">
        <w:rPr>
          <w:sz w:val="24"/>
          <w:szCs w:val="24"/>
          <w:lang w:val="en-AU" w:eastAsia="en-US"/>
        </w:rPr>
        <w:t xml:space="preserve">. </w:t>
      </w:r>
      <w:r w:rsidR="008F302F" w:rsidRPr="00D274B4">
        <w:rPr>
          <w:sz w:val="24"/>
          <w:szCs w:val="24"/>
          <w:lang w:val="en-AU" w:eastAsia="en-US"/>
        </w:rPr>
        <w:t>27</w:t>
      </w:r>
      <w:r w:rsidRPr="00D274B4">
        <w:rPr>
          <w:sz w:val="24"/>
          <w:szCs w:val="24"/>
          <w:lang w:val="en-AU" w:eastAsia="en-US"/>
        </w:rPr>
        <w:t xml:space="preserve"> of 2015,</w:t>
      </w:r>
      <w:r>
        <w:rPr>
          <w:sz w:val="24"/>
          <w:szCs w:val="24"/>
          <w:lang w:val="en-AU" w:eastAsia="en-US"/>
        </w:rPr>
        <w:t xml:space="preserve"> which:</w:t>
      </w:r>
    </w:p>
    <w:p w:rsidR="00163C7F" w:rsidRDefault="00F2628B" w:rsidP="00EF40BB">
      <w:pPr>
        <w:pStyle w:val="ListParagraph"/>
        <w:numPr>
          <w:ilvl w:val="0"/>
          <w:numId w:val="45"/>
        </w:numPr>
        <w:tabs>
          <w:tab w:val="left" w:pos="0"/>
        </w:tabs>
        <w:spacing w:after="240"/>
        <w:jc w:val="both"/>
        <w:rPr>
          <w:sz w:val="24"/>
          <w:szCs w:val="24"/>
          <w:lang w:val="en-AU" w:eastAsia="en-US"/>
        </w:rPr>
      </w:pPr>
      <w:r>
        <w:rPr>
          <w:sz w:val="24"/>
          <w:szCs w:val="24"/>
          <w:lang w:val="en-AU" w:eastAsia="en-US"/>
        </w:rPr>
        <w:t>r</w:t>
      </w:r>
      <w:r w:rsidR="00163C7F">
        <w:rPr>
          <w:sz w:val="24"/>
          <w:szCs w:val="24"/>
          <w:lang w:val="en-AU" w:eastAsia="en-US"/>
        </w:rPr>
        <w:t xml:space="preserve">evokes </w:t>
      </w:r>
      <w:r w:rsidR="00163C7F" w:rsidRPr="00EF40BB">
        <w:rPr>
          <w:i/>
          <w:sz w:val="24"/>
          <w:szCs w:val="24"/>
          <w:lang w:val="en-AU" w:eastAsia="en-US"/>
        </w:rPr>
        <w:t>Reporting Standard SRS</w:t>
      </w:r>
      <w:r w:rsidR="00163C7F">
        <w:rPr>
          <w:sz w:val="24"/>
          <w:szCs w:val="24"/>
          <w:lang w:val="en-AU" w:eastAsia="en-US"/>
        </w:rPr>
        <w:t xml:space="preserve"> </w:t>
      </w:r>
      <w:r w:rsidR="001312BE">
        <w:rPr>
          <w:i/>
          <w:sz w:val="24"/>
          <w:szCs w:val="24"/>
          <w:lang w:val="en-AU" w:eastAsia="en-US"/>
        </w:rPr>
        <w:t>320.0 Statement of Financial Position</w:t>
      </w:r>
      <w:r w:rsidR="00D54D1C">
        <w:rPr>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w:t>
      </w:r>
      <w:r w:rsidRPr="00D274B4">
        <w:rPr>
          <w:sz w:val="24"/>
          <w:szCs w:val="24"/>
          <w:lang w:val="en-AU" w:eastAsia="en-US"/>
        </w:rPr>
        <w:t>determination No. 1</w:t>
      </w:r>
      <w:r w:rsidR="005508BD" w:rsidRPr="00D274B4">
        <w:rPr>
          <w:sz w:val="24"/>
          <w:szCs w:val="24"/>
          <w:lang w:val="en-AU" w:eastAsia="en-US"/>
        </w:rPr>
        <w:t>8</w:t>
      </w:r>
      <w:r w:rsidRPr="00D274B4">
        <w:rPr>
          <w:sz w:val="24"/>
          <w:szCs w:val="24"/>
          <w:lang w:val="en-AU" w:eastAsia="en-US"/>
        </w:rPr>
        <w:t xml:space="preserve"> of 2014;</w:t>
      </w:r>
      <w:r>
        <w:rPr>
          <w:sz w:val="24"/>
          <w:szCs w:val="24"/>
          <w:lang w:val="en-AU" w:eastAsia="en-US"/>
        </w:rPr>
        <w:t xml:space="preserve"> and </w:t>
      </w:r>
    </w:p>
    <w:p w:rsidR="00F2628B" w:rsidRDefault="00F2628B" w:rsidP="00EF40BB">
      <w:pPr>
        <w:pStyle w:val="ListParagraph"/>
        <w:numPr>
          <w:ilvl w:val="0"/>
          <w:numId w:val="45"/>
        </w:numPr>
        <w:tabs>
          <w:tab w:val="left" w:pos="0"/>
        </w:tabs>
        <w:spacing w:after="240"/>
        <w:jc w:val="both"/>
        <w:rPr>
          <w:sz w:val="24"/>
          <w:szCs w:val="24"/>
          <w:lang w:val="en-AU" w:eastAsia="en-US"/>
        </w:rPr>
      </w:pPr>
      <w:r>
        <w:rPr>
          <w:sz w:val="24"/>
          <w:szCs w:val="24"/>
          <w:lang w:val="en-AU" w:eastAsia="en-US"/>
        </w:rPr>
        <w:t xml:space="preserve">determines </w:t>
      </w:r>
      <w:r w:rsidRPr="001312BE">
        <w:rPr>
          <w:i/>
          <w:sz w:val="24"/>
          <w:szCs w:val="24"/>
          <w:lang w:val="en-AU" w:eastAsia="en-US"/>
        </w:rPr>
        <w:t xml:space="preserve">Reporting Standard SRS </w:t>
      </w:r>
      <w:r w:rsidR="005508BD">
        <w:rPr>
          <w:i/>
          <w:sz w:val="24"/>
          <w:szCs w:val="24"/>
          <w:lang w:val="en-AU" w:eastAsia="en-US"/>
        </w:rPr>
        <w:t>3</w:t>
      </w:r>
      <w:r w:rsidR="008F302F">
        <w:rPr>
          <w:i/>
          <w:sz w:val="24"/>
          <w:szCs w:val="24"/>
          <w:lang w:val="en-AU" w:eastAsia="en-US"/>
        </w:rPr>
        <w:t>2</w:t>
      </w:r>
      <w:r w:rsidR="005508BD">
        <w:rPr>
          <w:i/>
          <w:sz w:val="24"/>
          <w:szCs w:val="24"/>
          <w:lang w:val="en-AU" w:eastAsia="en-US"/>
        </w:rPr>
        <w:t>0.</w:t>
      </w:r>
      <w:r w:rsidR="008F302F">
        <w:rPr>
          <w:i/>
          <w:sz w:val="24"/>
          <w:szCs w:val="24"/>
          <w:lang w:val="en-AU" w:eastAsia="en-US"/>
        </w:rPr>
        <w:t>0</w:t>
      </w:r>
      <w:r w:rsidR="00D54D1C" w:rsidRPr="00512A69">
        <w:rPr>
          <w:i/>
          <w:sz w:val="24"/>
          <w:szCs w:val="24"/>
          <w:lang w:val="en-AU" w:eastAsia="en-US"/>
        </w:rPr>
        <w:t xml:space="preserve"> </w:t>
      </w:r>
      <w:r w:rsidR="001312BE">
        <w:rPr>
          <w:i/>
          <w:sz w:val="24"/>
          <w:szCs w:val="24"/>
          <w:lang w:val="en-AU" w:eastAsia="en-US"/>
        </w:rPr>
        <w:t>Statement of Financial Position</w:t>
      </w:r>
      <w:r w:rsidRPr="00EF40BB">
        <w:rPr>
          <w:sz w:val="24"/>
          <w:szCs w:val="24"/>
          <w:lang w:val="en-AU" w:eastAsia="en-US"/>
        </w:rPr>
        <w:t>;</w:t>
      </w:r>
      <w:r w:rsidR="001312BE">
        <w:rPr>
          <w:sz w:val="24"/>
          <w:szCs w:val="24"/>
          <w:lang w:val="en-AU" w:eastAsia="en-US"/>
        </w:rPr>
        <w:t xml:space="preserve"> and</w:t>
      </w:r>
    </w:p>
    <w:p w:rsidR="0093075A" w:rsidRDefault="003250DE" w:rsidP="003250D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Financial Sect</w:t>
      </w:r>
      <w:r w:rsidRPr="00D274B4">
        <w:rPr>
          <w:sz w:val="24"/>
          <w:szCs w:val="24"/>
          <w:lang w:val="en-AU" w:eastAsia="en-US"/>
        </w:rPr>
        <w:t xml:space="preserve">or (Collection of Data) (reporting standard) determination No. </w:t>
      </w:r>
      <w:r w:rsidR="008F302F" w:rsidRPr="00D274B4">
        <w:rPr>
          <w:sz w:val="24"/>
          <w:szCs w:val="24"/>
          <w:lang w:val="en-AU" w:eastAsia="en-US"/>
        </w:rPr>
        <w:t>28</w:t>
      </w:r>
      <w:r w:rsidR="00F2628B" w:rsidRPr="00D274B4">
        <w:rPr>
          <w:sz w:val="24"/>
          <w:szCs w:val="24"/>
          <w:lang w:val="en-AU" w:eastAsia="en-US"/>
        </w:rPr>
        <w:t xml:space="preserve"> </w:t>
      </w:r>
      <w:r w:rsidRPr="00D274B4">
        <w:rPr>
          <w:sz w:val="24"/>
          <w:szCs w:val="24"/>
          <w:lang w:val="en-AU" w:eastAsia="en-US"/>
        </w:rPr>
        <w:t>of 2015, which</w:t>
      </w:r>
      <w:r w:rsidR="00A450CC">
        <w:rPr>
          <w:sz w:val="24"/>
          <w:szCs w:val="24"/>
          <w:lang w:val="en-AU" w:eastAsia="en-US"/>
        </w:rPr>
        <w:t>:</w:t>
      </w:r>
    </w:p>
    <w:p w:rsidR="0093075A" w:rsidRDefault="0093075A" w:rsidP="0093075A">
      <w:pPr>
        <w:pStyle w:val="ListParagraph"/>
        <w:numPr>
          <w:ilvl w:val="1"/>
          <w:numId w:val="43"/>
        </w:numPr>
        <w:tabs>
          <w:tab w:val="left" w:pos="0"/>
        </w:tabs>
        <w:spacing w:after="240"/>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w:t>
      </w:r>
      <w:r w:rsidR="00163C7F">
        <w:rPr>
          <w:i/>
          <w:sz w:val="24"/>
          <w:szCs w:val="24"/>
          <w:lang w:val="en-AU" w:eastAsia="en-US"/>
        </w:rPr>
        <w:t xml:space="preserve"> </w:t>
      </w:r>
      <w:r w:rsidR="001312BE">
        <w:rPr>
          <w:i/>
          <w:sz w:val="24"/>
          <w:szCs w:val="24"/>
          <w:lang w:val="en-AU" w:eastAsia="en-US"/>
        </w:rPr>
        <w:t>330.1 Statement of Financial Performance</w:t>
      </w:r>
      <w:r w:rsidR="00FB40C2">
        <w:rPr>
          <w:i/>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w:t>
      </w:r>
      <w:r w:rsidRPr="00D274B4">
        <w:rPr>
          <w:sz w:val="24"/>
          <w:szCs w:val="24"/>
          <w:lang w:val="en-AU" w:eastAsia="en-US"/>
        </w:rPr>
        <w:t xml:space="preserve">determination No. </w:t>
      </w:r>
      <w:r w:rsidR="005508BD" w:rsidRPr="00D274B4">
        <w:rPr>
          <w:sz w:val="24"/>
          <w:szCs w:val="24"/>
          <w:lang w:val="en-AU" w:eastAsia="en-US"/>
        </w:rPr>
        <w:t>12</w:t>
      </w:r>
      <w:r w:rsidR="000410A5" w:rsidRPr="00D274B4">
        <w:rPr>
          <w:sz w:val="24"/>
          <w:szCs w:val="24"/>
          <w:lang w:val="en-AU" w:eastAsia="en-US"/>
        </w:rPr>
        <w:t xml:space="preserve"> of 201</w:t>
      </w:r>
      <w:r w:rsidR="00FB40C2" w:rsidRPr="00D274B4">
        <w:rPr>
          <w:sz w:val="24"/>
          <w:szCs w:val="24"/>
          <w:lang w:val="en-AU" w:eastAsia="en-US"/>
        </w:rPr>
        <w:t>4</w:t>
      </w:r>
      <w:r w:rsidR="000410A5" w:rsidRPr="00D274B4">
        <w:rPr>
          <w:sz w:val="24"/>
          <w:szCs w:val="24"/>
          <w:lang w:val="en-AU" w:eastAsia="en-US"/>
        </w:rPr>
        <w:t>; and</w:t>
      </w:r>
    </w:p>
    <w:p w:rsidR="003250DE" w:rsidRPr="00424402" w:rsidRDefault="00A450CC" w:rsidP="0093075A">
      <w:pPr>
        <w:pStyle w:val="ListParagraph"/>
        <w:numPr>
          <w:ilvl w:val="1"/>
          <w:numId w:val="43"/>
        </w:numPr>
        <w:tabs>
          <w:tab w:val="left" w:pos="0"/>
        </w:tabs>
        <w:spacing w:after="240"/>
        <w:jc w:val="both"/>
        <w:rPr>
          <w:sz w:val="24"/>
          <w:szCs w:val="24"/>
          <w:lang w:val="en-AU" w:eastAsia="en-US"/>
        </w:rPr>
      </w:pPr>
      <w:r w:rsidRPr="00DA687A">
        <w:rPr>
          <w:sz w:val="24"/>
          <w:szCs w:val="24"/>
          <w:lang w:val="en-AU" w:eastAsia="en-US"/>
        </w:rPr>
        <w:t>determines</w:t>
      </w:r>
      <w:r>
        <w:rPr>
          <w:sz w:val="24"/>
          <w:szCs w:val="24"/>
          <w:lang w:val="en-AU" w:eastAsia="en-US"/>
        </w:rPr>
        <w:t xml:space="preserve"> </w:t>
      </w:r>
      <w:r w:rsidR="003250DE" w:rsidRPr="00B830BA">
        <w:rPr>
          <w:i/>
          <w:sz w:val="24"/>
          <w:szCs w:val="24"/>
          <w:lang w:val="en-AU" w:eastAsia="en-US"/>
        </w:rPr>
        <w:t xml:space="preserve">Reporting Standard SRS </w:t>
      </w:r>
      <w:r w:rsidR="001312BE">
        <w:rPr>
          <w:i/>
          <w:sz w:val="24"/>
          <w:szCs w:val="24"/>
          <w:lang w:val="en-AU" w:eastAsia="en-US"/>
        </w:rPr>
        <w:t>330.1 Statement of Financial Performance</w:t>
      </w:r>
      <w:r w:rsidR="00B830BA" w:rsidRPr="00EF40BB">
        <w:rPr>
          <w:sz w:val="24"/>
          <w:szCs w:val="24"/>
          <w:lang w:val="en-AU" w:eastAsia="en-US"/>
        </w:rPr>
        <w:t>;</w:t>
      </w:r>
    </w:p>
    <w:p w:rsidR="00384666" w:rsidRDefault="004F4343" w:rsidP="001312BE">
      <w:pPr>
        <w:tabs>
          <w:tab w:val="left" w:pos="0"/>
        </w:tabs>
        <w:spacing w:after="240"/>
        <w:jc w:val="both"/>
      </w:pPr>
      <w:r w:rsidRPr="0074638D">
        <w:t>The reporting standard</w:t>
      </w:r>
      <w:r w:rsidR="000C06F5" w:rsidRPr="0074638D">
        <w:t>s</w:t>
      </w:r>
      <w:r w:rsidRPr="0074638D">
        <w:t xml:space="preserve"> listed in paragraph</w:t>
      </w:r>
      <w:r w:rsidR="000C06F5" w:rsidRPr="0074638D">
        <w:t>s</w:t>
      </w:r>
      <w:r w:rsidRPr="0074638D">
        <w:t xml:space="preserve"> </w:t>
      </w:r>
      <w:r w:rsidR="005508BD" w:rsidRPr="0074638D">
        <w:t>1</w:t>
      </w:r>
      <w:r w:rsidR="005238D2" w:rsidRPr="0074638D">
        <w:t xml:space="preserve"> </w:t>
      </w:r>
      <w:r w:rsidR="000C06F5" w:rsidRPr="0074638D">
        <w:t xml:space="preserve">and 2 </w:t>
      </w:r>
      <w:r w:rsidR="00384666" w:rsidRPr="0074638D">
        <w:t xml:space="preserve">commence on </w:t>
      </w:r>
      <w:r w:rsidR="005508BD" w:rsidRPr="0074638D">
        <w:t>the date of registration on the Federal Register of Legislative Instruments</w:t>
      </w:r>
      <w:r w:rsidR="00384666" w:rsidRPr="0074638D">
        <w:t xml:space="preserve"> and appl</w:t>
      </w:r>
      <w:r w:rsidR="00D274B4" w:rsidRPr="0074638D">
        <w:t>y</w:t>
      </w:r>
      <w:r w:rsidR="00384666" w:rsidRPr="0074638D">
        <w:t xml:space="preserve"> to reporting periods </w:t>
      </w:r>
      <w:r w:rsidR="000C06F5" w:rsidRPr="0074638D">
        <w:t>ending</w:t>
      </w:r>
      <w:r w:rsidR="005508BD" w:rsidRPr="0074638D">
        <w:t xml:space="preserve"> on or after 1 July 2015</w:t>
      </w:r>
      <w:r w:rsidR="00384666" w:rsidRPr="0074638D">
        <w:t>.</w:t>
      </w:r>
    </w:p>
    <w:p w:rsidR="001D6126" w:rsidRPr="00845EFE" w:rsidRDefault="00825478" w:rsidP="007D156F">
      <w:pPr>
        <w:pStyle w:val="Heading"/>
        <w:numPr>
          <w:ilvl w:val="0"/>
          <w:numId w:val="1"/>
        </w:numPr>
        <w:spacing w:before="0" w:after="240"/>
        <w:ind w:left="567" w:hanging="567"/>
        <w:jc w:val="both"/>
        <w:rPr>
          <w:sz w:val="24"/>
          <w:szCs w:val="24"/>
        </w:rPr>
      </w:pPr>
      <w:r w:rsidRPr="00845EFE">
        <w:rPr>
          <w:sz w:val="24"/>
          <w:szCs w:val="24"/>
        </w:rPr>
        <w:t>Background</w:t>
      </w:r>
      <w:bookmarkStart w:id="5" w:name="bkBackground"/>
      <w:bookmarkEnd w:id="5"/>
    </w:p>
    <w:p w:rsidR="003D3E59" w:rsidRDefault="003D3E59" w:rsidP="007D156F">
      <w:pPr>
        <w:spacing w:after="240"/>
        <w:jc w:val="both"/>
      </w:pPr>
      <w:r w:rsidRPr="003D3E59">
        <w:t xml:space="preserve">APRA is empowered to make reporting standards under </w:t>
      </w:r>
      <w:r w:rsidR="001E1622">
        <w:t>the Act</w:t>
      </w:r>
      <w:r w:rsidRPr="003D3E59">
        <w:t>, which require regulated institutions, including RSE licensees</w:t>
      </w:r>
      <w:r w:rsidR="00845EFE">
        <w:t>,</w:t>
      </w:r>
      <w:r w:rsidRPr="003D3E59">
        <w:t xml:space="preserve"> to submit specified data through various reporting forms. Data from these forms </w:t>
      </w:r>
      <w:r w:rsidR="000C06F5">
        <w:t>are</w:t>
      </w:r>
      <w:r w:rsidRPr="003D3E59">
        <w:t xml:space="preserve"> used </w:t>
      </w:r>
      <w:r w:rsidR="00DD0F6D">
        <w:t xml:space="preserve">by APRA </w:t>
      </w:r>
      <w:r w:rsidRPr="003D3E59">
        <w:t xml:space="preserve">to assist </w:t>
      </w:r>
      <w:r w:rsidR="00DD0F6D">
        <w:t xml:space="preserve">with </w:t>
      </w:r>
      <w:r w:rsidR="006823C3">
        <w:t>APRA’s</w:t>
      </w:r>
      <w:r w:rsidRPr="003D3E59">
        <w:t xml:space="preserve"> supervisory functions</w:t>
      </w:r>
      <w:r w:rsidR="00B80300">
        <w:t>,</w:t>
      </w:r>
      <w:r w:rsidRPr="003D3E59">
        <w:t xml:space="preserve"> and </w:t>
      </w:r>
      <w:r w:rsidR="00DD0F6D">
        <w:t xml:space="preserve">also </w:t>
      </w:r>
      <w:r w:rsidRPr="003D3E59">
        <w:t xml:space="preserve">by </w:t>
      </w:r>
      <w:r w:rsidR="00E15BE8">
        <w:t>Government and</w:t>
      </w:r>
      <w:r w:rsidRPr="003D3E59">
        <w:t xml:space="preserve"> </w:t>
      </w:r>
      <w:r w:rsidR="009A198B">
        <w:t xml:space="preserve">other </w:t>
      </w:r>
      <w:r w:rsidRPr="003D3E59">
        <w:t xml:space="preserve">agencies such as </w:t>
      </w:r>
      <w:r w:rsidR="009A198B">
        <w:t>the Australian Bureau of Statistics</w:t>
      </w:r>
      <w:r w:rsidRPr="003D3E59">
        <w:t>. APRA also collates and publishes statistical information and analysis using data from these reporting forms.</w:t>
      </w:r>
    </w:p>
    <w:p w:rsidR="00D82C81" w:rsidRDefault="00D82C81" w:rsidP="007D156F">
      <w:pPr>
        <w:spacing w:after="240"/>
        <w:jc w:val="both"/>
      </w:pPr>
    </w:p>
    <w:p w:rsidR="00D44374" w:rsidRDefault="00D44374" w:rsidP="007D156F">
      <w:pPr>
        <w:spacing w:after="240"/>
        <w:jc w:val="both"/>
      </w:pPr>
      <w:r>
        <w:lastRenderedPageBreak/>
        <w:t>In 2013 and 2014</w:t>
      </w:r>
      <w:r w:rsidR="00DA687A">
        <w:t>,</w:t>
      </w:r>
      <w:r>
        <w:t xml:space="preserve"> APRA released a </w:t>
      </w:r>
      <w:r w:rsidR="00BD2DB3">
        <w:t xml:space="preserve">new </w:t>
      </w:r>
      <w:r>
        <w:t xml:space="preserve">suite of </w:t>
      </w:r>
      <w:r w:rsidR="00B6556D">
        <w:t xml:space="preserve">final </w:t>
      </w:r>
      <w:r>
        <w:t xml:space="preserve">reporting standards applying to the superannuation industry. Since the commencement of the new reporting requirements, </w:t>
      </w:r>
      <w:r w:rsidRPr="001435E9">
        <w:t xml:space="preserve">APRA </w:t>
      </w:r>
      <w:r>
        <w:t xml:space="preserve">has </w:t>
      </w:r>
      <w:r w:rsidRPr="001435E9">
        <w:t xml:space="preserve">received industry feedback </w:t>
      </w:r>
      <w:r>
        <w:t>on</w:t>
      </w:r>
      <w:r w:rsidRPr="001435E9">
        <w:t xml:space="preserve"> some of </w:t>
      </w:r>
      <w:r>
        <w:t xml:space="preserve">these standards, as well as a large number of requests for clarification and guidance on </w:t>
      </w:r>
      <w:r w:rsidRPr="00025339">
        <w:t>interpretation</w:t>
      </w:r>
      <w:r>
        <w:t>.</w:t>
      </w:r>
    </w:p>
    <w:p w:rsidR="005941E1" w:rsidRPr="003F7530" w:rsidRDefault="00825478" w:rsidP="00521342">
      <w:pPr>
        <w:pStyle w:val="Heading"/>
        <w:keepNext w:val="0"/>
        <w:numPr>
          <w:ilvl w:val="0"/>
          <w:numId w:val="1"/>
        </w:numPr>
        <w:spacing w:before="0" w:after="240"/>
        <w:jc w:val="both"/>
        <w:rPr>
          <w:rFonts w:cs="Times New Roman"/>
          <w:sz w:val="24"/>
          <w:szCs w:val="24"/>
        </w:rPr>
      </w:pPr>
      <w:r w:rsidRPr="003F7530">
        <w:rPr>
          <w:rFonts w:cs="Times New Roman"/>
          <w:sz w:val="24"/>
          <w:szCs w:val="24"/>
        </w:rPr>
        <w:t xml:space="preserve">Purpose </w:t>
      </w:r>
      <w:r w:rsidR="002960FC" w:rsidRPr="003F7530">
        <w:rPr>
          <w:rFonts w:cs="Times New Roman"/>
          <w:sz w:val="24"/>
          <w:szCs w:val="24"/>
        </w:rPr>
        <w:t xml:space="preserve">and operation </w:t>
      </w:r>
      <w:r w:rsidR="002F6099">
        <w:rPr>
          <w:rFonts w:cs="Times New Roman"/>
          <w:sz w:val="24"/>
          <w:szCs w:val="24"/>
        </w:rPr>
        <w:t>of the instrument</w:t>
      </w:r>
      <w:r w:rsidR="001228B3">
        <w:rPr>
          <w:rFonts w:cs="Times New Roman"/>
          <w:sz w:val="24"/>
          <w:szCs w:val="24"/>
        </w:rPr>
        <w:t>s</w:t>
      </w:r>
    </w:p>
    <w:p w:rsidR="00CB3E9A" w:rsidRDefault="0028530F" w:rsidP="00845EFE">
      <w:pPr>
        <w:spacing w:after="240"/>
        <w:jc w:val="both"/>
        <w:rPr>
          <w:lang w:eastAsia="en-AU"/>
        </w:rPr>
      </w:pPr>
      <w:bookmarkStart w:id="6" w:name="bkPurpose"/>
      <w:bookmarkEnd w:id="6"/>
      <w:r w:rsidRPr="0028530F">
        <w:rPr>
          <w:lang w:eastAsia="en-AU"/>
        </w:rPr>
        <w:t xml:space="preserve">The purpose of making </w:t>
      </w:r>
      <w:r w:rsidR="001228B3">
        <w:rPr>
          <w:lang w:eastAsia="en-AU"/>
        </w:rPr>
        <w:t>these</w:t>
      </w:r>
      <w:r w:rsidR="001228B3" w:rsidRPr="0028530F">
        <w:rPr>
          <w:lang w:eastAsia="en-AU"/>
        </w:rPr>
        <w:t xml:space="preserve"> </w:t>
      </w:r>
      <w:r w:rsidRPr="0028530F">
        <w:rPr>
          <w:lang w:eastAsia="en-AU"/>
        </w:rPr>
        <w:t>instrument</w:t>
      </w:r>
      <w:r w:rsidR="001228B3">
        <w:rPr>
          <w:lang w:eastAsia="en-AU"/>
        </w:rPr>
        <w:t>s</w:t>
      </w:r>
      <w:r w:rsidRPr="0028530F">
        <w:rPr>
          <w:lang w:eastAsia="en-AU"/>
        </w:rPr>
        <w:t xml:space="preserve"> is </w:t>
      </w:r>
      <w:r w:rsidR="00DA687A">
        <w:rPr>
          <w:lang w:eastAsia="en-AU"/>
        </w:rPr>
        <w:t xml:space="preserve">to </w:t>
      </w:r>
      <w:r w:rsidR="00A26AEF">
        <w:rPr>
          <w:lang w:eastAsia="en-AU"/>
        </w:rPr>
        <w:t xml:space="preserve">make minor revisions to </w:t>
      </w:r>
      <w:r w:rsidR="00521342">
        <w:rPr>
          <w:lang w:eastAsia="en-AU"/>
        </w:rPr>
        <w:t>two</w:t>
      </w:r>
      <w:r w:rsidR="0017726A">
        <w:rPr>
          <w:lang w:eastAsia="en-AU"/>
        </w:rPr>
        <w:t xml:space="preserve"> </w:t>
      </w:r>
      <w:r w:rsidR="00BC0D6F">
        <w:rPr>
          <w:lang w:eastAsia="en-AU"/>
        </w:rPr>
        <w:t xml:space="preserve">of </w:t>
      </w:r>
      <w:r w:rsidR="00A26AEF">
        <w:rPr>
          <w:lang w:eastAsia="en-AU"/>
        </w:rPr>
        <w:t xml:space="preserve">the existing reporting standards for superannuation to clarify and provide further guidance on existing reporting </w:t>
      </w:r>
      <w:r w:rsidR="00ED1D91">
        <w:rPr>
          <w:lang w:eastAsia="en-AU"/>
        </w:rPr>
        <w:t>requirements</w:t>
      </w:r>
      <w:r w:rsidR="00A26AEF">
        <w:rPr>
          <w:lang w:eastAsia="en-AU"/>
        </w:rPr>
        <w:t>.</w:t>
      </w:r>
      <w:r w:rsidR="002D101E">
        <w:rPr>
          <w:lang w:eastAsia="en-AU"/>
        </w:rPr>
        <w:t xml:space="preserve"> </w:t>
      </w:r>
    </w:p>
    <w:p w:rsidR="00CB3E9A" w:rsidRDefault="00CB3E9A" w:rsidP="00CB3E9A">
      <w:pPr>
        <w:pStyle w:val="Heading"/>
        <w:keepNext w:val="0"/>
        <w:spacing w:after="240"/>
        <w:jc w:val="both"/>
        <w:rPr>
          <w:rFonts w:cs="Times New Roman"/>
          <w:b w:val="0"/>
          <w:kern w:val="0"/>
          <w:sz w:val="24"/>
          <w:szCs w:val="24"/>
          <w:lang w:val="en-GB"/>
        </w:rPr>
      </w:pPr>
      <w:r>
        <w:rPr>
          <w:rFonts w:cs="Times New Roman"/>
          <w:b w:val="0"/>
          <w:kern w:val="0"/>
          <w:sz w:val="24"/>
          <w:szCs w:val="24"/>
          <w:lang w:val="en-GB"/>
        </w:rPr>
        <w:t>As a result of the questions raised by the superannuation industry about the new reporting standards which were released in 2013 and 2014, APRA publicly released 95 frequently asked questions (FAQs) on the APRA website. The FAQs provided additional information to assist reporting entities to complete the reporting standards and were the result of ongoing dialogue with reporting entities and the superannuation industry more broadly.</w:t>
      </w:r>
    </w:p>
    <w:p w:rsidR="00CB3E9A" w:rsidRDefault="00CB3E9A" w:rsidP="00CB3E9A">
      <w:pPr>
        <w:pStyle w:val="Heading"/>
        <w:keepNext w:val="0"/>
        <w:spacing w:after="240"/>
        <w:jc w:val="both"/>
        <w:rPr>
          <w:rFonts w:cs="Times New Roman"/>
          <w:b w:val="0"/>
          <w:kern w:val="0"/>
          <w:sz w:val="24"/>
          <w:szCs w:val="24"/>
          <w:lang w:val="en-GB"/>
        </w:rPr>
      </w:pPr>
      <w:r>
        <w:rPr>
          <w:rFonts w:cs="Times New Roman"/>
          <w:b w:val="0"/>
          <w:kern w:val="0"/>
          <w:sz w:val="24"/>
          <w:szCs w:val="24"/>
          <w:lang w:val="en-GB"/>
        </w:rPr>
        <w:t>Whilst s</w:t>
      </w:r>
      <w:r w:rsidRPr="007A0F4E">
        <w:rPr>
          <w:rFonts w:cs="Times New Roman"/>
          <w:b w:val="0"/>
          <w:kern w:val="0"/>
          <w:sz w:val="24"/>
          <w:szCs w:val="24"/>
          <w:lang w:val="en-GB"/>
        </w:rPr>
        <w:t>ome FAQs provide transition guidance, APRA consider</w:t>
      </w:r>
      <w:r>
        <w:rPr>
          <w:rFonts w:cs="Times New Roman"/>
          <w:b w:val="0"/>
          <w:kern w:val="0"/>
          <w:sz w:val="24"/>
          <w:szCs w:val="24"/>
          <w:lang w:val="en-GB"/>
        </w:rPr>
        <w:t>ed</w:t>
      </w:r>
      <w:r w:rsidRPr="007A0F4E">
        <w:rPr>
          <w:rFonts w:cs="Times New Roman"/>
          <w:b w:val="0"/>
          <w:kern w:val="0"/>
          <w:sz w:val="24"/>
          <w:szCs w:val="24"/>
          <w:lang w:val="en-GB"/>
        </w:rPr>
        <w:t xml:space="preserve"> that a number of the matters raised by industry and covered in FAQs should be included in the reporting standards, forms and instructions on an ongoing basis.</w:t>
      </w:r>
    </w:p>
    <w:p w:rsidR="00C04002" w:rsidRDefault="006C03D7" w:rsidP="00845EFE">
      <w:pPr>
        <w:spacing w:after="240"/>
        <w:jc w:val="both"/>
        <w:rPr>
          <w:lang w:eastAsia="en-AU"/>
        </w:rPr>
      </w:pPr>
      <w:r>
        <w:rPr>
          <w:lang w:eastAsia="en-AU"/>
        </w:rPr>
        <w:t xml:space="preserve">The changes within the revised reporting standards are confined to the reporting instructions. </w:t>
      </w:r>
      <w:r w:rsidR="00576DFE">
        <w:rPr>
          <w:lang w:eastAsia="en-AU"/>
        </w:rPr>
        <w:t xml:space="preserve">The changes are minor in nature and </w:t>
      </w:r>
      <w:r>
        <w:rPr>
          <w:lang w:eastAsia="en-AU"/>
        </w:rPr>
        <w:t xml:space="preserve">are being released to simplify the superannuation industry’s reporting requirements by </w:t>
      </w:r>
      <w:r w:rsidR="00ED1D91">
        <w:rPr>
          <w:lang w:eastAsia="en-AU"/>
        </w:rPr>
        <w:t xml:space="preserve">consolidating </w:t>
      </w:r>
      <w:r w:rsidR="006239C9">
        <w:rPr>
          <w:lang w:eastAsia="en-AU"/>
        </w:rPr>
        <w:t xml:space="preserve">relevant </w:t>
      </w:r>
      <w:r>
        <w:rPr>
          <w:lang w:eastAsia="en-AU"/>
        </w:rPr>
        <w:t>guidance</w:t>
      </w:r>
      <w:r w:rsidR="00ED1D91">
        <w:rPr>
          <w:lang w:eastAsia="en-AU"/>
        </w:rPr>
        <w:t xml:space="preserve"> into the reporting standard</w:t>
      </w:r>
      <w:r>
        <w:rPr>
          <w:lang w:eastAsia="en-AU"/>
        </w:rPr>
        <w:t>.</w:t>
      </w:r>
      <w:r w:rsidR="006239C9">
        <w:rPr>
          <w:lang w:eastAsia="en-AU"/>
        </w:rPr>
        <w:t xml:space="preserve"> </w:t>
      </w:r>
    </w:p>
    <w:p w:rsidR="008B7528" w:rsidRPr="003F7530" w:rsidRDefault="00825478" w:rsidP="00C2276F">
      <w:pPr>
        <w:pStyle w:val="Heading"/>
        <w:keepNext w:val="0"/>
        <w:numPr>
          <w:ilvl w:val="0"/>
          <w:numId w:val="1"/>
        </w:numPr>
        <w:spacing w:before="0" w:after="240"/>
        <w:jc w:val="both"/>
        <w:rPr>
          <w:rFonts w:cs="Times New Roman"/>
          <w:sz w:val="24"/>
          <w:szCs w:val="24"/>
        </w:rPr>
      </w:pPr>
      <w:bookmarkStart w:id="7" w:name="bkoperation"/>
      <w:bookmarkEnd w:id="7"/>
      <w:r w:rsidRPr="003F7530">
        <w:rPr>
          <w:rFonts w:cs="Times New Roman"/>
          <w:sz w:val="24"/>
          <w:szCs w:val="24"/>
        </w:rPr>
        <w:t>Consultation</w:t>
      </w:r>
    </w:p>
    <w:p w:rsidR="00521342" w:rsidRDefault="007A0F4E" w:rsidP="00FF5E03">
      <w:pPr>
        <w:pStyle w:val="Heading"/>
        <w:keepNext w:val="0"/>
        <w:spacing w:after="240"/>
        <w:jc w:val="both"/>
        <w:rPr>
          <w:rFonts w:cs="Times New Roman"/>
          <w:b w:val="0"/>
          <w:kern w:val="0"/>
          <w:sz w:val="24"/>
          <w:szCs w:val="24"/>
          <w:lang w:val="en-GB"/>
        </w:rPr>
      </w:pPr>
      <w:bookmarkStart w:id="8" w:name="bkConsultation"/>
      <w:bookmarkEnd w:id="8"/>
      <w:r>
        <w:rPr>
          <w:rFonts w:cs="Times New Roman"/>
          <w:b w:val="0"/>
          <w:kern w:val="0"/>
          <w:sz w:val="24"/>
          <w:szCs w:val="24"/>
          <w:lang w:val="en-GB"/>
        </w:rPr>
        <w:t xml:space="preserve">As </w:t>
      </w:r>
      <w:r w:rsidR="006239C9">
        <w:rPr>
          <w:rFonts w:cs="Times New Roman"/>
          <w:b w:val="0"/>
          <w:kern w:val="0"/>
          <w:sz w:val="24"/>
          <w:szCs w:val="24"/>
          <w:lang w:val="en-GB"/>
        </w:rPr>
        <w:t xml:space="preserve">the FAQs </w:t>
      </w:r>
      <w:r w:rsidR="00F2067F">
        <w:rPr>
          <w:rFonts w:cs="Times New Roman"/>
          <w:b w:val="0"/>
          <w:kern w:val="0"/>
          <w:sz w:val="24"/>
          <w:szCs w:val="24"/>
          <w:lang w:val="en-GB"/>
        </w:rPr>
        <w:t>had already been publicly released and</w:t>
      </w:r>
      <w:r w:rsidR="00165121">
        <w:rPr>
          <w:rFonts w:cs="Times New Roman"/>
          <w:b w:val="0"/>
          <w:kern w:val="0"/>
          <w:sz w:val="24"/>
          <w:szCs w:val="24"/>
          <w:lang w:val="en-GB"/>
        </w:rPr>
        <w:t xml:space="preserve"> </w:t>
      </w:r>
      <w:r w:rsidR="006239C9">
        <w:rPr>
          <w:rFonts w:cs="Times New Roman"/>
          <w:b w:val="0"/>
          <w:kern w:val="0"/>
          <w:sz w:val="24"/>
          <w:szCs w:val="24"/>
          <w:lang w:val="en-GB"/>
        </w:rPr>
        <w:t xml:space="preserve">the resulting changes to the reporting standards </w:t>
      </w:r>
      <w:r w:rsidR="00165121">
        <w:rPr>
          <w:rFonts w:cs="Times New Roman"/>
          <w:b w:val="0"/>
          <w:kern w:val="0"/>
          <w:sz w:val="24"/>
          <w:szCs w:val="24"/>
          <w:lang w:val="en-GB"/>
        </w:rPr>
        <w:t>were minor in nature, no further consultation with industry</w:t>
      </w:r>
      <w:r w:rsidR="008D217C">
        <w:rPr>
          <w:rFonts w:cs="Times New Roman"/>
          <w:b w:val="0"/>
          <w:kern w:val="0"/>
          <w:sz w:val="24"/>
          <w:szCs w:val="24"/>
          <w:lang w:val="en-GB"/>
        </w:rPr>
        <w:t xml:space="preserve"> was undertaken.</w:t>
      </w:r>
    </w:p>
    <w:p w:rsidR="00521342" w:rsidRDefault="00521342" w:rsidP="00521342">
      <w:pPr>
        <w:spacing w:after="240"/>
        <w:jc w:val="both"/>
      </w:pPr>
      <w:r w:rsidRPr="0074638D">
        <w:t xml:space="preserve">In late April 2015, the Australian Bureau of Statistics notified the superannuation industry that minor amendments to three reporting standards would be delayed until the data requirements had been confirmed.  Final versions of SRS 320.0 and SRS 330.1 </w:t>
      </w:r>
      <w:r w:rsidR="0017569A">
        <w:t xml:space="preserve">have been </w:t>
      </w:r>
      <w:r w:rsidRPr="0074638D">
        <w:t xml:space="preserve">released </w:t>
      </w:r>
      <w:r w:rsidR="0017569A">
        <w:t xml:space="preserve">in late July </w:t>
      </w:r>
      <w:r w:rsidRPr="0074638D">
        <w:t>following the Australian Bureau of Statistic’s confirmation that it no longer seeks further amendments.</w:t>
      </w:r>
    </w:p>
    <w:p w:rsidR="00076969" w:rsidRPr="003F7530" w:rsidRDefault="00825478" w:rsidP="00381684">
      <w:pPr>
        <w:pStyle w:val="Heading"/>
        <w:keepNext w:val="0"/>
        <w:numPr>
          <w:ilvl w:val="0"/>
          <w:numId w:val="1"/>
        </w:numPr>
        <w:spacing w:before="0" w:after="240"/>
        <w:jc w:val="both"/>
        <w:rPr>
          <w:rFonts w:cs="Times New Roman"/>
          <w:sz w:val="24"/>
          <w:szCs w:val="24"/>
        </w:rPr>
      </w:pPr>
      <w:bookmarkStart w:id="9" w:name="bkRISNO"/>
      <w:bookmarkStart w:id="10" w:name="bkRIS"/>
      <w:bookmarkEnd w:id="9"/>
      <w:r w:rsidRPr="003F7530">
        <w:rPr>
          <w:rFonts w:cs="Times New Roman"/>
          <w:sz w:val="24"/>
          <w:szCs w:val="24"/>
        </w:rPr>
        <w:t>Regulation Impact Statement</w:t>
      </w:r>
    </w:p>
    <w:bookmarkEnd w:id="10"/>
    <w:p w:rsidR="007D4E96" w:rsidRDefault="008247C3" w:rsidP="00381684">
      <w:pPr>
        <w:pStyle w:val="Heading"/>
        <w:keepNext w:val="0"/>
        <w:tabs>
          <w:tab w:val="left" w:pos="360"/>
        </w:tabs>
        <w:spacing w:after="240"/>
        <w:jc w:val="both"/>
        <w:rPr>
          <w:b w:val="0"/>
          <w:sz w:val="24"/>
          <w:szCs w:val="24"/>
        </w:rPr>
      </w:pPr>
      <w:r>
        <w:rPr>
          <w:b w:val="0"/>
          <w:sz w:val="24"/>
          <w:szCs w:val="24"/>
        </w:rPr>
        <w:t xml:space="preserve">The revised reporting standards incorporate </w:t>
      </w:r>
      <w:r w:rsidR="001228B3">
        <w:rPr>
          <w:b w:val="0"/>
          <w:sz w:val="24"/>
          <w:szCs w:val="24"/>
        </w:rPr>
        <w:t xml:space="preserve">minor revisions </w:t>
      </w:r>
      <w:r>
        <w:rPr>
          <w:b w:val="0"/>
          <w:sz w:val="24"/>
          <w:szCs w:val="24"/>
        </w:rPr>
        <w:t xml:space="preserve">which do not significantly change the reporting requirements. All of the revised reporting standards provide additional guidance and clarification and no new reporting requirements have been introduced </w:t>
      </w:r>
      <w:r w:rsidR="00ED1D91">
        <w:rPr>
          <w:b w:val="0"/>
          <w:sz w:val="24"/>
          <w:szCs w:val="24"/>
        </w:rPr>
        <w:t>as a result of this process</w:t>
      </w:r>
      <w:r>
        <w:rPr>
          <w:b w:val="0"/>
          <w:sz w:val="24"/>
          <w:szCs w:val="24"/>
        </w:rPr>
        <w:t>.</w:t>
      </w:r>
    </w:p>
    <w:p w:rsidR="00425480" w:rsidRDefault="00425480" w:rsidP="00381684">
      <w:pPr>
        <w:pStyle w:val="Heading"/>
        <w:keepNext w:val="0"/>
        <w:spacing w:before="0" w:after="240"/>
        <w:jc w:val="both"/>
        <w:rPr>
          <w:b w:val="0"/>
          <w:sz w:val="24"/>
          <w:szCs w:val="24"/>
        </w:rPr>
      </w:pPr>
      <w:r w:rsidRPr="00425480">
        <w:rPr>
          <w:b w:val="0"/>
          <w:sz w:val="24"/>
          <w:szCs w:val="24"/>
        </w:rPr>
        <w:t xml:space="preserve">The Office of Best Practice Regulation has advised that a Regulation Impact Statement is not required for </w:t>
      </w:r>
      <w:r w:rsidR="00ED1D91">
        <w:rPr>
          <w:b w:val="0"/>
          <w:sz w:val="24"/>
          <w:szCs w:val="24"/>
        </w:rPr>
        <w:t>these</w:t>
      </w:r>
      <w:r w:rsidR="00ED1D91" w:rsidRPr="00425480">
        <w:rPr>
          <w:b w:val="0"/>
          <w:sz w:val="24"/>
          <w:szCs w:val="24"/>
        </w:rPr>
        <w:t xml:space="preserve"> </w:t>
      </w:r>
      <w:r w:rsidRPr="00425480">
        <w:rPr>
          <w:b w:val="0"/>
          <w:sz w:val="24"/>
          <w:szCs w:val="24"/>
        </w:rPr>
        <w:t>legislative instrument</w:t>
      </w:r>
      <w:r w:rsidR="00ED1D91">
        <w:rPr>
          <w:b w:val="0"/>
          <w:sz w:val="24"/>
          <w:szCs w:val="24"/>
        </w:rPr>
        <w:t>s</w:t>
      </w:r>
      <w:r>
        <w:rPr>
          <w:b w:val="0"/>
          <w:sz w:val="24"/>
          <w:szCs w:val="24"/>
        </w:rPr>
        <w:t>.</w:t>
      </w:r>
    </w:p>
    <w:p w:rsidR="00140948" w:rsidRPr="003F7530" w:rsidRDefault="00825478" w:rsidP="00381684">
      <w:pPr>
        <w:pStyle w:val="Heading"/>
        <w:keepNext w:val="0"/>
        <w:numPr>
          <w:ilvl w:val="0"/>
          <w:numId w:val="1"/>
        </w:numPr>
        <w:spacing w:before="0" w:after="240"/>
        <w:jc w:val="both"/>
        <w:rPr>
          <w:rFonts w:cs="Times New Roman"/>
          <w:i/>
          <w:sz w:val="24"/>
          <w:szCs w:val="24"/>
        </w:rPr>
      </w:pPr>
      <w:r w:rsidRPr="003F7530">
        <w:rPr>
          <w:rFonts w:cs="Times New Roman"/>
          <w:sz w:val="24"/>
          <w:szCs w:val="24"/>
        </w:rPr>
        <w:t xml:space="preserve">Statement of compatibility prepared in accordance with Part 3 of the </w:t>
      </w:r>
      <w:r w:rsidRPr="003F7530">
        <w:rPr>
          <w:rFonts w:cs="Times New Roman"/>
          <w:i/>
          <w:sz w:val="24"/>
          <w:szCs w:val="24"/>
        </w:rPr>
        <w:t>Human Rights (Parliamentary Scrutiny) Act 2011</w:t>
      </w:r>
    </w:p>
    <w:p w:rsidR="00063E49" w:rsidRPr="002646D2" w:rsidRDefault="00F049B6" w:rsidP="00381684">
      <w:pPr>
        <w:pStyle w:val="Heading"/>
        <w:keepNext w:val="0"/>
        <w:spacing w:before="0" w:after="240"/>
        <w:jc w:val="both"/>
        <w:rPr>
          <w:rFonts w:cs="Times New Roman"/>
          <w:b w:val="0"/>
          <w:kern w:val="0"/>
          <w:sz w:val="24"/>
          <w:szCs w:val="24"/>
          <w:lang w:val="en-GB"/>
        </w:rPr>
      </w:pPr>
      <w:r w:rsidRPr="002646D2">
        <w:rPr>
          <w:rFonts w:cs="Times New Roman"/>
          <w:b w:val="0"/>
          <w:kern w:val="0"/>
          <w:sz w:val="24"/>
          <w:szCs w:val="24"/>
          <w:lang w:val="en-GB"/>
        </w:rPr>
        <w:lastRenderedPageBreak/>
        <w:t xml:space="preserve">A Statement of compatibility prepared in accordance with Part 3 of the </w:t>
      </w:r>
      <w:r w:rsidRPr="002646D2">
        <w:rPr>
          <w:b w:val="0"/>
          <w:i/>
          <w:sz w:val="24"/>
          <w:szCs w:val="24"/>
          <w:lang w:val="en-GB"/>
        </w:rPr>
        <w:t>Human Rights (Parliamentary Scrutiny) Act 2011</w:t>
      </w:r>
      <w:r w:rsidR="001365CA" w:rsidRPr="002646D2">
        <w:rPr>
          <w:rFonts w:cs="Times New Roman"/>
          <w:b w:val="0"/>
          <w:kern w:val="0"/>
          <w:sz w:val="24"/>
          <w:szCs w:val="24"/>
          <w:lang w:val="en-GB"/>
        </w:rPr>
        <w:t xml:space="preserve"> </w:t>
      </w:r>
      <w:r w:rsidRPr="002646D2">
        <w:rPr>
          <w:rFonts w:cs="Times New Roman"/>
          <w:b w:val="0"/>
          <w:kern w:val="0"/>
          <w:sz w:val="24"/>
          <w:szCs w:val="24"/>
          <w:lang w:val="en-GB"/>
        </w:rPr>
        <w:t>is</w:t>
      </w:r>
      <w:r w:rsidR="00533FD5" w:rsidRPr="002646D2">
        <w:rPr>
          <w:rFonts w:cs="Times New Roman"/>
          <w:b w:val="0"/>
          <w:kern w:val="0"/>
          <w:sz w:val="24"/>
          <w:szCs w:val="24"/>
          <w:lang w:val="en-GB"/>
        </w:rPr>
        <w:t xml:space="preserve"> provided at</w:t>
      </w:r>
      <w:r w:rsidRPr="002646D2">
        <w:rPr>
          <w:rFonts w:cs="Times New Roman"/>
          <w:b w:val="0"/>
          <w:kern w:val="0"/>
          <w:sz w:val="24"/>
          <w:szCs w:val="24"/>
          <w:lang w:val="en-GB"/>
        </w:rPr>
        <w:t xml:space="preserve"> Attachment A to this Explanatory Statement.</w:t>
      </w:r>
    </w:p>
    <w:p w:rsidR="00EC0F11" w:rsidRDefault="00EC0F11" w:rsidP="00533FD5">
      <w:pPr>
        <w:pStyle w:val="Heading"/>
        <w:spacing w:before="0" w:after="240"/>
        <w:jc w:val="both"/>
        <w:rPr>
          <w:rFonts w:cs="Times New Roman"/>
          <w:b w:val="0"/>
          <w:kern w:val="0"/>
          <w:sz w:val="24"/>
          <w:szCs w:val="24"/>
          <w:lang w:val="en-GB"/>
        </w:rPr>
      </w:pPr>
    </w:p>
    <w:p w:rsidR="00A00162" w:rsidRDefault="00063E49" w:rsidP="00EC0F11">
      <w:r>
        <w:rPr>
          <w:b/>
          <w:lang w:val="en-GB"/>
        </w:rPr>
        <w:br w:type="page"/>
      </w:r>
      <w:r w:rsidR="0022602E" w:rsidRPr="00533FD5">
        <w:rPr>
          <w:u w:val="single"/>
          <w:lang w:val="en-GB"/>
        </w:rPr>
        <w:lastRenderedPageBreak/>
        <w:t>ATTACHMENT A</w:t>
      </w:r>
    </w:p>
    <w:p w:rsidR="00D22D14" w:rsidRPr="0022602E" w:rsidRDefault="0022602E" w:rsidP="00533FD5">
      <w:pPr>
        <w:pStyle w:val="Heading"/>
        <w:keepNext w:val="0"/>
        <w:spacing w:after="240"/>
        <w:jc w:val="center"/>
        <w:rPr>
          <w:rFonts w:cs="Times New Roman"/>
          <w:sz w:val="24"/>
          <w:szCs w:val="24"/>
        </w:rPr>
      </w:pPr>
      <w:r w:rsidRPr="00533FD5">
        <w:rPr>
          <w:rFonts w:cs="Times New Roman"/>
          <w:sz w:val="24"/>
          <w:szCs w:val="24"/>
        </w:rPr>
        <w:t>Statement of Compat</w:t>
      </w:r>
      <w:r>
        <w:rPr>
          <w:rFonts w:cs="Times New Roman"/>
          <w:sz w:val="24"/>
          <w:szCs w:val="24"/>
        </w:rPr>
        <w:t>i</w:t>
      </w:r>
      <w:r w:rsidRPr="00533FD5">
        <w:rPr>
          <w:rFonts w:cs="Times New Roman"/>
          <w:sz w:val="24"/>
          <w:szCs w:val="24"/>
        </w:rPr>
        <w:t>bility with Human Rights</w:t>
      </w:r>
    </w:p>
    <w:p w:rsidR="00D22D14" w:rsidRDefault="00A00162" w:rsidP="00533FD5">
      <w:pPr>
        <w:pStyle w:val="Heading1"/>
        <w:spacing w:before="0" w:after="240"/>
        <w:jc w:val="center"/>
        <w:rPr>
          <w:rFonts w:ascii="Times New Roman" w:hAnsi="Times New Roman" w:cs="Times New Roman"/>
          <w:b w:val="0"/>
          <w:sz w:val="24"/>
          <w:szCs w:val="24"/>
        </w:rPr>
      </w:pPr>
      <w:r w:rsidRPr="00533FD5">
        <w:rPr>
          <w:rFonts w:ascii="Times New Roman" w:hAnsi="Times New Roman" w:cs="Times New Roman"/>
          <w:b w:val="0"/>
          <w:sz w:val="24"/>
          <w:szCs w:val="24"/>
        </w:rPr>
        <w:t xml:space="preserve">Prepared in </w:t>
      </w:r>
      <w:r>
        <w:rPr>
          <w:rFonts w:ascii="Times New Roman" w:hAnsi="Times New Roman" w:cs="Times New Roman"/>
          <w:b w:val="0"/>
          <w:sz w:val="24"/>
          <w:szCs w:val="24"/>
        </w:rPr>
        <w:t xml:space="preserve">accordance with Part 3 of the </w:t>
      </w:r>
      <w:r w:rsidRPr="00ED0B51">
        <w:rPr>
          <w:rFonts w:ascii="Times New Roman" w:hAnsi="Times New Roman" w:cs="Times New Roman"/>
          <w:b w:val="0"/>
          <w:i/>
          <w:sz w:val="24"/>
          <w:szCs w:val="24"/>
        </w:rPr>
        <w:t>Human Rights (Parliamentary Scrutiny) Act 2011</w:t>
      </w:r>
    </w:p>
    <w:p w:rsidR="00A00162" w:rsidRPr="00F46CA8" w:rsidRDefault="00A00162" w:rsidP="00533FD5">
      <w:pPr>
        <w:jc w:val="center"/>
      </w:pPr>
      <w:r w:rsidRPr="00533FD5">
        <w:rPr>
          <w:b/>
        </w:rPr>
        <w:t xml:space="preserve">Financial Sector (Collection of </w:t>
      </w:r>
      <w:r w:rsidRPr="00F46CA8">
        <w:rPr>
          <w:b/>
        </w:rPr>
        <w:t>Data) (reporting standard) determination</w:t>
      </w:r>
      <w:r w:rsidR="00CB3E9A" w:rsidRPr="00F46CA8">
        <w:rPr>
          <w:b/>
        </w:rPr>
        <w:t>s</w:t>
      </w:r>
      <w:r w:rsidRPr="00F46CA8">
        <w:rPr>
          <w:b/>
        </w:rPr>
        <w:t xml:space="preserve"> </w:t>
      </w:r>
      <w:r w:rsidR="001228B3" w:rsidRPr="00F46CA8">
        <w:rPr>
          <w:b/>
        </w:rPr>
        <w:t xml:space="preserve">No. </w:t>
      </w:r>
      <w:r w:rsidR="008F302F" w:rsidRPr="00F46CA8">
        <w:rPr>
          <w:b/>
        </w:rPr>
        <w:t>27</w:t>
      </w:r>
      <w:r w:rsidR="001228B3" w:rsidRPr="00F46CA8">
        <w:rPr>
          <w:b/>
        </w:rPr>
        <w:t xml:space="preserve"> and No. </w:t>
      </w:r>
      <w:r w:rsidR="008F302F" w:rsidRPr="00F46CA8">
        <w:rPr>
          <w:b/>
        </w:rPr>
        <w:t>28</w:t>
      </w:r>
      <w:r w:rsidR="001228B3" w:rsidRPr="00F46CA8">
        <w:rPr>
          <w:b/>
        </w:rPr>
        <w:t xml:space="preserve"> of 2015</w:t>
      </w:r>
    </w:p>
    <w:p w:rsidR="00A00162" w:rsidRPr="00F46CA8" w:rsidRDefault="00A00162" w:rsidP="00533FD5">
      <w:pPr>
        <w:jc w:val="center"/>
      </w:pPr>
    </w:p>
    <w:p w:rsidR="00A00162" w:rsidRPr="00F46CA8" w:rsidRDefault="00A00162" w:rsidP="00533FD5">
      <w:pPr>
        <w:spacing w:after="240"/>
        <w:jc w:val="both"/>
      </w:pPr>
      <w:r w:rsidRPr="00F46CA8">
        <w:t xml:space="preserve">This Legislative Instrument is compatible with the human rights and freedoms recognised or declared in the international instrument listed in section 3 of the </w:t>
      </w:r>
      <w:r w:rsidRPr="00F46CA8">
        <w:rPr>
          <w:i/>
        </w:rPr>
        <w:t>Human Rights (Parliamentary Scrutiny) Act 2011</w:t>
      </w:r>
      <w:r w:rsidR="00533FD5" w:rsidRPr="00F46CA8">
        <w:t xml:space="preserve"> (HRPS Act)</w:t>
      </w:r>
    </w:p>
    <w:p w:rsidR="00733EC5" w:rsidRPr="00F46CA8" w:rsidRDefault="00733EC5" w:rsidP="00533FD5">
      <w:pPr>
        <w:spacing w:after="240"/>
        <w:jc w:val="both"/>
      </w:pPr>
      <w:r w:rsidRPr="00F46CA8">
        <w:rPr>
          <w:b/>
        </w:rPr>
        <w:t>Overview of the Legislative Instrument</w:t>
      </w:r>
    </w:p>
    <w:p w:rsidR="001724BA" w:rsidRDefault="003E1799" w:rsidP="001724BA">
      <w:pPr>
        <w:spacing w:after="240"/>
        <w:jc w:val="both"/>
      </w:pPr>
      <w:r w:rsidRPr="00F46CA8">
        <w:t xml:space="preserve">The purpose of making </w:t>
      </w:r>
      <w:r w:rsidR="00CB3E9A" w:rsidRPr="00F46CA8">
        <w:t>these</w:t>
      </w:r>
      <w:r w:rsidRPr="00F46CA8">
        <w:t xml:space="preserve"> legislative</w:t>
      </w:r>
      <w:r w:rsidR="00BC43FF" w:rsidRPr="00F46CA8">
        <w:t xml:space="preserve"> instrument</w:t>
      </w:r>
      <w:r w:rsidR="00CB3E9A" w:rsidRPr="00F46CA8">
        <w:t>s</w:t>
      </w:r>
      <w:r w:rsidRPr="00F46CA8">
        <w:t xml:space="preserve"> is to </w:t>
      </w:r>
      <w:r w:rsidR="00086DFB" w:rsidRPr="00F46CA8">
        <w:t xml:space="preserve">make minor revisions to </w:t>
      </w:r>
      <w:r w:rsidR="0077337A" w:rsidRPr="00F46CA8">
        <w:t>two</w:t>
      </w:r>
      <w:r w:rsidR="00177ED7">
        <w:t xml:space="preserve"> </w:t>
      </w:r>
      <w:r w:rsidR="00086DFB">
        <w:t>reporting standards to provide additional guidance and clarification on how to complete the reporting standards.</w:t>
      </w:r>
      <w:r w:rsidR="001724BA">
        <w:t xml:space="preserve"> The data collected in </w:t>
      </w:r>
      <w:r w:rsidR="00086DFB">
        <w:t xml:space="preserve">these reporting standards is used by APRA </w:t>
      </w:r>
      <w:r w:rsidR="00086DFB" w:rsidRPr="003D3E59">
        <w:t xml:space="preserve">to assist </w:t>
      </w:r>
      <w:r w:rsidR="00086DFB">
        <w:t>with APRA’s</w:t>
      </w:r>
      <w:r w:rsidR="00086DFB" w:rsidRPr="003D3E59">
        <w:t xml:space="preserve"> supervisory functions</w:t>
      </w:r>
      <w:r w:rsidR="00086DFB">
        <w:t>,</w:t>
      </w:r>
      <w:r w:rsidR="00086DFB" w:rsidRPr="003D3E59">
        <w:t xml:space="preserve"> and </w:t>
      </w:r>
      <w:r w:rsidR="00086DFB">
        <w:t xml:space="preserve">also </w:t>
      </w:r>
      <w:r w:rsidR="00086DFB" w:rsidRPr="003D3E59">
        <w:t xml:space="preserve">by </w:t>
      </w:r>
      <w:r w:rsidR="00086DFB">
        <w:t>Government and</w:t>
      </w:r>
      <w:r w:rsidR="00086DFB" w:rsidRPr="003D3E59">
        <w:t xml:space="preserve"> </w:t>
      </w:r>
      <w:r w:rsidR="00086DFB">
        <w:t xml:space="preserve">other </w:t>
      </w:r>
      <w:r w:rsidR="00086DFB" w:rsidRPr="003D3E59">
        <w:t xml:space="preserve">agencies such as </w:t>
      </w:r>
      <w:r w:rsidR="00086DFB">
        <w:t>the Australian Bureau of Statistics</w:t>
      </w:r>
      <w:r w:rsidR="00086DFB" w:rsidRPr="003D3E59">
        <w:t>. APRA also collates and publishes statistical information and analysis using data from these reporting forms.</w:t>
      </w:r>
    </w:p>
    <w:p w:rsidR="003E1799" w:rsidRDefault="003E1799" w:rsidP="00533FD5">
      <w:pPr>
        <w:spacing w:after="240"/>
        <w:jc w:val="both"/>
      </w:pPr>
      <w:r w:rsidRPr="00533FD5">
        <w:rPr>
          <w:b/>
        </w:rPr>
        <w:t>Human rights implications</w:t>
      </w:r>
    </w:p>
    <w:p w:rsidR="003E1799" w:rsidRDefault="003E1799" w:rsidP="00533FD5">
      <w:pPr>
        <w:spacing w:after="240"/>
        <w:jc w:val="both"/>
      </w:pPr>
      <w:r>
        <w:t>APRA has assessed the instrument against the international instruments listed in section 3 of the HRPS Act and determined that only Article 17 of the International Covenant on Civil and Political Rights (ICCPR) is conceivably potentially of relevance to the instrument.</w:t>
      </w:r>
    </w:p>
    <w:p w:rsidR="003E1799" w:rsidRDefault="003E1799" w:rsidP="00533FD5">
      <w:pPr>
        <w:spacing w:after="240"/>
        <w:jc w:val="both"/>
      </w:pPr>
      <w: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4326E0" w:rsidRDefault="00B20154" w:rsidP="00533FD5">
      <w:pPr>
        <w:spacing w:after="240"/>
        <w:jc w:val="both"/>
      </w:pPr>
      <w:r w:rsidRPr="00B20154">
        <w:t>The information collected as a result of the continued operation of the reporting standards will be about the profile and structure of each RSE licensee’s business operations.</w:t>
      </w:r>
      <w:r>
        <w:t xml:space="preserve"> </w:t>
      </w:r>
      <w:r w:rsidR="004326E0" w:rsidRPr="00533FD5">
        <w:t>This information ultimately supports APRA achieving its mission of ensuring that, under all reasonable circumstances, financial promises made by the institutions APRA supervises are met within a stable, efficient an</w:t>
      </w:r>
      <w:r w:rsidR="004326E0">
        <w:t>d competitive financial system.</w:t>
      </w:r>
    </w:p>
    <w:p w:rsidR="004326E0" w:rsidRDefault="004326E0" w:rsidP="00533FD5">
      <w:pPr>
        <w:spacing w:after="240"/>
        <w:jc w:val="both"/>
      </w:pPr>
      <w:r w:rsidRPr="0068655F">
        <w:t xml:space="preserve">APRA does not publish </w:t>
      </w:r>
      <w:r w:rsidR="00032838">
        <w:t>the</w:t>
      </w:r>
      <w:r>
        <w:t xml:space="preserve"> personal</w:t>
      </w:r>
      <w:r w:rsidRPr="0068655F">
        <w:t xml:space="preserve"> information </w:t>
      </w:r>
      <w:r>
        <w:t xml:space="preserve">which </w:t>
      </w:r>
      <w:r w:rsidRPr="0068655F">
        <w:t>it collects</w:t>
      </w:r>
      <w:r>
        <w:t>. I</w:t>
      </w:r>
      <w:r w:rsidRPr="0068655F">
        <w:t xml:space="preserve">nformation provided to APRA </w:t>
      </w:r>
      <w:r w:rsidR="00032838">
        <w:t>under reporting standards is</w:t>
      </w:r>
      <w:r w:rsidRPr="0068655F">
        <w:t xml:space="preserve"> protected in</w:t>
      </w:r>
      <w:r w:rsidRPr="007D156F">
        <w:t xml:space="preserve">formation </w:t>
      </w:r>
      <w:r w:rsidR="00032838">
        <w:t>for the purposes of</w:t>
      </w:r>
      <w:r w:rsidR="00032838" w:rsidRPr="00032838">
        <w:t xml:space="preserve"> s</w:t>
      </w:r>
      <w:r w:rsidR="00032838">
        <w:t xml:space="preserve">ection </w:t>
      </w:r>
      <w:r w:rsidR="00032838" w:rsidRPr="00032838">
        <w:t xml:space="preserve">56 of the </w:t>
      </w:r>
      <w:r w:rsidR="00032838" w:rsidRPr="00533FD5">
        <w:rPr>
          <w:i/>
        </w:rPr>
        <w:t>Australian Prudential Regulation Authority Act 1998</w:t>
      </w:r>
      <w:r w:rsidR="00032838" w:rsidRPr="00032838">
        <w:t xml:space="preserve"> (APRA Act)</w:t>
      </w:r>
      <w:r w:rsidR="00032838">
        <w:t xml:space="preserve"> and cannot be disclosed except under a limited range of circumstances provided for under that section.</w:t>
      </w:r>
      <w:r w:rsidR="00032838" w:rsidRPr="00032838">
        <w:t xml:space="preserve"> </w:t>
      </w:r>
      <w:r w:rsidR="00032838">
        <w:t>While APRA does publish some protected information gathered under reporting standards,</w:t>
      </w:r>
      <w:r w:rsidR="007B1192">
        <w:t xml:space="preserve"> </w:t>
      </w:r>
      <w:r w:rsidR="007B1192" w:rsidRPr="007B1192">
        <w:t>APRA reviews all releases of data received under reporting standards to ensure that no information pertaining to an individual person can be deduced from the data.</w:t>
      </w:r>
      <w:r w:rsidR="007B1192">
        <w:t xml:space="preserve"> </w:t>
      </w:r>
    </w:p>
    <w:p w:rsidR="000A35A2" w:rsidRPr="00F46CA8" w:rsidRDefault="000A35A2" w:rsidP="00533FD5">
      <w:pPr>
        <w:spacing w:after="240"/>
        <w:jc w:val="both"/>
        <w:rPr>
          <w:b/>
        </w:rPr>
      </w:pPr>
      <w:r w:rsidRPr="00F46CA8">
        <w:rPr>
          <w:b/>
        </w:rPr>
        <w:lastRenderedPageBreak/>
        <w:t>Conclusion</w:t>
      </w:r>
    </w:p>
    <w:p w:rsidR="00FF7C83" w:rsidRPr="00F46CA8" w:rsidRDefault="00FF7C83" w:rsidP="00EF40BB">
      <w:r w:rsidRPr="00F46CA8">
        <w:t>Financial Sector (Collection of Data) (reporting standard) determination</w:t>
      </w:r>
      <w:r w:rsidR="00CB3E9A" w:rsidRPr="00F46CA8">
        <w:t>s</w:t>
      </w:r>
      <w:r w:rsidRPr="00F46CA8">
        <w:t xml:space="preserve"> No. </w:t>
      </w:r>
      <w:r w:rsidR="008F302F" w:rsidRPr="00F46CA8">
        <w:t>27</w:t>
      </w:r>
      <w:r w:rsidR="00CB3E9A" w:rsidRPr="00F46CA8">
        <w:t xml:space="preserve"> </w:t>
      </w:r>
      <w:r w:rsidR="001228B3" w:rsidRPr="00F46CA8">
        <w:t xml:space="preserve">and No. </w:t>
      </w:r>
      <w:r w:rsidR="008F302F" w:rsidRPr="00F46CA8">
        <w:t>28</w:t>
      </w:r>
      <w:r w:rsidR="001228B3" w:rsidRPr="00F46CA8">
        <w:t xml:space="preserve"> of 2015 </w:t>
      </w:r>
      <w:r w:rsidR="00CB3E9A" w:rsidRPr="00F46CA8">
        <w:t>are</w:t>
      </w:r>
      <w:r w:rsidRPr="00F46CA8">
        <w:t xml:space="preserve"> </w:t>
      </w:r>
      <w:r w:rsidR="000A35A2" w:rsidRPr="00F46CA8">
        <w:t>compatible with human rights because</w:t>
      </w:r>
      <w:r w:rsidRPr="00F46CA8">
        <w:t>:</w:t>
      </w:r>
    </w:p>
    <w:p w:rsidR="00865B6D" w:rsidRPr="00F46CA8" w:rsidRDefault="00865B6D" w:rsidP="00EF40BB"/>
    <w:p w:rsidR="007B1192" w:rsidRPr="00F46CA8" w:rsidRDefault="000A35A2" w:rsidP="00533FD5">
      <w:pPr>
        <w:pStyle w:val="ListParagraph"/>
        <w:numPr>
          <w:ilvl w:val="0"/>
          <w:numId w:val="36"/>
        </w:numPr>
        <w:spacing w:after="240"/>
        <w:jc w:val="both"/>
        <w:rPr>
          <w:sz w:val="24"/>
          <w:szCs w:val="24"/>
        </w:rPr>
      </w:pPr>
      <w:r w:rsidRPr="00F46CA8">
        <w:rPr>
          <w:sz w:val="24"/>
          <w:szCs w:val="24"/>
        </w:rPr>
        <w:t xml:space="preserve">to the extent that </w:t>
      </w:r>
      <w:r w:rsidR="00804B93" w:rsidRPr="00F46CA8">
        <w:rPr>
          <w:sz w:val="24"/>
          <w:szCs w:val="24"/>
        </w:rPr>
        <w:t>determination</w:t>
      </w:r>
      <w:r w:rsidR="00CB3E9A" w:rsidRPr="00F46CA8">
        <w:rPr>
          <w:sz w:val="24"/>
          <w:szCs w:val="24"/>
        </w:rPr>
        <w:t>s</w:t>
      </w:r>
      <w:r w:rsidR="008654B9" w:rsidRPr="00F46CA8">
        <w:rPr>
          <w:sz w:val="24"/>
          <w:szCs w:val="24"/>
        </w:rPr>
        <w:t xml:space="preserve"> </w:t>
      </w:r>
      <w:r w:rsidR="001228B3" w:rsidRPr="00F46CA8">
        <w:rPr>
          <w:sz w:val="24"/>
          <w:szCs w:val="24"/>
        </w:rPr>
        <w:t xml:space="preserve">No. </w:t>
      </w:r>
      <w:r w:rsidR="008F302F" w:rsidRPr="00F46CA8">
        <w:rPr>
          <w:sz w:val="24"/>
          <w:szCs w:val="24"/>
        </w:rPr>
        <w:t>27</w:t>
      </w:r>
      <w:r w:rsidR="0077337A" w:rsidRPr="00F46CA8">
        <w:rPr>
          <w:sz w:val="24"/>
          <w:szCs w:val="24"/>
        </w:rPr>
        <w:t xml:space="preserve"> </w:t>
      </w:r>
      <w:r w:rsidR="001228B3" w:rsidRPr="00F46CA8">
        <w:rPr>
          <w:sz w:val="24"/>
          <w:szCs w:val="24"/>
        </w:rPr>
        <w:t xml:space="preserve">and No. </w:t>
      </w:r>
      <w:r w:rsidR="008F302F" w:rsidRPr="00F46CA8">
        <w:rPr>
          <w:sz w:val="24"/>
          <w:szCs w:val="24"/>
        </w:rPr>
        <w:t>28</w:t>
      </w:r>
      <w:r w:rsidR="001228B3" w:rsidRPr="00F46CA8">
        <w:rPr>
          <w:sz w:val="24"/>
          <w:szCs w:val="24"/>
        </w:rPr>
        <w:t xml:space="preserve"> of 2015 </w:t>
      </w:r>
      <w:r w:rsidRPr="00F46CA8">
        <w:rPr>
          <w:sz w:val="24"/>
          <w:szCs w:val="24"/>
        </w:rPr>
        <w:t>limit human rights, those limitations are reasonab</w:t>
      </w:r>
      <w:r w:rsidR="00804B93" w:rsidRPr="00F46CA8">
        <w:rPr>
          <w:sz w:val="24"/>
          <w:szCs w:val="24"/>
        </w:rPr>
        <w:t>le, necessary and proportionate; and</w:t>
      </w:r>
    </w:p>
    <w:p w:rsidR="00804B93" w:rsidRPr="0068655F" w:rsidRDefault="00063E49" w:rsidP="00533FD5">
      <w:pPr>
        <w:pStyle w:val="ListParagraph"/>
        <w:numPr>
          <w:ilvl w:val="0"/>
          <w:numId w:val="36"/>
        </w:numPr>
        <w:spacing w:after="240"/>
        <w:jc w:val="both"/>
        <w:rPr>
          <w:sz w:val="24"/>
          <w:szCs w:val="24"/>
        </w:rPr>
      </w:pPr>
      <w:proofErr w:type="gramStart"/>
      <w:r w:rsidRPr="00533FD5">
        <w:rPr>
          <w:sz w:val="24"/>
          <w:szCs w:val="24"/>
        </w:rPr>
        <w:t>the</w:t>
      </w:r>
      <w:proofErr w:type="gramEnd"/>
      <w:r w:rsidRPr="00533FD5">
        <w:rPr>
          <w:sz w:val="24"/>
          <w:szCs w:val="24"/>
        </w:rPr>
        <w:t xml:space="preserve"> remaining </w:t>
      </w:r>
      <w:r w:rsidR="008654B9">
        <w:rPr>
          <w:sz w:val="24"/>
          <w:szCs w:val="24"/>
        </w:rPr>
        <w:t xml:space="preserve">parts of the </w:t>
      </w:r>
      <w:r w:rsidRPr="00533FD5">
        <w:rPr>
          <w:sz w:val="24"/>
          <w:szCs w:val="24"/>
        </w:rPr>
        <w:t>determination</w:t>
      </w:r>
      <w:r w:rsidR="00CB3E9A">
        <w:rPr>
          <w:sz w:val="24"/>
          <w:szCs w:val="24"/>
        </w:rPr>
        <w:t>s</w:t>
      </w:r>
      <w:r w:rsidRPr="00533FD5">
        <w:rPr>
          <w:sz w:val="24"/>
          <w:szCs w:val="24"/>
        </w:rPr>
        <w:t xml:space="preserve"> do not raise human rights issues</w:t>
      </w:r>
      <w:r>
        <w:t>.</w:t>
      </w:r>
    </w:p>
    <w:sectPr w:rsidR="00804B93" w:rsidRPr="0068655F" w:rsidSect="00FF5E03">
      <w:footerReference w:type="even" r:id="rId9"/>
      <w:footerReference w:type="defaul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69" w:rsidRDefault="005C2969">
      <w:r>
        <w:separator/>
      </w:r>
    </w:p>
  </w:endnote>
  <w:endnote w:type="continuationSeparator" w:id="0">
    <w:p w:rsidR="005C2969" w:rsidRDefault="005C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D3" w:rsidRDefault="004D01B8" w:rsidP="00000AE6">
    <w:pPr>
      <w:pStyle w:val="Footer"/>
      <w:framePr w:wrap="around" w:vAnchor="text" w:hAnchor="margin" w:xAlign="right" w:y="1"/>
      <w:rPr>
        <w:rStyle w:val="PageNumber"/>
      </w:rPr>
    </w:pPr>
    <w:r>
      <w:rPr>
        <w:rStyle w:val="PageNumber"/>
      </w:rPr>
      <w:fldChar w:fldCharType="begin"/>
    </w:r>
    <w:r w:rsidR="007020D3">
      <w:rPr>
        <w:rStyle w:val="PageNumber"/>
      </w:rPr>
      <w:instrText xml:space="preserve">PAGE  </w:instrText>
    </w:r>
    <w:r>
      <w:rPr>
        <w:rStyle w:val="PageNumber"/>
      </w:rPr>
      <w:fldChar w:fldCharType="separate"/>
    </w:r>
    <w:r w:rsidR="00FF5E03">
      <w:rPr>
        <w:rStyle w:val="PageNumber"/>
        <w:noProof/>
      </w:rPr>
      <w:t>4</w:t>
    </w:r>
    <w:r>
      <w:rPr>
        <w:rStyle w:val="PageNumber"/>
      </w:rPr>
      <w:fldChar w:fldCharType="end"/>
    </w:r>
  </w:p>
  <w:p w:rsidR="007020D3" w:rsidRDefault="007020D3"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77334"/>
      <w:docPartObj>
        <w:docPartGallery w:val="Page Numbers (Bottom of Page)"/>
        <w:docPartUnique/>
      </w:docPartObj>
    </w:sdtPr>
    <w:sdtEndPr/>
    <w:sdtContent>
      <w:sdt>
        <w:sdtPr>
          <w:id w:val="860082579"/>
          <w:docPartObj>
            <w:docPartGallery w:val="Page Numbers (Top of Page)"/>
            <w:docPartUnique/>
          </w:docPartObj>
        </w:sdtPr>
        <w:sdtEndPr/>
        <w:sdtContent>
          <w:p w:rsidR="007020D3" w:rsidRDefault="00C36E59" w:rsidP="00414222">
            <w:pPr>
              <w:pStyle w:val="Footer"/>
              <w:jc w:val="center"/>
            </w:pPr>
            <w:r w:rsidRPr="00AE15B6">
              <w:rPr>
                <w:bCs/>
              </w:rPr>
              <w:fldChar w:fldCharType="begin"/>
            </w:r>
            <w:r w:rsidRPr="00AE15B6">
              <w:rPr>
                <w:bCs/>
              </w:rPr>
              <w:instrText xml:space="preserve"> PAGE </w:instrText>
            </w:r>
            <w:r w:rsidRPr="00AE15B6">
              <w:rPr>
                <w:bCs/>
              </w:rPr>
              <w:fldChar w:fldCharType="separate"/>
            </w:r>
            <w:r w:rsidR="00552480">
              <w:rPr>
                <w:bCs/>
                <w:noProof/>
              </w:rPr>
              <w:t>2</w:t>
            </w:r>
            <w:r w:rsidRPr="00AE15B6">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3938"/>
      <w:docPartObj>
        <w:docPartGallery w:val="Page Numbers (Bottom of Page)"/>
        <w:docPartUnique/>
      </w:docPartObj>
    </w:sdtPr>
    <w:sdtEndPr/>
    <w:sdtContent>
      <w:p w:rsidR="007020D3" w:rsidRDefault="004D01B8" w:rsidP="00A305CC">
        <w:pPr>
          <w:pStyle w:val="Footer"/>
          <w:jc w:val="center"/>
        </w:pPr>
        <w:r>
          <w:fldChar w:fldCharType="begin"/>
        </w:r>
        <w:r w:rsidR="00AE3364">
          <w:instrText xml:space="preserve"> PAGE   \* MERGEFORMAT </w:instrText>
        </w:r>
        <w:r>
          <w:fldChar w:fldCharType="separate"/>
        </w:r>
        <w:r w:rsidR="0055248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69" w:rsidRDefault="005C2969">
      <w:r>
        <w:separator/>
      </w:r>
    </w:p>
  </w:footnote>
  <w:footnote w:type="continuationSeparator" w:id="0">
    <w:p w:rsidR="005C2969" w:rsidRDefault="005C2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C66"/>
    <w:multiLevelType w:val="hybridMultilevel"/>
    <w:tmpl w:val="216800AE"/>
    <w:lvl w:ilvl="0" w:tplc="F1DC0E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3A5AC3"/>
    <w:multiLevelType w:val="hybridMultilevel"/>
    <w:tmpl w:val="63C2A63A"/>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4E1A80"/>
    <w:multiLevelType w:val="hybridMultilevel"/>
    <w:tmpl w:val="A580C1E2"/>
    <w:lvl w:ilvl="0" w:tplc="0C09000F">
      <w:start w:val="1"/>
      <w:numFmt w:val="decimal"/>
      <w:lvlText w:val="%1."/>
      <w:lvlJc w:val="left"/>
      <w:pPr>
        <w:ind w:left="360" w:hanging="360"/>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4A81249"/>
    <w:multiLevelType w:val="hybridMultilevel"/>
    <w:tmpl w:val="3110BD74"/>
    <w:lvl w:ilvl="0" w:tplc="B3741604">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Symbol"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Symbol"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Symbol"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6">
    <w:nsid w:val="18B748EA"/>
    <w:multiLevelType w:val="hybridMultilevel"/>
    <w:tmpl w:val="FB86D204"/>
    <w:lvl w:ilvl="0" w:tplc="83060E0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9D0080A"/>
    <w:multiLevelType w:val="hybridMultilevel"/>
    <w:tmpl w:val="2568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E916D8"/>
    <w:multiLevelType w:val="hybridMultilevel"/>
    <w:tmpl w:val="13A06058"/>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EA43714"/>
    <w:multiLevelType w:val="hybridMultilevel"/>
    <w:tmpl w:val="64D6FBCA"/>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C81689"/>
    <w:multiLevelType w:val="hybridMultilevel"/>
    <w:tmpl w:val="FC1C660E"/>
    <w:lvl w:ilvl="0" w:tplc="A420EBC2">
      <w:start w:val="1"/>
      <w:numFmt w:val="lowerRoman"/>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CC537EE"/>
    <w:multiLevelType w:val="hybridMultilevel"/>
    <w:tmpl w:val="FA342E68"/>
    <w:lvl w:ilvl="0" w:tplc="F1DC0EE0">
      <w:start w:val="1"/>
      <w:numFmt w:val="lowerLetter"/>
      <w:lvlText w:val="(%1)"/>
      <w:lvlJc w:val="left"/>
      <w:pPr>
        <w:ind w:left="927" w:hanging="360"/>
      </w:pPr>
      <w:rPr>
        <w:rFonts w:hint="default"/>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2F9D67AD"/>
    <w:multiLevelType w:val="hybridMultilevel"/>
    <w:tmpl w:val="43ACA11E"/>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4247ED2"/>
    <w:multiLevelType w:val="hybridMultilevel"/>
    <w:tmpl w:val="262E2EE6"/>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4E6244F"/>
    <w:multiLevelType w:val="hybridMultilevel"/>
    <w:tmpl w:val="4C5242FA"/>
    <w:lvl w:ilvl="0" w:tplc="B3CE7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E29F8"/>
    <w:multiLevelType w:val="hybridMultilevel"/>
    <w:tmpl w:val="84EC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CC45E8"/>
    <w:multiLevelType w:val="hybridMultilevel"/>
    <w:tmpl w:val="19588EE6"/>
    <w:lvl w:ilvl="0" w:tplc="8FAAD7E8">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DC3355"/>
    <w:multiLevelType w:val="hybridMultilevel"/>
    <w:tmpl w:val="26AE26E4"/>
    <w:lvl w:ilvl="0" w:tplc="0C09000F">
      <w:start w:val="1"/>
      <w:numFmt w:val="decimal"/>
      <w:lvlText w:val="%1."/>
      <w:lvlJc w:val="left"/>
      <w:pPr>
        <w:ind w:left="1080" w:hanging="720"/>
      </w:pPr>
      <w:rPr>
        <w:rFonts w:cs="Times New Roman"/>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nsid w:val="403C790E"/>
    <w:multiLevelType w:val="hybridMultilevel"/>
    <w:tmpl w:val="56706790"/>
    <w:lvl w:ilvl="0" w:tplc="0D88991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BD361C"/>
    <w:multiLevelType w:val="hybridMultilevel"/>
    <w:tmpl w:val="5866A896"/>
    <w:lvl w:ilvl="0" w:tplc="178C93F8">
      <w:start w:val="1"/>
      <w:numFmt w:val="lowerRoman"/>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1DB26DB"/>
    <w:multiLevelType w:val="hybridMultilevel"/>
    <w:tmpl w:val="2572D308"/>
    <w:lvl w:ilvl="0" w:tplc="FCCCA074">
      <w:start w:val="1"/>
      <w:numFmt w:val="decimal"/>
      <w:lvlText w:val="%1."/>
      <w:lvlJc w:val="left"/>
      <w:pPr>
        <w:tabs>
          <w:tab w:val="num" w:pos="567"/>
        </w:tabs>
        <w:ind w:left="567" w:hanging="567"/>
      </w:pPr>
      <w:rPr>
        <w:rFonts w:hint="default"/>
        <w:i w:val="0"/>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430857CE"/>
    <w:multiLevelType w:val="hybridMultilevel"/>
    <w:tmpl w:val="88B0636E"/>
    <w:lvl w:ilvl="0" w:tplc="E34C62CE">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2A327B"/>
    <w:multiLevelType w:val="hybridMultilevel"/>
    <w:tmpl w:val="B04CEA34"/>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93F3F4D"/>
    <w:multiLevelType w:val="hybridMultilevel"/>
    <w:tmpl w:val="45BED866"/>
    <w:lvl w:ilvl="0" w:tplc="B9129F8C">
      <w:start w:val="1"/>
      <w:numFmt w:val="bullet"/>
      <w:lvlText w:val=""/>
      <w:lvlJc w:val="left"/>
      <w:pPr>
        <w:tabs>
          <w:tab w:val="num" w:pos="454"/>
        </w:tabs>
        <w:ind w:left="454" w:hanging="454"/>
      </w:pPr>
      <w:rPr>
        <w:rFonts w:ascii="Symbol" w:hAnsi="Symbol" w:hint="default"/>
      </w:rPr>
    </w:lvl>
    <w:lvl w:ilvl="1" w:tplc="E34C62CE">
      <w:numFmt w:val="bullet"/>
      <w:lvlText w:val=""/>
      <w:lvlJc w:val="left"/>
      <w:pPr>
        <w:tabs>
          <w:tab w:val="num" w:pos="853"/>
        </w:tabs>
        <w:ind w:left="853" w:hanging="340"/>
      </w:pPr>
      <w:rPr>
        <w:rFonts w:ascii="Symbol" w:eastAsia="Times New Roman" w:hAnsi="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1">
    <w:nsid w:val="4B147B7B"/>
    <w:multiLevelType w:val="hybridMultilevel"/>
    <w:tmpl w:val="80CA6CB8"/>
    <w:lvl w:ilvl="0" w:tplc="0C09000F">
      <w:start w:val="1"/>
      <w:numFmt w:val="decimal"/>
      <w:lvlText w:val="%1."/>
      <w:lvlJc w:val="left"/>
      <w:pPr>
        <w:ind w:left="360" w:hanging="360"/>
      </w:pPr>
    </w:lvl>
    <w:lvl w:ilvl="1" w:tplc="DFD47EF2">
      <w:start w:val="1"/>
      <w:numFmt w:val="lowerRoman"/>
      <w:lvlText w:val="(%2)"/>
      <w:lvlJc w:val="left"/>
      <w:pPr>
        <w:ind w:left="1080" w:hanging="360"/>
      </w:pPr>
      <w:rPr>
        <w:rFonts w:hint="default"/>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B1823B0"/>
    <w:multiLevelType w:val="hybridMultilevel"/>
    <w:tmpl w:val="8570C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BFB2BC0"/>
    <w:multiLevelType w:val="hybridMultilevel"/>
    <w:tmpl w:val="541E5A08"/>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D075BCB"/>
    <w:multiLevelType w:val="hybridMultilevel"/>
    <w:tmpl w:val="8A8ECCF0"/>
    <w:lvl w:ilvl="0" w:tplc="16343D3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64F6A44"/>
    <w:multiLevelType w:val="hybridMultilevel"/>
    <w:tmpl w:val="E9A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4C441D"/>
    <w:multiLevelType w:val="hybridMultilevel"/>
    <w:tmpl w:val="A73C215C"/>
    <w:lvl w:ilvl="0" w:tplc="B9129F8C">
      <w:start w:val="1"/>
      <w:numFmt w:val="bullet"/>
      <w:lvlText w:val=""/>
      <w:lvlJc w:val="left"/>
      <w:pPr>
        <w:tabs>
          <w:tab w:val="num" w:pos="454"/>
        </w:tabs>
        <w:ind w:left="454" w:hanging="454"/>
      </w:pPr>
      <w:rPr>
        <w:rFonts w:ascii="Symbol" w:hAnsi="Symbol" w:hint="default"/>
      </w:rPr>
    </w:lvl>
    <w:lvl w:ilvl="1" w:tplc="F5126D84">
      <w:start w:val="1"/>
      <w:numFmt w:val="bullet"/>
      <w:lvlText w:val="-"/>
      <w:lvlJc w:val="left"/>
      <w:pPr>
        <w:tabs>
          <w:tab w:val="num" w:pos="853"/>
        </w:tabs>
        <w:ind w:left="853" w:hanging="340"/>
      </w:pPr>
      <w:rPr>
        <w:rFonts w:ascii="Times New Roman" w:hAnsi="Times New Roman" w:cs="Times New Roman"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7">
    <w:nsid w:val="60D230D6"/>
    <w:multiLevelType w:val="hybridMultilevel"/>
    <w:tmpl w:val="6E46DFDE"/>
    <w:lvl w:ilvl="0" w:tplc="B3741604">
      <w:start w:val="1"/>
      <w:numFmt w:val="decimal"/>
      <w:lvlText w:val="%1."/>
      <w:lvlJc w:val="left"/>
      <w:pPr>
        <w:ind w:left="927" w:hanging="360"/>
      </w:pPr>
      <w:rPr>
        <w:rFonts w:hint="default"/>
        <w:i w:val="0"/>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nsid w:val="61DA3D61"/>
    <w:multiLevelType w:val="hybridMultilevel"/>
    <w:tmpl w:val="3A74BFE8"/>
    <w:lvl w:ilvl="0" w:tplc="B17EDFD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AA5F2B"/>
    <w:multiLevelType w:val="hybridMultilevel"/>
    <w:tmpl w:val="64940CE4"/>
    <w:lvl w:ilvl="0" w:tplc="FCCCA074">
      <w:start w:val="1"/>
      <w:numFmt w:val="decimal"/>
      <w:lvlText w:val="%1."/>
      <w:lvlJc w:val="left"/>
      <w:pPr>
        <w:tabs>
          <w:tab w:val="num" w:pos="567"/>
        </w:tabs>
        <w:ind w:left="567" w:hanging="567"/>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3741E58"/>
    <w:multiLevelType w:val="hybridMultilevel"/>
    <w:tmpl w:val="418ABB3A"/>
    <w:lvl w:ilvl="0" w:tplc="C588ABB8">
      <w:start w:val="1"/>
      <w:numFmt w:val="decimal"/>
      <w:lvlText w:val="%1."/>
      <w:lvlJc w:val="left"/>
      <w:pPr>
        <w:tabs>
          <w:tab w:val="num" w:pos="567"/>
        </w:tabs>
        <w:ind w:left="567" w:hanging="567"/>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653A3A1B"/>
    <w:multiLevelType w:val="hybridMultilevel"/>
    <w:tmpl w:val="DC8447C2"/>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6BF09E4"/>
    <w:multiLevelType w:val="hybridMultilevel"/>
    <w:tmpl w:val="43E2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7A621E0"/>
    <w:multiLevelType w:val="hybridMultilevel"/>
    <w:tmpl w:val="7170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D1C0973"/>
    <w:multiLevelType w:val="hybridMultilevel"/>
    <w:tmpl w:val="7926325E"/>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FE20B63"/>
    <w:multiLevelType w:val="hybridMultilevel"/>
    <w:tmpl w:val="F4DEAD5E"/>
    <w:lvl w:ilvl="0" w:tplc="65945CC8">
      <w:start w:val="1"/>
      <w:numFmt w:val="bullet"/>
      <w:lvlText w:val="—"/>
      <w:lvlJc w:val="left"/>
      <w:pPr>
        <w:ind w:left="720"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1A63786"/>
    <w:multiLevelType w:val="hybridMultilevel"/>
    <w:tmpl w:val="CE483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A0B3C14"/>
    <w:multiLevelType w:val="hybridMultilevel"/>
    <w:tmpl w:val="638436A6"/>
    <w:lvl w:ilvl="0" w:tplc="0C09000F">
      <w:start w:val="1"/>
      <w:numFmt w:val="decimal"/>
      <w:lvlText w:val="%1."/>
      <w:lvlJc w:val="left"/>
      <w:pPr>
        <w:ind w:left="360" w:hanging="360"/>
      </w:pPr>
    </w:lvl>
    <w:lvl w:ilvl="1" w:tplc="DFD47EF2">
      <w:start w:val="1"/>
      <w:numFmt w:val="lowerRoman"/>
      <w:lvlText w:val="(%2)"/>
      <w:lvlJc w:val="left"/>
      <w:pPr>
        <w:ind w:left="1080" w:hanging="360"/>
      </w:pPr>
      <w:rPr>
        <w:rFonts w:hint="default"/>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A0F5656"/>
    <w:multiLevelType w:val="hybridMultilevel"/>
    <w:tmpl w:val="E6363104"/>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26"/>
  </w:num>
  <w:num w:numId="3">
    <w:abstractNumId w:val="27"/>
  </w:num>
  <w:num w:numId="4">
    <w:abstractNumId w:val="12"/>
  </w:num>
  <w:num w:numId="5">
    <w:abstractNumId w:val="11"/>
  </w:num>
  <w:num w:numId="6">
    <w:abstractNumId w:val="29"/>
  </w:num>
  <w:num w:numId="7">
    <w:abstractNumId w:val="10"/>
  </w:num>
  <w:num w:numId="8">
    <w:abstractNumId w:val="5"/>
  </w:num>
  <w:num w:numId="9">
    <w:abstractNumId w:val="32"/>
  </w:num>
  <w:num w:numId="10">
    <w:abstractNumId w:val="45"/>
  </w:num>
  <w:num w:numId="11">
    <w:abstractNumId w:val="36"/>
  </w:num>
  <w:num w:numId="12">
    <w:abstractNumId w:val="46"/>
  </w:num>
  <w:num w:numId="13">
    <w:abstractNumId w:val="44"/>
  </w:num>
  <w:num w:numId="14">
    <w:abstractNumId w:val="9"/>
  </w:num>
  <w:num w:numId="15">
    <w:abstractNumId w:val="30"/>
  </w:num>
  <w:num w:numId="16">
    <w:abstractNumId w:val="25"/>
  </w:num>
  <w:num w:numId="17">
    <w:abstractNumId w:val="20"/>
  </w:num>
  <w:num w:numId="18">
    <w:abstractNumId w:val="40"/>
  </w:num>
  <w:num w:numId="19">
    <w:abstractNumId w:val="17"/>
  </w:num>
  <w:num w:numId="20">
    <w:abstractNumId w:val="18"/>
  </w:num>
  <w:num w:numId="21">
    <w:abstractNumId w:val="33"/>
  </w:num>
  <w:num w:numId="22">
    <w:abstractNumId w:val="2"/>
  </w:num>
  <w:num w:numId="23">
    <w:abstractNumId w:val="48"/>
  </w:num>
  <w:num w:numId="24">
    <w:abstractNumId w:val="20"/>
  </w:num>
  <w:num w:numId="25">
    <w:abstractNumId w:val="20"/>
  </w:num>
  <w:num w:numId="26">
    <w:abstractNumId w:val="16"/>
  </w:num>
  <w:num w:numId="27">
    <w:abstractNumId w:val="41"/>
  </w:num>
  <w:num w:numId="28">
    <w:abstractNumId w:val="3"/>
  </w:num>
  <w:num w:numId="29">
    <w:abstractNumId w:val="6"/>
  </w:num>
  <w:num w:numId="30">
    <w:abstractNumId w:val="34"/>
  </w:num>
  <w:num w:numId="31">
    <w:abstractNumId w:val="0"/>
  </w:num>
  <w:num w:numId="32">
    <w:abstractNumId w:val="14"/>
  </w:num>
  <w:num w:numId="33">
    <w:abstractNumId w:val="24"/>
  </w:num>
  <w:num w:numId="34">
    <w:abstractNumId w:val="37"/>
  </w:num>
  <w:num w:numId="35">
    <w:abstractNumId w:val="39"/>
  </w:num>
  <w:num w:numId="36">
    <w:abstractNumId w:val="1"/>
  </w:num>
  <w:num w:numId="37">
    <w:abstractNumId w:val="38"/>
  </w:num>
  <w:num w:numId="38">
    <w:abstractNumId w:val="7"/>
  </w:num>
  <w:num w:numId="39">
    <w:abstractNumId w:val="43"/>
  </w:num>
  <w:num w:numId="40">
    <w:abstractNumId w:val="22"/>
  </w:num>
  <w:num w:numId="41">
    <w:abstractNumId w:val="42"/>
  </w:num>
  <w:num w:numId="42">
    <w:abstractNumId w:val="35"/>
  </w:num>
  <w:num w:numId="43">
    <w:abstractNumId w:val="47"/>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15"/>
  </w:num>
  <w:num w:numId="46">
    <w:abstractNumId w:val="8"/>
  </w:num>
  <w:num w:numId="47">
    <w:abstractNumId w:val="19"/>
  </w:num>
  <w:num w:numId="48">
    <w:abstractNumId w:val="13"/>
  </w:num>
  <w:num w:numId="49">
    <w:abstractNumId w:val="23"/>
  </w:num>
  <w:num w:numId="50">
    <w:abstractNumId w:val="31"/>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33D"/>
    <w:rsid w:val="00000AE6"/>
    <w:rsid w:val="000043D6"/>
    <w:rsid w:val="00005FEE"/>
    <w:rsid w:val="00007EB0"/>
    <w:rsid w:val="00012695"/>
    <w:rsid w:val="00014C4B"/>
    <w:rsid w:val="00016F01"/>
    <w:rsid w:val="00016F99"/>
    <w:rsid w:val="0001775A"/>
    <w:rsid w:val="000201AE"/>
    <w:rsid w:val="000218B6"/>
    <w:rsid w:val="00022BB1"/>
    <w:rsid w:val="00022ED5"/>
    <w:rsid w:val="00024B38"/>
    <w:rsid w:val="00026726"/>
    <w:rsid w:val="0002731C"/>
    <w:rsid w:val="00027386"/>
    <w:rsid w:val="00030BD8"/>
    <w:rsid w:val="000324C9"/>
    <w:rsid w:val="00032838"/>
    <w:rsid w:val="000329E9"/>
    <w:rsid w:val="00032E46"/>
    <w:rsid w:val="000330CF"/>
    <w:rsid w:val="00033B73"/>
    <w:rsid w:val="00034768"/>
    <w:rsid w:val="00037C7C"/>
    <w:rsid w:val="00040C6F"/>
    <w:rsid w:val="000410A5"/>
    <w:rsid w:val="000422DA"/>
    <w:rsid w:val="000430AE"/>
    <w:rsid w:val="00043838"/>
    <w:rsid w:val="00044A9D"/>
    <w:rsid w:val="00045354"/>
    <w:rsid w:val="000462B2"/>
    <w:rsid w:val="00046998"/>
    <w:rsid w:val="00047834"/>
    <w:rsid w:val="00052DE5"/>
    <w:rsid w:val="00055C1B"/>
    <w:rsid w:val="00056C6C"/>
    <w:rsid w:val="00056DC2"/>
    <w:rsid w:val="00056DFC"/>
    <w:rsid w:val="000603DB"/>
    <w:rsid w:val="000631DA"/>
    <w:rsid w:val="00063B11"/>
    <w:rsid w:val="00063E49"/>
    <w:rsid w:val="00076969"/>
    <w:rsid w:val="00080B55"/>
    <w:rsid w:val="00085D6F"/>
    <w:rsid w:val="00086488"/>
    <w:rsid w:val="00086DFB"/>
    <w:rsid w:val="00092A02"/>
    <w:rsid w:val="00092C71"/>
    <w:rsid w:val="0009379C"/>
    <w:rsid w:val="000944CD"/>
    <w:rsid w:val="00095170"/>
    <w:rsid w:val="00095FFB"/>
    <w:rsid w:val="000A15F7"/>
    <w:rsid w:val="000A2BF0"/>
    <w:rsid w:val="000A2DC5"/>
    <w:rsid w:val="000A35A2"/>
    <w:rsid w:val="000A579A"/>
    <w:rsid w:val="000A6107"/>
    <w:rsid w:val="000B2112"/>
    <w:rsid w:val="000B22C3"/>
    <w:rsid w:val="000B2729"/>
    <w:rsid w:val="000B2E52"/>
    <w:rsid w:val="000B3626"/>
    <w:rsid w:val="000B5532"/>
    <w:rsid w:val="000B59FF"/>
    <w:rsid w:val="000B6365"/>
    <w:rsid w:val="000B694A"/>
    <w:rsid w:val="000C0010"/>
    <w:rsid w:val="000C06F5"/>
    <w:rsid w:val="000C2617"/>
    <w:rsid w:val="000C3A21"/>
    <w:rsid w:val="000D046E"/>
    <w:rsid w:val="000D2640"/>
    <w:rsid w:val="000D2C26"/>
    <w:rsid w:val="000D5FF9"/>
    <w:rsid w:val="000D6002"/>
    <w:rsid w:val="000D6AC0"/>
    <w:rsid w:val="000E055A"/>
    <w:rsid w:val="000E129A"/>
    <w:rsid w:val="000E3F23"/>
    <w:rsid w:val="000E47BC"/>
    <w:rsid w:val="000F0CE7"/>
    <w:rsid w:val="000F1A2A"/>
    <w:rsid w:val="000F309E"/>
    <w:rsid w:val="000F3BD1"/>
    <w:rsid w:val="000F3E1E"/>
    <w:rsid w:val="000F6592"/>
    <w:rsid w:val="000F7BA7"/>
    <w:rsid w:val="001002C5"/>
    <w:rsid w:val="00100C88"/>
    <w:rsid w:val="00102F9E"/>
    <w:rsid w:val="0010495D"/>
    <w:rsid w:val="00105F5C"/>
    <w:rsid w:val="00110071"/>
    <w:rsid w:val="00111296"/>
    <w:rsid w:val="00111555"/>
    <w:rsid w:val="001211F2"/>
    <w:rsid w:val="00121F36"/>
    <w:rsid w:val="001228B3"/>
    <w:rsid w:val="00122936"/>
    <w:rsid w:val="00122A9C"/>
    <w:rsid w:val="00123FD3"/>
    <w:rsid w:val="0012491A"/>
    <w:rsid w:val="00124EE2"/>
    <w:rsid w:val="00126BDF"/>
    <w:rsid w:val="001271A7"/>
    <w:rsid w:val="00127F6E"/>
    <w:rsid w:val="001312BE"/>
    <w:rsid w:val="00131687"/>
    <w:rsid w:val="00133112"/>
    <w:rsid w:val="00134630"/>
    <w:rsid w:val="00134727"/>
    <w:rsid w:val="001365CA"/>
    <w:rsid w:val="00136838"/>
    <w:rsid w:val="00140819"/>
    <w:rsid w:val="00140948"/>
    <w:rsid w:val="00146362"/>
    <w:rsid w:val="001468CF"/>
    <w:rsid w:val="00147418"/>
    <w:rsid w:val="0015374C"/>
    <w:rsid w:val="00153D7B"/>
    <w:rsid w:val="0016350A"/>
    <w:rsid w:val="001636BF"/>
    <w:rsid w:val="00163AE4"/>
    <w:rsid w:val="00163C7F"/>
    <w:rsid w:val="00163ECC"/>
    <w:rsid w:val="00165121"/>
    <w:rsid w:val="001654F4"/>
    <w:rsid w:val="001670BC"/>
    <w:rsid w:val="001724BA"/>
    <w:rsid w:val="001735C0"/>
    <w:rsid w:val="0017569A"/>
    <w:rsid w:val="00176630"/>
    <w:rsid w:val="0017726A"/>
    <w:rsid w:val="00177ED7"/>
    <w:rsid w:val="0018004F"/>
    <w:rsid w:val="00183A1C"/>
    <w:rsid w:val="00190780"/>
    <w:rsid w:val="00191382"/>
    <w:rsid w:val="00192C56"/>
    <w:rsid w:val="0019482E"/>
    <w:rsid w:val="00195FC7"/>
    <w:rsid w:val="001A0790"/>
    <w:rsid w:val="001A26A9"/>
    <w:rsid w:val="001A2AB2"/>
    <w:rsid w:val="001B115C"/>
    <w:rsid w:val="001B13B9"/>
    <w:rsid w:val="001B3893"/>
    <w:rsid w:val="001B5F9B"/>
    <w:rsid w:val="001B6E91"/>
    <w:rsid w:val="001C0BC5"/>
    <w:rsid w:val="001C27C3"/>
    <w:rsid w:val="001C7082"/>
    <w:rsid w:val="001D16A9"/>
    <w:rsid w:val="001D1DC0"/>
    <w:rsid w:val="001D4C02"/>
    <w:rsid w:val="001D6126"/>
    <w:rsid w:val="001D6D31"/>
    <w:rsid w:val="001E06CB"/>
    <w:rsid w:val="001E1622"/>
    <w:rsid w:val="001E2DB0"/>
    <w:rsid w:val="001E54DD"/>
    <w:rsid w:val="001E623B"/>
    <w:rsid w:val="001E6EA4"/>
    <w:rsid w:val="001F0F70"/>
    <w:rsid w:val="001F4FB6"/>
    <w:rsid w:val="001F5D3D"/>
    <w:rsid w:val="001F7349"/>
    <w:rsid w:val="00200E63"/>
    <w:rsid w:val="002010C8"/>
    <w:rsid w:val="00202A47"/>
    <w:rsid w:val="00204946"/>
    <w:rsid w:val="00204A2F"/>
    <w:rsid w:val="00206A98"/>
    <w:rsid w:val="00207C73"/>
    <w:rsid w:val="00210496"/>
    <w:rsid w:val="002114F1"/>
    <w:rsid w:val="0021217E"/>
    <w:rsid w:val="002123EC"/>
    <w:rsid w:val="00215426"/>
    <w:rsid w:val="00217BBE"/>
    <w:rsid w:val="0022265D"/>
    <w:rsid w:val="00223C69"/>
    <w:rsid w:val="0022477F"/>
    <w:rsid w:val="002248F3"/>
    <w:rsid w:val="00225921"/>
    <w:rsid w:val="00225C10"/>
    <w:rsid w:val="0022602E"/>
    <w:rsid w:val="00226BB3"/>
    <w:rsid w:val="0023066A"/>
    <w:rsid w:val="002330A5"/>
    <w:rsid w:val="002341A1"/>
    <w:rsid w:val="00237171"/>
    <w:rsid w:val="002407D7"/>
    <w:rsid w:val="00241DD4"/>
    <w:rsid w:val="002430F8"/>
    <w:rsid w:val="00243850"/>
    <w:rsid w:val="00244309"/>
    <w:rsid w:val="002504E2"/>
    <w:rsid w:val="00250985"/>
    <w:rsid w:val="00251164"/>
    <w:rsid w:val="002529DB"/>
    <w:rsid w:val="00252F17"/>
    <w:rsid w:val="0025461F"/>
    <w:rsid w:val="00254B41"/>
    <w:rsid w:val="00254ED3"/>
    <w:rsid w:val="00260693"/>
    <w:rsid w:val="002642DC"/>
    <w:rsid w:val="002646D2"/>
    <w:rsid w:val="00265913"/>
    <w:rsid w:val="00266401"/>
    <w:rsid w:val="002667D9"/>
    <w:rsid w:val="00266C66"/>
    <w:rsid w:val="00277D4E"/>
    <w:rsid w:val="00280A4F"/>
    <w:rsid w:val="00282B1D"/>
    <w:rsid w:val="00283D1A"/>
    <w:rsid w:val="00285041"/>
    <w:rsid w:val="0028530F"/>
    <w:rsid w:val="002853EC"/>
    <w:rsid w:val="00291E78"/>
    <w:rsid w:val="002960FC"/>
    <w:rsid w:val="002962EE"/>
    <w:rsid w:val="00296648"/>
    <w:rsid w:val="002A0F36"/>
    <w:rsid w:val="002A10B1"/>
    <w:rsid w:val="002A47FA"/>
    <w:rsid w:val="002A7FD0"/>
    <w:rsid w:val="002B09B5"/>
    <w:rsid w:val="002B13C1"/>
    <w:rsid w:val="002B2A6A"/>
    <w:rsid w:val="002B5F9F"/>
    <w:rsid w:val="002B6511"/>
    <w:rsid w:val="002B6780"/>
    <w:rsid w:val="002B6E99"/>
    <w:rsid w:val="002C1645"/>
    <w:rsid w:val="002C3923"/>
    <w:rsid w:val="002C3F98"/>
    <w:rsid w:val="002C6C21"/>
    <w:rsid w:val="002C7D5C"/>
    <w:rsid w:val="002D003A"/>
    <w:rsid w:val="002D01A9"/>
    <w:rsid w:val="002D08B3"/>
    <w:rsid w:val="002D101E"/>
    <w:rsid w:val="002D15B6"/>
    <w:rsid w:val="002D1BA7"/>
    <w:rsid w:val="002D5680"/>
    <w:rsid w:val="002D7440"/>
    <w:rsid w:val="002E05F9"/>
    <w:rsid w:val="002E39A6"/>
    <w:rsid w:val="002E453F"/>
    <w:rsid w:val="002E68FA"/>
    <w:rsid w:val="002F0250"/>
    <w:rsid w:val="002F19D2"/>
    <w:rsid w:val="002F3659"/>
    <w:rsid w:val="002F4532"/>
    <w:rsid w:val="002F6099"/>
    <w:rsid w:val="00300114"/>
    <w:rsid w:val="003024F7"/>
    <w:rsid w:val="003033E4"/>
    <w:rsid w:val="003048DA"/>
    <w:rsid w:val="00304A40"/>
    <w:rsid w:val="0031047A"/>
    <w:rsid w:val="00311ECB"/>
    <w:rsid w:val="00312846"/>
    <w:rsid w:val="00314F61"/>
    <w:rsid w:val="003168CC"/>
    <w:rsid w:val="003230CB"/>
    <w:rsid w:val="00323DBD"/>
    <w:rsid w:val="003250DE"/>
    <w:rsid w:val="003256DF"/>
    <w:rsid w:val="00326DC9"/>
    <w:rsid w:val="003278D6"/>
    <w:rsid w:val="00330814"/>
    <w:rsid w:val="003318F0"/>
    <w:rsid w:val="003326CD"/>
    <w:rsid w:val="00333D51"/>
    <w:rsid w:val="0034386A"/>
    <w:rsid w:val="00347FCC"/>
    <w:rsid w:val="00352685"/>
    <w:rsid w:val="003574BF"/>
    <w:rsid w:val="0036074C"/>
    <w:rsid w:val="0036074D"/>
    <w:rsid w:val="00361A51"/>
    <w:rsid w:val="003664C9"/>
    <w:rsid w:val="003671DF"/>
    <w:rsid w:val="003705A2"/>
    <w:rsid w:val="00374890"/>
    <w:rsid w:val="00377314"/>
    <w:rsid w:val="00381684"/>
    <w:rsid w:val="00383939"/>
    <w:rsid w:val="00384376"/>
    <w:rsid w:val="00384666"/>
    <w:rsid w:val="00384F6E"/>
    <w:rsid w:val="00385EBA"/>
    <w:rsid w:val="00386E9F"/>
    <w:rsid w:val="00390062"/>
    <w:rsid w:val="00396464"/>
    <w:rsid w:val="003A07AF"/>
    <w:rsid w:val="003A0FB4"/>
    <w:rsid w:val="003A3C6D"/>
    <w:rsid w:val="003A5325"/>
    <w:rsid w:val="003A551B"/>
    <w:rsid w:val="003B2330"/>
    <w:rsid w:val="003B2863"/>
    <w:rsid w:val="003B32E1"/>
    <w:rsid w:val="003B338C"/>
    <w:rsid w:val="003B4785"/>
    <w:rsid w:val="003B6B84"/>
    <w:rsid w:val="003C1F4C"/>
    <w:rsid w:val="003C3568"/>
    <w:rsid w:val="003C3DE4"/>
    <w:rsid w:val="003C682C"/>
    <w:rsid w:val="003D14AA"/>
    <w:rsid w:val="003D2E73"/>
    <w:rsid w:val="003D3E59"/>
    <w:rsid w:val="003D671F"/>
    <w:rsid w:val="003D7D62"/>
    <w:rsid w:val="003E1487"/>
    <w:rsid w:val="003E1799"/>
    <w:rsid w:val="003E2F84"/>
    <w:rsid w:val="003E35E2"/>
    <w:rsid w:val="003E395B"/>
    <w:rsid w:val="003E399F"/>
    <w:rsid w:val="003E436B"/>
    <w:rsid w:val="003E474E"/>
    <w:rsid w:val="003E7F89"/>
    <w:rsid w:val="003F2D0E"/>
    <w:rsid w:val="003F3E98"/>
    <w:rsid w:val="003F4D73"/>
    <w:rsid w:val="003F7530"/>
    <w:rsid w:val="00400D96"/>
    <w:rsid w:val="00402072"/>
    <w:rsid w:val="00403EA8"/>
    <w:rsid w:val="0040568B"/>
    <w:rsid w:val="0040630F"/>
    <w:rsid w:val="0040716D"/>
    <w:rsid w:val="004137C9"/>
    <w:rsid w:val="00414222"/>
    <w:rsid w:val="00414E21"/>
    <w:rsid w:val="00415C2F"/>
    <w:rsid w:val="00415EAB"/>
    <w:rsid w:val="00416296"/>
    <w:rsid w:val="00421EAB"/>
    <w:rsid w:val="00423543"/>
    <w:rsid w:val="00423B0B"/>
    <w:rsid w:val="00424402"/>
    <w:rsid w:val="00425480"/>
    <w:rsid w:val="00426967"/>
    <w:rsid w:val="00426F46"/>
    <w:rsid w:val="00427335"/>
    <w:rsid w:val="004326E0"/>
    <w:rsid w:val="00434435"/>
    <w:rsid w:val="00434B40"/>
    <w:rsid w:val="00435182"/>
    <w:rsid w:val="00436690"/>
    <w:rsid w:val="00443B03"/>
    <w:rsid w:val="0044571F"/>
    <w:rsid w:val="00446377"/>
    <w:rsid w:val="00446793"/>
    <w:rsid w:val="00450D07"/>
    <w:rsid w:val="00452BFF"/>
    <w:rsid w:val="00452F0E"/>
    <w:rsid w:val="00453E71"/>
    <w:rsid w:val="0045402B"/>
    <w:rsid w:val="00455CFD"/>
    <w:rsid w:val="00456B13"/>
    <w:rsid w:val="00463269"/>
    <w:rsid w:val="0046392B"/>
    <w:rsid w:val="00463E35"/>
    <w:rsid w:val="00465F97"/>
    <w:rsid w:val="00466BE1"/>
    <w:rsid w:val="00470465"/>
    <w:rsid w:val="00474563"/>
    <w:rsid w:val="004776B9"/>
    <w:rsid w:val="00480AB5"/>
    <w:rsid w:val="00481011"/>
    <w:rsid w:val="0048185C"/>
    <w:rsid w:val="00485359"/>
    <w:rsid w:val="00485782"/>
    <w:rsid w:val="004913BF"/>
    <w:rsid w:val="00491AD1"/>
    <w:rsid w:val="00492D11"/>
    <w:rsid w:val="00493D60"/>
    <w:rsid w:val="004974E6"/>
    <w:rsid w:val="00497A10"/>
    <w:rsid w:val="004A0B84"/>
    <w:rsid w:val="004A2CEE"/>
    <w:rsid w:val="004A344C"/>
    <w:rsid w:val="004A645A"/>
    <w:rsid w:val="004A64B4"/>
    <w:rsid w:val="004A7947"/>
    <w:rsid w:val="004A7EF8"/>
    <w:rsid w:val="004B004C"/>
    <w:rsid w:val="004B2690"/>
    <w:rsid w:val="004B5700"/>
    <w:rsid w:val="004B621D"/>
    <w:rsid w:val="004B6AD4"/>
    <w:rsid w:val="004B7CDD"/>
    <w:rsid w:val="004C5C4F"/>
    <w:rsid w:val="004C620B"/>
    <w:rsid w:val="004C79A4"/>
    <w:rsid w:val="004D01B8"/>
    <w:rsid w:val="004D19E0"/>
    <w:rsid w:val="004D1AD5"/>
    <w:rsid w:val="004D2537"/>
    <w:rsid w:val="004D4AEA"/>
    <w:rsid w:val="004D4C3D"/>
    <w:rsid w:val="004D600A"/>
    <w:rsid w:val="004E074D"/>
    <w:rsid w:val="004E34CF"/>
    <w:rsid w:val="004F0124"/>
    <w:rsid w:val="004F0E6C"/>
    <w:rsid w:val="004F3053"/>
    <w:rsid w:val="004F4343"/>
    <w:rsid w:val="004F4CCA"/>
    <w:rsid w:val="004F4FFA"/>
    <w:rsid w:val="004F57F8"/>
    <w:rsid w:val="004F75D0"/>
    <w:rsid w:val="005050D5"/>
    <w:rsid w:val="00505C2A"/>
    <w:rsid w:val="00506648"/>
    <w:rsid w:val="00512A69"/>
    <w:rsid w:val="005131F0"/>
    <w:rsid w:val="00514E54"/>
    <w:rsid w:val="0051573E"/>
    <w:rsid w:val="00521342"/>
    <w:rsid w:val="005238D2"/>
    <w:rsid w:val="00523E14"/>
    <w:rsid w:val="00527D11"/>
    <w:rsid w:val="0053053F"/>
    <w:rsid w:val="005323E9"/>
    <w:rsid w:val="00533FD5"/>
    <w:rsid w:val="0053624C"/>
    <w:rsid w:val="005378DF"/>
    <w:rsid w:val="00544186"/>
    <w:rsid w:val="00544768"/>
    <w:rsid w:val="0054631D"/>
    <w:rsid w:val="0054724E"/>
    <w:rsid w:val="005508BD"/>
    <w:rsid w:val="00550E08"/>
    <w:rsid w:val="00552458"/>
    <w:rsid w:val="00552480"/>
    <w:rsid w:val="00553D45"/>
    <w:rsid w:val="005542B8"/>
    <w:rsid w:val="00554716"/>
    <w:rsid w:val="00554D51"/>
    <w:rsid w:val="00561055"/>
    <w:rsid w:val="00562B07"/>
    <w:rsid w:val="00562C29"/>
    <w:rsid w:val="00564D62"/>
    <w:rsid w:val="00565315"/>
    <w:rsid w:val="0056573A"/>
    <w:rsid w:val="00565AB6"/>
    <w:rsid w:val="00565B72"/>
    <w:rsid w:val="00567A9A"/>
    <w:rsid w:val="005718A5"/>
    <w:rsid w:val="00571B24"/>
    <w:rsid w:val="00574616"/>
    <w:rsid w:val="005748FE"/>
    <w:rsid w:val="0057495B"/>
    <w:rsid w:val="00576DFE"/>
    <w:rsid w:val="0057774E"/>
    <w:rsid w:val="0057786D"/>
    <w:rsid w:val="00577EDF"/>
    <w:rsid w:val="005833B9"/>
    <w:rsid w:val="00587962"/>
    <w:rsid w:val="00587F30"/>
    <w:rsid w:val="00591630"/>
    <w:rsid w:val="00592576"/>
    <w:rsid w:val="00593BF7"/>
    <w:rsid w:val="005941E1"/>
    <w:rsid w:val="0059734E"/>
    <w:rsid w:val="005A5C1D"/>
    <w:rsid w:val="005A60B9"/>
    <w:rsid w:val="005A743A"/>
    <w:rsid w:val="005A7BE0"/>
    <w:rsid w:val="005B22D9"/>
    <w:rsid w:val="005B7123"/>
    <w:rsid w:val="005C2969"/>
    <w:rsid w:val="005C37A6"/>
    <w:rsid w:val="005C3C75"/>
    <w:rsid w:val="005C6D5F"/>
    <w:rsid w:val="005C701A"/>
    <w:rsid w:val="005C7AB3"/>
    <w:rsid w:val="005D0304"/>
    <w:rsid w:val="005D3718"/>
    <w:rsid w:val="005D435B"/>
    <w:rsid w:val="005D53F7"/>
    <w:rsid w:val="005D6649"/>
    <w:rsid w:val="005D7020"/>
    <w:rsid w:val="005D7A53"/>
    <w:rsid w:val="005E1164"/>
    <w:rsid w:val="005E4036"/>
    <w:rsid w:val="005E4C84"/>
    <w:rsid w:val="005E5F1D"/>
    <w:rsid w:val="005F0577"/>
    <w:rsid w:val="005F172F"/>
    <w:rsid w:val="005F42EE"/>
    <w:rsid w:val="005F5DF4"/>
    <w:rsid w:val="005F6428"/>
    <w:rsid w:val="005F6BAC"/>
    <w:rsid w:val="00601EBA"/>
    <w:rsid w:val="00610402"/>
    <w:rsid w:val="00610833"/>
    <w:rsid w:val="00611A4D"/>
    <w:rsid w:val="0061258F"/>
    <w:rsid w:val="00613E7B"/>
    <w:rsid w:val="006175DC"/>
    <w:rsid w:val="0062007F"/>
    <w:rsid w:val="006208F9"/>
    <w:rsid w:val="00620E71"/>
    <w:rsid w:val="006210C2"/>
    <w:rsid w:val="006239C9"/>
    <w:rsid w:val="00624040"/>
    <w:rsid w:val="00625D6C"/>
    <w:rsid w:val="00631591"/>
    <w:rsid w:val="00634601"/>
    <w:rsid w:val="00634FF0"/>
    <w:rsid w:val="006357FB"/>
    <w:rsid w:val="00635A7C"/>
    <w:rsid w:val="006418AE"/>
    <w:rsid w:val="00643F26"/>
    <w:rsid w:val="00644F26"/>
    <w:rsid w:val="00645119"/>
    <w:rsid w:val="00647B94"/>
    <w:rsid w:val="0065030A"/>
    <w:rsid w:val="006503AB"/>
    <w:rsid w:val="0065058D"/>
    <w:rsid w:val="00652397"/>
    <w:rsid w:val="00652609"/>
    <w:rsid w:val="0065425A"/>
    <w:rsid w:val="006550E7"/>
    <w:rsid w:val="00657CD6"/>
    <w:rsid w:val="006630B6"/>
    <w:rsid w:val="00663C9A"/>
    <w:rsid w:val="0067026E"/>
    <w:rsid w:val="00670AEE"/>
    <w:rsid w:val="006727CA"/>
    <w:rsid w:val="00672E84"/>
    <w:rsid w:val="00673E01"/>
    <w:rsid w:val="006752F6"/>
    <w:rsid w:val="006802EF"/>
    <w:rsid w:val="006823C3"/>
    <w:rsid w:val="006825F2"/>
    <w:rsid w:val="006826B2"/>
    <w:rsid w:val="00684532"/>
    <w:rsid w:val="00685CF1"/>
    <w:rsid w:val="0068655F"/>
    <w:rsid w:val="00691BE2"/>
    <w:rsid w:val="00694F60"/>
    <w:rsid w:val="006967C8"/>
    <w:rsid w:val="006A05FB"/>
    <w:rsid w:val="006A0EBB"/>
    <w:rsid w:val="006A5128"/>
    <w:rsid w:val="006A583E"/>
    <w:rsid w:val="006A66D4"/>
    <w:rsid w:val="006B4444"/>
    <w:rsid w:val="006B49D5"/>
    <w:rsid w:val="006B6285"/>
    <w:rsid w:val="006C03D7"/>
    <w:rsid w:val="006C0777"/>
    <w:rsid w:val="006C0888"/>
    <w:rsid w:val="006C38BF"/>
    <w:rsid w:val="006C569C"/>
    <w:rsid w:val="006C6A19"/>
    <w:rsid w:val="006D1265"/>
    <w:rsid w:val="006D1480"/>
    <w:rsid w:val="006D19E4"/>
    <w:rsid w:val="006D4174"/>
    <w:rsid w:val="006E15EA"/>
    <w:rsid w:val="006E222F"/>
    <w:rsid w:val="006E4145"/>
    <w:rsid w:val="006E4B75"/>
    <w:rsid w:val="006E6A90"/>
    <w:rsid w:val="006F6913"/>
    <w:rsid w:val="006F6C05"/>
    <w:rsid w:val="006F74F6"/>
    <w:rsid w:val="00700196"/>
    <w:rsid w:val="007020D3"/>
    <w:rsid w:val="0070223F"/>
    <w:rsid w:val="00702EF7"/>
    <w:rsid w:val="00704E26"/>
    <w:rsid w:val="007060F0"/>
    <w:rsid w:val="00711280"/>
    <w:rsid w:val="00712E3F"/>
    <w:rsid w:val="00717A79"/>
    <w:rsid w:val="0072092B"/>
    <w:rsid w:val="0073060A"/>
    <w:rsid w:val="007328C0"/>
    <w:rsid w:val="00733B48"/>
    <w:rsid w:val="00733EC5"/>
    <w:rsid w:val="007366EB"/>
    <w:rsid w:val="00741547"/>
    <w:rsid w:val="007422E3"/>
    <w:rsid w:val="00742770"/>
    <w:rsid w:val="00742CED"/>
    <w:rsid w:val="00743617"/>
    <w:rsid w:val="00743A04"/>
    <w:rsid w:val="00744E6B"/>
    <w:rsid w:val="0074638D"/>
    <w:rsid w:val="00746F83"/>
    <w:rsid w:val="007510F4"/>
    <w:rsid w:val="00751C08"/>
    <w:rsid w:val="00753EB6"/>
    <w:rsid w:val="007562E4"/>
    <w:rsid w:val="00757D06"/>
    <w:rsid w:val="007605C2"/>
    <w:rsid w:val="00760CF4"/>
    <w:rsid w:val="007669D4"/>
    <w:rsid w:val="00770264"/>
    <w:rsid w:val="0077225F"/>
    <w:rsid w:val="007728E8"/>
    <w:rsid w:val="0077334D"/>
    <w:rsid w:val="0077337A"/>
    <w:rsid w:val="00774992"/>
    <w:rsid w:val="00775053"/>
    <w:rsid w:val="00776051"/>
    <w:rsid w:val="00776B64"/>
    <w:rsid w:val="00780C75"/>
    <w:rsid w:val="00781B60"/>
    <w:rsid w:val="00785111"/>
    <w:rsid w:val="00785B77"/>
    <w:rsid w:val="00786B92"/>
    <w:rsid w:val="007929A9"/>
    <w:rsid w:val="0079354B"/>
    <w:rsid w:val="00795F4D"/>
    <w:rsid w:val="00796DE0"/>
    <w:rsid w:val="00797B1C"/>
    <w:rsid w:val="007A044B"/>
    <w:rsid w:val="007A09EC"/>
    <w:rsid w:val="007A0F4E"/>
    <w:rsid w:val="007A137C"/>
    <w:rsid w:val="007B093E"/>
    <w:rsid w:val="007B1192"/>
    <w:rsid w:val="007B1BD4"/>
    <w:rsid w:val="007B4814"/>
    <w:rsid w:val="007B49C0"/>
    <w:rsid w:val="007B6616"/>
    <w:rsid w:val="007B710C"/>
    <w:rsid w:val="007C0CCA"/>
    <w:rsid w:val="007C0D87"/>
    <w:rsid w:val="007C304D"/>
    <w:rsid w:val="007C3365"/>
    <w:rsid w:val="007C5A77"/>
    <w:rsid w:val="007C7D78"/>
    <w:rsid w:val="007D156F"/>
    <w:rsid w:val="007D1DFE"/>
    <w:rsid w:val="007D2478"/>
    <w:rsid w:val="007D4E96"/>
    <w:rsid w:val="007E6DFA"/>
    <w:rsid w:val="007F2504"/>
    <w:rsid w:val="007F3162"/>
    <w:rsid w:val="007F50A4"/>
    <w:rsid w:val="008015D2"/>
    <w:rsid w:val="00803A40"/>
    <w:rsid w:val="00804B20"/>
    <w:rsid w:val="00804B93"/>
    <w:rsid w:val="00804EA2"/>
    <w:rsid w:val="0080552D"/>
    <w:rsid w:val="00806B31"/>
    <w:rsid w:val="00807B3F"/>
    <w:rsid w:val="00811363"/>
    <w:rsid w:val="00811FD6"/>
    <w:rsid w:val="008124F3"/>
    <w:rsid w:val="00812FFC"/>
    <w:rsid w:val="008155DB"/>
    <w:rsid w:val="00815681"/>
    <w:rsid w:val="00817077"/>
    <w:rsid w:val="0082354F"/>
    <w:rsid w:val="008247C3"/>
    <w:rsid w:val="00825478"/>
    <w:rsid w:val="00826B4E"/>
    <w:rsid w:val="0082700F"/>
    <w:rsid w:val="0083007C"/>
    <w:rsid w:val="00830C54"/>
    <w:rsid w:val="00830E90"/>
    <w:rsid w:val="008318F1"/>
    <w:rsid w:val="0083482E"/>
    <w:rsid w:val="00835239"/>
    <w:rsid w:val="00836010"/>
    <w:rsid w:val="00837FB3"/>
    <w:rsid w:val="00844445"/>
    <w:rsid w:val="0084490C"/>
    <w:rsid w:val="0084495C"/>
    <w:rsid w:val="00844AA7"/>
    <w:rsid w:val="008458C3"/>
    <w:rsid w:val="00845AA7"/>
    <w:rsid w:val="00845EFE"/>
    <w:rsid w:val="008476FD"/>
    <w:rsid w:val="0085161A"/>
    <w:rsid w:val="008522ED"/>
    <w:rsid w:val="00853398"/>
    <w:rsid w:val="0086053F"/>
    <w:rsid w:val="00860DC0"/>
    <w:rsid w:val="00863B8C"/>
    <w:rsid w:val="008654B9"/>
    <w:rsid w:val="00865B6D"/>
    <w:rsid w:val="00866218"/>
    <w:rsid w:val="00870BEA"/>
    <w:rsid w:val="00870D1C"/>
    <w:rsid w:val="00870E85"/>
    <w:rsid w:val="00870ED3"/>
    <w:rsid w:val="008713A5"/>
    <w:rsid w:val="00877CC5"/>
    <w:rsid w:val="0088027C"/>
    <w:rsid w:val="008803C8"/>
    <w:rsid w:val="00881B57"/>
    <w:rsid w:val="00882496"/>
    <w:rsid w:val="008825C2"/>
    <w:rsid w:val="008841DB"/>
    <w:rsid w:val="0088539F"/>
    <w:rsid w:val="00885D7C"/>
    <w:rsid w:val="008928D2"/>
    <w:rsid w:val="008A1A5F"/>
    <w:rsid w:val="008A22ED"/>
    <w:rsid w:val="008A5356"/>
    <w:rsid w:val="008A5534"/>
    <w:rsid w:val="008A5643"/>
    <w:rsid w:val="008A711A"/>
    <w:rsid w:val="008A7848"/>
    <w:rsid w:val="008B0046"/>
    <w:rsid w:val="008B017F"/>
    <w:rsid w:val="008B1DD5"/>
    <w:rsid w:val="008B2C90"/>
    <w:rsid w:val="008B5B9B"/>
    <w:rsid w:val="008B6112"/>
    <w:rsid w:val="008B6359"/>
    <w:rsid w:val="008B66D2"/>
    <w:rsid w:val="008B7528"/>
    <w:rsid w:val="008C0503"/>
    <w:rsid w:val="008C0F09"/>
    <w:rsid w:val="008C228A"/>
    <w:rsid w:val="008C49A6"/>
    <w:rsid w:val="008C56F8"/>
    <w:rsid w:val="008D0E01"/>
    <w:rsid w:val="008D217C"/>
    <w:rsid w:val="008D247D"/>
    <w:rsid w:val="008D2560"/>
    <w:rsid w:val="008D5A28"/>
    <w:rsid w:val="008D69CE"/>
    <w:rsid w:val="008E1C9F"/>
    <w:rsid w:val="008E25C7"/>
    <w:rsid w:val="008E445F"/>
    <w:rsid w:val="008E75FC"/>
    <w:rsid w:val="008E7EB4"/>
    <w:rsid w:val="008F07CE"/>
    <w:rsid w:val="008F302F"/>
    <w:rsid w:val="008F458F"/>
    <w:rsid w:val="008F6AA0"/>
    <w:rsid w:val="00910F17"/>
    <w:rsid w:val="00911D5A"/>
    <w:rsid w:val="009135F9"/>
    <w:rsid w:val="009145A2"/>
    <w:rsid w:val="00914976"/>
    <w:rsid w:val="00915A33"/>
    <w:rsid w:val="00916060"/>
    <w:rsid w:val="00916AAA"/>
    <w:rsid w:val="009170CC"/>
    <w:rsid w:val="00921D12"/>
    <w:rsid w:val="00922097"/>
    <w:rsid w:val="009222AD"/>
    <w:rsid w:val="00924CC9"/>
    <w:rsid w:val="0092540E"/>
    <w:rsid w:val="00926BB2"/>
    <w:rsid w:val="0093075A"/>
    <w:rsid w:val="0093196C"/>
    <w:rsid w:val="00931BC1"/>
    <w:rsid w:val="00932043"/>
    <w:rsid w:val="00932D57"/>
    <w:rsid w:val="00936123"/>
    <w:rsid w:val="009363A0"/>
    <w:rsid w:val="0093761D"/>
    <w:rsid w:val="009403D0"/>
    <w:rsid w:val="00942E7F"/>
    <w:rsid w:val="0095037A"/>
    <w:rsid w:val="009520C1"/>
    <w:rsid w:val="009533A5"/>
    <w:rsid w:val="00953841"/>
    <w:rsid w:val="00954943"/>
    <w:rsid w:val="0095673C"/>
    <w:rsid w:val="00956A1C"/>
    <w:rsid w:val="00962B7F"/>
    <w:rsid w:val="0096655C"/>
    <w:rsid w:val="009665AD"/>
    <w:rsid w:val="00972185"/>
    <w:rsid w:val="00972227"/>
    <w:rsid w:val="009732D4"/>
    <w:rsid w:val="00974ACA"/>
    <w:rsid w:val="0097535E"/>
    <w:rsid w:val="00975C92"/>
    <w:rsid w:val="00975F78"/>
    <w:rsid w:val="00983DD6"/>
    <w:rsid w:val="00984308"/>
    <w:rsid w:val="00984B4D"/>
    <w:rsid w:val="00985A96"/>
    <w:rsid w:val="009924AC"/>
    <w:rsid w:val="00992809"/>
    <w:rsid w:val="009965FD"/>
    <w:rsid w:val="0099794A"/>
    <w:rsid w:val="00997B46"/>
    <w:rsid w:val="00997DB1"/>
    <w:rsid w:val="00997F76"/>
    <w:rsid w:val="009A198B"/>
    <w:rsid w:val="009B2935"/>
    <w:rsid w:val="009C19B4"/>
    <w:rsid w:val="009C2504"/>
    <w:rsid w:val="009C2EC8"/>
    <w:rsid w:val="009C4C28"/>
    <w:rsid w:val="009D1F0D"/>
    <w:rsid w:val="009D3E18"/>
    <w:rsid w:val="009E216B"/>
    <w:rsid w:val="009E6405"/>
    <w:rsid w:val="009F2795"/>
    <w:rsid w:val="009F2989"/>
    <w:rsid w:val="009F2DFF"/>
    <w:rsid w:val="009F665E"/>
    <w:rsid w:val="009F79EF"/>
    <w:rsid w:val="00A00162"/>
    <w:rsid w:val="00A0071B"/>
    <w:rsid w:val="00A0152D"/>
    <w:rsid w:val="00A01D19"/>
    <w:rsid w:val="00A03AB9"/>
    <w:rsid w:val="00A047B5"/>
    <w:rsid w:val="00A0568A"/>
    <w:rsid w:val="00A07FC3"/>
    <w:rsid w:val="00A10194"/>
    <w:rsid w:val="00A122B0"/>
    <w:rsid w:val="00A14B1D"/>
    <w:rsid w:val="00A15209"/>
    <w:rsid w:val="00A152C7"/>
    <w:rsid w:val="00A159F9"/>
    <w:rsid w:val="00A15E5C"/>
    <w:rsid w:val="00A160F2"/>
    <w:rsid w:val="00A16AE2"/>
    <w:rsid w:val="00A208EB"/>
    <w:rsid w:val="00A22BB0"/>
    <w:rsid w:val="00A26AEF"/>
    <w:rsid w:val="00A305CC"/>
    <w:rsid w:val="00A32B98"/>
    <w:rsid w:val="00A358FD"/>
    <w:rsid w:val="00A37033"/>
    <w:rsid w:val="00A37816"/>
    <w:rsid w:val="00A40D5C"/>
    <w:rsid w:val="00A43FF9"/>
    <w:rsid w:val="00A450CC"/>
    <w:rsid w:val="00A45615"/>
    <w:rsid w:val="00A46297"/>
    <w:rsid w:val="00A4657A"/>
    <w:rsid w:val="00A469B5"/>
    <w:rsid w:val="00A51D19"/>
    <w:rsid w:val="00A55057"/>
    <w:rsid w:val="00A56BEA"/>
    <w:rsid w:val="00A60055"/>
    <w:rsid w:val="00A62037"/>
    <w:rsid w:val="00A64327"/>
    <w:rsid w:val="00A66958"/>
    <w:rsid w:val="00A66DF3"/>
    <w:rsid w:val="00A66F30"/>
    <w:rsid w:val="00A67695"/>
    <w:rsid w:val="00A70675"/>
    <w:rsid w:val="00A70D00"/>
    <w:rsid w:val="00A72227"/>
    <w:rsid w:val="00A75EC2"/>
    <w:rsid w:val="00A82561"/>
    <w:rsid w:val="00A84D39"/>
    <w:rsid w:val="00A84F11"/>
    <w:rsid w:val="00A866E6"/>
    <w:rsid w:val="00A90FA4"/>
    <w:rsid w:val="00A94115"/>
    <w:rsid w:val="00A947D7"/>
    <w:rsid w:val="00A96F6A"/>
    <w:rsid w:val="00AA08EC"/>
    <w:rsid w:val="00AA19BB"/>
    <w:rsid w:val="00AA2735"/>
    <w:rsid w:val="00AA37DB"/>
    <w:rsid w:val="00AB0A7D"/>
    <w:rsid w:val="00AB1F92"/>
    <w:rsid w:val="00AB3FCB"/>
    <w:rsid w:val="00AB533D"/>
    <w:rsid w:val="00AB7A5D"/>
    <w:rsid w:val="00AB7BB7"/>
    <w:rsid w:val="00AC031B"/>
    <w:rsid w:val="00AC199A"/>
    <w:rsid w:val="00AC2996"/>
    <w:rsid w:val="00AC3F07"/>
    <w:rsid w:val="00AC3F83"/>
    <w:rsid w:val="00AC4235"/>
    <w:rsid w:val="00AC55FD"/>
    <w:rsid w:val="00AD31BC"/>
    <w:rsid w:val="00AD62C5"/>
    <w:rsid w:val="00AD6534"/>
    <w:rsid w:val="00AD78E5"/>
    <w:rsid w:val="00AE0E74"/>
    <w:rsid w:val="00AE0FFA"/>
    <w:rsid w:val="00AE15B6"/>
    <w:rsid w:val="00AE287A"/>
    <w:rsid w:val="00AE2D97"/>
    <w:rsid w:val="00AE3364"/>
    <w:rsid w:val="00AE59D9"/>
    <w:rsid w:val="00AE7E64"/>
    <w:rsid w:val="00AF25E3"/>
    <w:rsid w:val="00AF3144"/>
    <w:rsid w:val="00AF47CF"/>
    <w:rsid w:val="00B01A7A"/>
    <w:rsid w:val="00B02043"/>
    <w:rsid w:val="00B02340"/>
    <w:rsid w:val="00B030E2"/>
    <w:rsid w:val="00B05EE3"/>
    <w:rsid w:val="00B067E0"/>
    <w:rsid w:val="00B105D3"/>
    <w:rsid w:val="00B114D3"/>
    <w:rsid w:val="00B12376"/>
    <w:rsid w:val="00B1355F"/>
    <w:rsid w:val="00B15B19"/>
    <w:rsid w:val="00B20154"/>
    <w:rsid w:val="00B212B8"/>
    <w:rsid w:val="00B24DA9"/>
    <w:rsid w:val="00B27510"/>
    <w:rsid w:val="00B31081"/>
    <w:rsid w:val="00B31959"/>
    <w:rsid w:val="00B3501B"/>
    <w:rsid w:val="00B41ACA"/>
    <w:rsid w:val="00B44A68"/>
    <w:rsid w:val="00B458A3"/>
    <w:rsid w:val="00B46846"/>
    <w:rsid w:val="00B51A76"/>
    <w:rsid w:val="00B51CA2"/>
    <w:rsid w:val="00B52C31"/>
    <w:rsid w:val="00B57341"/>
    <w:rsid w:val="00B60553"/>
    <w:rsid w:val="00B64E68"/>
    <w:rsid w:val="00B6556D"/>
    <w:rsid w:val="00B659DF"/>
    <w:rsid w:val="00B71A97"/>
    <w:rsid w:val="00B73A23"/>
    <w:rsid w:val="00B77BD4"/>
    <w:rsid w:val="00B80300"/>
    <w:rsid w:val="00B81227"/>
    <w:rsid w:val="00B81F29"/>
    <w:rsid w:val="00B830BA"/>
    <w:rsid w:val="00B84194"/>
    <w:rsid w:val="00B84421"/>
    <w:rsid w:val="00B9215B"/>
    <w:rsid w:val="00B9522A"/>
    <w:rsid w:val="00B95F6B"/>
    <w:rsid w:val="00B97B6E"/>
    <w:rsid w:val="00BA0BC1"/>
    <w:rsid w:val="00BA1792"/>
    <w:rsid w:val="00BA3189"/>
    <w:rsid w:val="00BA4FF9"/>
    <w:rsid w:val="00BA58FC"/>
    <w:rsid w:val="00BA6EB3"/>
    <w:rsid w:val="00BB1F01"/>
    <w:rsid w:val="00BB27C5"/>
    <w:rsid w:val="00BB387D"/>
    <w:rsid w:val="00BC0D22"/>
    <w:rsid w:val="00BC0D6F"/>
    <w:rsid w:val="00BC10FC"/>
    <w:rsid w:val="00BC27C2"/>
    <w:rsid w:val="00BC2BFB"/>
    <w:rsid w:val="00BC43FF"/>
    <w:rsid w:val="00BC45EB"/>
    <w:rsid w:val="00BC5946"/>
    <w:rsid w:val="00BC69B9"/>
    <w:rsid w:val="00BC6A8D"/>
    <w:rsid w:val="00BD2DB3"/>
    <w:rsid w:val="00BE0C68"/>
    <w:rsid w:val="00BE5F98"/>
    <w:rsid w:val="00BF1BB5"/>
    <w:rsid w:val="00BF22F5"/>
    <w:rsid w:val="00BF5B12"/>
    <w:rsid w:val="00BF6437"/>
    <w:rsid w:val="00C007F6"/>
    <w:rsid w:val="00C0237D"/>
    <w:rsid w:val="00C03925"/>
    <w:rsid w:val="00C04002"/>
    <w:rsid w:val="00C047E7"/>
    <w:rsid w:val="00C06282"/>
    <w:rsid w:val="00C06A9C"/>
    <w:rsid w:val="00C07ED1"/>
    <w:rsid w:val="00C1076B"/>
    <w:rsid w:val="00C108F9"/>
    <w:rsid w:val="00C16BD6"/>
    <w:rsid w:val="00C17D45"/>
    <w:rsid w:val="00C17D9F"/>
    <w:rsid w:val="00C17ED3"/>
    <w:rsid w:val="00C2276F"/>
    <w:rsid w:val="00C23D4E"/>
    <w:rsid w:val="00C23EC1"/>
    <w:rsid w:val="00C2447B"/>
    <w:rsid w:val="00C25632"/>
    <w:rsid w:val="00C312AF"/>
    <w:rsid w:val="00C336E1"/>
    <w:rsid w:val="00C3411D"/>
    <w:rsid w:val="00C3551A"/>
    <w:rsid w:val="00C36E59"/>
    <w:rsid w:val="00C41329"/>
    <w:rsid w:val="00C4177F"/>
    <w:rsid w:val="00C464F8"/>
    <w:rsid w:val="00C500CD"/>
    <w:rsid w:val="00C50E0D"/>
    <w:rsid w:val="00C56099"/>
    <w:rsid w:val="00C56A87"/>
    <w:rsid w:val="00C57B96"/>
    <w:rsid w:val="00C619FF"/>
    <w:rsid w:val="00C62FA1"/>
    <w:rsid w:val="00C66F5F"/>
    <w:rsid w:val="00C72F5E"/>
    <w:rsid w:val="00C737CB"/>
    <w:rsid w:val="00C841CE"/>
    <w:rsid w:val="00C87178"/>
    <w:rsid w:val="00C872D5"/>
    <w:rsid w:val="00C90010"/>
    <w:rsid w:val="00C9399F"/>
    <w:rsid w:val="00C94A49"/>
    <w:rsid w:val="00C94DCF"/>
    <w:rsid w:val="00C94E06"/>
    <w:rsid w:val="00C94E0E"/>
    <w:rsid w:val="00C9694D"/>
    <w:rsid w:val="00C96E5E"/>
    <w:rsid w:val="00C97019"/>
    <w:rsid w:val="00C97516"/>
    <w:rsid w:val="00CA29DB"/>
    <w:rsid w:val="00CA57DF"/>
    <w:rsid w:val="00CA5A10"/>
    <w:rsid w:val="00CB3E9A"/>
    <w:rsid w:val="00CB3F44"/>
    <w:rsid w:val="00CB6553"/>
    <w:rsid w:val="00CC1195"/>
    <w:rsid w:val="00CC151F"/>
    <w:rsid w:val="00CC1863"/>
    <w:rsid w:val="00CC2E08"/>
    <w:rsid w:val="00CC4BE4"/>
    <w:rsid w:val="00CC793B"/>
    <w:rsid w:val="00CD0116"/>
    <w:rsid w:val="00CD3080"/>
    <w:rsid w:val="00CD3831"/>
    <w:rsid w:val="00CD519A"/>
    <w:rsid w:val="00CD5D60"/>
    <w:rsid w:val="00CE5E8B"/>
    <w:rsid w:val="00CF033B"/>
    <w:rsid w:val="00CF3028"/>
    <w:rsid w:val="00CF6510"/>
    <w:rsid w:val="00CF7B05"/>
    <w:rsid w:val="00CF7E04"/>
    <w:rsid w:val="00D04EA3"/>
    <w:rsid w:val="00D0799F"/>
    <w:rsid w:val="00D15F73"/>
    <w:rsid w:val="00D161B4"/>
    <w:rsid w:val="00D17E48"/>
    <w:rsid w:val="00D2126B"/>
    <w:rsid w:val="00D228BE"/>
    <w:rsid w:val="00D22D14"/>
    <w:rsid w:val="00D25F75"/>
    <w:rsid w:val="00D274B4"/>
    <w:rsid w:val="00D27DE1"/>
    <w:rsid w:val="00D300A7"/>
    <w:rsid w:val="00D34FA4"/>
    <w:rsid w:val="00D3515D"/>
    <w:rsid w:val="00D40FB3"/>
    <w:rsid w:val="00D4290F"/>
    <w:rsid w:val="00D4387C"/>
    <w:rsid w:val="00D44374"/>
    <w:rsid w:val="00D44DB1"/>
    <w:rsid w:val="00D47D67"/>
    <w:rsid w:val="00D52831"/>
    <w:rsid w:val="00D54D1C"/>
    <w:rsid w:val="00D56C0A"/>
    <w:rsid w:val="00D612FC"/>
    <w:rsid w:val="00D63690"/>
    <w:rsid w:val="00D66CB2"/>
    <w:rsid w:val="00D67897"/>
    <w:rsid w:val="00D7240A"/>
    <w:rsid w:val="00D724D7"/>
    <w:rsid w:val="00D74B7E"/>
    <w:rsid w:val="00D74F9B"/>
    <w:rsid w:val="00D753C8"/>
    <w:rsid w:val="00D77584"/>
    <w:rsid w:val="00D77EF0"/>
    <w:rsid w:val="00D80BBF"/>
    <w:rsid w:val="00D81006"/>
    <w:rsid w:val="00D8110D"/>
    <w:rsid w:val="00D82C81"/>
    <w:rsid w:val="00D84A02"/>
    <w:rsid w:val="00D85460"/>
    <w:rsid w:val="00D8796B"/>
    <w:rsid w:val="00D92AA6"/>
    <w:rsid w:val="00D94F65"/>
    <w:rsid w:val="00D959D7"/>
    <w:rsid w:val="00D9636A"/>
    <w:rsid w:val="00D96744"/>
    <w:rsid w:val="00D96A48"/>
    <w:rsid w:val="00D97912"/>
    <w:rsid w:val="00D97D95"/>
    <w:rsid w:val="00DA033D"/>
    <w:rsid w:val="00DA3F2E"/>
    <w:rsid w:val="00DA572D"/>
    <w:rsid w:val="00DA5D0D"/>
    <w:rsid w:val="00DA687A"/>
    <w:rsid w:val="00DB0310"/>
    <w:rsid w:val="00DB118C"/>
    <w:rsid w:val="00DB2DC5"/>
    <w:rsid w:val="00DB5B12"/>
    <w:rsid w:val="00DB75C3"/>
    <w:rsid w:val="00DC2B2A"/>
    <w:rsid w:val="00DC2FCC"/>
    <w:rsid w:val="00DC570C"/>
    <w:rsid w:val="00DD0F6D"/>
    <w:rsid w:val="00DD3416"/>
    <w:rsid w:val="00DD4E4B"/>
    <w:rsid w:val="00DD5346"/>
    <w:rsid w:val="00DD64C6"/>
    <w:rsid w:val="00DE2335"/>
    <w:rsid w:val="00DE5226"/>
    <w:rsid w:val="00DE6BEB"/>
    <w:rsid w:val="00DE7C74"/>
    <w:rsid w:val="00DF65D5"/>
    <w:rsid w:val="00DF716C"/>
    <w:rsid w:val="00E00123"/>
    <w:rsid w:val="00E01BDE"/>
    <w:rsid w:val="00E033E6"/>
    <w:rsid w:val="00E0451F"/>
    <w:rsid w:val="00E04965"/>
    <w:rsid w:val="00E065FC"/>
    <w:rsid w:val="00E1030C"/>
    <w:rsid w:val="00E10B01"/>
    <w:rsid w:val="00E113C0"/>
    <w:rsid w:val="00E124CB"/>
    <w:rsid w:val="00E1272F"/>
    <w:rsid w:val="00E12BF9"/>
    <w:rsid w:val="00E13541"/>
    <w:rsid w:val="00E14D72"/>
    <w:rsid w:val="00E15BE8"/>
    <w:rsid w:val="00E16AFB"/>
    <w:rsid w:val="00E21E01"/>
    <w:rsid w:val="00E22ADE"/>
    <w:rsid w:val="00E23CFA"/>
    <w:rsid w:val="00E2405A"/>
    <w:rsid w:val="00E240FE"/>
    <w:rsid w:val="00E24DAC"/>
    <w:rsid w:val="00E30739"/>
    <w:rsid w:val="00E322C0"/>
    <w:rsid w:val="00E3341A"/>
    <w:rsid w:val="00E4740E"/>
    <w:rsid w:val="00E53839"/>
    <w:rsid w:val="00E566E4"/>
    <w:rsid w:val="00E57E63"/>
    <w:rsid w:val="00E60B70"/>
    <w:rsid w:val="00E60C03"/>
    <w:rsid w:val="00E62A0F"/>
    <w:rsid w:val="00E62C0E"/>
    <w:rsid w:val="00E651F2"/>
    <w:rsid w:val="00E65CBA"/>
    <w:rsid w:val="00E66EDF"/>
    <w:rsid w:val="00E67C6B"/>
    <w:rsid w:val="00E70186"/>
    <w:rsid w:val="00E77478"/>
    <w:rsid w:val="00E8014D"/>
    <w:rsid w:val="00E804F8"/>
    <w:rsid w:val="00E809FD"/>
    <w:rsid w:val="00E829A2"/>
    <w:rsid w:val="00E83ADE"/>
    <w:rsid w:val="00E83E25"/>
    <w:rsid w:val="00E85324"/>
    <w:rsid w:val="00E854D2"/>
    <w:rsid w:val="00E866D6"/>
    <w:rsid w:val="00E90876"/>
    <w:rsid w:val="00E91099"/>
    <w:rsid w:val="00E93D5E"/>
    <w:rsid w:val="00E9434C"/>
    <w:rsid w:val="00EA0357"/>
    <w:rsid w:val="00EA27B3"/>
    <w:rsid w:val="00EA6BF0"/>
    <w:rsid w:val="00EB1E7F"/>
    <w:rsid w:val="00EB2024"/>
    <w:rsid w:val="00EC0F11"/>
    <w:rsid w:val="00ED0078"/>
    <w:rsid w:val="00ED0B51"/>
    <w:rsid w:val="00ED1D91"/>
    <w:rsid w:val="00ED24BD"/>
    <w:rsid w:val="00ED4153"/>
    <w:rsid w:val="00ED5251"/>
    <w:rsid w:val="00ED59D7"/>
    <w:rsid w:val="00ED64E9"/>
    <w:rsid w:val="00ED6A4C"/>
    <w:rsid w:val="00ED7D96"/>
    <w:rsid w:val="00EE0E06"/>
    <w:rsid w:val="00EF169A"/>
    <w:rsid w:val="00EF40BB"/>
    <w:rsid w:val="00EF4430"/>
    <w:rsid w:val="00EF5C0C"/>
    <w:rsid w:val="00F00627"/>
    <w:rsid w:val="00F0354E"/>
    <w:rsid w:val="00F049B6"/>
    <w:rsid w:val="00F05FC6"/>
    <w:rsid w:val="00F101EC"/>
    <w:rsid w:val="00F11C5F"/>
    <w:rsid w:val="00F14172"/>
    <w:rsid w:val="00F14345"/>
    <w:rsid w:val="00F14761"/>
    <w:rsid w:val="00F2067F"/>
    <w:rsid w:val="00F221C2"/>
    <w:rsid w:val="00F23B04"/>
    <w:rsid w:val="00F245AF"/>
    <w:rsid w:val="00F25ABA"/>
    <w:rsid w:val="00F2628B"/>
    <w:rsid w:val="00F308CF"/>
    <w:rsid w:val="00F364DB"/>
    <w:rsid w:val="00F3780C"/>
    <w:rsid w:val="00F4269A"/>
    <w:rsid w:val="00F45369"/>
    <w:rsid w:val="00F45492"/>
    <w:rsid w:val="00F46CA8"/>
    <w:rsid w:val="00F53DE9"/>
    <w:rsid w:val="00F56C3D"/>
    <w:rsid w:val="00F579EC"/>
    <w:rsid w:val="00F62BE0"/>
    <w:rsid w:val="00F62FDB"/>
    <w:rsid w:val="00F679DE"/>
    <w:rsid w:val="00F71B7F"/>
    <w:rsid w:val="00F7222C"/>
    <w:rsid w:val="00F845C5"/>
    <w:rsid w:val="00F84B14"/>
    <w:rsid w:val="00F85BE8"/>
    <w:rsid w:val="00F873AF"/>
    <w:rsid w:val="00F87C36"/>
    <w:rsid w:val="00F9223D"/>
    <w:rsid w:val="00F92B12"/>
    <w:rsid w:val="00F951E9"/>
    <w:rsid w:val="00FA01C1"/>
    <w:rsid w:val="00FA3BD1"/>
    <w:rsid w:val="00FA5216"/>
    <w:rsid w:val="00FA70CB"/>
    <w:rsid w:val="00FB40C2"/>
    <w:rsid w:val="00FC1634"/>
    <w:rsid w:val="00FC1DCC"/>
    <w:rsid w:val="00FC1FD8"/>
    <w:rsid w:val="00FC33F1"/>
    <w:rsid w:val="00FD1524"/>
    <w:rsid w:val="00FD30EE"/>
    <w:rsid w:val="00FD47F4"/>
    <w:rsid w:val="00FD4FEC"/>
    <w:rsid w:val="00FD5583"/>
    <w:rsid w:val="00FD64F8"/>
    <w:rsid w:val="00FD7721"/>
    <w:rsid w:val="00FE0073"/>
    <w:rsid w:val="00FE5CD0"/>
    <w:rsid w:val="00FF1429"/>
    <w:rsid w:val="00FF19E9"/>
    <w:rsid w:val="00FF4047"/>
    <w:rsid w:val="00FF472B"/>
    <w:rsid w:val="00FF4DE2"/>
    <w:rsid w:val="00FF5488"/>
    <w:rsid w:val="00FF5E03"/>
    <w:rsid w:val="00FF745F"/>
    <w:rsid w:val="00FF7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atentStyles>
  <w:style w:type="paragraph" w:default="1" w:styleId="Normal">
    <w:name w:val="Normal"/>
    <w:qFormat/>
    <w:rsid w:val="003D3E59"/>
    <w:rPr>
      <w:sz w:val="24"/>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rFonts w:ascii="Trebuchet MS" w:hAnsi="Trebuchet MS"/>
      <w:b/>
      <w:bCs/>
      <w:sz w:val="20"/>
      <w:szCs w:val="20"/>
      <w:lang w:eastAsia="en-US"/>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paragraph" w:styleId="Revision">
    <w:name w:val="Revision"/>
    <w:hidden/>
    <w:rsid w:val="00AE59D9"/>
    <w:rPr>
      <w:rFonts w:ascii="Trebuchet MS" w:hAnsi="Trebuchet MS"/>
      <w:sz w:val="22"/>
      <w:szCs w:val="24"/>
      <w:lang w:eastAsia="en-US"/>
    </w:rPr>
  </w:style>
  <w:style w:type="character" w:customStyle="1" w:styleId="FooterChar">
    <w:name w:val="Footer Char"/>
    <w:basedOn w:val="DefaultParagraphFont"/>
    <w:link w:val="Footer"/>
    <w:uiPriority w:val="99"/>
    <w:rsid w:val="00A305CC"/>
    <w:rPr>
      <w:sz w:val="24"/>
      <w:szCs w:val="24"/>
      <w:lang w:eastAsia="en-US"/>
    </w:rPr>
  </w:style>
  <w:style w:type="paragraph" w:customStyle="1" w:styleId="IntroTo">
    <w:name w:val="IntroTo:"/>
    <w:basedOn w:val="Normal"/>
    <w:rsid w:val="0045402B"/>
    <w:pPr>
      <w:ind w:left="72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atentStyles>
  <w:style w:type="paragraph" w:default="1" w:styleId="Normal">
    <w:name w:val="Normal"/>
    <w:qFormat/>
    <w:rsid w:val="003D3E59"/>
    <w:rPr>
      <w:sz w:val="24"/>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rFonts w:ascii="Trebuchet MS" w:hAnsi="Trebuchet MS"/>
      <w:b/>
      <w:bCs/>
      <w:sz w:val="20"/>
      <w:szCs w:val="20"/>
      <w:lang w:eastAsia="en-US"/>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paragraph" w:styleId="Revision">
    <w:name w:val="Revision"/>
    <w:hidden/>
    <w:rsid w:val="00AE59D9"/>
    <w:rPr>
      <w:rFonts w:ascii="Trebuchet MS" w:hAnsi="Trebuchet MS"/>
      <w:sz w:val="22"/>
      <w:szCs w:val="24"/>
      <w:lang w:eastAsia="en-US"/>
    </w:rPr>
  </w:style>
  <w:style w:type="character" w:customStyle="1" w:styleId="FooterChar">
    <w:name w:val="Footer Char"/>
    <w:basedOn w:val="DefaultParagraphFont"/>
    <w:link w:val="Footer"/>
    <w:uiPriority w:val="99"/>
    <w:rsid w:val="00A305CC"/>
    <w:rPr>
      <w:sz w:val="24"/>
      <w:szCs w:val="24"/>
      <w:lang w:eastAsia="en-US"/>
    </w:rPr>
  </w:style>
  <w:style w:type="paragraph" w:customStyle="1" w:styleId="IntroTo">
    <w:name w:val="IntroTo:"/>
    <w:basedOn w:val="Normal"/>
    <w:rsid w:val="0045402B"/>
    <w:pPr>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1492">
      <w:bodyDiv w:val="1"/>
      <w:marLeft w:val="0"/>
      <w:marRight w:val="0"/>
      <w:marTop w:val="0"/>
      <w:marBottom w:val="0"/>
      <w:divBdr>
        <w:top w:val="none" w:sz="0" w:space="0" w:color="auto"/>
        <w:left w:val="none" w:sz="0" w:space="0" w:color="auto"/>
        <w:bottom w:val="none" w:sz="0" w:space="0" w:color="auto"/>
        <w:right w:val="none" w:sz="0" w:space="0" w:color="auto"/>
      </w:divBdr>
      <w:divsChild>
        <w:div w:id="1537694850">
          <w:marLeft w:val="0"/>
          <w:marRight w:val="0"/>
          <w:marTop w:val="0"/>
          <w:marBottom w:val="0"/>
          <w:divBdr>
            <w:top w:val="none" w:sz="0" w:space="0" w:color="auto"/>
            <w:left w:val="none" w:sz="0" w:space="0" w:color="auto"/>
            <w:bottom w:val="none" w:sz="0" w:space="0" w:color="auto"/>
            <w:right w:val="none" w:sz="0" w:space="0" w:color="auto"/>
          </w:divBdr>
          <w:divsChild>
            <w:div w:id="914516308">
              <w:marLeft w:val="0"/>
              <w:marRight w:val="0"/>
              <w:marTop w:val="0"/>
              <w:marBottom w:val="0"/>
              <w:divBdr>
                <w:top w:val="none" w:sz="0" w:space="0" w:color="auto"/>
                <w:left w:val="none" w:sz="0" w:space="0" w:color="auto"/>
                <w:bottom w:val="none" w:sz="0" w:space="0" w:color="auto"/>
                <w:right w:val="none" w:sz="0" w:space="0" w:color="auto"/>
              </w:divBdr>
              <w:divsChild>
                <w:div w:id="274875551">
                  <w:marLeft w:val="0"/>
                  <w:marRight w:val="0"/>
                  <w:marTop w:val="0"/>
                  <w:marBottom w:val="0"/>
                  <w:divBdr>
                    <w:top w:val="none" w:sz="0" w:space="0" w:color="auto"/>
                    <w:left w:val="none" w:sz="0" w:space="0" w:color="auto"/>
                    <w:bottom w:val="none" w:sz="0" w:space="0" w:color="auto"/>
                    <w:right w:val="none" w:sz="0" w:space="0" w:color="auto"/>
                  </w:divBdr>
                  <w:divsChild>
                    <w:div w:id="310063852">
                      <w:marLeft w:val="0"/>
                      <w:marRight w:val="0"/>
                      <w:marTop w:val="0"/>
                      <w:marBottom w:val="0"/>
                      <w:divBdr>
                        <w:top w:val="none" w:sz="0" w:space="0" w:color="auto"/>
                        <w:left w:val="none" w:sz="0" w:space="0" w:color="auto"/>
                        <w:bottom w:val="none" w:sz="0" w:space="0" w:color="auto"/>
                        <w:right w:val="none" w:sz="0" w:space="0" w:color="auto"/>
                      </w:divBdr>
                      <w:divsChild>
                        <w:div w:id="590356606">
                          <w:marLeft w:val="0"/>
                          <w:marRight w:val="0"/>
                          <w:marTop w:val="0"/>
                          <w:marBottom w:val="0"/>
                          <w:divBdr>
                            <w:top w:val="single" w:sz="6" w:space="0" w:color="828282"/>
                            <w:left w:val="single" w:sz="6" w:space="0" w:color="828282"/>
                            <w:bottom w:val="single" w:sz="6" w:space="0" w:color="828282"/>
                            <w:right w:val="single" w:sz="6" w:space="0" w:color="828282"/>
                          </w:divBdr>
                          <w:divsChild>
                            <w:div w:id="1459638715">
                              <w:marLeft w:val="0"/>
                              <w:marRight w:val="0"/>
                              <w:marTop w:val="0"/>
                              <w:marBottom w:val="0"/>
                              <w:divBdr>
                                <w:top w:val="none" w:sz="0" w:space="0" w:color="auto"/>
                                <w:left w:val="none" w:sz="0" w:space="0" w:color="auto"/>
                                <w:bottom w:val="none" w:sz="0" w:space="0" w:color="auto"/>
                                <w:right w:val="none" w:sz="0" w:space="0" w:color="auto"/>
                              </w:divBdr>
                              <w:divsChild>
                                <w:div w:id="1337422932">
                                  <w:marLeft w:val="0"/>
                                  <w:marRight w:val="0"/>
                                  <w:marTop w:val="0"/>
                                  <w:marBottom w:val="0"/>
                                  <w:divBdr>
                                    <w:top w:val="none" w:sz="0" w:space="0" w:color="auto"/>
                                    <w:left w:val="none" w:sz="0" w:space="0" w:color="auto"/>
                                    <w:bottom w:val="none" w:sz="0" w:space="0" w:color="auto"/>
                                    <w:right w:val="none" w:sz="0" w:space="0" w:color="auto"/>
                                  </w:divBdr>
                                  <w:divsChild>
                                    <w:div w:id="1331905773">
                                      <w:marLeft w:val="0"/>
                                      <w:marRight w:val="0"/>
                                      <w:marTop w:val="0"/>
                                      <w:marBottom w:val="0"/>
                                      <w:divBdr>
                                        <w:top w:val="none" w:sz="0" w:space="0" w:color="auto"/>
                                        <w:left w:val="none" w:sz="0" w:space="0" w:color="auto"/>
                                        <w:bottom w:val="none" w:sz="0" w:space="0" w:color="auto"/>
                                        <w:right w:val="none" w:sz="0" w:space="0" w:color="auto"/>
                                      </w:divBdr>
                                      <w:divsChild>
                                        <w:div w:id="1899785669">
                                          <w:marLeft w:val="0"/>
                                          <w:marRight w:val="0"/>
                                          <w:marTop w:val="0"/>
                                          <w:marBottom w:val="0"/>
                                          <w:divBdr>
                                            <w:top w:val="none" w:sz="0" w:space="0" w:color="auto"/>
                                            <w:left w:val="none" w:sz="0" w:space="0" w:color="auto"/>
                                            <w:bottom w:val="none" w:sz="0" w:space="0" w:color="auto"/>
                                            <w:right w:val="none" w:sz="0" w:space="0" w:color="auto"/>
                                          </w:divBdr>
                                          <w:divsChild>
                                            <w:div w:id="1468937946">
                                              <w:marLeft w:val="0"/>
                                              <w:marRight w:val="0"/>
                                              <w:marTop w:val="0"/>
                                              <w:marBottom w:val="0"/>
                                              <w:divBdr>
                                                <w:top w:val="none" w:sz="0" w:space="0" w:color="auto"/>
                                                <w:left w:val="none" w:sz="0" w:space="0" w:color="auto"/>
                                                <w:bottom w:val="none" w:sz="0" w:space="0" w:color="auto"/>
                                                <w:right w:val="none" w:sz="0" w:space="0" w:color="auto"/>
                                              </w:divBdr>
                                              <w:divsChild>
                                                <w:div w:id="2055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941763">
      <w:bodyDiv w:val="1"/>
      <w:marLeft w:val="0"/>
      <w:marRight w:val="0"/>
      <w:marTop w:val="0"/>
      <w:marBottom w:val="0"/>
      <w:divBdr>
        <w:top w:val="none" w:sz="0" w:space="0" w:color="auto"/>
        <w:left w:val="none" w:sz="0" w:space="0" w:color="auto"/>
        <w:bottom w:val="none" w:sz="0" w:space="0" w:color="auto"/>
        <w:right w:val="none" w:sz="0" w:space="0" w:color="auto"/>
      </w:divBdr>
    </w:div>
    <w:div w:id="1141457916">
      <w:bodyDiv w:val="1"/>
      <w:marLeft w:val="0"/>
      <w:marRight w:val="0"/>
      <w:marTop w:val="0"/>
      <w:marBottom w:val="0"/>
      <w:divBdr>
        <w:top w:val="none" w:sz="0" w:space="0" w:color="auto"/>
        <w:left w:val="none" w:sz="0" w:space="0" w:color="auto"/>
        <w:bottom w:val="none" w:sz="0" w:space="0" w:color="auto"/>
        <w:right w:val="none" w:sz="0" w:space="0" w:color="auto"/>
      </w:divBdr>
    </w:div>
    <w:div w:id="1605577217">
      <w:bodyDiv w:val="1"/>
      <w:marLeft w:val="0"/>
      <w:marRight w:val="0"/>
      <w:marTop w:val="0"/>
      <w:marBottom w:val="0"/>
      <w:divBdr>
        <w:top w:val="none" w:sz="0" w:space="0" w:color="auto"/>
        <w:left w:val="none" w:sz="0" w:space="0" w:color="auto"/>
        <w:bottom w:val="none" w:sz="0" w:space="0" w:color="auto"/>
        <w:right w:val="none" w:sz="0" w:space="0" w:color="auto"/>
      </w:divBdr>
      <w:divsChild>
        <w:div w:id="7491131">
          <w:marLeft w:val="0"/>
          <w:marRight w:val="0"/>
          <w:marTop w:val="0"/>
          <w:marBottom w:val="0"/>
          <w:divBdr>
            <w:top w:val="none" w:sz="0" w:space="0" w:color="auto"/>
            <w:left w:val="none" w:sz="0" w:space="0" w:color="auto"/>
            <w:bottom w:val="none" w:sz="0" w:space="0" w:color="auto"/>
            <w:right w:val="none" w:sz="0" w:space="0" w:color="auto"/>
          </w:divBdr>
          <w:divsChild>
            <w:div w:id="832139205">
              <w:marLeft w:val="0"/>
              <w:marRight w:val="0"/>
              <w:marTop w:val="0"/>
              <w:marBottom w:val="0"/>
              <w:divBdr>
                <w:top w:val="none" w:sz="0" w:space="0" w:color="auto"/>
                <w:left w:val="none" w:sz="0" w:space="0" w:color="auto"/>
                <w:bottom w:val="none" w:sz="0" w:space="0" w:color="auto"/>
                <w:right w:val="none" w:sz="0" w:space="0" w:color="auto"/>
              </w:divBdr>
              <w:divsChild>
                <w:div w:id="1218781037">
                  <w:marLeft w:val="0"/>
                  <w:marRight w:val="0"/>
                  <w:marTop w:val="0"/>
                  <w:marBottom w:val="0"/>
                  <w:divBdr>
                    <w:top w:val="none" w:sz="0" w:space="0" w:color="auto"/>
                    <w:left w:val="none" w:sz="0" w:space="0" w:color="auto"/>
                    <w:bottom w:val="none" w:sz="0" w:space="0" w:color="auto"/>
                    <w:right w:val="none" w:sz="0" w:space="0" w:color="auto"/>
                  </w:divBdr>
                  <w:divsChild>
                    <w:div w:id="1921476847">
                      <w:marLeft w:val="0"/>
                      <w:marRight w:val="0"/>
                      <w:marTop w:val="0"/>
                      <w:marBottom w:val="0"/>
                      <w:divBdr>
                        <w:top w:val="none" w:sz="0" w:space="0" w:color="auto"/>
                        <w:left w:val="none" w:sz="0" w:space="0" w:color="auto"/>
                        <w:bottom w:val="none" w:sz="0" w:space="0" w:color="auto"/>
                        <w:right w:val="none" w:sz="0" w:space="0" w:color="auto"/>
                      </w:divBdr>
                      <w:divsChild>
                        <w:div w:id="1051002643">
                          <w:marLeft w:val="0"/>
                          <w:marRight w:val="0"/>
                          <w:marTop w:val="0"/>
                          <w:marBottom w:val="0"/>
                          <w:divBdr>
                            <w:top w:val="single" w:sz="6" w:space="0" w:color="828282"/>
                            <w:left w:val="single" w:sz="6" w:space="0" w:color="828282"/>
                            <w:bottom w:val="single" w:sz="6" w:space="0" w:color="828282"/>
                            <w:right w:val="single" w:sz="6" w:space="0" w:color="828282"/>
                          </w:divBdr>
                          <w:divsChild>
                            <w:div w:id="210923833">
                              <w:marLeft w:val="0"/>
                              <w:marRight w:val="0"/>
                              <w:marTop w:val="0"/>
                              <w:marBottom w:val="0"/>
                              <w:divBdr>
                                <w:top w:val="none" w:sz="0" w:space="0" w:color="auto"/>
                                <w:left w:val="none" w:sz="0" w:space="0" w:color="auto"/>
                                <w:bottom w:val="none" w:sz="0" w:space="0" w:color="auto"/>
                                <w:right w:val="none" w:sz="0" w:space="0" w:color="auto"/>
                              </w:divBdr>
                              <w:divsChild>
                                <w:div w:id="1337922848">
                                  <w:marLeft w:val="0"/>
                                  <w:marRight w:val="0"/>
                                  <w:marTop w:val="0"/>
                                  <w:marBottom w:val="0"/>
                                  <w:divBdr>
                                    <w:top w:val="none" w:sz="0" w:space="0" w:color="auto"/>
                                    <w:left w:val="none" w:sz="0" w:space="0" w:color="auto"/>
                                    <w:bottom w:val="none" w:sz="0" w:space="0" w:color="auto"/>
                                    <w:right w:val="none" w:sz="0" w:space="0" w:color="auto"/>
                                  </w:divBdr>
                                  <w:divsChild>
                                    <w:div w:id="1409116830">
                                      <w:marLeft w:val="0"/>
                                      <w:marRight w:val="0"/>
                                      <w:marTop w:val="0"/>
                                      <w:marBottom w:val="0"/>
                                      <w:divBdr>
                                        <w:top w:val="none" w:sz="0" w:space="0" w:color="auto"/>
                                        <w:left w:val="none" w:sz="0" w:space="0" w:color="auto"/>
                                        <w:bottom w:val="none" w:sz="0" w:space="0" w:color="auto"/>
                                        <w:right w:val="none" w:sz="0" w:space="0" w:color="auto"/>
                                      </w:divBdr>
                                      <w:divsChild>
                                        <w:div w:id="72553719">
                                          <w:marLeft w:val="0"/>
                                          <w:marRight w:val="0"/>
                                          <w:marTop w:val="0"/>
                                          <w:marBottom w:val="0"/>
                                          <w:divBdr>
                                            <w:top w:val="none" w:sz="0" w:space="0" w:color="auto"/>
                                            <w:left w:val="none" w:sz="0" w:space="0" w:color="auto"/>
                                            <w:bottom w:val="none" w:sz="0" w:space="0" w:color="auto"/>
                                            <w:right w:val="none" w:sz="0" w:space="0" w:color="auto"/>
                                          </w:divBdr>
                                          <w:divsChild>
                                            <w:div w:id="859123168">
                                              <w:marLeft w:val="0"/>
                                              <w:marRight w:val="0"/>
                                              <w:marTop w:val="0"/>
                                              <w:marBottom w:val="0"/>
                                              <w:divBdr>
                                                <w:top w:val="none" w:sz="0" w:space="0" w:color="auto"/>
                                                <w:left w:val="none" w:sz="0" w:space="0" w:color="auto"/>
                                                <w:bottom w:val="none" w:sz="0" w:space="0" w:color="auto"/>
                                                <w:right w:val="none" w:sz="0" w:space="0" w:color="auto"/>
                                              </w:divBdr>
                                              <w:divsChild>
                                                <w:div w:id="2037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FAC9C-3AF7-4C40-88D8-40D2E7CD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&lt;&lt;enter title of instrument, including subtitle (if any)&gt;&gt;</vt:lpstr>
    </vt:vector>
  </TitlesOfParts>
  <Company>APRA</Company>
  <LinksUpToDate>false</LinksUpToDate>
  <CharactersWithSpaces>7948</CharactersWithSpaces>
  <SharedDoc>false</SharedDoc>
  <HLinks>
    <vt:vector size="18" baseType="variant">
      <vt:variant>
        <vt:i4>1048669</vt:i4>
      </vt:variant>
      <vt:variant>
        <vt:i4>6</vt:i4>
      </vt:variant>
      <vt:variant>
        <vt:i4>0</vt:i4>
      </vt:variant>
      <vt:variant>
        <vt:i4>5</vt:i4>
      </vt:variant>
      <vt:variant>
        <vt:lpwstr>http://www.apra.gov.au/lifs/ReportingFramework/Pages/LAGIC-final-reporting-requirements-LI-October-2012.aspx</vt:lpwstr>
      </vt:variant>
      <vt:variant>
        <vt:lpwstr/>
      </vt:variant>
      <vt:variant>
        <vt:i4>393236</vt:i4>
      </vt:variant>
      <vt:variant>
        <vt:i4>3</vt:i4>
      </vt:variant>
      <vt:variant>
        <vt:i4>0</vt:i4>
      </vt:variant>
      <vt:variant>
        <vt:i4>5</vt:i4>
      </vt:variant>
      <vt:variant>
        <vt:lpwstr>http://www.apra.gov.au/CrossIndustry/Consultations/Documents/120806-letter-to-industry-LAGIC-proposed-changes-to-reporting-standards.pdf</vt:lpwstr>
      </vt:variant>
      <vt:variant>
        <vt:lpwstr/>
      </vt:variant>
      <vt:variant>
        <vt:i4>5767198</vt:i4>
      </vt:variant>
      <vt:variant>
        <vt:i4>0</vt:i4>
      </vt:variant>
      <vt:variant>
        <vt:i4>0</vt:i4>
      </vt:variant>
      <vt:variant>
        <vt:i4>5</vt:i4>
      </vt:variant>
      <vt:variant>
        <vt:lpwstr>http://www.apra.gov.au/CrossIndustry/Consultations/Pages/LAGIC-Reporting-Requirements-June-2012.aspx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&lt;&lt;enter title of instrument, including subtitle (if any)&gt;&gt;</dc:title>
  <dc:creator>vxkart</dc:creator>
  <cp:lastModifiedBy>Watson, Jill</cp:lastModifiedBy>
  <cp:revision>2</cp:revision>
  <cp:lastPrinted>2015-08-13T03:21:00Z</cp:lastPrinted>
  <dcterms:created xsi:type="dcterms:W3CDTF">2015-08-17T21:55:00Z</dcterms:created>
  <dcterms:modified xsi:type="dcterms:W3CDTF">2015-08-17T21:55:00Z</dcterms:modified>
</cp:coreProperties>
</file>