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E4C" w:rsidRPr="004073EC" w:rsidRDefault="00AA4E4C" w:rsidP="00C23DF1">
      <w:pPr>
        <w:jc w:val="center"/>
        <w:rPr>
          <w:b/>
          <w:u w:val="single"/>
        </w:rPr>
      </w:pPr>
      <w:r w:rsidRPr="004073EC">
        <w:rPr>
          <w:b/>
          <w:u w:val="single"/>
        </w:rPr>
        <w:t xml:space="preserve">EXPLANATORY </w:t>
      </w:r>
      <w:r>
        <w:rPr>
          <w:b/>
          <w:u w:val="single"/>
        </w:rPr>
        <w:t>STATEMENT</w:t>
      </w:r>
    </w:p>
    <w:p w:rsidR="00AA4E4C" w:rsidRDefault="00AA4E4C" w:rsidP="00082AA4"/>
    <w:p w:rsidR="00AA4E4C" w:rsidRPr="00B967BC" w:rsidRDefault="00AA4E4C" w:rsidP="00B967BC">
      <w:pPr>
        <w:jc w:val="center"/>
        <w:rPr>
          <w:b/>
        </w:rPr>
      </w:pPr>
      <w:r>
        <w:rPr>
          <w:b/>
          <w:u w:val="single"/>
        </w:rPr>
        <w:t>Se</w:t>
      </w:r>
      <w:r w:rsidR="00C55AD7">
        <w:rPr>
          <w:b/>
          <w:u w:val="single"/>
        </w:rPr>
        <w:t>lect Legislative Instrument</w:t>
      </w:r>
      <w:r w:rsidR="005E4FAB">
        <w:rPr>
          <w:b/>
          <w:u w:val="single"/>
        </w:rPr>
        <w:t xml:space="preserve"> </w:t>
      </w:r>
      <w:r w:rsidR="005E4FAB" w:rsidRPr="00F31022">
        <w:rPr>
          <w:b/>
          <w:u w:val="single"/>
        </w:rPr>
        <w:t>No.</w:t>
      </w:r>
      <w:r w:rsidR="00A27097">
        <w:rPr>
          <w:b/>
          <w:u w:val="single"/>
        </w:rPr>
        <w:t xml:space="preserve"> </w:t>
      </w:r>
      <w:r w:rsidR="005E4FAB">
        <w:rPr>
          <w:b/>
          <w:u w:val="single"/>
        </w:rPr>
        <w:t>140,</w:t>
      </w:r>
      <w:r w:rsidR="00C55AD7">
        <w:rPr>
          <w:b/>
          <w:u w:val="single"/>
        </w:rPr>
        <w:t xml:space="preserve"> </w:t>
      </w:r>
      <w:r w:rsidR="00B43F76">
        <w:rPr>
          <w:b/>
          <w:u w:val="single"/>
        </w:rPr>
        <w:t>2015</w:t>
      </w:r>
      <w:r w:rsidRPr="00F31022">
        <w:rPr>
          <w:b/>
          <w:u w:val="single"/>
        </w:rPr>
        <w:t xml:space="preserve"> </w:t>
      </w:r>
    </w:p>
    <w:p w:rsidR="00AA4E4C" w:rsidRPr="004073EC" w:rsidRDefault="00AA4E4C" w:rsidP="00C23DF1">
      <w:pPr>
        <w:rPr>
          <w:u w:val="single"/>
        </w:rPr>
      </w:pPr>
    </w:p>
    <w:p w:rsidR="00AA4E4C" w:rsidRPr="004073EC" w:rsidRDefault="00000B7F" w:rsidP="00FF2BCF">
      <w:pPr>
        <w:tabs>
          <w:tab w:val="left" w:pos="1080"/>
        </w:tabs>
        <w:ind w:left="960" w:hanging="960"/>
        <w:jc w:val="center"/>
        <w:rPr>
          <w:i/>
          <w:iCs/>
        </w:rPr>
      </w:pPr>
      <w:r>
        <w:rPr>
          <w:i/>
          <w:iCs/>
        </w:rPr>
        <w:t>Australian Education Act 2013</w:t>
      </w:r>
    </w:p>
    <w:p w:rsidR="00AA4E4C" w:rsidRPr="004073EC" w:rsidRDefault="00AA4E4C" w:rsidP="00FF2BCF">
      <w:pPr>
        <w:tabs>
          <w:tab w:val="left" w:pos="1080"/>
        </w:tabs>
        <w:ind w:left="960" w:hanging="960"/>
        <w:jc w:val="center"/>
        <w:rPr>
          <w:i/>
          <w:iCs/>
        </w:rPr>
      </w:pPr>
    </w:p>
    <w:p w:rsidR="00AA4E4C" w:rsidRPr="004073EC" w:rsidRDefault="00000B7F" w:rsidP="00FF2BCF">
      <w:pPr>
        <w:tabs>
          <w:tab w:val="left" w:pos="1080"/>
        </w:tabs>
        <w:ind w:left="960" w:hanging="960"/>
        <w:jc w:val="center"/>
        <w:rPr>
          <w:i/>
          <w:iCs/>
        </w:rPr>
      </w:pPr>
      <w:bookmarkStart w:id="0" w:name="_GoBack"/>
      <w:r w:rsidRPr="0049659F">
        <w:rPr>
          <w:i/>
          <w:iCs/>
        </w:rPr>
        <w:t>A</w:t>
      </w:r>
      <w:r w:rsidRPr="00252FA0">
        <w:rPr>
          <w:i/>
          <w:iCs/>
        </w:rPr>
        <w:t>ustralian Education</w:t>
      </w:r>
      <w:r w:rsidR="00AA4E4C" w:rsidRPr="00252FA0">
        <w:rPr>
          <w:i/>
          <w:iCs/>
        </w:rPr>
        <w:t xml:space="preserve"> Amendment </w:t>
      </w:r>
      <w:r w:rsidR="00B43F76" w:rsidRPr="00252FA0">
        <w:rPr>
          <w:i/>
          <w:iCs/>
        </w:rPr>
        <w:t>(2015</w:t>
      </w:r>
      <w:r w:rsidR="001C4075" w:rsidRPr="00252FA0">
        <w:rPr>
          <w:i/>
          <w:iCs/>
        </w:rPr>
        <w:t xml:space="preserve"> Measures No. 1) </w:t>
      </w:r>
      <w:r w:rsidR="00AA4E4C" w:rsidRPr="00252FA0">
        <w:rPr>
          <w:i/>
          <w:iCs/>
        </w:rPr>
        <w:t>Regulation</w:t>
      </w:r>
      <w:r w:rsidR="0060347E" w:rsidRPr="00252FA0">
        <w:rPr>
          <w:i/>
          <w:iCs/>
        </w:rPr>
        <w:t xml:space="preserve"> </w:t>
      </w:r>
      <w:r w:rsidR="00B43F76" w:rsidRPr="00252FA0">
        <w:rPr>
          <w:i/>
          <w:iCs/>
        </w:rPr>
        <w:t>2015</w:t>
      </w:r>
      <w:bookmarkEnd w:id="0"/>
    </w:p>
    <w:p w:rsidR="00AA4E4C" w:rsidRDefault="00AA4E4C" w:rsidP="00524001">
      <w:pPr>
        <w:spacing w:before="240"/>
        <w:ind w:right="91"/>
        <w:rPr>
          <w:b/>
        </w:rPr>
      </w:pPr>
      <w:r>
        <w:rPr>
          <w:b/>
        </w:rPr>
        <w:t>Authority</w:t>
      </w:r>
    </w:p>
    <w:p w:rsidR="00B65B33" w:rsidRDefault="00800F80" w:rsidP="0047648F">
      <w:pPr>
        <w:spacing w:before="240"/>
        <w:ind w:right="91"/>
      </w:pPr>
      <w:r>
        <w:t>Subs</w:t>
      </w:r>
      <w:r w:rsidR="00AA4E4C" w:rsidRPr="004073EC">
        <w:t xml:space="preserve">ection </w:t>
      </w:r>
      <w:r w:rsidR="00000B7F">
        <w:t>130</w:t>
      </w:r>
      <w:r w:rsidR="00C0340E">
        <w:t>(1)</w:t>
      </w:r>
      <w:r w:rsidR="00AA4E4C" w:rsidRPr="004073EC">
        <w:t xml:space="preserve"> of </w:t>
      </w:r>
      <w:r w:rsidR="00AA4E4C">
        <w:t xml:space="preserve">the </w:t>
      </w:r>
      <w:r w:rsidR="00000B7F">
        <w:rPr>
          <w:i/>
        </w:rPr>
        <w:t>Australian Education</w:t>
      </w:r>
      <w:r w:rsidR="00AA4E4C">
        <w:rPr>
          <w:i/>
        </w:rPr>
        <w:t xml:space="preserve"> Act </w:t>
      </w:r>
      <w:r w:rsidR="00000B7F">
        <w:rPr>
          <w:i/>
        </w:rPr>
        <w:t>2013</w:t>
      </w:r>
      <w:r w:rsidR="00AA4E4C">
        <w:rPr>
          <w:i/>
        </w:rPr>
        <w:t xml:space="preserve"> </w:t>
      </w:r>
      <w:r w:rsidR="00AA4E4C">
        <w:t xml:space="preserve">(the </w:t>
      </w:r>
      <w:r w:rsidR="00AA4E4C" w:rsidRPr="004073EC">
        <w:t>Act</w:t>
      </w:r>
      <w:r w:rsidR="00AA4E4C">
        <w:t>)</w:t>
      </w:r>
      <w:r w:rsidR="00A26D1A">
        <w:t xml:space="preserve"> </w:t>
      </w:r>
      <w:r w:rsidR="00AF6CC4">
        <w:t>empowers</w:t>
      </w:r>
      <w:r w:rsidR="00A26D1A">
        <w:t xml:space="preserve"> the Governor-</w:t>
      </w:r>
      <w:r w:rsidR="00AA4E4C" w:rsidRPr="004073EC">
        <w:rPr>
          <w:rFonts w:cs="Calibri"/>
        </w:rPr>
        <w:t xml:space="preserve">General </w:t>
      </w:r>
      <w:r w:rsidR="00AF6CC4">
        <w:rPr>
          <w:rFonts w:cs="Calibri"/>
        </w:rPr>
        <w:t>to</w:t>
      </w:r>
      <w:r w:rsidR="00AA4E4C" w:rsidRPr="004073EC">
        <w:rPr>
          <w:rFonts w:cs="Calibri"/>
        </w:rPr>
        <w:t xml:space="preserve"> make regulations prescribing matters </w:t>
      </w:r>
      <w:r w:rsidR="00AA4E4C" w:rsidRPr="004073EC">
        <w:t>required or permitted by the Act to be prescribed</w:t>
      </w:r>
      <w:r w:rsidR="000D00A0">
        <w:t xml:space="preserve"> by the regulations</w:t>
      </w:r>
      <w:r w:rsidR="00AA4E4C" w:rsidRPr="004073EC">
        <w:t>, or necessary or convenient to be prescribed for carrying out or giving effect to the Act.</w:t>
      </w:r>
      <w:r w:rsidR="00AD16B4">
        <w:t xml:space="preserve"> </w:t>
      </w:r>
      <w:r w:rsidR="003B3134">
        <w:t xml:space="preserve">Under subsection 33(3) of the </w:t>
      </w:r>
      <w:r w:rsidR="003B3134">
        <w:rPr>
          <w:i/>
          <w:iCs/>
        </w:rPr>
        <w:t>Acts Interpretation Act 1901</w:t>
      </w:r>
      <w:r w:rsidR="003B3134">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47648F" w:rsidRDefault="0047648F" w:rsidP="0047648F">
      <w:pPr>
        <w:spacing w:before="240"/>
        <w:ind w:right="91"/>
        <w:rPr>
          <w:b/>
        </w:rPr>
      </w:pPr>
      <w:r w:rsidRPr="00503414">
        <w:rPr>
          <w:b/>
        </w:rPr>
        <w:t>Legislative background</w:t>
      </w:r>
    </w:p>
    <w:p w:rsidR="0047648F" w:rsidRDefault="0047648F" w:rsidP="0047648F">
      <w:pPr>
        <w:spacing w:before="240"/>
        <w:ind w:right="91"/>
      </w:pPr>
      <w:r w:rsidRPr="0098646A">
        <w:t xml:space="preserve">The Act </w:t>
      </w:r>
      <w:r>
        <w:t>is the principal legislation by which the Australian Government provides Commonwealth financial assistance for schools</w:t>
      </w:r>
      <w:r w:rsidRPr="0098646A">
        <w:t>.</w:t>
      </w:r>
    </w:p>
    <w:p w:rsidR="0047648F" w:rsidRPr="0047648F" w:rsidRDefault="0047648F" w:rsidP="0047648F">
      <w:pPr>
        <w:spacing w:before="240"/>
        <w:ind w:right="91"/>
      </w:pPr>
      <w:r w:rsidRPr="00524001">
        <w:t xml:space="preserve">The </w:t>
      </w:r>
      <w:r w:rsidRPr="00524001">
        <w:rPr>
          <w:i/>
        </w:rPr>
        <w:t>Australian Education Regulation 2013</w:t>
      </w:r>
      <w:r w:rsidRPr="00524001">
        <w:t xml:space="preserve"> (the </w:t>
      </w:r>
      <w:r w:rsidR="00492EBF">
        <w:t xml:space="preserve">Principal </w:t>
      </w:r>
      <w:r w:rsidRPr="00524001">
        <w:t xml:space="preserve">Regulation) contains a number of provisions to ensure the correct calculation and indexation of </w:t>
      </w:r>
      <w:r w:rsidR="007E417E">
        <w:t>Commonwealth financial assistance for schools</w:t>
      </w:r>
      <w:r w:rsidRPr="00524001">
        <w:t xml:space="preserve">, and for the effective and efficient administration of </w:t>
      </w:r>
      <w:r w:rsidR="007E417E">
        <w:t>that financial assistance</w:t>
      </w:r>
      <w:r w:rsidRPr="00524001">
        <w:t>.</w:t>
      </w:r>
    </w:p>
    <w:p w:rsidR="0047648F" w:rsidRPr="004073EC" w:rsidRDefault="0047648F" w:rsidP="00524001">
      <w:pPr>
        <w:spacing w:before="240"/>
        <w:ind w:right="91"/>
      </w:pPr>
      <w:r>
        <w:t xml:space="preserve">The Act and </w:t>
      </w:r>
      <w:r w:rsidR="00492EBF">
        <w:t xml:space="preserve">Principal </w:t>
      </w:r>
      <w:r>
        <w:t xml:space="preserve">Regulation commenced </w:t>
      </w:r>
      <w:r w:rsidRPr="00D75F15">
        <w:t xml:space="preserve">on </w:t>
      </w:r>
      <w:r>
        <w:t xml:space="preserve">1 </w:t>
      </w:r>
      <w:r w:rsidRPr="00D75F15">
        <w:t>January 2014</w:t>
      </w:r>
      <w:r>
        <w:t>.</w:t>
      </w:r>
    </w:p>
    <w:p w:rsidR="00AA4E4C" w:rsidRDefault="007B56E5" w:rsidP="00524001">
      <w:pPr>
        <w:spacing w:before="240"/>
        <w:ind w:right="91"/>
        <w:rPr>
          <w:b/>
        </w:rPr>
      </w:pPr>
      <w:r>
        <w:rPr>
          <w:b/>
        </w:rPr>
        <w:t>Purpose and operation</w:t>
      </w:r>
    </w:p>
    <w:p w:rsidR="0047648F" w:rsidRDefault="00524001" w:rsidP="00353210">
      <w:pPr>
        <w:spacing w:before="240"/>
        <w:ind w:right="91"/>
      </w:pPr>
      <w:r w:rsidRPr="00524001">
        <w:t>F</w:t>
      </w:r>
      <w:r w:rsidR="007E417E">
        <w:t>inancial assistance</w:t>
      </w:r>
      <w:r w:rsidRPr="00524001">
        <w:t xml:space="preserve"> under the Act is provided to state</w:t>
      </w:r>
      <w:r w:rsidR="00800F80">
        <w:t>s</w:t>
      </w:r>
      <w:r w:rsidRPr="00524001">
        <w:t xml:space="preserve"> and territor</w:t>
      </w:r>
      <w:r w:rsidR="00800F80">
        <w:t>ies</w:t>
      </w:r>
      <w:r w:rsidRPr="00524001">
        <w:t xml:space="preserve"> for</w:t>
      </w:r>
      <w:r w:rsidR="008D7755">
        <w:t xml:space="preserve"> </w:t>
      </w:r>
      <w:r w:rsidRPr="00524001">
        <w:t>distribution to approved authorities for government and non-government schools, block grant authorities, capital grant</w:t>
      </w:r>
      <w:r w:rsidR="00800F80">
        <w:t>s</w:t>
      </w:r>
      <w:r w:rsidRPr="00524001">
        <w:t xml:space="preserve"> authorities and non-government representative bodies. Entities</w:t>
      </w:r>
      <w:r w:rsidR="007E417E">
        <w:t xml:space="preserve"> approved to</w:t>
      </w:r>
      <w:r w:rsidRPr="00524001">
        <w:t xml:space="preserve"> recei</w:t>
      </w:r>
      <w:r w:rsidR="007E417E">
        <w:t>ve</w:t>
      </w:r>
      <w:r w:rsidR="00B65B33">
        <w:t xml:space="preserve"> </w:t>
      </w:r>
      <w:r w:rsidRPr="00524001">
        <w:t>Commonwealth f</w:t>
      </w:r>
      <w:r w:rsidR="007E417E">
        <w:t>inancial assistance</w:t>
      </w:r>
      <w:r w:rsidRPr="00524001">
        <w:t xml:space="preserve"> under the Act</w:t>
      </w:r>
      <w:r w:rsidR="00F963A1">
        <w:t xml:space="preserve">, including </w:t>
      </w:r>
      <w:r w:rsidR="006E43EA">
        <w:t>S</w:t>
      </w:r>
      <w:r w:rsidR="004353B9">
        <w:t xml:space="preserve">tates and </w:t>
      </w:r>
      <w:r w:rsidR="006E43EA">
        <w:t>T</w:t>
      </w:r>
      <w:r w:rsidR="00F963A1">
        <w:t>erritories</w:t>
      </w:r>
      <w:r w:rsidR="004353B9">
        <w:t xml:space="preserve"> in their capacity as approved authorities for government schools</w:t>
      </w:r>
      <w:r w:rsidR="00F963A1">
        <w:t>,</w:t>
      </w:r>
      <w:r w:rsidRPr="00524001">
        <w:t xml:space="preserve"> must meet and maintain the conditions of </w:t>
      </w:r>
      <w:r w:rsidR="007E417E">
        <w:t>approval</w:t>
      </w:r>
      <w:r w:rsidRPr="00524001">
        <w:t xml:space="preserve"> outlined in the Act.</w:t>
      </w:r>
    </w:p>
    <w:p w:rsidR="007B56E5" w:rsidRDefault="00006B76" w:rsidP="007B56E5">
      <w:pPr>
        <w:spacing w:before="240"/>
        <w:ind w:right="91"/>
      </w:pPr>
      <w:r>
        <w:t xml:space="preserve">The </w:t>
      </w:r>
      <w:r w:rsidR="00492EBF">
        <w:t xml:space="preserve">Principal </w:t>
      </w:r>
      <w:r>
        <w:t>Regulation</w:t>
      </w:r>
      <w:r w:rsidR="007B56E5">
        <w:t xml:space="preserve"> prescribes a range of matters concerning:</w:t>
      </w:r>
    </w:p>
    <w:p w:rsidR="007B56E5" w:rsidRDefault="007B56E5" w:rsidP="007B56E5">
      <w:pPr>
        <w:pStyle w:val="ListParagraph"/>
        <w:numPr>
          <w:ilvl w:val="0"/>
          <w:numId w:val="18"/>
        </w:numPr>
        <w:spacing w:before="240"/>
        <w:ind w:right="91"/>
      </w:pPr>
      <w:r>
        <w:t>the interpre</w:t>
      </w:r>
      <w:r w:rsidR="00FA63F8">
        <w:t>tation of provisions in the Act</w:t>
      </w:r>
    </w:p>
    <w:p w:rsidR="007B56E5" w:rsidRDefault="007B56E5" w:rsidP="007B56E5">
      <w:pPr>
        <w:pStyle w:val="ListParagraph"/>
        <w:numPr>
          <w:ilvl w:val="0"/>
          <w:numId w:val="18"/>
        </w:numPr>
        <w:spacing w:before="240"/>
        <w:ind w:right="91"/>
      </w:pPr>
      <w:r>
        <w:t xml:space="preserve">conditions of grants of </w:t>
      </w:r>
      <w:r w:rsidR="00610D76">
        <w:t xml:space="preserve">Commonwealth </w:t>
      </w:r>
      <w:r>
        <w:t xml:space="preserve">financial assistance to </w:t>
      </w:r>
      <w:r w:rsidR="006E43EA">
        <w:t>S</w:t>
      </w:r>
      <w:r>
        <w:t>tate</w:t>
      </w:r>
      <w:r w:rsidR="00FA63F8">
        <w:t xml:space="preserve">s and </w:t>
      </w:r>
      <w:r w:rsidR="006E43EA">
        <w:t>T</w:t>
      </w:r>
      <w:r w:rsidR="00FA63F8">
        <w:t>erritories under the Act</w:t>
      </w:r>
    </w:p>
    <w:p w:rsidR="007B56E5" w:rsidRDefault="007B56E5" w:rsidP="00D9146E">
      <w:pPr>
        <w:pStyle w:val="ListParagraph"/>
        <w:numPr>
          <w:ilvl w:val="0"/>
          <w:numId w:val="18"/>
        </w:numPr>
        <w:spacing w:before="240"/>
        <w:ind w:right="91"/>
      </w:pPr>
      <w:r>
        <w:t xml:space="preserve">matters relevant to Commonwealth </w:t>
      </w:r>
      <w:r w:rsidR="00610D76">
        <w:t xml:space="preserve">financial assistance </w:t>
      </w:r>
      <w:r>
        <w:t>for participating</w:t>
      </w:r>
      <w:r w:rsidR="006E43EA">
        <w:t xml:space="preserve"> </w:t>
      </w:r>
      <w:r w:rsidR="00FA63F8">
        <w:t>schools</w:t>
      </w:r>
      <w:r w:rsidR="008D7755">
        <w:t>, including matters relevant to the calculation of that financial assistance</w:t>
      </w:r>
    </w:p>
    <w:p w:rsidR="007B56E5" w:rsidRDefault="007B56E5" w:rsidP="00D9146E">
      <w:pPr>
        <w:pStyle w:val="ListParagraph"/>
        <w:numPr>
          <w:ilvl w:val="0"/>
          <w:numId w:val="20"/>
        </w:numPr>
        <w:autoSpaceDE w:val="0"/>
        <w:autoSpaceDN w:val="0"/>
        <w:adjustRightInd w:val="0"/>
      </w:pPr>
      <w:r>
        <w:t xml:space="preserve">matters relevant to </w:t>
      </w:r>
      <w:r w:rsidR="008D7755">
        <w:t>the provision</w:t>
      </w:r>
      <w:r w:rsidR="00145177">
        <w:t xml:space="preserve"> of</w:t>
      </w:r>
      <w:r>
        <w:t xml:space="preserve"> special</w:t>
      </w:r>
      <w:r w:rsidR="006E43EA">
        <w:t xml:space="preserve"> and prescribed</w:t>
      </w:r>
      <w:r>
        <w:t xml:space="preserve"> circumstances</w:t>
      </w:r>
      <w:r w:rsidR="00D9146E">
        <w:t xml:space="preserve"> </w:t>
      </w:r>
      <w:r>
        <w:t>funding</w:t>
      </w:r>
      <w:r w:rsidR="008D7755">
        <w:t xml:space="preserve"> under the Act</w:t>
      </w:r>
    </w:p>
    <w:p w:rsidR="008D7755" w:rsidRDefault="00F963A1" w:rsidP="007B56E5">
      <w:pPr>
        <w:pStyle w:val="ListParagraph"/>
        <w:numPr>
          <w:ilvl w:val="0"/>
          <w:numId w:val="20"/>
        </w:numPr>
        <w:autoSpaceDE w:val="0"/>
        <w:autoSpaceDN w:val="0"/>
        <w:adjustRightInd w:val="0"/>
      </w:pPr>
      <w:r>
        <w:t xml:space="preserve">matters relevant to the </w:t>
      </w:r>
      <w:r w:rsidR="008D7755">
        <w:t xml:space="preserve">basic requirements of approval for approved authorities, </w:t>
      </w:r>
      <w:r w:rsidR="008D7755" w:rsidRPr="00524001">
        <w:t>block grant authorities, capital grant</w:t>
      </w:r>
      <w:r w:rsidR="008D7755">
        <w:t>s</w:t>
      </w:r>
      <w:r w:rsidR="008D7755" w:rsidRPr="00524001">
        <w:t xml:space="preserve"> authorities and non-government representative bodies</w:t>
      </w:r>
    </w:p>
    <w:p w:rsidR="007B56E5" w:rsidRDefault="00F963A1" w:rsidP="007B56E5">
      <w:pPr>
        <w:pStyle w:val="ListParagraph"/>
        <w:numPr>
          <w:ilvl w:val="0"/>
          <w:numId w:val="20"/>
        </w:numPr>
        <w:autoSpaceDE w:val="0"/>
        <w:autoSpaceDN w:val="0"/>
        <w:adjustRightInd w:val="0"/>
      </w:pPr>
      <w:r>
        <w:lastRenderedPageBreak/>
        <w:t xml:space="preserve">matters relevant to the </w:t>
      </w:r>
      <w:r w:rsidR="00610D76">
        <w:t>ongoing requirements</w:t>
      </w:r>
      <w:r w:rsidR="007B56E5">
        <w:t xml:space="preserve"> of approval </w:t>
      </w:r>
      <w:r w:rsidR="00610D76">
        <w:t>for</w:t>
      </w:r>
      <w:r w:rsidR="007B56E5">
        <w:t xml:space="preserve"> </w:t>
      </w:r>
      <w:r w:rsidR="00FA63F8">
        <w:t>approved authorities</w:t>
      </w:r>
      <w:r w:rsidR="00610D76">
        <w:t>,</w:t>
      </w:r>
      <w:r w:rsidR="00610D76" w:rsidRPr="00524001">
        <w:t xml:space="preserve"> block grant authorities, capital grant</w:t>
      </w:r>
      <w:r w:rsidR="00610D76">
        <w:t>s</w:t>
      </w:r>
      <w:r w:rsidR="00610D76" w:rsidRPr="00524001">
        <w:t xml:space="preserve"> authorities and non-government representative bodies</w:t>
      </w:r>
    </w:p>
    <w:p w:rsidR="007B56E5" w:rsidRDefault="00F963A1" w:rsidP="00D9146E">
      <w:pPr>
        <w:pStyle w:val="ListParagraph"/>
        <w:numPr>
          <w:ilvl w:val="0"/>
          <w:numId w:val="20"/>
        </w:numPr>
        <w:autoSpaceDE w:val="0"/>
        <w:autoSpaceDN w:val="0"/>
        <w:adjustRightInd w:val="0"/>
      </w:pPr>
      <w:r>
        <w:t xml:space="preserve">matters relevant to the </w:t>
      </w:r>
      <w:r w:rsidR="007B56E5">
        <w:t xml:space="preserve">ongoing policy requirements </w:t>
      </w:r>
      <w:r w:rsidR="00610D76">
        <w:t xml:space="preserve">of approval </w:t>
      </w:r>
      <w:r w:rsidR="007B56E5">
        <w:t xml:space="preserve">for </w:t>
      </w:r>
      <w:r>
        <w:t>approved authorities</w:t>
      </w:r>
    </w:p>
    <w:p w:rsidR="007B56E5" w:rsidRDefault="007B56E5" w:rsidP="00D9146E">
      <w:pPr>
        <w:pStyle w:val="ListParagraph"/>
        <w:numPr>
          <w:ilvl w:val="0"/>
          <w:numId w:val="21"/>
        </w:numPr>
        <w:autoSpaceDE w:val="0"/>
        <w:autoSpaceDN w:val="0"/>
        <w:adjustRightInd w:val="0"/>
      </w:pPr>
      <w:r>
        <w:t xml:space="preserve">matters relevant to actions </w:t>
      </w:r>
      <w:r w:rsidR="00800F80">
        <w:t xml:space="preserve">the </w:t>
      </w:r>
      <w:r>
        <w:t>Minister may take for failure to comply with the Act or</w:t>
      </w:r>
      <w:r w:rsidR="00D9146E">
        <w:t xml:space="preserve"> </w:t>
      </w:r>
      <w:r>
        <w:t xml:space="preserve">the </w:t>
      </w:r>
      <w:r w:rsidR="007C3F27">
        <w:t xml:space="preserve">Principal </w:t>
      </w:r>
      <w:r>
        <w:t>Regulation</w:t>
      </w:r>
    </w:p>
    <w:p w:rsidR="007B56E5" w:rsidRPr="00524001" w:rsidRDefault="007B56E5" w:rsidP="007B56E5">
      <w:pPr>
        <w:pStyle w:val="ListParagraph"/>
        <w:numPr>
          <w:ilvl w:val="0"/>
          <w:numId w:val="21"/>
        </w:numPr>
        <w:autoSpaceDE w:val="0"/>
        <w:autoSpaceDN w:val="0"/>
        <w:adjustRightInd w:val="0"/>
      </w:pPr>
      <w:r>
        <w:t>other matters</w:t>
      </w:r>
      <w:r w:rsidR="00F963A1">
        <w:t xml:space="preserve"> relevant to</w:t>
      </w:r>
      <w:r w:rsidR="008D7755" w:rsidRPr="004073EC">
        <w:t xml:space="preserve"> carrying out or giving effect to the Act</w:t>
      </w:r>
      <w:r>
        <w:t>.</w:t>
      </w:r>
    </w:p>
    <w:p w:rsidR="00AB7C43" w:rsidRDefault="002F0B88" w:rsidP="00524001">
      <w:pPr>
        <w:spacing w:before="240"/>
        <w:ind w:right="91"/>
      </w:pPr>
      <w:r w:rsidRPr="002F0B88">
        <w:t xml:space="preserve">The purpose of </w:t>
      </w:r>
      <w:r w:rsidRPr="0049659F">
        <w:t xml:space="preserve">the </w:t>
      </w:r>
      <w:r w:rsidR="00492EBF" w:rsidRPr="00252FA0">
        <w:rPr>
          <w:i/>
          <w:lang w:eastAsia="en-US"/>
        </w:rPr>
        <w:t xml:space="preserve">Australian Education Amendment </w:t>
      </w:r>
      <w:r w:rsidR="00B43F76" w:rsidRPr="00252FA0">
        <w:rPr>
          <w:i/>
          <w:lang w:eastAsia="en-US"/>
        </w:rPr>
        <w:t>(2015</w:t>
      </w:r>
      <w:r w:rsidR="00492EBF" w:rsidRPr="00252FA0">
        <w:rPr>
          <w:i/>
          <w:lang w:eastAsia="en-US"/>
        </w:rPr>
        <w:t xml:space="preserve"> Measures No. 1) Regulation 201</w:t>
      </w:r>
      <w:r w:rsidR="00B43F76" w:rsidRPr="00252FA0">
        <w:rPr>
          <w:i/>
          <w:lang w:eastAsia="en-US"/>
        </w:rPr>
        <w:t>5</w:t>
      </w:r>
      <w:r w:rsidR="00492EBF">
        <w:rPr>
          <w:lang w:eastAsia="en-US"/>
        </w:rPr>
        <w:t xml:space="preserve"> (Amendment Regulation) </w:t>
      </w:r>
      <w:r w:rsidRPr="002F0B88">
        <w:t>is to</w:t>
      </w:r>
      <w:r w:rsidR="00F036D5" w:rsidRPr="00F036D5">
        <w:t xml:space="preserve"> </w:t>
      </w:r>
      <w:r w:rsidR="00F036D5">
        <w:t>provide for capital funding indexation</w:t>
      </w:r>
      <w:r w:rsidR="00252FA0">
        <w:t xml:space="preserve"> for </w:t>
      </w:r>
      <w:r w:rsidR="006E43EA">
        <w:t>block grant authorities</w:t>
      </w:r>
      <w:r w:rsidR="00252FA0">
        <w:t xml:space="preserve">, extend amounts payable to </w:t>
      </w:r>
      <w:r w:rsidR="000146A8">
        <w:t xml:space="preserve">approved authorities for non-government </w:t>
      </w:r>
      <w:r w:rsidR="00252FA0">
        <w:t>schools for the Indigenous Boarding Initiative for 2015 and 2016,</w:t>
      </w:r>
      <w:r w:rsidR="00635477">
        <w:t xml:space="preserve"> and to ensure regulatory certainty for approved authorities and schools.</w:t>
      </w:r>
    </w:p>
    <w:p w:rsidR="005A344B" w:rsidRDefault="00353210" w:rsidP="005A344B">
      <w:pPr>
        <w:spacing w:before="240"/>
        <w:ind w:right="91"/>
      </w:pPr>
      <w:r>
        <w:t xml:space="preserve">The </w:t>
      </w:r>
      <w:r w:rsidR="00492EBF">
        <w:t>A</w:t>
      </w:r>
      <w:r w:rsidR="00930BCD">
        <w:t xml:space="preserve">mendment </w:t>
      </w:r>
      <w:r>
        <w:t>Regulation changes</w:t>
      </w:r>
      <w:r w:rsidR="00492EBF">
        <w:t xml:space="preserve"> the Principal Regulation</w:t>
      </w:r>
      <w:r w:rsidR="00203128">
        <w:t xml:space="preserve"> to</w:t>
      </w:r>
      <w:r>
        <w:t>:</w:t>
      </w:r>
    </w:p>
    <w:p w:rsidR="009210DD" w:rsidRDefault="009210DD" w:rsidP="009210DD">
      <w:pPr>
        <w:ind w:right="91"/>
      </w:pPr>
    </w:p>
    <w:p w:rsidR="00C66759" w:rsidRDefault="00C66759" w:rsidP="00C66759">
      <w:pPr>
        <w:pStyle w:val="ListParagraph"/>
        <w:numPr>
          <w:ilvl w:val="0"/>
          <w:numId w:val="20"/>
        </w:numPr>
        <w:autoSpaceDE w:val="0"/>
        <w:autoSpaceDN w:val="0"/>
        <w:adjustRightInd w:val="0"/>
      </w:pPr>
      <w:r>
        <w:t>provide an indexation percentage for capital funding for block grant authorities</w:t>
      </w:r>
    </w:p>
    <w:p w:rsidR="00C66759" w:rsidRDefault="00C66759" w:rsidP="00C66759">
      <w:pPr>
        <w:pStyle w:val="ListParagraph"/>
        <w:numPr>
          <w:ilvl w:val="0"/>
          <w:numId w:val="20"/>
        </w:numPr>
        <w:autoSpaceDE w:val="0"/>
        <w:autoSpaceDN w:val="0"/>
        <w:adjustRightInd w:val="0"/>
      </w:pPr>
      <w:r w:rsidRPr="00F036D5">
        <w:t xml:space="preserve">amend </w:t>
      </w:r>
      <w:r>
        <w:t xml:space="preserve">prescribed circumstances funding </w:t>
      </w:r>
      <w:r w:rsidRPr="00F036D5">
        <w:t xml:space="preserve">to include amounts payable to </w:t>
      </w:r>
      <w:r w:rsidR="00860B25">
        <w:t xml:space="preserve">approved authorities for non-government </w:t>
      </w:r>
      <w:r w:rsidRPr="00F036D5">
        <w:t>schools for the Indigenous Boarding Initiative for 2015</w:t>
      </w:r>
      <w:r>
        <w:t xml:space="preserve"> and </w:t>
      </w:r>
      <w:r w:rsidRPr="00F036D5">
        <w:t>2016</w:t>
      </w:r>
    </w:p>
    <w:p w:rsidR="00C66759" w:rsidRDefault="00C66759" w:rsidP="00C66759">
      <w:pPr>
        <w:pStyle w:val="ListParagraph"/>
        <w:numPr>
          <w:ilvl w:val="0"/>
          <w:numId w:val="20"/>
        </w:numPr>
        <w:autoSpaceDE w:val="0"/>
        <w:autoSpaceDN w:val="0"/>
        <w:adjustRightInd w:val="0"/>
      </w:pPr>
      <w:r>
        <w:t xml:space="preserve">update the definition of student attendance rate to align with </w:t>
      </w:r>
      <w:r w:rsidR="0063511D">
        <w:t xml:space="preserve">Education </w:t>
      </w:r>
      <w:r w:rsidR="009D49C7">
        <w:t xml:space="preserve">Ministerial </w:t>
      </w:r>
      <w:r>
        <w:t>Council decisions</w:t>
      </w:r>
      <w:r w:rsidR="0063511D">
        <w:t xml:space="preserve"> (Ministerial Council)</w:t>
      </w:r>
    </w:p>
    <w:p w:rsidR="00C66759" w:rsidRDefault="00C66759" w:rsidP="00C66759">
      <w:pPr>
        <w:pStyle w:val="ListParagraph"/>
        <w:numPr>
          <w:ilvl w:val="0"/>
          <w:numId w:val="20"/>
        </w:numPr>
        <w:autoSpaceDE w:val="0"/>
        <w:autoSpaceDN w:val="0"/>
        <w:adjustRightInd w:val="0"/>
      </w:pPr>
      <w:r>
        <w:t>ensure data provided by the Australian Curriculum, Asse</w:t>
      </w:r>
      <w:r w:rsidR="005C261E">
        <w:t xml:space="preserve">ssment and Reporting Authority </w:t>
      </w:r>
      <w:r>
        <w:t>can be used in the way intended for the calculation of certain recurrent funding loadings under the Act</w:t>
      </w:r>
    </w:p>
    <w:p w:rsidR="00C66759" w:rsidRDefault="00C66759" w:rsidP="00C66759">
      <w:pPr>
        <w:pStyle w:val="ListParagraph"/>
        <w:numPr>
          <w:ilvl w:val="0"/>
          <w:numId w:val="20"/>
        </w:numPr>
        <w:autoSpaceDE w:val="0"/>
        <w:autoSpaceDN w:val="0"/>
        <w:adjustRightInd w:val="0"/>
      </w:pPr>
      <w:r w:rsidRPr="00F036D5">
        <w:t xml:space="preserve">clarify that information collected under the Act can be used and disclosed for </w:t>
      </w:r>
      <w:r>
        <w:t xml:space="preserve">certain </w:t>
      </w:r>
      <w:r w:rsidRPr="00F036D5">
        <w:t>purposes</w:t>
      </w:r>
      <w:r>
        <w:t xml:space="preserve"> </w:t>
      </w:r>
    </w:p>
    <w:p w:rsidR="00C66759" w:rsidRPr="00F036D5" w:rsidRDefault="00C66759" w:rsidP="00C66759">
      <w:pPr>
        <w:pStyle w:val="ListParagraph"/>
        <w:numPr>
          <w:ilvl w:val="0"/>
          <w:numId w:val="20"/>
        </w:numPr>
        <w:autoSpaceDE w:val="0"/>
        <w:autoSpaceDN w:val="0"/>
        <w:adjustRightInd w:val="0"/>
      </w:pPr>
      <w:r>
        <w:t>ensure national student assessments align with decisions</w:t>
      </w:r>
      <w:r w:rsidRPr="00F036D5">
        <w:t xml:space="preserve"> </w:t>
      </w:r>
      <w:r>
        <w:t>of</w:t>
      </w:r>
      <w:r w:rsidRPr="00F036D5">
        <w:t xml:space="preserve"> the </w:t>
      </w:r>
      <w:r w:rsidR="009D49C7">
        <w:t>Ministerial</w:t>
      </w:r>
      <w:r w:rsidR="009D49C7" w:rsidRPr="00F036D5">
        <w:t xml:space="preserve"> </w:t>
      </w:r>
      <w:r w:rsidRPr="00F036D5">
        <w:t>Council</w:t>
      </w:r>
    </w:p>
    <w:p w:rsidR="00C66759" w:rsidRDefault="00C66759" w:rsidP="00C66759">
      <w:pPr>
        <w:pStyle w:val="ListParagraph"/>
        <w:numPr>
          <w:ilvl w:val="0"/>
          <w:numId w:val="20"/>
        </w:numPr>
        <w:autoSpaceDE w:val="0"/>
        <w:autoSpaceDN w:val="0"/>
        <w:adjustRightInd w:val="0"/>
      </w:pPr>
      <w:r w:rsidRPr="00F036D5">
        <w:t>allow for flexibility in the way the pro-rating provisions are used when a school closes and re-opens within the same year</w:t>
      </w:r>
    </w:p>
    <w:p w:rsidR="00C66759" w:rsidRPr="00302AA5" w:rsidRDefault="00C66759" w:rsidP="00C66759">
      <w:pPr>
        <w:pStyle w:val="ListParagraph"/>
        <w:numPr>
          <w:ilvl w:val="0"/>
          <w:numId w:val="20"/>
        </w:numPr>
        <w:autoSpaceDE w:val="0"/>
        <w:autoSpaceDN w:val="0"/>
        <w:adjustRightInd w:val="0"/>
      </w:pPr>
      <w:r w:rsidRPr="00302AA5">
        <w:t xml:space="preserve">remove the definition of </w:t>
      </w:r>
      <w:r w:rsidR="005C261E">
        <w:t>‘</w:t>
      </w:r>
      <w:r w:rsidRPr="00302AA5">
        <w:t>participating non-government schools</w:t>
      </w:r>
      <w:r w:rsidR="005C261E">
        <w:t xml:space="preserve">’ </w:t>
      </w:r>
      <w:r w:rsidRPr="00302AA5">
        <w:t xml:space="preserve">because all non-government schools are </w:t>
      </w:r>
      <w:r w:rsidR="005C261E">
        <w:t>‘</w:t>
      </w:r>
      <w:r w:rsidRPr="00302AA5">
        <w:t>participating schools</w:t>
      </w:r>
      <w:r w:rsidR="005C261E">
        <w:t>’</w:t>
      </w:r>
      <w:r w:rsidRPr="00302AA5">
        <w:t xml:space="preserve"> under the Act</w:t>
      </w:r>
    </w:p>
    <w:p w:rsidR="00C66759" w:rsidRPr="00302AA5" w:rsidRDefault="00C66759" w:rsidP="00C66759">
      <w:pPr>
        <w:pStyle w:val="ListParagraph"/>
        <w:numPr>
          <w:ilvl w:val="0"/>
          <w:numId w:val="20"/>
        </w:numPr>
        <w:autoSpaceDE w:val="0"/>
        <w:autoSpaceDN w:val="0"/>
        <w:adjustRightInd w:val="0"/>
      </w:pPr>
      <w:r w:rsidRPr="00302AA5">
        <w:t xml:space="preserve">correct a cross-reference in the definition of </w:t>
      </w:r>
      <w:r w:rsidR="005C261E">
        <w:t>‘</w:t>
      </w:r>
      <w:r w:rsidRPr="00302AA5">
        <w:t>reporting period</w:t>
      </w:r>
      <w:r w:rsidR="005C261E">
        <w:t>’</w:t>
      </w:r>
    </w:p>
    <w:p w:rsidR="00C66759" w:rsidRDefault="00C66759" w:rsidP="00C66759">
      <w:pPr>
        <w:pStyle w:val="ListParagraph"/>
        <w:numPr>
          <w:ilvl w:val="0"/>
          <w:numId w:val="20"/>
        </w:numPr>
        <w:autoSpaceDE w:val="0"/>
        <w:autoSpaceDN w:val="0"/>
        <w:adjustRightInd w:val="0"/>
      </w:pPr>
      <w:r>
        <w:t>further clarify the requirement that</w:t>
      </w:r>
      <w:r w:rsidRPr="00302AA5">
        <w:t xml:space="preserve"> </w:t>
      </w:r>
      <w:r>
        <w:t>each</w:t>
      </w:r>
      <w:r w:rsidRPr="00302AA5">
        <w:t xml:space="preserve"> State </w:t>
      </w:r>
      <w:r>
        <w:t>and</w:t>
      </w:r>
      <w:r w:rsidRPr="00302AA5">
        <w:t xml:space="preserve"> Territory </w:t>
      </w:r>
      <w:r>
        <w:t xml:space="preserve">must have in place an arrangement </w:t>
      </w:r>
      <w:r w:rsidR="00EB2D9B">
        <w:t>in respect of</w:t>
      </w:r>
      <w:r>
        <w:t xml:space="preserve"> each approved authority, block grant authority and non-government representative body to whom the State or Territory may pay an amount of financial assistance under the Act, to </w:t>
      </w:r>
      <w:r w:rsidR="003D7FF0">
        <w:t>facilitate the recovery of financial assistance in the event of non-compliance with the Act or an overpayment under the Act</w:t>
      </w:r>
    </w:p>
    <w:p w:rsidR="00C66759" w:rsidRDefault="00C66759" w:rsidP="00C66759">
      <w:pPr>
        <w:pStyle w:val="ListParagraph"/>
        <w:numPr>
          <w:ilvl w:val="0"/>
          <w:numId w:val="20"/>
        </w:numPr>
        <w:autoSpaceDE w:val="0"/>
        <w:autoSpaceDN w:val="0"/>
        <w:adjustRightInd w:val="0"/>
      </w:pPr>
      <w:r>
        <w:t>further clarify the matters the Minister may have regard to when considering the ‘fit and proper person’ requirement under the Act and the purpose to which approved authorities may spend, or commit to spend, recurrent funding provided under the Act</w:t>
      </w:r>
    </w:p>
    <w:p w:rsidR="00C66759" w:rsidRDefault="00C66759" w:rsidP="00C66759">
      <w:pPr>
        <w:pStyle w:val="ListParagraph"/>
        <w:numPr>
          <w:ilvl w:val="0"/>
          <w:numId w:val="20"/>
        </w:numPr>
        <w:autoSpaceDE w:val="0"/>
        <w:autoSpaceDN w:val="0"/>
        <w:adjustRightInd w:val="0"/>
      </w:pPr>
      <w:r>
        <w:t>ensure all government school</w:t>
      </w:r>
      <w:r w:rsidR="0090077D">
        <w:t xml:space="preserve"> approved authoritie</w:t>
      </w:r>
      <w:r>
        <w:t>s have the same financial reporting requirements under the Act and simplify financial reporting requirements for approved authorities for non-government schools</w:t>
      </w:r>
    </w:p>
    <w:p w:rsidR="00203128" w:rsidRDefault="00C66759" w:rsidP="00C66759">
      <w:pPr>
        <w:pStyle w:val="ListParagraph"/>
        <w:numPr>
          <w:ilvl w:val="0"/>
          <w:numId w:val="20"/>
        </w:numPr>
        <w:autoSpaceDE w:val="0"/>
        <w:autoSpaceDN w:val="0"/>
        <w:adjustRightInd w:val="0"/>
      </w:pPr>
      <w:r>
        <w:t>enable block grant authorities to have extended time in which to spend, or commit to spend, capital funding.</w:t>
      </w:r>
    </w:p>
    <w:p w:rsidR="00492EBF" w:rsidRPr="00D82E0A" w:rsidRDefault="00492EBF" w:rsidP="00524001">
      <w:pPr>
        <w:spacing w:before="240"/>
        <w:ind w:right="91"/>
        <w:rPr>
          <w:b/>
        </w:rPr>
      </w:pPr>
      <w:r>
        <w:rPr>
          <w:b/>
        </w:rPr>
        <w:t>Regulation Impact Statement</w:t>
      </w:r>
    </w:p>
    <w:p w:rsidR="00C847D4" w:rsidRDefault="00635477" w:rsidP="00524001">
      <w:pPr>
        <w:spacing w:before="240"/>
        <w:ind w:right="91"/>
        <w:rPr>
          <w:lang w:val="en-US"/>
        </w:rPr>
      </w:pPr>
      <w:r>
        <w:rPr>
          <w:lang w:val="en-US"/>
        </w:rPr>
        <w:t>The Office of Best Practice Regulation (</w:t>
      </w:r>
      <w:proofErr w:type="spellStart"/>
      <w:r>
        <w:rPr>
          <w:lang w:val="en-US"/>
        </w:rPr>
        <w:t>OBPR</w:t>
      </w:r>
      <w:proofErr w:type="spellEnd"/>
      <w:r>
        <w:rPr>
          <w:lang w:val="en-US"/>
        </w:rPr>
        <w:t>) has agreed a Regulatory Impact Statement is not required for the amendments to the Principal Regulation</w:t>
      </w:r>
      <w:r w:rsidR="0022647D">
        <w:rPr>
          <w:lang w:val="en-US"/>
        </w:rPr>
        <w:t xml:space="preserve"> (</w:t>
      </w:r>
      <w:proofErr w:type="spellStart"/>
      <w:r w:rsidR="0022647D">
        <w:rPr>
          <w:lang w:val="en-US"/>
        </w:rPr>
        <w:t>OBPR</w:t>
      </w:r>
      <w:proofErr w:type="spellEnd"/>
      <w:r w:rsidR="0022647D">
        <w:rPr>
          <w:lang w:val="en-US"/>
        </w:rPr>
        <w:t xml:space="preserve"> ID 19350)</w:t>
      </w:r>
      <w:r>
        <w:rPr>
          <w:lang w:val="en-US"/>
        </w:rPr>
        <w:t xml:space="preserve">. </w:t>
      </w:r>
    </w:p>
    <w:p w:rsidR="00AA4E4C" w:rsidRPr="00C847D4" w:rsidRDefault="00AA4E4C" w:rsidP="00524001">
      <w:pPr>
        <w:spacing w:before="240"/>
        <w:ind w:right="91"/>
        <w:rPr>
          <w:lang w:val="en-US"/>
        </w:rPr>
      </w:pPr>
      <w:r w:rsidRPr="008D5548">
        <w:rPr>
          <w:b/>
        </w:rPr>
        <w:lastRenderedPageBreak/>
        <w:t>Commencement</w:t>
      </w:r>
    </w:p>
    <w:p w:rsidR="000D26DF" w:rsidRPr="000D26DF" w:rsidRDefault="000D26DF" w:rsidP="00524001">
      <w:pPr>
        <w:spacing w:before="240"/>
        <w:ind w:right="91"/>
      </w:pPr>
      <w:r>
        <w:t xml:space="preserve">The Amendment Regulation commences on the day after it is registered on the Federal Register of Legislative Instruments. </w:t>
      </w:r>
    </w:p>
    <w:p w:rsidR="008D72AE" w:rsidRDefault="008D72AE" w:rsidP="00524001">
      <w:pPr>
        <w:spacing w:before="240"/>
        <w:ind w:right="91"/>
        <w:rPr>
          <w:b/>
        </w:rPr>
      </w:pPr>
      <w:r>
        <w:rPr>
          <w:b/>
        </w:rPr>
        <w:t>Consultation</w:t>
      </w:r>
    </w:p>
    <w:p w:rsidR="001C386D" w:rsidRDefault="001C386D" w:rsidP="00524001">
      <w:pPr>
        <w:spacing w:before="240"/>
        <w:ind w:right="91"/>
        <w:rPr>
          <w:lang w:val="en-US"/>
        </w:rPr>
      </w:pPr>
      <w:r>
        <w:rPr>
          <w:lang w:val="en-US"/>
        </w:rPr>
        <w:t>The Minister has consulted with the Ministerial Council on the Amendment Regulation as required by subsection 130(5) of the Act. Several of the amendments to the Principal Regulation implement decisions that have been made by the Ministerial Council.</w:t>
      </w:r>
    </w:p>
    <w:p w:rsidR="001C386D" w:rsidRDefault="001C386D" w:rsidP="00524001">
      <w:pPr>
        <w:spacing w:before="240"/>
        <w:ind w:right="91"/>
        <w:rPr>
          <w:lang w:val="en-US"/>
        </w:rPr>
      </w:pPr>
      <w:r>
        <w:rPr>
          <w:lang w:val="en-US"/>
        </w:rPr>
        <w:t>Amendments relating to the recovery of financial assistance paid under the Act have been made in response to requests by the States and Territories to assist them to meet their requirements under the Act and Principal Regulation to have appropriate recovery arrangements in place.</w:t>
      </w:r>
    </w:p>
    <w:p w:rsidR="00860B25" w:rsidRPr="00860B25" w:rsidRDefault="00860B25" w:rsidP="00860B25">
      <w:pPr>
        <w:spacing w:before="240"/>
        <w:ind w:right="91"/>
        <w:rPr>
          <w:lang w:val="en-US"/>
        </w:rPr>
      </w:pPr>
      <w:r w:rsidRPr="00860B25">
        <w:rPr>
          <w:lang w:val="en-US"/>
        </w:rPr>
        <w:t>The Act also specifies that, before the Governor-General makes regulations for the purposes of section 77 of the Act, the Minister must have regard to any relevant arrangement of approved authorities for government schools. These relevant arrangements are the National Education Reform Agreement (for New South Wales, South A</w:t>
      </w:r>
      <w:r>
        <w:rPr>
          <w:lang w:val="en-US"/>
        </w:rPr>
        <w:t>ustralia and the Australian Cap</w:t>
      </w:r>
      <w:r w:rsidRPr="00860B25">
        <w:rPr>
          <w:lang w:val="en-US"/>
        </w:rPr>
        <w:t>ital Territory) and the National Education Agreement (for Western Australia, Queensland, Tasmania, Victoria and the Northern Territory). The Minister has had regard to these arrangements, and the Amendment Regulation is no</w:t>
      </w:r>
      <w:r>
        <w:rPr>
          <w:lang w:val="en-US"/>
        </w:rPr>
        <w:t>t inconsistent with these arran</w:t>
      </w:r>
      <w:r w:rsidRPr="00860B25">
        <w:rPr>
          <w:lang w:val="en-US"/>
        </w:rPr>
        <w:t>g</w:t>
      </w:r>
      <w:r>
        <w:rPr>
          <w:lang w:val="en-US"/>
        </w:rPr>
        <w:t>e</w:t>
      </w:r>
      <w:r w:rsidRPr="00860B25">
        <w:rPr>
          <w:lang w:val="en-US"/>
        </w:rPr>
        <w:t>ments.</w:t>
      </w:r>
    </w:p>
    <w:p w:rsidR="00826B30" w:rsidRDefault="00826B30">
      <w:pPr>
        <w:spacing w:after="200" w:line="276" w:lineRule="auto"/>
        <w:rPr>
          <w:b/>
        </w:rPr>
      </w:pPr>
      <w:r>
        <w:rPr>
          <w:b/>
        </w:rPr>
        <w:br w:type="page"/>
      </w:r>
    </w:p>
    <w:p w:rsidR="00826B30" w:rsidRDefault="00826B30" w:rsidP="00826B30">
      <w:pPr>
        <w:ind w:right="-285"/>
        <w:jc w:val="center"/>
        <w:rPr>
          <w:rFonts w:cs="Arial"/>
          <w:b/>
          <w:u w:val="single"/>
        </w:rPr>
      </w:pPr>
      <w:r>
        <w:rPr>
          <w:rFonts w:cs="Arial"/>
          <w:b/>
          <w:u w:val="single"/>
        </w:rPr>
        <w:t>Statement of Compatibility with Human Rights</w:t>
      </w:r>
    </w:p>
    <w:p w:rsidR="00826B30" w:rsidRPr="00E4135E" w:rsidRDefault="00826B30" w:rsidP="00826B30">
      <w:pPr>
        <w:spacing w:before="240" w:after="120"/>
        <w:jc w:val="center"/>
      </w:pPr>
      <w:r w:rsidRPr="00FD400D">
        <w:t>Prepared in accordance with Part 3 of the</w:t>
      </w:r>
      <w:r w:rsidRPr="00E4135E">
        <w:rPr>
          <w:i/>
        </w:rPr>
        <w:t xml:space="preserve"> Human Rights (Parliamentary Scrutiny) Act 2011</w:t>
      </w:r>
    </w:p>
    <w:p w:rsidR="00826B30" w:rsidRPr="00FD400D" w:rsidRDefault="00826B30" w:rsidP="00826B30">
      <w:pPr>
        <w:spacing w:before="240" w:after="120"/>
        <w:jc w:val="center"/>
        <w:rPr>
          <w:i/>
        </w:rPr>
      </w:pPr>
      <w:r>
        <w:rPr>
          <w:i/>
        </w:rPr>
        <w:t>Australian Education</w:t>
      </w:r>
      <w:r w:rsidRPr="00FD400D">
        <w:rPr>
          <w:i/>
        </w:rPr>
        <w:t xml:space="preserve"> </w:t>
      </w:r>
      <w:r w:rsidRPr="00180F60">
        <w:rPr>
          <w:i/>
          <w:lang w:eastAsia="en-US"/>
        </w:rPr>
        <w:t xml:space="preserve">Amendment </w:t>
      </w:r>
      <w:r>
        <w:rPr>
          <w:i/>
          <w:lang w:eastAsia="en-US"/>
        </w:rPr>
        <w:t>(201</w:t>
      </w:r>
      <w:r w:rsidR="006F0023">
        <w:rPr>
          <w:i/>
          <w:lang w:eastAsia="en-US"/>
        </w:rPr>
        <w:t>5</w:t>
      </w:r>
      <w:r>
        <w:rPr>
          <w:i/>
          <w:lang w:eastAsia="en-US"/>
        </w:rPr>
        <w:t xml:space="preserve"> Measures No. 1) </w:t>
      </w:r>
      <w:r w:rsidRPr="00180F60">
        <w:rPr>
          <w:i/>
          <w:lang w:eastAsia="en-US"/>
        </w:rPr>
        <w:t xml:space="preserve">Regulation </w:t>
      </w:r>
      <w:r w:rsidRPr="00FD400D">
        <w:rPr>
          <w:i/>
        </w:rPr>
        <w:t>201</w:t>
      </w:r>
      <w:r w:rsidR="006F0023">
        <w:rPr>
          <w:i/>
        </w:rPr>
        <w:t>5</w:t>
      </w:r>
      <w:r w:rsidRPr="00FD400D">
        <w:rPr>
          <w:i/>
        </w:rPr>
        <w:t xml:space="preserve"> </w:t>
      </w:r>
    </w:p>
    <w:p w:rsidR="00826B30" w:rsidRPr="00E4135E" w:rsidRDefault="00826B30" w:rsidP="00826B30">
      <w:pPr>
        <w:spacing w:before="240" w:after="120"/>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826B30" w:rsidRPr="00E4135E" w:rsidRDefault="00826B30" w:rsidP="00826B30">
      <w:pPr>
        <w:spacing w:before="240" w:after="120"/>
        <w:jc w:val="both"/>
        <w:rPr>
          <w:b/>
        </w:rPr>
      </w:pPr>
      <w:r w:rsidRPr="00E4135E">
        <w:rPr>
          <w:b/>
        </w:rPr>
        <w:t>Overview of the Legislative Instrument</w:t>
      </w:r>
    </w:p>
    <w:p w:rsidR="00826B30" w:rsidRDefault="00826B30" w:rsidP="00826B30">
      <w:pPr>
        <w:spacing w:before="240"/>
        <w:ind w:right="91"/>
      </w:pPr>
      <w:r>
        <w:t xml:space="preserve">The </w:t>
      </w:r>
      <w:r>
        <w:rPr>
          <w:i/>
        </w:rPr>
        <w:t>Australian Education Amendment (201</w:t>
      </w:r>
      <w:r w:rsidR="006F0023">
        <w:rPr>
          <w:i/>
        </w:rPr>
        <w:t>5</w:t>
      </w:r>
      <w:r>
        <w:rPr>
          <w:i/>
        </w:rPr>
        <w:t xml:space="preserve"> Measures No.1) Regulation 201</w:t>
      </w:r>
      <w:r w:rsidR="006F0023">
        <w:rPr>
          <w:i/>
        </w:rPr>
        <w:t>5</w:t>
      </w:r>
      <w:r>
        <w:t xml:space="preserve"> (the Amendment Regulation) amends the </w:t>
      </w:r>
      <w:r>
        <w:rPr>
          <w:i/>
        </w:rPr>
        <w:t>Australian Education</w:t>
      </w:r>
      <w:r w:rsidRPr="009230B6">
        <w:rPr>
          <w:i/>
        </w:rPr>
        <w:t xml:space="preserve"> Regulation 20</w:t>
      </w:r>
      <w:r>
        <w:rPr>
          <w:i/>
        </w:rPr>
        <w:t>13</w:t>
      </w:r>
      <w:r w:rsidRPr="009230B6">
        <w:t xml:space="preserve"> (the Principal </w:t>
      </w:r>
      <w:r w:rsidRPr="0095321D">
        <w:t>Regulation) to:</w:t>
      </w:r>
    </w:p>
    <w:p w:rsidR="00860B25" w:rsidRDefault="00860B25" w:rsidP="00860B25">
      <w:pPr>
        <w:pStyle w:val="ListParagraph"/>
        <w:numPr>
          <w:ilvl w:val="0"/>
          <w:numId w:val="20"/>
        </w:numPr>
        <w:autoSpaceDE w:val="0"/>
        <w:autoSpaceDN w:val="0"/>
        <w:adjustRightInd w:val="0"/>
      </w:pPr>
      <w:bookmarkStart w:id="1" w:name="text"/>
      <w:bookmarkEnd w:id="1"/>
      <w:r>
        <w:t>provide an indexation percentage for capital funding for block grant authorities</w:t>
      </w:r>
    </w:p>
    <w:p w:rsidR="00860B25" w:rsidRDefault="00860B25" w:rsidP="00860B25">
      <w:pPr>
        <w:pStyle w:val="ListParagraph"/>
        <w:numPr>
          <w:ilvl w:val="0"/>
          <w:numId w:val="20"/>
        </w:numPr>
        <w:autoSpaceDE w:val="0"/>
        <w:autoSpaceDN w:val="0"/>
        <w:adjustRightInd w:val="0"/>
      </w:pPr>
      <w:r w:rsidRPr="00F036D5">
        <w:t xml:space="preserve">amend </w:t>
      </w:r>
      <w:r>
        <w:t xml:space="preserve">prescribed circumstances funding </w:t>
      </w:r>
      <w:r w:rsidRPr="00F036D5">
        <w:t xml:space="preserve">to include amounts payable to </w:t>
      </w:r>
      <w:r>
        <w:t xml:space="preserve">approved authorities for non-government </w:t>
      </w:r>
      <w:r w:rsidRPr="00F036D5">
        <w:t>schools for the Indigenous Boarding Initiative for 2015</w:t>
      </w:r>
      <w:r>
        <w:t xml:space="preserve"> and </w:t>
      </w:r>
      <w:r w:rsidRPr="00F036D5">
        <w:t>2016</w:t>
      </w:r>
    </w:p>
    <w:p w:rsidR="00860B25" w:rsidRDefault="00860B25" w:rsidP="00860B25">
      <w:pPr>
        <w:pStyle w:val="ListParagraph"/>
        <w:numPr>
          <w:ilvl w:val="0"/>
          <w:numId w:val="20"/>
        </w:numPr>
        <w:autoSpaceDE w:val="0"/>
        <w:autoSpaceDN w:val="0"/>
        <w:adjustRightInd w:val="0"/>
      </w:pPr>
      <w:r>
        <w:t xml:space="preserve">update the definition of student attendance rate to align with </w:t>
      </w:r>
      <w:r w:rsidR="00C847D4">
        <w:t xml:space="preserve">Education </w:t>
      </w:r>
      <w:r w:rsidR="009D49C7">
        <w:t xml:space="preserve">Ministerial </w:t>
      </w:r>
      <w:r>
        <w:t xml:space="preserve">Council </w:t>
      </w:r>
      <w:r w:rsidR="00C847D4">
        <w:t xml:space="preserve">(Ministerial Council) </w:t>
      </w:r>
      <w:r>
        <w:t>decisions</w:t>
      </w:r>
    </w:p>
    <w:p w:rsidR="00860B25" w:rsidRDefault="00860B25" w:rsidP="00860B25">
      <w:pPr>
        <w:pStyle w:val="ListParagraph"/>
        <w:numPr>
          <w:ilvl w:val="0"/>
          <w:numId w:val="20"/>
        </w:numPr>
        <w:autoSpaceDE w:val="0"/>
        <w:autoSpaceDN w:val="0"/>
        <w:adjustRightInd w:val="0"/>
      </w:pPr>
      <w:r>
        <w:t>ensure data provided by the Australian Curriculum, Assessment and Reporting Authority (</w:t>
      </w:r>
      <w:proofErr w:type="spellStart"/>
      <w:r>
        <w:t>ACARA</w:t>
      </w:r>
      <w:proofErr w:type="spellEnd"/>
      <w:r>
        <w:t>) can be used in the way intended for the calculation of certain recurrent funding loadings under the Act</w:t>
      </w:r>
    </w:p>
    <w:p w:rsidR="00860B25" w:rsidRDefault="00860B25" w:rsidP="00860B25">
      <w:pPr>
        <w:pStyle w:val="ListParagraph"/>
        <w:numPr>
          <w:ilvl w:val="0"/>
          <w:numId w:val="20"/>
        </w:numPr>
        <w:autoSpaceDE w:val="0"/>
        <w:autoSpaceDN w:val="0"/>
        <w:adjustRightInd w:val="0"/>
      </w:pPr>
      <w:r w:rsidRPr="00F036D5">
        <w:t xml:space="preserve">clarify that information collected under the Act can be used and disclosed for </w:t>
      </w:r>
      <w:r>
        <w:t xml:space="preserve">certain </w:t>
      </w:r>
      <w:r w:rsidRPr="00F036D5">
        <w:t>purposes</w:t>
      </w:r>
      <w:r>
        <w:t xml:space="preserve"> </w:t>
      </w:r>
    </w:p>
    <w:p w:rsidR="00860B25" w:rsidRPr="00F036D5" w:rsidRDefault="00860B25" w:rsidP="00860B25">
      <w:pPr>
        <w:pStyle w:val="ListParagraph"/>
        <w:numPr>
          <w:ilvl w:val="0"/>
          <w:numId w:val="20"/>
        </w:numPr>
        <w:autoSpaceDE w:val="0"/>
        <w:autoSpaceDN w:val="0"/>
        <w:adjustRightInd w:val="0"/>
      </w:pPr>
      <w:r>
        <w:t>ensure national student assessments align with decisions</w:t>
      </w:r>
      <w:r w:rsidRPr="00F036D5">
        <w:t xml:space="preserve"> </w:t>
      </w:r>
      <w:r>
        <w:t>of</w:t>
      </w:r>
      <w:r w:rsidRPr="00F036D5">
        <w:t xml:space="preserve"> the </w:t>
      </w:r>
      <w:r w:rsidR="009D49C7">
        <w:t>Ministerial</w:t>
      </w:r>
      <w:r w:rsidR="009D49C7" w:rsidRPr="00F036D5">
        <w:t xml:space="preserve"> </w:t>
      </w:r>
      <w:r w:rsidRPr="00F036D5">
        <w:t>Council</w:t>
      </w:r>
    </w:p>
    <w:p w:rsidR="00860B25" w:rsidRDefault="00860B25" w:rsidP="00860B25">
      <w:pPr>
        <w:pStyle w:val="ListParagraph"/>
        <w:numPr>
          <w:ilvl w:val="0"/>
          <w:numId w:val="20"/>
        </w:numPr>
        <w:autoSpaceDE w:val="0"/>
        <w:autoSpaceDN w:val="0"/>
        <w:adjustRightInd w:val="0"/>
      </w:pPr>
      <w:r w:rsidRPr="00F036D5">
        <w:t>allow for flexibility in the way the pro-rating provisions are used when a school closes and re-opens within the same year</w:t>
      </w:r>
    </w:p>
    <w:p w:rsidR="00860B25" w:rsidRPr="00302AA5" w:rsidRDefault="00860B25" w:rsidP="00860B25">
      <w:pPr>
        <w:pStyle w:val="ListParagraph"/>
        <w:numPr>
          <w:ilvl w:val="0"/>
          <w:numId w:val="20"/>
        </w:numPr>
        <w:autoSpaceDE w:val="0"/>
        <w:autoSpaceDN w:val="0"/>
        <w:adjustRightInd w:val="0"/>
      </w:pPr>
      <w:r w:rsidRPr="00302AA5">
        <w:t xml:space="preserve">remove the definition of </w:t>
      </w:r>
      <w:r w:rsidR="005C261E">
        <w:t>‘</w:t>
      </w:r>
      <w:r w:rsidRPr="00302AA5">
        <w:t>participating non-government schools</w:t>
      </w:r>
      <w:r w:rsidR="005C261E">
        <w:t>’</w:t>
      </w:r>
      <w:r w:rsidRPr="00302AA5">
        <w:t xml:space="preserve"> because all non-government schools are </w:t>
      </w:r>
      <w:r w:rsidR="005C261E">
        <w:t>‘</w:t>
      </w:r>
      <w:r w:rsidRPr="00302AA5">
        <w:t>participating schools</w:t>
      </w:r>
      <w:r w:rsidR="005C261E">
        <w:t>’</w:t>
      </w:r>
      <w:r w:rsidRPr="00302AA5">
        <w:t xml:space="preserve"> under the Act</w:t>
      </w:r>
    </w:p>
    <w:p w:rsidR="00860B25" w:rsidRPr="00302AA5" w:rsidRDefault="00860B25" w:rsidP="00860B25">
      <w:pPr>
        <w:pStyle w:val="ListParagraph"/>
        <w:numPr>
          <w:ilvl w:val="0"/>
          <w:numId w:val="20"/>
        </w:numPr>
        <w:autoSpaceDE w:val="0"/>
        <w:autoSpaceDN w:val="0"/>
        <w:adjustRightInd w:val="0"/>
      </w:pPr>
      <w:r w:rsidRPr="00302AA5">
        <w:t>correct a cross-reference in the definition of “reporting period”</w:t>
      </w:r>
    </w:p>
    <w:p w:rsidR="00860B25" w:rsidRDefault="00860B25" w:rsidP="00860B25">
      <w:pPr>
        <w:pStyle w:val="ListParagraph"/>
        <w:numPr>
          <w:ilvl w:val="0"/>
          <w:numId w:val="20"/>
        </w:numPr>
        <w:autoSpaceDE w:val="0"/>
        <w:autoSpaceDN w:val="0"/>
        <w:adjustRightInd w:val="0"/>
      </w:pPr>
      <w:r>
        <w:t>further clarify the requirement that</w:t>
      </w:r>
      <w:r w:rsidRPr="00302AA5">
        <w:t xml:space="preserve"> </w:t>
      </w:r>
      <w:r>
        <w:t>each</w:t>
      </w:r>
      <w:r w:rsidRPr="00302AA5">
        <w:t xml:space="preserve"> State </w:t>
      </w:r>
      <w:r>
        <w:t>and</w:t>
      </w:r>
      <w:r w:rsidRPr="00302AA5">
        <w:t xml:space="preserve"> Territory </w:t>
      </w:r>
      <w:r>
        <w:t>must have in place an arrangement in respect of each approved authority, block grant authority and non-government representative body to whom the State or Territory may pay an amount of financial assistance under the Act, to facilitate the recovery of financial assistance in the event of non-compliance with the Act or an overpayment under the Act</w:t>
      </w:r>
    </w:p>
    <w:p w:rsidR="00860B25" w:rsidRDefault="00860B25" w:rsidP="00860B25">
      <w:pPr>
        <w:pStyle w:val="ListParagraph"/>
        <w:numPr>
          <w:ilvl w:val="0"/>
          <w:numId w:val="20"/>
        </w:numPr>
        <w:autoSpaceDE w:val="0"/>
        <w:autoSpaceDN w:val="0"/>
        <w:adjustRightInd w:val="0"/>
      </w:pPr>
      <w:r>
        <w:t>further clarify the matters the Minister may have regard to when considering the ‘fit and proper person’ requirement under the Act and the purpose to which approved authorities may spend, or commit to spend, recurrent funding provided under the Act</w:t>
      </w:r>
    </w:p>
    <w:p w:rsidR="00860B25" w:rsidRDefault="00860B25" w:rsidP="00860B25">
      <w:pPr>
        <w:pStyle w:val="ListParagraph"/>
        <w:numPr>
          <w:ilvl w:val="0"/>
          <w:numId w:val="20"/>
        </w:numPr>
        <w:autoSpaceDE w:val="0"/>
        <w:autoSpaceDN w:val="0"/>
        <w:adjustRightInd w:val="0"/>
      </w:pPr>
      <w:r>
        <w:t>ensure all government school approved authorities have the same financial reporting requirements under the Act and simplify financial reporting requirements for approved authorities for non-government schools</w:t>
      </w:r>
    </w:p>
    <w:p w:rsidR="00860B25" w:rsidRDefault="00860B25" w:rsidP="00860B25">
      <w:pPr>
        <w:pStyle w:val="ListParagraph"/>
        <w:numPr>
          <w:ilvl w:val="0"/>
          <w:numId w:val="20"/>
        </w:numPr>
        <w:autoSpaceDE w:val="0"/>
        <w:autoSpaceDN w:val="0"/>
        <w:adjustRightInd w:val="0"/>
      </w:pPr>
      <w:r>
        <w:t>enable block grant authorities to have extended time in which to spend, or commit to spend, capital funding.</w:t>
      </w:r>
    </w:p>
    <w:p w:rsidR="009D49C7" w:rsidRDefault="009D49C7" w:rsidP="00826B30">
      <w:pPr>
        <w:spacing w:before="240" w:after="120"/>
        <w:jc w:val="both"/>
        <w:rPr>
          <w:b/>
        </w:rPr>
      </w:pPr>
      <w:r>
        <w:rPr>
          <w:b/>
        </w:rPr>
        <w:br w:type="page"/>
      </w:r>
    </w:p>
    <w:p w:rsidR="00826B30" w:rsidRPr="00826B30" w:rsidRDefault="00826B30" w:rsidP="00826B30">
      <w:pPr>
        <w:spacing w:before="240" w:after="120"/>
        <w:jc w:val="both"/>
        <w:rPr>
          <w:b/>
        </w:rPr>
      </w:pPr>
      <w:r w:rsidRPr="00826B30">
        <w:rPr>
          <w:b/>
        </w:rPr>
        <w:t>Human rights implications</w:t>
      </w:r>
    </w:p>
    <w:p w:rsidR="00826B30" w:rsidRDefault="00826B30" w:rsidP="00826B30">
      <w:pPr>
        <w:spacing w:before="100" w:beforeAutospacing="1" w:after="100" w:afterAutospacing="1"/>
        <w:ind w:left="360"/>
      </w:pPr>
      <w:r w:rsidRPr="00826B30">
        <w:rPr>
          <w:color w:val="000000"/>
        </w:rPr>
        <w:t>Th</w:t>
      </w:r>
      <w:r w:rsidR="00860B25">
        <w:rPr>
          <w:color w:val="000000"/>
        </w:rPr>
        <w:t>e</w:t>
      </w:r>
      <w:r w:rsidR="00860B25">
        <w:t xml:space="preserve"> Amendment Regulation</w:t>
      </w:r>
      <w:r>
        <w:t xml:space="preserve"> </w:t>
      </w:r>
      <w:r w:rsidRPr="00826B30">
        <w:rPr>
          <w:color w:val="000000"/>
        </w:rPr>
        <w:t xml:space="preserve">engages the following human rights: </w:t>
      </w:r>
    </w:p>
    <w:p w:rsidR="00826B30" w:rsidRDefault="00826B30" w:rsidP="00826B30">
      <w:pPr>
        <w:pStyle w:val="ListParagraph"/>
        <w:numPr>
          <w:ilvl w:val="0"/>
          <w:numId w:val="23"/>
        </w:numPr>
        <w:spacing w:before="100" w:beforeAutospacing="1" w:after="100" w:afterAutospacing="1"/>
      </w:pPr>
      <w:r w:rsidRPr="00FB00EF">
        <w:rPr>
          <w:color w:val="000000"/>
        </w:rPr>
        <w:t xml:space="preserve">the right to education – Article 13 of the </w:t>
      </w:r>
      <w:r w:rsidRPr="00FB00EF">
        <w:rPr>
          <w:i/>
          <w:iCs/>
          <w:color w:val="000000"/>
        </w:rPr>
        <w:t>International Covenant on Economic, Social and Cultural Rights</w:t>
      </w:r>
      <w:r>
        <w:rPr>
          <w:iCs/>
          <w:color w:val="000000"/>
        </w:rPr>
        <w:t xml:space="preserve"> and Articles 28 and 29 of the </w:t>
      </w:r>
      <w:r>
        <w:rPr>
          <w:i/>
          <w:iCs/>
          <w:color w:val="000000"/>
        </w:rPr>
        <w:t>Convention on the Rights of the Child</w:t>
      </w:r>
    </w:p>
    <w:p w:rsidR="00D82E0A" w:rsidRPr="009E0BA0" w:rsidRDefault="00D82E0A" w:rsidP="00D82E0A">
      <w:pPr>
        <w:pStyle w:val="ListParagraph"/>
        <w:numPr>
          <w:ilvl w:val="0"/>
          <w:numId w:val="23"/>
        </w:numPr>
        <w:spacing w:before="240"/>
        <w:ind w:right="91"/>
      </w:pPr>
      <w:r w:rsidRPr="00F212F9">
        <w:t>the</w:t>
      </w:r>
      <w:r w:rsidRPr="00FB00EF">
        <w:rPr>
          <w:color w:val="000000"/>
        </w:rPr>
        <w:t xml:space="preserve"> elimination of racial discrimination – Articles 2</w:t>
      </w:r>
      <w:r>
        <w:rPr>
          <w:color w:val="000000"/>
        </w:rPr>
        <w:t xml:space="preserve">, </w:t>
      </w:r>
      <w:r w:rsidRPr="00FB00EF">
        <w:rPr>
          <w:color w:val="000000"/>
        </w:rPr>
        <w:t xml:space="preserve">1(4) </w:t>
      </w:r>
      <w:r>
        <w:rPr>
          <w:color w:val="000000"/>
        </w:rPr>
        <w:t xml:space="preserve">and 5 (e)(v) </w:t>
      </w:r>
      <w:r w:rsidRPr="00FB00EF">
        <w:rPr>
          <w:color w:val="000000"/>
        </w:rPr>
        <w:t xml:space="preserve">of the </w:t>
      </w:r>
      <w:r w:rsidRPr="00FB00EF">
        <w:rPr>
          <w:i/>
          <w:iCs/>
          <w:color w:val="000000"/>
        </w:rPr>
        <w:t>Convention on the Elimination of all forms of Racial Discrimination</w:t>
      </w:r>
      <w:r w:rsidR="009210DD">
        <w:rPr>
          <w:i/>
          <w:iCs/>
          <w:color w:val="000000"/>
        </w:rPr>
        <w:t xml:space="preserve"> </w:t>
      </w:r>
      <w:r w:rsidR="009210DD">
        <w:rPr>
          <w:iCs/>
          <w:color w:val="000000"/>
        </w:rPr>
        <w:t>(</w:t>
      </w:r>
      <w:proofErr w:type="spellStart"/>
      <w:r w:rsidR="009210DD">
        <w:rPr>
          <w:iCs/>
          <w:color w:val="000000"/>
        </w:rPr>
        <w:t>CERD</w:t>
      </w:r>
      <w:proofErr w:type="spellEnd"/>
      <w:r w:rsidR="009210DD">
        <w:rPr>
          <w:iCs/>
          <w:color w:val="000000"/>
        </w:rPr>
        <w:t>)</w:t>
      </w:r>
    </w:p>
    <w:p w:rsidR="00826B30" w:rsidRPr="009E0BA0" w:rsidRDefault="00826B30" w:rsidP="00826B30">
      <w:pPr>
        <w:pStyle w:val="ListParagraph"/>
        <w:numPr>
          <w:ilvl w:val="0"/>
          <w:numId w:val="23"/>
        </w:numPr>
        <w:spacing w:before="100" w:beforeAutospacing="1" w:after="100" w:afterAutospacing="1"/>
      </w:pPr>
      <w:r>
        <w:t xml:space="preserve">the right to privacy – Article 17 of the </w:t>
      </w:r>
      <w:r w:rsidRPr="00A54A22">
        <w:rPr>
          <w:i/>
        </w:rPr>
        <w:t>International</w:t>
      </w:r>
      <w:r>
        <w:t xml:space="preserve"> </w:t>
      </w:r>
      <w:r>
        <w:rPr>
          <w:i/>
        </w:rPr>
        <w:t xml:space="preserve">Covenant on Civil and Political Rights, </w:t>
      </w:r>
      <w:r w:rsidRPr="00A54A22">
        <w:t xml:space="preserve">and </w:t>
      </w:r>
      <w:r>
        <w:t>A</w:t>
      </w:r>
      <w:r w:rsidRPr="00A54A22">
        <w:t>rticle 16 of the</w:t>
      </w:r>
      <w:r>
        <w:rPr>
          <w:i/>
        </w:rPr>
        <w:t xml:space="preserve"> Convention on the Rights of the Child.</w:t>
      </w:r>
    </w:p>
    <w:p w:rsidR="00826B30" w:rsidRPr="009A2724" w:rsidRDefault="00826B30" w:rsidP="00826B30">
      <w:pPr>
        <w:spacing w:before="120" w:after="120"/>
        <w:rPr>
          <w:i/>
        </w:rPr>
      </w:pPr>
      <w:r w:rsidRPr="009A2724">
        <w:rPr>
          <w:i/>
        </w:rPr>
        <w:t>Right to Education</w:t>
      </w:r>
    </w:p>
    <w:p w:rsidR="00C954E3" w:rsidRDefault="00826B30" w:rsidP="00826B30">
      <w:pPr>
        <w:spacing w:before="120" w:after="120"/>
      </w:pPr>
      <w:r w:rsidRPr="009A2724">
        <w:t xml:space="preserve">The </w:t>
      </w:r>
      <w:r>
        <w:t>Amendment Regulation</w:t>
      </w:r>
      <w:r w:rsidRPr="009A2724">
        <w:t xml:space="preserve"> engages the right to education in Article 13 of the</w:t>
      </w:r>
      <w:r w:rsidRPr="009E0BA0">
        <w:rPr>
          <w:i/>
        </w:rPr>
        <w:t xml:space="preserve"> International Covenant on Economic, Social and Cultural Rights</w:t>
      </w:r>
      <w:r w:rsidRPr="009A2724">
        <w:t>. Article 13 recognises the right of everyone to education</w:t>
      </w:r>
      <w:r>
        <w:t>,</w:t>
      </w:r>
      <w:r w:rsidRPr="009A2724">
        <w:t xml:space="preserve"> which is directed towards the full development of the human personality and the sense of its dignity and to enable all persons to participate effectively in society. It also recognises the liberty of parents and guardians to choose non-government schools for their children, provided those schools conform to the minimum educational standards set out by the Australian Government. The right to education for children is also found in Articles 28 and 29 of the </w:t>
      </w:r>
      <w:r w:rsidRPr="009E0BA0">
        <w:rPr>
          <w:i/>
        </w:rPr>
        <w:t>Convention on the Rights of the Child</w:t>
      </w:r>
      <w:r w:rsidRPr="009A2724">
        <w:t xml:space="preserve">. </w:t>
      </w:r>
    </w:p>
    <w:p w:rsidR="00826B30" w:rsidRDefault="00C954E3" w:rsidP="00826B30">
      <w:pPr>
        <w:spacing w:before="120" w:after="120"/>
      </w:pPr>
      <w:r>
        <w:t xml:space="preserve">The Amendment Regulation </w:t>
      </w:r>
      <w:r w:rsidR="002F1368">
        <w:t xml:space="preserve">contains a range of measures which engage and promote the right to education. The Amendment Regulation </w:t>
      </w:r>
      <w:r>
        <w:t xml:space="preserve">removes the distinction between </w:t>
      </w:r>
      <w:r w:rsidR="005C261E">
        <w:t>‘</w:t>
      </w:r>
      <w:r>
        <w:t>participating</w:t>
      </w:r>
      <w:r w:rsidR="005C261E">
        <w:t>’</w:t>
      </w:r>
      <w:r>
        <w:t xml:space="preserve"> and </w:t>
      </w:r>
      <w:r w:rsidR="005C261E">
        <w:t>‘</w:t>
      </w:r>
      <w:r>
        <w:t>non-participating</w:t>
      </w:r>
      <w:r w:rsidR="005C261E">
        <w:t>’</w:t>
      </w:r>
      <w:r>
        <w:t xml:space="preserve"> government schools to ensure that all government schools are treated in the same way under the Act in relation to their </w:t>
      </w:r>
      <w:r w:rsidR="009A38D0">
        <w:t xml:space="preserve">financial </w:t>
      </w:r>
      <w:r>
        <w:t>reporting requirements</w:t>
      </w:r>
      <w:r w:rsidR="00D931D8">
        <w:t>,</w:t>
      </w:r>
      <w:r>
        <w:t xml:space="preserve"> as </w:t>
      </w:r>
      <w:r w:rsidR="00664E0D">
        <w:t xml:space="preserve">the </w:t>
      </w:r>
      <w:r w:rsidR="00D931D8">
        <w:t xml:space="preserve">Australian </w:t>
      </w:r>
      <w:r w:rsidR="00664E0D">
        <w:t xml:space="preserve">Government, in line with </w:t>
      </w:r>
      <w:r w:rsidR="00D931D8">
        <w:t>its</w:t>
      </w:r>
      <w:r w:rsidR="00664E0D">
        <w:t xml:space="preserve"> commitments, now calculates the funding entitlements of </w:t>
      </w:r>
      <w:r>
        <w:t>all government schools in the same way under the Act. This</w:t>
      </w:r>
      <w:r w:rsidR="00C50FFC">
        <w:t xml:space="preserve"> measure is compatible with </w:t>
      </w:r>
      <w:r>
        <w:t>the right to education.</w:t>
      </w:r>
    </w:p>
    <w:p w:rsidR="00D931D8" w:rsidRDefault="00664E0D" w:rsidP="00826B30">
      <w:pPr>
        <w:spacing w:before="120" w:after="120"/>
      </w:pPr>
      <w:r>
        <w:t xml:space="preserve">The Amendment Regulation </w:t>
      </w:r>
      <w:r w:rsidR="00C50FFC">
        <w:t xml:space="preserve">also </w:t>
      </w:r>
      <w:r>
        <w:t xml:space="preserve">provides </w:t>
      </w:r>
      <w:r w:rsidR="00C50FFC">
        <w:t xml:space="preserve">for </w:t>
      </w:r>
      <w:r>
        <w:t xml:space="preserve">an indexation percentage </w:t>
      </w:r>
      <w:r w:rsidR="00C50FFC">
        <w:t xml:space="preserve">to be applied </w:t>
      </w:r>
      <w:r>
        <w:t xml:space="preserve">in respect of capital </w:t>
      </w:r>
      <w:r w:rsidR="00D931D8">
        <w:t>funding</w:t>
      </w:r>
      <w:r>
        <w:t xml:space="preserve"> for block grant authorities</w:t>
      </w:r>
      <w:r w:rsidR="00C50FFC">
        <w:t>. This</w:t>
      </w:r>
      <w:r>
        <w:t xml:space="preserve"> will result in increased </w:t>
      </w:r>
      <w:r w:rsidR="00D931D8">
        <w:t xml:space="preserve">capital </w:t>
      </w:r>
      <w:r>
        <w:t>funding being available for block grant authorities</w:t>
      </w:r>
      <w:r w:rsidR="007C11AD">
        <w:t xml:space="preserve"> to use in providing support for capital projects for non-government schools</w:t>
      </w:r>
      <w:r>
        <w:t xml:space="preserve">. This </w:t>
      </w:r>
      <w:r w:rsidR="00C50FFC">
        <w:t xml:space="preserve">measure is compatible with the right to education and </w:t>
      </w:r>
      <w:r w:rsidR="007C11AD">
        <w:t>promotes</w:t>
      </w:r>
      <w:r>
        <w:t xml:space="preserve"> the right to education.</w:t>
      </w:r>
      <w:r w:rsidR="00005D51">
        <w:t xml:space="preserve"> </w:t>
      </w:r>
    </w:p>
    <w:p w:rsidR="009A38D0" w:rsidRDefault="009A38D0" w:rsidP="00826B30">
      <w:pPr>
        <w:spacing w:before="120" w:after="120"/>
      </w:pPr>
      <w:r>
        <w:t xml:space="preserve">The Amendment Regulation </w:t>
      </w:r>
      <w:r w:rsidR="00C50FFC">
        <w:t xml:space="preserve">will also enable </w:t>
      </w:r>
      <w:r>
        <w:t xml:space="preserve">updates of definitions, and student assessment and performance measures, to align with Ministerial Council decisions to </w:t>
      </w:r>
      <w:r w:rsidR="001C386D">
        <w:t>support</w:t>
      </w:r>
      <w:r>
        <w:t xml:space="preserve"> national monitoring of school and student performance</w:t>
      </w:r>
      <w:r w:rsidR="006A782C">
        <w:t xml:space="preserve"> to inform future policy development to support improved student outcomes</w:t>
      </w:r>
      <w:r>
        <w:t>.</w:t>
      </w:r>
      <w:r w:rsidR="00C50FFC">
        <w:t xml:space="preserve"> </w:t>
      </w:r>
    </w:p>
    <w:p w:rsidR="00826B30" w:rsidRDefault="00826B30" w:rsidP="00826B30">
      <w:pPr>
        <w:spacing w:before="100" w:beforeAutospacing="1" w:after="100" w:afterAutospacing="1"/>
      </w:pPr>
      <w:r w:rsidRPr="009A2724">
        <w:t xml:space="preserve">The </w:t>
      </w:r>
      <w:r>
        <w:t>Amendment Regulation</w:t>
      </w:r>
      <w:r w:rsidRPr="009A2724">
        <w:t xml:space="preserve"> is compatible with the right to education.</w:t>
      </w:r>
    </w:p>
    <w:p w:rsidR="00D82E0A" w:rsidRPr="009A2724" w:rsidRDefault="00D82E0A" w:rsidP="00D82E0A">
      <w:pPr>
        <w:spacing w:before="360" w:after="120"/>
        <w:rPr>
          <w:i/>
        </w:rPr>
      </w:pPr>
      <w:r w:rsidRPr="009A2724">
        <w:rPr>
          <w:i/>
        </w:rPr>
        <w:t xml:space="preserve">Elimination of all forms of racial discrimination </w:t>
      </w:r>
    </w:p>
    <w:p w:rsidR="000C75C4" w:rsidRDefault="00D82E0A" w:rsidP="00D82E0A">
      <w:pPr>
        <w:spacing w:before="120" w:after="120"/>
        <w:rPr>
          <w:color w:val="000000"/>
        </w:rPr>
      </w:pPr>
      <w:r>
        <w:t xml:space="preserve">The Amendment Regulation </w:t>
      </w:r>
      <w:r w:rsidRPr="009A2724">
        <w:t>engages Articles 2</w:t>
      </w:r>
      <w:r>
        <w:t xml:space="preserve">, </w:t>
      </w:r>
      <w:r w:rsidRPr="009A2724">
        <w:t>1(4)</w:t>
      </w:r>
      <w:r>
        <w:t xml:space="preserve"> and 5(e)(v)</w:t>
      </w:r>
      <w:r w:rsidRPr="009A2724">
        <w:t xml:space="preserve"> of the </w:t>
      </w:r>
      <w:proofErr w:type="spellStart"/>
      <w:r w:rsidR="009210DD">
        <w:t>CERD</w:t>
      </w:r>
      <w:proofErr w:type="spellEnd"/>
      <w:r w:rsidRPr="009A2724">
        <w:t xml:space="preserve">. Australia has obligations to eliminate all forms of racial discrimination under Article 2 of the </w:t>
      </w:r>
      <w:proofErr w:type="spellStart"/>
      <w:r w:rsidRPr="009A2724">
        <w:t>CERD</w:t>
      </w:r>
      <w:proofErr w:type="spellEnd"/>
      <w:r w:rsidRPr="009A2724">
        <w:t>. However, not all treatment that differentiates between</w:t>
      </w:r>
      <w:r w:rsidRPr="009A2724">
        <w:rPr>
          <w:color w:val="000000"/>
        </w:rPr>
        <w:t xml:space="preserve"> individuals will amount to discrimination. Article 1(4) of the </w:t>
      </w:r>
      <w:proofErr w:type="spellStart"/>
      <w:r w:rsidRPr="009A2724">
        <w:rPr>
          <w:color w:val="000000"/>
        </w:rPr>
        <w:t>CERD</w:t>
      </w:r>
      <w:proofErr w:type="spellEnd"/>
      <w:r w:rsidRPr="009A2724">
        <w:rPr>
          <w:color w:val="000000"/>
        </w:rPr>
        <w:t xml:space="preserve"> provides that, where special measures are taken for the sole purpose of securing adequate advancement of certain racial or ethnic groups or individuals in the equal enjoyment of their human rights, those measures will not amount to racial discrimination. </w:t>
      </w:r>
    </w:p>
    <w:p w:rsidR="00D82E0A" w:rsidRPr="009A2724" w:rsidRDefault="00D82E0A" w:rsidP="00D82E0A">
      <w:pPr>
        <w:spacing w:before="120" w:after="120"/>
      </w:pPr>
      <w:r>
        <w:rPr>
          <w:color w:val="000000"/>
        </w:rPr>
        <w:t xml:space="preserve">In addition to the fundamental obligations set out in Article 2 of the </w:t>
      </w:r>
      <w:proofErr w:type="spellStart"/>
      <w:r>
        <w:rPr>
          <w:color w:val="000000"/>
        </w:rPr>
        <w:t>CERD</w:t>
      </w:r>
      <w:proofErr w:type="spellEnd"/>
      <w:r>
        <w:rPr>
          <w:color w:val="000000"/>
        </w:rPr>
        <w:t>, State Parties also undertake to eliminate racial discrimination in all its forms and to guarantee the enjoyment of a number of rights, in particular, relevant to the measures in the Amendment Regulation, the right to education and training in Article 5(e)(v).</w:t>
      </w:r>
    </w:p>
    <w:p w:rsidR="00D82E0A" w:rsidRPr="009A2724" w:rsidRDefault="00D82E0A" w:rsidP="00D82E0A">
      <w:pPr>
        <w:spacing w:before="100" w:beforeAutospacing="1" w:after="100" w:afterAutospacing="1"/>
        <w:rPr>
          <w:color w:val="000000"/>
        </w:rPr>
      </w:pPr>
      <w:r>
        <w:rPr>
          <w:color w:val="000000"/>
        </w:rPr>
        <w:t>The Amendment Regulation gives effect to the Australian Government’s commitment to extend its Indigenous Boarding Initiative (the Initiative)</w:t>
      </w:r>
      <w:r w:rsidR="008E089B">
        <w:rPr>
          <w:color w:val="000000"/>
        </w:rPr>
        <w:t>, first</w:t>
      </w:r>
      <w:r>
        <w:rPr>
          <w:color w:val="000000"/>
        </w:rPr>
        <w:t xml:space="preserve"> announced in the 2014-15 Budget</w:t>
      </w:r>
      <w:r w:rsidR="008E089B">
        <w:rPr>
          <w:color w:val="000000"/>
        </w:rPr>
        <w:t>,</w:t>
      </w:r>
      <w:r>
        <w:rPr>
          <w:color w:val="000000"/>
        </w:rPr>
        <w:t xml:space="preserve"> by prescribing the circumstances in which payment for eligible </w:t>
      </w:r>
      <w:r w:rsidR="00D931D8">
        <w:rPr>
          <w:color w:val="000000"/>
        </w:rPr>
        <w:t xml:space="preserve">non-government </w:t>
      </w:r>
      <w:r>
        <w:rPr>
          <w:color w:val="000000"/>
        </w:rPr>
        <w:t>schools can be made pursuant to section 69A of the Act</w:t>
      </w:r>
      <w:r w:rsidR="008E089B">
        <w:rPr>
          <w:color w:val="000000"/>
        </w:rPr>
        <w:t xml:space="preserve"> and extending eligibility to th</w:t>
      </w:r>
      <w:r w:rsidR="009210DD">
        <w:rPr>
          <w:color w:val="000000"/>
        </w:rPr>
        <w:t>e</w:t>
      </w:r>
      <w:r w:rsidR="008E089B">
        <w:rPr>
          <w:color w:val="000000"/>
        </w:rPr>
        <w:t xml:space="preserve"> Initiative for the 2015 and 2016 calendar years</w:t>
      </w:r>
      <w:r>
        <w:rPr>
          <w:color w:val="000000"/>
        </w:rPr>
        <w:t>.</w:t>
      </w:r>
    </w:p>
    <w:p w:rsidR="00D82E0A" w:rsidRDefault="00D82E0A" w:rsidP="00D82E0A">
      <w:pPr>
        <w:spacing w:before="100" w:beforeAutospacing="1" w:after="100" w:afterAutospacing="1"/>
        <w:rPr>
          <w:color w:val="000000"/>
        </w:rPr>
      </w:pPr>
      <w:r w:rsidRPr="009A2724">
        <w:rPr>
          <w:color w:val="000000"/>
        </w:rPr>
        <w:t>Th</w:t>
      </w:r>
      <w:r w:rsidR="009210DD">
        <w:rPr>
          <w:color w:val="000000"/>
        </w:rPr>
        <w:t>e</w:t>
      </w:r>
      <w:r w:rsidRPr="009A2724">
        <w:rPr>
          <w:color w:val="000000"/>
        </w:rPr>
        <w:t xml:space="preserve"> </w:t>
      </w:r>
      <w:r>
        <w:rPr>
          <w:color w:val="000000"/>
        </w:rPr>
        <w:t>I</w:t>
      </w:r>
      <w:r w:rsidRPr="009A2724">
        <w:rPr>
          <w:color w:val="000000"/>
        </w:rPr>
        <w:t xml:space="preserve">nitiative recognises the increased cost </w:t>
      </w:r>
      <w:r w:rsidR="00D931D8">
        <w:rPr>
          <w:color w:val="000000"/>
        </w:rPr>
        <w:t xml:space="preserve">non-government </w:t>
      </w:r>
      <w:r w:rsidRPr="009A2724">
        <w:rPr>
          <w:color w:val="000000"/>
        </w:rPr>
        <w:t>schools face in relation to providing educational outcomes for Aboriginal and Torres Strait Islander boarding students from remote or very remote areas in Australia. This is a special measure, as it is designed to benefit and ensure the improved educational attainment of Aboriginal and Torres Strait Islander students in circumstances where those students are from remote or very remote areas of Australia</w:t>
      </w:r>
      <w:r>
        <w:rPr>
          <w:color w:val="000000"/>
        </w:rPr>
        <w:t>,</w:t>
      </w:r>
      <w:r w:rsidRPr="009A2724">
        <w:rPr>
          <w:color w:val="000000"/>
        </w:rPr>
        <w:t xml:space="preserve"> and are required to board in order to obtain equal access to education.</w:t>
      </w:r>
    </w:p>
    <w:p w:rsidR="00D82E0A" w:rsidRPr="009A2724" w:rsidRDefault="00D82E0A" w:rsidP="00D82E0A">
      <w:pPr>
        <w:spacing w:before="100" w:beforeAutospacing="1" w:after="100" w:afterAutospacing="1"/>
      </w:pPr>
      <w:r w:rsidRPr="009A2724">
        <w:t xml:space="preserve">The </w:t>
      </w:r>
      <w:r>
        <w:t>Amendment Regulation</w:t>
      </w:r>
      <w:r w:rsidRPr="009A2724">
        <w:t xml:space="preserve"> </w:t>
      </w:r>
      <w:r>
        <w:t>promotes the</w:t>
      </w:r>
      <w:r w:rsidRPr="009A2724">
        <w:t xml:space="preserve"> elimination of all forms of racial discrimination.</w:t>
      </w:r>
    </w:p>
    <w:p w:rsidR="00826B30" w:rsidRDefault="00826B30" w:rsidP="00826B30">
      <w:pPr>
        <w:spacing w:before="100" w:beforeAutospacing="1" w:after="100" w:afterAutospacing="1"/>
        <w:rPr>
          <w:i/>
        </w:rPr>
      </w:pPr>
      <w:r>
        <w:rPr>
          <w:i/>
        </w:rPr>
        <w:t>Right to privacy</w:t>
      </w:r>
    </w:p>
    <w:p w:rsidR="00826B30" w:rsidRPr="00E235B1" w:rsidRDefault="00826B30" w:rsidP="00826B30">
      <w:pPr>
        <w:spacing w:before="100" w:beforeAutospacing="1" w:after="100" w:afterAutospacing="1"/>
      </w:pPr>
      <w:r>
        <w:t xml:space="preserve">The right to privacy is set out in Article 17 of the </w:t>
      </w:r>
      <w:r w:rsidRPr="00A54A22">
        <w:rPr>
          <w:i/>
        </w:rPr>
        <w:t>International</w:t>
      </w:r>
      <w:r>
        <w:t xml:space="preserve"> </w:t>
      </w:r>
      <w:r>
        <w:rPr>
          <w:i/>
        </w:rPr>
        <w:t xml:space="preserve">Covenant on Civil and Political Rights, </w:t>
      </w:r>
      <w:r w:rsidRPr="00A54A22">
        <w:t xml:space="preserve">and </w:t>
      </w:r>
      <w:r>
        <w:t>A</w:t>
      </w:r>
      <w:r w:rsidRPr="00A54A22">
        <w:t>rticle 16 of the</w:t>
      </w:r>
      <w:r>
        <w:rPr>
          <w:i/>
        </w:rPr>
        <w:t xml:space="preserve"> Convention on the Rights of the Child</w:t>
      </w:r>
      <w:r w:rsidR="000820A6">
        <w:rPr>
          <w:color w:val="000000"/>
        </w:rPr>
        <w:t>, which provides that no child shall be subjected to arbitrary or unlawful interference with his or her privacy.</w:t>
      </w:r>
    </w:p>
    <w:p w:rsidR="00826B30" w:rsidRDefault="00826B30" w:rsidP="00826B30">
      <w:pPr>
        <w:spacing w:before="100" w:beforeAutospacing="1" w:after="100" w:afterAutospacing="1"/>
      </w:pPr>
      <w:r>
        <w:t xml:space="preserve">The Act permits the </w:t>
      </w:r>
      <w:r w:rsidR="00461BB6">
        <w:rPr>
          <w:lang w:eastAsia="en-US"/>
        </w:rPr>
        <w:t>Minister to use and disclose information that has been obtained under or for the purposes of the Act</w:t>
      </w:r>
      <w:r w:rsidR="00461BB6">
        <w:t xml:space="preserve"> </w:t>
      </w:r>
      <w:r>
        <w:t xml:space="preserve">in accordance with the regulations, and to publish </w:t>
      </w:r>
      <w:r w:rsidR="00461BB6">
        <w:t>such</w:t>
      </w:r>
      <w:r>
        <w:t xml:space="preserve"> information </w:t>
      </w:r>
      <w:r>
        <w:rPr>
          <w:i/>
        </w:rPr>
        <w:t>other than</w:t>
      </w:r>
      <w:r>
        <w:t xml:space="preserve"> personal information (within the meaning of the </w:t>
      </w:r>
      <w:r>
        <w:rPr>
          <w:i/>
        </w:rPr>
        <w:t>Privacy Act 1988</w:t>
      </w:r>
      <w:r>
        <w:t>). The Act does not “protect” information, in that it is not intended to prohibit the lawful use or disclosure of information obtained under or for the purposes of the Act.</w:t>
      </w:r>
    </w:p>
    <w:p w:rsidR="00461BB6" w:rsidRDefault="007C11AD" w:rsidP="00461BB6">
      <w:pPr>
        <w:rPr>
          <w:lang w:eastAsia="en-US"/>
        </w:rPr>
      </w:pPr>
      <w:r>
        <w:t xml:space="preserve">The Amendment Regulation </w:t>
      </w:r>
      <w:r w:rsidR="00D931D8">
        <w:t>amends</w:t>
      </w:r>
      <w:r w:rsidR="00461BB6">
        <w:t xml:space="preserve"> subsection 65(2) of</w:t>
      </w:r>
      <w:r>
        <w:t xml:space="preserve"> the Principal Regulation</w:t>
      </w:r>
      <w:r w:rsidR="00461BB6">
        <w:t>, so that</w:t>
      </w:r>
      <w:r w:rsidR="00461BB6">
        <w:rPr>
          <w:lang w:eastAsia="en-US"/>
        </w:rPr>
        <w:t xml:space="preserve"> the Minister may disclose information obtained under or for the purposes of the Act to State and Territory education authorities for the purposes of their functions (e.g. the registration of non-government schools, compliance with State or Territory based education laws and school financial reporting). </w:t>
      </w:r>
      <w:r w:rsidR="00461BB6">
        <w:t xml:space="preserve">The Amendment Regulation further </w:t>
      </w:r>
      <w:r w:rsidR="00461BB6">
        <w:rPr>
          <w:lang w:eastAsia="en-US"/>
        </w:rPr>
        <w:t xml:space="preserve">amends subsection 65(1) of the Principal Regulation, to clarify the capacity for the Minister to use and disclose information that has been obtained under or for the purposes of the Act, in order that the purposes for which the Minister may use information are the same purposes for which the Minister may disclose such information. </w:t>
      </w:r>
    </w:p>
    <w:p w:rsidR="00461BB6" w:rsidRDefault="00461BB6" w:rsidP="00461BB6">
      <w:pPr>
        <w:rPr>
          <w:lang w:eastAsia="en-US"/>
        </w:rPr>
      </w:pPr>
    </w:p>
    <w:p w:rsidR="00461BB6" w:rsidRDefault="00461BB6" w:rsidP="00461BB6">
      <w:pPr>
        <w:rPr>
          <w:lang w:eastAsia="en-US"/>
        </w:rPr>
      </w:pPr>
      <w:r>
        <w:rPr>
          <w:lang w:eastAsia="en-US"/>
        </w:rPr>
        <w:t xml:space="preserve">Importantly, it is unlikely that any information to be used or disclosed under the Act will be, in and of itself, personal information for the purposes of the </w:t>
      </w:r>
      <w:r>
        <w:rPr>
          <w:i/>
          <w:lang w:eastAsia="en-US"/>
        </w:rPr>
        <w:t>Privacy Act 1988</w:t>
      </w:r>
      <w:r w:rsidR="005C261E">
        <w:rPr>
          <w:i/>
          <w:lang w:eastAsia="en-US"/>
        </w:rPr>
        <w:t>.</w:t>
      </w:r>
      <w:r>
        <w:rPr>
          <w:lang w:eastAsia="en-US"/>
        </w:rPr>
        <w:t xml:space="preserve"> The Australian Government does not require the personal information of students to be reported under either the Act or the Principal Regulation. In addition, most information reporting requirements under the Principal Regulation specifically require that the information to be reported does not explicitly identify a student (see for example, subsections 48(4), 50(4), and 58A(3)). It is therefore unlikely that information used or disclosed by the Minister under the Act would be personal information. </w:t>
      </w:r>
    </w:p>
    <w:p w:rsidR="007C11AD" w:rsidRDefault="00461BB6" w:rsidP="00826B30">
      <w:pPr>
        <w:spacing w:before="100" w:beforeAutospacing="1" w:after="100" w:afterAutospacing="1"/>
      </w:pPr>
      <w:r>
        <w:t xml:space="preserve">The Amendment Regulation further </w:t>
      </w:r>
      <w:r w:rsidR="007C11AD">
        <w:t>clarifies that section 65 of the Principal Regulation does not limit the lawful use or disclosure of protected information obtained under the Act.</w:t>
      </w:r>
    </w:p>
    <w:p w:rsidR="00826B30" w:rsidRDefault="00826B30" w:rsidP="00826B30">
      <w:pPr>
        <w:spacing w:before="100" w:beforeAutospacing="1" w:after="100" w:afterAutospacing="1"/>
      </w:pPr>
      <w:r>
        <w:t xml:space="preserve">To the extent that the right to privacy is engaged, this change to the </w:t>
      </w:r>
      <w:r w:rsidR="00461BB6">
        <w:t xml:space="preserve">Principal </w:t>
      </w:r>
      <w:r w:rsidR="008E089B">
        <w:t xml:space="preserve">Regulation to clarify the disclosure of information </w:t>
      </w:r>
      <w:r w:rsidR="00F16344">
        <w:t xml:space="preserve">obtained </w:t>
      </w:r>
      <w:r>
        <w:t xml:space="preserve">under or for the purposes of the Act does not impact </w:t>
      </w:r>
      <w:r w:rsidR="00F16344">
        <w:t xml:space="preserve">adversely </w:t>
      </w:r>
      <w:r>
        <w:t xml:space="preserve">on the right to privacy contained in Article 17 of the </w:t>
      </w:r>
      <w:r w:rsidRPr="00F27B56">
        <w:rPr>
          <w:i/>
        </w:rPr>
        <w:t xml:space="preserve">International </w:t>
      </w:r>
      <w:r w:rsidRPr="00C70DAA">
        <w:rPr>
          <w:i/>
        </w:rPr>
        <w:t>Covenant</w:t>
      </w:r>
      <w:r w:rsidRPr="00F27B56">
        <w:rPr>
          <w:i/>
        </w:rPr>
        <w:t xml:space="preserve"> on Civil and Political Rights</w:t>
      </w:r>
      <w:r>
        <w:t xml:space="preserve">, or Article 16 of the </w:t>
      </w:r>
      <w:r w:rsidRPr="00F27B56">
        <w:rPr>
          <w:i/>
        </w:rPr>
        <w:t>Convention on the Rights of the Child</w:t>
      </w:r>
      <w:r>
        <w:t xml:space="preserve">. </w:t>
      </w:r>
    </w:p>
    <w:p w:rsidR="000820A6" w:rsidRPr="00A54A22" w:rsidRDefault="000820A6" w:rsidP="00826B30">
      <w:pPr>
        <w:spacing w:before="100" w:beforeAutospacing="1" w:after="100" w:afterAutospacing="1"/>
        <w:rPr>
          <w:color w:val="000000"/>
        </w:rPr>
      </w:pPr>
      <w:r w:rsidRPr="009A2724">
        <w:t xml:space="preserve">The </w:t>
      </w:r>
      <w:r>
        <w:t>Amendment Regulation</w:t>
      </w:r>
      <w:r w:rsidRPr="009A2724">
        <w:t xml:space="preserve"> </w:t>
      </w:r>
      <w:r>
        <w:t xml:space="preserve">is compatible with the right to Privacy. </w:t>
      </w:r>
    </w:p>
    <w:p w:rsidR="00826B30" w:rsidRPr="009A2724" w:rsidRDefault="00826B30" w:rsidP="00826B30">
      <w:pPr>
        <w:spacing w:before="120" w:after="120"/>
        <w:rPr>
          <w:b/>
        </w:rPr>
      </w:pPr>
      <w:r w:rsidRPr="009A2724">
        <w:rPr>
          <w:b/>
        </w:rPr>
        <w:t>Conclusion</w:t>
      </w:r>
    </w:p>
    <w:p w:rsidR="00826B30" w:rsidRDefault="00826B30" w:rsidP="00826B30">
      <w:pPr>
        <w:spacing w:after="200" w:line="276" w:lineRule="auto"/>
        <w:rPr>
          <w:b/>
        </w:rPr>
      </w:pPr>
      <w:r w:rsidRPr="009A2724">
        <w:t xml:space="preserve">The </w:t>
      </w:r>
      <w:r>
        <w:t>Amendment Regulation</w:t>
      </w:r>
      <w:r w:rsidRPr="009A2724">
        <w:t xml:space="preserve"> is compatible with human rights because it advances the protection of human rights.</w:t>
      </w:r>
      <w:r>
        <w:rPr>
          <w:b/>
        </w:rPr>
        <w:br w:type="page"/>
      </w:r>
    </w:p>
    <w:p w:rsidR="00AA4E4C" w:rsidRPr="009A4AC6" w:rsidRDefault="00AA4E4C" w:rsidP="00524001">
      <w:pPr>
        <w:spacing w:before="240"/>
        <w:ind w:right="91"/>
        <w:rPr>
          <w:b/>
        </w:rPr>
      </w:pPr>
      <w:r w:rsidRPr="009A4AC6">
        <w:rPr>
          <w:b/>
        </w:rPr>
        <w:t>Detailed explanation of the</w:t>
      </w:r>
      <w:r w:rsidR="009A4AC6" w:rsidRPr="009A4AC6">
        <w:rPr>
          <w:b/>
        </w:rPr>
        <w:t xml:space="preserve"> </w:t>
      </w:r>
      <w:r w:rsidR="009A4AC6" w:rsidRPr="009A4AC6">
        <w:rPr>
          <w:b/>
          <w:i/>
          <w:lang w:eastAsia="en-US"/>
        </w:rPr>
        <w:t>Australian Education Amendment (2015 Measures No. 1) Regulation 2015</w:t>
      </w:r>
      <w:r w:rsidRPr="009A4AC6">
        <w:rPr>
          <w:b/>
        </w:rPr>
        <w:t xml:space="preserve"> </w:t>
      </w:r>
      <w:r w:rsidR="009A4AC6" w:rsidRPr="009A4AC6">
        <w:rPr>
          <w:b/>
        </w:rPr>
        <w:t>(</w:t>
      </w:r>
      <w:r w:rsidR="00833DF2" w:rsidRPr="009A4AC6">
        <w:rPr>
          <w:b/>
        </w:rPr>
        <w:t>Amendment Regulation</w:t>
      </w:r>
      <w:r w:rsidR="009A4AC6" w:rsidRPr="009A4AC6">
        <w:rPr>
          <w:b/>
        </w:rPr>
        <w:t>)</w:t>
      </w:r>
      <w:r w:rsidRPr="009A4AC6">
        <w:rPr>
          <w:b/>
        </w:rPr>
        <w:t xml:space="preserve"> provisions</w:t>
      </w:r>
    </w:p>
    <w:p w:rsidR="005C261E" w:rsidRDefault="004541E9" w:rsidP="00524001">
      <w:pPr>
        <w:spacing w:before="240"/>
        <w:ind w:right="91"/>
        <w:rPr>
          <w:bCs/>
          <w:u w:val="single"/>
          <w:lang w:eastAsia="en-US"/>
        </w:rPr>
      </w:pPr>
      <w:r w:rsidRPr="008E089B">
        <w:rPr>
          <w:bCs/>
          <w:u w:val="single"/>
          <w:lang w:eastAsia="en-US"/>
        </w:rPr>
        <w:t>Section</w:t>
      </w:r>
      <w:r w:rsidR="00000B7F" w:rsidRPr="008E089B">
        <w:rPr>
          <w:bCs/>
          <w:u w:val="single"/>
          <w:lang w:eastAsia="en-US"/>
        </w:rPr>
        <w:t xml:space="preserve"> 1 – Name </w:t>
      </w:r>
    </w:p>
    <w:p w:rsidR="00000B7F" w:rsidRPr="0049659F" w:rsidRDefault="00000B7F" w:rsidP="00524001">
      <w:pPr>
        <w:spacing w:before="240"/>
        <w:ind w:right="91"/>
        <w:rPr>
          <w:i/>
          <w:lang w:eastAsia="en-US"/>
        </w:rPr>
      </w:pPr>
      <w:r w:rsidRPr="008E089B">
        <w:rPr>
          <w:lang w:eastAsia="en-US"/>
        </w:rPr>
        <w:t xml:space="preserve">This </w:t>
      </w:r>
      <w:r w:rsidR="004541E9" w:rsidRPr="008E089B">
        <w:rPr>
          <w:lang w:eastAsia="en-US"/>
        </w:rPr>
        <w:t>section</w:t>
      </w:r>
      <w:r w:rsidRPr="008E089B">
        <w:rPr>
          <w:lang w:eastAsia="en-US"/>
        </w:rPr>
        <w:t xml:space="preserve"> provides that the title of the </w:t>
      </w:r>
      <w:r w:rsidR="0027023E" w:rsidRPr="008E089B">
        <w:rPr>
          <w:lang w:eastAsia="en-US"/>
        </w:rPr>
        <w:t>Amendment Regulation</w:t>
      </w:r>
      <w:r w:rsidR="0027023E" w:rsidRPr="008E089B" w:rsidDel="004541E9">
        <w:rPr>
          <w:lang w:eastAsia="en-US"/>
        </w:rPr>
        <w:t xml:space="preserve"> </w:t>
      </w:r>
      <w:r w:rsidRPr="008E089B">
        <w:rPr>
          <w:lang w:eastAsia="en-US"/>
        </w:rPr>
        <w:t xml:space="preserve">is the </w:t>
      </w:r>
      <w:r w:rsidRPr="008E089B">
        <w:rPr>
          <w:i/>
          <w:lang w:eastAsia="en-US"/>
        </w:rPr>
        <w:t xml:space="preserve">Australian Education Amendment </w:t>
      </w:r>
      <w:r w:rsidR="00B05CFE" w:rsidRPr="008E089B">
        <w:rPr>
          <w:i/>
          <w:lang w:eastAsia="en-US"/>
        </w:rPr>
        <w:t>(</w:t>
      </w:r>
      <w:r w:rsidR="00635477" w:rsidRPr="008E089B">
        <w:rPr>
          <w:i/>
          <w:lang w:eastAsia="en-US"/>
        </w:rPr>
        <w:t xml:space="preserve">2015 </w:t>
      </w:r>
      <w:r w:rsidR="004B0011" w:rsidRPr="008E089B">
        <w:rPr>
          <w:i/>
          <w:lang w:eastAsia="en-US"/>
        </w:rPr>
        <w:t>Measures No. 1)</w:t>
      </w:r>
      <w:r w:rsidR="00B05CFE" w:rsidRPr="008E089B">
        <w:rPr>
          <w:i/>
          <w:lang w:eastAsia="en-US"/>
        </w:rPr>
        <w:t xml:space="preserve"> </w:t>
      </w:r>
      <w:r w:rsidRPr="008E089B">
        <w:rPr>
          <w:i/>
          <w:lang w:eastAsia="en-US"/>
        </w:rPr>
        <w:t xml:space="preserve">Regulation </w:t>
      </w:r>
      <w:r w:rsidR="00635477" w:rsidRPr="008E089B">
        <w:rPr>
          <w:i/>
          <w:lang w:eastAsia="en-US"/>
        </w:rPr>
        <w:t>2015</w:t>
      </w:r>
      <w:r w:rsidRPr="008E089B">
        <w:rPr>
          <w:i/>
          <w:lang w:eastAsia="en-US"/>
        </w:rPr>
        <w:t>.</w:t>
      </w:r>
    </w:p>
    <w:p w:rsidR="00000B7F" w:rsidRPr="00180F60" w:rsidRDefault="004541E9" w:rsidP="00524001">
      <w:pPr>
        <w:spacing w:before="240"/>
        <w:ind w:right="91"/>
        <w:rPr>
          <w:bCs/>
          <w:u w:val="single"/>
          <w:lang w:eastAsia="en-US"/>
        </w:rPr>
      </w:pPr>
      <w:r w:rsidRPr="0049659F">
        <w:rPr>
          <w:bCs/>
          <w:u w:val="single"/>
          <w:lang w:eastAsia="en-US"/>
        </w:rPr>
        <w:t>Section</w:t>
      </w:r>
      <w:r w:rsidR="00000B7F" w:rsidRPr="0049659F">
        <w:rPr>
          <w:bCs/>
          <w:u w:val="single"/>
          <w:lang w:eastAsia="en-US"/>
        </w:rPr>
        <w:t xml:space="preserve"> 2 – Commencement</w:t>
      </w:r>
    </w:p>
    <w:p w:rsidR="00D126B1" w:rsidRDefault="004541E9" w:rsidP="00524001">
      <w:pPr>
        <w:spacing w:before="240"/>
        <w:ind w:right="91"/>
        <w:rPr>
          <w:lang w:eastAsia="en-US"/>
        </w:rPr>
      </w:pPr>
      <w:r>
        <w:rPr>
          <w:lang w:eastAsia="en-US"/>
        </w:rPr>
        <w:t>This section provides</w:t>
      </w:r>
      <w:r w:rsidR="00833DF2">
        <w:rPr>
          <w:lang w:eastAsia="en-US"/>
        </w:rPr>
        <w:t xml:space="preserve"> for the commencement of the various provisions of the Amendment Regulation. </w:t>
      </w:r>
      <w:r w:rsidR="00635477">
        <w:rPr>
          <w:lang w:eastAsia="en-US"/>
        </w:rPr>
        <w:t>The</w:t>
      </w:r>
      <w:r w:rsidR="00833DF2">
        <w:rPr>
          <w:lang w:eastAsia="en-US"/>
        </w:rPr>
        <w:t xml:space="preserve"> provisions </w:t>
      </w:r>
      <w:r w:rsidR="00635477">
        <w:rPr>
          <w:lang w:eastAsia="en-US"/>
        </w:rPr>
        <w:t xml:space="preserve">of the Amendment Regulation </w:t>
      </w:r>
      <w:r w:rsidR="00833DF2">
        <w:rPr>
          <w:lang w:eastAsia="en-US"/>
        </w:rPr>
        <w:t xml:space="preserve">commence on the day after </w:t>
      </w:r>
      <w:r w:rsidR="00BF6182">
        <w:rPr>
          <w:lang w:eastAsia="en-US"/>
        </w:rPr>
        <w:t>it</w:t>
      </w:r>
      <w:r w:rsidR="00833DF2">
        <w:rPr>
          <w:lang w:eastAsia="en-US"/>
        </w:rPr>
        <w:t xml:space="preserve"> is registered on the Federal Register of Legislative Instruments.</w:t>
      </w:r>
    </w:p>
    <w:p w:rsidR="00000B7F" w:rsidRPr="00180F60" w:rsidRDefault="004541E9" w:rsidP="00524001">
      <w:pPr>
        <w:spacing w:before="240"/>
        <w:ind w:right="91"/>
        <w:rPr>
          <w:bCs/>
          <w:u w:val="single"/>
          <w:lang w:eastAsia="en-US"/>
        </w:rPr>
      </w:pPr>
      <w:r>
        <w:rPr>
          <w:bCs/>
          <w:u w:val="single"/>
          <w:lang w:eastAsia="en-US"/>
        </w:rPr>
        <w:t>Section</w:t>
      </w:r>
      <w:r w:rsidR="00000B7F" w:rsidRPr="00180F60">
        <w:rPr>
          <w:bCs/>
          <w:u w:val="single"/>
          <w:lang w:eastAsia="en-US"/>
        </w:rPr>
        <w:t xml:space="preserve"> 3 – Authority</w:t>
      </w:r>
    </w:p>
    <w:p w:rsidR="00000B7F" w:rsidRPr="00180F60" w:rsidRDefault="00000B7F" w:rsidP="00524001">
      <w:pPr>
        <w:spacing w:before="240"/>
        <w:ind w:right="91"/>
        <w:rPr>
          <w:lang w:eastAsia="en-US"/>
        </w:rPr>
      </w:pPr>
      <w:r w:rsidRPr="00180F60">
        <w:rPr>
          <w:lang w:eastAsia="en-US"/>
        </w:rPr>
        <w:t xml:space="preserve">This </w:t>
      </w:r>
      <w:r w:rsidR="004541E9">
        <w:rPr>
          <w:lang w:eastAsia="en-US"/>
        </w:rPr>
        <w:t>section</w:t>
      </w:r>
      <w:r w:rsidRPr="00180F60">
        <w:rPr>
          <w:lang w:eastAsia="en-US"/>
        </w:rPr>
        <w:t xml:space="preserve"> provides that the </w:t>
      </w:r>
      <w:r w:rsidR="00D126B1">
        <w:rPr>
          <w:lang w:eastAsia="en-US"/>
        </w:rPr>
        <w:t>Amendment Regulation</w:t>
      </w:r>
      <w:r w:rsidRPr="00180F60">
        <w:rPr>
          <w:lang w:eastAsia="en-US"/>
        </w:rPr>
        <w:t xml:space="preserve"> is made under the </w:t>
      </w:r>
      <w:r>
        <w:rPr>
          <w:i/>
          <w:lang w:eastAsia="en-US"/>
        </w:rPr>
        <w:t>Australian Education Act 2013</w:t>
      </w:r>
      <w:r w:rsidRPr="00180F60">
        <w:rPr>
          <w:i/>
          <w:lang w:eastAsia="en-US"/>
        </w:rPr>
        <w:t>.</w:t>
      </w:r>
    </w:p>
    <w:p w:rsidR="00000B7F" w:rsidRPr="00180F60" w:rsidRDefault="004541E9" w:rsidP="00524001">
      <w:pPr>
        <w:spacing w:before="240"/>
        <w:ind w:right="91"/>
        <w:rPr>
          <w:u w:val="single"/>
          <w:lang w:eastAsia="en-US"/>
        </w:rPr>
      </w:pPr>
      <w:r>
        <w:rPr>
          <w:u w:val="single"/>
          <w:lang w:eastAsia="en-US"/>
        </w:rPr>
        <w:t>Section</w:t>
      </w:r>
      <w:r w:rsidR="005C261E">
        <w:rPr>
          <w:u w:val="single"/>
          <w:lang w:eastAsia="en-US"/>
        </w:rPr>
        <w:t xml:space="preserve"> 4 – Schedules</w:t>
      </w:r>
      <w:r w:rsidR="004B0011">
        <w:rPr>
          <w:u w:val="single"/>
          <w:lang w:eastAsia="en-US"/>
        </w:rPr>
        <w:br/>
      </w:r>
    </w:p>
    <w:p w:rsidR="00000B7F" w:rsidRPr="00180F60" w:rsidRDefault="004B0011" w:rsidP="00000B7F">
      <w:pPr>
        <w:ind w:right="91"/>
        <w:rPr>
          <w:lang w:eastAsia="en-US"/>
        </w:rPr>
      </w:pPr>
      <w:r>
        <w:rPr>
          <w:lang w:eastAsia="en-US"/>
        </w:rPr>
        <w:t xml:space="preserve">This </w:t>
      </w:r>
      <w:r w:rsidR="004541E9">
        <w:rPr>
          <w:lang w:eastAsia="en-US"/>
        </w:rPr>
        <w:t xml:space="preserve">section </w:t>
      </w:r>
      <w:r>
        <w:rPr>
          <w:lang w:eastAsia="en-US"/>
        </w:rPr>
        <w:t xml:space="preserve">provides that </w:t>
      </w:r>
      <w:r w:rsidR="00000B7F" w:rsidRPr="00180F60">
        <w:rPr>
          <w:lang w:eastAsia="en-US"/>
        </w:rPr>
        <w:t>each instrument that is specified in a Schedule to th</w:t>
      </w:r>
      <w:r w:rsidR="002B1EFE">
        <w:rPr>
          <w:lang w:eastAsia="en-US"/>
        </w:rPr>
        <w:t>e</w:t>
      </w:r>
      <w:r w:rsidR="00000B7F" w:rsidRPr="00180F60">
        <w:rPr>
          <w:lang w:eastAsia="en-US"/>
        </w:rPr>
        <w:t xml:space="preserve"> instrument is amended or repealed as set out in the applicable items in the Schedule concerned, and any other item in a Schedule to th</w:t>
      </w:r>
      <w:r w:rsidR="002B1EFE">
        <w:rPr>
          <w:lang w:eastAsia="en-US"/>
        </w:rPr>
        <w:t>e</w:t>
      </w:r>
      <w:r w:rsidR="00000B7F" w:rsidRPr="00180F60">
        <w:rPr>
          <w:lang w:eastAsia="en-US"/>
        </w:rPr>
        <w:t xml:space="preserve"> instrument has effect according to its terms.</w:t>
      </w:r>
    </w:p>
    <w:p w:rsidR="00000B7F" w:rsidRPr="00180F60" w:rsidRDefault="00000B7F" w:rsidP="00524001">
      <w:pPr>
        <w:spacing w:before="240"/>
        <w:ind w:right="91"/>
        <w:rPr>
          <w:u w:val="single"/>
          <w:lang w:eastAsia="en-US"/>
        </w:rPr>
      </w:pPr>
      <w:r w:rsidRPr="00180F60">
        <w:rPr>
          <w:u w:val="single"/>
          <w:lang w:eastAsia="en-US"/>
        </w:rPr>
        <w:t xml:space="preserve">Schedule 1 </w:t>
      </w:r>
      <w:r w:rsidR="009F6171">
        <w:rPr>
          <w:u w:val="single"/>
          <w:lang w:eastAsia="en-US"/>
        </w:rPr>
        <w:t>–</w:t>
      </w:r>
      <w:r w:rsidRPr="00180F60">
        <w:rPr>
          <w:u w:val="single"/>
          <w:lang w:eastAsia="en-US"/>
        </w:rPr>
        <w:t xml:space="preserve"> </w:t>
      </w:r>
      <w:r w:rsidR="009A4AC6">
        <w:rPr>
          <w:u w:val="single"/>
          <w:lang w:eastAsia="en-US"/>
        </w:rPr>
        <w:t>Amendments</w:t>
      </w:r>
    </w:p>
    <w:p w:rsidR="00F212F9" w:rsidRDefault="00F212F9" w:rsidP="000135C8">
      <w:pPr>
        <w:rPr>
          <w:lang w:eastAsia="en-US"/>
        </w:rPr>
      </w:pPr>
    </w:p>
    <w:p w:rsidR="005D6097" w:rsidRPr="00967557" w:rsidRDefault="005D6097" w:rsidP="005D6097">
      <w:pPr>
        <w:rPr>
          <w:lang w:eastAsia="en-US"/>
        </w:rPr>
      </w:pPr>
      <w:r>
        <w:rPr>
          <w:b/>
          <w:lang w:eastAsia="en-US"/>
        </w:rPr>
        <w:t>Item 1</w:t>
      </w:r>
      <w:r>
        <w:rPr>
          <w:lang w:eastAsia="en-US"/>
        </w:rPr>
        <w:t xml:space="preserve"> updates the website address information in the note to the definition of </w:t>
      </w:r>
      <w:r w:rsidRPr="001C4292">
        <w:rPr>
          <w:i/>
          <w:lang w:eastAsia="en-US"/>
        </w:rPr>
        <w:t>Data Standards Manual: Student Background Characteristics</w:t>
      </w:r>
      <w:r>
        <w:rPr>
          <w:lang w:eastAsia="en-US"/>
        </w:rPr>
        <w:t xml:space="preserve"> in subsection 4(1) of the Principal Regulation.</w:t>
      </w:r>
    </w:p>
    <w:p w:rsidR="005D6097" w:rsidRDefault="005D6097" w:rsidP="005D6097">
      <w:pPr>
        <w:rPr>
          <w:lang w:eastAsia="en-US"/>
        </w:rPr>
      </w:pPr>
    </w:p>
    <w:p w:rsidR="005C13A0" w:rsidRPr="005351F4" w:rsidRDefault="005C13A0" w:rsidP="000135C8">
      <w:pPr>
        <w:rPr>
          <w:lang w:eastAsia="en-US"/>
        </w:rPr>
      </w:pPr>
      <w:r>
        <w:rPr>
          <w:b/>
          <w:lang w:eastAsia="en-US"/>
        </w:rPr>
        <w:t>Item</w:t>
      </w:r>
      <w:r w:rsidR="005960F0">
        <w:rPr>
          <w:b/>
          <w:lang w:eastAsia="en-US"/>
        </w:rPr>
        <w:t xml:space="preserve"> </w:t>
      </w:r>
      <w:r w:rsidR="005D6097">
        <w:rPr>
          <w:b/>
          <w:lang w:eastAsia="en-US"/>
        </w:rPr>
        <w:t>2</w:t>
      </w:r>
      <w:r>
        <w:rPr>
          <w:b/>
          <w:lang w:eastAsia="en-US"/>
        </w:rPr>
        <w:t xml:space="preserve"> </w:t>
      </w:r>
      <w:r w:rsidR="009A4AC6">
        <w:rPr>
          <w:lang w:eastAsia="en-US"/>
        </w:rPr>
        <w:t xml:space="preserve">removes the definition of </w:t>
      </w:r>
      <w:r w:rsidR="005C261E">
        <w:rPr>
          <w:lang w:eastAsia="en-US"/>
        </w:rPr>
        <w:t>‘</w:t>
      </w:r>
      <w:r w:rsidR="009A4AC6">
        <w:rPr>
          <w:lang w:eastAsia="en-US"/>
        </w:rPr>
        <w:t>participating non-government school</w:t>
      </w:r>
      <w:r w:rsidR="005C261E">
        <w:rPr>
          <w:lang w:eastAsia="en-US"/>
        </w:rPr>
        <w:t>’</w:t>
      </w:r>
      <w:r w:rsidR="009A4AC6">
        <w:rPr>
          <w:lang w:eastAsia="en-US"/>
        </w:rPr>
        <w:t xml:space="preserve"> in subsection 4(1)</w:t>
      </w:r>
      <w:r w:rsidR="00C214B7">
        <w:rPr>
          <w:lang w:eastAsia="en-US"/>
        </w:rPr>
        <w:t xml:space="preserve"> </w:t>
      </w:r>
      <w:r w:rsidR="001C4292">
        <w:rPr>
          <w:lang w:eastAsia="en-US"/>
        </w:rPr>
        <w:t xml:space="preserve">of the </w:t>
      </w:r>
      <w:r w:rsidR="00C214B7">
        <w:rPr>
          <w:i/>
          <w:lang w:eastAsia="en-US"/>
        </w:rPr>
        <w:t xml:space="preserve">Australian Education Regulation 2013 </w:t>
      </w:r>
      <w:r w:rsidR="00C214B7">
        <w:rPr>
          <w:lang w:eastAsia="en-US"/>
        </w:rPr>
        <w:t>(</w:t>
      </w:r>
      <w:r w:rsidR="00C214B7">
        <w:rPr>
          <w:b/>
          <w:lang w:eastAsia="en-US"/>
        </w:rPr>
        <w:t xml:space="preserve">the </w:t>
      </w:r>
      <w:r w:rsidR="001C4292">
        <w:rPr>
          <w:b/>
          <w:lang w:eastAsia="en-US"/>
        </w:rPr>
        <w:t xml:space="preserve">Principal </w:t>
      </w:r>
      <w:r w:rsidR="00C214B7">
        <w:rPr>
          <w:b/>
          <w:lang w:eastAsia="en-US"/>
        </w:rPr>
        <w:t>Regulation</w:t>
      </w:r>
      <w:r w:rsidR="00C214B7">
        <w:rPr>
          <w:lang w:eastAsia="en-US"/>
        </w:rPr>
        <w:t>)</w:t>
      </w:r>
      <w:r w:rsidR="009A4AC6">
        <w:rPr>
          <w:lang w:eastAsia="en-US"/>
        </w:rPr>
        <w:t xml:space="preserve">. </w:t>
      </w:r>
      <w:r w:rsidR="00967557">
        <w:rPr>
          <w:lang w:eastAsia="en-US"/>
        </w:rPr>
        <w:t xml:space="preserve">Under the </w:t>
      </w:r>
      <w:r w:rsidR="00967557">
        <w:rPr>
          <w:i/>
          <w:lang w:eastAsia="en-US"/>
        </w:rPr>
        <w:t xml:space="preserve">Australian Education Act 2013 </w:t>
      </w:r>
      <w:r w:rsidR="00967557">
        <w:rPr>
          <w:lang w:eastAsia="en-US"/>
        </w:rPr>
        <w:t>(</w:t>
      </w:r>
      <w:r w:rsidR="00967557">
        <w:rPr>
          <w:b/>
          <w:lang w:eastAsia="en-US"/>
        </w:rPr>
        <w:t xml:space="preserve">the </w:t>
      </w:r>
      <w:r w:rsidR="00967557" w:rsidRPr="00967557">
        <w:rPr>
          <w:b/>
          <w:lang w:eastAsia="en-US"/>
        </w:rPr>
        <w:t>Act</w:t>
      </w:r>
      <w:r w:rsidR="00967557">
        <w:rPr>
          <w:lang w:eastAsia="en-US"/>
        </w:rPr>
        <w:t>), only</w:t>
      </w:r>
      <w:r w:rsidR="00B00B1A">
        <w:rPr>
          <w:lang w:eastAsia="en-US"/>
        </w:rPr>
        <w:t xml:space="preserve"> certain government schools are</w:t>
      </w:r>
      <w:r w:rsidR="00967557">
        <w:rPr>
          <w:lang w:eastAsia="en-US"/>
        </w:rPr>
        <w:t xml:space="preserve"> non-participating</w:t>
      </w:r>
      <w:r w:rsidR="00B00B1A">
        <w:rPr>
          <w:lang w:eastAsia="en-US"/>
        </w:rPr>
        <w:t xml:space="preserve"> and all non-government schools are participating.</w:t>
      </w:r>
      <w:r w:rsidR="00967557">
        <w:rPr>
          <w:lang w:eastAsia="en-US"/>
        </w:rPr>
        <w:t xml:space="preserve"> </w:t>
      </w:r>
      <w:r w:rsidR="00B00B1A">
        <w:rPr>
          <w:lang w:eastAsia="en-US"/>
        </w:rPr>
        <w:t>The</w:t>
      </w:r>
      <w:r w:rsidR="00FC3DC3">
        <w:rPr>
          <w:lang w:eastAsia="en-US"/>
        </w:rPr>
        <w:t>refore</w:t>
      </w:r>
      <w:r w:rsidR="00B00B1A">
        <w:rPr>
          <w:lang w:eastAsia="en-US"/>
        </w:rPr>
        <w:t>,</w:t>
      </w:r>
      <w:r w:rsidR="00FC3DC3">
        <w:rPr>
          <w:lang w:eastAsia="en-US"/>
        </w:rPr>
        <w:t xml:space="preserve"> the definition</w:t>
      </w:r>
      <w:r w:rsidR="00B00B1A">
        <w:rPr>
          <w:lang w:eastAsia="en-US"/>
        </w:rPr>
        <w:t xml:space="preserve"> of </w:t>
      </w:r>
      <w:r w:rsidR="005C261E">
        <w:rPr>
          <w:lang w:eastAsia="en-US"/>
        </w:rPr>
        <w:t>‘</w:t>
      </w:r>
      <w:r w:rsidR="00B00B1A">
        <w:rPr>
          <w:lang w:eastAsia="en-US"/>
        </w:rPr>
        <w:t>participating non-government school</w:t>
      </w:r>
      <w:r w:rsidR="005C261E">
        <w:rPr>
          <w:lang w:eastAsia="en-US"/>
        </w:rPr>
        <w:t>’</w:t>
      </w:r>
      <w:r w:rsidR="00B00B1A">
        <w:rPr>
          <w:lang w:eastAsia="en-US"/>
        </w:rPr>
        <w:t xml:space="preserve"> in the </w:t>
      </w:r>
      <w:r w:rsidR="00BF6182">
        <w:rPr>
          <w:lang w:eastAsia="en-US"/>
        </w:rPr>
        <w:t xml:space="preserve">Principal </w:t>
      </w:r>
      <w:r w:rsidR="00B00B1A">
        <w:rPr>
          <w:lang w:eastAsia="en-US"/>
        </w:rPr>
        <w:t>Regulation is unnecessary</w:t>
      </w:r>
      <w:r w:rsidR="00FC3DC3">
        <w:rPr>
          <w:lang w:eastAsia="en-US"/>
        </w:rPr>
        <w:t>.</w:t>
      </w:r>
      <w:r w:rsidR="005351F4">
        <w:rPr>
          <w:lang w:eastAsia="en-US"/>
        </w:rPr>
        <w:t xml:space="preserve"> </w:t>
      </w:r>
      <w:r w:rsidR="005351F4">
        <w:rPr>
          <w:b/>
          <w:lang w:eastAsia="en-US"/>
        </w:rPr>
        <w:t xml:space="preserve">Items </w:t>
      </w:r>
      <w:r w:rsidR="00100D30">
        <w:rPr>
          <w:b/>
          <w:lang w:eastAsia="en-US"/>
        </w:rPr>
        <w:t>38</w:t>
      </w:r>
      <w:r w:rsidR="005351F4">
        <w:rPr>
          <w:b/>
          <w:lang w:eastAsia="en-US"/>
        </w:rPr>
        <w:t xml:space="preserve"> </w:t>
      </w:r>
      <w:r w:rsidR="00123891">
        <w:rPr>
          <w:b/>
          <w:lang w:eastAsia="en-US"/>
        </w:rPr>
        <w:t>to</w:t>
      </w:r>
      <w:r w:rsidR="005351F4">
        <w:rPr>
          <w:b/>
          <w:lang w:eastAsia="en-US"/>
        </w:rPr>
        <w:t xml:space="preserve"> 4</w:t>
      </w:r>
      <w:r w:rsidR="00123891">
        <w:rPr>
          <w:b/>
          <w:lang w:eastAsia="en-US"/>
        </w:rPr>
        <w:t>1</w:t>
      </w:r>
      <w:r w:rsidR="005351F4">
        <w:rPr>
          <w:b/>
          <w:lang w:eastAsia="en-US"/>
        </w:rPr>
        <w:t xml:space="preserve"> </w:t>
      </w:r>
      <w:r w:rsidR="005351F4">
        <w:rPr>
          <w:lang w:eastAsia="en-US"/>
        </w:rPr>
        <w:t xml:space="preserve">are consequential amendments arising from this </w:t>
      </w:r>
      <w:r w:rsidR="005351F4" w:rsidRPr="006D6856">
        <w:rPr>
          <w:lang w:eastAsia="en-US"/>
        </w:rPr>
        <w:t>item</w:t>
      </w:r>
      <w:r w:rsidR="005351F4">
        <w:rPr>
          <w:lang w:eastAsia="en-US"/>
        </w:rPr>
        <w:t>.</w:t>
      </w:r>
    </w:p>
    <w:p w:rsidR="00967557" w:rsidRDefault="00967557" w:rsidP="000135C8">
      <w:pPr>
        <w:rPr>
          <w:lang w:eastAsia="en-US"/>
        </w:rPr>
      </w:pPr>
    </w:p>
    <w:p w:rsidR="00FC3DC3" w:rsidRDefault="00FC3DC3" w:rsidP="000135C8">
      <w:pPr>
        <w:rPr>
          <w:lang w:eastAsia="en-US"/>
        </w:rPr>
      </w:pPr>
      <w:r>
        <w:rPr>
          <w:b/>
          <w:lang w:eastAsia="en-US"/>
        </w:rPr>
        <w:t>Item</w:t>
      </w:r>
      <w:r w:rsidR="00967557">
        <w:rPr>
          <w:b/>
          <w:lang w:eastAsia="en-US"/>
        </w:rPr>
        <w:t xml:space="preserve"> 3</w:t>
      </w:r>
      <w:r>
        <w:rPr>
          <w:b/>
          <w:lang w:eastAsia="en-US"/>
        </w:rPr>
        <w:t xml:space="preserve"> </w:t>
      </w:r>
      <w:r w:rsidR="00B00B1A">
        <w:rPr>
          <w:lang w:eastAsia="en-US"/>
        </w:rPr>
        <w:t>replaces</w:t>
      </w:r>
      <w:r>
        <w:rPr>
          <w:lang w:eastAsia="en-US"/>
        </w:rPr>
        <w:t xml:space="preserve"> an incorrect clause reference in the definition of </w:t>
      </w:r>
      <w:r w:rsidR="005C261E">
        <w:rPr>
          <w:lang w:eastAsia="en-US"/>
        </w:rPr>
        <w:t>‘</w:t>
      </w:r>
      <w:r>
        <w:rPr>
          <w:lang w:eastAsia="en-US"/>
        </w:rPr>
        <w:t>reporting period</w:t>
      </w:r>
      <w:r w:rsidR="005C261E">
        <w:rPr>
          <w:lang w:eastAsia="en-US"/>
        </w:rPr>
        <w:t>’</w:t>
      </w:r>
      <w:r>
        <w:rPr>
          <w:lang w:eastAsia="en-US"/>
        </w:rPr>
        <w:t xml:space="preserve"> in subsection 4(1)</w:t>
      </w:r>
      <w:r w:rsidR="00C214B7">
        <w:rPr>
          <w:lang w:eastAsia="en-US"/>
        </w:rPr>
        <w:t xml:space="preserve"> of the </w:t>
      </w:r>
      <w:r w:rsidR="001C4292">
        <w:rPr>
          <w:lang w:eastAsia="en-US"/>
        </w:rPr>
        <w:t xml:space="preserve">Principal </w:t>
      </w:r>
      <w:r w:rsidR="00C214B7">
        <w:rPr>
          <w:lang w:eastAsia="en-US"/>
        </w:rPr>
        <w:t>Regulation</w:t>
      </w:r>
      <w:r>
        <w:rPr>
          <w:lang w:eastAsia="en-US"/>
        </w:rPr>
        <w:t>. The correct clause reference is su</w:t>
      </w:r>
      <w:r w:rsidR="00C214B7">
        <w:rPr>
          <w:lang w:eastAsia="en-US"/>
        </w:rPr>
        <w:t xml:space="preserve">bsection 52(4) of the </w:t>
      </w:r>
      <w:r w:rsidR="001C4292">
        <w:rPr>
          <w:lang w:eastAsia="en-US"/>
        </w:rPr>
        <w:t xml:space="preserve">Principal </w:t>
      </w:r>
      <w:r w:rsidR="00C214B7">
        <w:rPr>
          <w:lang w:eastAsia="en-US"/>
        </w:rPr>
        <w:t>Regulation</w:t>
      </w:r>
      <w:r>
        <w:rPr>
          <w:lang w:eastAsia="en-US"/>
        </w:rPr>
        <w:t>.</w:t>
      </w:r>
    </w:p>
    <w:p w:rsidR="00FC3DC3" w:rsidRDefault="00FC3DC3" w:rsidP="000135C8">
      <w:pPr>
        <w:rPr>
          <w:lang w:eastAsia="en-US"/>
        </w:rPr>
      </w:pPr>
    </w:p>
    <w:p w:rsidR="00C214B7" w:rsidRDefault="00FC3DC3" w:rsidP="000135C8">
      <w:pPr>
        <w:rPr>
          <w:lang w:eastAsia="en-US"/>
        </w:rPr>
      </w:pPr>
      <w:r>
        <w:rPr>
          <w:b/>
          <w:lang w:eastAsia="en-US"/>
        </w:rPr>
        <w:t>Item</w:t>
      </w:r>
      <w:r w:rsidR="009E4580">
        <w:rPr>
          <w:b/>
          <w:lang w:eastAsia="en-US"/>
        </w:rPr>
        <w:t xml:space="preserve"> </w:t>
      </w:r>
      <w:r w:rsidR="00B00B1A">
        <w:rPr>
          <w:b/>
          <w:lang w:eastAsia="en-US"/>
        </w:rPr>
        <w:t>4</w:t>
      </w:r>
      <w:r>
        <w:rPr>
          <w:lang w:eastAsia="en-US"/>
        </w:rPr>
        <w:t xml:space="preserve"> </w:t>
      </w:r>
      <w:r w:rsidR="00C214B7">
        <w:rPr>
          <w:lang w:eastAsia="en-US"/>
        </w:rPr>
        <w:t xml:space="preserve">amends paragraph 4(2)(b) of the </w:t>
      </w:r>
      <w:r w:rsidR="001C4292">
        <w:rPr>
          <w:lang w:eastAsia="en-US"/>
        </w:rPr>
        <w:t xml:space="preserve">Principal </w:t>
      </w:r>
      <w:r w:rsidR="00C214B7">
        <w:rPr>
          <w:lang w:eastAsia="en-US"/>
        </w:rPr>
        <w:t>Regulation</w:t>
      </w:r>
      <w:r w:rsidR="00B00B1A">
        <w:rPr>
          <w:lang w:eastAsia="en-US"/>
        </w:rPr>
        <w:t xml:space="preserve"> by replacing the words </w:t>
      </w:r>
      <w:r w:rsidR="005C261E">
        <w:rPr>
          <w:lang w:eastAsia="en-US"/>
        </w:rPr>
        <w:t>‘</w:t>
      </w:r>
      <w:r w:rsidR="00B00B1A">
        <w:rPr>
          <w:lang w:eastAsia="en-US"/>
        </w:rPr>
        <w:t>the entire</w:t>
      </w:r>
      <w:r w:rsidR="005C261E">
        <w:rPr>
          <w:lang w:eastAsia="en-US"/>
        </w:rPr>
        <w:t>’</w:t>
      </w:r>
      <w:r w:rsidR="00B00B1A">
        <w:rPr>
          <w:lang w:eastAsia="en-US"/>
        </w:rPr>
        <w:t xml:space="preserve"> with the words </w:t>
      </w:r>
      <w:r w:rsidR="005C261E">
        <w:rPr>
          <w:lang w:eastAsia="en-US"/>
        </w:rPr>
        <w:t>‘</w:t>
      </w:r>
      <w:r w:rsidR="00B00B1A">
        <w:rPr>
          <w:lang w:eastAsia="en-US"/>
        </w:rPr>
        <w:t>any part of the</w:t>
      </w:r>
      <w:r w:rsidR="005C261E">
        <w:rPr>
          <w:lang w:eastAsia="en-US"/>
        </w:rPr>
        <w:t>’</w:t>
      </w:r>
      <w:r w:rsidR="00077F23">
        <w:rPr>
          <w:lang w:eastAsia="en-US"/>
        </w:rPr>
        <w:t xml:space="preserve"> in relation to enrolled students taken into account for the purposes of a school’s attendance rate</w:t>
      </w:r>
      <w:r w:rsidR="00AE4B0C">
        <w:rPr>
          <w:lang w:eastAsia="en-US"/>
        </w:rPr>
        <w:t>.</w:t>
      </w:r>
      <w:r w:rsidR="00005D51">
        <w:rPr>
          <w:lang w:eastAsia="en-US"/>
        </w:rPr>
        <w:t xml:space="preserve"> The amendment is necessary </w:t>
      </w:r>
      <w:r w:rsidR="00BF6182">
        <w:rPr>
          <w:lang w:eastAsia="en-US"/>
        </w:rPr>
        <w:t>so</w:t>
      </w:r>
      <w:r w:rsidR="00F16344">
        <w:rPr>
          <w:lang w:eastAsia="en-US"/>
        </w:rPr>
        <w:t xml:space="preserve"> that the</w:t>
      </w:r>
      <w:r w:rsidR="00005D51">
        <w:rPr>
          <w:lang w:eastAsia="en-US"/>
        </w:rPr>
        <w:t xml:space="preserve"> definition of </w:t>
      </w:r>
      <w:r w:rsidR="00005D51" w:rsidRPr="0090077D">
        <w:rPr>
          <w:b/>
          <w:i/>
          <w:lang w:eastAsia="en-US"/>
        </w:rPr>
        <w:t>attendance rate</w:t>
      </w:r>
      <w:r w:rsidR="00005D51">
        <w:rPr>
          <w:lang w:eastAsia="en-US"/>
        </w:rPr>
        <w:t xml:space="preserve"> </w:t>
      </w:r>
      <w:r w:rsidR="00F16344">
        <w:rPr>
          <w:lang w:eastAsia="en-US"/>
        </w:rPr>
        <w:t>in the Principal Regulation</w:t>
      </w:r>
      <w:r w:rsidR="00322F48">
        <w:rPr>
          <w:lang w:eastAsia="en-US"/>
        </w:rPr>
        <w:t xml:space="preserve"> </w:t>
      </w:r>
      <w:r w:rsidR="0090077D" w:rsidRPr="0090077D">
        <w:rPr>
          <w:lang w:eastAsia="en-US"/>
        </w:rPr>
        <w:t xml:space="preserve">applies to all students who are full-time students for any part of the </w:t>
      </w:r>
      <w:r w:rsidR="00F16344">
        <w:rPr>
          <w:lang w:eastAsia="en-US"/>
        </w:rPr>
        <w:t xml:space="preserve">relevant </w:t>
      </w:r>
      <w:r w:rsidR="0090077D" w:rsidRPr="0090077D">
        <w:rPr>
          <w:lang w:eastAsia="en-US"/>
        </w:rPr>
        <w:t>re</w:t>
      </w:r>
      <w:r w:rsidR="00322F48">
        <w:rPr>
          <w:lang w:eastAsia="en-US"/>
        </w:rPr>
        <w:t>porting</w:t>
      </w:r>
      <w:r w:rsidR="0090077D" w:rsidRPr="0090077D">
        <w:rPr>
          <w:lang w:eastAsia="en-US"/>
        </w:rPr>
        <w:t xml:space="preserve"> period. The amendment </w:t>
      </w:r>
      <w:r w:rsidR="00322F48">
        <w:rPr>
          <w:lang w:eastAsia="en-US"/>
        </w:rPr>
        <w:t>ensures</w:t>
      </w:r>
      <w:r w:rsidR="0090077D" w:rsidRPr="0090077D">
        <w:rPr>
          <w:lang w:eastAsia="en-US"/>
        </w:rPr>
        <w:t xml:space="preserve"> the definition of </w:t>
      </w:r>
      <w:r w:rsidR="0090077D" w:rsidRPr="0090077D">
        <w:rPr>
          <w:b/>
          <w:i/>
          <w:lang w:eastAsia="en-US"/>
        </w:rPr>
        <w:t>attendance rate</w:t>
      </w:r>
      <w:r w:rsidR="0090077D" w:rsidRPr="0090077D">
        <w:rPr>
          <w:lang w:eastAsia="en-US"/>
        </w:rPr>
        <w:t xml:space="preserve"> </w:t>
      </w:r>
      <w:r w:rsidR="00322F48">
        <w:rPr>
          <w:lang w:eastAsia="en-US"/>
        </w:rPr>
        <w:t xml:space="preserve">is </w:t>
      </w:r>
      <w:r w:rsidR="0090077D" w:rsidRPr="0090077D">
        <w:rPr>
          <w:lang w:eastAsia="en-US"/>
        </w:rPr>
        <w:t>consistent with government data collections as agreed through the Ministerial Council</w:t>
      </w:r>
      <w:r w:rsidR="00C214B7">
        <w:rPr>
          <w:lang w:eastAsia="en-US"/>
        </w:rPr>
        <w:t>.</w:t>
      </w:r>
    </w:p>
    <w:p w:rsidR="00C214B7" w:rsidRDefault="00C214B7" w:rsidP="000135C8">
      <w:pPr>
        <w:rPr>
          <w:lang w:eastAsia="en-US"/>
        </w:rPr>
      </w:pPr>
    </w:p>
    <w:p w:rsidR="006D6856" w:rsidRDefault="006D6856" w:rsidP="000135C8">
      <w:pPr>
        <w:rPr>
          <w:b/>
          <w:lang w:eastAsia="en-US"/>
        </w:rPr>
      </w:pPr>
    </w:p>
    <w:p w:rsidR="006D6856" w:rsidRDefault="006D6856" w:rsidP="000135C8">
      <w:pPr>
        <w:rPr>
          <w:b/>
          <w:lang w:eastAsia="en-US"/>
        </w:rPr>
      </w:pPr>
    </w:p>
    <w:p w:rsidR="004C48C1" w:rsidRDefault="00C214B7" w:rsidP="000135C8">
      <w:pPr>
        <w:rPr>
          <w:lang w:eastAsia="en-US"/>
        </w:rPr>
      </w:pPr>
      <w:r>
        <w:rPr>
          <w:b/>
          <w:lang w:eastAsia="en-US"/>
        </w:rPr>
        <w:t>Item</w:t>
      </w:r>
      <w:r w:rsidR="00B00B1A">
        <w:rPr>
          <w:b/>
          <w:lang w:eastAsia="en-US"/>
        </w:rPr>
        <w:t xml:space="preserve"> 5</w:t>
      </w:r>
      <w:r>
        <w:rPr>
          <w:b/>
          <w:lang w:eastAsia="en-US"/>
        </w:rPr>
        <w:t xml:space="preserve"> </w:t>
      </w:r>
      <w:r>
        <w:rPr>
          <w:lang w:eastAsia="en-US"/>
        </w:rPr>
        <w:t xml:space="preserve">replaces subsection 11(2) of the </w:t>
      </w:r>
      <w:r w:rsidR="001C4292">
        <w:rPr>
          <w:lang w:eastAsia="en-US"/>
        </w:rPr>
        <w:t xml:space="preserve">Principal </w:t>
      </w:r>
      <w:r>
        <w:rPr>
          <w:lang w:eastAsia="en-US"/>
        </w:rPr>
        <w:t>Regulation in order to provide clarity that the arrangeme</w:t>
      </w:r>
      <w:r w:rsidR="009E4580">
        <w:rPr>
          <w:lang w:eastAsia="en-US"/>
        </w:rPr>
        <w:t>nt a State or Territory has</w:t>
      </w:r>
      <w:r>
        <w:rPr>
          <w:lang w:eastAsia="en-US"/>
        </w:rPr>
        <w:t xml:space="preserve"> with each relevant approved authority, block grant authority and non-government representative body must be in force and can be a statutory arrangement or contractual. This</w:t>
      </w:r>
      <w:r w:rsidR="009E4580">
        <w:rPr>
          <w:lang w:eastAsia="en-US"/>
        </w:rPr>
        <w:t xml:space="preserve"> amendment shifts the emphasis i</w:t>
      </w:r>
      <w:r w:rsidR="005C0E97">
        <w:rPr>
          <w:lang w:eastAsia="en-US"/>
        </w:rPr>
        <w:t xml:space="preserve">n subsection 11(2) </w:t>
      </w:r>
      <w:r>
        <w:rPr>
          <w:lang w:eastAsia="en-US"/>
        </w:rPr>
        <w:t>from requiring the making of the arrangement</w:t>
      </w:r>
      <w:r w:rsidR="00733FC4">
        <w:rPr>
          <w:lang w:eastAsia="en-US"/>
        </w:rPr>
        <w:t xml:space="preserve"> with an approved authority </w:t>
      </w:r>
      <w:proofErr w:type="spellStart"/>
      <w:r w:rsidR="00733FC4">
        <w:rPr>
          <w:lang w:eastAsia="en-US"/>
        </w:rPr>
        <w:t>etc</w:t>
      </w:r>
      <w:proofErr w:type="spellEnd"/>
      <w:r>
        <w:rPr>
          <w:lang w:eastAsia="en-US"/>
        </w:rPr>
        <w:t>, to ensuring that the</w:t>
      </w:r>
      <w:r w:rsidR="009E4580">
        <w:rPr>
          <w:lang w:eastAsia="en-US"/>
        </w:rPr>
        <w:t xml:space="preserve"> arrangement</w:t>
      </w:r>
      <w:r>
        <w:rPr>
          <w:lang w:eastAsia="en-US"/>
        </w:rPr>
        <w:t xml:space="preserve"> is</w:t>
      </w:r>
      <w:r w:rsidR="009E4580">
        <w:rPr>
          <w:lang w:eastAsia="en-US"/>
        </w:rPr>
        <w:t xml:space="preserve"> </w:t>
      </w:r>
      <w:r>
        <w:rPr>
          <w:lang w:eastAsia="en-US"/>
        </w:rPr>
        <w:t>in force.</w:t>
      </w:r>
      <w:r w:rsidR="009E4580">
        <w:rPr>
          <w:lang w:eastAsia="en-US"/>
        </w:rPr>
        <w:t xml:space="preserve"> </w:t>
      </w:r>
    </w:p>
    <w:p w:rsidR="009E4580" w:rsidRDefault="00733FC4" w:rsidP="000135C8">
      <w:pPr>
        <w:rPr>
          <w:lang w:eastAsia="en-US"/>
        </w:rPr>
      </w:pPr>
      <w:r>
        <w:rPr>
          <w:lang w:eastAsia="en-US"/>
        </w:rPr>
        <w:t xml:space="preserve">This is because the arrangement could be a provision in State or Territory law, which would not be an arrangement made </w:t>
      </w:r>
      <w:r w:rsidR="005C261E">
        <w:rPr>
          <w:lang w:eastAsia="en-US"/>
        </w:rPr>
        <w:t>‘</w:t>
      </w:r>
      <w:r>
        <w:rPr>
          <w:lang w:eastAsia="en-US"/>
        </w:rPr>
        <w:t>with</w:t>
      </w:r>
      <w:r w:rsidR="005C261E">
        <w:rPr>
          <w:lang w:eastAsia="en-US"/>
        </w:rPr>
        <w:t>’</w:t>
      </w:r>
      <w:r>
        <w:rPr>
          <w:lang w:eastAsia="en-US"/>
        </w:rPr>
        <w:t xml:space="preserve"> an approved authority etc. </w:t>
      </w:r>
      <w:r w:rsidR="00C214B7">
        <w:rPr>
          <w:b/>
          <w:lang w:eastAsia="en-US"/>
        </w:rPr>
        <w:t>Item</w:t>
      </w:r>
      <w:r w:rsidR="00B00B1A">
        <w:rPr>
          <w:b/>
          <w:lang w:eastAsia="en-US"/>
        </w:rPr>
        <w:t xml:space="preserve"> 6</w:t>
      </w:r>
      <w:r w:rsidR="00C214B7">
        <w:rPr>
          <w:b/>
          <w:lang w:eastAsia="en-US"/>
        </w:rPr>
        <w:t xml:space="preserve"> </w:t>
      </w:r>
      <w:r w:rsidR="009E4580">
        <w:rPr>
          <w:lang w:eastAsia="en-US"/>
        </w:rPr>
        <w:t xml:space="preserve">is a consequential amendment arising from </w:t>
      </w:r>
      <w:r w:rsidR="009E4580">
        <w:rPr>
          <w:b/>
          <w:lang w:eastAsia="en-US"/>
        </w:rPr>
        <w:t xml:space="preserve">item </w:t>
      </w:r>
      <w:r w:rsidR="00B00B1A">
        <w:rPr>
          <w:b/>
          <w:lang w:eastAsia="en-US"/>
        </w:rPr>
        <w:t>5</w:t>
      </w:r>
      <w:r w:rsidR="009E4580">
        <w:rPr>
          <w:lang w:eastAsia="en-US"/>
        </w:rPr>
        <w:t>.</w:t>
      </w:r>
    </w:p>
    <w:p w:rsidR="00733FC4" w:rsidRDefault="00733FC4" w:rsidP="000135C8">
      <w:pPr>
        <w:rPr>
          <w:lang w:eastAsia="en-US"/>
        </w:rPr>
      </w:pPr>
    </w:p>
    <w:p w:rsidR="00127000" w:rsidRDefault="00B00B1A" w:rsidP="000135C8">
      <w:pPr>
        <w:rPr>
          <w:lang w:eastAsia="en-US"/>
        </w:rPr>
      </w:pPr>
      <w:r>
        <w:rPr>
          <w:b/>
          <w:lang w:eastAsia="en-US"/>
        </w:rPr>
        <w:t>Item 8</w:t>
      </w:r>
      <w:r w:rsidR="009E4580">
        <w:rPr>
          <w:b/>
          <w:lang w:eastAsia="en-US"/>
        </w:rPr>
        <w:t xml:space="preserve"> </w:t>
      </w:r>
      <w:r w:rsidR="009E4580">
        <w:rPr>
          <w:lang w:eastAsia="en-US"/>
        </w:rPr>
        <w:t>inserts ne</w:t>
      </w:r>
      <w:r w:rsidR="00AE4B0C">
        <w:rPr>
          <w:lang w:eastAsia="en-US"/>
        </w:rPr>
        <w:t xml:space="preserve">w section 13A in the </w:t>
      </w:r>
      <w:r w:rsidR="005C0E97">
        <w:rPr>
          <w:lang w:eastAsia="en-US"/>
        </w:rPr>
        <w:t xml:space="preserve">Principal </w:t>
      </w:r>
      <w:r w:rsidR="00AE4B0C">
        <w:rPr>
          <w:lang w:eastAsia="en-US"/>
        </w:rPr>
        <w:t>Regulation. Under section 27 of the Act, the total entitlement of a participating schoo</w:t>
      </w:r>
      <w:r w:rsidR="005C0E97">
        <w:rPr>
          <w:lang w:eastAsia="en-US"/>
        </w:rPr>
        <w:t>l or an</w:t>
      </w:r>
      <w:r w:rsidR="00AE4B0C">
        <w:rPr>
          <w:lang w:eastAsia="en-US"/>
        </w:rPr>
        <w:t xml:space="preserve"> approved authority for a participating school</w:t>
      </w:r>
      <w:r w:rsidR="005C0E97">
        <w:rPr>
          <w:lang w:eastAsia="en-US"/>
        </w:rPr>
        <w:t xml:space="preserve"> (as the case requires)</w:t>
      </w:r>
      <w:r w:rsidR="00127000">
        <w:rPr>
          <w:lang w:eastAsia="en-US"/>
        </w:rPr>
        <w:t xml:space="preserve"> for a year</w:t>
      </w:r>
      <w:r w:rsidR="00AE4B0C">
        <w:rPr>
          <w:lang w:eastAsia="en-US"/>
        </w:rPr>
        <w:t xml:space="preserve"> is to be determined in accordance with the </w:t>
      </w:r>
      <w:r w:rsidR="005C0E97">
        <w:rPr>
          <w:lang w:eastAsia="en-US"/>
        </w:rPr>
        <w:t xml:space="preserve">Principal </w:t>
      </w:r>
      <w:r w:rsidR="00AE4B0C">
        <w:rPr>
          <w:lang w:eastAsia="en-US"/>
        </w:rPr>
        <w:t xml:space="preserve">Regulation in certain circumstances. Sections 12 and 13 of the </w:t>
      </w:r>
      <w:r w:rsidR="005C0E97">
        <w:rPr>
          <w:lang w:eastAsia="en-US"/>
        </w:rPr>
        <w:t xml:space="preserve">Principal </w:t>
      </w:r>
      <w:r w:rsidR="00AE4B0C">
        <w:rPr>
          <w:lang w:eastAsia="en-US"/>
        </w:rPr>
        <w:t>Regulation then set out how th</w:t>
      </w:r>
      <w:r w:rsidR="00077F23">
        <w:rPr>
          <w:lang w:eastAsia="en-US"/>
        </w:rPr>
        <w:t>e</w:t>
      </w:r>
      <w:r w:rsidR="00AE4B0C">
        <w:rPr>
          <w:lang w:eastAsia="en-US"/>
        </w:rPr>
        <w:t xml:space="preserve"> total entitlement is to be </w:t>
      </w:r>
      <w:r w:rsidR="00127000">
        <w:rPr>
          <w:lang w:eastAsia="en-US"/>
        </w:rPr>
        <w:t xml:space="preserve">so </w:t>
      </w:r>
      <w:r w:rsidR="00AE4B0C">
        <w:rPr>
          <w:lang w:eastAsia="en-US"/>
        </w:rPr>
        <w:t>determined</w:t>
      </w:r>
      <w:r w:rsidR="00127000">
        <w:rPr>
          <w:lang w:eastAsia="en-US"/>
        </w:rPr>
        <w:t xml:space="preserve"> in certain circumstances.</w:t>
      </w:r>
    </w:p>
    <w:p w:rsidR="00127000" w:rsidRDefault="00127000" w:rsidP="000135C8">
      <w:pPr>
        <w:rPr>
          <w:lang w:eastAsia="en-US"/>
        </w:rPr>
      </w:pPr>
    </w:p>
    <w:p w:rsidR="00127000" w:rsidRDefault="005C0E97" w:rsidP="000135C8">
      <w:pPr>
        <w:rPr>
          <w:lang w:eastAsia="en-US"/>
        </w:rPr>
      </w:pPr>
      <w:r>
        <w:rPr>
          <w:lang w:eastAsia="en-US"/>
        </w:rPr>
        <w:t xml:space="preserve">Section 12 </w:t>
      </w:r>
      <w:r w:rsidR="00127000">
        <w:rPr>
          <w:lang w:eastAsia="en-US"/>
        </w:rPr>
        <w:t>applies where the participating school begins to provide primary or secondary education during the year (for example, the school opens for the first time), or the participating school becomes entitled to financial assistance under Part 3 of the Act during the year.</w:t>
      </w:r>
    </w:p>
    <w:p w:rsidR="00127000" w:rsidRDefault="00127000" w:rsidP="000135C8">
      <w:pPr>
        <w:rPr>
          <w:lang w:eastAsia="en-US"/>
        </w:rPr>
      </w:pPr>
    </w:p>
    <w:p w:rsidR="00127000" w:rsidRDefault="005C0E97" w:rsidP="000135C8">
      <w:pPr>
        <w:rPr>
          <w:lang w:eastAsia="en-US"/>
        </w:rPr>
      </w:pPr>
      <w:r>
        <w:rPr>
          <w:lang w:eastAsia="en-US"/>
        </w:rPr>
        <w:t xml:space="preserve">Section 13 </w:t>
      </w:r>
      <w:r w:rsidR="00127000">
        <w:rPr>
          <w:lang w:eastAsia="en-US"/>
        </w:rPr>
        <w:t>applies where the participating school ceases to provide primary or secondary education during the year (for example, the school closes during the year), or the participating school ceases to become entitled to financial assistance under Part 3 of the Act</w:t>
      </w:r>
      <w:r>
        <w:rPr>
          <w:lang w:eastAsia="en-US"/>
        </w:rPr>
        <w:t xml:space="preserve"> during the year</w:t>
      </w:r>
      <w:r w:rsidR="00733FC4">
        <w:rPr>
          <w:lang w:eastAsia="en-US"/>
        </w:rPr>
        <w:t xml:space="preserve"> (for example, the approval of its approved authority is revoked)</w:t>
      </w:r>
      <w:r w:rsidR="00127000">
        <w:rPr>
          <w:lang w:eastAsia="en-US"/>
        </w:rPr>
        <w:t>.</w:t>
      </w:r>
    </w:p>
    <w:p w:rsidR="00127000" w:rsidRDefault="00127000" w:rsidP="000135C8">
      <w:pPr>
        <w:rPr>
          <w:lang w:eastAsia="en-US"/>
        </w:rPr>
      </w:pPr>
    </w:p>
    <w:p w:rsidR="00127000" w:rsidRDefault="005C0E97" w:rsidP="000135C8">
      <w:pPr>
        <w:rPr>
          <w:lang w:eastAsia="en-US"/>
        </w:rPr>
      </w:pPr>
      <w:r>
        <w:rPr>
          <w:lang w:eastAsia="en-US"/>
        </w:rPr>
        <w:t xml:space="preserve">However, an </w:t>
      </w:r>
      <w:r w:rsidR="00127000">
        <w:rPr>
          <w:lang w:eastAsia="en-US"/>
        </w:rPr>
        <w:t>issue arose under the operation of secti</w:t>
      </w:r>
      <w:r>
        <w:rPr>
          <w:lang w:eastAsia="en-US"/>
        </w:rPr>
        <w:t xml:space="preserve">ons 12 and 13 </w:t>
      </w:r>
      <w:r w:rsidR="00127000">
        <w:rPr>
          <w:lang w:eastAsia="en-US"/>
        </w:rPr>
        <w:t xml:space="preserve">where a participating school ceased to provide primary or secondary education during the year </w:t>
      </w:r>
      <w:r w:rsidR="00127000">
        <w:rPr>
          <w:i/>
          <w:lang w:eastAsia="en-US"/>
        </w:rPr>
        <w:t>and</w:t>
      </w:r>
      <w:r w:rsidR="00127000">
        <w:rPr>
          <w:lang w:eastAsia="en-US"/>
        </w:rPr>
        <w:t xml:space="preserve"> then began to provide primary or secondary education during a later part of the </w:t>
      </w:r>
      <w:r w:rsidR="00432D63">
        <w:rPr>
          <w:lang w:eastAsia="en-US"/>
        </w:rPr>
        <w:t xml:space="preserve">same </w:t>
      </w:r>
      <w:r w:rsidR="00127000">
        <w:rPr>
          <w:lang w:eastAsia="en-US"/>
        </w:rPr>
        <w:t>year (that is, the school closed and then re-opened). This caused a</w:t>
      </w:r>
      <w:r>
        <w:rPr>
          <w:lang w:eastAsia="en-US"/>
        </w:rPr>
        <w:t>n inconsistency to arise in relation to</w:t>
      </w:r>
      <w:r w:rsidR="00127000">
        <w:rPr>
          <w:lang w:eastAsia="en-US"/>
        </w:rPr>
        <w:t xml:space="preserve"> the operation of sectio</w:t>
      </w:r>
      <w:r>
        <w:rPr>
          <w:lang w:eastAsia="en-US"/>
        </w:rPr>
        <w:t>ns 12 and 13</w:t>
      </w:r>
      <w:r w:rsidR="00CD7E84">
        <w:rPr>
          <w:lang w:eastAsia="en-US"/>
        </w:rPr>
        <w:t>, with possible adverse out</w:t>
      </w:r>
      <w:r>
        <w:rPr>
          <w:lang w:eastAsia="en-US"/>
        </w:rPr>
        <w:t>comes arising</w:t>
      </w:r>
      <w:r w:rsidR="00CD7E84">
        <w:rPr>
          <w:lang w:eastAsia="en-US"/>
        </w:rPr>
        <w:t xml:space="preserve">. For example, if a participating school both closed and then re-opened after the first Friday in August of a year, section 13 of the </w:t>
      </w:r>
      <w:r>
        <w:rPr>
          <w:lang w:eastAsia="en-US"/>
        </w:rPr>
        <w:t>Principal Regulation provides that the</w:t>
      </w:r>
      <w:r w:rsidR="00CD7E84">
        <w:rPr>
          <w:lang w:eastAsia="en-US"/>
        </w:rPr>
        <w:t xml:space="preserve"> full amount of financial assistance is to be determined in relation to that school for the year, whereas section 12 provides that no amount of financial assistance is to be determined in relation to that school for the year.</w:t>
      </w:r>
    </w:p>
    <w:p w:rsidR="00AE4B0C" w:rsidRDefault="00AE4B0C" w:rsidP="000135C8">
      <w:pPr>
        <w:rPr>
          <w:lang w:eastAsia="en-US"/>
        </w:rPr>
      </w:pPr>
    </w:p>
    <w:p w:rsidR="00077F23" w:rsidRDefault="005C0E97" w:rsidP="000135C8">
      <w:pPr>
        <w:rPr>
          <w:lang w:eastAsia="en-US"/>
        </w:rPr>
      </w:pPr>
      <w:r>
        <w:rPr>
          <w:lang w:eastAsia="en-US"/>
        </w:rPr>
        <w:t xml:space="preserve">New section 13A will </w:t>
      </w:r>
      <w:r w:rsidR="00CD7E84">
        <w:rPr>
          <w:lang w:eastAsia="en-US"/>
        </w:rPr>
        <w:t xml:space="preserve">ensure that in such circumstances, or </w:t>
      </w:r>
      <w:r>
        <w:rPr>
          <w:lang w:eastAsia="en-US"/>
        </w:rPr>
        <w:t xml:space="preserve">in </w:t>
      </w:r>
      <w:r w:rsidR="00CD7E84">
        <w:rPr>
          <w:lang w:eastAsia="en-US"/>
        </w:rPr>
        <w:t xml:space="preserve">other special circumstances that may arise which may mean that both sections 12 and 13 of the </w:t>
      </w:r>
      <w:r>
        <w:rPr>
          <w:lang w:eastAsia="en-US"/>
        </w:rPr>
        <w:t xml:space="preserve">Principal </w:t>
      </w:r>
      <w:r w:rsidR="00CD7E84">
        <w:rPr>
          <w:lang w:eastAsia="en-US"/>
        </w:rPr>
        <w:t xml:space="preserve">Regulation apply to a participating school in the same year, the Minister can determine an amount of financial assistance in relation to the participating school that ensures no adverse outcomes arise. For example, </w:t>
      </w:r>
      <w:r w:rsidR="00077F23">
        <w:rPr>
          <w:lang w:eastAsia="en-US"/>
        </w:rPr>
        <w:t xml:space="preserve">where a participating school both closes and re-opens in the same year, the financial assistance that is payable in relation to that school </w:t>
      </w:r>
      <w:r>
        <w:rPr>
          <w:lang w:eastAsia="en-US"/>
        </w:rPr>
        <w:t>will be able to reflect the total</w:t>
      </w:r>
      <w:r w:rsidR="00077F23">
        <w:rPr>
          <w:lang w:eastAsia="en-US"/>
        </w:rPr>
        <w:t xml:space="preserve"> number of days in the year that school provided primary or secondary education.</w:t>
      </w:r>
      <w:r w:rsidR="0023211E">
        <w:rPr>
          <w:lang w:eastAsia="en-US"/>
        </w:rPr>
        <w:t xml:space="preserve"> In addition, new </w:t>
      </w:r>
      <w:r w:rsidR="00733FC4">
        <w:rPr>
          <w:lang w:eastAsia="en-US"/>
        </w:rPr>
        <w:t>paragraph 13A(2)(b)</w:t>
      </w:r>
      <w:r w:rsidR="0023211E">
        <w:rPr>
          <w:lang w:eastAsia="en-US"/>
        </w:rPr>
        <w:t xml:space="preserve"> will ensure that the Minister cannot determine an amount of financial assistance that is more than the full amount of financial assistance for the participating school as calculated under the Act.</w:t>
      </w:r>
      <w:r w:rsidR="00077F23">
        <w:rPr>
          <w:lang w:eastAsia="en-US"/>
        </w:rPr>
        <w:t xml:space="preserve"> </w:t>
      </w:r>
      <w:r w:rsidR="00B00B1A">
        <w:rPr>
          <w:b/>
          <w:lang w:eastAsia="en-US"/>
        </w:rPr>
        <w:t>Item 7</w:t>
      </w:r>
      <w:r w:rsidR="00B00B1A">
        <w:rPr>
          <w:lang w:eastAsia="en-US"/>
        </w:rPr>
        <w:t xml:space="preserve"> is a consequential amendment</w:t>
      </w:r>
      <w:r w:rsidR="009E4580">
        <w:rPr>
          <w:lang w:eastAsia="en-US"/>
        </w:rPr>
        <w:t xml:space="preserve"> arising from </w:t>
      </w:r>
      <w:r w:rsidR="009E4580">
        <w:rPr>
          <w:b/>
          <w:lang w:eastAsia="en-US"/>
        </w:rPr>
        <w:t xml:space="preserve">item </w:t>
      </w:r>
      <w:r w:rsidR="00B00B1A">
        <w:rPr>
          <w:b/>
          <w:lang w:eastAsia="en-US"/>
        </w:rPr>
        <w:t>8</w:t>
      </w:r>
      <w:r w:rsidR="009E4580">
        <w:rPr>
          <w:lang w:eastAsia="en-US"/>
        </w:rPr>
        <w:t xml:space="preserve">, as section 13A will </w:t>
      </w:r>
      <w:r w:rsidR="00077F23">
        <w:rPr>
          <w:lang w:eastAsia="en-US"/>
        </w:rPr>
        <w:t xml:space="preserve">need to </w:t>
      </w:r>
      <w:r w:rsidR="009E4580">
        <w:rPr>
          <w:lang w:eastAsia="en-US"/>
        </w:rPr>
        <w:t>operate instead of section 12 or 13 as the case requires.</w:t>
      </w:r>
    </w:p>
    <w:p w:rsidR="00077F23" w:rsidRDefault="00077F23" w:rsidP="000135C8">
      <w:pPr>
        <w:rPr>
          <w:lang w:eastAsia="en-US"/>
        </w:rPr>
      </w:pPr>
    </w:p>
    <w:p w:rsidR="006D6856" w:rsidRDefault="00077F23" w:rsidP="000135C8">
      <w:pPr>
        <w:rPr>
          <w:lang w:eastAsia="en-US"/>
        </w:rPr>
      </w:pPr>
      <w:r>
        <w:rPr>
          <w:b/>
          <w:lang w:eastAsia="en-US"/>
        </w:rPr>
        <w:t xml:space="preserve">Item 9 </w:t>
      </w:r>
      <w:r>
        <w:rPr>
          <w:lang w:eastAsia="en-US"/>
        </w:rPr>
        <w:t xml:space="preserve">replaces sections 18 and 19 of the </w:t>
      </w:r>
      <w:r w:rsidR="005C0E97">
        <w:rPr>
          <w:lang w:eastAsia="en-US"/>
        </w:rPr>
        <w:t xml:space="preserve">Principal </w:t>
      </w:r>
      <w:r>
        <w:rPr>
          <w:lang w:eastAsia="en-US"/>
        </w:rPr>
        <w:t>Regulation</w:t>
      </w:r>
      <w:r w:rsidR="00A15055">
        <w:rPr>
          <w:lang w:eastAsia="en-US"/>
        </w:rPr>
        <w:t xml:space="preserve"> with a new section 18, in order to</w:t>
      </w:r>
      <w:r>
        <w:rPr>
          <w:lang w:eastAsia="en-US"/>
        </w:rPr>
        <w:t xml:space="preserve"> </w:t>
      </w:r>
      <w:r w:rsidR="0090077D">
        <w:rPr>
          <w:lang w:eastAsia="en-US"/>
        </w:rPr>
        <w:t>refine the method used to calculate</w:t>
      </w:r>
      <w:r>
        <w:rPr>
          <w:lang w:eastAsia="en-US"/>
        </w:rPr>
        <w:t xml:space="preserve"> the number of students at a school for</w:t>
      </w:r>
      <w:r w:rsidR="00A15055">
        <w:rPr>
          <w:lang w:eastAsia="en-US"/>
        </w:rPr>
        <w:t xml:space="preserve"> a</w:t>
      </w:r>
      <w:r>
        <w:rPr>
          <w:lang w:eastAsia="en-US"/>
        </w:rPr>
        <w:t xml:space="preserve"> year in quartiles 1 and 2 for the purposes of </w:t>
      </w:r>
      <w:r w:rsidR="00C55657">
        <w:rPr>
          <w:lang w:eastAsia="en-US"/>
        </w:rPr>
        <w:t>the</w:t>
      </w:r>
      <w:r w:rsidR="00A15055">
        <w:rPr>
          <w:lang w:eastAsia="en-US"/>
        </w:rPr>
        <w:t xml:space="preserve"> school’s low socioeconomic status student loading in section 38 of the Act (see subsections 38(4) and 38(7) of the Act)</w:t>
      </w:r>
      <w:r>
        <w:rPr>
          <w:lang w:eastAsia="en-US"/>
        </w:rPr>
        <w:t>.</w:t>
      </w:r>
      <w:r w:rsidR="00A15055">
        <w:rPr>
          <w:lang w:eastAsia="en-US"/>
        </w:rPr>
        <w:t xml:space="preserve"> </w:t>
      </w:r>
    </w:p>
    <w:p w:rsidR="00A15055" w:rsidRDefault="00A15055" w:rsidP="000135C8">
      <w:pPr>
        <w:rPr>
          <w:lang w:eastAsia="en-US"/>
        </w:rPr>
      </w:pPr>
      <w:r>
        <w:rPr>
          <w:lang w:eastAsia="en-US"/>
        </w:rPr>
        <w:t xml:space="preserve">In addition, this </w:t>
      </w:r>
      <w:r>
        <w:rPr>
          <w:b/>
          <w:lang w:eastAsia="en-US"/>
        </w:rPr>
        <w:t>item</w:t>
      </w:r>
      <w:r>
        <w:rPr>
          <w:lang w:eastAsia="en-US"/>
        </w:rPr>
        <w:t xml:space="preserve"> </w:t>
      </w:r>
      <w:r w:rsidR="0090077D">
        <w:rPr>
          <w:lang w:eastAsia="en-US"/>
        </w:rPr>
        <w:t>refines</w:t>
      </w:r>
      <w:r w:rsidR="009A38D0">
        <w:rPr>
          <w:lang w:eastAsia="en-US"/>
        </w:rPr>
        <w:t xml:space="preserve"> the</w:t>
      </w:r>
      <w:r>
        <w:rPr>
          <w:lang w:eastAsia="en-US"/>
        </w:rPr>
        <w:t xml:space="preserve"> method for working out the number of students at a school for a year who have low English proficiency</w:t>
      </w:r>
      <w:r w:rsidR="00C55657">
        <w:rPr>
          <w:lang w:eastAsia="en-US"/>
        </w:rPr>
        <w:t xml:space="preserve"> for the purposes of the school’s low English proficiency loading in section 39 of the Act (see subsection 39(2) of the Act)</w:t>
      </w:r>
      <w:r>
        <w:rPr>
          <w:lang w:eastAsia="en-US"/>
        </w:rPr>
        <w:t>.</w:t>
      </w:r>
      <w:r w:rsidR="00ED0F14">
        <w:rPr>
          <w:lang w:eastAsia="en-US"/>
        </w:rPr>
        <w:t xml:space="preserve"> These amendments do not have a financial impact on the </w:t>
      </w:r>
      <w:r w:rsidR="00322F48">
        <w:rPr>
          <w:lang w:eastAsia="en-US"/>
        </w:rPr>
        <w:t xml:space="preserve">recurrent </w:t>
      </w:r>
      <w:r w:rsidR="00ED0F14">
        <w:rPr>
          <w:lang w:eastAsia="en-US"/>
        </w:rPr>
        <w:t>funding amounts received by approved authorities.</w:t>
      </w:r>
    </w:p>
    <w:p w:rsidR="00A15055" w:rsidRDefault="00A15055" w:rsidP="000135C8">
      <w:pPr>
        <w:rPr>
          <w:lang w:eastAsia="en-US"/>
        </w:rPr>
      </w:pPr>
    </w:p>
    <w:p w:rsidR="00735040" w:rsidRDefault="00A15055" w:rsidP="000135C8">
      <w:pPr>
        <w:rPr>
          <w:lang w:eastAsia="en-US"/>
        </w:rPr>
      </w:pPr>
      <w:r>
        <w:rPr>
          <w:lang w:eastAsia="en-US"/>
        </w:rPr>
        <w:t xml:space="preserve">Under the previous operation of sections 18 and 19 of the </w:t>
      </w:r>
      <w:r w:rsidR="005C0E97">
        <w:rPr>
          <w:lang w:eastAsia="en-US"/>
        </w:rPr>
        <w:t xml:space="preserve">Principal </w:t>
      </w:r>
      <w:r>
        <w:rPr>
          <w:lang w:eastAsia="en-US"/>
        </w:rPr>
        <w:t>Regulation, the number of st</w:t>
      </w:r>
      <w:r w:rsidR="001F6A30">
        <w:rPr>
          <w:lang w:eastAsia="en-US"/>
        </w:rPr>
        <w:t xml:space="preserve">udents in </w:t>
      </w:r>
      <w:r w:rsidR="00D72969">
        <w:rPr>
          <w:lang w:eastAsia="en-US"/>
        </w:rPr>
        <w:t xml:space="preserve">either </w:t>
      </w:r>
      <w:r w:rsidR="001F6A30">
        <w:rPr>
          <w:lang w:eastAsia="en-US"/>
        </w:rPr>
        <w:t xml:space="preserve">quartiles 1 and 2, </w:t>
      </w:r>
      <w:r w:rsidR="00D72969">
        <w:rPr>
          <w:lang w:eastAsia="en-US"/>
        </w:rPr>
        <w:t>or</w:t>
      </w:r>
      <w:r>
        <w:rPr>
          <w:lang w:eastAsia="en-US"/>
        </w:rPr>
        <w:t xml:space="preserve"> who have low English proficiency, was referenced to the number of students at the school that the Australian Curriculum, Assessment and Reporting Authority (</w:t>
      </w:r>
      <w:proofErr w:type="spellStart"/>
      <w:r w:rsidRPr="005C0E97">
        <w:rPr>
          <w:b/>
          <w:lang w:eastAsia="en-US"/>
        </w:rPr>
        <w:t>ACARA</w:t>
      </w:r>
      <w:proofErr w:type="spellEnd"/>
      <w:r>
        <w:rPr>
          <w:lang w:eastAsia="en-US"/>
        </w:rPr>
        <w:t>) identified as being in either quartile 1 or 2, or who have low English proficiency.</w:t>
      </w:r>
    </w:p>
    <w:p w:rsidR="006F4B8B" w:rsidRDefault="006F4B8B" w:rsidP="000135C8">
      <w:pPr>
        <w:rPr>
          <w:lang w:eastAsia="en-US"/>
        </w:rPr>
      </w:pPr>
    </w:p>
    <w:p w:rsidR="00C55657" w:rsidRDefault="00A15055" w:rsidP="000135C8">
      <w:pPr>
        <w:rPr>
          <w:lang w:eastAsia="en-US"/>
        </w:rPr>
      </w:pPr>
      <w:r>
        <w:rPr>
          <w:lang w:eastAsia="en-US"/>
        </w:rPr>
        <w:t xml:space="preserve">However, </w:t>
      </w:r>
      <w:r w:rsidR="00735040">
        <w:rPr>
          <w:lang w:eastAsia="en-US"/>
        </w:rPr>
        <w:t xml:space="preserve">as </w:t>
      </w:r>
      <w:r w:rsidR="003B1000">
        <w:rPr>
          <w:lang w:eastAsia="en-US"/>
        </w:rPr>
        <w:t xml:space="preserve">the </w:t>
      </w:r>
      <w:r>
        <w:rPr>
          <w:lang w:eastAsia="en-US"/>
        </w:rPr>
        <w:t>number</w:t>
      </w:r>
      <w:r w:rsidR="00D6115C">
        <w:rPr>
          <w:lang w:eastAsia="en-US"/>
        </w:rPr>
        <w:t xml:space="preserve"> </w:t>
      </w:r>
      <w:r w:rsidR="005C0E97">
        <w:rPr>
          <w:lang w:eastAsia="en-US"/>
        </w:rPr>
        <w:t xml:space="preserve">of students that </w:t>
      </w:r>
      <w:proofErr w:type="spellStart"/>
      <w:r w:rsidR="005C0E97">
        <w:rPr>
          <w:lang w:eastAsia="en-US"/>
        </w:rPr>
        <w:t>ACARA</w:t>
      </w:r>
      <w:proofErr w:type="spellEnd"/>
      <w:r w:rsidR="005C0E97">
        <w:rPr>
          <w:lang w:eastAsia="en-US"/>
        </w:rPr>
        <w:t xml:space="preserve"> </w:t>
      </w:r>
      <w:r>
        <w:rPr>
          <w:lang w:eastAsia="en-US"/>
        </w:rPr>
        <w:t>record</w:t>
      </w:r>
      <w:r w:rsidR="005C0E97">
        <w:rPr>
          <w:lang w:eastAsia="en-US"/>
        </w:rPr>
        <w:t>s</w:t>
      </w:r>
      <w:r>
        <w:rPr>
          <w:lang w:eastAsia="en-US"/>
        </w:rPr>
        <w:t xml:space="preserve"> for a school may b</w:t>
      </w:r>
      <w:r w:rsidR="005C0E97">
        <w:rPr>
          <w:lang w:eastAsia="en-US"/>
        </w:rPr>
        <w:t xml:space="preserve">e different to </w:t>
      </w:r>
      <w:r>
        <w:rPr>
          <w:lang w:eastAsia="en-US"/>
        </w:rPr>
        <w:t>that</w:t>
      </w:r>
      <w:r w:rsidR="00B847BE">
        <w:rPr>
          <w:lang w:eastAsia="en-US"/>
        </w:rPr>
        <w:t xml:space="preserve"> which</w:t>
      </w:r>
      <w:r>
        <w:rPr>
          <w:lang w:eastAsia="en-US"/>
        </w:rPr>
        <w:t xml:space="preserve"> the school reports to the Australian Government for the purposes of the school’s census</w:t>
      </w:r>
      <w:r w:rsidR="00C55657">
        <w:rPr>
          <w:lang w:eastAsia="en-US"/>
        </w:rPr>
        <w:t xml:space="preserve"> (and which is used in recurrent funding calculations)</w:t>
      </w:r>
      <w:r w:rsidR="001F6A30">
        <w:rPr>
          <w:lang w:eastAsia="en-US"/>
        </w:rPr>
        <w:t xml:space="preserve">, </w:t>
      </w:r>
      <w:r w:rsidR="005C0E97">
        <w:rPr>
          <w:lang w:eastAsia="en-US"/>
        </w:rPr>
        <w:t xml:space="preserve">primarily </w:t>
      </w:r>
      <w:r w:rsidR="001F6A30">
        <w:rPr>
          <w:lang w:eastAsia="en-US"/>
        </w:rPr>
        <w:t xml:space="preserve">due to differences in reporting methods, </w:t>
      </w:r>
      <w:r w:rsidR="00BF6182">
        <w:rPr>
          <w:lang w:eastAsia="en-US"/>
        </w:rPr>
        <w:t xml:space="preserve">the </w:t>
      </w:r>
      <w:r w:rsidR="001F6A30">
        <w:rPr>
          <w:lang w:eastAsia="en-US"/>
        </w:rPr>
        <w:t xml:space="preserve">different times of the year </w:t>
      </w:r>
      <w:r w:rsidR="00BF6182">
        <w:rPr>
          <w:lang w:eastAsia="en-US"/>
        </w:rPr>
        <w:t>at</w:t>
      </w:r>
      <w:r w:rsidR="001F6A30">
        <w:rPr>
          <w:lang w:eastAsia="en-US"/>
        </w:rPr>
        <w:t xml:space="preserve"> which that reporting occurs and fluctuations in school enrolments</w:t>
      </w:r>
      <w:r w:rsidR="00735040">
        <w:rPr>
          <w:lang w:eastAsia="en-US"/>
        </w:rPr>
        <w:t>, the previous operation of sections 18 and 1</w:t>
      </w:r>
      <w:r w:rsidR="00F23053">
        <w:rPr>
          <w:lang w:eastAsia="en-US"/>
        </w:rPr>
        <w:t xml:space="preserve">9 of the </w:t>
      </w:r>
      <w:r w:rsidR="005C0E97">
        <w:rPr>
          <w:lang w:eastAsia="en-US"/>
        </w:rPr>
        <w:t xml:space="preserve">Principal </w:t>
      </w:r>
      <w:r w:rsidR="00F23053">
        <w:rPr>
          <w:lang w:eastAsia="en-US"/>
        </w:rPr>
        <w:t>Regulation may not accurately reflect the</w:t>
      </w:r>
      <w:r w:rsidR="003B1000">
        <w:rPr>
          <w:lang w:eastAsia="en-US"/>
        </w:rPr>
        <w:t xml:space="preserve"> </w:t>
      </w:r>
      <w:r w:rsidR="00F23053">
        <w:rPr>
          <w:lang w:eastAsia="en-US"/>
        </w:rPr>
        <w:t xml:space="preserve">number of students in quartiles 1 and 2, and </w:t>
      </w:r>
      <w:r w:rsidR="00BF6182">
        <w:rPr>
          <w:lang w:eastAsia="en-US"/>
        </w:rPr>
        <w:t xml:space="preserve">those </w:t>
      </w:r>
      <w:r w:rsidR="00F23053">
        <w:rPr>
          <w:lang w:eastAsia="en-US"/>
        </w:rPr>
        <w:t>who have low English proficiency</w:t>
      </w:r>
      <w:r w:rsidR="001F6A30">
        <w:rPr>
          <w:lang w:eastAsia="en-US"/>
        </w:rPr>
        <w:t xml:space="preserve">. </w:t>
      </w:r>
    </w:p>
    <w:p w:rsidR="00735040" w:rsidRDefault="00735040" w:rsidP="000135C8">
      <w:pPr>
        <w:rPr>
          <w:lang w:eastAsia="en-US"/>
        </w:rPr>
      </w:pPr>
    </w:p>
    <w:p w:rsidR="00F23053" w:rsidRDefault="001F6A30" w:rsidP="000135C8">
      <w:pPr>
        <w:rPr>
          <w:lang w:eastAsia="en-US"/>
        </w:rPr>
      </w:pPr>
      <w:r>
        <w:rPr>
          <w:lang w:eastAsia="en-US"/>
        </w:rPr>
        <w:t xml:space="preserve">In order to ensure consistency between the number of students </w:t>
      </w:r>
      <w:proofErr w:type="spellStart"/>
      <w:r>
        <w:rPr>
          <w:lang w:eastAsia="en-US"/>
        </w:rPr>
        <w:t>ACARA</w:t>
      </w:r>
      <w:proofErr w:type="spellEnd"/>
      <w:r>
        <w:rPr>
          <w:lang w:eastAsia="en-US"/>
        </w:rPr>
        <w:t xml:space="preserve"> records for a school, and the number used by the Australian Government for recurrent funding calculations as provided in a school’s census,</w:t>
      </w:r>
      <w:r w:rsidR="00C55657">
        <w:rPr>
          <w:lang w:eastAsia="en-US"/>
        </w:rPr>
        <w:t xml:space="preserve"> the</w:t>
      </w:r>
      <w:r>
        <w:rPr>
          <w:lang w:eastAsia="en-US"/>
        </w:rPr>
        <w:t xml:space="preserve"> percentage of students</w:t>
      </w:r>
      <w:r w:rsidR="00C55657">
        <w:rPr>
          <w:lang w:eastAsia="en-US"/>
        </w:rPr>
        <w:t xml:space="preserve"> that </w:t>
      </w:r>
      <w:proofErr w:type="spellStart"/>
      <w:r w:rsidR="00C55657">
        <w:rPr>
          <w:lang w:eastAsia="en-US"/>
        </w:rPr>
        <w:t>ACARA</w:t>
      </w:r>
      <w:proofErr w:type="spellEnd"/>
      <w:r w:rsidR="00C55657">
        <w:rPr>
          <w:lang w:eastAsia="en-US"/>
        </w:rPr>
        <w:t xml:space="preserve"> identifies as being in quartiles 1 and 2, and who ha</w:t>
      </w:r>
      <w:r w:rsidR="003B1000">
        <w:rPr>
          <w:lang w:eastAsia="en-US"/>
        </w:rPr>
        <w:t>ve low English proficiency, is to</w:t>
      </w:r>
      <w:r w:rsidR="00C55657">
        <w:rPr>
          <w:lang w:eastAsia="en-US"/>
        </w:rPr>
        <w:t xml:space="preserve"> be multiplied with the total number of students at the school reported in the school’</w:t>
      </w:r>
      <w:r w:rsidR="00F23053">
        <w:rPr>
          <w:lang w:eastAsia="en-US"/>
        </w:rPr>
        <w:t>s census</w:t>
      </w:r>
      <w:r w:rsidR="00735040">
        <w:rPr>
          <w:lang w:eastAsia="en-US"/>
        </w:rPr>
        <w:t>.</w:t>
      </w:r>
      <w:r w:rsidR="00F23053">
        <w:rPr>
          <w:lang w:eastAsia="en-US"/>
        </w:rPr>
        <w:t xml:space="preserve"> This will ensure that the number of students used in sections </w:t>
      </w:r>
      <w:r w:rsidR="00B847BE">
        <w:rPr>
          <w:lang w:eastAsia="en-US"/>
        </w:rPr>
        <w:t xml:space="preserve">38 and 39 of the Act </w:t>
      </w:r>
      <w:r w:rsidR="00F23053">
        <w:rPr>
          <w:lang w:eastAsia="en-US"/>
        </w:rPr>
        <w:t>reflect</w:t>
      </w:r>
      <w:r w:rsidR="00B847BE">
        <w:rPr>
          <w:lang w:eastAsia="en-US"/>
        </w:rPr>
        <w:t>s</w:t>
      </w:r>
      <w:r w:rsidR="00F23053">
        <w:rPr>
          <w:lang w:eastAsia="en-US"/>
        </w:rPr>
        <w:t xml:space="preserve"> the proportion of students at the school in quartiles 1 or 2, or who have low English proficiency</w:t>
      </w:r>
      <w:r w:rsidR="00D6115C">
        <w:rPr>
          <w:lang w:eastAsia="en-US"/>
        </w:rPr>
        <w:t xml:space="preserve">, as identified by </w:t>
      </w:r>
      <w:proofErr w:type="spellStart"/>
      <w:r w:rsidR="00D6115C">
        <w:rPr>
          <w:lang w:eastAsia="en-US"/>
        </w:rPr>
        <w:t>ACARA</w:t>
      </w:r>
      <w:proofErr w:type="spellEnd"/>
      <w:r w:rsidR="00F23053">
        <w:rPr>
          <w:lang w:eastAsia="en-US"/>
        </w:rPr>
        <w:t>.</w:t>
      </w:r>
    </w:p>
    <w:p w:rsidR="00F23053" w:rsidRDefault="00F23053" w:rsidP="000135C8">
      <w:pPr>
        <w:rPr>
          <w:lang w:eastAsia="en-US"/>
        </w:rPr>
      </w:pPr>
    </w:p>
    <w:p w:rsidR="00F23053" w:rsidRDefault="00F23053" w:rsidP="000135C8">
      <w:pPr>
        <w:rPr>
          <w:lang w:eastAsia="en-US"/>
        </w:rPr>
      </w:pPr>
      <w:r>
        <w:rPr>
          <w:lang w:eastAsia="en-US"/>
        </w:rPr>
        <w:t xml:space="preserve">This </w:t>
      </w:r>
      <w:r>
        <w:rPr>
          <w:b/>
          <w:lang w:eastAsia="en-US"/>
        </w:rPr>
        <w:t xml:space="preserve">item </w:t>
      </w:r>
      <w:r>
        <w:rPr>
          <w:lang w:eastAsia="en-US"/>
        </w:rPr>
        <w:t xml:space="preserve">also updates the method by which </w:t>
      </w:r>
      <w:proofErr w:type="spellStart"/>
      <w:r>
        <w:rPr>
          <w:lang w:eastAsia="en-US"/>
        </w:rPr>
        <w:t>ACARA</w:t>
      </w:r>
      <w:proofErr w:type="spellEnd"/>
      <w:r>
        <w:rPr>
          <w:lang w:eastAsia="en-US"/>
        </w:rPr>
        <w:t xml:space="preserve"> identifies a student as being in quartile 1 or quartile 2, in the definitions provided in new subsection 18(4).</w:t>
      </w:r>
    </w:p>
    <w:p w:rsidR="00F23053" w:rsidRDefault="00F23053" w:rsidP="000135C8">
      <w:pPr>
        <w:rPr>
          <w:lang w:eastAsia="en-US"/>
        </w:rPr>
      </w:pPr>
    </w:p>
    <w:p w:rsidR="00F23053" w:rsidRDefault="00485BF4" w:rsidP="000135C8">
      <w:pPr>
        <w:rPr>
          <w:lang w:eastAsia="en-US"/>
        </w:rPr>
      </w:pPr>
      <w:r>
        <w:rPr>
          <w:b/>
          <w:lang w:eastAsia="en-US"/>
        </w:rPr>
        <w:t xml:space="preserve">Item 10 </w:t>
      </w:r>
      <w:r w:rsidR="005E3A05">
        <w:rPr>
          <w:lang w:eastAsia="en-US"/>
        </w:rPr>
        <w:t xml:space="preserve">provides the indexation percentage for 2015 for the purposes of subsection 68(3) of the Act. The indexation percentage is the percentage that is multiplied </w:t>
      </w:r>
      <w:r w:rsidR="00BF6182">
        <w:rPr>
          <w:lang w:eastAsia="en-US"/>
        </w:rPr>
        <w:t xml:space="preserve">by </w:t>
      </w:r>
      <w:r w:rsidR="005E3A05">
        <w:rPr>
          <w:lang w:eastAsia="en-US"/>
        </w:rPr>
        <w:t>the total amount available for capital funding for block grant authorities (base assistance amount) for the previous year, in order to provide the base assistance amount for the current year. For 2015, the base assistance amount will therefore be the 2014 base assistance amount multiplied by 102.30%.</w:t>
      </w:r>
      <w:r w:rsidR="00F23053">
        <w:rPr>
          <w:lang w:eastAsia="en-US"/>
        </w:rPr>
        <w:t xml:space="preserve"> </w:t>
      </w:r>
    </w:p>
    <w:p w:rsidR="005E3A05" w:rsidRDefault="005E3A05" w:rsidP="000135C8">
      <w:pPr>
        <w:rPr>
          <w:lang w:eastAsia="en-US"/>
        </w:rPr>
      </w:pPr>
    </w:p>
    <w:p w:rsidR="0023211E" w:rsidRDefault="005E3A05" w:rsidP="000135C8">
      <w:pPr>
        <w:rPr>
          <w:lang w:eastAsia="en-US"/>
        </w:rPr>
      </w:pPr>
      <w:r>
        <w:rPr>
          <w:b/>
          <w:lang w:eastAsia="en-US"/>
        </w:rPr>
        <w:t xml:space="preserve">Items 11 to </w:t>
      </w:r>
      <w:r w:rsidR="0023211E">
        <w:rPr>
          <w:b/>
          <w:lang w:eastAsia="en-US"/>
        </w:rPr>
        <w:t>21</w:t>
      </w:r>
      <w:r w:rsidR="00CF790D">
        <w:rPr>
          <w:b/>
          <w:lang w:eastAsia="en-US"/>
        </w:rPr>
        <w:t xml:space="preserve"> </w:t>
      </w:r>
      <w:r w:rsidR="0023211E">
        <w:rPr>
          <w:lang w:eastAsia="en-US"/>
        </w:rPr>
        <w:t>extends the operation of the prescribed circumstances funding for Indigenous boarders at non-government schools to include 2015 and 2016</w:t>
      </w:r>
      <w:r w:rsidR="00D1449D">
        <w:rPr>
          <w:lang w:eastAsia="en-US"/>
        </w:rPr>
        <w:t>, as announced in the Government’s Budget for 2015-16</w:t>
      </w:r>
      <w:r w:rsidR="0023211E">
        <w:rPr>
          <w:lang w:eastAsia="en-US"/>
        </w:rPr>
        <w:t xml:space="preserve">. The amendments made to sections 25A, 25B and 25C </w:t>
      </w:r>
      <w:r w:rsidR="00A669ED">
        <w:rPr>
          <w:lang w:eastAsia="en-US"/>
        </w:rPr>
        <w:t xml:space="preserve">of the </w:t>
      </w:r>
      <w:r w:rsidR="00CF790D">
        <w:rPr>
          <w:lang w:eastAsia="en-US"/>
        </w:rPr>
        <w:t xml:space="preserve">Principal </w:t>
      </w:r>
      <w:r w:rsidR="00A669ED">
        <w:rPr>
          <w:lang w:eastAsia="en-US"/>
        </w:rPr>
        <w:t xml:space="preserve">Regulation </w:t>
      </w:r>
      <w:r w:rsidR="0023211E">
        <w:rPr>
          <w:lang w:eastAsia="en-US"/>
        </w:rPr>
        <w:t xml:space="preserve">through these </w:t>
      </w:r>
      <w:r w:rsidR="0023211E" w:rsidRPr="00996FF0">
        <w:rPr>
          <w:lang w:eastAsia="en-US"/>
        </w:rPr>
        <w:t>items</w:t>
      </w:r>
      <w:r w:rsidR="0023211E">
        <w:rPr>
          <w:lang w:eastAsia="en-US"/>
        </w:rPr>
        <w:t xml:space="preserve"> is to ensure that these sections include the years 2015 and 2016 and not only 2014.</w:t>
      </w:r>
    </w:p>
    <w:p w:rsidR="0023211E" w:rsidRDefault="0023211E" w:rsidP="000135C8">
      <w:pPr>
        <w:rPr>
          <w:lang w:eastAsia="en-US"/>
        </w:rPr>
      </w:pPr>
    </w:p>
    <w:p w:rsidR="00ED0E53" w:rsidRDefault="00ED0E53" w:rsidP="000135C8">
      <w:pPr>
        <w:rPr>
          <w:lang w:eastAsia="en-US"/>
        </w:rPr>
      </w:pPr>
      <w:r>
        <w:rPr>
          <w:b/>
          <w:lang w:eastAsia="en-US"/>
        </w:rPr>
        <w:t>Items 22 and 23</w:t>
      </w:r>
      <w:r>
        <w:rPr>
          <w:lang w:eastAsia="en-US"/>
        </w:rPr>
        <w:t xml:space="preserve"> replace paragraphs 28(1)(a) and (b), and paragraphs 28(2)(a) and (b)</w:t>
      </w:r>
      <w:r w:rsidR="00CF790D">
        <w:rPr>
          <w:lang w:eastAsia="en-US"/>
        </w:rPr>
        <w:t>,</w:t>
      </w:r>
      <w:r>
        <w:rPr>
          <w:lang w:eastAsia="en-US"/>
        </w:rPr>
        <w:t xml:space="preserve"> </w:t>
      </w:r>
      <w:r w:rsidR="00A669ED">
        <w:rPr>
          <w:lang w:eastAsia="en-US"/>
        </w:rPr>
        <w:t xml:space="preserve">of the </w:t>
      </w:r>
      <w:r w:rsidR="00CF790D">
        <w:rPr>
          <w:lang w:eastAsia="en-US"/>
        </w:rPr>
        <w:t xml:space="preserve">Principal </w:t>
      </w:r>
      <w:r w:rsidR="00A669ED">
        <w:rPr>
          <w:lang w:eastAsia="en-US"/>
        </w:rPr>
        <w:t xml:space="preserve">Regulation </w:t>
      </w:r>
      <w:r>
        <w:rPr>
          <w:lang w:eastAsia="en-US"/>
        </w:rPr>
        <w:t xml:space="preserve">respectively to clarify and simplify some of the </w:t>
      </w:r>
      <w:r w:rsidR="00A669ED">
        <w:rPr>
          <w:lang w:eastAsia="en-US"/>
        </w:rPr>
        <w:t xml:space="preserve">non-exhaustive </w:t>
      </w:r>
      <w:r>
        <w:rPr>
          <w:lang w:eastAsia="en-US"/>
        </w:rPr>
        <w:t>matters that the Minister may have regard</w:t>
      </w:r>
      <w:r w:rsidR="00A669ED">
        <w:rPr>
          <w:lang w:eastAsia="en-US"/>
        </w:rPr>
        <w:t xml:space="preserve"> to when considering whether a person (that is, an approved authority, block grant authority, or non-government representative body) satisfies the fit and proper person requirement</w:t>
      </w:r>
      <w:r>
        <w:rPr>
          <w:lang w:eastAsia="en-US"/>
        </w:rPr>
        <w:t xml:space="preserve"> </w:t>
      </w:r>
      <w:r w:rsidR="00A669ED">
        <w:rPr>
          <w:lang w:eastAsia="en-US"/>
        </w:rPr>
        <w:t xml:space="preserve">in the Act. These </w:t>
      </w:r>
      <w:r w:rsidR="00A669ED" w:rsidRPr="00D10A06">
        <w:rPr>
          <w:lang w:eastAsia="en-US"/>
        </w:rPr>
        <w:t>items</w:t>
      </w:r>
      <w:r w:rsidR="00A669ED">
        <w:rPr>
          <w:lang w:eastAsia="en-US"/>
        </w:rPr>
        <w:t xml:space="preserve"> simplify the language used in these paragraphs to make clear that it is the experience and expertise of the person, and key individuals of the person, the person’s governance arrangements and the person’s record of financial management that the Minister may, in conjunction with any other relevant matters, have regard to when considering the fit and proper person requirement.</w:t>
      </w:r>
    </w:p>
    <w:p w:rsidR="00A669ED" w:rsidRDefault="00A669ED" w:rsidP="000135C8">
      <w:pPr>
        <w:rPr>
          <w:lang w:eastAsia="en-US"/>
        </w:rPr>
      </w:pPr>
    </w:p>
    <w:p w:rsidR="00A669ED" w:rsidRDefault="00A669ED" w:rsidP="000135C8">
      <w:pPr>
        <w:rPr>
          <w:lang w:eastAsia="en-US"/>
        </w:rPr>
      </w:pPr>
      <w:r>
        <w:rPr>
          <w:lang w:eastAsia="en-US"/>
        </w:rPr>
        <w:t xml:space="preserve">In addition, </w:t>
      </w:r>
      <w:r w:rsidRPr="00A669ED">
        <w:rPr>
          <w:b/>
          <w:lang w:eastAsia="en-US"/>
        </w:rPr>
        <w:t>item 23</w:t>
      </w:r>
      <w:r>
        <w:rPr>
          <w:b/>
          <w:lang w:eastAsia="en-US"/>
        </w:rPr>
        <w:t xml:space="preserve"> </w:t>
      </w:r>
      <w:r>
        <w:rPr>
          <w:lang w:eastAsia="en-US"/>
        </w:rPr>
        <w:t>inserts a new paragraph 28(2)(</w:t>
      </w:r>
      <w:proofErr w:type="spellStart"/>
      <w:r>
        <w:rPr>
          <w:lang w:eastAsia="en-US"/>
        </w:rPr>
        <w:t>aa</w:t>
      </w:r>
      <w:proofErr w:type="spellEnd"/>
      <w:r>
        <w:rPr>
          <w:lang w:eastAsia="en-US"/>
        </w:rPr>
        <w:t>)</w:t>
      </w:r>
      <w:r w:rsidR="003D35C1">
        <w:rPr>
          <w:lang w:eastAsia="en-US"/>
        </w:rPr>
        <w:t xml:space="preserve"> in the </w:t>
      </w:r>
      <w:r w:rsidR="00CF790D">
        <w:rPr>
          <w:lang w:eastAsia="en-US"/>
        </w:rPr>
        <w:t xml:space="preserve">Principal </w:t>
      </w:r>
      <w:r w:rsidR="003D35C1">
        <w:rPr>
          <w:lang w:eastAsia="en-US"/>
        </w:rPr>
        <w:t>Regulation</w:t>
      </w:r>
      <w:r>
        <w:rPr>
          <w:lang w:eastAsia="en-US"/>
        </w:rPr>
        <w:t xml:space="preserve"> to ensure that it is clear that the Minister may have regard to </w:t>
      </w:r>
      <w:r w:rsidR="00C65EBD">
        <w:rPr>
          <w:lang w:eastAsia="en-US"/>
        </w:rPr>
        <w:t>the existence of</w:t>
      </w:r>
      <w:r w:rsidR="003D35C1">
        <w:rPr>
          <w:lang w:eastAsia="en-US"/>
        </w:rPr>
        <w:t xml:space="preserve"> a </w:t>
      </w:r>
      <w:r>
        <w:rPr>
          <w:lang w:eastAsia="en-US"/>
        </w:rPr>
        <w:t>debt recovery arrangement with the relevant State or Territory</w:t>
      </w:r>
      <w:r w:rsidR="003D35C1">
        <w:rPr>
          <w:lang w:eastAsia="en-US"/>
        </w:rPr>
        <w:t xml:space="preserve"> in relation to financial assistance payable under the Act</w:t>
      </w:r>
      <w:r w:rsidR="00CF790D">
        <w:rPr>
          <w:lang w:eastAsia="en-US"/>
        </w:rPr>
        <w:t>, which may be relevant where a State or Territory pursue</w:t>
      </w:r>
      <w:r w:rsidR="003D7FF0">
        <w:rPr>
          <w:lang w:eastAsia="en-US"/>
        </w:rPr>
        <w:t>s</w:t>
      </w:r>
      <w:r w:rsidR="00CF790D">
        <w:rPr>
          <w:lang w:eastAsia="en-US"/>
        </w:rPr>
        <w:t xml:space="preserve"> non-statutory arrangements and the person refuses outright to enter such arrangements</w:t>
      </w:r>
      <w:r w:rsidR="003D35C1">
        <w:rPr>
          <w:lang w:eastAsia="en-US"/>
        </w:rPr>
        <w:t>.</w:t>
      </w:r>
    </w:p>
    <w:p w:rsidR="00CF790D" w:rsidRDefault="00CF790D" w:rsidP="000135C8">
      <w:pPr>
        <w:rPr>
          <w:b/>
          <w:lang w:eastAsia="en-US"/>
        </w:rPr>
      </w:pPr>
    </w:p>
    <w:p w:rsidR="003D35C1" w:rsidRDefault="002F40E8" w:rsidP="000135C8">
      <w:pPr>
        <w:rPr>
          <w:lang w:eastAsia="en-US"/>
        </w:rPr>
      </w:pPr>
      <w:r>
        <w:rPr>
          <w:b/>
          <w:lang w:eastAsia="en-US"/>
        </w:rPr>
        <w:t>Item 24</w:t>
      </w:r>
      <w:r>
        <w:rPr>
          <w:lang w:eastAsia="en-US"/>
        </w:rPr>
        <w:t xml:space="preserve"> </w:t>
      </w:r>
      <w:r w:rsidR="003D35C1">
        <w:rPr>
          <w:lang w:eastAsia="en-US"/>
        </w:rPr>
        <w:t xml:space="preserve">replaces paragraph 29(2)(g) of the </w:t>
      </w:r>
      <w:r w:rsidR="00CF790D">
        <w:rPr>
          <w:lang w:eastAsia="en-US"/>
        </w:rPr>
        <w:t xml:space="preserve">Principal </w:t>
      </w:r>
      <w:r w:rsidR="003D35C1">
        <w:rPr>
          <w:lang w:eastAsia="en-US"/>
        </w:rPr>
        <w:t>Regulation to clarify for approved authorities that spending, or committing to spend, recurrent funding for the purpose of providing school education includes the approved authority’s administrative costs in relation to complying with the Act and the Regulation. For example, costs associated with a school’s census, record keeping or other reporting requirements.</w:t>
      </w:r>
    </w:p>
    <w:p w:rsidR="003D35C1" w:rsidRDefault="003D35C1" w:rsidP="000135C8">
      <w:pPr>
        <w:rPr>
          <w:lang w:eastAsia="en-US"/>
        </w:rPr>
      </w:pPr>
    </w:p>
    <w:p w:rsidR="003D35C1" w:rsidRDefault="003D35C1" w:rsidP="000135C8">
      <w:pPr>
        <w:rPr>
          <w:lang w:eastAsia="en-US"/>
        </w:rPr>
      </w:pPr>
      <w:r>
        <w:rPr>
          <w:b/>
          <w:lang w:eastAsia="en-US"/>
        </w:rPr>
        <w:t xml:space="preserve">Item 25 </w:t>
      </w:r>
      <w:r>
        <w:rPr>
          <w:lang w:eastAsia="en-US"/>
        </w:rPr>
        <w:t xml:space="preserve">replaces subsection 30(2) of the </w:t>
      </w:r>
      <w:r w:rsidR="00CF790D">
        <w:rPr>
          <w:lang w:eastAsia="en-US"/>
        </w:rPr>
        <w:t xml:space="preserve">Principal </w:t>
      </w:r>
      <w:r>
        <w:rPr>
          <w:lang w:eastAsia="en-US"/>
        </w:rPr>
        <w:t>Regulation and enables the Minister to determine a longer period of time within which a block grant authority must spend, or commit to spend, capital funding provided to the block grant authority under the Act. This will enable the Minister to extend the time available to a block grant authority beyond the year in which the capital funding is paid to the block grant authority</w:t>
      </w:r>
      <w:r w:rsidR="003B0569">
        <w:rPr>
          <w:lang w:eastAsia="en-US"/>
        </w:rPr>
        <w:t>, for example</w:t>
      </w:r>
      <w:r w:rsidR="00CF790D">
        <w:rPr>
          <w:lang w:eastAsia="en-US"/>
        </w:rPr>
        <w:t>,</w:t>
      </w:r>
      <w:r w:rsidR="003B0569">
        <w:rPr>
          <w:lang w:eastAsia="en-US"/>
        </w:rPr>
        <w:t xml:space="preserve"> where a capital project requires additional planning and which has meant that capital funding allocated to that project is not able to be spent, or committed to be spent, in the year in which it is paid. </w:t>
      </w:r>
      <w:r w:rsidR="003B0569">
        <w:rPr>
          <w:b/>
          <w:lang w:eastAsia="en-US"/>
        </w:rPr>
        <w:t>Item 26</w:t>
      </w:r>
      <w:r w:rsidR="003B0569">
        <w:rPr>
          <w:lang w:eastAsia="en-US"/>
        </w:rPr>
        <w:t xml:space="preserve"> is a consequential amendment arising from </w:t>
      </w:r>
      <w:r w:rsidR="003B0569">
        <w:rPr>
          <w:b/>
          <w:lang w:eastAsia="en-US"/>
        </w:rPr>
        <w:t>item 25</w:t>
      </w:r>
      <w:r w:rsidR="003B0569">
        <w:rPr>
          <w:lang w:eastAsia="en-US"/>
        </w:rPr>
        <w:t xml:space="preserve">, to ensure consistency of wording between the two subsections. </w:t>
      </w:r>
    </w:p>
    <w:p w:rsidR="003B0569" w:rsidRDefault="003B0569" w:rsidP="000135C8">
      <w:pPr>
        <w:rPr>
          <w:lang w:eastAsia="en-US"/>
        </w:rPr>
      </w:pPr>
    </w:p>
    <w:p w:rsidR="00684E03" w:rsidRDefault="00705065" w:rsidP="000135C8">
      <w:pPr>
        <w:rPr>
          <w:lang w:eastAsia="en-US"/>
        </w:rPr>
      </w:pPr>
      <w:r>
        <w:rPr>
          <w:b/>
          <w:lang w:eastAsia="en-US"/>
        </w:rPr>
        <w:t>Item 2</w:t>
      </w:r>
      <w:r w:rsidR="003B0569">
        <w:rPr>
          <w:b/>
          <w:lang w:eastAsia="en-US"/>
        </w:rPr>
        <w:t xml:space="preserve">7 </w:t>
      </w:r>
      <w:r w:rsidR="003B0569">
        <w:rPr>
          <w:lang w:eastAsia="en-US"/>
        </w:rPr>
        <w:t xml:space="preserve">replaces paragraph 35(1)(b) of the </w:t>
      </w:r>
      <w:r w:rsidR="00CF790D">
        <w:rPr>
          <w:lang w:eastAsia="en-US"/>
        </w:rPr>
        <w:t xml:space="preserve">Principal </w:t>
      </w:r>
      <w:r w:rsidR="003B0569">
        <w:rPr>
          <w:lang w:eastAsia="en-US"/>
        </w:rPr>
        <w:t>Regulation and inserts new paragraphs 35(1)(c), (d) and (e)</w:t>
      </w:r>
      <w:r>
        <w:rPr>
          <w:lang w:eastAsia="en-US"/>
        </w:rPr>
        <w:t xml:space="preserve">. These amendments </w:t>
      </w:r>
      <w:r w:rsidR="003B0569">
        <w:rPr>
          <w:lang w:eastAsia="en-US"/>
        </w:rPr>
        <w:t xml:space="preserve">ensure </w:t>
      </w:r>
      <w:r w:rsidR="00ED32FF">
        <w:rPr>
          <w:lang w:eastAsia="en-US"/>
        </w:rPr>
        <w:t xml:space="preserve">there is consistency </w:t>
      </w:r>
      <w:r w:rsidR="009210DD">
        <w:rPr>
          <w:lang w:eastAsia="en-US"/>
        </w:rPr>
        <w:t>in</w:t>
      </w:r>
      <w:r w:rsidR="003B0569">
        <w:rPr>
          <w:lang w:eastAsia="en-US"/>
        </w:rPr>
        <w:t xml:space="preserve"> the reporting of Commonwealth </w:t>
      </w:r>
      <w:r w:rsidR="00CF790D">
        <w:rPr>
          <w:lang w:eastAsia="en-US"/>
        </w:rPr>
        <w:t>financial assistance allocated by States and Territories to</w:t>
      </w:r>
      <w:r w:rsidR="003B0569">
        <w:rPr>
          <w:lang w:eastAsia="en-US"/>
        </w:rPr>
        <w:t xml:space="preserve"> government</w:t>
      </w:r>
      <w:r w:rsidR="00CF790D">
        <w:rPr>
          <w:lang w:eastAsia="en-US"/>
        </w:rPr>
        <w:t xml:space="preserve"> schools</w:t>
      </w:r>
      <w:r>
        <w:rPr>
          <w:lang w:eastAsia="en-US"/>
        </w:rPr>
        <w:t>. These ame</w:t>
      </w:r>
      <w:r w:rsidR="00CF790D">
        <w:rPr>
          <w:lang w:eastAsia="en-US"/>
        </w:rPr>
        <w:t>ndments ensure</w:t>
      </w:r>
      <w:r w:rsidR="003B0569">
        <w:rPr>
          <w:lang w:eastAsia="en-US"/>
        </w:rPr>
        <w:t xml:space="preserve"> that each State and Territory must report</w:t>
      </w:r>
      <w:r w:rsidR="00684E03">
        <w:rPr>
          <w:lang w:eastAsia="en-US"/>
        </w:rPr>
        <w:t>:</w:t>
      </w:r>
      <w:r w:rsidR="003B0569">
        <w:rPr>
          <w:lang w:eastAsia="en-US"/>
        </w:rPr>
        <w:t xml:space="preserve"> </w:t>
      </w:r>
    </w:p>
    <w:p w:rsidR="00684E03" w:rsidRDefault="00684E03" w:rsidP="000135C8">
      <w:pPr>
        <w:rPr>
          <w:lang w:eastAsia="en-US"/>
        </w:rPr>
      </w:pPr>
    </w:p>
    <w:p w:rsidR="00684E03" w:rsidRDefault="003B0569" w:rsidP="00684E03">
      <w:pPr>
        <w:pStyle w:val="ListParagraph"/>
        <w:numPr>
          <w:ilvl w:val="0"/>
          <w:numId w:val="33"/>
        </w:numPr>
        <w:rPr>
          <w:lang w:eastAsia="en-US"/>
        </w:rPr>
      </w:pPr>
      <w:r>
        <w:rPr>
          <w:lang w:eastAsia="en-US"/>
        </w:rPr>
        <w:t>how much Commonwealth financial ass</w:t>
      </w:r>
      <w:r w:rsidR="00684E03">
        <w:rPr>
          <w:lang w:eastAsia="en-US"/>
        </w:rPr>
        <w:t>istance it allocated to each of its government schools</w:t>
      </w:r>
      <w:r>
        <w:rPr>
          <w:lang w:eastAsia="en-US"/>
        </w:rPr>
        <w:t xml:space="preserve"> </w:t>
      </w:r>
    </w:p>
    <w:p w:rsidR="00684E03" w:rsidRDefault="00684E03" w:rsidP="00684E03">
      <w:pPr>
        <w:pStyle w:val="ListParagraph"/>
        <w:numPr>
          <w:ilvl w:val="0"/>
          <w:numId w:val="33"/>
        </w:numPr>
        <w:rPr>
          <w:lang w:eastAsia="en-US"/>
        </w:rPr>
      </w:pPr>
      <w:r>
        <w:rPr>
          <w:lang w:eastAsia="en-US"/>
        </w:rPr>
        <w:t>how much</w:t>
      </w:r>
      <w:r w:rsidR="00705065">
        <w:rPr>
          <w:lang w:eastAsia="en-US"/>
        </w:rPr>
        <w:t xml:space="preserve"> Commonwealth financial assistance</w:t>
      </w:r>
      <w:r>
        <w:rPr>
          <w:lang w:eastAsia="en-US"/>
        </w:rPr>
        <w:t xml:space="preserve"> (if any) it</w:t>
      </w:r>
      <w:r w:rsidR="003B0569">
        <w:rPr>
          <w:lang w:eastAsia="en-US"/>
        </w:rPr>
        <w:t xml:space="preserve"> did not allocate to any</w:t>
      </w:r>
      <w:r>
        <w:rPr>
          <w:lang w:eastAsia="en-US"/>
        </w:rPr>
        <w:t xml:space="preserve"> of its</w:t>
      </w:r>
      <w:r w:rsidR="003B0569">
        <w:rPr>
          <w:lang w:eastAsia="en-US"/>
        </w:rPr>
        <w:t xml:space="preserve"> government</w:t>
      </w:r>
      <w:r>
        <w:rPr>
          <w:lang w:eastAsia="en-US"/>
        </w:rPr>
        <w:t xml:space="preserve"> schools</w:t>
      </w:r>
      <w:r w:rsidR="003B0569">
        <w:rPr>
          <w:lang w:eastAsia="en-US"/>
        </w:rPr>
        <w:t xml:space="preserve"> </w:t>
      </w:r>
      <w:r w:rsidR="00C65EBD">
        <w:rPr>
          <w:lang w:eastAsia="en-US"/>
        </w:rPr>
        <w:t>(e.g. used for the administrative costs of the State education department)</w:t>
      </w:r>
    </w:p>
    <w:p w:rsidR="00684E03" w:rsidRDefault="003B0569" w:rsidP="00684E03">
      <w:pPr>
        <w:pStyle w:val="ListParagraph"/>
        <w:numPr>
          <w:ilvl w:val="0"/>
          <w:numId w:val="33"/>
        </w:numPr>
        <w:rPr>
          <w:lang w:eastAsia="en-US"/>
        </w:rPr>
      </w:pPr>
      <w:r>
        <w:rPr>
          <w:lang w:eastAsia="en-US"/>
        </w:rPr>
        <w:t>if the State or Territory is a participating</w:t>
      </w:r>
      <w:r w:rsidR="006837C5">
        <w:rPr>
          <w:lang w:eastAsia="en-US"/>
        </w:rPr>
        <w:t xml:space="preserve"> State or Territory</w:t>
      </w:r>
      <w:r w:rsidR="00684E03">
        <w:rPr>
          <w:lang w:eastAsia="en-US"/>
        </w:rPr>
        <w:t xml:space="preserve">, how each amount allocated to each government school was determined in accordance with the State or Territory’s needs-based funding arrangement (a requirement under subsection 78(3) of the Act and section 61 of the </w:t>
      </w:r>
      <w:r w:rsidR="009210DD">
        <w:rPr>
          <w:lang w:eastAsia="en-US"/>
        </w:rPr>
        <w:t xml:space="preserve">Principal </w:t>
      </w:r>
      <w:r w:rsidR="00684E03">
        <w:rPr>
          <w:lang w:eastAsia="en-US"/>
        </w:rPr>
        <w:t xml:space="preserve">Regulation) </w:t>
      </w:r>
    </w:p>
    <w:p w:rsidR="00705065" w:rsidRDefault="00705065" w:rsidP="00684E03">
      <w:pPr>
        <w:pStyle w:val="ListParagraph"/>
        <w:numPr>
          <w:ilvl w:val="0"/>
          <w:numId w:val="33"/>
        </w:numPr>
        <w:rPr>
          <w:lang w:eastAsia="en-US"/>
        </w:rPr>
      </w:pPr>
      <w:r>
        <w:rPr>
          <w:lang w:eastAsia="en-US"/>
        </w:rPr>
        <w:t xml:space="preserve">if </w:t>
      </w:r>
      <w:r w:rsidR="00684E03">
        <w:rPr>
          <w:lang w:eastAsia="en-US"/>
        </w:rPr>
        <w:t xml:space="preserve">the State or Territory is a non-participating State or Territory, </w:t>
      </w:r>
      <w:r w:rsidR="00100D30">
        <w:rPr>
          <w:lang w:eastAsia="en-US"/>
        </w:rPr>
        <w:t xml:space="preserve">how each amount allocated to each government school was determined, including </w:t>
      </w:r>
      <w:r w:rsidR="00684E03">
        <w:rPr>
          <w:lang w:eastAsia="en-US"/>
        </w:rPr>
        <w:t>whether the State or Territory allocated Commonwealth financial assistance</w:t>
      </w:r>
      <w:r>
        <w:rPr>
          <w:lang w:eastAsia="en-US"/>
        </w:rPr>
        <w:t xml:space="preserve"> to each government school</w:t>
      </w:r>
      <w:r w:rsidR="00684E03">
        <w:rPr>
          <w:lang w:eastAsia="en-US"/>
        </w:rPr>
        <w:t xml:space="preserve"> using a per student, or base</w:t>
      </w:r>
      <w:r>
        <w:rPr>
          <w:lang w:eastAsia="en-US"/>
        </w:rPr>
        <w:t>,</w:t>
      </w:r>
      <w:r w:rsidR="00684E03">
        <w:rPr>
          <w:lang w:eastAsia="en-US"/>
        </w:rPr>
        <w:t xml:space="preserve"> amount,</w:t>
      </w:r>
      <w:r>
        <w:rPr>
          <w:lang w:eastAsia="en-US"/>
        </w:rPr>
        <w:t xml:space="preserve"> and whether additional amounts were provided targeting areas of additional need,</w:t>
      </w:r>
      <w:r w:rsidR="00684E03">
        <w:rPr>
          <w:lang w:eastAsia="en-US"/>
        </w:rPr>
        <w:t xml:space="preserve"> </w:t>
      </w:r>
      <w:r>
        <w:rPr>
          <w:lang w:eastAsia="en-US"/>
        </w:rPr>
        <w:t>and</w:t>
      </w:r>
      <w:r w:rsidR="00ED32FF">
        <w:rPr>
          <w:lang w:eastAsia="en-US"/>
        </w:rPr>
        <w:t>,</w:t>
      </w:r>
      <w:r>
        <w:rPr>
          <w:lang w:eastAsia="en-US"/>
        </w:rPr>
        <w:t xml:space="preserve"> if so</w:t>
      </w:r>
      <w:r w:rsidR="00ED32FF">
        <w:rPr>
          <w:lang w:eastAsia="en-US"/>
        </w:rPr>
        <w:t>,</w:t>
      </w:r>
      <w:r>
        <w:rPr>
          <w:lang w:eastAsia="en-US"/>
        </w:rPr>
        <w:t xml:space="preserve"> those amounts.</w:t>
      </w:r>
    </w:p>
    <w:p w:rsidR="00705065" w:rsidRDefault="00705065" w:rsidP="00705065">
      <w:pPr>
        <w:rPr>
          <w:lang w:eastAsia="en-US"/>
        </w:rPr>
      </w:pPr>
    </w:p>
    <w:p w:rsidR="00705065" w:rsidRDefault="00705065" w:rsidP="00705065">
      <w:pPr>
        <w:rPr>
          <w:lang w:eastAsia="en-US"/>
        </w:rPr>
      </w:pPr>
      <w:r>
        <w:rPr>
          <w:lang w:eastAsia="en-US"/>
        </w:rPr>
        <w:t xml:space="preserve">These amendments ensure that </w:t>
      </w:r>
      <w:r w:rsidR="006837C5">
        <w:rPr>
          <w:lang w:eastAsia="en-US"/>
        </w:rPr>
        <w:t>the Australian Government is</w:t>
      </w:r>
      <w:r>
        <w:rPr>
          <w:lang w:eastAsia="en-US"/>
        </w:rPr>
        <w:t xml:space="preserve"> provided </w:t>
      </w:r>
      <w:r w:rsidR="00BF6182">
        <w:rPr>
          <w:lang w:eastAsia="en-US"/>
        </w:rPr>
        <w:t xml:space="preserve">with </w:t>
      </w:r>
      <w:r>
        <w:rPr>
          <w:lang w:eastAsia="en-US"/>
        </w:rPr>
        <w:t>greater clarity on how Commonwealth financial assistance is used by States and Territories for their government schools.</w:t>
      </w:r>
      <w:r w:rsidR="009A42ED">
        <w:rPr>
          <w:lang w:eastAsia="en-US"/>
        </w:rPr>
        <w:t xml:space="preserve"> </w:t>
      </w:r>
    </w:p>
    <w:p w:rsidR="003A3882" w:rsidRDefault="003A3882" w:rsidP="0090077D">
      <w:pPr>
        <w:rPr>
          <w:b/>
          <w:lang w:eastAsia="en-US"/>
        </w:rPr>
      </w:pPr>
    </w:p>
    <w:p w:rsidR="009A42ED" w:rsidRDefault="00705065" w:rsidP="0090077D">
      <w:pPr>
        <w:rPr>
          <w:lang w:eastAsia="en-US"/>
        </w:rPr>
      </w:pPr>
      <w:r>
        <w:rPr>
          <w:b/>
          <w:lang w:eastAsia="en-US"/>
        </w:rPr>
        <w:t xml:space="preserve">Items 28 to 30 </w:t>
      </w:r>
      <w:r w:rsidR="006837C5">
        <w:rPr>
          <w:lang w:eastAsia="en-US"/>
        </w:rPr>
        <w:t>repeal</w:t>
      </w:r>
      <w:r w:rsidR="009A42ED">
        <w:rPr>
          <w:lang w:eastAsia="en-US"/>
        </w:rPr>
        <w:t xml:space="preserve"> paragraph 36(1)(</w:t>
      </w:r>
      <w:r w:rsidR="006837C5">
        <w:rPr>
          <w:lang w:eastAsia="en-US"/>
        </w:rPr>
        <w:t>b) of the Principal Regulation and insert</w:t>
      </w:r>
      <w:r w:rsidR="009A42ED">
        <w:rPr>
          <w:lang w:eastAsia="en-US"/>
        </w:rPr>
        <w:t xml:space="preserve"> new paragraphs 36(1)(f) and (g), in order to simplify and clarify the reporting requirements for approved authorities for non-government schools, and provide added transparency on how Commonwealth </w:t>
      </w:r>
      <w:r w:rsidR="006837C5">
        <w:rPr>
          <w:lang w:eastAsia="en-US"/>
        </w:rPr>
        <w:t xml:space="preserve">financial </w:t>
      </w:r>
      <w:r w:rsidR="009A42ED">
        <w:rPr>
          <w:lang w:eastAsia="en-US"/>
        </w:rPr>
        <w:t>assistance is used by such au</w:t>
      </w:r>
      <w:r w:rsidR="006837C5">
        <w:rPr>
          <w:lang w:eastAsia="en-US"/>
        </w:rPr>
        <w:t>thorities.</w:t>
      </w:r>
      <w:r w:rsidR="000C75C4">
        <w:rPr>
          <w:lang w:eastAsia="en-US"/>
        </w:rPr>
        <w:t xml:space="preserve"> </w:t>
      </w:r>
      <w:r w:rsidR="006837C5">
        <w:rPr>
          <w:lang w:eastAsia="en-US"/>
        </w:rPr>
        <w:t>These amendments ensure</w:t>
      </w:r>
      <w:r w:rsidR="009A42ED">
        <w:rPr>
          <w:lang w:eastAsia="en-US"/>
        </w:rPr>
        <w:t xml:space="preserve"> that approved authorities for non-government schools are:</w:t>
      </w:r>
    </w:p>
    <w:p w:rsidR="009A42ED" w:rsidRDefault="009A42ED" w:rsidP="00ED0F14">
      <w:pPr>
        <w:rPr>
          <w:lang w:eastAsia="en-US"/>
        </w:rPr>
      </w:pPr>
    </w:p>
    <w:p w:rsidR="009A42ED" w:rsidRDefault="009A42ED" w:rsidP="00B11C67">
      <w:pPr>
        <w:pStyle w:val="ListParagraph"/>
        <w:numPr>
          <w:ilvl w:val="0"/>
          <w:numId w:val="33"/>
        </w:numPr>
        <w:rPr>
          <w:lang w:eastAsia="en-US"/>
        </w:rPr>
      </w:pPr>
      <w:r>
        <w:rPr>
          <w:lang w:eastAsia="en-US"/>
        </w:rPr>
        <w:t>no longer required to report back to the Australian Government loading</w:t>
      </w:r>
      <w:r w:rsidR="004D2F06">
        <w:rPr>
          <w:lang w:eastAsia="en-US"/>
        </w:rPr>
        <w:t xml:space="preserve">s that </w:t>
      </w:r>
      <w:r w:rsidR="006837C5" w:rsidRPr="006D6856">
        <w:rPr>
          <w:lang w:eastAsia="en-US"/>
        </w:rPr>
        <w:t xml:space="preserve">the Australian Government </w:t>
      </w:r>
      <w:r w:rsidRPr="006D6856">
        <w:rPr>
          <w:lang w:eastAsia="en-US"/>
        </w:rPr>
        <w:t>is aware of already</w:t>
      </w:r>
      <w:r w:rsidR="006837C5" w:rsidRPr="006D6856">
        <w:rPr>
          <w:lang w:eastAsia="en-US"/>
        </w:rPr>
        <w:t xml:space="preserve">, as was the case under the previous operation of paragraph 36(1)(b) </w:t>
      </w:r>
      <w:r w:rsidR="00130A37" w:rsidRPr="006D6856">
        <w:t xml:space="preserve">if they are an approved authority </w:t>
      </w:r>
      <w:r w:rsidR="0074305A" w:rsidRPr="006D6856">
        <w:t>that is not an approved system authority</w:t>
      </w:r>
    </w:p>
    <w:p w:rsidR="009A42ED" w:rsidRDefault="009A42ED" w:rsidP="00B11C67">
      <w:pPr>
        <w:pStyle w:val="ListParagraph"/>
        <w:numPr>
          <w:ilvl w:val="0"/>
          <w:numId w:val="33"/>
        </w:numPr>
        <w:rPr>
          <w:lang w:eastAsia="en-US"/>
        </w:rPr>
      </w:pPr>
      <w:r>
        <w:rPr>
          <w:lang w:eastAsia="en-US"/>
        </w:rPr>
        <w:t xml:space="preserve">required to report how much Commonwealth financial assistance (if any) it did not allocate to any of its schools </w:t>
      </w:r>
      <w:r w:rsidR="00C65EBD">
        <w:rPr>
          <w:lang w:eastAsia="en-US"/>
        </w:rPr>
        <w:t>(e.g. used for the administrative costs of the approved authority itself)</w:t>
      </w:r>
    </w:p>
    <w:p w:rsidR="005351F4" w:rsidRDefault="006837C5" w:rsidP="00B11C67">
      <w:pPr>
        <w:pStyle w:val="ListParagraph"/>
        <w:numPr>
          <w:ilvl w:val="0"/>
          <w:numId w:val="33"/>
        </w:numPr>
        <w:rPr>
          <w:lang w:eastAsia="en-US"/>
        </w:rPr>
      </w:pPr>
      <w:r>
        <w:rPr>
          <w:lang w:eastAsia="en-US"/>
        </w:rPr>
        <w:t>if the authority is approved for</w:t>
      </w:r>
      <w:r w:rsidR="005351F4">
        <w:rPr>
          <w:lang w:eastAsia="en-US"/>
        </w:rPr>
        <w:t xml:space="preserve"> more than one school,</w:t>
      </w:r>
      <w:r w:rsidR="009210DD">
        <w:rPr>
          <w:lang w:eastAsia="en-US"/>
        </w:rPr>
        <w:t xml:space="preserve"> required to report</w:t>
      </w:r>
      <w:r w:rsidR="005351F4">
        <w:rPr>
          <w:lang w:eastAsia="en-US"/>
        </w:rPr>
        <w:t xml:space="preserve"> how each amount allocated to each of its schools was determined in accordance with its needs-based funding arrangement (a requirement under subsection 78(3) of the Act and section 61 of the Regulation), noting that this was</w:t>
      </w:r>
      <w:r w:rsidR="00100D30">
        <w:rPr>
          <w:lang w:eastAsia="en-US"/>
        </w:rPr>
        <w:t xml:space="preserve"> (for approved system authorities)</w:t>
      </w:r>
      <w:r w:rsidR="005351F4">
        <w:rPr>
          <w:lang w:eastAsia="en-US"/>
        </w:rPr>
        <w:t xml:space="preserve"> a pre-existing requirement under paragraph 36(1)(b) of the Regulation.</w:t>
      </w:r>
    </w:p>
    <w:p w:rsidR="005351F4" w:rsidRDefault="005351F4" w:rsidP="005351F4">
      <w:pPr>
        <w:rPr>
          <w:lang w:eastAsia="en-US"/>
        </w:rPr>
      </w:pPr>
    </w:p>
    <w:p w:rsidR="009C1E8A" w:rsidRPr="0078381E" w:rsidRDefault="005351F4" w:rsidP="005351F4">
      <w:pPr>
        <w:rPr>
          <w:lang w:eastAsia="en-US"/>
        </w:rPr>
      </w:pPr>
      <w:r>
        <w:rPr>
          <w:b/>
          <w:lang w:eastAsia="en-US"/>
        </w:rPr>
        <w:t>Item 3</w:t>
      </w:r>
      <w:r w:rsidR="006F1C33">
        <w:rPr>
          <w:b/>
          <w:lang w:eastAsia="en-US"/>
        </w:rPr>
        <w:t>1</w:t>
      </w:r>
      <w:r>
        <w:rPr>
          <w:lang w:eastAsia="en-US"/>
        </w:rPr>
        <w:t xml:space="preserve"> </w:t>
      </w:r>
      <w:r w:rsidR="009C1E8A" w:rsidRPr="006D6856">
        <w:t>amends the national assessment programme sample testing in science literacy to once every 3 years beginning in 2015</w:t>
      </w:r>
      <w:r w:rsidR="00880488" w:rsidRPr="006D6856">
        <w:t>,</w:t>
      </w:r>
      <w:r w:rsidR="009C1E8A" w:rsidRPr="006D6856">
        <w:t xml:space="preserve"> instead of only in 2015. This aligns the science literacy sample assessment with other assessments in the three-year cycle for domestic sample assessments (civics and citizenship, and </w:t>
      </w:r>
      <w:proofErr w:type="spellStart"/>
      <w:r w:rsidR="009C1E8A" w:rsidRPr="006D6856">
        <w:t>ICT</w:t>
      </w:r>
      <w:proofErr w:type="spellEnd"/>
      <w:r w:rsidR="009C1E8A" w:rsidRPr="006D6856">
        <w:t xml:space="preserve"> literacy)</w:t>
      </w:r>
      <w:r w:rsidR="00D44034" w:rsidRPr="006D6856">
        <w:t xml:space="preserve"> agreed by the Ministerial Council</w:t>
      </w:r>
      <w:r w:rsidR="009C1E8A" w:rsidRPr="006D6856">
        <w:t>.</w:t>
      </w:r>
      <w:r w:rsidR="0078381E" w:rsidRPr="006D6856">
        <w:rPr>
          <w:lang w:eastAsia="en-US"/>
        </w:rPr>
        <w:t xml:space="preserve"> </w:t>
      </w:r>
      <w:r w:rsidR="0078381E">
        <w:rPr>
          <w:b/>
          <w:lang w:eastAsia="en-US"/>
        </w:rPr>
        <w:t>Item 4</w:t>
      </w:r>
      <w:r w:rsidR="006F1C33">
        <w:rPr>
          <w:b/>
          <w:lang w:eastAsia="en-US"/>
        </w:rPr>
        <w:t>3</w:t>
      </w:r>
      <w:r w:rsidR="0078381E">
        <w:rPr>
          <w:b/>
          <w:lang w:eastAsia="en-US"/>
        </w:rPr>
        <w:t xml:space="preserve"> </w:t>
      </w:r>
      <w:r w:rsidR="0078381E">
        <w:rPr>
          <w:lang w:eastAsia="en-US"/>
        </w:rPr>
        <w:t xml:space="preserve">is a consequential amendment arising from this </w:t>
      </w:r>
      <w:r w:rsidR="0078381E" w:rsidRPr="00D10A06">
        <w:rPr>
          <w:lang w:eastAsia="en-US"/>
        </w:rPr>
        <w:t>item</w:t>
      </w:r>
      <w:r w:rsidR="0078381E">
        <w:rPr>
          <w:lang w:eastAsia="en-US"/>
        </w:rPr>
        <w:t>.</w:t>
      </w:r>
    </w:p>
    <w:p w:rsidR="005351F4" w:rsidRDefault="0078381E" w:rsidP="005351F4">
      <w:pPr>
        <w:rPr>
          <w:b/>
          <w:lang w:eastAsia="en-US"/>
        </w:rPr>
      </w:pPr>
      <w:r>
        <w:rPr>
          <w:b/>
          <w:lang w:eastAsia="en-US"/>
        </w:rPr>
        <w:t xml:space="preserve"> </w:t>
      </w:r>
    </w:p>
    <w:p w:rsidR="00705065" w:rsidRPr="005351F4" w:rsidRDefault="005351F4" w:rsidP="005351F4">
      <w:pPr>
        <w:rPr>
          <w:lang w:eastAsia="en-US"/>
        </w:rPr>
      </w:pPr>
      <w:r>
        <w:rPr>
          <w:b/>
          <w:lang w:eastAsia="en-US"/>
        </w:rPr>
        <w:t>Items 3</w:t>
      </w:r>
      <w:r w:rsidR="006F1C33">
        <w:rPr>
          <w:b/>
          <w:lang w:eastAsia="en-US"/>
        </w:rPr>
        <w:t>2</w:t>
      </w:r>
      <w:r>
        <w:rPr>
          <w:b/>
          <w:lang w:eastAsia="en-US"/>
        </w:rPr>
        <w:t xml:space="preserve"> to </w:t>
      </w:r>
      <w:r w:rsidR="00100D30">
        <w:rPr>
          <w:b/>
          <w:lang w:eastAsia="en-US"/>
        </w:rPr>
        <w:t>37</w:t>
      </w:r>
      <w:r>
        <w:rPr>
          <w:b/>
          <w:lang w:eastAsia="en-US"/>
        </w:rPr>
        <w:t xml:space="preserve"> </w:t>
      </w:r>
      <w:r w:rsidR="00382AD4">
        <w:rPr>
          <w:lang w:eastAsia="en-US"/>
        </w:rPr>
        <w:t>extend the information reporting requirements for a school’s census for participating government schools to include non-participating government schools</w:t>
      </w:r>
      <w:r w:rsidR="00ED32FF">
        <w:rPr>
          <w:lang w:eastAsia="en-US"/>
        </w:rPr>
        <w:t>. T</w:t>
      </w:r>
      <w:r w:rsidR="00382AD4">
        <w:rPr>
          <w:lang w:eastAsia="en-US"/>
        </w:rPr>
        <w:t>hat is, the same sectio</w:t>
      </w:r>
      <w:r w:rsidR="004644B7">
        <w:rPr>
          <w:lang w:eastAsia="en-US"/>
        </w:rPr>
        <w:t xml:space="preserve">ns of the </w:t>
      </w:r>
      <w:r w:rsidR="006837C5">
        <w:rPr>
          <w:lang w:eastAsia="en-US"/>
        </w:rPr>
        <w:t xml:space="preserve">Principal </w:t>
      </w:r>
      <w:r w:rsidR="004644B7">
        <w:rPr>
          <w:lang w:eastAsia="en-US"/>
        </w:rPr>
        <w:t xml:space="preserve">Regulation </w:t>
      </w:r>
      <w:r w:rsidR="00AE61C1">
        <w:rPr>
          <w:lang w:eastAsia="en-US"/>
        </w:rPr>
        <w:t>that</w:t>
      </w:r>
      <w:r w:rsidR="004644B7">
        <w:rPr>
          <w:lang w:eastAsia="en-US"/>
        </w:rPr>
        <w:t xml:space="preserve"> deal with</w:t>
      </w:r>
      <w:r w:rsidR="00382AD4">
        <w:rPr>
          <w:lang w:eastAsia="en-US"/>
        </w:rPr>
        <w:t xml:space="preserve"> what must be included in a school’s census</w:t>
      </w:r>
      <w:r w:rsidR="00AE61C1">
        <w:rPr>
          <w:lang w:eastAsia="en-US"/>
        </w:rPr>
        <w:t xml:space="preserve"> (see sections 46-48) </w:t>
      </w:r>
      <w:r w:rsidR="00382AD4">
        <w:rPr>
          <w:lang w:eastAsia="en-US"/>
        </w:rPr>
        <w:t>apply to all government schools.</w:t>
      </w:r>
      <w:r w:rsidR="00FD7F1A">
        <w:rPr>
          <w:lang w:eastAsia="en-US"/>
        </w:rPr>
        <w:t xml:space="preserve"> This ensures that the Australian Government is provided </w:t>
      </w:r>
      <w:r w:rsidR="00ED32FF">
        <w:rPr>
          <w:lang w:eastAsia="en-US"/>
        </w:rPr>
        <w:t xml:space="preserve">with </w:t>
      </w:r>
      <w:r w:rsidR="00FD7F1A">
        <w:rPr>
          <w:lang w:eastAsia="en-US"/>
        </w:rPr>
        <w:t>the same categori</w:t>
      </w:r>
      <w:r w:rsidR="004644B7">
        <w:rPr>
          <w:lang w:eastAsia="en-US"/>
        </w:rPr>
        <w:t xml:space="preserve">es of information regarding </w:t>
      </w:r>
      <w:r w:rsidR="00FD7F1A">
        <w:rPr>
          <w:lang w:eastAsia="en-US"/>
        </w:rPr>
        <w:t xml:space="preserve">students at each government school in Australia, regardless of whether that school is </w:t>
      </w:r>
      <w:r w:rsidR="006837C5">
        <w:rPr>
          <w:lang w:eastAsia="en-US"/>
        </w:rPr>
        <w:t xml:space="preserve">a </w:t>
      </w:r>
      <w:r w:rsidR="00FD7F1A">
        <w:rPr>
          <w:lang w:eastAsia="en-US"/>
        </w:rPr>
        <w:t>participating or n</w:t>
      </w:r>
      <w:r w:rsidR="004644B7">
        <w:rPr>
          <w:lang w:eastAsia="en-US"/>
        </w:rPr>
        <w:t>on-partici</w:t>
      </w:r>
      <w:r w:rsidR="00FD7F1A">
        <w:rPr>
          <w:lang w:eastAsia="en-US"/>
        </w:rPr>
        <w:t>p</w:t>
      </w:r>
      <w:r w:rsidR="004644B7">
        <w:rPr>
          <w:lang w:eastAsia="en-US"/>
        </w:rPr>
        <w:t>a</w:t>
      </w:r>
      <w:r w:rsidR="00FD7F1A">
        <w:rPr>
          <w:lang w:eastAsia="en-US"/>
        </w:rPr>
        <w:t>ting</w:t>
      </w:r>
      <w:r w:rsidR="004644B7">
        <w:rPr>
          <w:lang w:eastAsia="en-US"/>
        </w:rPr>
        <w:t xml:space="preserve"> government school, </w:t>
      </w:r>
      <w:r w:rsidR="00FD7F1A">
        <w:rPr>
          <w:lang w:eastAsia="en-US"/>
        </w:rPr>
        <w:t>and</w:t>
      </w:r>
      <w:r w:rsidR="004644B7">
        <w:rPr>
          <w:lang w:eastAsia="en-US"/>
        </w:rPr>
        <w:t xml:space="preserve"> assists in ensuring that non-participating States and Territories</w:t>
      </w:r>
      <w:r w:rsidR="00FD7F1A">
        <w:rPr>
          <w:lang w:eastAsia="en-US"/>
        </w:rPr>
        <w:t xml:space="preserve"> </w:t>
      </w:r>
      <w:r w:rsidR="004644B7">
        <w:rPr>
          <w:lang w:eastAsia="en-US"/>
        </w:rPr>
        <w:t>can have Commonwealth financial assistance calculated under the Act in a similar fashion to participating States and Territories</w:t>
      </w:r>
      <w:r w:rsidR="00ED32FF">
        <w:rPr>
          <w:lang w:eastAsia="en-US"/>
        </w:rPr>
        <w:t xml:space="preserve"> in line with </w:t>
      </w:r>
      <w:r w:rsidR="00880488">
        <w:rPr>
          <w:lang w:eastAsia="en-US"/>
        </w:rPr>
        <w:t xml:space="preserve">Australian </w:t>
      </w:r>
      <w:r w:rsidR="00ED32FF">
        <w:rPr>
          <w:lang w:eastAsia="en-US"/>
        </w:rPr>
        <w:t>Government funding commitments</w:t>
      </w:r>
      <w:r w:rsidR="004644B7">
        <w:rPr>
          <w:lang w:eastAsia="en-US"/>
        </w:rPr>
        <w:t xml:space="preserve">. </w:t>
      </w:r>
    </w:p>
    <w:p w:rsidR="005351F4" w:rsidRDefault="005351F4" w:rsidP="00705065">
      <w:pPr>
        <w:rPr>
          <w:lang w:eastAsia="en-US"/>
        </w:rPr>
      </w:pPr>
    </w:p>
    <w:p w:rsidR="005351F4" w:rsidRDefault="005351F4" w:rsidP="00705065">
      <w:pPr>
        <w:rPr>
          <w:lang w:eastAsia="en-US"/>
        </w:rPr>
      </w:pPr>
      <w:r w:rsidRPr="005351F4">
        <w:rPr>
          <w:b/>
          <w:lang w:eastAsia="en-US"/>
        </w:rPr>
        <w:t>Item 4</w:t>
      </w:r>
      <w:r w:rsidR="006F1C33">
        <w:rPr>
          <w:b/>
          <w:lang w:eastAsia="en-US"/>
        </w:rPr>
        <w:t>2</w:t>
      </w:r>
      <w:r>
        <w:rPr>
          <w:b/>
          <w:lang w:eastAsia="en-US"/>
        </w:rPr>
        <w:t xml:space="preserve"> </w:t>
      </w:r>
      <w:r>
        <w:rPr>
          <w:lang w:eastAsia="en-US"/>
        </w:rPr>
        <w:t xml:space="preserve">repeals section 51 of the </w:t>
      </w:r>
      <w:r w:rsidR="006837C5">
        <w:rPr>
          <w:lang w:eastAsia="en-US"/>
        </w:rPr>
        <w:t xml:space="preserve">Principal </w:t>
      </w:r>
      <w:r>
        <w:rPr>
          <w:lang w:eastAsia="en-US"/>
        </w:rPr>
        <w:t>Regulation, now that the same information reporting requirements for a school’s census apply to both participating and non-p</w:t>
      </w:r>
      <w:r w:rsidR="006837C5">
        <w:rPr>
          <w:lang w:eastAsia="en-US"/>
        </w:rPr>
        <w:t>articipating government schools</w:t>
      </w:r>
      <w:r>
        <w:rPr>
          <w:lang w:eastAsia="en-US"/>
        </w:rPr>
        <w:t xml:space="preserve"> this section is no longer required in the </w:t>
      </w:r>
      <w:r w:rsidR="006837C5">
        <w:rPr>
          <w:lang w:eastAsia="en-US"/>
        </w:rPr>
        <w:t xml:space="preserve">Principal </w:t>
      </w:r>
      <w:r>
        <w:rPr>
          <w:lang w:eastAsia="en-US"/>
        </w:rPr>
        <w:t>Regulation.</w:t>
      </w:r>
    </w:p>
    <w:p w:rsidR="004644B7" w:rsidRDefault="004644B7" w:rsidP="00705065">
      <w:pPr>
        <w:rPr>
          <w:lang w:eastAsia="en-US"/>
        </w:rPr>
      </w:pPr>
    </w:p>
    <w:p w:rsidR="00656BE4" w:rsidRPr="00656BE4" w:rsidRDefault="0078381E" w:rsidP="00705065">
      <w:pPr>
        <w:rPr>
          <w:lang w:eastAsia="en-US"/>
        </w:rPr>
      </w:pPr>
      <w:r>
        <w:rPr>
          <w:b/>
          <w:lang w:eastAsia="en-US"/>
        </w:rPr>
        <w:t>Item 4</w:t>
      </w:r>
      <w:r w:rsidR="006F1C33">
        <w:rPr>
          <w:b/>
          <w:lang w:eastAsia="en-US"/>
        </w:rPr>
        <w:t>4</w:t>
      </w:r>
      <w:r>
        <w:rPr>
          <w:b/>
          <w:lang w:eastAsia="en-US"/>
        </w:rPr>
        <w:t xml:space="preserve"> </w:t>
      </w:r>
      <w:r w:rsidR="00656BE4">
        <w:rPr>
          <w:lang w:eastAsia="en-US"/>
        </w:rPr>
        <w:t xml:space="preserve">amends </w:t>
      </w:r>
      <w:r w:rsidR="00880488">
        <w:rPr>
          <w:lang w:eastAsia="en-US"/>
        </w:rPr>
        <w:t>t</w:t>
      </w:r>
      <w:r w:rsidR="00656BE4">
        <w:rPr>
          <w:lang w:eastAsia="en-US"/>
        </w:rPr>
        <w:t xml:space="preserve">able </w:t>
      </w:r>
      <w:r w:rsidR="005D6097">
        <w:rPr>
          <w:lang w:eastAsia="en-US"/>
        </w:rPr>
        <w:t>i</w:t>
      </w:r>
      <w:r w:rsidR="00656BE4">
        <w:rPr>
          <w:lang w:eastAsia="en-US"/>
        </w:rPr>
        <w:t xml:space="preserve">tem 7 at section 53 of the Principal Regulation </w:t>
      </w:r>
      <w:r w:rsidR="00656BE4">
        <w:t>to ensure the performance measure</w:t>
      </w:r>
      <w:r w:rsidR="00052DFD">
        <w:t xml:space="preserve"> for student attendance </w:t>
      </w:r>
      <w:r w:rsidR="00656BE4">
        <w:t xml:space="preserve">is in line with </w:t>
      </w:r>
      <w:r w:rsidR="00052DFD">
        <w:t>decisions</w:t>
      </w:r>
      <w:r w:rsidR="00656BE4">
        <w:t xml:space="preserve"> agreed </w:t>
      </w:r>
      <w:r w:rsidR="00052DFD">
        <w:t xml:space="preserve">to </w:t>
      </w:r>
      <w:r w:rsidR="00656BE4">
        <w:t>by the Ministerial Council.</w:t>
      </w:r>
    </w:p>
    <w:p w:rsidR="0078381E" w:rsidRDefault="0078381E" w:rsidP="00705065">
      <w:pPr>
        <w:rPr>
          <w:lang w:eastAsia="en-US"/>
        </w:rPr>
      </w:pPr>
    </w:p>
    <w:p w:rsidR="00AE61C1" w:rsidRDefault="0078381E" w:rsidP="00705065">
      <w:pPr>
        <w:rPr>
          <w:lang w:eastAsia="en-US"/>
        </w:rPr>
      </w:pPr>
      <w:r>
        <w:rPr>
          <w:b/>
          <w:lang w:eastAsia="en-US"/>
        </w:rPr>
        <w:t>Item 4</w:t>
      </w:r>
      <w:r w:rsidR="006F1C33">
        <w:rPr>
          <w:b/>
          <w:lang w:eastAsia="en-US"/>
        </w:rPr>
        <w:t>5</w:t>
      </w:r>
      <w:r>
        <w:rPr>
          <w:lang w:eastAsia="en-US"/>
        </w:rPr>
        <w:t xml:space="preserve"> </w:t>
      </w:r>
      <w:r w:rsidR="00AE61C1">
        <w:rPr>
          <w:lang w:eastAsia="en-US"/>
        </w:rPr>
        <w:t>inserts a note at the end of subsection 60(1)</w:t>
      </w:r>
      <w:r w:rsidR="006837C5">
        <w:rPr>
          <w:lang w:eastAsia="en-US"/>
        </w:rPr>
        <w:t xml:space="preserve"> of the Principal Regulation</w:t>
      </w:r>
      <w:r w:rsidR="00AE61C1">
        <w:rPr>
          <w:lang w:eastAsia="en-US"/>
        </w:rPr>
        <w:t xml:space="preserve"> to clarify</w:t>
      </w:r>
      <w:r>
        <w:rPr>
          <w:lang w:eastAsia="en-US"/>
        </w:rPr>
        <w:t xml:space="preserve"> that the requirement in section 60 of the </w:t>
      </w:r>
      <w:r w:rsidR="006837C5">
        <w:rPr>
          <w:lang w:eastAsia="en-US"/>
        </w:rPr>
        <w:t xml:space="preserve">Principal </w:t>
      </w:r>
      <w:r>
        <w:rPr>
          <w:lang w:eastAsia="en-US"/>
        </w:rPr>
        <w:t xml:space="preserve">Regulation to make certain information publically available can be met if the approved authority has already </w:t>
      </w:r>
      <w:r w:rsidR="00AE61C1">
        <w:rPr>
          <w:lang w:eastAsia="en-US"/>
        </w:rPr>
        <w:t xml:space="preserve">made the relevant information publically available for another purpose and </w:t>
      </w:r>
      <w:r w:rsidR="006837C5">
        <w:rPr>
          <w:lang w:eastAsia="en-US"/>
        </w:rPr>
        <w:t>which</w:t>
      </w:r>
      <w:r w:rsidR="00AE61C1">
        <w:rPr>
          <w:lang w:eastAsia="en-US"/>
        </w:rPr>
        <w:t xml:space="preserve"> complies with subsection 60(3) of the </w:t>
      </w:r>
      <w:r w:rsidR="006837C5">
        <w:rPr>
          <w:lang w:eastAsia="en-US"/>
        </w:rPr>
        <w:t xml:space="preserve">Principal </w:t>
      </w:r>
      <w:r w:rsidR="00AE61C1">
        <w:rPr>
          <w:lang w:eastAsia="en-US"/>
        </w:rPr>
        <w:t>Regulation.</w:t>
      </w:r>
    </w:p>
    <w:p w:rsidR="00AE61C1" w:rsidRDefault="00AE61C1" w:rsidP="00705065">
      <w:pPr>
        <w:rPr>
          <w:lang w:eastAsia="en-US"/>
        </w:rPr>
      </w:pPr>
    </w:p>
    <w:p w:rsidR="00940378" w:rsidRDefault="00333B43" w:rsidP="004C48C1">
      <w:pPr>
        <w:rPr>
          <w:lang w:eastAsia="en-US"/>
        </w:rPr>
      </w:pPr>
      <w:r w:rsidRPr="00333B43">
        <w:rPr>
          <w:b/>
          <w:lang w:eastAsia="en-US"/>
        </w:rPr>
        <w:t xml:space="preserve">Items </w:t>
      </w:r>
      <w:r>
        <w:rPr>
          <w:b/>
          <w:lang w:eastAsia="en-US"/>
        </w:rPr>
        <w:t>4</w:t>
      </w:r>
      <w:r w:rsidR="006F1C33">
        <w:rPr>
          <w:b/>
          <w:lang w:eastAsia="en-US"/>
        </w:rPr>
        <w:t>6</w:t>
      </w:r>
      <w:r>
        <w:rPr>
          <w:b/>
          <w:lang w:eastAsia="en-US"/>
        </w:rPr>
        <w:t xml:space="preserve"> to </w:t>
      </w:r>
      <w:r w:rsidR="006F1C33">
        <w:rPr>
          <w:b/>
          <w:lang w:eastAsia="en-US"/>
        </w:rPr>
        <w:t>49</w:t>
      </w:r>
      <w:r>
        <w:rPr>
          <w:lang w:eastAsia="en-US"/>
        </w:rPr>
        <w:t xml:space="preserve"> amend section 65 of the </w:t>
      </w:r>
      <w:r w:rsidR="00807CF7">
        <w:rPr>
          <w:lang w:eastAsia="en-US"/>
        </w:rPr>
        <w:t xml:space="preserve">Principal </w:t>
      </w:r>
      <w:r>
        <w:rPr>
          <w:lang w:eastAsia="en-US"/>
        </w:rPr>
        <w:t xml:space="preserve">Regulation to </w:t>
      </w:r>
      <w:r w:rsidR="008925FC">
        <w:rPr>
          <w:lang w:eastAsia="en-US"/>
        </w:rPr>
        <w:t xml:space="preserve">clarify </w:t>
      </w:r>
      <w:r>
        <w:rPr>
          <w:lang w:eastAsia="en-US"/>
        </w:rPr>
        <w:t xml:space="preserve">the capacity for the Minister to </w:t>
      </w:r>
      <w:r w:rsidR="008925FC">
        <w:rPr>
          <w:lang w:eastAsia="en-US"/>
        </w:rPr>
        <w:t xml:space="preserve">use and </w:t>
      </w:r>
      <w:r>
        <w:rPr>
          <w:lang w:eastAsia="en-US"/>
        </w:rPr>
        <w:t xml:space="preserve">disclose information </w:t>
      </w:r>
      <w:r w:rsidR="008925FC">
        <w:rPr>
          <w:lang w:eastAsia="en-US"/>
        </w:rPr>
        <w:t xml:space="preserve">that has been </w:t>
      </w:r>
      <w:r w:rsidR="00990193">
        <w:rPr>
          <w:lang w:eastAsia="en-US"/>
        </w:rPr>
        <w:t>obtained</w:t>
      </w:r>
      <w:r w:rsidR="008925FC">
        <w:rPr>
          <w:lang w:eastAsia="en-US"/>
        </w:rPr>
        <w:t xml:space="preserve"> under or for the purposes </w:t>
      </w:r>
      <w:r>
        <w:rPr>
          <w:lang w:eastAsia="en-US"/>
        </w:rPr>
        <w:t xml:space="preserve">of the Act. </w:t>
      </w:r>
      <w:r w:rsidR="00940378">
        <w:rPr>
          <w:lang w:eastAsia="en-US"/>
        </w:rPr>
        <w:t xml:space="preserve">These amendments </w:t>
      </w:r>
      <w:r w:rsidR="008925FC">
        <w:rPr>
          <w:lang w:eastAsia="en-US"/>
        </w:rPr>
        <w:t xml:space="preserve">make it clear </w:t>
      </w:r>
      <w:r w:rsidR="00940378">
        <w:rPr>
          <w:lang w:eastAsia="en-US"/>
        </w:rPr>
        <w:t xml:space="preserve">that the purposes </w:t>
      </w:r>
      <w:r w:rsidR="008925FC">
        <w:rPr>
          <w:lang w:eastAsia="en-US"/>
        </w:rPr>
        <w:t xml:space="preserve">for </w:t>
      </w:r>
      <w:r w:rsidR="00940378">
        <w:rPr>
          <w:lang w:eastAsia="en-US"/>
        </w:rPr>
        <w:t>which</w:t>
      </w:r>
      <w:r w:rsidR="00807CF7">
        <w:rPr>
          <w:lang w:eastAsia="en-US"/>
        </w:rPr>
        <w:t xml:space="preserve"> the Minister may </w:t>
      </w:r>
      <w:r w:rsidR="00940378">
        <w:rPr>
          <w:lang w:eastAsia="en-US"/>
        </w:rPr>
        <w:t xml:space="preserve">use information </w:t>
      </w:r>
      <w:r w:rsidR="008925FC">
        <w:rPr>
          <w:lang w:eastAsia="en-US"/>
        </w:rPr>
        <w:t xml:space="preserve">are the same purposes for which the Minister may </w:t>
      </w:r>
      <w:r w:rsidR="00940378">
        <w:rPr>
          <w:lang w:eastAsia="en-US"/>
        </w:rPr>
        <w:t>disclos</w:t>
      </w:r>
      <w:r w:rsidR="008925FC">
        <w:rPr>
          <w:lang w:eastAsia="en-US"/>
        </w:rPr>
        <w:t>e</w:t>
      </w:r>
      <w:r w:rsidR="00940378">
        <w:rPr>
          <w:lang w:eastAsia="en-US"/>
        </w:rPr>
        <w:t xml:space="preserve"> such information. </w:t>
      </w:r>
    </w:p>
    <w:p w:rsidR="00940378" w:rsidRDefault="00940378" w:rsidP="00940378">
      <w:pPr>
        <w:rPr>
          <w:lang w:eastAsia="en-US"/>
        </w:rPr>
      </w:pPr>
    </w:p>
    <w:p w:rsidR="00C22AC0" w:rsidRDefault="00C22AC0" w:rsidP="00940378">
      <w:pPr>
        <w:rPr>
          <w:lang w:eastAsia="en-US"/>
        </w:rPr>
      </w:pPr>
      <w:r>
        <w:rPr>
          <w:lang w:eastAsia="en-US"/>
        </w:rPr>
        <w:t xml:space="preserve">In addition, </w:t>
      </w:r>
      <w:r>
        <w:rPr>
          <w:b/>
          <w:lang w:eastAsia="en-US"/>
        </w:rPr>
        <w:t xml:space="preserve">item </w:t>
      </w:r>
      <w:r w:rsidR="005D6097">
        <w:rPr>
          <w:b/>
          <w:lang w:eastAsia="en-US"/>
        </w:rPr>
        <w:t xml:space="preserve">48 </w:t>
      </w:r>
      <w:r w:rsidR="00807CF7">
        <w:rPr>
          <w:lang w:eastAsia="en-US"/>
        </w:rPr>
        <w:t xml:space="preserve">will </w:t>
      </w:r>
      <w:r>
        <w:rPr>
          <w:lang w:eastAsia="en-US"/>
        </w:rPr>
        <w:t xml:space="preserve">ensure that the Minister may disclose information </w:t>
      </w:r>
      <w:r w:rsidR="00990193">
        <w:rPr>
          <w:lang w:eastAsia="en-US"/>
        </w:rPr>
        <w:t>obtained</w:t>
      </w:r>
      <w:r w:rsidR="008925FC">
        <w:rPr>
          <w:lang w:eastAsia="en-US"/>
        </w:rPr>
        <w:t xml:space="preserve"> under or for the purposes of the Act </w:t>
      </w:r>
      <w:r>
        <w:rPr>
          <w:lang w:eastAsia="en-US"/>
        </w:rPr>
        <w:t>to State and Territory education aut</w:t>
      </w:r>
      <w:r w:rsidR="00807CF7">
        <w:rPr>
          <w:lang w:eastAsia="en-US"/>
        </w:rPr>
        <w:t>horities for the purposes of their</w:t>
      </w:r>
      <w:r>
        <w:rPr>
          <w:lang w:eastAsia="en-US"/>
        </w:rPr>
        <w:t xml:space="preserve"> functions</w:t>
      </w:r>
      <w:r w:rsidR="008925FC">
        <w:rPr>
          <w:lang w:eastAsia="en-US"/>
        </w:rPr>
        <w:t xml:space="preserve"> (e.g.</w:t>
      </w:r>
      <w:r>
        <w:rPr>
          <w:lang w:eastAsia="en-US"/>
        </w:rPr>
        <w:t xml:space="preserve"> the registration of non-government schools, compliance with State or Territory based education laws and </w:t>
      </w:r>
      <w:r w:rsidR="00807CF7">
        <w:rPr>
          <w:lang w:eastAsia="en-US"/>
        </w:rPr>
        <w:t xml:space="preserve">school </w:t>
      </w:r>
      <w:r>
        <w:rPr>
          <w:lang w:eastAsia="en-US"/>
        </w:rPr>
        <w:t>financial reporting</w:t>
      </w:r>
      <w:r w:rsidR="008925FC">
        <w:rPr>
          <w:lang w:eastAsia="en-US"/>
        </w:rPr>
        <w:t>)</w:t>
      </w:r>
      <w:r>
        <w:rPr>
          <w:lang w:eastAsia="en-US"/>
        </w:rPr>
        <w:t xml:space="preserve">. </w:t>
      </w:r>
    </w:p>
    <w:p w:rsidR="00C22AC0" w:rsidRDefault="00C22AC0" w:rsidP="00940378">
      <w:pPr>
        <w:rPr>
          <w:lang w:eastAsia="en-US"/>
        </w:rPr>
      </w:pPr>
    </w:p>
    <w:p w:rsidR="00940378" w:rsidRDefault="00940378" w:rsidP="00940378">
      <w:pPr>
        <w:rPr>
          <w:lang w:eastAsia="en-US"/>
        </w:rPr>
      </w:pPr>
      <w:r>
        <w:rPr>
          <w:lang w:eastAsia="en-US"/>
        </w:rPr>
        <w:t xml:space="preserve">Importantly, it is unlikely that any protected information to be disclosed will be, in and of itself, personal information for the purposes of the </w:t>
      </w:r>
      <w:r>
        <w:rPr>
          <w:i/>
          <w:lang w:eastAsia="en-US"/>
        </w:rPr>
        <w:t>Privacy Act 1988</w:t>
      </w:r>
      <w:r w:rsidR="00807CF7">
        <w:rPr>
          <w:lang w:eastAsia="en-US"/>
        </w:rPr>
        <w:t xml:space="preserve">. The Australian Government does not require the personal information of students to be reported under either the Act or the Principal Regulation. In addition, most </w:t>
      </w:r>
      <w:r w:rsidR="00C22AC0">
        <w:rPr>
          <w:lang w:eastAsia="en-US"/>
        </w:rPr>
        <w:t>information reporting requirements under the</w:t>
      </w:r>
      <w:r w:rsidR="00807CF7">
        <w:rPr>
          <w:lang w:eastAsia="en-US"/>
        </w:rPr>
        <w:t xml:space="preserve"> Principal</w:t>
      </w:r>
      <w:r w:rsidR="00C22AC0">
        <w:rPr>
          <w:lang w:eastAsia="en-US"/>
        </w:rPr>
        <w:t xml:space="preserve"> Regulation specifically require that the information </w:t>
      </w:r>
      <w:r w:rsidR="00807CF7">
        <w:rPr>
          <w:lang w:eastAsia="en-US"/>
        </w:rPr>
        <w:t xml:space="preserve">to be </w:t>
      </w:r>
      <w:r w:rsidR="00C22AC0">
        <w:rPr>
          <w:lang w:eastAsia="en-US"/>
        </w:rPr>
        <w:t>reported does not explicitly identify a student (see for example, subsections 48(4), 50(4), and 58A(3)</w:t>
      </w:r>
      <w:r w:rsidR="00807CF7">
        <w:rPr>
          <w:lang w:eastAsia="en-US"/>
        </w:rPr>
        <w:t>). It is therefore unlikely that information disclosed by the Minister under the Act would be personal information</w:t>
      </w:r>
      <w:r w:rsidR="00461BB6">
        <w:rPr>
          <w:lang w:eastAsia="en-US"/>
        </w:rPr>
        <w:t>.</w:t>
      </w:r>
      <w:r w:rsidR="00C22AC0">
        <w:rPr>
          <w:lang w:eastAsia="en-US"/>
        </w:rPr>
        <w:t xml:space="preserve"> </w:t>
      </w:r>
    </w:p>
    <w:p w:rsidR="00C22AC0" w:rsidRDefault="00C22AC0" w:rsidP="00940378">
      <w:pPr>
        <w:rPr>
          <w:lang w:eastAsia="en-US"/>
        </w:rPr>
      </w:pPr>
    </w:p>
    <w:p w:rsidR="00A669ED" w:rsidRDefault="00C22AC0" w:rsidP="000135C8">
      <w:pPr>
        <w:rPr>
          <w:lang w:eastAsia="en-US"/>
        </w:rPr>
      </w:pPr>
      <w:r>
        <w:rPr>
          <w:b/>
          <w:lang w:eastAsia="en-US"/>
        </w:rPr>
        <w:t xml:space="preserve">Item </w:t>
      </w:r>
      <w:r w:rsidR="005D6097">
        <w:rPr>
          <w:b/>
          <w:lang w:eastAsia="en-US"/>
        </w:rPr>
        <w:t>49</w:t>
      </w:r>
      <w:r w:rsidR="005D6097">
        <w:rPr>
          <w:lang w:eastAsia="en-US"/>
        </w:rPr>
        <w:t xml:space="preserve"> </w:t>
      </w:r>
      <w:r>
        <w:rPr>
          <w:lang w:eastAsia="en-US"/>
        </w:rPr>
        <w:t xml:space="preserve">inserts new subsection 65(4) for clarity, to reflect that section 65 of the </w:t>
      </w:r>
      <w:r w:rsidR="00807CF7">
        <w:rPr>
          <w:lang w:eastAsia="en-US"/>
        </w:rPr>
        <w:t xml:space="preserve">Principal </w:t>
      </w:r>
      <w:r>
        <w:rPr>
          <w:lang w:eastAsia="en-US"/>
        </w:rPr>
        <w:t xml:space="preserve">Regulation does not limit </w:t>
      </w:r>
      <w:r w:rsidR="00990193">
        <w:rPr>
          <w:lang w:eastAsia="en-US"/>
        </w:rPr>
        <w:t>any other lawful use or disclosure of information obtained under or for the purposes of the Act</w:t>
      </w:r>
      <w:r>
        <w:rPr>
          <w:lang w:eastAsia="en-US"/>
        </w:rPr>
        <w:t>.</w:t>
      </w:r>
      <w:r w:rsidR="00990193">
        <w:rPr>
          <w:lang w:eastAsia="en-US"/>
        </w:rPr>
        <w:t xml:space="preserve">  That is, section 125 of the Act and section 65 of the Regulation provide statutory authority for specified uses and disclosures of information collected under or for the purposes of the Act, but they do not preclude other lawful and appropriate uses and disclosures.</w:t>
      </w:r>
    </w:p>
    <w:p w:rsidR="00C22AC0" w:rsidRDefault="00C22AC0" w:rsidP="000135C8">
      <w:pPr>
        <w:rPr>
          <w:lang w:eastAsia="en-US"/>
        </w:rPr>
      </w:pPr>
    </w:p>
    <w:p w:rsidR="00C22AC0" w:rsidRPr="008832E8" w:rsidRDefault="00C22AC0" w:rsidP="000135C8">
      <w:pPr>
        <w:rPr>
          <w:lang w:eastAsia="en-US"/>
        </w:rPr>
      </w:pPr>
      <w:r>
        <w:rPr>
          <w:b/>
          <w:lang w:eastAsia="en-US"/>
        </w:rPr>
        <w:t xml:space="preserve">Item </w:t>
      </w:r>
      <w:r w:rsidR="005D6097">
        <w:rPr>
          <w:b/>
          <w:lang w:eastAsia="en-US"/>
        </w:rPr>
        <w:t xml:space="preserve">50 </w:t>
      </w:r>
      <w:r>
        <w:rPr>
          <w:lang w:eastAsia="en-US"/>
        </w:rPr>
        <w:t xml:space="preserve">amends the reference to subsection 110(1) in section 66 of the </w:t>
      </w:r>
      <w:r w:rsidR="00807CF7">
        <w:rPr>
          <w:lang w:eastAsia="en-US"/>
        </w:rPr>
        <w:t xml:space="preserve">Principal </w:t>
      </w:r>
      <w:r>
        <w:rPr>
          <w:lang w:eastAsia="en-US"/>
        </w:rPr>
        <w:t>Regulation (giving notices to persons of proposed decisions)</w:t>
      </w:r>
      <w:r w:rsidR="00807CF7">
        <w:rPr>
          <w:lang w:eastAsia="en-US"/>
        </w:rPr>
        <w:t>. In summary, section 66</w:t>
      </w:r>
      <w:r w:rsidR="008E4ECE">
        <w:rPr>
          <w:lang w:eastAsia="en-US"/>
        </w:rPr>
        <w:t>, amongst other things,</w:t>
      </w:r>
      <w:r w:rsidR="00807CF7">
        <w:rPr>
          <w:lang w:eastAsia="en-US"/>
        </w:rPr>
        <w:t xml:space="preserve"> </w:t>
      </w:r>
      <w:r w:rsidR="008832E8">
        <w:rPr>
          <w:lang w:eastAsia="en-US"/>
        </w:rPr>
        <w:t>imposes a ‘show cause’ notice requirement for a proposed decision by the Minister relating to non-compliance (for example, misuse of Commonwealth financial assistance) where there is a relevant person for that decision, that is, the decision is internally reviewable and reviewable by the Administrative Appeals Tribunal (AAT) upon application by the person. However, only two decisions under subsection 110(1) of the Act have a relevant</w:t>
      </w:r>
      <w:r w:rsidR="00807CF7">
        <w:rPr>
          <w:lang w:eastAsia="en-US"/>
        </w:rPr>
        <w:t xml:space="preserve"> person, that is, a decision under</w:t>
      </w:r>
      <w:r w:rsidR="008832E8">
        <w:rPr>
          <w:lang w:eastAsia="en-US"/>
        </w:rPr>
        <w:t xml:space="preserve"> paragraphs 110(1)(a) (repayment decision) or 110(1)(b) (reduce future financial assistance decision). A decision under paragraph 110(1)(c) does not have a relevant person and is not reviewable either internally or by the AAT. To ensure that the operation of section 66 of the </w:t>
      </w:r>
      <w:r w:rsidR="00807CF7">
        <w:rPr>
          <w:lang w:eastAsia="en-US"/>
        </w:rPr>
        <w:t>Principal Regulation is clear and reflects the operation of the Act</w:t>
      </w:r>
      <w:r w:rsidR="008832E8">
        <w:rPr>
          <w:lang w:eastAsia="en-US"/>
        </w:rPr>
        <w:t xml:space="preserve">, this </w:t>
      </w:r>
      <w:r w:rsidR="008832E8" w:rsidRPr="00D10A06">
        <w:rPr>
          <w:lang w:eastAsia="en-US"/>
        </w:rPr>
        <w:t>item</w:t>
      </w:r>
      <w:r w:rsidR="008E4ECE">
        <w:rPr>
          <w:lang w:eastAsia="en-US"/>
        </w:rPr>
        <w:t xml:space="preserve"> ensure</w:t>
      </w:r>
      <w:r w:rsidR="005C261E">
        <w:rPr>
          <w:lang w:eastAsia="en-US"/>
        </w:rPr>
        <w:t>s</w:t>
      </w:r>
      <w:r w:rsidR="008E4ECE">
        <w:rPr>
          <w:lang w:eastAsia="en-US"/>
        </w:rPr>
        <w:t xml:space="preserve"> that paragraph </w:t>
      </w:r>
      <w:r w:rsidR="008832E8">
        <w:rPr>
          <w:lang w:eastAsia="en-US"/>
        </w:rPr>
        <w:t>66</w:t>
      </w:r>
      <w:r w:rsidR="008E4ECE">
        <w:rPr>
          <w:lang w:eastAsia="en-US"/>
        </w:rPr>
        <w:t>(1)(c)</w:t>
      </w:r>
      <w:r w:rsidR="008832E8">
        <w:rPr>
          <w:lang w:eastAsia="en-US"/>
        </w:rPr>
        <w:t xml:space="preserve"> references the non-compliance decisions to which it relates, that is, paragraphs 110(1)(a) and 110(1)(b). Of course, any proposed de</w:t>
      </w:r>
      <w:r w:rsidR="008E4ECE">
        <w:rPr>
          <w:lang w:eastAsia="en-US"/>
        </w:rPr>
        <w:t xml:space="preserve">cision under 110(1)(c) is </w:t>
      </w:r>
      <w:r w:rsidR="008832E8">
        <w:rPr>
          <w:lang w:eastAsia="en-US"/>
        </w:rPr>
        <w:t>subject to normal principles of natural justice and procedural fairness</w:t>
      </w:r>
      <w:r w:rsidR="008E4ECE">
        <w:rPr>
          <w:lang w:eastAsia="en-US"/>
        </w:rPr>
        <w:t>, as are all administrative decisions</w:t>
      </w:r>
      <w:r w:rsidR="008832E8">
        <w:rPr>
          <w:lang w:eastAsia="en-US"/>
        </w:rPr>
        <w:t xml:space="preserve">. </w:t>
      </w:r>
    </w:p>
    <w:p w:rsidR="00A669ED" w:rsidRPr="00A669ED" w:rsidRDefault="00A669ED" w:rsidP="000135C8">
      <w:pPr>
        <w:rPr>
          <w:lang w:eastAsia="en-US"/>
        </w:rPr>
      </w:pPr>
      <w:r>
        <w:rPr>
          <w:lang w:eastAsia="en-US"/>
        </w:rPr>
        <w:t xml:space="preserve"> </w:t>
      </w:r>
    </w:p>
    <w:p w:rsidR="00735040" w:rsidRPr="00226AEB" w:rsidRDefault="008832E8" w:rsidP="000135C8">
      <w:pPr>
        <w:rPr>
          <w:b/>
          <w:lang w:eastAsia="en-US"/>
        </w:rPr>
      </w:pPr>
      <w:r>
        <w:rPr>
          <w:b/>
          <w:lang w:eastAsia="en-US"/>
        </w:rPr>
        <w:t>Item 5</w:t>
      </w:r>
      <w:r w:rsidR="006F1C33">
        <w:rPr>
          <w:b/>
          <w:lang w:eastAsia="en-US"/>
        </w:rPr>
        <w:t>1</w:t>
      </w:r>
      <w:r>
        <w:rPr>
          <w:lang w:eastAsia="en-US"/>
        </w:rPr>
        <w:t xml:space="preserve"> inserts an application provision for the amendments made by the</w:t>
      </w:r>
      <w:r w:rsidR="00226AEB">
        <w:rPr>
          <w:lang w:eastAsia="en-US"/>
        </w:rPr>
        <w:t xml:space="preserve"> Amendment Regulation. Broadly, each amendment will apply from the commencement time, which is the date the Amendment Regulation commences, or to decisions that have yet to be made in relation to the 2015 year.</w:t>
      </w:r>
      <w:r w:rsidR="003A3882">
        <w:rPr>
          <w:lang w:eastAsia="en-US"/>
        </w:rPr>
        <w:t xml:space="preserve"> </w:t>
      </w:r>
      <w:r w:rsidR="00041560">
        <w:rPr>
          <w:lang w:eastAsia="en-US"/>
        </w:rPr>
        <w:t xml:space="preserve">The amendments to sections 29 and 30 of the </w:t>
      </w:r>
      <w:r w:rsidR="009210DD">
        <w:rPr>
          <w:lang w:eastAsia="en-US"/>
        </w:rPr>
        <w:t xml:space="preserve">Principal </w:t>
      </w:r>
      <w:r w:rsidR="00041560">
        <w:rPr>
          <w:lang w:eastAsia="en-US"/>
        </w:rPr>
        <w:t>Regulation (how recurrent financial assistance is to be spent) referred to in new subsections 68(5) and (6)</w:t>
      </w:r>
      <w:r w:rsidR="008E4ECE">
        <w:rPr>
          <w:b/>
          <w:lang w:eastAsia="en-US"/>
        </w:rPr>
        <w:t xml:space="preserve"> </w:t>
      </w:r>
      <w:r w:rsidR="00041560">
        <w:rPr>
          <w:lang w:eastAsia="en-US"/>
        </w:rPr>
        <w:t xml:space="preserve">will apply </w:t>
      </w:r>
      <w:r w:rsidR="00226AEB">
        <w:rPr>
          <w:lang w:eastAsia="en-US"/>
        </w:rPr>
        <w:t>to financial assistance already</w:t>
      </w:r>
      <w:r>
        <w:rPr>
          <w:lang w:eastAsia="en-US"/>
        </w:rPr>
        <w:t xml:space="preserve"> </w:t>
      </w:r>
      <w:r w:rsidR="00226AEB">
        <w:rPr>
          <w:lang w:eastAsia="en-US"/>
        </w:rPr>
        <w:t>paid</w:t>
      </w:r>
      <w:r w:rsidR="00041560">
        <w:rPr>
          <w:lang w:eastAsia="en-US"/>
        </w:rPr>
        <w:t xml:space="preserve"> under the Act</w:t>
      </w:r>
      <w:r w:rsidR="00226AEB">
        <w:rPr>
          <w:lang w:eastAsia="en-US"/>
        </w:rPr>
        <w:t xml:space="preserve">, however these amendments are beneficial to the </w:t>
      </w:r>
      <w:r w:rsidR="00041560">
        <w:rPr>
          <w:lang w:eastAsia="en-US"/>
        </w:rPr>
        <w:t>recipients of the financial assistance</w:t>
      </w:r>
      <w:r w:rsidR="00226AEB">
        <w:rPr>
          <w:lang w:eastAsia="en-US"/>
        </w:rPr>
        <w:t>.</w:t>
      </w:r>
    </w:p>
    <w:p w:rsidR="00FC3DC3" w:rsidRPr="009E4580" w:rsidRDefault="00735040" w:rsidP="000135C8">
      <w:pPr>
        <w:rPr>
          <w:lang w:eastAsia="en-US"/>
        </w:rPr>
      </w:pPr>
      <w:r>
        <w:rPr>
          <w:lang w:eastAsia="en-US"/>
        </w:rPr>
        <w:t xml:space="preserve"> </w:t>
      </w:r>
      <w:r w:rsidR="00C55657">
        <w:rPr>
          <w:lang w:eastAsia="en-US"/>
        </w:rPr>
        <w:t xml:space="preserve"> </w:t>
      </w:r>
      <w:r w:rsidR="001F6A30">
        <w:rPr>
          <w:lang w:eastAsia="en-US"/>
        </w:rPr>
        <w:t xml:space="preserve"> </w:t>
      </w:r>
      <w:r w:rsidR="00F37919">
        <w:rPr>
          <w:lang w:eastAsia="en-US"/>
        </w:rPr>
        <w:t xml:space="preserve"> </w:t>
      </w:r>
    </w:p>
    <w:sectPr w:rsidR="00FC3DC3" w:rsidRPr="009E4580" w:rsidSect="0028494E">
      <w:footerReference w:type="even" r:id="rId12"/>
      <w:footerReference w:type="default" r:id="rId13"/>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39E" w:rsidRDefault="00AB039E">
      <w:r>
        <w:separator/>
      </w:r>
    </w:p>
  </w:endnote>
  <w:endnote w:type="continuationSeparator" w:id="0">
    <w:p w:rsidR="00AB039E" w:rsidRDefault="00AB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E97" w:rsidRDefault="005C0E97"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0E97" w:rsidRDefault="005C0E97" w:rsidP="002849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E97" w:rsidRDefault="005C0E97"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4FAB">
      <w:rPr>
        <w:rStyle w:val="PageNumber"/>
        <w:noProof/>
      </w:rPr>
      <w:t>2</w:t>
    </w:r>
    <w:r>
      <w:rPr>
        <w:rStyle w:val="PageNumber"/>
      </w:rPr>
      <w:fldChar w:fldCharType="end"/>
    </w:r>
  </w:p>
  <w:p w:rsidR="005C0E97" w:rsidRDefault="005C0E97" w:rsidP="002849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39E" w:rsidRDefault="00AB039E">
      <w:r>
        <w:separator/>
      </w:r>
    </w:p>
  </w:footnote>
  <w:footnote w:type="continuationSeparator" w:id="0">
    <w:p w:rsidR="00AB039E" w:rsidRDefault="00AB0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43B"/>
    <w:multiLevelType w:val="hybridMultilevel"/>
    <w:tmpl w:val="09AC8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EA3CF5"/>
    <w:multiLevelType w:val="hybridMultilevel"/>
    <w:tmpl w:val="A5425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845A33"/>
    <w:multiLevelType w:val="hybridMultilevel"/>
    <w:tmpl w:val="510C97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7BC6D34"/>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F43855"/>
    <w:multiLevelType w:val="hybridMultilevel"/>
    <w:tmpl w:val="978E9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9244EF2"/>
    <w:multiLevelType w:val="hybridMultilevel"/>
    <w:tmpl w:val="A42CCB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D6517D2"/>
    <w:multiLevelType w:val="hybridMultilevel"/>
    <w:tmpl w:val="2D4048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nsid w:val="130C637E"/>
    <w:multiLevelType w:val="hybridMultilevel"/>
    <w:tmpl w:val="410E3B3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8">
    <w:nsid w:val="167D766F"/>
    <w:multiLevelType w:val="hybridMultilevel"/>
    <w:tmpl w:val="0DAA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F46A67"/>
    <w:multiLevelType w:val="hybridMultilevel"/>
    <w:tmpl w:val="7F789AC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0">
    <w:nsid w:val="1DC54D4C"/>
    <w:multiLevelType w:val="hybridMultilevel"/>
    <w:tmpl w:val="4412C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3E39FB"/>
    <w:multiLevelType w:val="hybridMultilevel"/>
    <w:tmpl w:val="01EE8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2088380C"/>
    <w:multiLevelType w:val="hybridMultilevel"/>
    <w:tmpl w:val="A58A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212AD3"/>
    <w:multiLevelType w:val="hybridMultilevel"/>
    <w:tmpl w:val="32D6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5268E8"/>
    <w:multiLevelType w:val="hybridMultilevel"/>
    <w:tmpl w:val="D3CE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3B309B"/>
    <w:multiLevelType w:val="hybridMultilevel"/>
    <w:tmpl w:val="D00C09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2F3D70DA"/>
    <w:multiLevelType w:val="hybridMultilevel"/>
    <w:tmpl w:val="305EC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6F6A2C"/>
    <w:multiLevelType w:val="hybridMultilevel"/>
    <w:tmpl w:val="D1228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1F1B11"/>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6A6263"/>
    <w:multiLevelType w:val="hybridMultilevel"/>
    <w:tmpl w:val="3222B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CC13DF3"/>
    <w:multiLevelType w:val="hybridMultilevel"/>
    <w:tmpl w:val="C56EB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D34483"/>
    <w:multiLevelType w:val="hybridMultilevel"/>
    <w:tmpl w:val="16FC2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0494767"/>
    <w:multiLevelType w:val="hybridMultilevel"/>
    <w:tmpl w:val="4AC4BBE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CFA2C6B"/>
    <w:multiLevelType w:val="hybridMultilevel"/>
    <w:tmpl w:val="8F728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DED0B7F"/>
    <w:multiLevelType w:val="hybridMultilevel"/>
    <w:tmpl w:val="A89AB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16A70DD"/>
    <w:multiLevelType w:val="hybridMultilevel"/>
    <w:tmpl w:val="30F48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80F4B23"/>
    <w:multiLevelType w:val="hybridMultilevel"/>
    <w:tmpl w:val="83C4815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7">
    <w:nsid w:val="6A58113F"/>
    <w:multiLevelType w:val="hybridMultilevel"/>
    <w:tmpl w:val="885E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ED353F7"/>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12E3BCC"/>
    <w:multiLevelType w:val="hybridMultilevel"/>
    <w:tmpl w:val="1F72C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0">
    <w:nsid w:val="72783301"/>
    <w:multiLevelType w:val="hybridMultilevel"/>
    <w:tmpl w:val="8C669F94"/>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1">
    <w:nsid w:val="72D06F53"/>
    <w:multiLevelType w:val="hybridMultilevel"/>
    <w:tmpl w:val="8B90B68E"/>
    <w:lvl w:ilvl="0" w:tplc="0CC08144">
      <w:start w:val="1"/>
      <w:numFmt w:val="decimal"/>
      <w:lvlText w:val="(%1)"/>
      <w:lvlJc w:val="left"/>
      <w:pPr>
        <w:ind w:left="360" w:hanging="360"/>
      </w:pPr>
      <w:rPr>
        <w:rFonts w:ascii="Times New Roman" w:eastAsia="Times New Roman" w:hAnsi="Times New Roman"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2">
    <w:nsid w:val="736406A9"/>
    <w:multiLevelType w:val="hybridMultilevel"/>
    <w:tmpl w:val="74521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45244BE"/>
    <w:multiLevelType w:val="hybridMultilevel"/>
    <w:tmpl w:val="BF5E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4"/>
  </w:num>
  <w:num w:numId="4">
    <w:abstractNumId w:val="0"/>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3"/>
  </w:num>
  <w:num w:numId="11">
    <w:abstractNumId w:val="18"/>
  </w:num>
  <w:num w:numId="12">
    <w:abstractNumId w:val="20"/>
  </w:num>
  <w:num w:numId="13">
    <w:abstractNumId w:val="30"/>
  </w:num>
  <w:num w:numId="14">
    <w:abstractNumId w:val="28"/>
  </w:num>
  <w:num w:numId="15">
    <w:abstractNumId w:val="14"/>
  </w:num>
  <w:num w:numId="16">
    <w:abstractNumId w:val="12"/>
  </w:num>
  <w:num w:numId="17">
    <w:abstractNumId w:val="21"/>
  </w:num>
  <w:num w:numId="18">
    <w:abstractNumId w:val="24"/>
  </w:num>
  <w:num w:numId="19">
    <w:abstractNumId w:val="25"/>
  </w:num>
  <w:num w:numId="20">
    <w:abstractNumId w:val="33"/>
  </w:num>
  <w:num w:numId="21">
    <w:abstractNumId w:val="8"/>
  </w:num>
  <w:num w:numId="22">
    <w:abstractNumId w:val="13"/>
  </w:num>
  <w:num w:numId="23">
    <w:abstractNumId w:val="19"/>
  </w:num>
  <w:num w:numId="24">
    <w:abstractNumId w:val="23"/>
  </w:num>
  <w:num w:numId="25">
    <w:abstractNumId w:val="17"/>
  </w:num>
  <w:num w:numId="26">
    <w:abstractNumId w:val="10"/>
  </w:num>
  <w:num w:numId="27">
    <w:abstractNumId w:val="15"/>
  </w:num>
  <w:num w:numId="28">
    <w:abstractNumId w:val="1"/>
  </w:num>
  <w:num w:numId="29">
    <w:abstractNumId w:val="6"/>
  </w:num>
  <w:num w:numId="30">
    <w:abstractNumId w:val="22"/>
  </w:num>
  <w:num w:numId="31">
    <w:abstractNumId w:val="11"/>
  </w:num>
  <w:num w:numId="32">
    <w:abstractNumId w:val="32"/>
  </w:num>
  <w:num w:numId="33">
    <w:abstractNumId w:val="16"/>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F1"/>
    <w:rsid w:val="000004DD"/>
    <w:rsid w:val="00000B7F"/>
    <w:rsid w:val="00003E8E"/>
    <w:rsid w:val="00005D51"/>
    <w:rsid w:val="000069B2"/>
    <w:rsid w:val="000069C4"/>
    <w:rsid w:val="00006B76"/>
    <w:rsid w:val="000103CB"/>
    <w:rsid w:val="00010FFA"/>
    <w:rsid w:val="0001160A"/>
    <w:rsid w:val="000135C8"/>
    <w:rsid w:val="00014524"/>
    <w:rsid w:val="000146A8"/>
    <w:rsid w:val="000146BC"/>
    <w:rsid w:val="00014704"/>
    <w:rsid w:val="0001513A"/>
    <w:rsid w:val="00015C94"/>
    <w:rsid w:val="00015D30"/>
    <w:rsid w:val="000214A3"/>
    <w:rsid w:val="0002170A"/>
    <w:rsid w:val="0002308D"/>
    <w:rsid w:val="0002459E"/>
    <w:rsid w:val="00027C86"/>
    <w:rsid w:val="00032038"/>
    <w:rsid w:val="00032CB9"/>
    <w:rsid w:val="00033C8F"/>
    <w:rsid w:val="000353BC"/>
    <w:rsid w:val="0003578C"/>
    <w:rsid w:val="00036404"/>
    <w:rsid w:val="00037900"/>
    <w:rsid w:val="00041560"/>
    <w:rsid w:val="00042156"/>
    <w:rsid w:val="000442FA"/>
    <w:rsid w:val="00044F2E"/>
    <w:rsid w:val="00045249"/>
    <w:rsid w:val="00050FED"/>
    <w:rsid w:val="00051130"/>
    <w:rsid w:val="00052DFD"/>
    <w:rsid w:val="0005378B"/>
    <w:rsid w:val="00056351"/>
    <w:rsid w:val="0006034B"/>
    <w:rsid w:val="00061C00"/>
    <w:rsid w:val="00063941"/>
    <w:rsid w:val="0006476D"/>
    <w:rsid w:val="00065172"/>
    <w:rsid w:val="000662B2"/>
    <w:rsid w:val="000709A8"/>
    <w:rsid w:val="000712F3"/>
    <w:rsid w:val="00072A59"/>
    <w:rsid w:val="00074C21"/>
    <w:rsid w:val="00074C34"/>
    <w:rsid w:val="00074EC2"/>
    <w:rsid w:val="00075DF6"/>
    <w:rsid w:val="000767AF"/>
    <w:rsid w:val="000775BD"/>
    <w:rsid w:val="00077F23"/>
    <w:rsid w:val="00080FE5"/>
    <w:rsid w:val="000820A6"/>
    <w:rsid w:val="00082AA4"/>
    <w:rsid w:val="00082B5C"/>
    <w:rsid w:val="00083AE5"/>
    <w:rsid w:val="00090DB3"/>
    <w:rsid w:val="000932B9"/>
    <w:rsid w:val="000934CB"/>
    <w:rsid w:val="00093D56"/>
    <w:rsid w:val="00093E37"/>
    <w:rsid w:val="00094D41"/>
    <w:rsid w:val="0009758C"/>
    <w:rsid w:val="000977AB"/>
    <w:rsid w:val="000A19B4"/>
    <w:rsid w:val="000A2AEE"/>
    <w:rsid w:val="000A37F0"/>
    <w:rsid w:val="000A690F"/>
    <w:rsid w:val="000B0FB3"/>
    <w:rsid w:val="000B2857"/>
    <w:rsid w:val="000B2EA7"/>
    <w:rsid w:val="000B398E"/>
    <w:rsid w:val="000B5008"/>
    <w:rsid w:val="000C02DE"/>
    <w:rsid w:val="000C75C4"/>
    <w:rsid w:val="000C79C6"/>
    <w:rsid w:val="000D00A0"/>
    <w:rsid w:val="000D14CA"/>
    <w:rsid w:val="000D26DF"/>
    <w:rsid w:val="000D2925"/>
    <w:rsid w:val="000D492C"/>
    <w:rsid w:val="000E0ABC"/>
    <w:rsid w:val="000E1263"/>
    <w:rsid w:val="000E334A"/>
    <w:rsid w:val="000E4B2C"/>
    <w:rsid w:val="000E5FCA"/>
    <w:rsid w:val="000F032B"/>
    <w:rsid w:val="000F2FC8"/>
    <w:rsid w:val="000F727D"/>
    <w:rsid w:val="00100D30"/>
    <w:rsid w:val="00103224"/>
    <w:rsid w:val="00103AFD"/>
    <w:rsid w:val="00103F01"/>
    <w:rsid w:val="00105A59"/>
    <w:rsid w:val="00110545"/>
    <w:rsid w:val="0011072F"/>
    <w:rsid w:val="00112991"/>
    <w:rsid w:val="00113841"/>
    <w:rsid w:val="00115A17"/>
    <w:rsid w:val="00115B18"/>
    <w:rsid w:val="0011701D"/>
    <w:rsid w:val="00122367"/>
    <w:rsid w:val="00122D7C"/>
    <w:rsid w:val="0012349B"/>
    <w:rsid w:val="00123891"/>
    <w:rsid w:val="00125D84"/>
    <w:rsid w:val="001266E9"/>
    <w:rsid w:val="00127000"/>
    <w:rsid w:val="001308E1"/>
    <w:rsid w:val="00130A37"/>
    <w:rsid w:val="00134829"/>
    <w:rsid w:val="001348EE"/>
    <w:rsid w:val="001349FF"/>
    <w:rsid w:val="001354C3"/>
    <w:rsid w:val="00140B78"/>
    <w:rsid w:val="00140DD2"/>
    <w:rsid w:val="00141943"/>
    <w:rsid w:val="00143924"/>
    <w:rsid w:val="00144FFF"/>
    <w:rsid w:val="00145177"/>
    <w:rsid w:val="001502AD"/>
    <w:rsid w:val="0015597D"/>
    <w:rsid w:val="00155A70"/>
    <w:rsid w:val="00155B16"/>
    <w:rsid w:val="00155D78"/>
    <w:rsid w:val="001561F2"/>
    <w:rsid w:val="00162B7C"/>
    <w:rsid w:val="0016393C"/>
    <w:rsid w:val="00173335"/>
    <w:rsid w:val="00175337"/>
    <w:rsid w:val="001771F4"/>
    <w:rsid w:val="001775C7"/>
    <w:rsid w:val="001801DC"/>
    <w:rsid w:val="00180903"/>
    <w:rsid w:val="00182229"/>
    <w:rsid w:val="001822E9"/>
    <w:rsid w:val="00183D67"/>
    <w:rsid w:val="0018507D"/>
    <w:rsid w:val="00186815"/>
    <w:rsid w:val="00190F2F"/>
    <w:rsid w:val="0019246B"/>
    <w:rsid w:val="00193AE6"/>
    <w:rsid w:val="00194A5D"/>
    <w:rsid w:val="00196CFD"/>
    <w:rsid w:val="001A11F7"/>
    <w:rsid w:val="001A197A"/>
    <w:rsid w:val="001A1B7B"/>
    <w:rsid w:val="001A306A"/>
    <w:rsid w:val="001A4118"/>
    <w:rsid w:val="001A438A"/>
    <w:rsid w:val="001A4492"/>
    <w:rsid w:val="001A5185"/>
    <w:rsid w:val="001B01C3"/>
    <w:rsid w:val="001B0BE0"/>
    <w:rsid w:val="001B0F9A"/>
    <w:rsid w:val="001B27E4"/>
    <w:rsid w:val="001B306A"/>
    <w:rsid w:val="001B30AA"/>
    <w:rsid w:val="001B4165"/>
    <w:rsid w:val="001B4868"/>
    <w:rsid w:val="001B5436"/>
    <w:rsid w:val="001B7C53"/>
    <w:rsid w:val="001C024D"/>
    <w:rsid w:val="001C386D"/>
    <w:rsid w:val="001C4075"/>
    <w:rsid w:val="001C4292"/>
    <w:rsid w:val="001C57C3"/>
    <w:rsid w:val="001C73FD"/>
    <w:rsid w:val="001C77C4"/>
    <w:rsid w:val="001D2C76"/>
    <w:rsid w:val="001D66A9"/>
    <w:rsid w:val="001D6B30"/>
    <w:rsid w:val="001E1038"/>
    <w:rsid w:val="001E1537"/>
    <w:rsid w:val="001E4C45"/>
    <w:rsid w:val="001E6979"/>
    <w:rsid w:val="001E7E14"/>
    <w:rsid w:val="001F0132"/>
    <w:rsid w:val="001F0C99"/>
    <w:rsid w:val="001F14E1"/>
    <w:rsid w:val="001F22DE"/>
    <w:rsid w:val="001F3E12"/>
    <w:rsid w:val="001F5723"/>
    <w:rsid w:val="001F5CCC"/>
    <w:rsid w:val="001F6A30"/>
    <w:rsid w:val="001F6F11"/>
    <w:rsid w:val="001F7AAD"/>
    <w:rsid w:val="0020239E"/>
    <w:rsid w:val="00203128"/>
    <w:rsid w:val="0020405C"/>
    <w:rsid w:val="00205BC4"/>
    <w:rsid w:val="00210259"/>
    <w:rsid w:val="00210D23"/>
    <w:rsid w:val="00212DD6"/>
    <w:rsid w:val="00213D10"/>
    <w:rsid w:val="002140FA"/>
    <w:rsid w:val="00214638"/>
    <w:rsid w:val="00215DD9"/>
    <w:rsid w:val="00217933"/>
    <w:rsid w:val="00220926"/>
    <w:rsid w:val="002262E3"/>
    <w:rsid w:val="0022647D"/>
    <w:rsid w:val="00226AEB"/>
    <w:rsid w:val="0023211E"/>
    <w:rsid w:val="00233934"/>
    <w:rsid w:val="0023396B"/>
    <w:rsid w:val="0023536E"/>
    <w:rsid w:val="00241119"/>
    <w:rsid w:val="00243753"/>
    <w:rsid w:val="00243BB7"/>
    <w:rsid w:val="00245A6A"/>
    <w:rsid w:val="002469F0"/>
    <w:rsid w:val="00246D4C"/>
    <w:rsid w:val="00247657"/>
    <w:rsid w:val="00250827"/>
    <w:rsid w:val="00252C53"/>
    <w:rsid w:val="00252FA0"/>
    <w:rsid w:val="00255D4A"/>
    <w:rsid w:val="00257C7F"/>
    <w:rsid w:val="002620F3"/>
    <w:rsid w:val="00264240"/>
    <w:rsid w:val="00264E8E"/>
    <w:rsid w:val="0026543B"/>
    <w:rsid w:val="0026586F"/>
    <w:rsid w:val="002658AD"/>
    <w:rsid w:val="002670C5"/>
    <w:rsid w:val="0027023E"/>
    <w:rsid w:val="00272572"/>
    <w:rsid w:val="00276F2A"/>
    <w:rsid w:val="0028494E"/>
    <w:rsid w:val="002852DA"/>
    <w:rsid w:val="00286459"/>
    <w:rsid w:val="00290480"/>
    <w:rsid w:val="00290E39"/>
    <w:rsid w:val="00291FCF"/>
    <w:rsid w:val="00293152"/>
    <w:rsid w:val="00293C2F"/>
    <w:rsid w:val="00294051"/>
    <w:rsid w:val="00295973"/>
    <w:rsid w:val="00295A4C"/>
    <w:rsid w:val="00296F9F"/>
    <w:rsid w:val="002A0122"/>
    <w:rsid w:val="002A04B3"/>
    <w:rsid w:val="002A3D7D"/>
    <w:rsid w:val="002A5754"/>
    <w:rsid w:val="002A7058"/>
    <w:rsid w:val="002A7601"/>
    <w:rsid w:val="002B0742"/>
    <w:rsid w:val="002B1EFE"/>
    <w:rsid w:val="002B43F7"/>
    <w:rsid w:val="002B49D3"/>
    <w:rsid w:val="002C4A28"/>
    <w:rsid w:val="002C4EFA"/>
    <w:rsid w:val="002C66BA"/>
    <w:rsid w:val="002C7724"/>
    <w:rsid w:val="002D4C0B"/>
    <w:rsid w:val="002D5D85"/>
    <w:rsid w:val="002D75BF"/>
    <w:rsid w:val="002E0105"/>
    <w:rsid w:val="002E2D53"/>
    <w:rsid w:val="002E3947"/>
    <w:rsid w:val="002F0B88"/>
    <w:rsid w:val="002F1368"/>
    <w:rsid w:val="002F1E91"/>
    <w:rsid w:val="002F2837"/>
    <w:rsid w:val="002F3C01"/>
    <w:rsid w:val="002F40E8"/>
    <w:rsid w:val="002F47FC"/>
    <w:rsid w:val="003008BD"/>
    <w:rsid w:val="003023AF"/>
    <w:rsid w:val="00302522"/>
    <w:rsid w:val="003028E4"/>
    <w:rsid w:val="00303121"/>
    <w:rsid w:val="003051FF"/>
    <w:rsid w:val="0031026D"/>
    <w:rsid w:val="003108D5"/>
    <w:rsid w:val="00312A21"/>
    <w:rsid w:val="00312BF1"/>
    <w:rsid w:val="00316144"/>
    <w:rsid w:val="00316CEF"/>
    <w:rsid w:val="00317D5B"/>
    <w:rsid w:val="00320F1A"/>
    <w:rsid w:val="0032190D"/>
    <w:rsid w:val="00321962"/>
    <w:rsid w:val="00321A59"/>
    <w:rsid w:val="00321EE2"/>
    <w:rsid w:val="00322F48"/>
    <w:rsid w:val="00323A57"/>
    <w:rsid w:val="00325933"/>
    <w:rsid w:val="00332E86"/>
    <w:rsid w:val="00333B43"/>
    <w:rsid w:val="00335CB4"/>
    <w:rsid w:val="00337ADE"/>
    <w:rsid w:val="00340301"/>
    <w:rsid w:val="0034088B"/>
    <w:rsid w:val="00342FE3"/>
    <w:rsid w:val="00345D96"/>
    <w:rsid w:val="00347B80"/>
    <w:rsid w:val="00352FCA"/>
    <w:rsid w:val="00353210"/>
    <w:rsid w:val="003609CF"/>
    <w:rsid w:val="00361860"/>
    <w:rsid w:val="003649A3"/>
    <w:rsid w:val="003660C4"/>
    <w:rsid w:val="00366813"/>
    <w:rsid w:val="00373336"/>
    <w:rsid w:val="00373D6C"/>
    <w:rsid w:val="003755DF"/>
    <w:rsid w:val="00377C2B"/>
    <w:rsid w:val="003816B6"/>
    <w:rsid w:val="00382AD4"/>
    <w:rsid w:val="00382B44"/>
    <w:rsid w:val="00382F6E"/>
    <w:rsid w:val="00385201"/>
    <w:rsid w:val="00385D1C"/>
    <w:rsid w:val="00386994"/>
    <w:rsid w:val="00387B53"/>
    <w:rsid w:val="003925B9"/>
    <w:rsid w:val="003925E6"/>
    <w:rsid w:val="003A158C"/>
    <w:rsid w:val="003A1A37"/>
    <w:rsid w:val="003A3882"/>
    <w:rsid w:val="003A3991"/>
    <w:rsid w:val="003B0569"/>
    <w:rsid w:val="003B1000"/>
    <w:rsid w:val="003B2E8B"/>
    <w:rsid w:val="003B3134"/>
    <w:rsid w:val="003B35AF"/>
    <w:rsid w:val="003C1AF2"/>
    <w:rsid w:val="003C22BA"/>
    <w:rsid w:val="003C46C4"/>
    <w:rsid w:val="003C4857"/>
    <w:rsid w:val="003C5226"/>
    <w:rsid w:val="003C5789"/>
    <w:rsid w:val="003C7C66"/>
    <w:rsid w:val="003D349B"/>
    <w:rsid w:val="003D35C1"/>
    <w:rsid w:val="003D5573"/>
    <w:rsid w:val="003D7FF0"/>
    <w:rsid w:val="003E04DE"/>
    <w:rsid w:val="003E30B9"/>
    <w:rsid w:val="003E640D"/>
    <w:rsid w:val="003F1A05"/>
    <w:rsid w:val="003F27B4"/>
    <w:rsid w:val="003F2A79"/>
    <w:rsid w:val="003F5773"/>
    <w:rsid w:val="003F6A43"/>
    <w:rsid w:val="003F6DBB"/>
    <w:rsid w:val="003F7075"/>
    <w:rsid w:val="004033AA"/>
    <w:rsid w:val="0040682D"/>
    <w:rsid w:val="004069DC"/>
    <w:rsid w:val="004073EC"/>
    <w:rsid w:val="004125CC"/>
    <w:rsid w:val="00415BBA"/>
    <w:rsid w:val="00417FE0"/>
    <w:rsid w:val="004200CA"/>
    <w:rsid w:val="0042060F"/>
    <w:rsid w:val="004208BA"/>
    <w:rsid w:val="00420B0A"/>
    <w:rsid w:val="00422B59"/>
    <w:rsid w:val="00424819"/>
    <w:rsid w:val="0042606D"/>
    <w:rsid w:val="00427D77"/>
    <w:rsid w:val="00430C71"/>
    <w:rsid w:val="00431B25"/>
    <w:rsid w:val="0043259F"/>
    <w:rsid w:val="00432D63"/>
    <w:rsid w:val="004353B9"/>
    <w:rsid w:val="00440DE2"/>
    <w:rsid w:val="00441ED1"/>
    <w:rsid w:val="0044334C"/>
    <w:rsid w:val="0044347D"/>
    <w:rsid w:val="00443AC4"/>
    <w:rsid w:val="004453FE"/>
    <w:rsid w:val="004541E9"/>
    <w:rsid w:val="00455430"/>
    <w:rsid w:val="00460A9F"/>
    <w:rsid w:val="00461066"/>
    <w:rsid w:val="00461793"/>
    <w:rsid w:val="00461BB6"/>
    <w:rsid w:val="00462A70"/>
    <w:rsid w:val="00462F6C"/>
    <w:rsid w:val="004644B7"/>
    <w:rsid w:val="0046459D"/>
    <w:rsid w:val="0046782B"/>
    <w:rsid w:val="0047277C"/>
    <w:rsid w:val="004731D3"/>
    <w:rsid w:val="00473FD1"/>
    <w:rsid w:val="0047648F"/>
    <w:rsid w:val="0047701A"/>
    <w:rsid w:val="00477C9E"/>
    <w:rsid w:val="00481955"/>
    <w:rsid w:val="00483D60"/>
    <w:rsid w:val="00485AFA"/>
    <w:rsid w:val="00485BF4"/>
    <w:rsid w:val="00487190"/>
    <w:rsid w:val="00490018"/>
    <w:rsid w:val="00491482"/>
    <w:rsid w:val="00491FDA"/>
    <w:rsid w:val="00492EBF"/>
    <w:rsid w:val="0049440F"/>
    <w:rsid w:val="0049516A"/>
    <w:rsid w:val="0049659F"/>
    <w:rsid w:val="00496F2A"/>
    <w:rsid w:val="00497A5C"/>
    <w:rsid w:val="004A1AAB"/>
    <w:rsid w:val="004A2865"/>
    <w:rsid w:val="004A3081"/>
    <w:rsid w:val="004A3089"/>
    <w:rsid w:val="004B0011"/>
    <w:rsid w:val="004B28E6"/>
    <w:rsid w:val="004B3F0D"/>
    <w:rsid w:val="004B4474"/>
    <w:rsid w:val="004B4502"/>
    <w:rsid w:val="004C0FC0"/>
    <w:rsid w:val="004C17B8"/>
    <w:rsid w:val="004C1C85"/>
    <w:rsid w:val="004C29F2"/>
    <w:rsid w:val="004C48C1"/>
    <w:rsid w:val="004C49EE"/>
    <w:rsid w:val="004C5152"/>
    <w:rsid w:val="004C796A"/>
    <w:rsid w:val="004D039B"/>
    <w:rsid w:val="004D14BF"/>
    <w:rsid w:val="004D2F06"/>
    <w:rsid w:val="004D3F60"/>
    <w:rsid w:val="004E4565"/>
    <w:rsid w:val="004E4DB8"/>
    <w:rsid w:val="004E5538"/>
    <w:rsid w:val="004E5A0A"/>
    <w:rsid w:val="004E6B34"/>
    <w:rsid w:val="004F3AC5"/>
    <w:rsid w:val="004F4704"/>
    <w:rsid w:val="004F5247"/>
    <w:rsid w:val="004F6949"/>
    <w:rsid w:val="004F7089"/>
    <w:rsid w:val="004F7469"/>
    <w:rsid w:val="004F746A"/>
    <w:rsid w:val="00501122"/>
    <w:rsid w:val="005022A4"/>
    <w:rsid w:val="00503414"/>
    <w:rsid w:val="00503690"/>
    <w:rsid w:val="005054CD"/>
    <w:rsid w:val="00517658"/>
    <w:rsid w:val="0052219E"/>
    <w:rsid w:val="005234E9"/>
    <w:rsid w:val="00524001"/>
    <w:rsid w:val="00527EFE"/>
    <w:rsid w:val="0053027D"/>
    <w:rsid w:val="00530CB3"/>
    <w:rsid w:val="00534C78"/>
    <w:rsid w:val="005351F4"/>
    <w:rsid w:val="00540E01"/>
    <w:rsid w:val="005412B6"/>
    <w:rsid w:val="0054152E"/>
    <w:rsid w:val="005454B4"/>
    <w:rsid w:val="00545C8A"/>
    <w:rsid w:val="00546DD3"/>
    <w:rsid w:val="00550F4A"/>
    <w:rsid w:val="00552A86"/>
    <w:rsid w:val="005535D8"/>
    <w:rsid w:val="005603E6"/>
    <w:rsid w:val="0056130F"/>
    <w:rsid w:val="00565F44"/>
    <w:rsid w:val="00566149"/>
    <w:rsid w:val="00566270"/>
    <w:rsid w:val="005679F3"/>
    <w:rsid w:val="00567D47"/>
    <w:rsid w:val="00567EC7"/>
    <w:rsid w:val="00571400"/>
    <w:rsid w:val="00572B03"/>
    <w:rsid w:val="005741F1"/>
    <w:rsid w:val="00574CB3"/>
    <w:rsid w:val="005764D6"/>
    <w:rsid w:val="0057652A"/>
    <w:rsid w:val="0057745E"/>
    <w:rsid w:val="00580E9C"/>
    <w:rsid w:val="00581FF5"/>
    <w:rsid w:val="0058300A"/>
    <w:rsid w:val="0058475A"/>
    <w:rsid w:val="005859B5"/>
    <w:rsid w:val="00586CC7"/>
    <w:rsid w:val="005872BC"/>
    <w:rsid w:val="005915EC"/>
    <w:rsid w:val="0059161F"/>
    <w:rsid w:val="00591C31"/>
    <w:rsid w:val="00592094"/>
    <w:rsid w:val="00594300"/>
    <w:rsid w:val="00594E2C"/>
    <w:rsid w:val="00595786"/>
    <w:rsid w:val="0059589D"/>
    <w:rsid w:val="005960F0"/>
    <w:rsid w:val="005969DF"/>
    <w:rsid w:val="005A117C"/>
    <w:rsid w:val="005A3429"/>
    <w:rsid w:val="005A344B"/>
    <w:rsid w:val="005A4764"/>
    <w:rsid w:val="005A48AF"/>
    <w:rsid w:val="005A48ED"/>
    <w:rsid w:val="005B0DBC"/>
    <w:rsid w:val="005B18C8"/>
    <w:rsid w:val="005B3644"/>
    <w:rsid w:val="005B3AB9"/>
    <w:rsid w:val="005C0E97"/>
    <w:rsid w:val="005C1365"/>
    <w:rsid w:val="005C13A0"/>
    <w:rsid w:val="005C17C2"/>
    <w:rsid w:val="005C1ADB"/>
    <w:rsid w:val="005C261E"/>
    <w:rsid w:val="005C31C3"/>
    <w:rsid w:val="005C3223"/>
    <w:rsid w:val="005C36F9"/>
    <w:rsid w:val="005C4D92"/>
    <w:rsid w:val="005C4E73"/>
    <w:rsid w:val="005C5767"/>
    <w:rsid w:val="005C5DF7"/>
    <w:rsid w:val="005D2C22"/>
    <w:rsid w:val="005D54A8"/>
    <w:rsid w:val="005D6097"/>
    <w:rsid w:val="005D6BC8"/>
    <w:rsid w:val="005D6E74"/>
    <w:rsid w:val="005D7753"/>
    <w:rsid w:val="005E0B4C"/>
    <w:rsid w:val="005E257B"/>
    <w:rsid w:val="005E3A05"/>
    <w:rsid w:val="005E4C33"/>
    <w:rsid w:val="005E4FAB"/>
    <w:rsid w:val="005E5397"/>
    <w:rsid w:val="005F296A"/>
    <w:rsid w:val="005F385F"/>
    <w:rsid w:val="005F4989"/>
    <w:rsid w:val="005F5617"/>
    <w:rsid w:val="005F65DC"/>
    <w:rsid w:val="005F7872"/>
    <w:rsid w:val="00600502"/>
    <w:rsid w:val="00600D76"/>
    <w:rsid w:val="00602CF2"/>
    <w:rsid w:val="0060347E"/>
    <w:rsid w:val="006066CC"/>
    <w:rsid w:val="00607AC8"/>
    <w:rsid w:val="00610D76"/>
    <w:rsid w:val="00612C19"/>
    <w:rsid w:val="00613F0C"/>
    <w:rsid w:val="00614C4D"/>
    <w:rsid w:val="006176B9"/>
    <w:rsid w:val="006179BB"/>
    <w:rsid w:val="00623554"/>
    <w:rsid w:val="00627387"/>
    <w:rsid w:val="006304AE"/>
    <w:rsid w:val="00630751"/>
    <w:rsid w:val="00631610"/>
    <w:rsid w:val="00631ED8"/>
    <w:rsid w:val="00632308"/>
    <w:rsid w:val="00632D38"/>
    <w:rsid w:val="0063402C"/>
    <w:rsid w:val="00634314"/>
    <w:rsid w:val="0063511D"/>
    <w:rsid w:val="00635477"/>
    <w:rsid w:val="00640A9B"/>
    <w:rsid w:val="0064150A"/>
    <w:rsid w:val="00641784"/>
    <w:rsid w:val="00652CF5"/>
    <w:rsid w:val="00656BE4"/>
    <w:rsid w:val="00657E91"/>
    <w:rsid w:val="00660006"/>
    <w:rsid w:val="0066129C"/>
    <w:rsid w:val="00663DE9"/>
    <w:rsid w:val="00664E0D"/>
    <w:rsid w:val="00670E96"/>
    <w:rsid w:val="00671D00"/>
    <w:rsid w:val="006732DA"/>
    <w:rsid w:val="00674DDF"/>
    <w:rsid w:val="006767CD"/>
    <w:rsid w:val="00676902"/>
    <w:rsid w:val="00676E45"/>
    <w:rsid w:val="00677698"/>
    <w:rsid w:val="00680D77"/>
    <w:rsid w:val="00681498"/>
    <w:rsid w:val="006828AE"/>
    <w:rsid w:val="006829F4"/>
    <w:rsid w:val="006837C5"/>
    <w:rsid w:val="00684E03"/>
    <w:rsid w:val="00686DA2"/>
    <w:rsid w:val="0069017C"/>
    <w:rsid w:val="00690BC5"/>
    <w:rsid w:val="00691D36"/>
    <w:rsid w:val="006956DD"/>
    <w:rsid w:val="006A4692"/>
    <w:rsid w:val="006A782C"/>
    <w:rsid w:val="006B1F20"/>
    <w:rsid w:val="006B2897"/>
    <w:rsid w:val="006B5109"/>
    <w:rsid w:val="006B6AEC"/>
    <w:rsid w:val="006C0F90"/>
    <w:rsid w:val="006C1572"/>
    <w:rsid w:val="006C1AC8"/>
    <w:rsid w:val="006C2BB1"/>
    <w:rsid w:val="006C3E9B"/>
    <w:rsid w:val="006D059A"/>
    <w:rsid w:val="006D0923"/>
    <w:rsid w:val="006D0C4E"/>
    <w:rsid w:val="006D5B64"/>
    <w:rsid w:val="006D6856"/>
    <w:rsid w:val="006D766A"/>
    <w:rsid w:val="006E0921"/>
    <w:rsid w:val="006E1902"/>
    <w:rsid w:val="006E32F3"/>
    <w:rsid w:val="006E42D0"/>
    <w:rsid w:val="006E43EA"/>
    <w:rsid w:val="006E63FA"/>
    <w:rsid w:val="006E69AD"/>
    <w:rsid w:val="006E6C03"/>
    <w:rsid w:val="006E7302"/>
    <w:rsid w:val="006F0023"/>
    <w:rsid w:val="006F1C33"/>
    <w:rsid w:val="006F3CC3"/>
    <w:rsid w:val="006F4B8B"/>
    <w:rsid w:val="006F647D"/>
    <w:rsid w:val="00701DC4"/>
    <w:rsid w:val="00704DDE"/>
    <w:rsid w:val="00705065"/>
    <w:rsid w:val="0070568D"/>
    <w:rsid w:val="0070743F"/>
    <w:rsid w:val="00712F87"/>
    <w:rsid w:val="0071460C"/>
    <w:rsid w:val="00715CFA"/>
    <w:rsid w:val="00720FFE"/>
    <w:rsid w:val="0072584C"/>
    <w:rsid w:val="00725DDE"/>
    <w:rsid w:val="00726226"/>
    <w:rsid w:val="00727864"/>
    <w:rsid w:val="007301CB"/>
    <w:rsid w:val="00730291"/>
    <w:rsid w:val="0073072B"/>
    <w:rsid w:val="00731EDA"/>
    <w:rsid w:val="007323F3"/>
    <w:rsid w:val="00733FC4"/>
    <w:rsid w:val="00734425"/>
    <w:rsid w:val="007347ED"/>
    <w:rsid w:val="00735040"/>
    <w:rsid w:val="007409D0"/>
    <w:rsid w:val="00742681"/>
    <w:rsid w:val="0074305A"/>
    <w:rsid w:val="007441C3"/>
    <w:rsid w:val="007448CC"/>
    <w:rsid w:val="00744D9D"/>
    <w:rsid w:val="00745885"/>
    <w:rsid w:val="00747A87"/>
    <w:rsid w:val="007510D1"/>
    <w:rsid w:val="00751EC6"/>
    <w:rsid w:val="00760CCD"/>
    <w:rsid w:val="007617B0"/>
    <w:rsid w:val="00761A2E"/>
    <w:rsid w:val="007626B1"/>
    <w:rsid w:val="007667FE"/>
    <w:rsid w:val="00771633"/>
    <w:rsid w:val="007732F4"/>
    <w:rsid w:val="0077370B"/>
    <w:rsid w:val="007739AB"/>
    <w:rsid w:val="00774375"/>
    <w:rsid w:val="007746AC"/>
    <w:rsid w:val="00774774"/>
    <w:rsid w:val="00774996"/>
    <w:rsid w:val="00776158"/>
    <w:rsid w:val="0077742E"/>
    <w:rsid w:val="00777FBD"/>
    <w:rsid w:val="007837E9"/>
    <w:rsid w:val="0078381E"/>
    <w:rsid w:val="007865F2"/>
    <w:rsid w:val="00786919"/>
    <w:rsid w:val="00790CD3"/>
    <w:rsid w:val="007920D2"/>
    <w:rsid w:val="00793BEE"/>
    <w:rsid w:val="007A0682"/>
    <w:rsid w:val="007A18A7"/>
    <w:rsid w:val="007A1BD9"/>
    <w:rsid w:val="007A58D9"/>
    <w:rsid w:val="007A5C94"/>
    <w:rsid w:val="007B34B9"/>
    <w:rsid w:val="007B37D1"/>
    <w:rsid w:val="007B56E5"/>
    <w:rsid w:val="007C11AD"/>
    <w:rsid w:val="007C16AB"/>
    <w:rsid w:val="007C1FEA"/>
    <w:rsid w:val="007C3F27"/>
    <w:rsid w:val="007C3F94"/>
    <w:rsid w:val="007C4D7E"/>
    <w:rsid w:val="007C6845"/>
    <w:rsid w:val="007C6A91"/>
    <w:rsid w:val="007C7B3C"/>
    <w:rsid w:val="007D0F32"/>
    <w:rsid w:val="007D230E"/>
    <w:rsid w:val="007D66B7"/>
    <w:rsid w:val="007D6FD0"/>
    <w:rsid w:val="007E3A5B"/>
    <w:rsid w:val="007E417E"/>
    <w:rsid w:val="007E4BB2"/>
    <w:rsid w:val="007E57F9"/>
    <w:rsid w:val="007F02FC"/>
    <w:rsid w:val="007F05C0"/>
    <w:rsid w:val="007F1D1C"/>
    <w:rsid w:val="007F2193"/>
    <w:rsid w:val="007F24E3"/>
    <w:rsid w:val="007F2996"/>
    <w:rsid w:val="007F47A5"/>
    <w:rsid w:val="007F4C12"/>
    <w:rsid w:val="007F6C0C"/>
    <w:rsid w:val="007F7EAE"/>
    <w:rsid w:val="00800F80"/>
    <w:rsid w:val="0080122C"/>
    <w:rsid w:val="008032D1"/>
    <w:rsid w:val="0080365C"/>
    <w:rsid w:val="00806B0F"/>
    <w:rsid w:val="00806D4A"/>
    <w:rsid w:val="00807CF7"/>
    <w:rsid w:val="0081051B"/>
    <w:rsid w:val="00811936"/>
    <w:rsid w:val="008119D5"/>
    <w:rsid w:val="00816DD5"/>
    <w:rsid w:val="00817998"/>
    <w:rsid w:val="0082065B"/>
    <w:rsid w:val="00820F20"/>
    <w:rsid w:val="0082447C"/>
    <w:rsid w:val="008260E3"/>
    <w:rsid w:val="00826B30"/>
    <w:rsid w:val="0082728C"/>
    <w:rsid w:val="0083373E"/>
    <w:rsid w:val="00833DF2"/>
    <w:rsid w:val="0083515E"/>
    <w:rsid w:val="00840F4B"/>
    <w:rsid w:val="00844A85"/>
    <w:rsid w:val="008456B3"/>
    <w:rsid w:val="008472C7"/>
    <w:rsid w:val="00851C59"/>
    <w:rsid w:val="0085292F"/>
    <w:rsid w:val="008571AD"/>
    <w:rsid w:val="008576ED"/>
    <w:rsid w:val="00857E12"/>
    <w:rsid w:val="0086058F"/>
    <w:rsid w:val="00860B25"/>
    <w:rsid w:val="008619ED"/>
    <w:rsid w:val="0086443E"/>
    <w:rsid w:val="00864C60"/>
    <w:rsid w:val="00872CB9"/>
    <w:rsid w:val="008749D7"/>
    <w:rsid w:val="00875B7D"/>
    <w:rsid w:val="00875FEE"/>
    <w:rsid w:val="00876554"/>
    <w:rsid w:val="00880488"/>
    <w:rsid w:val="00880C92"/>
    <w:rsid w:val="00881D98"/>
    <w:rsid w:val="00882023"/>
    <w:rsid w:val="008832E8"/>
    <w:rsid w:val="008836EE"/>
    <w:rsid w:val="00883843"/>
    <w:rsid w:val="00885CDC"/>
    <w:rsid w:val="00887866"/>
    <w:rsid w:val="00890D56"/>
    <w:rsid w:val="00891086"/>
    <w:rsid w:val="008919CF"/>
    <w:rsid w:val="00891C63"/>
    <w:rsid w:val="008921E9"/>
    <w:rsid w:val="008925FC"/>
    <w:rsid w:val="00895236"/>
    <w:rsid w:val="00895AD0"/>
    <w:rsid w:val="00895FCB"/>
    <w:rsid w:val="008A0FB3"/>
    <w:rsid w:val="008A139A"/>
    <w:rsid w:val="008A21E7"/>
    <w:rsid w:val="008A6E90"/>
    <w:rsid w:val="008A7BCF"/>
    <w:rsid w:val="008B098D"/>
    <w:rsid w:val="008B2A56"/>
    <w:rsid w:val="008B4456"/>
    <w:rsid w:val="008B5323"/>
    <w:rsid w:val="008B6E17"/>
    <w:rsid w:val="008B6FC0"/>
    <w:rsid w:val="008B7CBC"/>
    <w:rsid w:val="008C030E"/>
    <w:rsid w:val="008C0826"/>
    <w:rsid w:val="008C193C"/>
    <w:rsid w:val="008C1D43"/>
    <w:rsid w:val="008C5426"/>
    <w:rsid w:val="008C598B"/>
    <w:rsid w:val="008C623B"/>
    <w:rsid w:val="008D0107"/>
    <w:rsid w:val="008D4A44"/>
    <w:rsid w:val="008D5548"/>
    <w:rsid w:val="008D6941"/>
    <w:rsid w:val="008D72AE"/>
    <w:rsid w:val="008D7755"/>
    <w:rsid w:val="008E089B"/>
    <w:rsid w:val="008E44CE"/>
    <w:rsid w:val="008E4ECE"/>
    <w:rsid w:val="008F1FFD"/>
    <w:rsid w:val="008F62BC"/>
    <w:rsid w:val="0090077D"/>
    <w:rsid w:val="00901F93"/>
    <w:rsid w:val="00904A4B"/>
    <w:rsid w:val="0090568D"/>
    <w:rsid w:val="009110BC"/>
    <w:rsid w:val="00911229"/>
    <w:rsid w:val="009159F1"/>
    <w:rsid w:val="0091603C"/>
    <w:rsid w:val="00916C07"/>
    <w:rsid w:val="00916CCA"/>
    <w:rsid w:val="00917800"/>
    <w:rsid w:val="009210DD"/>
    <w:rsid w:val="00921253"/>
    <w:rsid w:val="0092364B"/>
    <w:rsid w:val="0092436E"/>
    <w:rsid w:val="009253FD"/>
    <w:rsid w:val="00925E5E"/>
    <w:rsid w:val="00930BCD"/>
    <w:rsid w:val="009311C4"/>
    <w:rsid w:val="00931762"/>
    <w:rsid w:val="00935BBA"/>
    <w:rsid w:val="00936F52"/>
    <w:rsid w:val="00940378"/>
    <w:rsid w:val="00942321"/>
    <w:rsid w:val="00942BE7"/>
    <w:rsid w:val="00944A21"/>
    <w:rsid w:val="009450D8"/>
    <w:rsid w:val="0094660E"/>
    <w:rsid w:val="00946B44"/>
    <w:rsid w:val="00946D7B"/>
    <w:rsid w:val="009525F3"/>
    <w:rsid w:val="00957B3F"/>
    <w:rsid w:val="00964587"/>
    <w:rsid w:val="009667B6"/>
    <w:rsid w:val="00967557"/>
    <w:rsid w:val="009724E3"/>
    <w:rsid w:val="0097397A"/>
    <w:rsid w:val="00974A90"/>
    <w:rsid w:val="00983B70"/>
    <w:rsid w:val="00984451"/>
    <w:rsid w:val="0098646A"/>
    <w:rsid w:val="00990193"/>
    <w:rsid w:val="00994B9F"/>
    <w:rsid w:val="00996FF0"/>
    <w:rsid w:val="009A1B00"/>
    <w:rsid w:val="009A3686"/>
    <w:rsid w:val="009A38D0"/>
    <w:rsid w:val="009A42ED"/>
    <w:rsid w:val="009A473D"/>
    <w:rsid w:val="009A4AC6"/>
    <w:rsid w:val="009A4DE7"/>
    <w:rsid w:val="009A52AB"/>
    <w:rsid w:val="009A6BD2"/>
    <w:rsid w:val="009A7D68"/>
    <w:rsid w:val="009B39CE"/>
    <w:rsid w:val="009B42F0"/>
    <w:rsid w:val="009B7933"/>
    <w:rsid w:val="009C13C2"/>
    <w:rsid w:val="009C1E8A"/>
    <w:rsid w:val="009C4CC2"/>
    <w:rsid w:val="009C7BA2"/>
    <w:rsid w:val="009D0C01"/>
    <w:rsid w:val="009D49C7"/>
    <w:rsid w:val="009D62F4"/>
    <w:rsid w:val="009D7A1F"/>
    <w:rsid w:val="009E075E"/>
    <w:rsid w:val="009E1286"/>
    <w:rsid w:val="009E4580"/>
    <w:rsid w:val="009E4859"/>
    <w:rsid w:val="009E4CB9"/>
    <w:rsid w:val="009E6E3D"/>
    <w:rsid w:val="009E7CD1"/>
    <w:rsid w:val="009F4D7A"/>
    <w:rsid w:val="009F6171"/>
    <w:rsid w:val="009F6B8E"/>
    <w:rsid w:val="00A0112B"/>
    <w:rsid w:val="00A03F57"/>
    <w:rsid w:val="00A04087"/>
    <w:rsid w:val="00A0518B"/>
    <w:rsid w:val="00A079AC"/>
    <w:rsid w:val="00A07F46"/>
    <w:rsid w:val="00A1332D"/>
    <w:rsid w:val="00A15055"/>
    <w:rsid w:val="00A16D60"/>
    <w:rsid w:val="00A17D58"/>
    <w:rsid w:val="00A20F32"/>
    <w:rsid w:val="00A22272"/>
    <w:rsid w:val="00A23C67"/>
    <w:rsid w:val="00A245FE"/>
    <w:rsid w:val="00A25DDD"/>
    <w:rsid w:val="00A26D1A"/>
    <w:rsid w:val="00A27097"/>
    <w:rsid w:val="00A3619B"/>
    <w:rsid w:val="00A43837"/>
    <w:rsid w:val="00A45F5B"/>
    <w:rsid w:val="00A46D16"/>
    <w:rsid w:val="00A46E9B"/>
    <w:rsid w:val="00A514EA"/>
    <w:rsid w:val="00A51C05"/>
    <w:rsid w:val="00A52BCD"/>
    <w:rsid w:val="00A56E5B"/>
    <w:rsid w:val="00A61E2F"/>
    <w:rsid w:val="00A61FE3"/>
    <w:rsid w:val="00A62380"/>
    <w:rsid w:val="00A630D9"/>
    <w:rsid w:val="00A668B3"/>
    <w:rsid w:val="00A669ED"/>
    <w:rsid w:val="00A70381"/>
    <w:rsid w:val="00A705AE"/>
    <w:rsid w:val="00A706F7"/>
    <w:rsid w:val="00A7132F"/>
    <w:rsid w:val="00A72078"/>
    <w:rsid w:val="00A733BE"/>
    <w:rsid w:val="00A756C1"/>
    <w:rsid w:val="00A76CFF"/>
    <w:rsid w:val="00A77019"/>
    <w:rsid w:val="00A7726D"/>
    <w:rsid w:val="00A82E27"/>
    <w:rsid w:val="00A83C5D"/>
    <w:rsid w:val="00A83FA2"/>
    <w:rsid w:val="00A87A21"/>
    <w:rsid w:val="00A87D1F"/>
    <w:rsid w:val="00A904A6"/>
    <w:rsid w:val="00A90B6A"/>
    <w:rsid w:val="00A90F04"/>
    <w:rsid w:val="00A96C03"/>
    <w:rsid w:val="00AA2603"/>
    <w:rsid w:val="00AA3BAD"/>
    <w:rsid w:val="00AA4E4C"/>
    <w:rsid w:val="00AA5DAC"/>
    <w:rsid w:val="00AA789A"/>
    <w:rsid w:val="00AB039E"/>
    <w:rsid w:val="00AB2FDD"/>
    <w:rsid w:val="00AB4735"/>
    <w:rsid w:val="00AB54BA"/>
    <w:rsid w:val="00AB7C43"/>
    <w:rsid w:val="00AB7DBF"/>
    <w:rsid w:val="00AC1420"/>
    <w:rsid w:val="00AC1D60"/>
    <w:rsid w:val="00AC4127"/>
    <w:rsid w:val="00AC5A89"/>
    <w:rsid w:val="00AC6A14"/>
    <w:rsid w:val="00AD16B4"/>
    <w:rsid w:val="00AD449F"/>
    <w:rsid w:val="00AD56C6"/>
    <w:rsid w:val="00AD5DF6"/>
    <w:rsid w:val="00AD74BF"/>
    <w:rsid w:val="00AD7EF2"/>
    <w:rsid w:val="00AE289E"/>
    <w:rsid w:val="00AE2B24"/>
    <w:rsid w:val="00AE413A"/>
    <w:rsid w:val="00AE4863"/>
    <w:rsid w:val="00AE4B0C"/>
    <w:rsid w:val="00AE4C03"/>
    <w:rsid w:val="00AE61C1"/>
    <w:rsid w:val="00AE6A5E"/>
    <w:rsid w:val="00AE78F8"/>
    <w:rsid w:val="00AF184B"/>
    <w:rsid w:val="00AF1CEE"/>
    <w:rsid w:val="00AF3701"/>
    <w:rsid w:val="00AF49E1"/>
    <w:rsid w:val="00AF6CC4"/>
    <w:rsid w:val="00AF7A69"/>
    <w:rsid w:val="00B00B1A"/>
    <w:rsid w:val="00B01556"/>
    <w:rsid w:val="00B03435"/>
    <w:rsid w:val="00B03F57"/>
    <w:rsid w:val="00B04800"/>
    <w:rsid w:val="00B05CFE"/>
    <w:rsid w:val="00B06BC3"/>
    <w:rsid w:val="00B10FD2"/>
    <w:rsid w:val="00B11C67"/>
    <w:rsid w:val="00B1392D"/>
    <w:rsid w:val="00B141C2"/>
    <w:rsid w:val="00B2148B"/>
    <w:rsid w:val="00B21A41"/>
    <w:rsid w:val="00B23516"/>
    <w:rsid w:val="00B23A03"/>
    <w:rsid w:val="00B24340"/>
    <w:rsid w:val="00B247CC"/>
    <w:rsid w:val="00B2788F"/>
    <w:rsid w:val="00B32E33"/>
    <w:rsid w:val="00B3754E"/>
    <w:rsid w:val="00B37FEA"/>
    <w:rsid w:val="00B40C6B"/>
    <w:rsid w:val="00B4183D"/>
    <w:rsid w:val="00B43EBA"/>
    <w:rsid w:val="00B43F76"/>
    <w:rsid w:val="00B47169"/>
    <w:rsid w:val="00B47F43"/>
    <w:rsid w:val="00B50449"/>
    <w:rsid w:val="00B514FB"/>
    <w:rsid w:val="00B542EF"/>
    <w:rsid w:val="00B545C6"/>
    <w:rsid w:val="00B65B33"/>
    <w:rsid w:val="00B65CA1"/>
    <w:rsid w:val="00B704DC"/>
    <w:rsid w:val="00B72461"/>
    <w:rsid w:val="00B76F5C"/>
    <w:rsid w:val="00B76F60"/>
    <w:rsid w:val="00B77656"/>
    <w:rsid w:val="00B77D30"/>
    <w:rsid w:val="00B847BE"/>
    <w:rsid w:val="00B84FC0"/>
    <w:rsid w:val="00B93BB2"/>
    <w:rsid w:val="00B957D4"/>
    <w:rsid w:val="00B967BC"/>
    <w:rsid w:val="00BA05A8"/>
    <w:rsid w:val="00BA09DD"/>
    <w:rsid w:val="00BA2102"/>
    <w:rsid w:val="00BA4136"/>
    <w:rsid w:val="00BA51CE"/>
    <w:rsid w:val="00BB1347"/>
    <w:rsid w:val="00BB2B86"/>
    <w:rsid w:val="00BB3F17"/>
    <w:rsid w:val="00BB678A"/>
    <w:rsid w:val="00BB71F4"/>
    <w:rsid w:val="00BB7B4C"/>
    <w:rsid w:val="00BC2B37"/>
    <w:rsid w:val="00BC30D8"/>
    <w:rsid w:val="00BC490C"/>
    <w:rsid w:val="00BC7E42"/>
    <w:rsid w:val="00BD06F0"/>
    <w:rsid w:val="00BD38F1"/>
    <w:rsid w:val="00BD5C3A"/>
    <w:rsid w:val="00BD69AB"/>
    <w:rsid w:val="00BD7003"/>
    <w:rsid w:val="00BD7A44"/>
    <w:rsid w:val="00BE0BF0"/>
    <w:rsid w:val="00BE22C6"/>
    <w:rsid w:val="00BE4981"/>
    <w:rsid w:val="00BE67F7"/>
    <w:rsid w:val="00BE7191"/>
    <w:rsid w:val="00BF280D"/>
    <w:rsid w:val="00BF2B66"/>
    <w:rsid w:val="00BF4210"/>
    <w:rsid w:val="00BF49FC"/>
    <w:rsid w:val="00BF4E52"/>
    <w:rsid w:val="00BF6182"/>
    <w:rsid w:val="00BF6434"/>
    <w:rsid w:val="00BF7EA7"/>
    <w:rsid w:val="00C01B85"/>
    <w:rsid w:val="00C0340E"/>
    <w:rsid w:val="00C063CA"/>
    <w:rsid w:val="00C07742"/>
    <w:rsid w:val="00C10154"/>
    <w:rsid w:val="00C111F3"/>
    <w:rsid w:val="00C12ACB"/>
    <w:rsid w:val="00C12CB8"/>
    <w:rsid w:val="00C16773"/>
    <w:rsid w:val="00C214B7"/>
    <w:rsid w:val="00C22AC0"/>
    <w:rsid w:val="00C23410"/>
    <w:rsid w:val="00C23DF1"/>
    <w:rsid w:val="00C24371"/>
    <w:rsid w:val="00C301A3"/>
    <w:rsid w:val="00C304E8"/>
    <w:rsid w:val="00C3214D"/>
    <w:rsid w:val="00C321C0"/>
    <w:rsid w:val="00C355AB"/>
    <w:rsid w:val="00C421D8"/>
    <w:rsid w:val="00C42A17"/>
    <w:rsid w:val="00C43386"/>
    <w:rsid w:val="00C464AA"/>
    <w:rsid w:val="00C467D0"/>
    <w:rsid w:val="00C47201"/>
    <w:rsid w:val="00C50FFC"/>
    <w:rsid w:val="00C5263A"/>
    <w:rsid w:val="00C546AA"/>
    <w:rsid w:val="00C547E0"/>
    <w:rsid w:val="00C55657"/>
    <w:rsid w:val="00C55AD7"/>
    <w:rsid w:val="00C55E1B"/>
    <w:rsid w:val="00C57FFA"/>
    <w:rsid w:val="00C603DE"/>
    <w:rsid w:val="00C61C08"/>
    <w:rsid w:val="00C62A62"/>
    <w:rsid w:val="00C63659"/>
    <w:rsid w:val="00C6413A"/>
    <w:rsid w:val="00C6581E"/>
    <w:rsid w:val="00C65EBD"/>
    <w:rsid w:val="00C66654"/>
    <w:rsid w:val="00C66759"/>
    <w:rsid w:val="00C67534"/>
    <w:rsid w:val="00C70983"/>
    <w:rsid w:val="00C722F5"/>
    <w:rsid w:val="00C73170"/>
    <w:rsid w:val="00C74E43"/>
    <w:rsid w:val="00C751AB"/>
    <w:rsid w:val="00C77175"/>
    <w:rsid w:val="00C80AA2"/>
    <w:rsid w:val="00C83EEF"/>
    <w:rsid w:val="00C84089"/>
    <w:rsid w:val="00C847D4"/>
    <w:rsid w:val="00C85A9D"/>
    <w:rsid w:val="00C8683C"/>
    <w:rsid w:val="00C870AB"/>
    <w:rsid w:val="00C87577"/>
    <w:rsid w:val="00C929D7"/>
    <w:rsid w:val="00C92E52"/>
    <w:rsid w:val="00C94E63"/>
    <w:rsid w:val="00C954E3"/>
    <w:rsid w:val="00C97F23"/>
    <w:rsid w:val="00CA0C6C"/>
    <w:rsid w:val="00CA0DC1"/>
    <w:rsid w:val="00CA1785"/>
    <w:rsid w:val="00CA1BBD"/>
    <w:rsid w:val="00CB0E88"/>
    <w:rsid w:val="00CB1AEC"/>
    <w:rsid w:val="00CB32B4"/>
    <w:rsid w:val="00CB3561"/>
    <w:rsid w:val="00CB531F"/>
    <w:rsid w:val="00CC0A07"/>
    <w:rsid w:val="00CC15A4"/>
    <w:rsid w:val="00CC1F8D"/>
    <w:rsid w:val="00CC2CCA"/>
    <w:rsid w:val="00CC369E"/>
    <w:rsid w:val="00CD24DC"/>
    <w:rsid w:val="00CD255C"/>
    <w:rsid w:val="00CD2B14"/>
    <w:rsid w:val="00CD3B3A"/>
    <w:rsid w:val="00CD5BBC"/>
    <w:rsid w:val="00CD6A8A"/>
    <w:rsid w:val="00CD7793"/>
    <w:rsid w:val="00CD7E84"/>
    <w:rsid w:val="00CE266E"/>
    <w:rsid w:val="00CE2799"/>
    <w:rsid w:val="00CE51EB"/>
    <w:rsid w:val="00CE5897"/>
    <w:rsid w:val="00CE58A1"/>
    <w:rsid w:val="00CE72E6"/>
    <w:rsid w:val="00CE72ED"/>
    <w:rsid w:val="00CF5CEC"/>
    <w:rsid w:val="00CF7250"/>
    <w:rsid w:val="00CF790D"/>
    <w:rsid w:val="00D0095C"/>
    <w:rsid w:val="00D0145F"/>
    <w:rsid w:val="00D02A51"/>
    <w:rsid w:val="00D02F22"/>
    <w:rsid w:val="00D046B4"/>
    <w:rsid w:val="00D053BD"/>
    <w:rsid w:val="00D05A31"/>
    <w:rsid w:val="00D07B54"/>
    <w:rsid w:val="00D1055F"/>
    <w:rsid w:val="00D10A06"/>
    <w:rsid w:val="00D114A5"/>
    <w:rsid w:val="00D126B1"/>
    <w:rsid w:val="00D1449D"/>
    <w:rsid w:val="00D15A4B"/>
    <w:rsid w:val="00D1668F"/>
    <w:rsid w:val="00D2284D"/>
    <w:rsid w:val="00D254F2"/>
    <w:rsid w:val="00D25598"/>
    <w:rsid w:val="00D26365"/>
    <w:rsid w:val="00D30A99"/>
    <w:rsid w:val="00D36564"/>
    <w:rsid w:val="00D366CF"/>
    <w:rsid w:val="00D44034"/>
    <w:rsid w:val="00D45DD4"/>
    <w:rsid w:val="00D46D7C"/>
    <w:rsid w:val="00D50836"/>
    <w:rsid w:val="00D51539"/>
    <w:rsid w:val="00D53583"/>
    <w:rsid w:val="00D60E4F"/>
    <w:rsid w:val="00D6115C"/>
    <w:rsid w:val="00D613BB"/>
    <w:rsid w:val="00D61C71"/>
    <w:rsid w:val="00D62C7A"/>
    <w:rsid w:val="00D640C9"/>
    <w:rsid w:val="00D65AE2"/>
    <w:rsid w:val="00D668AF"/>
    <w:rsid w:val="00D72969"/>
    <w:rsid w:val="00D74F1A"/>
    <w:rsid w:val="00D75D8D"/>
    <w:rsid w:val="00D7626D"/>
    <w:rsid w:val="00D77A06"/>
    <w:rsid w:val="00D82E0A"/>
    <w:rsid w:val="00D83A3B"/>
    <w:rsid w:val="00D84E64"/>
    <w:rsid w:val="00D90868"/>
    <w:rsid w:val="00D9146E"/>
    <w:rsid w:val="00D92937"/>
    <w:rsid w:val="00D931D8"/>
    <w:rsid w:val="00D933B7"/>
    <w:rsid w:val="00D94755"/>
    <w:rsid w:val="00D94EC9"/>
    <w:rsid w:val="00DA0A4B"/>
    <w:rsid w:val="00DA11C6"/>
    <w:rsid w:val="00DA1A7C"/>
    <w:rsid w:val="00DA2730"/>
    <w:rsid w:val="00DA4720"/>
    <w:rsid w:val="00DA52C8"/>
    <w:rsid w:val="00DA6432"/>
    <w:rsid w:val="00DA6DFA"/>
    <w:rsid w:val="00DA74F8"/>
    <w:rsid w:val="00DB17D1"/>
    <w:rsid w:val="00DB2919"/>
    <w:rsid w:val="00DB3CF9"/>
    <w:rsid w:val="00DB4BCE"/>
    <w:rsid w:val="00DB4F5C"/>
    <w:rsid w:val="00DC3EB3"/>
    <w:rsid w:val="00DC4BC5"/>
    <w:rsid w:val="00DC695C"/>
    <w:rsid w:val="00DD01C3"/>
    <w:rsid w:val="00DD1173"/>
    <w:rsid w:val="00DD171C"/>
    <w:rsid w:val="00DD17C4"/>
    <w:rsid w:val="00DD5527"/>
    <w:rsid w:val="00DE0228"/>
    <w:rsid w:val="00DE1997"/>
    <w:rsid w:val="00DE3E2F"/>
    <w:rsid w:val="00DE422B"/>
    <w:rsid w:val="00DE49F1"/>
    <w:rsid w:val="00DE7448"/>
    <w:rsid w:val="00DE795C"/>
    <w:rsid w:val="00DF0951"/>
    <w:rsid w:val="00DF18BE"/>
    <w:rsid w:val="00DF700C"/>
    <w:rsid w:val="00E00411"/>
    <w:rsid w:val="00E00EE4"/>
    <w:rsid w:val="00E0264C"/>
    <w:rsid w:val="00E02C45"/>
    <w:rsid w:val="00E055C5"/>
    <w:rsid w:val="00E05C8D"/>
    <w:rsid w:val="00E06134"/>
    <w:rsid w:val="00E07128"/>
    <w:rsid w:val="00E0777E"/>
    <w:rsid w:val="00E07885"/>
    <w:rsid w:val="00E109D0"/>
    <w:rsid w:val="00E118B9"/>
    <w:rsid w:val="00E127F6"/>
    <w:rsid w:val="00E1411D"/>
    <w:rsid w:val="00E1417B"/>
    <w:rsid w:val="00E1770B"/>
    <w:rsid w:val="00E23ABE"/>
    <w:rsid w:val="00E24C96"/>
    <w:rsid w:val="00E27C01"/>
    <w:rsid w:val="00E32A95"/>
    <w:rsid w:val="00E32F6B"/>
    <w:rsid w:val="00E34304"/>
    <w:rsid w:val="00E348EF"/>
    <w:rsid w:val="00E35EFE"/>
    <w:rsid w:val="00E37722"/>
    <w:rsid w:val="00E41FA1"/>
    <w:rsid w:val="00E420DB"/>
    <w:rsid w:val="00E4315C"/>
    <w:rsid w:val="00E43553"/>
    <w:rsid w:val="00E444BB"/>
    <w:rsid w:val="00E471D6"/>
    <w:rsid w:val="00E47539"/>
    <w:rsid w:val="00E51280"/>
    <w:rsid w:val="00E537A9"/>
    <w:rsid w:val="00E53EA3"/>
    <w:rsid w:val="00E57D19"/>
    <w:rsid w:val="00E60D35"/>
    <w:rsid w:val="00E612E3"/>
    <w:rsid w:val="00E6523E"/>
    <w:rsid w:val="00E66BF5"/>
    <w:rsid w:val="00E71838"/>
    <w:rsid w:val="00E7267B"/>
    <w:rsid w:val="00E808A0"/>
    <w:rsid w:val="00E82975"/>
    <w:rsid w:val="00E837EA"/>
    <w:rsid w:val="00E85F2B"/>
    <w:rsid w:val="00E92DE7"/>
    <w:rsid w:val="00E94B91"/>
    <w:rsid w:val="00E96054"/>
    <w:rsid w:val="00E9636C"/>
    <w:rsid w:val="00EA2866"/>
    <w:rsid w:val="00EA4B44"/>
    <w:rsid w:val="00EA533B"/>
    <w:rsid w:val="00EA6D6C"/>
    <w:rsid w:val="00EB10F3"/>
    <w:rsid w:val="00EB2D9B"/>
    <w:rsid w:val="00EB55B6"/>
    <w:rsid w:val="00ED0E53"/>
    <w:rsid w:val="00ED0F14"/>
    <w:rsid w:val="00ED179C"/>
    <w:rsid w:val="00ED1C6D"/>
    <w:rsid w:val="00ED2BA8"/>
    <w:rsid w:val="00ED2F94"/>
    <w:rsid w:val="00ED32FF"/>
    <w:rsid w:val="00ED73C8"/>
    <w:rsid w:val="00ED7FD7"/>
    <w:rsid w:val="00EE0121"/>
    <w:rsid w:val="00EE2B43"/>
    <w:rsid w:val="00EE4AB9"/>
    <w:rsid w:val="00EF2E6D"/>
    <w:rsid w:val="00EF660E"/>
    <w:rsid w:val="00F036D5"/>
    <w:rsid w:val="00F07EF3"/>
    <w:rsid w:val="00F10075"/>
    <w:rsid w:val="00F11B2E"/>
    <w:rsid w:val="00F1415F"/>
    <w:rsid w:val="00F16344"/>
    <w:rsid w:val="00F212F9"/>
    <w:rsid w:val="00F215EF"/>
    <w:rsid w:val="00F23053"/>
    <w:rsid w:val="00F23B82"/>
    <w:rsid w:val="00F26B14"/>
    <w:rsid w:val="00F272E0"/>
    <w:rsid w:val="00F27B49"/>
    <w:rsid w:val="00F31022"/>
    <w:rsid w:val="00F32747"/>
    <w:rsid w:val="00F32853"/>
    <w:rsid w:val="00F3384F"/>
    <w:rsid w:val="00F34759"/>
    <w:rsid w:val="00F37919"/>
    <w:rsid w:val="00F4002E"/>
    <w:rsid w:val="00F4036E"/>
    <w:rsid w:val="00F445C5"/>
    <w:rsid w:val="00F5088B"/>
    <w:rsid w:val="00F50B04"/>
    <w:rsid w:val="00F53A91"/>
    <w:rsid w:val="00F53CF0"/>
    <w:rsid w:val="00F5527B"/>
    <w:rsid w:val="00F626DE"/>
    <w:rsid w:val="00F63499"/>
    <w:rsid w:val="00F63A16"/>
    <w:rsid w:val="00F65C40"/>
    <w:rsid w:val="00F65F32"/>
    <w:rsid w:val="00F703E3"/>
    <w:rsid w:val="00F70487"/>
    <w:rsid w:val="00F71963"/>
    <w:rsid w:val="00F71FEE"/>
    <w:rsid w:val="00F7287C"/>
    <w:rsid w:val="00F76B20"/>
    <w:rsid w:val="00F815A8"/>
    <w:rsid w:val="00F821C6"/>
    <w:rsid w:val="00F8304C"/>
    <w:rsid w:val="00F84A6F"/>
    <w:rsid w:val="00F84EBC"/>
    <w:rsid w:val="00F875F1"/>
    <w:rsid w:val="00F90048"/>
    <w:rsid w:val="00F94FAC"/>
    <w:rsid w:val="00F95BE0"/>
    <w:rsid w:val="00F963A1"/>
    <w:rsid w:val="00FA23F9"/>
    <w:rsid w:val="00FA29D7"/>
    <w:rsid w:val="00FA2DB9"/>
    <w:rsid w:val="00FA31E8"/>
    <w:rsid w:val="00FA3858"/>
    <w:rsid w:val="00FA5150"/>
    <w:rsid w:val="00FA5B0C"/>
    <w:rsid w:val="00FA63F8"/>
    <w:rsid w:val="00FA7810"/>
    <w:rsid w:val="00FB05E2"/>
    <w:rsid w:val="00FB198D"/>
    <w:rsid w:val="00FB3220"/>
    <w:rsid w:val="00FB3F0E"/>
    <w:rsid w:val="00FC3DC3"/>
    <w:rsid w:val="00FC4E78"/>
    <w:rsid w:val="00FC7545"/>
    <w:rsid w:val="00FD018A"/>
    <w:rsid w:val="00FD4426"/>
    <w:rsid w:val="00FD774A"/>
    <w:rsid w:val="00FD7F1A"/>
    <w:rsid w:val="00FE0B8C"/>
    <w:rsid w:val="00FE0E26"/>
    <w:rsid w:val="00FE124B"/>
    <w:rsid w:val="00FE6D7C"/>
    <w:rsid w:val="00FF2BCF"/>
    <w:rsid w:val="00FF2CBF"/>
    <w:rsid w:val="00FF3A68"/>
    <w:rsid w:val="00FF3B0C"/>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5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05A59"/>
    <w:pPr>
      <w:ind w:left="720"/>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semiHidden/>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5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05A59"/>
    <w:pPr>
      <w:ind w:left="720"/>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semiHidden/>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0697">
      <w:bodyDiv w:val="1"/>
      <w:marLeft w:val="0"/>
      <w:marRight w:val="0"/>
      <w:marTop w:val="0"/>
      <w:marBottom w:val="0"/>
      <w:divBdr>
        <w:top w:val="none" w:sz="0" w:space="0" w:color="auto"/>
        <w:left w:val="none" w:sz="0" w:space="0" w:color="auto"/>
        <w:bottom w:val="none" w:sz="0" w:space="0" w:color="auto"/>
        <w:right w:val="none" w:sz="0" w:space="0" w:color="auto"/>
      </w:divBdr>
      <w:divsChild>
        <w:div w:id="780690279">
          <w:marLeft w:val="0"/>
          <w:marRight w:val="0"/>
          <w:marTop w:val="0"/>
          <w:marBottom w:val="0"/>
          <w:divBdr>
            <w:top w:val="none" w:sz="0" w:space="0" w:color="auto"/>
            <w:left w:val="none" w:sz="0" w:space="0" w:color="auto"/>
            <w:bottom w:val="none" w:sz="0" w:space="0" w:color="auto"/>
            <w:right w:val="none" w:sz="0" w:space="0" w:color="auto"/>
          </w:divBdr>
          <w:divsChild>
            <w:div w:id="1605843967">
              <w:marLeft w:val="0"/>
              <w:marRight w:val="0"/>
              <w:marTop w:val="0"/>
              <w:marBottom w:val="0"/>
              <w:divBdr>
                <w:top w:val="none" w:sz="0" w:space="0" w:color="auto"/>
                <w:left w:val="none" w:sz="0" w:space="0" w:color="auto"/>
                <w:bottom w:val="none" w:sz="0" w:space="0" w:color="auto"/>
                <w:right w:val="none" w:sz="0" w:space="0" w:color="auto"/>
              </w:divBdr>
              <w:divsChild>
                <w:div w:id="529686590">
                  <w:marLeft w:val="0"/>
                  <w:marRight w:val="0"/>
                  <w:marTop w:val="0"/>
                  <w:marBottom w:val="0"/>
                  <w:divBdr>
                    <w:top w:val="none" w:sz="0" w:space="0" w:color="auto"/>
                    <w:left w:val="none" w:sz="0" w:space="0" w:color="auto"/>
                    <w:bottom w:val="none" w:sz="0" w:space="0" w:color="auto"/>
                    <w:right w:val="none" w:sz="0" w:space="0" w:color="auto"/>
                  </w:divBdr>
                  <w:divsChild>
                    <w:div w:id="382483955">
                      <w:marLeft w:val="0"/>
                      <w:marRight w:val="0"/>
                      <w:marTop w:val="0"/>
                      <w:marBottom w:val="0"/>
                      <w:divBdr>
                        <w:top w:val="none" w:sz="0" w:space="0" w:color="auto"/>
                        <w:left w:val="none" w:sz="0" w:space="0" w:color="auto"/>
                        <w:bottom w:val="none" w:sz="0" w:space="0" w:color="auto"/>
                        <w:right w:val="none" w:sz="0" w:space="0" w:color="auto"/>
                      </w:divBdr>
                      <w:divsChild>
                        <w:div w:id="365495550">
                          <w:marLeft w:val="0"/>
                          <w:marRight w:val="0"/>
                          <w:marTop w:val="0"/>
                          <w:marBottom w:val="0"/>
                          <w:divBdr>
                            <w:top w:val="none" w:sz="0" w:space="0" w:color="auto"/>
                            <w:left w:val="none" w:sz="0" w:space="0" w:color="auto"/>
                            <w:bottom w:val="none" w:sz="0" w:space="0" w:color="auto"/>
                            <w:right w:val="none" w:sz="0" w:space="0" w:color="auto"/>
                          </w:divBdr>
                          <w:divsChild>
                            <w:div w:id="586311077">
                              <w:marLeft w:val="0"/>
                              <w:marRight w:val="0"/>
                              <w:marTop w:val="0"/>
                              <w:marBottom w:val="0"/>
                              <w:divBdr>
                                <w:top w:val="single" w:sz="6" w:space="0" w:color="828282"/>
                                <w:left w:val="single" w:sz="6" w:space="0" w:color="828282"/>
                                <w:bottom w:val="single" w:sz="6" w:space="0" w:color="828282"/>
                                <w:right w:val="single" w:sz="6" w:space="0" w:color="828282"/>
                              </w:divBdr>
                              <w:divsChild>
                                <w:div w:id="1682972582">
                                  <w:marLeft w:val="0"/>
                                  <w:marRight w:val="0"/>
                                  <w:marTop w:val="0"/>
                                  <w:marBottom w:val="0"/>
                                  <w:divBdr>
                                    <w:top w:val="none" w:sz="0" w:space="0" w:color="auto"/>
                                    <w:left w:val="none" w:sz="0" w:space="0" w:color="auto"/>
                                    <w:bottom w:val="none" w:sz="0" w:space="0" w:color="auto"/>
                                    <w:right w:val="none" w:sz="0" w:space="0" w:color="auto"/>
                                  </w:divBdr>
                                  <w:divsChild>
                                    <w:div w:id="1504318061">
                                      <w:marLeft w:val="0"/>
                                      <w:marRight w:val="0"/>
                                      <w:marTop w:val="0"/>
                                      <w:marBottom w:val="0"/>
                                      <w:divBdr>
                                        <w:top w:val="none" w:sz="0" w:space="0" w:color="auto"/>
                                        <w:left w:val="none" w:sz="0" w:space="0" w:color="auto"/>
                                        <w:bottom w:val="none" w:sz="0" w:space="0" w:color="auto"/>
                                        <w:right w:val="none" w:sz="0" w:space="0" w:color="auto"/>
                                      </w:divBdr>
                                      <w:divsChild>
                                        <w:div w:id="1090392287">
                                          <w:marLeft w:val="0"/>
                                          <w:marRight w:val="0"/>
                                          <w:marTop w:val="0"/>
                                          <w:marBottom w:val="0"/>
                                          <w:divBdr>
                                            <w:top w:val="none" w:sz="0" w:space="0" w:color="auto"/>
                                            <w:left w:val="none" w:sz="0" w:space="0" w:color="auto"/>
                                            <w:bottom w:val="none" w:sz="0" w:space="0" w:color="auto"/>
                                            <w:right w:val="none" w:sz="0" w:space="0" w:color="auto"/>
                                          </w:divBdr>
                                          <w:divsChild>
                                            <w:div w:id="1389954119">
                                              <w:marLeft w:val="0"/>
                                              <w:marRight w:val="0"/>
                                              <w:marTop w:val="0"/>
                                              <w:marBottom w:val="0"/>
                                              <w:divBdr>
                                                <w:top w:val="none" w:sz="0" w:space="0" w:color="auto"/>
                                                <w:left w:val="none" w:sz="0" w:space="0" w:color="auto"/>
                                                <w:bottom w:val="none" w:sz="0" w:space="0" w:color="auto"/>
                                                <w:right w:val="none" w:sz="0" w:space="0" w:color="auto"/>
                                              </w:divBdr>
                                              <w:divsChild>
                                                <w:div w:id="1507019249">
                                                  <w:marLeft w:val="0"/>
                                                  <w:marRight w:val="0"/>
                                                  <w:marTop w:val="0"/>
                                                  <w:marBottom w:val="0"/>
                                                  <w:divBdr>
                                                    <w:top w:val="none" w:sz="0" w:space="0" w:color="auto"/>
                                                    <w:left w:val="none" w:sz="0" w:space="0" w:color="auto"/>
                                                    <w:bottom w:val="none" w:sz="0" w:space="0" w:color="auto"/>
                                                    <w:right w:val="none" w:sz="0" w:space="0" w:color="auto"/>
                                                  </w:divBdr>
                                                  <w:divsChild>
                                                    <w:div w:id="132873621">
                                                      <w:marLeft w:val="0"/>
                                                      <w:marRight w:val="0"/>
                                                      <w:marTop w:val="0"/>
                                                      <w:marBottom w:val="0"/>
                                                      <w:divBdr>
                                                        <w:top w:val="none" w:sz="0" w:space="0" w:color="auto"/>
                                                        <w:left w:val="none" w:sz="0" w:space="0" w:color="auto"/>
                                                        <w:bottom w:val="none" w:sz="0" w:space="0" w:color="auto"/>
                                                        <w:right w:val="none" w:sz="0" w:space="0" w:color="auto"/>
                                                      </w:divBdr>
                                                      <w:divsChild>
                                                        <w:div w:id="3087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509557">
      <w:bodyDiv w:val="1"/>
      <w:marLeft w:val="0"/>
      <w:marRight w:val="0"/>
      <w:marTop w:val="0"/>
      <w:marBottom w:val="0"/>
      <w:divBdr>
        <w:top w:val="none" w:sz="0" w:space="0" w:color="auto"/>
        <w:left w:val="none" w:sz="0" w:space="0" w:color="auto"/>
        <w:bottom w:val="none" w:sz="0" w:space="0" w:color="auto"/>
        <w:right w:val="none" w:sz="0" w:space="0" w:color="auto"/>
      </w:divBdr>
    </w:div>
    <w:div w:id="529032131">
      <w:bodyDiv w:val="1"/>
      <w:marLeft w:val="0"/>
      <w:marRight w:val="0"/>
      <w:marTop w:val="0"/>
      <w:marBottom w:val="0"/>
      <w:divBdr>
        <w:top w:val="none" w:sz="0" w:space="0" w:color="auto"/>
        <w:left w:val="none" w:sz="0" w:space="0" w:color="auto"/>
        <w:bottom w:val="none" w:sz="0" w:space="0" w:color="auto"/>
        <w:right w:val="none" w:sz="0" w:space="0" w:color="auto"/>
      </w:divBdr>
      <w:divsChild>
        <w:div w:id="984166534">
          <w:marLeft w:val="0"/>
          <w:marRight w:val="0"/>
          <w:marTop w:val="0"/>
          <w:marBottom w:val="0"/>
          <w:divBdr>
            <w:top w:val="none" w:sz="0" w:space="0" w:color="auto"/>
            <w:left w:val="none" w:sz="0" w:space="0" w:color="auto"/>
            <w:bottom w:val="none" w:sz="0" w:space="0" w:color="auto"/>
            <w:right w:val="none" w:sz="0" w:space="0" w:color="auto"/>
          </w:divBdr>
          <w:divsChild>
            <w:div w:id="1597638758">
              <w:marLeft w:val="0"/>
              <w:marRight w:val="0"/>
              <w:marTop w:val="0"/>
              <w:marBottom w:val="0"/>
              <w:divBdr>
                <w:top w:val="none" w:sz="0" w:space="0" w:color="auto"/>
                <w:left w:val="none" w:sz="0" w:space="0" w:color="auto"/>
                <w:bottom w:val="none" w:sz="0" w:space="0" w:color="auto"/>
                <w:right w:val="none" w:sz="0" w:space="0" w:color="auto"/>
              </w:divBdr>
              <w:divsChild>
                <w:div w:id="1865443084">
                  <w:marLeft w:val="0"/>
                  <w:marRight w:val="0"/>
                  <w:marTop w:val="0"/>
                  <w:marBottom w:val="0"/>
                  <w:divBdr>
                    <w:top w:val="none" w:sz="0" w:space="0" w:color="auto"/>
                    <w:left w:val="none" w:sz="0" w:space="0" w:color="auto"/>
                    <w:bottom w:val="none" w:sz="0" w:space="0" w:color="auto"/>
                    <w:right w:val="none" w:sz="0" w:space="0" w:color="auto"/>
                  </w:divBdr>
                  <w:divsChild>
                    <w:div w:id="914752248">
                      <w:marLeft w:val="0"/>
                      <w:marRight w:val="0"/>
                      <w:marTop w:val="0"/>
                      <w:marBottom w:val="0"/>
                      <w:divBdr>
                        <w:top w:val="none" w:sz="0" w:space="0" w:color="auto"/>
                        <w:left w:val="none" w:sz="0" w:space="0" w:color="auto"/>
                        <w:bottom w:val="none" w:sz="0" w:space="0" w:color="auto"/>
                        <w:right w:val="none" w:sz="0" w:space="0" w:color="auto"/>
                      </w:divBdr>
                      <w:divsChild>
                        <w:div w:id="1829781116">
                          <w:marLeft w:val="0"/>
                          <w:marRight w:val="0"/>
                          <w:marTop w:val="0"/>
                          <w:marBottom w:val="0"/>
                          <w:divBdr>
                            <w:top w:val="single" w:sz="6" w:space="0" w:color="828282"/>
                            <w:left w:val="single" w:sz="6" w:space="0" w:color="828282"/>
                            <w:bottom w:val="single" w:sz="6" w:space="0" w:color="828282"/>
                            <w:right w:val="single" w:sz="6" w:space="0" w:color="828282"/>
                          </w:divBdr>
                          <w:divsChild>
                            <w:div w:id="1670406607">
                              <w:marLeft w:val="0"/>
                              <w:marRight w:val="0"/>
                              <w:marTop w:val="0"/>
                              <w:marBottom w:val="0"/>
                              <w:divBdr>
                                <w:top w:val="none" w:sz="0" w:space="0" w:color="auto"/>
                                <w:left w:val="none" w:sz="0" w:space="0" w:color="auto"/>
                                <w:bottom w:val="none" w:sz="0" w:space="0" w:color="auto"/>
                                <w:right w:val="none" w:sz="0" w:space="0" w:color="auto"/>
                              </w:divBdr>
                              <w:divsChild>
                                <w:div w:id="743574308">
                                  <w:marLeft w:val="0"/>
                                  <w:marRight w:val="0"/>
                                  <w:marTop w:val="0"/>
                                  <w:marBottom w:val="0"/>
                                  <w:divBdr>
                                    <w:top w:val="none" w:sz="0" w:space="0" w:color="auto"/>
                                    <w:left w:val="none" w:sz="0" w:space="0" w:color="auto"/>
                                    <w:bottom w:val="none" w:sz="0" w:space="0" w:color="auto"/>
                                    <w:right w:val="none" w:sz="0" w:space="0" w:color="auto"/>
                                  </w:divBdr>
                                  <w:divsChild>
                                    <w:div w:id="1068841057">
                                      <w:marLeft w:val="0"/>
                                      <w:marRight w:val="0"/>
                                      <w:marTop w:val="0"/>
                                      <w:marBottom w:val="0"/>
                                      <w:divBdr>
                                        <w:top w:val="none" w:sz="0" w:space="0" w:color="auto"/>
                                        <w:left w:val="none" w:sz="0" w:space="0" w:color="auto"/>
                                        <w:bottom w:val="none" w:sz="0" w:space="0" w:color="auto"/>
                                        <w:right w:val="none" w:sz="0" w:space="0" w:color="auto"/>
                                      </w:divBdr>
                                      <w:divsChild>
                                        <w:div w:id="2124420956">
                                          <w:marLeft w:val="0"/>
                                          <w:marRight w:val="0"/>
                                          <w:marTop w:val="0"/>
                                          <w:marBottom w:val="0"/>
                                          <w:divBdr>
                                            <w:top w:val="none" w:sz="0" w:space="0" w:color="auto"/>
                                            <w:left w:val="none" w:sz="0" w:space="0" w:color="auto"/>
                                            <w:bottom w:val="none" w:sz="0" w:space="0" w:color="auto"/>
                                            <w:right w:val="none" w:sz="0" w:space="0" w:color="auto"/>
                                          </w:divBdr>
                                          <w:divsChild>
                                            <w:div w:id="1408653565">
                                              <w:marLeft w:val="0"/>
                                              <w:marRight w:val="0"/>
                                              <w:marTop w:val="0"/>
                                              <w:marBottom w:val="0"/>
                                              <w:divBdr>
                                                <w:top w:val="none" w:sz="0" w:space="0" w:color="auto"/>
                                                <w:left w:val="none" w:sz="0" w:space="0" w:color="auto"/>
                                                <w:bottom w:val="none" w:sz="0" w:space="0" w:color="auto"/>
                                                <w:right w:val="none" w:sz="0" w:space="0" w:color="auto"/>
                                              </w:divBdr>
                                              <w:divsChild>
                                                <w:div w:id="406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017">
      <w:bodyDiv w:val="1"/>
      <w:marLeft w:val="0"/>
      <w:marRight w:val="0"/>
      <w:marTop w:val="0"/>
      <w:marBottom w:val="0"/>
      <w:divBdr>
        <w:top w:val="none" w:sz="0" w:space="0" w:color="auto"/>
        <w:left w:val="none" w:sz="0" w:space="0" w:color="auto"/>
        <w:bottom w:val="none" w:sz="0" w:space="0" w:color="auto"/>
        <w:right w:val="none" w:sz="0" w:space="0" w:color="auto"/>
      </w:divBdr>
    </w:div>
    <w:div w:id="793134323">
      <w:bodyDiv w:val="1"/>
      <w:marLeft w:val="0"/>
      <w:marRight w:val="0"/>
      <w:marTop w:val="0"/>
      <w:marBottom w:val="0"/>
      <w:divBdr>
        <w:top w:val="none" w:sz="0" w:space="0" w:color="auto"/>
        <w:left w:val="none" w:sz="0" w:space="0" w:color="auto"/>
        <w:bottom w:val="none" w:sz="0" w:space="0" w:color="auto"/>
        <w:right w:val="none" w:sz="0" w:space="0" w:color="auto"/>
      </w:divBdr>
    </w:div>
    <w:div w:id="1065026795">
      <w:bodyDiv w:val="1"/>
      <w:marLeft w:val="0"/>
      <w:marRight w:val="0"/>
      <w:marTop w:val="0"/>
      <w:marBottom w:val="0"/>
      <w:divBdr>
        <w:top w:val="none" w:sz="0" w:space="0" w:color="auto"/>
        <w:left w:val="none" w:sz="0" w:space="0" w:color="auto"/>
        <w:bottom w:val="none" w:sz="0" w:space="0" w:color="auto"/>
        <w:right w:val="none" w:sz="0" w:space="0" w:color="auto"/>
      </w:divBdr>
    </w:div>
    <w:div w:id="1149905112">
      <w:marLeft w:val="0"/>
      <w:marRight w:val="0"/>
      <w:marTop w:val="0"/>
      <w:marBottom w:val="0"/>
      <w:divBdr>
        <w:top w:val="none" w:sz="0" w:space="0" w:color="auto"/>
        <w:left w:val="none" w:sz="0" w:space="0" w:color="auto"/>
        <w:bottom w:val="none" w:sz="0" w:space="0" w:color="auto"/>
        <w:right w:val="none" w:sz="0" w:space="0" w:color="auto"/>
      </w:divBdr>
    </w:div>
    <w:div w:id="1149905114">
      <w:marLeft w:val="0"/>
      <w:marRight w:val="0"/>
      <w:marTop w:val="0"/>
      <w:marBottom w:val="0"/>
      <w:divBdr>
        <w:top w:val="none" w:sz="0" w:space="0" w:color="auto"/>
        <w:left w:val="none" w:sz="0" w:space="0" w:color="auto"/>
        <w:bottom w:val="none" w:sz="0" w:space="0" w:color="auto"/>
        <w:right w:val="none" w:sz="0" w:space="0" w:color="auto"/>
      </w:divBdr>
      <w:divsChild>
        <w:div w:id="1149905096">
          <w:marLeft w:val="0"/>
          <w:marRight w:val="0"/>
          <w:marTop w:val="0"/>
          <w:marBottom w:val="0"/>
          <w:divBdr>
            <w:top w:val="none" w:sz="0" w:space="0" w:color="auto"/>
            <w:left w:val="none" w:sz="0" w:space="0" w:color="auto"/>
            <w:bottom w:val="none" w:sz="0" w:space="0" w:color="auto"/>
            <w:right w:val="none" w:sz="0" w:space="0" w:color="auto"/>
          </w:divBdr>
          <w:divsChild>
            <w:div w:id="1149905104">
              <w:marLeft w:val="0"/>
              <w:marRight w:val="0"/>
              <w:marTop w:val="0"/>
              <w:marBottom w:val="0"/>
              <w:divBdr>
                <w:top w:val="none" w:sz="0" w:space="0" w:color="auto"/>
                <w:left w:val="none" w:sz="0" w:space="0" w:color="auto"/>
                <w:bottom w:val="none" w:sz="0" w:space="0" w:color="auto"/>
                <w:right w:val="none" w:sz="0" w:space="0" w:color="auto"/>
              </w:divBdr>
              <w:divsChild>
                <w:div w:id="1149905101">
                  <w:marLeft w:val="0"/>
                  <w:marRight w:val="0"/>
                  <w:marTop w:val="0"/>
                  <w:marBottom w:val="0"/>
                  <w:divBdr>
                    <w:top w:val="none" w:sz="0" w:space="0" w:color="auto"/>
                    <w:left w:val="none" w:sz="0" w:space="0" w:color="auto"/>
                    <w:bottom w:val="none" w:sz="0" w:space="0" w:color="auto"/>
                    <w:right w:val="none" w:sz="0" w:space="0" w:color="auto"/>
                  </w:divBdr>
                  <w:divsChild>
                    <w:div w:id="1149905125">
                      <w:marLeft w:val="0"/>
                      <w:marRight w:val="0"/>
                      <w:marTop w:val="0"/>
                      <w:marBottom w:val="0"/>
                      <w:divBdr>
                        <w:top w:val="none" w:sz="0" w:space="0" w:color="auto"/>
                        <w:left w:val="none" w:sz="0" w:space="0" w:color="auto"/>
                        <w:bottom w:val="none" w:sz="0" w:space="0" w:color="auto"/>
                        <w:right w:val="none" w:sz="0" w:space="0" w:color="auto"/>
                      </w:divBdr>
                      <w:divsChild>
                        <w:div w:id="1149905107">
                          <w:marLeft w:val="0"/>
                          <w:marRight w:val="0"/>
                          <w:marTop w:val="0"/>
                          <w:marBottom w:val="0"/>
                          <w:divBdr>
                            <w:top w:val="none" w:sz="0" w:space="0" w:color="auto"/>
                            <w:left w:val="none" w:sz="0" w:space="0" w:color="auto"/>
                            <w:bottom w:val="none" w:sz="0" w:space="0" w:color="auto"/>
                            <w:right w:val="none" w:sz="0" w:space="0" w:color="auto"/>
                          </w:divBdr>
                          <w:divsChild>
                            <w:div w:id="1149905102">
                              <w:marLeft w:val="0"/>
                              <w:marRight w:val="0"/>
                              <w:marTop w:val="0"/>
                              <w:marBottom w:val="0"/>
                              <w:divBdr>
                                <w:top w:val="none" w:sz="0" w:space="0" w:color="auto"/>
                                <w:left w:val="none" w:sz="0" w:space="0" w:color="auto"/>
                                <w:bottom w:val="none" w:sz="0" w:space="0" w:color="auto"/>
                                <w:right w:val="none" w:sz="0" w:space="0" w:color="auto"/>
                              </w:divBdr>
                              <w:divsChild>
                                <w:div w:id="1149905113">
                                  <w:marLeft w:val="0"/>
                                  <w:marRight w:val="0"/>
                                  <w:marTop w:val="0"/>
                                  <w:marBottom w:val="0"/>
                                  <w:divBdr>
                                    <w:top w:val="none" w:sz="0" w:space="0" w:color="auto"/>
                                    <w:left w:val="none" w:sz="0" w:space="0" w:color="auto"/>
                                    <w:bottom w:val="none" w:sz="0" w:space="0" w:color="auto"/>
                                    <w:right w:val="none" w:sz="0" w:space="0" w:color="auto"/>
                                  </w:divBdr>
                                  <w:divsChild>
                                    <w:div w:id="1149905124">
                                      <w:marLeft w:val="0"/>
                                      <w:marRight w:val="0"/>
                                      <w:marTop w:val="0"/>
                                      <w:marBottom w:val="0"/>
                                      <w:divBdr>
                                        <w:top w:val="none" w:sz="0" w:space="0" w:color="auto"/>
                                        <w:left w:val="none" w:sz="0" w:space="0" w:color="auto"/>
                                        <w:bottom w:val="none" w:sz="0" w:space="0" w:color="auto"/>
                                        <w:right w:val="none" w:sz="0" w:space="0" w:color="auto"/>
                                      </w:divBdr>
                                      <w:divsChild>
                                        <w:div w:id="1149905119">
                                          <w:marLeft w:val="0"/>
                                          <w:marRight w:val="0"/>
                                          <w:marTop w:val="0"/>
                                          <w:marBottom w:val="0"/>
                                          <w:divBdr>
                                            <w:top w:val="none" w:sz="0" w:space="0" w:color="auto"/>
                                            <w:left w:val="none" w:sz="0" w:space="0" w:color="auto"/>
                                            <w:bottom w:val="none" w:sz="0" w:space="0" w:color="auto"/>
                                            <w:right w:val="none" w:sz="0" w:space="0" w:color="auto"/>
                                          </w:divBdr>
                                          <w:divsChild>
                                            <w:div w:id="1149905115">
                                              <w:marLeft w:val="0"/>
                                              <w:marRight w:val="0"/>
                                              <w:marTop w:val="0"/>
                                              <w:marBottom w:val="0"/>
                                              <w:divBdr>
                                                <w:top w:val="none" w:sz="0" w:space="0" w:color="auto"/>
                                                <w:left w:val="none" w:sz="0" w:space="0" w:color="auto"/>
                                                <w:bottom w:val="none" w:sz="0" w:space="0" w:color="auto"/>
                                                <w:right w:val="none" w:sz="0" w:space="0" w:color="auto"/>
                                              </w:divBdr>
                                              <w:divsChild>
                                                <w:div w:id="1149905123">
                                                  <w:marLeft w:val="0"/>
                                                  <w:marRight w:val="0"/>
                                                  <w:marTop w:val="0"/>
                                                  <w:marBottom w:val="0"/>
                                                  <w:divBdr>
                                                    <w:top w:val="none" w:sz="0" w:space="0" w:color="auto"/>
                                                    <w:left w:val="none" w:sz="0" w:space="0" w:color="auto"/>
                                                    <w:bottom w:val="none" w:sz="0" w:space="0" w:color="auto"/>
                                                    <w:right w:val="none" w:sz="0" w:space="0" w:color="auto"/>
                                                  </w:divBdr>
                                                  <w:divsChild>
                                                    <w:div w:id="1149905108">
                                                      <w:marLeft w:val="0"/>
                                                      <w:marRight w:val="0"/>
                                                      <w:marTop w:val="0"/>
                                                      <w:marBottom w:val="0"/>
                                                      <w:divBdr>
                                                        <w:top w:val="none" w:sz="0" w:space="0" w:color="auto"/>
                                                        <w:left w:val="none" w:sz="0" w:space="0" w:color="auto"/>
                                                        <w:bottom w:val="none" w:sz="0" w:space="0" w:color="auto"/>
                                                        <w:right w:val="none" w:sz="0" w:space="0" w:color="auto"/>
                                                      </w:divBdr>
                                                      <w:divsChild>
                                                        <w:div w:id="1149905117">
                                                          <w:marLeft w:val="0"/>
                                                          <w:marRight w:val="0"/>
                                                          <w:marTop w:val="0"/>
                                                          <w:marBottom w:val="0"/>
                                                          <w:divBdr>
                                                            <w:top w:val="none" w:sz="0" w:space="0" w:color="auto"/>
                                                            <w:left w:val="none" w:sz="0" w:space="0" w:color="auto"/>
                                                            <w:bottom w:val="none" w:sz="0" w:space="0" w:color="auto"/>
                                                            <w:right w:val="none" w:sz="0" w:space="0" w:color="auto"/>
                                                          </w:divBdr>
                                                          <w:divsChild>
                                                            <w:div w:id="1149905105">
                                                              <w:marLeft w:val="0"/>
                                                              <w:marRight w:val="0"/>
                                                              <w:marTop w:val="0"/>
                                                              <w:marBottom w:val="0"/>
                                                              <w:divBdr>
                                                                <w:top w:val="none" w:sz="0" w:space="0" w:color="auto"/>
                                                                <w:left w:val="none" w:sz="0" w:space="0" w:color="auto"/>
                                                                <w:bottom w:val="none" w:sz="0" w:space="0" w:color="auto"/>
                                                                <w:right w:val="none" w:sz="0" w:space="0" w:color="auto"/>
                                                              </w:divBdr>
                                                              <w:divsChild>
                                                                <w:div w:id="1149905120">
                                                                  <w:marLeft w:val="0"/>
                                                                  <w:marRight w:val="0"/>
                                                                  <w:marTop w:val="0"/>
                                                                  <w:marBottom w:val="0"/>
                                                                  <w:divBdr>
                                                                    <w:top w:val="none" w:sz="0" w:space="0" w:color="auto"/>
                                                                    <w:left w:val="none" w:sz="0" w:space="0" w:color="auto"/>
                                                                    <w:bottom w:val="none" w:sz="0" w:space="0" w:color="auto"/>
                                                                    <w:right w:val="none" w:sz="0" w:space="0" w:color="auto"/>
                                                                  </w:divBdr>
                                                                  <w:divsChild>
                                                                    <w:div w:id="1149905098">
                                                                      <w:marLeft w:val="0"/>
                                                                      <w:marRight w:val="0"/>
                                                                      <w:marTop w:val="0"/>
                                                                      <w:marBottom w:val="0"/>
                                                                      <w:divBdr>
                                                                        <w:top w:val="none" w:sz="0" w:space="0" w:color="auto"/>
                                                                        <w:left w:val="none" w:sz="0" w:space="0" w:color="auto"/>
                                                                        <w:bottom w:val="none" w:sz="0" w:space="0" w:color="auto"/>
                                                                        <w:right w:val="none" w:sz="0" w:space="0" w:color="auto"/>
                                                                      </w:divBdr>
                                                                      <w:divsChild>
                                                                        <w:div w:id="1149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5116">
      <w:marLeft w:val="0"/>
      <w:marRight w:val="0"/>
      <w:marTop w:val="0"/>
      <w:marBottom w:val="0"/>
      <w:divBdr>
        <w:top w:val="none" w:sz="0" w:space="0" w:color="auto"/>
        <w:left w:val="none" w:sz="0" w:space="0" w:color="auto"/>
        <w:bottom w:val="none" w:sz="0" w:space="0" w:color="auto"/>
        <w:right w:val="none" w:sz="0" w:space="0" w:color="auto"/>
      </w:divBdr>
      <w:divsChild>
        <w:div w:id="1149905111">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sChild>
                <w:div w:id="1149905110">
                  <w:marLeft w:val="0"/>
                  <w:marRight w:val="0"/>
                  <w:marTop w:val="0"/>
                  <w:marBottom w:val="0"/>
                  <w:divBdr>
                    <w:top w:val="none" w:sz="0" w:space="0" w:color="auto"/>
                    <w:left w:val="none" w:sz="0" w:space="0" w:color="auto"/>
                    <w:bottom w:val="none" w:sz="0" w:space="0" w:color="auto"/>
                    <w:right w:val="none" w:sz="0" w:space="0" w:color="auto"/>
                  </w:divBdr>
                  <w:divsChild>
                    <w:div w:id="1149905100">
                      <w:marLeft w:val="0"/>
                      <w:marRight w:val="0"/>
                      <w:marTop w:val="0"/>
                      <w:marBottom w:val="0"/>
                      <w:divBdr>
                        <w:top w:val="none" w:sz="0" w:space="0" w:color="auto"/>
                        <w:left w:val="none" w:sz="0" w:space="0" w:color="auto"/>
                        <w:bottom w:val="none" w:sz="0" w:space="0" w:color="auto"/>
                        <w:right w:val="none" w:sz="0" w:space="0" w:color="auto"/>
                      </w:divBdr>
                      <w:divsChild>
                        <w:div w:id="1149905106">
                          <w:marLeft w:val="0"/>
                          <w:marRight w:val="0"/>
                          <w:marTop w:val="0"/>
                          <w:marBottom w:val="0"/>
                          <w:divBdr>
                            <w:top w:val="none" w:sz="0" w:space="0" w:color="auto"/>
                            <w:left w:val="none" w:sz="0" w:space="0" w:color="auto"/>
                            <w:bottom w:val="none" w:sz="0" w:space="0" w:color="auto"/>
                            <w:right w:val="none" w:sz="0" w:space="0" w:color="auto"/>
                          </w:divBdr>
                          <w:divsChild>
                            <w:div w:id="1149905103">
                              <w:marLeft w:val="0"/>
                              <w:marRight w:val="0"/>
                              <w:marTop w:val="0"/>
                              <w:marBottom w:val="0"/>
                              <w:divBdr>
                                <w:top w:val="none" w:sz="0" w:space="0" w:color="auto"/>
                                <w:left w:val="none" w:sz="0" w:space="0" w:color="auto"/>
                                <w:bottom w:val="none" w:sz="0" w:space="0" w:color="auto"/>
                                <w:right w:val="none" w:sz="0" w:space="0" w:color="auto"/>
                              </w:divBdr>
                              <w:divsChild>
                                <w:div w:id="1149905118">
                                  <w:marLeft w:val="0"/>
                                  <w:marRight w:val="0"/>
                                  <w:marTop w:val="0"/>
                                  <w:marBottom w:val="0"/>
                                  <w:divBdr>
                                    <w:top w:val="none" w:sz="0" w:space="0" w:color="auto"/>
                                    <w:left w:val="none" w:sz="0" w:space="0" w:color="auto"/>
                                    <w:bottom w:val="none" w:sz="0" w:space="0" w:color="auto"/>
                                    <w:right w:val="none" w:sz="0" w:space="0" w:color="auto"/>
                                  </w:divBdr>
                                  <w:divsChild>
                                    <w:div w:id="1149905099">
                                      <w:marLeft w:val="0"/>
                                      <w:marRight w:val="0"/>
                                      <w:marTop w:val="0"/>
                                      <w:marBottom w:val="0"/>
                                      <w:divBdr>
                                        <w:top w:val="none" w:sz="0" w:space="0" w:color="auto"/>
                                        <w:left w:val="none" w:sz="0" w:space="0" w:color="auto"/>
                                        <w:bottom w:val="none" w:sz="0" w:space="0" w:color="auto"/>
                                        <w:right w:val="none" w:sz="0" w:space="0" w:color="auto"/>
                                      </w:divBdr>
                                      <w:divsChild>
                                        <w:div w:id="1149905121">
                                          <w:marLeft w:val="0"/>
                                          <w:marRight w:val="0"/>
                                          <w:marTop w:val="0"/>
                                          <w:marBottom w:val="0"/>
                                          <w:divBdr>
                                            <w:top w:val="none" w:sz="0" w:space="0" w:color="auto"/>
                                            <w:left w:val="none" w:sz="0" w:space="0" w:color="auto"/>
                                            <w:bottom w:val="none" w:sz="0" w:space="0" w:color="auto"/>
                                            <w:right w:val="none" w:sz="0" w:space="0" w:color="auto"/>
                                          </w:divBdr>
                                          <w:divsChild>
                                            <w:div w:id="11499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30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4193D363F643749B257055BABFB202C" ma:contentTypeVersion="" ma:contentTypeDescription="PDMS Documentation Content Type" ma:contentTypeScope="" ma:versionID="099377a58aa0760b57f3774ba0ef91b4">
  <xsd:schema xmlns:xsd="http://www.w3.org/2001/XMLSchema" xmlns:xs="http://www.w3.org/2001/XMLSchema" xmlns:p="http://schemas.microsoft.com/office/2006/metadata/properties" xmlns:ns2="2F7BD17D-B3B3-45D9-A69A-296CE5AB3680" targetNamespace="http://schemas.microsoft.com/office/2006/metadata/properties" ma:root="true" ma:fieldsID="e074efad447d0ebf54bf420f2d79144d" ns2:_="">
    <xsd:import namespace="2F7BD17D-B3B3-45D9-A69A-296CE5AB368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BD17D-B3B3-45D9-A69A-296CE5AB36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2F7BD17D-B3B3-45D9-A69A-296CE5AB3680">Briefing Attachment</pdms_DocumentType>
    <pdms_AttachedBy xmlns="2F7BD17D-B3B3-45D9-A69A-296CE5AB3680">PALENSCHUS, Jo</pdms_AttachedBy>
    <pdms_Reason xmlns="2F7BD17D-B3B3-45D9-A69A-296CE5AB3680">Attachment B</pdms_Reason>
    <pdms_SecurityClassification xmlns="2F7BD17D-B3B3-45D9-A69A-296CE5AB3680" xsi:nil="true"/>
    <SecurityClassification xmlns="2F7BD17D-B3B3-45D9-A69A-296CE5AB36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D4F64-6978-4C1E-AAE7-AE6228738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BD17D-B3B3-45D9-A69A-296CE5AB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4C3CE-A86A-4EEF-A18F-B6DD1FFAE383}">
  <ds:schemaRefs>
    <ds:schemaRef ds:uri="http://schemas.microsoft.com/sharepoint/v3/contenttype/forms"/>
  </ds:schemaRefs>
</ds:datastoreItem>
</file>

<file path=customXml/itemProps3.xml><?xml version="1.0" encoding="utf-8"?>
<ds:datastoreItem xmlns:ds="http://schemas.openxmlformats.org/officeDocument/2006/customXml" ds:itemID="{FE1ECBBF-2110-4842-9B78-8218AC8CA4B5}">
  <ds:schemaRefs>
    <ds:schemaRef ds:uri="http://purl.org/dc/terms/"/>
    <ds:schemaRef ds:uri="http://purl.org/dc/dcmitype/"/>
    <ds:schemaRef ds:uri="http://purl.org/dc/elements/1.1/"/>
    <ds:schemaRef ds:uri="2F7BD17D-B3B3-45D9-A69A-296CE5AB3680"/>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E148DC9-2321-498F-A5C3-7585BFDE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5751</Words>
  <Characters>31955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Attachment B</vt:lpstr>
    </vt:vector>
  </TitlesOfParts>
  <Company>Australian Government</Company>
  <LinksUpToDate>false</LinksUpToDate>
  <CharactersWithSpaces>37631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Zoe Nadimi</dc:creator>
  <cp:lastModifiedBy>Alabaster, John</cp:lastModifiedBy>
  <cp:revision>2</cp:revision>
  <cp:lastPrinted>2014-11-24T03:04:00Z</cp:lastPrinted>
  <dcterms:created xsi:type="dcterms:W3CDTF">2015-08-18T04:27:00Z</dcterms:created>
  <dcterms:modified xsi:type="dcterms:W3CDTF">2015-08-18T04:27:00Z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0x010100266966F133664895A6EE3632470D45F5010044193D363F643749B257055BABFB202C</vt:lpwstr>
  </property>
</Properties>
</file>