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B" w:rsidRPr="00FA33FB" w:rsidRDefault="00DC270B" w:rsidP="00DC270B">
      <w:pPr>
        <w:pStyle w:val="Plain"/>
        <w:jc w:val="center"/>
        <w:rPr>
          <w:sz w:val="28"/>
        </w:rPr>
      </w:pPr>
      <w:bookmarkStart w:id="0" w:name="_GoBack"/>
      <w:bookmarkEnd w:id="0"/>
      <w:r>
        <w:rPr>
          <w:noProof/>
        </w:rPr>
        <w:drawing>
          <wp:inline distT="0" distB="0" distL="0" distR="0" wp14:anchorId="709A5B5F" wp14:editId="6CB04D96">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C270B" w:rsidRPr="00FA33FB" w:rsidRDefault="00DC270B" w:rsidP="00DC270B">
      <w:pPr>
        <w:rPr>
          <w:sz w:val="19"/>
        </w:rPr>
      </w:pPr>
    </w:p>
    <w:p w:rsidR="00715914" w:rsidRPr="00DC270B"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4E6D72"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3A06A8">
        <w:t>MESOTHELIOMA</w:t>
      </w:r>
      <w:r w:rsidRPr="00831C11">
        <w:fldChar w:fldCharType="end"/>
      </w:r>
    </w:p>
    <w:p w:rsidR="00ED501C" w:rsidRPr="00831C11" w:rsidRDefault="003A06A8" w:rsidP="00FD0628">
      <w:pPr>
        <w:pStyle w:val="Plainheader"/>
      </w:pPr>
      <w:r>
        <w:t>(Balance of Probabilities)</w:t>
      </w:r>
    </w:p>
    <w:p w:rsidR="00715914" w:rsidRPr="00831C11" w:rsidRDefault="00E55F66" w:rsidP="006647B7">
      <w:pPr>
        <w:pStyle w:val="Plainheader"/>
      </w:pPr>
      <w:r w:rsidRPr="00831C11">
        <w:t xml:space="preserve">(No. </w:t>
      </w:r>
      <w:bookmarkStart w:id="1" w:name="BP"/>
      <w:r w:rsidR="003A06A8">
        <w:t>105</w:t>
      </w:r>
      <w:bookmarkEnd w:id="1"/>
      <w:r w:rsidRPr="00831C11">
        <w:t xml:space="preserve"> of</w:t>
      </w:r>
      <w:r w:rsidR="00085567" w:rsidRPr="00831C11">
        <w:t xml:space="preserve"> </w:t>
      </w:r>
      <w:bookmarkStart w:id="2" w:name="year"/>
      <w:r w:rsidR="00FA02D4">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3A06A8">
        <w:rPr>
          <w:sz w:val="24"/>
          <w:szCs w:val="24"/>
        </w:rPr>
        <w:t xml:space="preserve"> </w:t>
      </w:r>
      <w:r w:rsidR="003A06A8" w:rsidRPr="001C008B">
        <w:rPr>
          <w:sz w:val="24"/>
          <w:szCs w:val="24"/>
        </w:rPr>
        <w:t xml:space="preserve">under subsection 196B(3) of the </w:t>
      </w:r>
      <w:r w:rsidR="003A06A8" w:rsidRPr="001C008B">
        <w:rPr>
          <w:i/>
          <w:sz w:val="24"/>
          <w:szCs w:val="24"/>
        </w:rPr>
        <w:t>Veterans’ Entitlements Act 1986</w:t>
      </w:r>
      <w:r w:rsidR="003A06A8"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3A06A8">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587780">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3A06A8" w:rsidRDefault="003A06A8" w:rsidP="003A06A8">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3A06A8" w:rsidRDefault="003A06A8" w:rsidP="003A06A8">
      <w:pPr>
        <w:pStyle w:val="Plain"/>
      </w:pPr>
      <w:r>
        <w:rPr>
          <w:noProof/>
        </w:rPr>
        <w:drawing>
          <wp:anchor distT="0" distB="0" distL="114300" distR="114300" simplePos="0" relativeHeight="251659264" behindDoc="1" locked="0" layoutInCell="1" allowOverlap="1" wp14:anchorId="415D791F" wp14:editId="39FC797F">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3A06A8" w:rsidRDefault="003A06A8" w:rsidP="003A06A8">
      <w:pPr>
        <w:pStyle w:val="Plain"/>
      </w:pPr>
    </w:p>
    <w:p w:rsidR="003A06A8" w:rsidRDefault="003A06A8" w:rsidP="003A06A8">
      <w:pPr>
        <w:pStyle w:val="Plain"/>
      </w:pPr>
    </w:p>
    <w:p w:rsidR="003A06A8" w:rsidRDefault="003A06A8" w:rsidP="003A06A8">
      <w:pPr>
        <w:pStyle w:val="Plain"/>
      </w:pPr>
    </w:p>
    <w:p w:rsidR="003A06A8" w:rsidRPr="007527C1" w:rsidRDefault="003A06A8" w:rsidP="003A06A8">
      <w:pPr>
        <w:pStyle w:val="Plain"/>
      </w:pPr>
    </w:p>
    <w:p w:rsidR="003A06A8" w:rsidRPr="007527C1" w:rsidRDefault="003A06A8" w:rsidP="003A06A8">
      <w:pPr>
        <w:pStyle w:val="Plain"/>
      </w:pPr>
      <w:r w:rsidRPr="007527C1">
        <w:t>Professor Nicholas Saunders AO</w:t>
      </w:r>
    </w:p>
    <w:p w:rsidR="003A06A8" w:rsidRDefault="003A06A8" w:rsidP="003A06A8">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3A06A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A06A8">
        <w:rPr>
          <w:noProof/>
        </w:rPr>
        <w:t>1</w:t>
      </w:r>
      <w:r w:rsidR="003A06A8">
        <w:rPr>
          <w:rFonts w:asciiTheme="minorHAnsi" w:eastAsiaTheme="minorEastAsia" w:hAnsiTheme="minorHAnsi" w:cstheme="minorBidi"/>
          <w:noProof/>
          <w:kern w:val="0"/>
          <w:sz w:val="22"/>
          <w:szCs w:val="22"/>
        </w:rPr>
        <w:tab/>
      </w:r>
      <w:r w:rsidR="003A06A8">
        <w:rPr>
          <w:noProof/>
        </w:rPr>
        <w:t>Name</w:t>
      </w:r>
      <w:r w:rsidR="003A06A8">
        <w:rPr>
          <w:noProof/>
        </w:rPr>
        <w:tab/>
      </w:r>
      <w:r w:rsidR="003A06A8">
        <w:rPr>
          <w:noProof/>
        </w:rPr>
        <w:fldChar w:fldCharType="begin"/>
      </w:r>
      <w:r w:rsidR="003A06A8">
        <w:rPr>
          <w:noProof/>
        </w:rPr>
        <w:instrText xml:space="preserve"> PAGEREF _Toc426125086 \h </w:instrText>
      </w:r>
      <w:r w:rsidR="003A06A8">
        <w:rPr>
          <w:noProof/>
        </w:rPr>
      </w:r>
      <w:r w:rsidR="003A06A8">
        <w:rPr>
          <w:noProof/>
        </w:rPr>
        <w:fldChar w:fldCharType="separate"/>
      </w:r>
      <w:r w:rsidR="003A06A8">
        <w:rPr>
          <w:noProof/>
        </w:rPr>
        <w:t>3</w:t>
      </w:r>
      <w:r w:rsidR="003A06A8">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_Toc426125087 \h </w:instrText>
      </w:r>
      <w:r>
        <w:rPr>
          <w:noProof/>
        </w:rPr>
      </w:r>
      <w:r>
        <w:rPr>
          <w:noProof/>
        </w:rPr>
        <w:fldChar w:fldCharType="separate"/>
      </w:r>
      <w:r>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_Toc426125088 \h </w:instrText>
      </w:r>
      <w:r>
        <w:rPr>
          <w:noProof/>
        </w:rPr>
      </w:r>
      <w:r>
        <w:rPr>
          <w:noProof/>
        </w:rPr>
        <w:fldChar w:fldCharType="separate"/>
      </w:r>
      <w:r>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_Toc426125089 \h </w:instrText>
      </w:r>
      <w:r>
        <w:rPr>
          <w:noProof/>
        </w:rPr>
      </w:r>
      <w:r>
        <w:rPr>
          <w:noProof/>
        </w:rPr>
        <w:fldChar w:fldCharType="separate"/>
      </w:r>
      <w:r>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_Toc426125090 \h </w:instrText>
      </w:r>
      <w:r>
        <w:rPr>
          <w:noProof/>
        </w:rPr>
      </w:r>
      <w:r>
        <w:rPr>
          <w:noProof/>
        </w:rPr>
        <w:fldChar w:fldCharType="separate"/>
      </w:r>
      <w:r>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_Toc426125091 \h </w:instrText>
      </w:r>
      <w:r>
        <w:rPr>
          <w:noProof/>
        </w:rPr>
      </w:r>
      <w:r>
        <w:rPr>
          <w:noProof/>
        </w:rPr>
        <w:fldChar w:fldCharType="separate"/>
      </w:r>
      <w:r>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_Toc426125092 \h </w:instrText>
      </w:r>
      <w:r>
        <w:rPr>
          <w:noProof/>
        </w:rPr>
      </w:r>
      <w:r>
        <w:rPr>
          <w:noProof/>
        </w:rPr>
        <w:fldChar w:fldCharType="separate"/>
      </w:r>
      <w:r>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_Toc426125093 \h </w:instrText>
      </w:r>
      <w:r>
        <w:rPr>
          <w:noProof/>
        </w:rPr>
      </w:r>
      <w:r>
        <w:rPr>
          <w:noProof/>
        </w:rPr>
        <w:fldChar w:fldCharType="separate"/>
      </w:r>
      <w:r>
        <w:rPr>
          <w:noProof/>
        </w:rPr>
        <w:t>4</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_Toc426125094 \h </w:instrText>
      </w:r>
      <w:r>
        <w:rPr>
          <w:noProof/>
        </w:rPr>
      </w:r>
      <w:r>
        <w:rPr>
          <w:noProof/>
        </w:rPr>
        <w:fldChar w:fldCharType="separate"/>
      </w:r>
      <w:r>
        <w:rPr>
          <w:noProof/>
        </w:rPr>
        <w:t>4</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_Toc426125095 \h </w:instrText>
      </w:r>
      <w:r>
        <w:rPr>
          <w:noProof/>
        </w:rPr>
      </w:r>
      <w:r>
        <w:rPr>
          <w:noProof/>
        </w:rPr>
        <w:fldChar w:fldCharType="separate"/>
      </w:r>
      <w:r>
        <w:rPr>
          <w:noProof/>
        </w:rPr>
        <w:t>5</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_Toc426125096 \h </w:instrText>
      </w:r>
      <w:r>
        <w:rPr>
          <w:noProof/>
        </w:rPr>
      </w:r>
      <w:r>
        <w:rPr>
          <w:noProof/>
        </w:rPr>
        <w:fldChar w:fldCharType="separate"/>
      </w:r>
      <w:r>
        <w:rPr>
          <w:noProof/>
        </w:rPr>
        <w:t>5</w:t>
      </w:r>
      <w:r>
        <w:rPr>
          <w:noProof/>
        </w:rPr>
        <w:fldChar w:fldCharType="end"/>
      </w:r>
    </w:p>
    <w:p w:rsidR="003A06A8" w:rsidRDefault="003A06A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_Toc426125097 \h </w:instrText>
      </w:r>
      <w:r>
        <w:rPr>
          <w:noProof/>
        </w:rPr>
      </w:r>
      <w:r>
        <w:rPr>
          <w:noProof/>
        </w:rPr>
        <w:fldChar w:fldCharType="separate"/>
      </w:r>
      <w:r>
        <w:rPr>
          <w:noProof/>
        </w:rPr>
        <w:t>6</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_Toc426125098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325"/>
      <w:bookmarkStart w:id="6" w:name="_Toc426125086"/>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FA02D4" w:rsidRPr="003A06A8">
        <w:rPr>
          <w:i/>
        </w:rPr>
        <w:t>mesothelioma</w:t>
      </w:r>
      <w:bookmarkEnd w:id="8"/>
      <w:r w:rsidR="008E4A16">
        <w:rPr>
          <w:b/>
        </w:rPr>
        <w:t xml:space="preserve"> </w:t>
      </w:r>
      <w:r w:rsidR="003A06A8" w:rsidRPr="003E2269">
        <w:rPr>
          <w:i/>
        </w:rPr>
        <w:t>(Balance of Probabilities)</w:t>
      </w:r>
      <w:r w:rsidR="003A06A8" w:rsidRPr="00F97A62">
        <w:t xml:space="preserve"> </w:t>
      </w:r>
      <w:r w:rsidR="00E55F66" w:rsidRPr="00F97A62">
        <w:t xml:space="preserve">(No. </w:t>
      </w:r>
      <w:r w:rsidR="00587780">
        <w:fldChar w:fldCharType="begin"/>
      </w:r>
      <w:r w:rsidR="00587780">
        <w:instrText xml:space="preserve"> REF BP  \* MERGEFORMAT</w:instrText>
      </w:r>
      <w:r w:rsidR="00587780">
        <w:fldChar w:fldCharType="separate"/>
      </w:r>
      <w:r w:rsidR="003A06A8">
        <w:t>105</w:t>
      </w:r>
      <w:r w:rsidR="00587780">
        <w:fldChar w:fldCharType="end"/>
      </w:r>
      <w:r w:rsidR="00085567">
        <w:t xml:space="preserve"> </w:t>
      </w:r>
      <w:r w:rsidR="00E55F66" w:rsidRPr="00F97A62">
        <w:t>of</w:t>
      </w:r>
      <w:r w:rsidR="00085567">
        <w:t xml:space="preserve"> </w:t>
      </w:r>
      <w:r w:rsidR="00587780">
        <w:fldChar w:fldCharType="begin"/>
      </w:r>
      <w:r w:rsidR="00587780">
        <w:instrText xml:space="preserve"> REF year \* Charformat \* MERGEFORMAT </w:instrText>
      </w:r>
      <w:r w:rsidR="00587780">
        <w:fldChar w:fldCharType="separate"/>
      </w:r>
      <w:r w:rsidR="003A06A8">
        <w:t>2015</w:t>
      </w:r>
      <w:r w:rsidR="00587780">
        <w:fldChar w:fldCharType="end"/>
      </w:r>
      <w:r w:rsidR="00E55F66" w:rsidRPr="00F97A62">
        <w:t>)</w:t>
      </w:r>
      <w:r w:rsidRPr="00F97A62">
        <w:t>.</w:t>
      </w:r>
    </w:p>
    <w:p w:rsidR="00F67B67" w:rsidRPr="00684C0E" w:rsidRDefault="00F67B67" w:rsidP="00C96667">
      <w:pPr>
        <w:pStyle w:val="LV1"/>
      </w:pPr>
      <w:bookmarkStart w:id="9" w:name="_Toc418944326"/>
      <w:bookmarkStart w:id="10" w:name="_Toc426125087"/>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3A06A8">
        <w:rPr>
          <w:b/>
        </w:rPr>
        <w:t>21 September 2015</w:t>
      </w:r>
      <w:r w:rsidR="00F67B67" w:rsidRPr="007527C1">
        <w:t>.</w:t>
      </w:r>
    </w:p>
    <w:p w:rsidR="00F67B67" w:rsidRPr="00684C0E" w:rsidRDefault="00F67B67" w:rsidP="00C96667">
      <w:pPr>
        <w:pStyle w:val="LV1"/>
      </w:pPr>
      <w:bookmarkStart w:id="11" w:name="_Toc418944327"/>
      <w:bookmarkStart w:id="12" w:name="_Toc426125088"/>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3" w:name="_Toc418944328"/>
      <w:bookmarkStart w:id="14" w:name="_Toc426125089"/>
      <w:r>
        <w:t>Revocation</w:t>
      </w:r>
      <w:bookmarkEnd w:id="13"/>
      <w:bookmarkEnd w:id="14"/>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3A06A8" w:rsidRPr="003A06A8">
        <w:t>mesothelioma</w:t>
      </w:r>
      <w:r>
        <w:fldChar w:fldCharType="end"/>
      </w:r>
      <w:r w:rsidR="00E6086F">
        <w:t xml:space="preserve"> No. </w:t>
      </w:r>
      <w:r w:rsidR="008C11EF">
        <w:t>84</w:t>
      </w:r>
      <w:r w:rsidR="00E6086F">
        <w:t xml:space="preserve"> of </w:t>
      </w:r>
      <w:r w:rsidR="008C11EF">
        <w:t>2007</w:t>
      </w:r>
      <w:r w:rsidR="00CF5F63" w:rsidRPr="000B755A">
        <w:t xml:space="preserve"> </w:t>
      </w:r>
      <w:r w:rsidRPr="000B755A">
        <w:t xml:space="preserve">made under subsection 196B(3) of the </w:t>
      </w:r>
      <w:r w:rsidR="007E3C68" w:rsidRPr="007E3C68">
        <w:t>VEA</w:t>
      </w:r>
      <w:r w:rsidRPr="000B755A">
        <w:t xml:space="preserve"> is revoked.</w:t>
      </w:r>
    </w:p>
    <w:p w:rsidR="007C7DEE" w:rsidRPr="00684C0E" w:rsidRDefault="007C7DEE" w:rsidP="00C96667">
      <w:pPr>
        <w:pStyle w:val="LV1"/>
      </w:pPr>
      <w:bookmarkStart w:id="15" w:name="_Toc418944329"/>
      <w:bookmarkStart w:id="16" w:name="_Toc426125090"/>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330"/>
      <w:bookmarkStart w:id="19" w:name="_Toc426125091"/>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331"/>
      <w:bookmarkStart w:id="24" w:name="_Toc426125092"/>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3A06A8" w:rsidRPr="003A06A8">
        <w:t>mesothelioma</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3A06A8" w:rsidRPr="003A06A8">
        <w:rPr>
          <w:b/>
          <w:i/>
        </w:rPr>
        <w:t>mesothelioma</w:t>
      </w:r>
      <w:r w:rsidR="00D60FC8" w:rsidRPr="007142FB">
        <w:rPr>
          <w:b/>
          <w:i/>
        </w:rPr>
        <w:fldChar w:fldCharType="end"/>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002716E4" w:rsidRPr="00237BAF">
        <w:t>:</w:t>
      </w:r>
      <w:bookmarkEnd w:id="26"/>
    </w:p>
    <w:bookmarkEnd w:id="27"/>
    <w:p w:rsidR="008C11EF" w:rsidRPr="008E76DC" w:rsidRDefault="008C11EF" w:rsidP="008C11EF">
      <w:pPr>
        <w:pStyle w:val="LV3"/>
      </w:pPr>
      <w:r w:rsidRPr="008E76DC">
        <w:t xml:space="preserve">means </w:t>
      </w:r>
      <w:r w:rsidRPr="00E8232E">
        <w:t>a primary malignant neoplasm arising from the cells of the mesothelial lining of serous cavities of the body including the pleura, peritoneum, pericardium or tunica vaginalis testis</w:t>
      </w:r>
      <w:r w:rsidRPr="008E76DC">
        <w:t>; and</w:t>
      </w:r>
    </w:p>
    <w:p w:rsidR="008C11EF" w:rsidRPr="008E76DC" w:rsidRDefault="008C11EF" w:rsidP="008C11EF">
      <w:pPr>
        <w:pStyle w:val="LV3"/>
      </w:pPr>
      <w:r w:rsidRPr="008E76DC">
        <w:t xml:space="preserve">excludes </w:t>
      </w:r>
      <w:r w:rsidRPr="00F214F8">
        <w:t>soft tissue sarcoma, carcinoid tumour, non-Hodgkin</w:t>
      </w:r>
      <w:r w:rsidR="00377378">
        <w:t>'</w:t>
      </w:r>
      <w:r w:rsidRPr="00F214F8">
        <w:t>s lymphoma and Hodgkin</w:t>
      </w:r>
      <w:r w:rsidR="00377378">
        <w:t>'</w:t>
      </w:r>
      <w:r w:rsidRPr="00F214F8">
        <w:t>s lymphoma</w:t>
      </w:r>
      <w:r w:rsidRPr="008E76DC">
        <w:t>.</w:t>
      </w:r>
    </w:p>
    <w:p w:rsidR="008C11EF" w:rsidRPr="00237BAF" w:rsidRDefault="008C11EF" w:rsidP="008C11EF">
      <w:pPr>
        <w:pStyle w:val="LV2"/>
      </w:pPr>
      <w:r w:rsidRPr="00237BAF">
        <w:t xml:space="preserve">While </w:t>
      </w:r>
      <w:r>
        <w:fldChar w:fldCharType="begin"/>
      </w:r>
      <w:r>
        <w:instrText xml:space="preserve"> REF SoP_Name \*Lower \*Charformat</w:instrText>
      </w:r>
      <w:r>
        <w:fldChar w:fldCharType="separate"/>
      </w:r>
      <w:r w:rsidR="003A06A8" w:rsidRPr="003A06A8">
        <w:t>mesothelioma</w:t>
      </w:r>
      <w:r>
        <w:fldChar w:fldCharType="end"/>
      </w:r>
      <w:r>
        <w:t xml:space="preserve"> </w:t>
      </w:r>
      <w:r w:rsidRPr="00237BAF">
        <w:t>attracts ICD</w:t>
      </w:r>
      <w:r w:rsidRPr="00237BAF">
        <w:noBreakHyphen/>
        <w:t>10</w:t>
      </w:r>
      <w:r w:rsidRPr="00237BAF">
        <w:noBreakHyphen/>
        <w:t xml:space="preserve">AM </w:t>
      </w:r>
      <w:r w:rsidRPr="00EB2BC4">
        <w:t xml:space="preserve">code </w:t>
      </w:r>
      <w:r>
        <w:t>C45</w:t>
      </w:r>
      <w:r w:rsidRPr="00EB2BC4">
        <w:t>,</w:t>
      </w:r>
      <w:r w:rsidRPr="00237BAF">
        <w:t xml:space="preserve"> in applying this Statement of Principles the </w:t>
      </w:r>
      <w:r w:rsidRPr="00D5620B">
        <w:t xml:space="preserve">meaning of </w:t>
      </w:r>
      <w:r>
        <w:fldChar w:fldCharType="begin"/>
      </w:r>
      <w:r>
        <w:instrText xml:space="preserve"> REF SoP_Name \*Lower \*Charformat</w:instrText>
      </w:r>
      <w:r>
        <w:fldChar w:fldCharType="separate"/>
      </w:r>
      <w:r w:rsidR="003A06A8" w:rsidRPr="003A06A8">
        <w:t>mesothelioma</w:t>
      </w:r>
      <w:r>
        <w:fldChar w:fldCharType="end"/>
      </w:r>
      <w:r>
        <w:t xml:space="preserve"> </w:t>
      </w:r>
      <w:r w:rsidRPr="00D5620B">
        <w:t>is that</w:t>
      </w:r>
      <w:r w:rsidRPr="00237BAF">
        <w:t xml:space="preserve"> given in subsection (2).</w:t>
      </w:r>
    </w:p>
    <w:p w:rsidR="000F76FA" w:rsidRPr="0053697E" w:rsidRDefault="000C7153" w:rsidP="00991F6F">
      <w:pPr>
        <w:pStyle w:val="LV2"/>
        <w:rPr>
          <w:i/>
          <w:color w:val="000000"/>
        </w:rPr>
      </w:pPr>
      <w:r w:rsidRPr="00237BAF">
        <w:lastRenderedPageBreak/>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3A06A8" w:rsidRPr="003A06A8">
        <w:rPr>
          <w:b/>
          <w:i/>
        </w:rPr>
        <w:t>mesothelioma</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81B87">
        <w:t>–</w:t>
      </w:r>
      <w:r w:rsidR="00D32F71">
        <w:t xml:space="preserve"> </w:t>
      </w:r>
      <w:r w:rsidR="00885EAB" w:rsidRPr="00046E67">
        <w:t>Dictionary</w:t>
      </w:r>
      <w:r w:rsidR="00C81B87">
        <w:t>.</w:t>
      </w:r>
    </w:p>
    <w:p w:rsidR="007C7DEE" w:rsidRPr="00A20CA1" w:rsidRDefault="007C7DEE" w:rsidP="00C96667">
      <w:pPr>
        <w:pStyle w:val="LV1"/>
      </w:pPr>
      <w:bookmarkStart w:id="28" w:name="_Toc418944332"/>
      <w:bookmarkStart w:id="29" w:name="_Toc426125093"/>
      <w:r w:rsidRPr="00A20CA1">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333"/>
      <w:bookmarkStart w:id="34" w:name="_Toc426125094"/>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8C11EF" w:rsidRPr="005D79CD" w:rsidRDefault="008C11EF" w:rsidP="008C11EF">
      <w:pPr>
        <w:pStyle w:val="LV2"/>
      </w:pPr>
      <w:bookmarkStart w:id="36" w:name="_Ref402530260"/>
      <w:bookmarkStart w:id="37" w:name="_Ref409598844"/>
      <w:r w:rsidRPr="005D79CD">
        <w:t>inhaling asbestos fibres</w:t>
      </w:r>
      <w:r>
        <w:t xml:space="preserve"> in an enclosed space</w:t>
      </w:r>
      <w:r w:rsidRPr="005D79CD">
        <w:t>:</w:t>
      </w:r>
    </w:p>
    <w:p w:rsidR="008C11EF" w:rsidRPr="005D79CD" w:rsidRDefault="008C11EF" w:rsidP="008C11EF">
      <w:pPr>
        <w:pStyle w:val="LV3"/>
        <w:rPr>
          <w:lang w:val="en-US"/>
        </w:rPr>
      </w:pPr>
      <w:r w:rsidRPr="005D79CD">
        <w:rPr>
          <w:lang w:val="en-US"/>
        </w:rPr>
        <w:t>at the time material containing asbestos fibres was being applied, removed, dislodged, cut or drilled; and</w:t>
      </w:r>
    </w:p>
    <w:p w:rsidR="008C11EF" w:rsidRPr="005D79CD" w:rsidRDefault="008C11EF" w:rsidP="008C11EF">
      <w:pPr>
        <w:pStyle w:val="LV3"/>
        <w:rPr>
          <w:lang w:val="en-US"/>
        </w:rPr>
      </w:pPr>
      <w:r w:rsidRPr="005D79CD">
        <w:rPr>
          <w:lang w:val="en-US"/>
        </w:rPr>
        <w:t>the first inhalation of asbestos fibres occurred at least 1</w:t>
      </w:r>
      <w:r>
        <w:rPr>
          <w:lang w:val="en-US"/>
        </w:rPr>
        <w:t>5</w:t>
      </w:r>
      <w:r w:rsidRPr="005D79CD">
        <w:rPr>
          <w:lang w:val="en-US"/>
        </w:rPr>
        <w:t xml:space="preserve"> years, before the clinical onset of mesothelioma; </w:t>
      </w:r>
    </w:p>
    <w:p w:rsidR="008C11EF" w:rsidRDefault="008C11EF" w:rsidP="008C11EF">
      <w:pPr>
        <w:pStyle w:val="LV2"/>
      </w:pPr>
      <w:r>
        <w:t>inhaling asbestos fibres in an open environment for a cumulative period of at least 1</w:t>
      </w:r>
      <w:r w:rsidR="00C92B8D">
        <w:t> </w:t>
      </w:r>
      <w:r>
        <w:t>000 hours before the clinical onset of mesothelioma:</w:t>
      </w:r>
    </w:p>
    <w:p w:rsidR="008C11EF" w:rsidRDefault="008C11EF" w:rsidP="008C11EF">
      <w:pPr>
        <w:pStyle w:val="LV3"/>
      </w:pPr>
      <w:r>
        <w:t>at the time material containing asbestos fibres was being applied, removed, dislodged, cut or drilled; and</w:t>
      </w:r>
    </w:p>
    <w:p w:rsidR="008C11EF" w:rsidRDefault="008C11EF" w:rsidP="008C11EF">
      <w:pPr>
        <w:pStyle w:val="LV3"/>
      </w:pPr>
      <w:r>
        <w:t>the first inhalation of asbestos fibres occurred at least 15 years, before the clinical onset of mesothelioma;</w:t>
      </w:r>
    </w:p>
    <w:p w:rsidR="008C11EF" w:rsidRPr="008D1B8B" w:rsidRDefault="008C11EF" w:rsidP="008C11EF">
      <w:pPr>
        <w:pStyle w:val="LV2"/>
      </w:pPr>
      <w:r w:rsidRPr="00434D73">
        <w:t>having asbestosis at th</w:t>
      </w:r>
      <w:r>
        <w:t xml:space="preserve">e time of the clinical onset of </w:t>
      </w:r>
      <w:r w:rsidRPr="00434D73">
        <w:t>mesothelioma;</w:t>
      </w:r>
    </w:p>
    <w:p w:rsidR="008C11EF" w:rsidRPr="009A23F3" w:rsidRDefault="008C11EF" w:rsidP="004E6D72">
      <w:pPr>
        <w:pStyle w:val="LV2"/>
        <w:keepNext/>
      </w:pPr>
      <w:r w:rsidRPr="009A23F3">
        <w:lastRenderedPageBreak/>
        <w:t>having received a cumulative equivalent dose of at least 0.</w:t>
      </w:r>
      <w:r w:rsidR="000A370B">
        <w:t>5</w:t>
      </w:r>
      <w:r w:rsidRPr="009A23F3">
        <w:t xml:space="preserve"> sievert of ionising radiation to the affected region at least </w:t>
      </w:r>
      <w:r w:rsidR="000A370B">
        <w:t>ten</w:t>
      </w:r>
      <w:r w:rsidRPr="009A23F3">
        <w:t xml:space="preserve"> years before the clinical onset of mesothelioma;</w:t>
      </w:r>
    </w:p>
    <w:p w:rsidR="008C11EF" w:rsidRPr="00046E67" w:rsidRDefault="008C11EF" w:rsidP="008C11EF">
      <w:pPr>
        <w:pStyle w:val="NOTE"/>
      </w:pPr>
      <w:r>
        <w:t xml:space="preserve">Note: </w:t>
      </w:r>
      <w:r w:rsidRPr="005D79CD">
        <w:rPr>
          <w:b/>
          <w:i/>
        </w:rPr>
        <w:t>cumulative equivalent dose</w:t>
      </w:r>
      <w:r w:rsidRPr="00046E67">
        <w:t xml:space="preserve"> is defined in the </w:t>
      </w:r>
      <w:r>
        <w:t xml:space="preserve">Schedule 1 - </w:t>
      </w:r>
      <w:r w:rsidRPr="002717B2">
        <w:t>Dictionary</w:t>
      </w:r>
      <w:r w:rsidRPr="00046E67">
        <w:t>.</w:t>
      </w:r>
    </w:p>
    <w:p w:rsidR="008C11EF" w:rsidRPr="008D1B8B" w:rsidRDefault="008C11EF" w:rsidP="008C11EF">
      <w:pPr>
        <w:pStyle w:val="LV2"/>
      </w:pPr>
      <w:r w:rsidRPr="002E2B51">
        <w:t xml:space="preserve">inhaling erionite fibres on more days than not for at least </w:t>
      </w:r>
      <w:r w:rsidR="009A5C47">
        <w:t>ten</w:t>
      </w:r>
      <w:r w:rsidRPr="002E2B51">
        <w:t xml:space="preserve"> years before the clinical onset of mesothelioma, where the first inhalation of erionite fibres occurred at least </w:t>
      </w:r>
      <w:r w:rsidR="000A370B">
        <w:t>15</w:t>
      </w:r>
      <w:r w:rsidRPr="002E2B51">
        <w:t xml:space="preserve"> years before the clinical onset of mesothelioma;</w:t>
      </w:r>
    </w:p>
    <w:p w:rsidR="008C11EF" w:rsidRPr="00046E67" w:rsidRDefault="008C11EF" w:rsidP="008C11EF">
      <w:pPr>
        <w:pStyle w:val="NOTE"/>
      </w:pPr>
      <w:r>
        <w:t xml:space="preserve">Note: </w:t>
      </w:r>
      <w:r w:rsidRPr="002E2B51">
        <w:rPr>
          <w:b/>
          <w:i/>
        </w:rPr>
        <w:t>erionite</w:t>
      </w:r>
      <w:r w:rsidRPr="00046E67">
        <w:t xml:space="preserve"> is defined in the </w:t>
      </w:r>
      <w:r>
        <w:t xml:space="preserve">Schedule 1 - </w:t>
      </w:r>
      <w:r w:rsidRPr="002717B2">
        <w:t>Dictionary</w:t>
      </w:r>
      <w:r w:rsidRPr="00046E67">
        <w:t>.</w:t>
      </w:r>
    </w:p>
    <w:p w:rsidR="008C11EF" w:rsidRPr="008D1B8B" w:rsidRDefault="008C11EF" w:rsidP="008C11EF">
      <w:pPr>
        <w:pStyle w:val="LV2"/>
      </w:pPr>
      <w:r w:rsidRPr="00D657CD">
        <w:t>firefighting for a cumulative period of at least 1</w:t>
      </w:r>
      <w:r w:rsidR="00DB1DF3">
        <w:t> </w:t>
      </w:r>
      <w:r w:rsidRPr="00D657CD">
        <w:t xml:space="preserve">000 hours before the clinical onset of mesothelioma, where the first exposure occurred at least </w:t>
      </w:r>
      <w:r w:rsidR="000A370B">
        <w:t>15</w:t>
      </w:r>
      <w:r w:rsidRPr="00D657CD">
        <w:t xml:space="preserve"> years before the clinical onset of mesothelioma;</w:t>
      </w:r>
    </w:p>
    <w:p w:rsidR="008C11EF" w:rsidRPr="00046E67" w:rsidRDefault="008C11EF" w:rsidP="008C11EF">
      <w:pPr>
        <w:pStyle w:val="NOTE"/>
      </w:pPr>
      <w:r>
        <w:t xml:space="preserve">Note: </w:t>
      </w:r>
      <w:r w:rsidRPr="00D657CD">
        <w:rPr>
          <w:b/>
          <w:i/>
        </w:rPr>
        <w:tab/>
        <w:t>firefighting</w:t>
      </w:r>
      <w:r w:rsidRPr="00046E67">
        <w:t xml:space="preserve"> is defined in the </w:t>
      </w:r>
      <w:r>
        <w:t xml:space="preserve">Schedule 1 - </w:t>
      </w:r>
      <w:r w:rsidRPr="002717B2">
        <w:t>Dictionary</w:t>
      </w:r>
      <w:r w:rsidRPr="00046E67">
        <w:t>.</w:t>
      </w:r>
    </w:p>
    <w:p w:rsidR="007C7DEE" w:rsidRPr="008D1B8B" w:rsidRDefault="007C7DEE" w:rsidP="003802D6">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00D5620B" w:rsidRPr="008D1B8B">
        <w:t>.</w:t>
      </w:r>
      <w:bookmarkEnd w:id="37"/>
    </w:p>
    <w:p w:rsidR="000C21A3" w:rsidRPr="00684C0E" w:rsidRDefault="00D32F71" w:rsidP="00C96667">
      <w:pPr>
        <w:pStyle w:val="LV1"/>
      </w:pPr>
      <w:bookmarkStart w:id="38" w:name="_Toc418944334"/>
      <w:bookmarkStart w:id="39" w:name="_Toc426125095"/>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40"/>
    <w:p w:rsidR="00CF2367" w:rsidRPr="00187DE1" w:rsidRDefault="00F03C06" w:rsidP="003802D6">
      <w:pPr>
        <w:pStyle w:val="LV2"/>
      </w:pPr>
      <w:r w:rsidRPr="00187DE1">
        <w:t xml:space="preserve">The factor set out in </w:t>
      </w:r>
      <w:r w:rsidR="002077D6">
        <w:t>subsection</w:t>
      </w:r>
      <w:r w:rsidR="00E6086F">
        <w:t xml:space="preserve"> 9(</w:t>
      </w:r>
      <w:r w:rsidR="00FD2F44">
        <w:t>7</w:t>
      </w:r>
      <w:r w:rsidR="00E6086F">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3A06A8" w:rsidRPr="003A06A8">
        <w:t>mesothelioma</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4335"/>
      <w:bookmarkStart w:id="42" w:name="_Toc426125096"/>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336"/>
      <w:bookmarkStart w:id="46" w:name="_Toc42612509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7" w:name="_Toc405472918"/>
      <w:bookmarkStart w:id="48" w:name="_Toc418944337"/>
      <w:bookmarkStart w:id="49" w:name="_Toc426125098"/>
      <w:r w:rsidRPr="00D97BB3">
        <w:t>Definitions</w:t>
      </w:r>
      <w:bookmarkEnd w:id="47"/>
      <w:bookmarkEnd w:id="48"/>
      <w:bookmarkEnd w:id="49"/>
    </w:p>
    <w:p w:rsidR="00702C42" w:rsidRPr="00516768" w:rsidRDefault="00702C42" w:rsidP="00F97A62">
      <w:pPr>
        <w:pStyle w:val="SH2"/>
      </w:pPr>
      <w:r w:rsidRPr="00516768">
        <w:t>In this instrument:</w:t>
      </w:r>
    </w:p>
    <w:p w:rsidR="008C11EF" w:rsidRDefault="008C11EF" w:rsidP="008C11EF">
      <w:pPr>
        <w:pStyle w:val="SH3"/>
      </w:pPr>
      <w:bookmarkStart w:id="50" w:name="_Ref402530810"/>
      <w:r w:rsidRPr="005D79CD">
        <w:rPr>
          <w:b/>
          <w:i/>
        </w:rPr>
        <w:t>cumulative equivalent dose</w:t>
      </w:r>
      <w:r w:rsidRPr="005D79CD">
        <w:t xml:space="preserve"> means the total dose of ionising radiation received by the particular organ or tissue. </w:t>
      </w:r>
      <w:r w:rsidR="00430AB8">
        <w:t xml:space="preserve"> </w:t>
      </w:r>
      <w:r w:rsidRPr="005D79CD">
        <w:t xml:space="preserve">The formula used to calculate the cumulative equivalent dose allows doses from multiple types of ionising radiation to be combined, by accounting for their differing biological effect. </w:t>
      </w:r>
      <w:r w:rsidR="00430AB8">
        <w:t xml:space="preserve"> </w:t>
      </w:r>
      <w:r w:rsidRPr="005D79CD">
        <w:t xml:space="preserve">The unit of equivalent dose is the sievert. </w:t>
      </w:r>
      <w:r w:rsidR="00430AB8">
        <w:t xml:space="preserve"> </w:t>
      </w:r>
      <w:r w:rsidRPr="005D79CD">
        <w:t xml:space="preserve">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w:t>
      </w:r>
      <w:r>
        <w:t>nuclear explosions or accidents.</w:t>
      </w:r>
    </w:p>
    <w:p w:rsidR="008C11EF" w:rsidRDefault="008C11EF" w:rsidP="008C11EF">
      <w:pPr>
        <w:pStyle w:val="SH3"/>
      </w:pPr>
      <w:r w:rsidRPr="002E2B51">
        <w:rPr>
          <w:b/>
          <w:i/>
        </w:rPr>
        <w:t>erionite</w:t>
      </w:r>
      <w:r w:rsidRPr="002E2B51">
        <w:t xml:space="preserve"> means a naturally occurring fibrous mineral that belongs to a gr</w:t>
      </w:r>
      <w:r>
        <w:t>oup of minerals called zeolites.</w:t>
      </w:r>
    </w:p>
    <w:p w:rsidR="008C11EF" w:rsidRDefault="008C11EF" w:rsidP="008C11EF">
      <w:pPr>
        <w:pStyle w:val="SH3"/>
      </w:pPr>
      <w:r w:rsidRPr="00D657CD">
        <w:rPr>
          <w:b/>
          <w:i/>
        </w:rPr>
        <w:t>firefighting</w:t>
      </w:r>
      <w:r w:rsidRPr="00D657CD">
        <w:t xml:space="preserve"> means being involved in the direct combat of fires, including activities to control, extinguish, mop-up or prevent fires, or participating in training activities involving fires</w:t>
      </w:r>
      <w:r>
        <w:t>.</w:t>
      </w:r>
    </w:p>
    <w:p w:rsidR="008C11EF" w:rsidRPr="00513D05" w:rsidRDefault="008C11EF" w:rsidP="008C11EF">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3A06A8" w:rsidRPr="003A06A8">
        <w:rPr>
          <w:b/>
          <w:i/>
        </w:rPr>
        <w:t>mesothelioma</w:t>
      </w:r>
      <w:r w:rsidRPr="007142FB">
        <w:rPr>
          <w:b/>
          <w:i/>
        </w:rPr>
        <w:fldChar w:fldCharType="end"/>
      </w:r>
      <w:r w:rsidRPr="00513D05">
        <w:t>—see subsection</w:t>
      </w:r>
      <w:r>
        <w:t xml:space="preserve"> 7(2).</w:t>
      </w:r>
    </w:p>
    <w:p w:rsidR="00885EAB" w:rsidRPr="009C404D" w:rsidRDefault="00885EAB" w:rsidP="00A43D51">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50"/>
    <w:p w:rsidR="00885EAB" w:rsidRPr="009C404D" w:rsidRDefault="00054930" w:rsidP="00A43D51">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A43D51">
      <w:pPr>
        <w:pStyle w:val="SH4"/>
        <w:ind w:left="1418"/>
      </w:pPr>
      <w:bookmarkStart w:id="51" w:name="_Ref402529607"/>
      <w:r>
        <w:t xml:space="preserve">eligible war service (other than operational </w:t>
      </w:r>
      <w:r w:rsidR="00885EAB" w:rsidRPr="00365E25">
        <w:t>service</w:t>
      </w:r>
      <w:r>
        <w:t>) under the VEA;</w:t>
      </w:r>
    </w:p>
    <w:p w:rsidR="00885EAB" w:rsidRPr="00513D05" w:rsidRDefault="00C77046" w:rsidP="00A43D51">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A43D51">
      <w:pPr>
        <w:pStyle w:val="SH4"/>
        <w:ind w:left="1418"/>
      </w:pPr>
      <w:r>
        <w:t>peacetime service under the MRCA.</w:t>
      </w:r>
    </w:p>
    <w:p w:rsidR="00885EAB" w:rsidRPr="009C404D" w:rsidRDefault="00054930" w:rsidP="00A43D51">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51"/>
      <w:r w:rsidR="00513D05" w:rsidRPr="009C404D">
        <w:t xml:space="preserve"> </w:t>
      </w:r>
      <w:r w:rsidR="00885EAB" w:rsidRPr="009C404D">
        <w:t>the following:</w:t>
      </w:r>
    </w:p>
    <w:p w:rsidR="00885EAB" w:rsidRPr="00513D05" w:rsidRDefault="00513D05" w:rsidP="00A43D51">
      <w:pPr>
        <w:pStyle w:val="SH4"/>
        <w:ind w:left="1418"/>
      </w:pPr>
      <w:r>
        <w:tab/>
      </w:r>
      <w:r w:rsidR="00885EAB" w:rsidRPr="00513D05">
        <w:t>pneumonia;</w:t>
      </w:r>
    </w:p>
    <w:p w:rsidR="00885EAB" w:rsidRPr="00513D05" w:rsidRDefault="00885EAB" w:rsidP="00A43D51">
      <w:pPr>
        <w:pStyle w:val="SH4"/>
        <w:ind w:left="1418"/>
      </w:pPr>
      <w:r w:rsidRPr="00513D05">
        <w:tab/>
        <w:t>respiratory failure;</w:t>
      </w:r>
    </w:p>
    <w:p w:rsidR="00885EAB" w:rsidRPr="00513D05" w:rsidRDefault="00885EAB" w:rsidP="00A43D51">
      <w:pPr>
        <w:pStyle w:val="SH4"/>
        <w:ind w:left="1418"/>
      </w:pPr>
      <w:r w:rsidRPr="00513D05">
        <w:tab/>
        <w:t>cardiac arrest;</w:t>
      </w:r>
    </w:p>
    <w:p w:rsidR="00885EAB" w:rsidRPr="00513D05" w:rsidRDefault="00885EAB" w:rsidP="00A43D51">
      <w:pPr>
        <w:pStyle w:val="SH4"/>
        <w:ind w:left="1418"/>
      </w:pPr>
      <w:r w:rsidRPr="00513D05">
        <w:tab/>
        <w:t>circulatory failure;</w:t>
      </w:r>
      <w:r w:rsidR="006518F1">
        <w:t xml:space="preserve"> or</w:t>
      </w:r>
    </w:p>
    <w:p w:rsidR="00BD3334" w:rsidRPr="00BD3334" w:rsidRDefault="00885EAB" w:rsidP="00A43D51">
      <w:pPr>
        <w:pStyle w:val="SH4"/>
        <w:ind w:left="1418"/>
      </w:pPr>
      <w:r w:rsidRPr="00513D05">
        <w:tab/>
        <w:t>cessation of brain function.</w:t>
      </w:r>
    </w:p>
    <w:p w:rsidR="00225CBD" w:rsidRPr="0019084F" w:rsidRDefault="00885EAB" w:rsidP="00A43D51">
      <w:pPr>
        <w:pStyle w:val="SH3"/>
        <w:ind w:left="851" w:hanging="851"/>
      </w:pPr>
      <w:r w:rsidRPr="00CB1DCB">
        <w:rPr>
          <w:b/>
          <w:i/>
        </w:rPr>
        <w:t>VEA</w:t>
      </w:r>
      <w:r w:rsidRPr="0019084F">
        <w:t xml:space="preserve"> means the </w:t>
      </w:r>
      <w:r w:rsidRPr="0019084F">
        <w:rPr>
          <w:i/>
        </w:rPr>
        <w:t>Veterans</w:t>
      </w:r>
      <w:r w:rsidR="00DC270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sectPr w:rsid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430AB8"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430AB8" w:rsidP="00430AB8">
          <w:pPr>
            <w:spacing w:line="0" w:lineRule="atLeast"/>
            <w:jc w:val="center"/>
            <w:rPr>
              <w:sz w:val="18"/>
            </w:rPr>
          </w:pPr>
          <w:r>
            <w:rPr>
              <w:i/>
              <w:sz w:val="18"/>
              <w:szCs w:val="18"/>
            </w:rPr>
            <w:t>M</w:t>
          </w:r>
          <w:r w:rsidR="003A06A8" w:rsidRPr="003A06A8">
            <w:rPr>
              <w:i/>
              <w:sz w:val="18"/>
              <w:szCs w:val="18"/>
            </w:rPr>
            <w:t>esothelioma</w:t>
          </w:r>
          <w:r w:rsidR="003A2FFE" w:rsidRPr="003A2FFE">
            <w:rPr>
              <w:i/>
              <w:sz w:val="18"/>
            </w:rPr>
            <w:t xml:space="preserve"> </w:t>
          </w:r>
          <w:r>
            <w:rPr>
              <w:i/>
              <w:sz w:val="18"/>
            </w:rPr>
            <w:t>(Balance of Probabilities)</w:t>
          </w:r>
          <w:r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3A06A8" w:rsidRPr="003A06A8">
            <w:rPr>
              <w:i/>
              <w:sz w:val="18"/>
              <w:szCs w:val="18"/>
            </w:rPr>
            <w:t>105</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3A06A8" w:rsidRPr="003A06A8">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87780">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430AB8"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430AB8" w:rsidP="00154DCA">
          <w:pPr>
            <w:spacing w:line="0" w:lineRule="atLeast"/>
            <w:jc w:val="center"/>
            <w:rPr>
              <w:sz w:val="18"/>
            </w:rPr>
          </w:pPr>
          <w:r>
            <w:rPr>
              <w:i/>
              <w:sz w:val="18"/>
              <w:szCs w:val="18"/>
            </w:rPr>
            <w:t>M</w:t>
          </w:r>
          <w:r w:rsidR="003A06A8" w:rsidRPr="003A06A8">
            <w:rPr>
              <w:i/>
              <w:sz w:val="18"/>
              <w:szCs w:val="18"/>
            </w:rPr>
            <w:t>esothelioma</w:t>
          </w:r>
          <w:r w:rsidR="000007B8" w:rsidRPr="007F2378">
            <w:rPr>
              <w:i/>
              <w:sz w:val="18"/>
            </w:rPr>
            <w:t xml:space="preserve"> </w:t>
          </w:r>
          <w:r>
            <w:rPr>
              <w:i/>
              <w:sz w:val="18"/>
            </w:rPr>
            <w:t>(Balance of Probabilities)</w:t>
          </w:r>
          <w:r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3A06A8" w:rsidRPr="003A06A8">
            <w:rPr>
              <w:i/>
              <w:sz w:val="18"/>
              <w:szCs w:val="18"/>
            </w:rPr>
            <w:t>105</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3A06A8" w:rsidRPr="003A06A8">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87780">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430AB8" w:rsidRDefault="007F2378" w:rsidP="007F2378">
          <w:pPr>
            <w:spacing w:line="0" w:lineRule="atLeast"/>
            <w:jc w:val="center"/>
            <w:rPr>
              <w:i/>
              <w:sz w:val="18"/>
            </w:rPr>
          </w:pPr>
          <w:r w:rsidRPr="007C5CE0">
            <w:rPr>
              <w:i/>
              <w:sz w:val="18"/>
            </w:rPr>
            <w:t xml:space="preserve">Statement of Principles concerning </w:t>
          </w:r>
        </w:p>
        <w:p w:rsidR="007F2378" w:rsidRPr="007C5CE0" w:rsidRDefault="00430AB8" w:rsidP="00430AB8">
          <w:pPr>
            <w:spacing w:line="0" w:lineRule="atLeast"/>
            <w:jc w:val="center"/>
            <w:rPr>
              <w:sz w:val="18"/>
            </w:rPr>
          </w:pPr>
          <w:r>
            <w:rPr>
              <w:i/>
              <w:sz w:val="18"/>
              <w:szCs w:val="18"/>
            </w:rPr>
            <w:t>M</w:t>
          </w:r>
          <w:r w:rsidR="003A06A8" w:rsidRPr="003A06A8">
            <w:rPr>
              <w:i/>
              <w:sz w:val="18"/>
              <w:szCs w:val="18"/>
            </w:rPr>
            <w:t>esothelioma</w:t>
          </w:r>
          <w:r w:rsidR="007F2378" w:rsidRPr="007C5CE0">
            <w:rPr>
              <w:i/>
              <w:sz w:val="18"/>
            </w:rPr>
            <w:t xml:space="preserve"> </w:t>
          </w:r>
          <w:r>
            <w:rPr>
              <w:i/>
              <w:sz w:val="18"/>
            </w:rPr>
            <w:t>(Balance of Probabilities)</w:t>
          </w:r>
          <w:r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3A06A8" w:rsidRPr="003A06A8">
            <w:rPr>
              <w:i/>
              <w:sz w:val="18"/>
              <w:szCs w:val="18"/>
            </w:rPr>
            <w:t>105</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3A06A8" w:rsidRPr="003A06A8">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87780">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4D0412" w:rsidRDefault="0008674F" w:rsidP="0085763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4D0412" w:rsidP="004D0412">
          <w:pPr>
            <w:spacing w:line="0" w:lineRule="atLeast"/>
            <w:jc w:val="center"/>
            <w:rPr>
              <w:sz w:val="18"/>
            </w:rPr>
          </w:pPr>
          <w:r>
            <w:rPr>
              <w:i/>
              <w:sz w:val="18"/>
              <w:szCs w:val="18"/>
            </w:rPr>
            <w:t>M</w:t>
          </w:r>
          <w:r w:rsidR="003A06A8" w:rsidRPr="003A06A8">
            <w:rPr>
              <w:i/>
              <w:sz w:val="18"/>
              <w:szCs w:val="18"/>
            </w:rPr>
            <w:t>esothelioma</w:t>
          </w:r>
          <w:r w:rsidR="0008674F" w:rsidRPr="007F2378">
            <w:rPr>
              <w:i/>
              <w:sz w:val="18"/>
            </w:rPr>
            <w:t xml:space="preserve"> </w:t>
          </w:r>
          <w:r>
            <w:rPr>
              <w:i/>
              <w:sz w:val="18"/>
            </w:rPr>
            <w:t>(Balance of Probabilities)</w:t>
          </w:r>
          <w:r w:rsidRPr="007F2378">
            <w:rPr>
              <w:i/>
              <w:sz w:val="18"/>
            </w:rPr>
            <w:t xml:space="preserve"> </w:t>
          </w:r>
          <w:r w:rsidR="0008674F" w:rsidRPr="007F2378">
            <w:rPr>
              <w:i/>
              <w:sz w:val="18"/>
            </w:rPr>
            <w:t xml:space="preserve">(No. </w:t>
          </w:r>
          <w:r>
            <w:rPr>
              <w:i/>
              <w:sz w:val="18"/>
              <w:szCs w:val="18"/>
            </w:rPr>
            <w:t>105</w:t>
          </w:r>
          <w:r w:rsidR="0085763A" w:rsidRPr="007F2378">
            <w:rPr>
              <w:i/>
              <w:sz w:val="18"/>
              <w:szCs w:val="18"/>
            </w:rPr>
            <w:t xml:space="preserve"> </w:t>
          </w:r>
          <w:r w:rsidR="0008674F" w:rsidRPr="007F2378">
            <w:rPr>
              <w:i/>
              <w:sz w:val="18"/>
              <w:szCs w:val="18"/>
            </w:rPr>
            <w:t xml:space="preserve">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3A06A8" w:rsidRPr="003A06A8">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87780">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5E7FC2" w:rsidRDefault="008F48EC" w:rsidP="00154DCA">
          <w:pPr>
            <w:spacing w:line="0" w:lineRule="atLeast"/>
            <w:jc w:val="center"/>
            <w:rPr>
              <w:i/>
              <w:sz w:val="18"/>
            </w:rPr>
          </w:pPr>
          <w:r w:rsidRPr="00E55F66">
            <w:rPr>
              <w:i/>
              <w:sz w:val="18"/>
            </w:rPr>
            <w:t>Statement of Principles concer</w:t>
          </w:r>
          <w:r>
            <w:rPr>
              <w:i/>
              <w:sz w:val="18"/>
            </w:rPr>
            <w:t xml:space="preserve">ning </w:t>
          </w:r>
          <w:r w:rsidR="00154DCA" w:rsidRPr="003A2FFE">
            <w:rPr>
              <w:i/>
              <w:sz w:val="18"/>
              <w:szCs w:val="18"/>
            </w:rPr>
            <w:fldChar w:fldCharType="begin"/>
          </w:r>
          <w:r w:rsidR="00154DCA" w:rsidRPr="003A2FFE">
            <w:rPr>
              <w:i/>
              <w:sz w:val="18"/>
              <w:szCs w:val="18"/>
            </w:rPr>
            <w:instrText xml:space="preserve"> REF SoP_Na</w:instrText>
          </w:r>
          <w:r w:rsidR="00154DCA">
            <w:rPr>
              <w:i/>
              <w:sz w:val="18"/>
              <w:szCs w:val="18"/>
            </w:rPr>
            <w:instrText>me \* Charformat \* MERGEFORMAT</w:instrText>
          </w:r>
          <w:r w:rsidR="00154DCA" w:rsidRPr="003A2FFE">
            <w:rPr>
              <w:i/>
              <w:sz w:val="18"/>
              <w:szCs w:val="18"/>
            </w:rPr>
            <w:fldChar w:fldCharType="separate"/>
          </w:r>
          <w:r w:rsidR="003A06A8" w:rsidRPr="003A06A8">
            <w:rPr>
              <w:i/>
              <w:sz w:val="18"/>
              <w:szCs w:val="18"/>
            </w:rPr>
            <w:t>mesothelioma</w:t>
          </w:r>
          <w:r w:rsidR="00154DCA" w:rsidRPr="003A2FFE">
            <w:rPr>
              <w:i/>
              <w:sz w:val="18"/>
              <w:szCs w:val="18"/>
            </w:rPr>
            <w:fldChar w:fldCharType="end"/>
          </w:r>
          <w:r w:rsidR="00154DCA">
            <w:rPr>
              <w:i/>
              <w:sz w:val="18"/>
              <w:szCs w:val="18"/>
            </w:rPr>
            <w:t xml:space="preserve"> </w:t>
          </w:r>
          <w:r>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3A06A8" w:rsidRPr="003A06A8">
            <w:rPr>
              <w:i/>
              <w:sz w:val="18"/>
              <w:szCs w:val="18"/>
            </w:rPr>
            <w:t>105</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3A06A8" w:rsidRPr="003A06A8">
            <w:rPr>
              <w:i/>
              <w:sz w:val="18"/>
              <w:szCs w:val="18"/>
            </w:rPr>
            <w:t>2015</w:t>
          </w:r>
          <w:r w:rsidR="003B403B" w:rsidRPr="007C5CE0">
            <w:rPr>
              <w:i/>
              <w:sz w:val="18"/>
              <w:szCs w:val="18"/>
            </w:rPr>
            <w:fldChar w:fldCharType="end"/>
          </w:r>
          <w:r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21FE1">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1986</w:t>
          </w:r>
        </w:p>
      </w:tc>
    </w:tr>
  </w:tbl>
  <w:p w:rsidR="00885EAB" w:rsidRDefault="00885EAB" w:rsidP="00CF2367">
    <w:pPr>
      <w:rPr>
        <w:i/>
        <w:sz w:val="18"/>
      </w:rPr>
    </w:pPr>
  </w:p>
  <w:p w:rsidR="00154DCA" w:rsidRDefault="00154DCA" w:rsidP="00CF2367">
    <w:pPr>
      <w:rPr>
        <w:i/>
        <w:sz w:val="18"/>
      </w:rPr>
    </w:pPr>
  </w:p>
  <w:p w:rsidR="0079657C" w:rsidRPr="0079657C" w:rsidRDefault="0079657C" w:rsidP="0079657C">
    <w:pPr>
      <w:pStyle w:val="Footer"/>
      <w:rPr>
        <w:sz w:val="16"/>
      </w:rPr>
    </w:pPr>
    <w:r>
      <w:rPr>
        <w:sz w:val="16"/>
      </w:rPr>
      <w:fldChar w:fldCharType="begin"/>
    </w:r>
    <w:r>
      <w:rPr>
        <w:sz w:val="16"/>
      </w:rPr>
      <w:instrText xml:space="preserve"> DOCPROPERTY  WSFooter  \* MERGEFORMAT </w:instrText>
    </w:r>
    <w:r>
      <w:rPr>
        <w:sz w:val="16"/>
      </w:rPr>
      <w:fldChar w:fldCharType="separate"/>
    </w:r>
    <w:r w:rsidR="003A06A8">
      <w:rPr>
        <w:sz w:val="16"/>
      </w:rPr>
      <w:t>16515147</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A06A8">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000A02F2" wp14:editId="1B1FA52E">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A06A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A02F2"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A06A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A06A8">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C11EF">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A06A8">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587780">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587780">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3A06A8">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3A06A8">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5600B4B6" wp14:editId="74217C63">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A06A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0B4B6"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A06A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3A06A8">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A06A8">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A06A8">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A06A8">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A06A8">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A06A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A06A8">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53D1"/>
    <w:rsid w:val="00046E67"/>
    <w:rsid w:val="00047651"/>
    <w:rsid w:val="00051B75"/>
    <w:rsid w:val="0005365D"/>
    <w:rsid w:val="00054930"/>
    <w:rsid w:val="000614BF"/>
    <w:rsid w:val="00061E3E"/>
    <w:rsid w:val="00081B7C"/>
    <w:rsid w:val="00085567"/>
    <w:rsid w:val="0008674F"/>
    <w:rsid w:val="0009687C"/>
    <w:rsid w:val="00097FDF"/>
    <w:rsid w:val="000A370B"/>
    <w:rsid w:val="000B1350"/>
    <w:rsid w:val="000B58FA"/>
    <w:rsid w:val="000C21A3"/>
    <w:rsid w:val="000C664A"/>
    <w:rsid w:val="000C6D96"/>
    <w:rsid w:val="000C7153"/>
    <w:rsid w:val="000D05EF"/>
    <w:rsid w:val="000D4D03"/>
    <w:rsid w:val="000E1F13"/>
    <w:rsid w:val="000E2261"/>
    <w:rsid w:val="000E4183"/>
    <w:rsid w:val="000F21C1"/>
    <w:rsid w:val="000F76FA"/>
    <w:rsid w:val="00101F89"/>
    <w:rsid w:val="001058EA"/>
    <w:rsid w:val="0010745C"/>
    <w:rsid w:val="00132CEB"/>
    <w:rsid w:val="00142B62"/>
    <w:rsid w:val="0015201F"/>
    <w:rsid w:val="00154DCA"/>
    <w:rsid w:val="00157B8B"/>
    <w:rsid w:val="00161A8E"/>
    <w:rsid w:val="001648F7"/>
    <w:rsid w:val="00166C2F"/>
    <w:rsid w:val="001809D7"/>
    <w:rsid w:val="001833C8"/>
    <w:rsid w:val="00187DE1"/>
    <w:rsid w:val="0019084F"/>
    <w:rsid w:val="001939E1"/>
    <w:rsid w:val="00194C3E"/>
    <w:rsid w:val="00195382"/>
    <w:rsid w:val="001A1301"/>
    <w:rsid w:val="001B0F26"/>
    <w:rsid w:val="001C2AD2"/>
    <w:rsid w:val="001C61C5"/>
    <w:rsid w:val="001C69C4"/>
    <w:rsid w:val="001C77EE"/>
    <w:rsid w:val="001D37EF"/>
    <w:rsid w:val="001D3C1C"/>
    <w:rsid w:val="001D407A"/>
    <w:rsid w:val="001D67F6"/>
    <w:rsid w:val="001E3590"/>
    <w:rsid w:val="001E7407"/>
    <w:rsid w:val="001F4BD4"/>
    <w:rsid w:val="001F5D5E"/>
    <w:rsid w:val="001F6219"/>
    <w:rsid w:val="001F6CD4"/>
    <w:rsid w:val="00206C4D"/>
    <w:rsid w:val="002077D6"/>
    <w:rsid w:val="0021053C"/>
    <w:rsid w:val="00213090"/>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3F4B"/>
    <w:rsid w:val="002F5948"/>
    <w:rsid w:val="00301C54"/>
    <w:rsid w:val="00304F8B"/>
    <w:rsid w:val="0033221D"/>
    <w:rsid w:val="003354D2"/>
    <w:rsid w:val="00335BC6"/>
    <w:rsid w:val="003415D3"/>
    <w:rsid w:val="00344701"/>
    <w:rsid w:val="00352B0F"/>
    <w:rsid w:val="00356690"/>
    <w:rsid w:val="00360459"/>
    <w:rsid w:val="00360A61"/>
    <w:rsid w:val="00365E25"/>
    <w:rsid w:val="003734C6"/>
    <w:rsid w:val="00377378"/>
    <w:rsid w:val="003802D6"/>
    <w:rsid w:val="00385187"/>
    <w:rsid w:val="003A06A8"/>
    <w:rsid w:val="003A189F"/>
    <w:rsid w:val="003A2FFE"/>
    <w:rsid w:val="003A5C26"/>
    <w:rsid w:val="003B3E42"/>
    <w:rsid w:val="003B403B"/>
    <w:rsid w:val="003C445A"/>
    <w:rsid w:val="003C4C02"/>
    <w:rsid w:val="003C6231"/>
    <w:rsid w:val="003D0BFE"/>
    <w:rsid w:val="003D5700"/>
    <w:rsid w:val="003D65BF"/>
    <w:rsid w:val="003E341B"/>
    <w:rsid w:val="003F39C0"/>
    <w:rsid w:val="003F4535"/>
    <w:rsid w:val="004116CD"/>
    <w:rsid w:val="0041386E"/>
    <w:rsid w:val="004144EC"/>
    <w:rsid w:val="00417EB9"/>
    <w:rsid w:val="00420A33"/>
    <w:rsid w:val="0042300E"/>
    <w:rsid w:val="00424CA9"/>
    <w:rsid w:val="00430AB8"/>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412"/>
    <w:rsid w:val="004D10CF"/>
    <w:rsid w:val="004D4BCA"/>
    <w:rsid w:val="004E063A"/>
    <w:rsid w:val="004E6D72"/>
    <w:rsid w:val="004E7BEC"/>
    <w:rsid w:val="004F23E0"/>
    <w:rsid w:val="00505D3D"/>
    <w:rsid w:val="00506AF6"/>
    <w:rsid w:val="00513D05"/>
    <w:rsid w:val="00516768"/>
    <w:rsid w:val="00516B8D"/>
    <w:rsid w:val="005268CF"/>
    <w:rsid w:val="00532C9B"/>
    <w:rsid w:val="0053697E"/>
    <w:rsid w:val="00537FBC"/>
    <w:rsid w:val="00545116"/>
    <w:rsid w:val="005574D1"/>
    <w:rsid w:val="00575A90"/>
    <w:rsid w:val="00584811"/>
    <w:rsid w:val="0058491F"/>
    <w:rsid w:val="00585784"/>
    <w:rsid w:val="00587780"/>
    <w:rsid w:val="00592507"/>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518F1"/>
    <w:rsid w:val="0066266D"/>
    <w:rsid w:val="006647B7"/>
    <w:rsid w:val="00667A4E"/>
    <w:rsid w:val="00670EA1"/>
    <w:rsid w:val="00677CC2"/>
    <w:rsid w:val="006840B0"/>
    <w:rsid w:val="00684C0E"/>
    <w:rsid w:val="006905DE"/>
    <w:rsid w:val="0069207B"/>
    <w:rsid w:val="00693DE5"/>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253"/>
    <w:rsid w:val="007C5CE0"/>
    <w:rsid w:val="007C7DEE"/>
    <w:rsid w:val="007D3BA2"/>
    <w:rsid w:val="007E163D"/>
    <w:rsid w:val="007E3C68"/>
    <w:rsid w:val="007E667A"/>
    <w:rsid w:val="007E7626"/>
    <w:rsid w:val="007F2378"/>
    <w:rsid w:val="007F28C9"/>
    <w:rsid w:val="00803587"/>
    <w:rsid w:val="00806368"/>
    <w:rsid w:val="008117E9"/>
    <w:rsid w:val="00824498"/>
    <w:rsid w:val="00831C11"/>
    <w:rsid w:val="008321ED"/>
    <w:rsid w:val="00832C32"/>
    <w:rsid w:val="008448C5"/>
    <w:rsid w:val="00850A63"/>
    <w:rsid w:val="00856A31"/>
    <w:rsid w:val="0085763A"/>
    <w:rsid w:val="0086644D"/>
    <w:rsid w:val="00867ABD"/>
    <w:rsid w:val="00867B37"/>
    <w:rsid w:val="00873081"/>
    <w:rsid w:val="008754D0"/>
    <w:rsid w:val="00877AE3"/>
    <w:rsid w:val="008855C9"/>
    <w:rsid w:val="00885EAB"/>
    <w:rsid w:val="00886456"/>
    <w:rsid w:val="008A46E1"/>
    <w:rsid w:val="008A4F43"/>
    <w:rsid w:val="008B2204"/>
    <w:rsid w:val="008B2706"/>
    <w:rsid w:val="008C11EF"/>
    <w:rsid w:val="008D0EE0"/>
    <w:rsid w:val="008D16D3"/>
    <w:rsid w:val="008D1B8B"/>
    <w:rsid w:val="008E4A16"/>
    <w:rsid w:val="008E6067"/>
    <w:rsid w:val="008E76DC"/>
    <w:rsid w:val="008F48EC"/>
    <w:rsid w:val="008F54E7"/>
    <w:rsid w:val="008F572A"/>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68E9"/>
    <w:rsid w:val="009A5C47"/>
    <w:rsid w:val="009B5A4E"/>
    <w:rsid w:val="009C2B65"/>
    <w:rsid w:val="009C404D"/>
    <w:rsid w:val="009E5CFC"/>
    <w:rsid w:val="00A079CB"/>
    <w:rsid w:val="00A11C0D"/>
    <w:rsid w:val="00A12128"/>
    <w:rsid w:val="00A137F8"/>
    <w:rsid w:val="00A20CA1"/>
    <w:rsid w:val="00A22C98"/>
    <w:rsid w:val="00A231E2"/>
    <w:rsid w:val="00A43D51"/>
    <w:rsid w:val="00A515BC"/>
    <w:rsid w:val="00A56C3D"/>
    <w:rsid w:val="00A6070D"/>
    <w:rsid w:val="00A64912"/>
    <w:rsid w:val="00A70A74"/>
    <w:rsid w:val="00A73056"/>
    <w:rsid w:val="00AA64D6"/>
    <w:rsid w:val="00AA6D8B"/>
    <w:rsid w:val="00AD2DC7"/>
    <w:rsid w:val="00AD5641"/>
    <w:rsid w:val="00AD7889"/>
    <w:rsid w:val="00AD7AC2"/>
    <w:rsid w:val="00AD7DCC"/>
    <w:rsid w:val="00AE3512"/>
    <w:rsid w:val="00AF021B"/>
    <w:rsid w:val="00AF06CF"/>
    <w:rsid w:val="00B05CF4"/>
    <w:rsid w:val="00B07CDB"/>
    <w:rsid w:val="00B166C8"/>
    <w:rsid w:val="00B16A31"/>
    <w:rsid w:val="00B177FE"/>
    <w:rsid w:val="00B17DFD"/>
    <w:rsid w:val="00B24368"/>
    <w:rsid w:val="00B274DD"/>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424"/>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81B87"/>
    <w:rsid w:val="00C92B8D"/>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CF5F63"/>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6383"/>
    <w:rsid w:val="00D97BB3"/>
    <w:rsid w:val="00DA186E"/>
    <w:rsid w:val="00DA4116"/>
    <w:rsid w:val="00DA7AC0"/>
    <w:rsid w:val="00DB1DF3"/>
    <w:rsid w:val="00DB251C"/>
    <w:rsid w:val="00DB4630"/>
    <w:rsid w:val="00DC270B"/>
    <w:rsid w:val="00DC4F88"/>
    <w:rsid w:val="00DD2B43"/>
    <w:rsid w:val="00DD31AB"/>
    <w:rsid w:val="00DE59B7"/>
    <w:rsid w:val="00DF24DC"/>
    <w:rsid w:val="00DF5291"/>
    <w:rsid w:val="00DF6D11"/>
    <w:rsid w:val="00E01818"/>
    <w:rsid w:val="00E056D4"/>
    <w:rsid w:val="00E05704"/>
    <w:rsid w:val="00E11E44"/>
    <w:rsid w:val="00E21FE1"/>
    <w:rsid w:val="00E3270E"/>
    <w:rsid w:val="00E338EF"/>
    <w:rsid w:val="00E35C4E"/>
    <w:rsid w:val="00E544BB"/>
    <w:rsid w:val="00E55F66"/>
    <w:rsid w:val="00E6086F"/>
    <w:rsid w:val="00E64EE4"/>
    <w:rsid w:val="00E662CB"/>
    <w:rsid w:val="00E74DC7"/>
    <w:rsid w:val="00E8075A"/>
    <w:rsid w:val="00E92D94"/>
    <w:rsid w:val="00E9347E"/>
    <w:rsid w:val="00E93E6F"/>
    <w:rsid w:val="00E94D5E"/>
    <w:rsid w:val="00EA7100"/>
    <w:rsid w:val="00EA7F9F"/>
    <w:rsid w:val="00EB1274"/>
    <w:rsid w:val="00EB2BC4"/>
    <w:rsid w:val="00ED2BB6"/>
    <w:rsid w:val="00ED34E1"/>
    <w:rsid w:val="00ED3B8D"/>
    <w:rsid w:val="00ED4913"/>
    <w:rsid w:val="00ED501C"/>
    <w:rsid w:val="00EF2E3A"/>
    <w:rsid w:val="00F02383"/>
    <w:rsid w:val="00F03C06"/>
    <w:rsid w:val="00F072A7"/>
    <w:rsid w:val="00F078DC"/>
    <w:rsid w:val="00F14B48"/>
    <w:rsid w:val="00F32BA8"/>
    <w:rsid w:val="00F349F1"/>
    <w:rsid w:val="00F370FF"/>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020"/>
    <w:rsid w:val="00FA02D4"/>
    <w:rsid w:val="00FA0587"/>
    <w:rsid w:val="00FA1E52"/>
    <w:rsid w:val="00FA33FB"/>
    <w:rsid w:val="00FB3EF0"/>
    <w:rsid w:val="00FB533A"/>
    <w:rsid w:val="00FD0628"/>
    <w:rsid w:val="00FD07DF"/>
    <w:rsid w:val="00FD2F44"/>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68362401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7687</Characters>
  <Application>Microsoft Office Word</Application>
  <DocSecurity>0</DocSecurity>
  <PresentationFormat/>
  <Lines>64</Lines>
  <Paragraphs>18</Paragraphs>
  <ScaleCrop>false</ScaleCrop>
  <LinksUpToDate>false</LinksUpToDate>
  <CharactersWithSpaces>9017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2015-08-18T05:09:00Z</dcterms:created>
  <dcterms:modified xsi:type="dcterms:W3CDTF">2015-08-18T05:10:00Z</dcterms:modified>
  <dc:language/>
  <cp:version/>
</cp:coreProperties>
</file>