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84969" w:rsidRPr="007A436F" w:rsidRDefault="00A84969" w:rsidP="00B73576">
      <w:r w:rsidRPr="007A436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84924865" r:id="rId9"/>
        </w:object>
      </w:r>
    </w:p>
    <w:p w:rsidR="00A84969" w:rsidRDefault="00A84969" w:rsidP="00B73576">
      <w:pPr>
        <w:pStyle w:val="ShortT"/>
        <w:spacing w:before="240"/>
      </w:pPr>
      <w:bookmarkStart w:id="1" w:name="_Hlk74131127"/>
      <w:r w:rsidRPr="007A436F">
        <w:t>National Health (Growth Hormone Program) Special Arrangement 2015</w:t>
      </w:r>
    </w:p>
    <w:bookmarkEnd w:id="1"/>
    <w:p w:rsidR="006B153A" w:rsidRPr="006B153A" w:rsidRDefault="006B153A" w:rsidP="006B153A">
      <w:pPr>
        <w:pStyle w:val="CompiledActNo"/>
        <w:spacing w:before="240"/>
      </w:pPr>
      <w:r w:rsidRPr="007A436F">
        <w:t>PB 85 of 2015</w:t>
      </w:r>
    </w:p>
    <w:p w:rsidR="00793E4B" w:rsidRDefault="00793E4B" w:rsidP="00793E4B">
      <w:pPr>
        <w:pStyle w:val="MadeunderText"/>
      </w:pPr>
      <w:r>
        <w:t>made under subsections 100(1) and (2) of the</w:t>
      </w:r>
    </w:p>
    <w:p w:rsidR="00793E4B" w:rsidRPr="00CC713B" w:rsidRDefault="00793E4B" w:rsidP="00793E4B">
      <w:pPr>
        <w:pStyle w:val="CompiledMadeUnder"/>
        <w:spacing w:before="240"/>
      </w:pPr>
      <w:r>
        <w:t>National Health Act 1953</w:t>
      </w:r>
    </w:p>
    <w:p w:rsidR="00A84969" w:rsidRPr="007A436F" w:rsidRDefault="00A84969" w:rsidP="00B73576">
      <w:pPr>
        <w:spacing w:before="1000"/>
        <w:rPr>
          <w:rFonts w:cs="Arial"/>
          <w:b/>
          <w:sz w:val="32"/>
          <w:szCs w:val="32"/>
        </w:rPr>
      </w:pPr>
      <w:r w:rsidRPr="007A436F">
        <w:rPr>
          <w:rFonts w:cs="Arial"/>
          <w:b/>
          <w:sz w:val="32"/>
          <w:szCs w:val="32"/>
        </w:rPr>
        <w:t>Compilation No.</w:t>
      </w:r>
      <w:r w:rsidR="007A436F">
        <w:rPr>
          <w:rFonts w:cs="Arial"/>
          <w:b/>
          <w:sz w:val="32"/>
          <w:szCs w:val="32"/>
        </w:rPr>
        <w:t> </w:t>
      </w:r>
      <w:r w:rsidRPr="007A436F">
        <w:rPr>
          <w:rFonts w:cs="Arial"/>
          <w:b/>
          <w:sz w:val="32"/>
          <w:szCs w:val="32"/>
        </w:rPr>
        <w:fldChar w:fldCharType="begin"/>
      </w:r>
      <w:r w:rsidRPr="007A436F">
        <w:rPr>
          <w:rFonts w:cs="Arial"/>
          <w:b/>
          <w:sz w:val="32"/>
          <w:szCs w:val="32"/>
        </w:rPr>
        <w:instrText xml:space="preserve"> DOCPROPERTY  CompilationNumber </w:instrText>
      </w:r>
      <w:r w:rsidRPr="007A436F">
        <w:rPr>
          <w:rFonts w:cs="Arial"/>
          <w:b/>
          <w:sz w:val="32"/>
          <w:szCs w:val="32"/>
        </w:rPr>
        <w:fldChar w:fldCharType="separate"/>
      </w:r>
      <w:r w:rsidR="0066623A">
        <w:rPr>
          <w:rFonts w:cs="Arial"/>
          <w:b/>
          <w:sz w:val="32"/>
          <w:szCs w:val="32"/>
        </w:rPr>
        <w:t>15</w:t>
      </w:r>
      <w:r w:rsidRPr="007A436F">
        <w:rPr>
          <w:rFonts w:cs="Arial"/>
          <w:b/>
          <w:sz w:val="32"/>
          <w:szCs w:val="32"/>
        </w:rPr>
        <w:fldChar w:fldCharType="end"/>
      </w:r>
    </w:p>
    <w:p w:rsidR="00A84969" w:rsidRPr="007A436F" w:rsidRDefault="00D42CBD" w:rsidP="006B153A">
      <w:pPr>
        <w:tabs>
          <w:tab w:val="left" w:pos="3600"/>
        </w:tabs>
        <w:spacing w:before="480"/>
        <w:rPr>
          <w:rFonts w:cs="Arial"/>
          <w:sz w:val="24"/>
        </w:rPr>
      </w:pPr>
      <w:r w:rsidRPr="007A436F">
        <w:rPr>
          <w:rFonts w:cs="Arial"/>
          <w:b/>
          <w:sz w:val="24"/>
        </w:rPr>
        <w:t>Compilation date:</w:t>
      </w:r>
      <w:r w:rsidR="006B153A">
        <w:rPr>
          <w:rFonts w:cs="Arial"/>
          <w:b/>
          <w:sz w:val="24"/>
        </w:rPr>
        <w:tab/>
      </w:r>
      <w:r w:rsidR="00DD31CD" w:rsidRPr="0066623A">
        <w:rPr>
          <w:rFonts w:cs="Arial"/>
          <w:sz w:val="24"/>
        </w:rPr>
        <w:fldChar w:fldCharType="begin"/>
      </w:r>
      <w:r w:rsidR="00DD31CD" w:rsidRPr="0066623A">
        <w:rPr>
          <w:rFonts w:cs="Arial"/>
          <w:sz w:val="24"/>
        </w:rPr>
        <w:instrText>DOCPROPERTY StartDate \@ "d MMMM yyyy" \* MERGEFORMAT</w:instrText>
      </w:r>
      <w:r w:rsidR="00DD31CD" w:rsidRPr="0066623A">
        <w:rPr>
          <w:rFonts w:cs="Arial"/>
          <w:sz w:val="24"/>
        </w:rPr>
        <w:fldChar w:fldCharType="separate"/>
      </w:r>
      <w:r w:rsidR="0066623A" w:rsidRPr="0066623A">
        <w:rPr>
          <w:rFonts w:cs="Arial"/>
          <w:bCs/>
          <w:sz w:val="24"/>
        </w:rPr>
        <w:t>1 June</w:t>
      </w:r>
      <w:r w:rsidR="0066623A" w:rsidRPr="0066623A">
        <w:rPr>
          <w:rFonts w:cs="Arial"/>
          <w:sz w:val="24"/>
        </w:rPr>
        <w:t xml:space="preserve"> 2021</w:t>
      </w:r>
      <w:r w:rsidR="00DD31CD" w:rsidRPr="0066623A">
        <w:rPr>
          <w:rFonts w:cs="Arial"/>
          <w:sz w:val="24"/>
        </w:rPr>
        <w:fldChar w:fldCharType="end"/>
      </w:r>
    </w:p>
    <w:p w:rsidR="00A84969" w:rsidRPr="007A436F" w:rsidRDefault="00A84969" w:rsidP="00B73576">
      <w:pPr>
        <w:spacing w:before="240"/>
        <w:rPr>
          <w:rFonts w:cs="Arial"/>
          <w:sz w:val="24"/>
        </w:rPr>
      </w:pPr>
      <w:r w:rsidRPr="007A436F">
        <w:rPr>
          <w:rFonts w:cs="Arial"/>
          <w:b/>
          <w:sz w:val="24"/>
        </w:rPr>
        <w:t>Includes amendments up to:</w:t>
      </w:r>
      <w:r w:rsidRPr="007A436F">
        <w:rPr>
          <w:rFonts w:cs="Arial"/>
          <w:b/>
          <w:sz w:val="24"/>
        </w:rPr>
        <w:tab/>
      </w:r>
      <w:r w:rsidRPr="0066623A">
        <w:rPr>
          <w:rFonts w:cs="Arial"/>
          <w:sz w:val="24"/>
        </w:rPr>
        <w:fldChar w:fldCharType="begin"/>
      </w:r>
      <w:r w:rsidRPr="0066623A">
        <w:rPr>
          <w:rFonts w:cs="Arial"/>
          <w:sz w:val="24"/>
        </w:rPr>
        <w:instrText xml:space="preserve"> DOCPROPERTY IncludesUpTo </w:instrText>
      </w:r>
      <w:r w:rsidRPr="0066623A">
        <w:rPr>
          <w:rFonts w:cs="Arial"/>
          <w:sz w:val="24"/>
        </w:rPr>
        <w:fldChar w:fldCharType="separate"/>
      </w:r>
      <w:r w:rsidR="0066623A" w:rsidRPr="0066623A">
        <w:rPr>
          <w:rFonts w:cs="Arial"/>
          <w:sz w:val="24"/>
        </w:rPr>
        <w:t>F2021L00664</w:t>
      </w:r>
      <w:r w:rsidRPr="0066623A">
        <w:rPr>
          <w:rFonts w:cs="Arial"/>
          <w:sz w:val="24"/>
        </w:rPr>
        <w:fldChar w:fldCharType="end"/>
      </w:r>
    </w:p>
    <w:p w:rsidR="00A84969" w:rsidRPr="007A436F" w:rsidRDefault="00A84969" w:rsidP="006B153A">
      <w:pPr>
        <w:tabs>
          <w:tab w:val="left" w:pos="3600"/>
        </w:tabs>
        <w:spacing w:before="240" w:after="240"/>
        <w:rPr>
          <w:rFonts w:cs="Arial"/>
          <w:sz w:val="28"/>
          <w:szCs w:val="28"/>
        </w:rPr>
      </w:pPr>
      <w:r w:rsidRPr="007A436F">
        <w:rPr>
          <w:rFonts w:cs="Arial"/>
          <w:b/>
          <w:sz w:val="24"/>
        </w:rPr>
        <w:t>Registered:</w:t>
      </w:r>
      <w:r w:rsidR="006B153A">
        <w:rPr>
          <w:rFonts w:cs="Arial"/>
          <w:b/>
          <w:sz w:val="24"/>
        </w:rPr>
        <w:tab/>
      </w:r>
      <w:r w:rsidR="00DD31CD" w:rsidRPr="0066623A">
        <w:rPr>
          <w:rFonts w:cs="Arial"/>
          <w:sz w:val="24"/>
        </w:rPr>
        <w:fldChar w:fldCharType="begin"/>
      </w:r>
      <w:r w:rsidR="00DD31CD" w:rsidRPr="0066623A">
        <w:rPr>
          <w:rFonts w:cs="Arial"/>
          <w:sz w:val="24"/>
        </w:rPr>
        <w:instrText xml:space="preserve"> IF </w:instrText>
      </w:r>
      <w:r w:rsidR="00DD31CD" w:rsidRPr="0066623A">
        <w:rPr>
          <w:rFonts w:cs="Arial"/>
          <w:sz w:val="24"/>
        </w:rPr>
        <w:fldChar w:fldCharType="begin"/>
      </w:r>
      <w:r w:rsidR="00DD31CD" w:rsidRPr="0066623A">
        <w:rPr>
          <w:rFonts w:cs="Arial"/>
          <w:sz w:val="24"/>
        </w:rPr>
        <w:instrText xml:space="preserve"> DOCPROPERTY RegisteredDate </w:instrText>
      </w:r>
      <w:r w:rsidR="00DD31CD" w:rsidRPr="0066623A">
        <w:rPr>
          <w:rFonts w:cs="Arial"/>
          <w:sz w:val="24"/>
        </w:rPr>
        <w:fldChar w:fldCharType="separate"/>
      </w:r>
      <w:r w:rsidR="0066623A" w:rsidRPr="0066623A">
        <w:rPr>
          <w:rFonts w:cs="Arial"/>
          <w:sz w:val="24"/>
        </w:rPr>
        <w:instrText>11/06/2021</w:instrText>
      </w:r>
      <w:r w:rsidR="00DD31CD" w:rsidRPr="0066623A">
        <w:rPr>
          <w:rFonts w:cs="Arial"/>
          <w:sz w:val="24"/>
        </w:rPr>
        <w:fldChar w:fldCharType="end"/>
      </w:r>
      <w:r w:rsidR="00DD31CD" w:rsidRPr="0066623A">
        <w:rPr>
          <w:rFonts w:cs="Arial"/>
          <w:sz w:val="24"/>
        </w:rPr>
        <w:instrText xml:space="preserve"> = #1/1/1901# "Unknown" </w:instrText>
      </w:r>
      <w:r w:rsidR="00DD31CD" w:rsidRPr="0066623A">
        <w:rPr>
          <w:rFonts w:cs="Arial"/>
          <w:sz w:val="24"/>
        </w:rPr>
        <w:fldChar w:fldCharType="begin"/>
      </w:r>
      <w:r w:rsidR="00DD31CD" w:rsidRPr="0066623A">
        <w:rPr>
          <w:rFonts w:cs="Arial"/>
          <w:sz w:val="24"/>
        </w:rPr>
        <w:instrText xml:space="preserve"> DOCPROPERTY RegisteredDate \@ "d MMMM yyyy" </w:instrText>
      </w:r>
      <w:r w:rsidR="00DD31CD" w:rsidRPr="0066623A">
        <w:rPr>
          <w:rFonts w:cs="Arial"/>
          <w:sz w:val="24"/>
        </w:rPr>
        <w:fldChar w:fldCharType="separate"/>
      </w:r>
      <w:r w:rsidR="0066623A" w:rsidRPr="0066623A">
        <w:rPr>
          <w:rFonts w:cs="Arial"/>
          <w:sz w:val="24"/>
        </w:rPr>
        <w:instrText>11 June 2021</w:instrText>
      </w:r>
      <w:r w:rsidR="00DD31CD" w:rsidRPr="0066623A">
        <w:rPr>
          <w:rFonts w:cs="Arial"/>
          <w:sz w:val="24"/>
        </w:rPr>
        <w:fldChar w:fldCharType="end"/>
      </w:r>
      <w:r w:rsidR="00DD31CD" w:rsidRPr="0066623A">
        <w:rPr>
          <w:rFonts w:cs="Arial"/>
          <w:sz w:val="24"/>
        </w:rPr>
        <w:instrText xml:space="preserve"> \*MERGEFORMAT </w:instrText>
      </w:r>
      <w:r w:rsidR="00DD31CD" w:rsidRPr="0066623A">
        <w:rPr>
          <w:rFonts w:cs="Arial"/>
          <w:sz w:val="24"/>
        </w:rPr>
        <w:fldChar w:fldCharType="separate"/>
      </w:r>
      <w:r w:rsidR="0066623A" w:rsidRPr="0066623A">
        <w:rPr>
          <w:rFonts w:cs="Arial"/>
          <w:noProof/>
          <w:sz w:val="24"/>
        </w:rPr>
        <w:t>11 June 2021</w:t>
      </w:r>
      <w:r w:rsidR="00DD31CD" w:rsidRPr="0066623A">
        <w:rPr>
          <w:rFonts w:cs="Arial"/>
          <w:sz w:val="24"/>
        </w:rPr>
        <w:fldChar w:fldCharType="end"/>
      </w:r>
    </w:p>
    <w:p w:rsidR="00A84969" w:rsidRPr="007A436F" w:rsidRDefault="00A84969" w:rsidP="00B73576">
      <w:pPr>
        <w:pageBreakBefore/>
        <w:rPr>
          <w:rFonts w:cs="Arial"/>
          <w:b/>
          <w:sz w:val="32"/>
          <w:szCs w:val="32"/>
        </w:rPr>
      </w:pPr>
      <w:r w:rsidRPr="007A436F">
        <w:rPr>
          <w:rFonts w:cs="Arial"/>
          <w:b/>
          <w:sz w:val="32"/>
          <w:szCs w:val="32"/>
        </w:rPr>
        <w:lastRenderedPageBreak/>
        <w:t>About this compilation</w:t>
      </w:r>
    </w:p>
    <w:p w:rsidR="00A84969" w:rsidRPr="007A436F" w:rsidRDefault="00A84969" w:rsidP="00B73576">
      <w:pPr>
        <w:spacing w:before="240"/>
        <w:rPr>
          <w:rFonts w:cs="Arial"/>
        </w:rPr>
      </w:pPr>
      <w:r w:rsidRPr="007A436F">
        <w:rPr>
          <w:rFonts w:cs="Arial"/>
          <w:b/>
          <w:szCs w:val="22"/>
        </w:rPr>
        <w:t>This compilation</w:t>
      </w:r>
    </w:p>
    <w:p w:rsidR="00A84969" w:rsidRPr="007A436F" w:rsidRDefault="00A84969" w:rsidP="00B73576">
      <w:pPr>
        <w:spacing w:before="120" w:after="120"/>
        <w:rPr>
          <w:rFonts w:cs="Arial"/>
          <w:szCs w:val="22"/>
        </w:rPr>
      </w:pPr>
      <w:r w:rsidRPr="007A436F">
        <w:rPr>
          <w:rFonts w:cs="Arial"/>
          <w:szCs w:val="22"/>
        </w:rPr>
        <w:t xml:space="preserve">This is a compilation of the </w:t>
      </w:r>
      <w:r w:rsidRPr="007A436F">
        <w:rPr>
          <w:rFonts w:cs="Arial"/>
          <w:i/>
          <w:szCs w:val="22"/>
        </w:rPr>
        <w:fldChar w:fldCharType="begin"/>
      </w:r>
      <w:r w:rsidRPr="007A436F">
        <w:rPr>
          <w:rFonts w:cs="Arial"/>
          <w:i/>
          <w:szCs w:val="22"/>
        </w:rPr>
        <w:instrText xml:space="preserve"> STYLEREF  ShortT </w:instrText>
      </w:r>
      <w:r w:rsidRPr="007A436F">
        <w:rPr>
          <w:rFonts w:cs="Arial"/>
          <w:i/>
          <w:szCs w:val="22"/>
        </w:rPr>
        <w:fldChar w:fldCharType="separate"/>
      </w:r>
      <w:r w:rsidR="0066623A">
        <w:rPr>
          <w:rFonts w:cs="Arial"/>
          <w:i/>
          <w:noProof/>
          <w:szCs w:val="22"/>
        </w:rPr>
        <w:t>National Health (Growth Hormone Program) Special Arrangement 2015</w:t>
      </w:r>
      <w:r w:rsidRPr="007A436F">
        <w:rPr>
          <w:rFonts w:cs="Arial"/>
          <w:i/>
          <w:szCs w:val="22"/>
        </w:rPr>
        <w:fldChar w:fldCharType="end"/>
      </w:r>
      <w:r w:rsidRPr="007A436F">
        <w:rPr>
          <w:rFonts w:cs="Arial"/>
          <w:szCs w:val="22"/>
        </w:rPr>
        <w:t xml:space="preserve"> that shows the text of the law as amended and in force on </w:t>
      </w:r>
      <w:r w:rsidRPr="0066623A">
        <w:rPr>
          <w:rFonts w:cs="Arial"/>
          <w:szCs w:val="22"/>
        </w:rPr>
        <w:fldChar w:fldCharType="begin"/>
      </w:r>
      <w:r w:rsidR="00CE7D35" w:rsidRPr="0066623A">
        <w:rPr>
          <w:rFonts w:cs="Arial"/>
          <w:szCs w:val="22"/>
        </w:rPr>
        <w:instrText>DOCPROPERTY StartDate \@ "d MMMM yyyy" \* MERGEFORMAT</w:instrText>
      </w:r>
      <w:r w:rsidRPr="0066623A">
        <w:rPr>
          <w:rFonts w:cs="Arial"/>
          <w:szCs w:val="22"/>
        </w:rPr>
        <w:fldChar w:fldCharType="separate"/>
      </w:r>
      <w:r w:rsidR="0066623A" w:rsidRPr="0066623A">
        <w:rPr>
          <w:rFonts w:cs="Arial"/>
          <w:szCs w:val="22"/>
        </w:rPr>
        <w:t>1 June 2021</w:t>
      </w:r>
      <w:r w:rsidRPr="0066623A">
        <w:rPr>
          <w:rFonts w:cs="Arial"/>
          <w:szCs w:val="22"/>
        </w:rPr>
        <w:fldChar w:fldCharType="end"/>
      </w:r>
      <w:r w:rsidRPr="007A436F">
        <w:rPr>
          <w:rFonts w:cs="Arial"/>
          <w:szCs w:val="22"/>
        </w:rPr>
        <w:t xml:space="preserve"> (the </w:t>
      </w:r>
      <w:r w:rsidRPr="007A436F">
        <w:rPr>
          <w:rFonts w:cs="Arial"/>
          <w:b/>
          <w:i/>
          <w:szCs w:val="22"/>
        </w:rPr>
        <w:t>compilation date</w:t>
      </w:r>
      <w:r w:rsidRPr="007A436F">
        <w:rPr>
          <w:rFonts w:cs="Arial"/>
          <w:szCs w:val="22"/>
        </w:rPr>
        <w:t>).</w:t>
      </w:r>
    </w:p>
    <w:p w:rsidR="00A84969" w:rsidRPr="007A436F" w:rsidRDefault="00A84969" w:rsidP="00B73576">
      <w:pPr>
        <w:spacing w:after="120"/>
        <w:rPr>
          <w:rFonts w:cs="Arial"/>
          <w:szCs w:val="22"/>
        </w:rPr>
      </w:pPr>
      <w:r w:rsidRPr="007A436F">
        <w:rPr>
          <w:rFonts w:cs="Arial"/>
          <w:szCs w:val="22"/>
        </w:rPr>
        <w:t xml:space="preserve">The notes at the end of this compilation (the </w:t>
      </w:r>
      <w:r w:rsidRPr="007A436F">
        <w:rPr>
          <w:rFonts w:cs="Arial"/>
          <w:b/>
          <w:i/>
          <w:szCs w:val="22"/>
        </w:rPr>
        <w:t>endnotes</w:t>
      </w:r>
      <w:r w:rsidRPr="007A436F">
        <w:rPr>
          <w:rFonts w:cs="Arial"/>
          <w:szCs w:val="22"/>
        </w:rPr>
        <w:t>) include information about amending laws and the amendment history of provisions of the compiled law.</w:t>
      </w:r>
    </w:p>
    <w:p w:rsidR="00A84969" w:rsidRPr="007A436F" w:rsidRDefault="00A84969" w:rsidP="00B73576">
      <w:pPr>
        <w:tabs>
          <w:tab w:val="left" w:pos="5640"/>
        </w:tabs>
        <w:spacing w:before="120" w:after="120"/>
        <w:rPr>
          <w:rFonts w:cs="Arial"/>
          <w:b/>
          <w:szCs w:val="22"/>
        </w:rPr>
      </w:pPr>
      <w:r w:rsidRPr="007A436F">
        <w:rPr>
          <w:rFonts w:cs="Arial"/>
          <w:b/>
          <w:szCs w:val="22"/>
        </w:rPr>
        <w:t>Uncommenced amendments</w:t>
      </w:r>
    </w:p>
    <w:p w:rsidR="00A84969" w:rsidRPr="007A436F" w:rsidRDefault="00A84969" w:rsidP="00B73576">
      <w:pPr>
        <w:spacing w:after="120"/>
        <w:rPr>
          <w:rFonts w:cs="Arial"/>
          <w:szCs w:val="22"/>
        </w:rPr>
      </w:pPr>
      <w:r w:rsidRPr="007A436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84969" w:rsidRPr="007A436F" w:rsidRDefault="00A84969" w:rsidP="00B73576">
      <w:pPr>
        <w:spacing w:before="120" w:after="120"/>
        <w:rPr>
          <w:rFonts w:cs="Arial"/>
          <w:b/>
          <w:szCs w:val="22"/>
        </w:rPr>
      </w:pPr>
      <w:r w:rsidRPr="007A436F">
        <w:rPr>
          <w:rFonts w:cs="Arial"/>
          <w:b/>
          <w:szCs w:val="22"/>
        </w:rPr>
        <w:t>Application, saving and transitional provisions for provisions and amendments</w:t>
      </w:r>
    </w:p>
    <w:p w:rsidR="00A84969" w:rsidRPr="007A436F" w:rsidRDefault="00A84969" w:rsidP="00B73576">
      <w:pPr>
        <w:spacing w:after="120"/>
        <w:rPr>
          <w:rFonts w:cs="Arial"/>
          <w:szCs w:val="22"/>
        </w:rPr>
      </w:pPr>
      <w:r w:rsidRPr="007A436F">
        <w:rPr>
          <w:rFonts w:cs="Arial"/>
          <w:szCs w:val="22"/>
        </w:rPr>
        <w:t>If the operation of a provision or amendment of the compiled law is affected by an application, saving or transitional provision that is not included in this compilation, details are included in the endnotes.</w:t>
      </w:r>
    </w:p>
    <w:p w:rsidR="00A84969" w:rsidRPr="007A436F" w:rsidRDefault="00A84969" w:rsidP="00B73576">
      <w:pPr>
        <w:spacing w:after="120"/>
        <w:rPr>
          <w:rFonts w:cs="Arial"/>
          <w:b/>
          <w:szCs w:val="22"/>
        </w:rPr>
      </w:pPr>
      <w:r w:rsidRPr="007A436F">
        <w:rPr>
          <w:rFonts w:cs="Arial"/>
          <w:b/>
          <w:szCs w:val="22"/>
        </w:rPr>
        <w:t>Editorial changes</w:t>
      </w:r>
    </w:p>
    <w:p w:rsidR="00A84969" w:rsidRPr="007A436F" w:rsidRDefault="00A84969" w:rsidP="00B73576">
      <w:pPr>
        <w:spacing w:after="120"/>
        <w:rPr>
          <w:rFonts w:cs="Arial"/>
          <w:szCs w:val="22"/>
        </w:rPr>
      </w:pPr>
      <w:r w:rsidRPr="007A436F">
        <w:rPr>
          <w:rFonts w:cs="Arial"/>
          <w:szCs w:val="22"/>
        </w:rPr>
        <w:t>For more information about any editorial changes made in this compilation, see the endnotes.</w:t>
      </w:r>
    </w:p>
    <w:p w:rsidR="00A84969" w:rsidRPr="007A436F" w:rsidRDefault="00A84969" w:rsidP="00B73576">
      <w:pPr>
        <w:spacing w:before="120" w:after="120"/>
        <w:rPr>
          <w:rFonts w:cs="Arial"/>
          <w:b/>
          <w:szCs w:val="22"/>
        </w:rPr>
      </w:pPr>
      <w:r w:rsidRPr="007A436F">
        <w:rPr>
          <w:rFonts w:cs="Arial"/>
          <w:b/>
          <w:szCs w:val="22"/>
        </w:rPr>
        <w:t>Modifications</w:t>
      </w:r>
    </w:p>
    <w:p w:rsidR="00A84969" w:rsidRPr="007A436F" w:rsidRDefault="00A84969" w:rsidP="00B73576">
      <w:pPr>
        <w:spacing w:after="120"/>
        <w:rPr>
          <w:rFonts w:cs="Arial"/>
          <w:szCs w:val="22"/>
        </w:rPr>
      </w:pPr>
      <w:r w:rsidRPr="007A436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84969" w:rsidRPr="007A436F" w:rsidRDefault="00A84969" w:rsidP="00B73576">
      <w:pPr>
        <w:spacing w:before="80" w:after="120"/>
        <w:rPr>
          <w:rFonts w:cs="Arial"/>
          <w:b/>
          <w:szCs w:val="22"/>
        </w:rPr>
      </w:pPr>
      <w:r w:rsidRPr="007A436F">
        <w:rPr>
          <w:rFonts w:cs="Arial"/>
          <w:b/>
          <w:szCs w:val="22"/>
        </w:rPr>
        <w:t>Self</w:t>
      </w:r>
      <w:r w:rsidR="007A436F">
        <w:rPr>
          <w:rFonts w:cs="Arial"/>
          <w:b/>
          <w:szCs w:val="22"/>
        </w:rPr>
        <w:noBreakHyphen/>
      </w:r>
      <w:r w:rsidRPr="007A436F">
        <w:rPr>
          <w:rFonts w:cs="Arial"/>
          <w:b/>
          <w:szCs w:val="22"/>
        </w:rPr>
        <w:t>repealing provisions</w:t>
      </w:r>
    </w:p>
    <w:p w:rsidR="00A84969" w:rsidRPr="007A436F" w:rsidRDefault="00A84969" w:rsidP="00B73576">
      <w:pPr>
        <w:spacing w:after="120"/>
        <w:rPr>
          <w:rFonts w:cs="Arial"/>
          <w:szCs w:val="22"/>
        </w:rPr>
      </w:pPr>
      <w:r w:rsidRPr="007A436F">
        <w:rPr>
          <w:rFonts w:cs="Arial"/>
          <w:szCs w:val="22"/>
        </w:rPr>
        <w:t>If a provision of the compiled law has been repealed in accordance with a provision of the law, details are included in the endnotes.</w:t>
      </w:r>
    </w:p>
    <w:p w:rsidR="00A84969" w:rsidRPr="007A436F" w:rsidRDefault="00A84969" w:rsidP="00B73576">
      <w:pPr>
        <w:pStyle w:val="Header"/>
        <w:tabs>
          <w:tab w:val="clear" w:pos="4150"/>
          <w:tab w:val="clear" w:pos="8307"/>
        </w:tabs>
      </w:pPr>
      <w:r w:rsidRPr="007A436F">
        <w:rPr>
          <w:rStyle w:val="CharChapNo"/>
        </w:rPr>
        <w:t xml:space="preserve"> </w:t>
      </w:r>
      <w:r w:rsidRPr="007A436F">
        <w:rPr>
          <w:rStyle w:val="CharChapText"/>
        </w:rPr>
        <w:t xml:space="preserve"> </w:t>
      </w:r>
    </w:p>
    <w:p w:rsidR="00A84969" w:rsidRPr="007A436F" w:rsidRDefault="00A84969" w:rsidP="00B73576">
      <w:pPr>
        <w:pStyle w:val="Header"/>
        <w:tabs>
          <w:tab w:val="clear" w:pos="4150"/>
          <w:tab w:val="clear" w:pos="8307"/>
        </w:tabs>
      </w:pPr>
      <w:r w:rsidRPr="007A436F">
        <w:rPr>
          <w:rStyle w:val="CharPartNo"/>
        </w:rPr>
        <w:t xml:space="preserve"> </w:t>
      </w:r>
      <w:r w:rsidRPr="007A436F">
        <w:rPr>
          <w:rStyle w:val="CharPartText"/>
        </w:rPr>
        <w:t xml:space="preserve"> </w:t>
      </w:r>
    </w:p>
    <w:p w:rsidR="00A84969" w:rsidRPr="007A436F" w:rsidRDefault="00A84969" w:rsidP="00B73576">
      <w:pPr>
        <w:pStyle w:val="Header"/>
        <w:tabs>
          <w:tab w:val="clear" w:pos="4150"/>
          <w:tab w:val="clear" w:pos="8307"/>
        </w:tabs>
      </w:pPr>
      <w:r w:rsidRPr="007A436F">
        <w:rPr>
          <w:rStyle w:val="CharDivNo"/>
        </w:rPr>
        <w:t xml:space="preserve"> </w:t>
      </w:r>
      <w:r w:rsidRPr="007A436F">
        <w:rPr>
          <w:rStyle w:val="CharDivText"/>
        </w:rPr>
        <w:t xml:space="preserve"> </w:t>
      </w:r>
    </w:p>
    <w:p w:rsidR="00A84969" w:rsidRPr="007A436F" w:rsidRDefault="00A84969" w:rsidP="00B73576">
      <w:pPr>
        <w:sectPr w:rsidR="00A84969" w:rsidRPr="007A436F" w:rsidSect="00864B3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3A384E" w:rsidRPr="007A436F" w:rsidRDefault="003A384E" w:rsidP="003A384E">
      <w:pPr>
        <w:spacing w:before="120"/>
        <w:rPr>
          <w:sz w:val="36"/>
        </w:rPr>
      </w:pPr>
      <w:r w:rsidRPr="007A436F">
        <w:rPr>
          <w:sz w:val="36"/>
        </w:rPr>
        <w:lastRenderedPageBreak/>
        <w:t>Contents</w:t>
      </w:r>
    </w:p>
    <w:p w:rsidR="007553B5" w:rsidRDefault="00BB362B">
      <w:pPr>
        <w:pStyle w:val="TOC2"/>
        <w:rPr>
          <w:rFonts w:asciiTheme="minorHAnsi" w:eastAsiaTheme="minorEastAsia" w:hAnsiTheme="minorHAnsi" w:cstheme="minorBidi"/>
          <w:b w:val="0"/>
          <w:noProof/>
          <w:kern w:val="0"/>
          <w:sz w:val="22"/>
          <w:szCs w:val="22"/>
        </w:rPr>
      </w:pPr>
      <w:r w:rsidRPr="0065006C">
        <w:fldChar w:fldCharType="begin"/>
      </w:r>
      <w:r w:rsidRPr="007A436F">
        <w:instrText xml:space="preserve"> TOC \o "1-9" </w:instrText>
      </w:r>
      <w:r w:rsidRPr="0065006C">
        <w:fldChar w:fldCharType="separate"/>
      </w:r>
      <w:r w:rsidR="007553B5">
        <w:rPr>
          <w:noProof/>
        </w:rPr>
        <w:t>Part 1—Preliminary</w:t>
      </w:r>
      <w:r w:rsidR="007553B5" w:rsidRPr="007553B5">
        <w:rPr>
          <w:b w:val="0"/>
          <w:noProof/>
          <w:sz w:val="18"/>
        </w:rPr>
        <w:tab/>
      </w:r>
      <w:r w:rsidR="007553B5" w:rsidRPr="007553B5">
        <w:rPr>
          <w:b w:val="0"/>
          <w:noProof/>
          <w:sz w:val="18"/>
        </w:rPr>
        <w:fldChar w:fldCharType="begin"/>
      </w:r>
      <w:r w:rsidR="007553B5" w:rsidRPr="007553B5">
        <w:rPr>
          <w:b w:val="0"/>
          <w:noProof/>
          <w:sz w:val="18"/>
        </w:rPr>
        <w:instrText xml:space="preserve"> PAGEREF _Toc74311752 \h </w:instrText>
      </w:r>
      <w:r w:rsidR="007553B5" w:rsidRPr="007553B5">
        <w:rPr>
          <w:b w:val="0"/>
          <w:noProof/>
          <w:sz w:val="18"/>
        </w:rPr>
      </w:r>
      <w:r w:rsidR="007553B5" w:rsidRPr="007553B5">
        <w:rPr>
          <w:b w:val="0"/>
          <w:noProof/>
          <w:sz w:val="18"/>
        </w:rPr>
        <w:fldChar w:fldCharType="separate"/>
      </w:r>
      <w:r w:rsidR="0066623A">
        <w:rPr>
          <w:b w:val="0"/>
          <w:noProof/>
          <w:sz w:val="18"/>
        </w:rPr>
        <w:t>1</w:t>
      </w:r>
      <w:r w:rsidR="007553B5"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1</w:t>
      </w:r>
      <w:r>
        <w:rPr>
          <w:noProof/>
        </w:rPr>
        <w:tab/>
        <w:t>Name of Special Arrangement</w:t>
      </w:r>
      <w:r w:rsidRPr="007553B5">
        <w:rPr>
          <w:noProof/>
        </w:rPr>
        <w:tab/>
      </w:r>
      <w:r w:rsidRPr="007553B5">
        <w:rPr>
          <w:noProof/>
        </w:rPr>
        <w:fldChar w:fldCharType="begin"/>
      </w:r>
      <w:r w:rsidRPr="007553B5">
        <w:rPr>
          <w:noProof/>
        </w:rPr>
        <w:instrText xml:space="preserve"> PAGEREF _Toc74311753 \h </w:instrText>
      </w:r>
      <w:r w:rsidRPr="007553B5">
        <w:rPr>
          <w:noProof/>
        </w:rPr>
      </w:r>
      <w:r w:rsidRPr="007553B5">
        <w:rPr>
          <w:noProof/>
        </w:rPr>
        <w:fldChar w:fldCharType="separate"/>
      </w:r>
      <w:r w:rsidR="0066623A">
        <w:rPr>
          <w:noProof/>
        </w:rPr>
        <w:t>1</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4</w:t>
      </w:r>
      <w:r>
        <w:rPr>
          <w:noProof/>
        </w:rPr>
        <w:tab/>
        <w:t>Definitions</w:t>
      </w:r>
      <w:r w:rsidRPr="007553B5">
        <w:rPr>
          <w:noProof/>
        </w:rPr>
        <w:tab/>
      </w:r>
      <w:r w:rsidRPr="007553B5">
        <w:rPr>
          <w:noProof/>
        </w:rPr>
        <w:fldChar w:fldCharType="begin"/>
      </w:r>
      <w:r w:rsidRPr="007553B5">
        <w:rPr>
          <w:noProof/>
        </w:rPr>
        <w:instrText xml:space="preserve"> PAGEREF _Toc74311754 \h </w:instrText>
      </w:r>
      <w:r w:rsidRPr="007553B5">
        <w:rPr>
          <w:noProof/>
        </w:rPr>
      </w:r>
      <w:r w:rsidRPr="007553B5">
        <w:rPr>
          <w:noProof/>
        </w:rPr>
        <w:fldChar w:fldCharType="separate"/>
      </w:r>
      <w:r w:rsidR="0066623A">
        <w:rPr>
          <w:noProof/>
        </w:rPr>
        <w:t>1</w:t>
      </w:r>
      <w:r w:rsidRPr="007553B5">
        <w:rPr>
          <w:noProof/>
        </w:rPr>
        <w:fldChar w:fldCharType="end"/>
      </w:r>
    </w:p>
    <w:p w:rsidR="007553B5" w:rsidRDefault="007553B5">
      <w:pPr>
        <w:pStyle w:val="TOC2"/>
        <w:rPr>
          <w:rFonts w:asciiTheme="minorHAnsi" w:eastAsiaTheme="minorEastAsia" w:hAnsiTheme="minorHAnsi" w:cstheme="minorBidi"/>
          <w:b w:val="0"/>
          <w:noProof/>
          <w:kern w:val="0"/>
          <w:sz w:val="22"/>
          <w:szCs w:val="22"/>
        </w:rPr>
      </w:pPr>
      <w:r>
        <w:rPr>
          <w:noProof/>
        </w:rPr>
        <w:t>Part 2—Pharmaceutical benefits covered by this Special Arrangement</w:t>
      </w:r>
      <w:r w:rsidRPr="007553B5">
        <w:rPr>
          <w:b w:val="0"/>
          <w:noProof/>
          <w:sz w:val="18"/>
        </w:rPr>
        <w:tab/>
      </w:r>
      <w:r w:rsidRPr="007553B5">
        <w:rPr>
          <w:b w:val="0"/>
          <w:noProof/>
          <w:sz w:val="18"/>
        </w:rPr>
        <w:fldChar w:fldCharType="begin"/>
      </w:r>
      <w:r w:rsidRPr="007553B5">
        <w:rPr>
          <w:b w:val="0"/>
          <w:noProof/>
          <w:sz w:val="18"/>
        </w:rPr>
        <w:instrText xml:space="preserve"> PAGEREF _Toc74311755 \h </w:instrText>
      </w:r>
      <w:r w:rsidRPr="007553B5">
        <w:rPr>
          <w:b w:val="0"/>
          <w:noProof/>
          <w:sz w:val="18"/>
        </w:rPr>
      </w:r>
      <w:r w:rsidRPr="007553B5">
        <w:rPr>
          <w:b w:val="0"/>
          <w:noProof/>
          <w:sz w:val="18"/>
        </w:rPr>
        <w:fldChar w:fldCharType="separate"/>
      </w:r>
      <w:r w:rsidR="0066623A">
        <w:rPr>
          <w:b w:val="0"/>
          <w:noProof/>
          <w:sz w:val="18"/>
        </w:rPr>
        <w:t>4</w:t>
      </w:r>
      <w:r w:rsidRPr="007553B5">
        <w:rPr>
          <w:b w:val="0"/>
          <w:noProof/>
          <w:sz w:val="18"/>
        </w:rPr>
        <w:fldChar w:fldCharType="end"/>
      </w:r>
    </w:p>
    <w:p w:rsidR="007553B5" w:rsidRDefault="007553B5">
      <w:pPr>
        <w:pStyle w:val="TOC3"/>
        <w:rPr>
          <w:rFonts w:asciiTheme="minorHAnsi" w:eastAsiaTheme="minorEastAsia" w:hAnsiTheme="minorHAnsi" w:cstheme="minorBidi"/>
          <w:b w:val="0"/>
          <w:noProof/>
          <w:kern w:val="0"/>
          <w:szCs w:val="22"/>
        </w:rPr>
      </w:pPr>
      <w:r>
        <w:rPr>
          <w:noProof/>
        </w:rPr>
        <w:t>Division 1—General</w:t>
      </w:r>
      <w:r w:rsidRPr="007553B5">
        <w:rPr>
          <w:b w:val="0"/>
          <w:noProof/>
          <w:sz w:val="18"/>
        </w:rPr>
        <w:tab/>
      </w:r>
      <w:r w:rsidRPr="007553B5">
        <w:rPr>
          <w:b w:val="0"/>
          <w:noProof/>
          <w:sz w:val="18"/>
        </w:rPr>
        <w:fldChar w:fldCharType="begin"/>
      </w:r>
      <w:r w:rsidRPr="007553B5">
        <w:rPr>
          <w:b w:val="0"/>
          <w:noProof/>
          <w:sz w:val="18"/>
        </w:rPr>
        <w:instrText xml:space="preserve"> PAGEREF _Toc74311756 \h </w:instrText>
      </w:r>
      <w:r w:rsidRPr="007553B5">
        <w:rPr>
          <w:b w:val="0"/>
          <w:noProof/>
          <w:sz w:val="18"/>
        </w:rPr>
      </w:r>
      <w:r w:rsidRPr="007553B5">
        <w:rPr>
          <w:b w:val="0"/>
          <w:noProof/>
          <w:sz w:val="18"/>
        </w:rPr>
        <w:fldChar w:fldCharType="separate"/>
      </w:r>
      <w:r w:rsidR="0066623A">
        <w:rPr>
          <w:b w:val="0"/>
          <w:noProof/>
          <w:sz w:val="18"/>
        </w:rPr>
        <w:t>4</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5</w:t>
      </w:r>
      <w:r>
        <w:rPr>
          <w:noProof/>
        </w:rPr>
        <w:tab/>
        <w:t>Pharmaceutical benefits covered by this Special Arrangement</w:t>
      </w:r>
      <w:r w:rsidRPr="007553B5">
        <w:rPr>
          <w:noProof/>
        </w:rPr>
        <w:tab/>
      </w:r>
      <w:r w:rsidRPr="007553B5">
        <w:rPr>
          <w:noProof/>
        </w:rPr>
        <w:fldChar w:fldCharType="begin"/>
      </w:r>
      <w:r w:rsidRPr="007553B5">
        <w:rPr>
          <w:noProof/>
        </w:rPr>
        <w:instrText xml:space="preserve"> PAGEREF _Toc74311757 \h </w:instrText>
      </w:r>
      <w:r w:rsidRPr="007553B5">
        <w:rPr>
          <w:noProof/>
        </w:rPr>
      </w:r>
      <w:r w:rsidRPr="007553B5">
        <w:rPr>
          <w:noProof/>
        </w:rPr>
        <w:fldChar w:fldCharType="separate"/>
      </w:r>
      <w:r w:rsidR="0066623A">
        <w:rPr>
          <w:noProof/>
        </w:rPr>
        <w:t>4</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6</w:t>
      </w:r>
      <w:r>
        <w:rPr>
          <w:noProof/>
        </w:rPr>
        <w:tab/>
        <w:t>Application of Part VII of the Act</w:t>
      </w:r>
      <w:r w:rsidRPr="007553B5">
        <w:rPr>
          <w:noProof/>
        </w:rPr>
        <w:tab/>
      </w:r>
      <w:r w:rsidRPr="007553B5">
        <w:rPr>
          <w:noProof/>
        </w:rPr>
        <w:fldChar w:fldCharType="begin"/>
      </w:r>
      <w:r w:rsidRPr="007553B5">
        <w:rPr>
          <w:noProof/>
        </w:rPr>
        <w:instrText xml:space="preserve"> PAGEREF _Toc74311758 \h </w:instrText>
      </w:r>
      <w:r w:rsidRPr="007553B5">
        <w:rPr>
          <w:noProof/>
        </w:rPr>
      </w:r>
      <w:r w:rsidRPr="007553B5">
        <w:rPr>
          <w:noProof/>
        </w:rPr>
        <w:fldChar w:fldCharType="separate"/>
      </w:r>
      <w:r w:rsidR="0066623A">
        <w:rPr>
          <w:noProof/>
        </w:rPr>
        <w:t>4</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7</w:t>
      </w:r>
      <w:r>
        <w:rPr>
          <w:noProof/>
        </w:rPr>
        <w:tab/>
        <w:t>Section 100 only supply</w:t>
      </w:r>
      <w:r w:rsidRPr="007553B5">
        <w:rPr>
          <w:noProof/>
        </w:rPr>
        <w:tab/>
      </w:r>
      <w:r w:rsidRPr="007553B5">
        <w:rPr>
          <w:noProof/>
        </w:rPr>
        <w:fldChar w:fldCharType="begin"/>
      </w:r>
      <w:r w:rsidRPr="007553B5">
        <w:rPr>
          <w:noProof/>
        </w:rPr>
        <w:instrText xml:space="preserve"> PAGEREF _Toc74311759 \h </w:instrText>
      </w:r>
      <w:r w:rsidRPr="007553B5">
        <w:rPr>
          <w:noProof/>
        </w:rPr>
      </w:r>
      <w:r w:rsidRPr="007553B5">
        <w:rPr>
          <w:noProof/>
        </w:rPr>
        <w:fldChar w:fldCharType="separate"/>
      </w:r>
      <w:r w:rsidR="0066623A">
        <w:rPr>
          <w:noProof/>
        </w:rPr>
        <w:t>4</w:t>
      </w:r>
      <w:r w:rsidRPr="007553B5">
        <w:rPr>
          <w:noProof/>
        </w:rPr>
        <w:fldChar w:fldCharType="end"/>
      </w:r>
    </w:p>
    <w:p w:rsidR="007553B5" w:rsidRDefault="007553B5">
      <w:pPr>
        <w:pStyle w:val="TOC3"/>
        <w:rPr>
          <w:rFonts w:asciiTheme="minorHAnsi" w:eastAsiaTheme="minorEastAsia" w:hAnsiTheme="minorHAnsi" w:cstheme="minorBidi"/>
          <w:b w:val="0"/>
          <w:noProof/>
          <w:kern w:val="0"/>
          <w:szCs w:val="22"/>
        </w:rPr>
      </w:pPr>
      <w:r>
        <w:rPr>
          <w:noProof/>
        </w:rPr>
        <w:t>Division 2—Prescriptions for pharmaceutical benefits</w:t>
      </w:r>
      <w:r w:rsidRPr="007553B5">
        <w:rPr>
          <w:b w:val="0"/>
          <w:noProof/>
          <w:sz w:val="18"/>
        </w:rPr>
        <w:tab/>
      </w:r>
      <w:r w:rsidRPr="007553B5">
        <w:rPr>
          <w:b w:val="0"/>
          <w:noProof/>
          <w:sz w:val="18"/>
        </w:rPr>
        <w:fldChar w:fldCharType="begin"/>
      </w:r>
      <w:r w:rsidRPr="007553B5">
        <w:rPr>
          <w:b w:val="0"/>
          <w:noProof/>
          <w:sz w:val="18"/>
        </w:rPr>
        <w:instrText xml:space="preserve"> PAGEREF _Toc74311760 \h </w:instrText>
      </w:r>
      <w:r w:rsidRPr="007553B5">
        <w:rPr>
          <w:b w:val="0"/>
          <w:noProof/>
          <w:sz w:val="18"/>
        </w:rPr>
      </w:r>
      <w:r w:rsidRPr="007553B5">
        <w:rPr>
          <w:b w:val="0"/>
          <w:noProof/>
          <w:sz w:val="18"/>
        </w:rPr>
        <w:fldChar w:fldCharType="separate"/>
      </w:r>
      <w:r w:rsidR="0066623A">
        <w:rPr>
          <w:b w:val="0"/>
          <w:noProof/>
          <w:sz w:val="18"/>
        </w:rPr>
        <w:t>5</w:t>
      </w:r>
      <w:r w:rsidRPr="007553B5">
        <w:rPr>
          <w:b w:val="0"/>
          <w:noProof/>
          <w:sz w:val="18"/>
        </w:rPr>
        <w:fldChar w:fldCharType="end"/>
      </w:r>
    </w:p>
    <w:p w:rsidR="007553B5" w:rsidRDefault="007553B5">
      <w:pPr>
        <w:pStyle w:val="TOC4"/>
        <w:rPr>
          <w:rFonts w:asciiTheme="minorHAnsi" w:eastAsiaTheme="minorEastAsia" w:hAnsiTheme="minorHAnsi" w:cstheme="minorBidi"/>
          <w:b w:val="0"/>
          <w:noProof/>
          <w:kern w:val="0"/>
          <w:sz w:val="22"/>
          <w:szCs w:val="22"/>
        </w:rPr>
      </w:pPr>
      <w:r>
        <w:rPr>
          <w:noProof/>
        </w:rPr>
        <w:t>Subdivision A—Prescriptions for children</w:t>
      </w:r>
      <w:r w:rsidRPr="007553B5">
        <w:rPr>
          <w:b w:val="0"/>
          <w:noProof/>
          <w:sz w:val="18"/>
        </w:rPr>
        <w:tab/>
      </w:r>
      <w:r w:rsidRPr="007553B5">
        <w:rPr>
          <w:b w:val="0"/>
          <w:noProof/>
          <w:sz w:val="18"/>
        </w:rPr>
        <w:fldChar w:fldCharType="begin"/>
      </w:r>
      <w:r w:rsidRPr="007553B5">
        <w:rPr>
          <w:b w:val="0"/>
          <w:noProof/>
          <w:sz w:val="18"/>
        </w:rPr>
        <w:instrText xml:space="preserve"> PAGEREF _Toc74311761 \h </w:instrText>
      </w:r>
      <w:r w:rsidRPr="007553B5">
        <w:rPr>
          <w:b w:val="0"/>
          <w:noProof/>
          <w:sz w:val="18"/>
        </w:rPr>
      </w:r>
      <w:r w:rsidRPr="007553B5">
        <w:rPr>
          <w:b w:val="0"/>
          <w:noProof/>
          <w:sz w:val="18"/>
        </w:rPr>
        <w:fldChar w:fldCharType="separate"/>
      </w:r>
      <w:r w:rsidR="0066623A">
        <w:rPr>
          <w:b w:val="0"/>
          <w:noProof/>
          <w:sz w:val="18"/>
        </w:rPr>
        <w:t>5</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7A</w:t>
      </w:r>
      <w:r>
        <w:rPr>
          <w:noProof/>
        </w:rPr>
        <w:tab/>
        <w:t>Prescription of pharmaceutical benefits in Part 1 of Schedule 1 for children</w:t>
      </w:r>
      <w:r w:rsidRPr="007553B5">
        <w:rPr>
          <w:noProof/>
        </w:rPr>
        <w:tab/>
      </w:r>
      <w:r w:rsidRPr="007553B5">
        <w:rPr>
          <w:noProof/>
        </w:rPr>
        <w:fldChar w:fldCharType="begin"/>
      </w:r>
      <w:r w:rsidRPr="007553B5">
        <w:rPr>
          <w:noProof/>
        </w:rPr>
        <w:instrText xml:space="preserve"> PAGEREF _Toc74311762 \h </w:instrText>
      </w:r>
      <w:r w:rsidRPr="007553B5">
        <w:rPr>
          <w:noProof/>
        </w:rPr>
      </w:r>
      <w:r w:rsidRPr="007553B5">
        <w:rPr>
          <w:noProof/>
        </w:rPr>
        <w:fldChar w:fldCharType="separate"/>
      </w:r>
      <w:r w:rsidR="0066623A">
        <w:rPr>
          <w:noProof/>
        </w:rPr>
        <w:t>5</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8</w:t>
      </w:r>
      <w:r>
        <w:rPr>
          <w:noProof/>
        </w:rPr>
        <w:tab/>
        <w:t>Prescription for child—maximum quantity</w:t>
      </w:r>
      <w:r w:rsidRPr="007553B5">
        <w:rPr>
          <w:noProof/>
        </w:rPr>
        <w:tab/>
      </w:r>
      <w:r w:rsidRPr="007553B5">
        <w:rPr>
          <w:noProof/>
        </w:rPr>
        <w:fldChar w:fldCharType="begin"/>
      </w:r>
      <w:r w:rsidRPr="007553B5">
        <w:rPr>
          <w:noProof/>
        </w:rPr>
        <w:instrText xml:space="preserve"> PAGEREF _Toc74311763 \h </w:instrText>
      </w:r>
      <w:r w:rsidRPr="007553B5">
        <w:rPr>
          <w:noProof/>
        </w:rPr>
      </w:r>
      <w:r w:rsidRPr="007553B5">
        <w:rPr>
          <w:noProof/>
        </w:rPr>
        <w:fldChar w:fldCharType="separate"/>
      </w:r>
      <w:r w:rsidR="0066623A">
        <w:rPr>
          <w:noProof/>
        </w:rPr>
        <w:t>5</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9</w:t>
      </w:r>
      <w:r>
        <w:rPr>
          <w:noProof/>
        </w:rPr>
        <w:tab/>
        <w:t>Prescription for child—maximum number of repeats</w:t>
      </w:r>
      <w:r w:rsidRPr="007553B5">
        <w:rPr>
          <w:noProof/>
        </w:rPr>
        <w:tab/>
      </w:r>
      <w:r w:rsidRPr="007553B5">
        <w:rPr>
          <w:noProof/>
        </w:rPr>
        <w:fldChar w:fldCharType="begin"/>
      </w:r>
      <w:r w:rsidRPr="007553B5">
        <w:rPr>
          <w:noProof/>
        </w:rPr>
        <w:instrText xml:space="preserve"> PAGEREF _Toc74311764 \h </w:instrText>
      </w:r>
      <w:r w:rsidRPr="007553B5">
        <w:rPr>
          <w:noProof/>
        </w:rPr>
      </w:r>
      <w:r w:rsidRPr="007553B5">
        <w:rPr>
          <w:noProof/>
        </w:rPr>
        <w:fldChar w:fldCharType="separate"/>
      </w:r>
      <w:r w:rsidR="0066623A">
        <w:rPr>
          <w:noProof/>
        </w:rPr>
        <w:t>5</w:t>
      </w:r>
      <w:r w:rsidRPr="007553B5">
        <w:rPr>
          <w:noProof/>
        </w:rPr>
        <w:fldChar w:fldCharType="end"/>
      </w:r>
    </w:p>
    <w:p w:rsidR="007553B5" w:rsidRDefault="007553B5">
      <w:pPr>
        <w:pStyle w:val="TOC4"/>
        <w:rPr>
          <w:rFonts w:asciiTheme="minorHAnsi" w:eastAsiaTheme="minorEastAsia" w:hAnsiTheme="minorHAnsi" w:cstheme="minorBidi"/>
          <w:b w:val="0"/>
          <w:noProof/>
          <w:kern w:val="0"/>
          <w:sz w:val="22"/>
          <w:szCs w:val="22"/>
        </w:rPr>
      </w:pPr>
      <w:r>
        <w:rPr>
          <w:noProof/>
        </w:rPr>
        <w:t>Subdivision B—Prescriptions for adults</w:t>
      </w:r>
      <w:r w:rsidRPr="007553B5">
        <w:rPr>
          <w:b w:val="0"/>
          <w:noProof/>
          <w:sz w:val="18"/>
        </w:rPr>
        <w:tab/>
      </w:r>
      <w:r w:rsidRPr="007553B5">
        <w:rPr>
          <w:b w:val="0"/>
          <w:noProof/>
          <w:sz w:val="18"/>
        </w:rPr>
        <w:fldChar w:fldCharType="begin"/>
      </w:r>
      <w:r w:rsidRPr="007553B5">
        <w:rPr>
          <w:b w:val="0"/>
          <w:noProof/>
          <w:sz w:val="18"/>
        </w:rPr>
        <w:instrText xml:space="preserve"> PAGEREF _Toc74311765 \h </w:instrText>
      </w:r>
      <w:r w:rsidRPr="007553B5">
        <w:rPr>
          <w:b w:val="0"/>
          <w:noProof/>
          <w:sz w:val="18"/>
        </w:rPr>
      </w:r>
      <w:r w:rsidRPr="007553B5">
        <w:rPr>
          <w:b w:val="0"/>
          <w:noProof/>
          <w:sz w:val="18"/>
        </w:rPr>
        <w:fldChar w:fldCharType="separate"/>
      </w:r>
      <w:r w:rsidR="0066623A">
        <w:rPr>
          <w:b w:val="0"/>
          <w:noProof/>
          <w:sz w:val="18"/>
        </w:rPr>
        <w:t>6</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9AA</w:t>
      </w:r>
      <w:r>
        <w:rPr>
          <w:noProof/>
        </w:rPr>
        <w:tab/>
        <w:t>Prescription of pharmaceutical benefits in Part 2 of Schedule 1 for adults</w:t>
      </w:r>
      <w:r w:rsidRPr="007553B5">
        <w:rPr>
          <w:noProof/>
        </w:rPr>
        <w:tab/>
      </w:r>
      <w:r w:rsidRPr="007553B5">
        <w:rPr>
          <w:noProof/>
        </w:rPr>
        <w:fldChar w:fldCharType="begin"/>
      </w:r>
      <w:r w:rsidRPr="007553B5">
        <w:rPr>
          <w:noProof/>
        </w:rPr>
        <w:instrText xml:space="preserve"> PAGEREF _Toc74311766 \h </w:instrText>
      </w:r>
      <w:r w:rsidRPr="007553B5">
        <w:rPr>
          <w:noProof/>
        </w:rPr>
      </w:r>
      <w:r w:rsidRPr="007553B5">
        <w:rPr>
          <w:noProof/>
        </w:rPr>
        <w:fldChar w:fldCharType="separate"/>
      </w:r>
      <w:r w:rsidR="0066623A">
        <w:rPr>
          <w:noProof/>
        </w:rPr>
        <w:t>6</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9AB</w:t>
      </w:r>
      <w:r>
        <w:rPr>
          <w:noProof/>
        </w:rPr>
        <w:tab/>
        <w:t>Prescription for adult—maximum quantity</w:t>
      </w:r>
      <w:r w:rsidRPr="007553B5">
        <w:rPr>
          <w:noProof/>
        </w:rPr>
        <w:tab/>
      </w:r>
      <w:r w:rsidRPr="007553B5">
        <w:rPr>
          <w:noProof/>
        </w:rPr>
        <w:fldChar w:fldCharType="begin"/>
      </w:r>
      <w:r w:rsidRPr="007553B5">
        <w:rPr>
          <w:noProof/>
        </w:rPr>
        <w:instrText xml:space="preserve"> PAGEREF _Toc74311767 \h </w:instrText>
      </w:r>
      <w:r w:rsidRPr="007553B5">
        <w:rPr>
          <w:noProof/>
        </w:rPr>
      </w:r>
      <w:r w:rsidRPr="007553B5">
        <w:rPr>
          <w:noProof/>
        </w:rPr>
        <w:fldChar w:fldCharType="separate"/>
      </w:r>
      <w:r w:rsidR="0066623A">
        <w:rPr>
          <w:noProof/>
        </w:rPr>
        <w:t>6</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9AC</w:t>
      </w:r>
      <w:r>
        <w:rPr>
          <w:noProof/>
        </w:rPr>
        <w:tab/>
        <w:t>Prescription for adult—maximum number of repeats</w:t>
      </w:r>
      <w:r w:rsidRPr="007553B5">
        <w:rPr>
          <w:noProof/>
        </w:rPr>
        <w:tab/>
      </w:r>
      <w:r w:rsidRPr="007553B5">
        <w:rPr>
          <w:noProof/>
        </w:rPr>
        <w:fldChar w:fldCharType="begin"/>
      </w:r>
      <w:r w:rsidRPr="007553B5">
        <w:rPr>
          <w:noProof/>
        </w:rPr>
        <w:instrText xml:space="preserve"> PAGEREF _Toc74311768 \h </w:instrText>
      </w:r>
      <w:r w:rsidRPr="007553B5">
        <w:rPr>
          <w:noProof/>
        </w:rPr>
      </w:r>
      <w:r w:rsidRPr="007553B5">
        <w:rPr>
          <w:noProof/>
        </w:rPr>
        <w:fldChar w:fldCharType="separate"/>
      </w:r>
      <w:r w:rsidR="0066623A">
        <w:rPr>
          <w:noProof/>
        </w:rPr>
        <w:t>6</w:t>
      </w:r>
      <w:r w:rsidRPr="007553B5">
        <w:rPr>
          <w:noProof/>
        </w:rPr>
        <w:fldChar w:fldCharType="end"/>
      </w:r>
    </w:p>
    <w:p w:rsidR="007553B5" w:rsidRDefault="007553B5">
      <w:pPr>
        <w:pStyle w:val="TOC4"/>
        <w:rPr>
          <w:rFonts w:asciiTheme="minorHAnsi" w:eastAsiaTheme="minorEastAsia" w:hAnsiTheme="minorHAnsi" w:cstheme="minorBidi"/>
          <w:b w:val="0"/>
          <w:noProof/>
          <w:kern w:val="0"/>
          <w:sz w:val="22"/>
          <w:szCs w:val="22"/>
        </w:rPr>
      </w:pPr>
      <w:r>
        <w:rPr>
          <w:noProof/>
        </w:rPr>
        <w:t>Subdivision C—Prescriptions for children and adults</w:t>
      </w:r>
      <w:r w:rsidRPr="007553B5">
        <w:rPr>
          <w:b w:val="0"/>
          <w:noProof/>
          <w:sz w:val="18"/>
        </w:rPr>
        <w:tab/>
      </w:r>
      <w:r w:rsidRPr="007553B5">
        <w:rPr>
          <w:b w:val="0"/>
          <w:noProof/>
          <w:sz w:val="18"/>
        </w:rPr>
        <w:fldChar w:fldCharType="begin"/>
      </w:r>
      <w:r w:rsidRPr="007553B5">
        <w:rPr>
          <w:b w:val="0"/>
          <w:noProof/>
          <w:sz w:val="18"/>
        </w:rPr>
        <w:instrText xml:space="preserve"> PAGEREF _Toc74311769 \h </w:instrText>
      </w:r>
      <w:r w:rsidRPr="007553B5">
        <w:rPr>
          <w:b w:val="0"/>
          <w:noProof/>
          <w:sz w:val="18"/>
        </w:rPr>
      </w:r>
      <w:r w:rsidRPr="007553B5">
        <w:rPr>
          <w:b w:val="0"/>
          <w:noProof/>
          <w:sz w:val="18"/>
        </w:rPr>
        <w:fldChar w:fldCharType="separate"/>
      </w:r>
      <w:r w:rsidR="0066623A">
        <w:rPr>
          <w:b w:val="0"/>
          <w:noProof/>
          <w:sz w:val="18"/>
        </w:rPr>
        <w:t>6</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9AD</w:t>
      </w:r>
      <w:r>
        <w:rPr>
          <w:noProof/>
        </w:rPr>
        <w:tab/>
        <w:t>Prescription by authorised prescriber only</w:t>
      </w:r>
      <w:r w:rsidRPr="007553B5">
        <w:rPr>
          <w:noProof/>
        </w:rPr>
        <w:tab/>
      </w:r>
      <w:r w:rsidRPr="007553B5">
        <w:rPr>
          <w:noProof/>
        </w:rPr>
        <w:fldChar w:fldCharType="begin"/>
      </w:r>
      <w:r w:rsidRPr="007553B5">
        <w:rPr>
          <w:noProof/>
        </w:rPr>
        <w:instrText xml:space="preserve"> PAGEREF _Toc74311770 \h </w:instrText>
      </w:r>
      <w:r w:rsidRPr="007553B5">
        <w:rPr>
          <w:noProof/>
        </w:rPr>
      </w:r>
      <w:r w:rsidRPr="007553B5">
        <w:rPr>
          <w:noProof/>
        </w:rPr>
        <w:fldChar w:fldCharType="separate"/>
      </w:r>
      <w:r w:rsidR="0066623A">
        <w:rPr>
          <w:noProof/>
        </w:rPr>
        <w:t>6</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9A</w:t>
      </w:r>
      <w:r>
        <w:rPr>
          <w:noProof/>
        </w:rPr>
        <w:tab/>
        <w:t>Prescription for child or adult—authority required procedures</w:t>
      </w:r>
      <w:r w:rsidRPr="007553B5">
        <w:rPr>
          <w:noProof/>
        </w:rPr>
        <w:tab/>
      </w:r>
      <w:r w:rsidRPr="007553B5">
        <w:rPr>
          <w:noProof/>
        </w:rPr>
        <w:fldChar w:fldCharType="begin"/>
      </w:r>
      <w:r w:rsidRPr="007553B5">
        <w:rPr>
          <w:noProof/>
        </w:rPr>
        <w:instrText xml:space="preserve"> PAGEREF _Toc74311771 \h </w:instrText>
      </w:r>
      <w:r w:rsidRPr="007553B5">
        <w:rPr>
          <w:noProof/>
        </w:rPr>
      </w:r>
      <w:r w:rsidRPr="007553B5">
        <w:rPr>
          <w:noProof/>
        </w:rPr>
        <w:fldChar w:fldCharType="separate"/>
      </w:r>
      <w:r w:rsidR="0066623A">
        <w:rPr>
          <w:noProof/>
        </w:rPr>
        <w:t>6</w:t>
      </w:r>
      <w:r w:rsidRPr="007553B5">
        <w:rPr>
          <w:noProof/>
        </w:rPr>
        <w:fldChar w:fldCharType="end"/>
      </w:r>
    </w:p>
    <w:p w:rsidR="007553B5" w:rsidRDefault="007553B5">
      <w:pPr>
        <w:pStyle w:val="TOC2"/>
        <w:rPr>
          <w:rFonts w:asciiTheme="minorHAnsi" w:eastAsiaTheme="minorEastAsia" w:hAnsiTheme="minorHAnsi" w:cstheme="minorBidi"/>
          <w:b w:val="0"/>
          <w:noProof/>
          <w:kern w:val="0"/>
          <w:sz w:val="22"/>
          <w:szCs w:val="22"/>
        </w:rPr>
      </w:pPr>
      <w:r>
        <w:rPr>
          <w:noProof/>
        </w:rPr>
        <w:t>Part 3—Treatment doses for children</w:t>
      </w:r>
      <w:r w:rsidRPr="007553B5">
        <w:rPr>
          <w:b w:val="0"/>
          <w:noProof/>
          <w:sz w:val="18"/>
        </w:rPr>
        <w:tab/>
      </w:r>
      <w:r w:rsidRPr="007553B5">
        <w:rPr>
          <w:b w:val="0"/>
          <w:noProof/>
          <w:sz w:val="18"/>
        </w:rPr>
        <w:fldChar w:fldCharType="begin"/>
      </w:r>
      <w:r w:rsidRPr="007553B5">
        <w:rPr>
          <w:b w:val="0"/>
          <w:noProof/>
          <w:sz w:val="18"/>
        </w:rPr>
        <w:instrText xml:space="preserve"> PAGEREF _Toc74311772 \h </w:instrText>
      </w:r>
      <w:r w:rsidRPr="007553B5">
        <w:rPr>
          <w:b w:val="0"/>
          <w:noProof/>
          <w:sz w:val="18"/>
        </w:rPr>
      </w:r>
      <w:r w:rsidRPr="007553B5">
        <w:rPr>
          <w:b w:val="0"/>
          <w:noProof/>
          <w:sz w:val="18"/>
        </w:rPr>
        <w:fldChar w:fldCharType="separate"/>
      </w:r>
      <w:r w:rsidR="0066623A">
        <w:rPr>
          <w:b w:val="0"/>
          <w:noProof/>
          <w:sz w:val="18"/>
        </w:rPr>
        <w:t>8</w:t>
      </w:r>
      <w:r w:rsidRPr="007553B5">
        <w:rPr>
          <w:b w:val="0"/>
          <w:noProof/>
          <w:sz w:val="18"/>
        </w:rPr>
        <w:fldChar w:fldCharType="end"/>
      </w:r>
    </w:p>
    <w:p w:rsidR="007553B5" w:rsidRDefault="007553B5">
      <w:pPr>
        <w:pStyle w:val="TOC3"/>
        <w:rPr>
          <w:rFonts w:asciiTheme="minorHAnsi" w:eastAsiaTheme="minorEastAsia" w:hAnsiTheme="minorHAnsi" w:cstheme="minorBidi"/>
          <w:b w:val="0"/>
          <w:noProof/>
          <w:kern w:val="0"/>
          <w:szCs w:val="22"/>
        </w:rPr>
      </w:pPr>
      <w:r>
        <w:rPr>
          <w:noProof/>
        </w:rPr>
        <w:t>Division 1—General</w:t>
      </w:r>
      <w:r w:rsidRPr="007553B5">
        <w:rPr>
          <w:b w:val="0"/>
          <w:noProof/>
          <w:sz w:val="18"/>
        </w:rPr>
        <w:tab/>
      </w:r>
      <w:r w:rsidRPr="007553B5">
        <w:rPr>
          <w:b w:val="0"/>
          <w:noProof/>
          <w:sz w:val="18"/>
        </w:rPr>
        <w:fldChar w:fldCharType="begin"/>
      </w:r>
      <w:r w:rsidRPr="007553B5">
        <w:rPr>
          <w:b w:val="0"/>
          <w:noProof/>
          <w:sz w:val="18"/>
        </w:rPr>
        <w:instrText xml:space="preserve"> PAGEREF _Toc74311773 \h </w:instrText>
      </w:r>
      <w:r w:rsidRPr="007553B5">
        <w:rPr>
          <w:b w:val="0"/>
          <w:noProof/>
          <w:sz w:val="18"/>
        </w:rPr>
      </w:r>
      <w:r w:rsidRPr="007553B5">
        <w:rPr>
          <w:b w:val="0"/>
          <w:noProof/>
          <w:sz w:val="18"/>
        </w:rPr>
        <w:fldChar w:fldCharType="separate"/>
      </w:r>
      <w:r w:rsidR="0066623A">
        <w:rPr>
          <w:b w:val="0"/>
          <w:noProof/>
          <w:sz w:val="18"/>
        </w:rPr>
        <w:t>8</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9B</w:t>
      </w:r>
      <w:r>
        <w:rPr>
          <w:noProof/>
        </w:rPr>
        <w:tab/>
        <w:t>This Part applies to children</w:t>
      </w:r>
      <w:r w:rsidRPr="007553B5">
        <w:rPr>
          <w:noProof/>
        </w:rPr>
        <w:tab/>
      </w:r>
      <w:r w:rsidRPr="007553B5">
        <w:rPr>
          <w:noProof/>
        </w:rPr>
        <w:fldChar w:fldCharType="begin"/>
      </w:r>
      <w:r w:rsidRPr="007553B5">
        <w:rPr>
          <w:noProof/>
        </w:rPr>
        <w:instrText xml:space="preserve"> PAGEREF _Toc74311774 \h </w:instrText>
      </w:r>
      <w:r w:rsidRPr="007553B5">
        <w:rPr>
          <w:noProof/>
        </w:rPr>
      </w:r>
      <w:r w:rsidRPr="007553B5">
        <w:rPr>
          <w:noProof/>
        </w:rPr>
        <w:fldChar w:fldCharType="separate"/>
      </w:r>
      <w:r w:rsidR="0066623A">
        <w:rPr>
          <w:noProof/>
        </w:rPr>
        <w:t>8</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10</w:t>
      </w:r>
      <w:r>
        <w:rPr>
          <w:noProof/>
        </w:rPr>
        <w:tab/>
        <w:t>Definitions</w:t>
      </w:r>
      <w:r w:rsidRPr="007553B5">
        <w:rPr>
          <w:noProof/>
        </w:rPr>
        <w:tab/>
      </w:r>
      <w:r w:rsidRPr="007553B5">
        <w:rPr>
          <w:noProof/>
        </w:rPr>
        <w:fldChar w:fldCharType="begin"/>
      </w:r>
      <w:r w:rsidRPr="007553B5">
        <w:rPr>
          <w:noProof/>
        </w:rPr>
        <w:instrText xml:space="preserve"> PAGEREF _Toc74311775 \h </w:instrText>
      </w:r>
      <w:r w:rsidRPr="007553B5">
        <w:rPr>
          <w:noProof/>
        </w:rPr>
      </w:r>
      <w:r w:rsidRPr="007553B5">
        <w:rPr>
          <w:noProof/>
        </w:rPr>
        <w:fldChar w:fldCharType="separate"/>
      </w:r>
      <w:r w:rsidR="0066623A">
        <w:rPr>
          <w:noProof/>
        </w:rPr>
        <w:t>8</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11</w:t>
      </w:r>
      <w:r>
        <w:rPr>
          <w:noProof/>
        </w:rPr>
        <w:tab/>
        <w:t>Assessment of dosage of pharmaceutical benefit</w:t>
      </w:r>
      <w:r w:rsidRPr="007553B5">
        <w:rPr>
          <w:noProof/>
        </w:rPr>
        <w:tab/>
      </w:r>
      <w:r w:rsidRPr="007553B5">
        <w:rPr>
          <w:noProof/>
        </w:rPr>
        <w:fldChar w:fldCharType="begin"/>
      </w:r>
      <w:r w:rsidRPr="007553B5">
        <w:rPr>
          <w:noProof/>
        </w:rPr>
        <w:instrText xml:space="preserve"> PAGEREF _Toc74311776 \h </w:instrText>
      </w:r>
      <w:r w:rsidRPr="007553B5">
        <w:rPr>
          <w:noProof/>
        </w:rPr>
      </w:r>
      <w:r w:rsidRPr="007553B5">
        <w:rPr>
          <w:noProof/>
        </w:rPr>
        <w:fldChar w:fldCharType="separate"/>
      </w:r>
      <w:r w:rsidR="0066623A">
        <w:rPr>
          <w:noProof/>
        </w:rPr>
        <w:t>8</w:t>
      </w:r>
      <w:r w:rsidRPr="007553B5">
        <w:rPr>
          <w:noProof/>
        </w:rPr>
        <w:fldChar w:fldCharType="end"/>
      </w:r>
    </w:p>
    <w:p w:rsidR="007553B5" w:rsidRDefault="007553B5">
      <w:pPr>
        <w:pStyle w:val="TOC3"/>
        <w:rPr>
          <w:rFonts w:asciiTheme="minorHAnsi" w:eastAsiaTheme="minorEastAsia" w:hAnsiTheme="minorHAnsi" w:cstheme="minorBidi"/>
          <w:b w:val="0"/>
          <w:noProof/>
          <w:kern w:val="0"/>
          <w:szCs w:val="22"/>
        </w:rPr>
      </w:pPr>
      <w:r>
        <w:rPr>
          <w:noProof/>
        </w:rPr>
        <w:t>Division 2—Reclassification</w:t>
      </w:r>
      <w:r w:rsidRPr="007553B5">
        <w:rPr>
          <w:b w:val="0"/>
          <w:noProof/>
          <w:sz w:val="18"/>
        </w:rPr>
        <w:tab/>
      </w:r>
      <w:r w:rsidRPr="007553B5">
        <w:rPr>
          <w:b w:val="0"/>
          <w:noProof/>
          <w:sz w:val="18"/>
        </w:rPr>
        <w:fldChar w:fldCharType="begin"/>
      </w:r>
      <w:r w:rsidRPr="007553B5">
        <w:rPr>
          <w:b w:val="0"/>
          <w:noProof/>
          <w:sz w:val="18"/>
        </w:rPr>
        <w:instrText xml:space="preserve"> PAGEREF _Toc74311777 \h </w:instrText>
      </w:r>
      <w:r w:rsidRPr="007553B5">
        <w:rPr>
          <w:b w:val="0"/>
          <w:noProof/>
          <w:sz w:val="18"/>
        </w:rPr>
      </w:r>
      <w:r w:rsidRPr="007553B5">
        <w:rPr>
          <w:b w:val="0"/>
          <w:noProof/>
          <w:sz w:val="18"/>
        </w:rPr>
        <w:fldChar w:fldCharType="separate"/>
      </w:r>
      <w:r w:rsidR="0066623A">
        <w:rPr>
          <w:b w:val="0"/>
          <w:noProof/>
          <w:sz w:val="18"/>
        </w:rPr>
        <w:t>10</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12</w:t>
      </w:r>
      <w:r>
        <w:rPr>
          <w:noProof/>
        </w:rPr>
        <w:tab/>
        <w:t>Dose for change of treatment category (reclassification)</w:t>
      </w:r>
      <w:r w:rsidRPr="007553B5">
        <w:rPr>
          <w:noProof/>
        </w:rPr>
        <w:tab/>
      </w:r>
      <w:r w:rsidRPr="007553B5">
        <w:rPr>
          <w:noProof/>
        </w:rPr>
        <w:fldChar w:fldCharType="begin"/>
      </w:r>
      <w:r w:rsidRPr="007553B5">
        <w:rPr>
          <w:noProof/>
        </w:rPr>
        <w:instrText xml:space="preserve"> PAGEREF _Toc74311778 \h </w:instrText>
      </w:r>
      <w:r w:rsidRPr="007553B5">
        <w:rPr>
          <w:noProof/>
        </w:rPr>
      </w:r>
      <w:r w:rsidRPr="007553B5">
        <w:rPr>
          <w:noProof/>
        </w:rPr>
        <w:fldChar w:fldCharType="separate"/>
      </w:r>
      <w:r w:rsidR="0066623A">
        <w:rPr>
          <w:noProof/>
        </w:rPr>
        <w:t>10</w:t>
      </w:r>
      <w:r w:rsidRPr="007553B5">
        <w:rPr>
          <w:noProof/>
        </w:rPr>
        <w:fldChar w:fldCharType="end"/>
      </w:r>
    </w:p>
    <w:p w:rsidR="007553B5" w:rsidRDefault="007553B5">
      <w:pPr>
        <w:pStyle w:val="TOC3"/>
        <w:rPr>
          <w:rFonts w:asciiTheme="minorHAnsi" w:eastAsiaTheme="minorEastAsia" w:hAnsiTheme="minorHAnsi" w:cstheme="minorBidi"/>
          <w:b w:val="0"/>
          <w:noProof/>
          <w:kern w:val="0"/>
          <w:szCs w:val="22"/>
        </w:rPr>
      </w:pPr>
      <w:r>
        <w:rPr>
          <w:noProof/>
        </w:rPr>
        <w:t>Division 3—Recommenced treatment</w:t>
      </w:r>
      <w:r w:rsidRPr="007553B5">
        <w:rPr>
          <w:b w:val="0"/>
          <w:noProof/>
          <w:sz w:val="18"/>
        </w:rPr>
        <w:tab/>
      </w:r>
      <w:r w:rsidRPr="007553B5">
        <w:rPr>
          <w:b w:val="0"/>
          <w:noProof/>
          <w:sz w:val="18"/>
        </w:rPr>
        <w:fldChar w:fldCharType="begin"/>
      </w:r>
      <w:r w:rsidRPr="007553B5">
        <w:rPr>
          <w:b w:val="0"/>
          <w:noProof/>
          <w:sz w:val="18"/>
        </w:rPr>
        <w:instrText xml:space="preserve"> PAGEREF _Toc74311779 \h </w:instrText>
      </w:r>
      <w:r w:rsidRPr="007553B5">
        <w:rPr>
          <w:b w:val="0"/>
          <w:noProof/>
          <w:sz w:val="18"/>
        </w:rPr>
      </w:r>
      <w:r w:rsidRPr="007553B5">
        <w:rPr>
          <w:b w:val="0"/>
          <w:noProof/>
          <w:sz w:val="18"/>
        </w:rPr>
        <w:fldChar w:fldCharType="separate"/>
      </w:r>
      <w:r w:rsidR="0066623A">
        <w:rPr>
          <w:b w:val="0"/>
          <w:noProof/>
          <w:sz w:val="18"/>
        </w:rPr>
        <w:t>11</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13</w:t>
      </w:r>
      <w:r>
        <w:rPr>
          <w:noProof/>
        </w:rPr>
        <w:tab/>
        <w:t>Dose for recommenced treatment</w:t>
      </w:r>
      <w:r w:rsidRPr="007553B5">
        <w:rPr>
          <w:noProof/>
        </w:rPr>
        <w:tab/>
      </w:r>
      <w:r w:rsidRPr="007553B5">
        <w:rPr>
          <w:noProof/>
        </w:rPr>
        <w:fldChar w:fldCharType="begin"/>
      </w:r>
      <w:r w:rsidRPr="007553B5">
        <w:rPr>
          <w:noProof/>
        </w:rPr>
        <w:instrText xml:space="preserve"> PAGEREF _Toc74311780 \h </w:instrText>
      </w:r>
      <w:r w:rsidRPr="007553B5">
        <w:rPr>
          <w:noProof/>
        </w:rPr>
      </w:r>
      <w:r w:rsidRPr="007553B5">
        <w:rPr>
          <w:noProof/>
        </w:rPr>
        <w:fldChar w:fldCharType="separate"/>
      </w:r>
      <w:r w:rsidR="0066623A">
        <w:rPr>
          <w:noProof/>
        </w:rPr>
        <w:t>11</w:t>
      </w:r>
      <w:r w:rsidRPr="007553B5">
        <w:rPr>
          <w:noProof/>
        </w:rPr>
        <w:fldChar w:fldCharType="end"/>
      </w:r>
    </w:p>
    <w:p w:rsidR="007553B5" w:rsidRDefault="007553B5">
      <w:pPr>
        <w:pStyle w:val="TOC2"/>
        <w:rPr>
          <w:rFonts w:asciiTheme="minorHAnsi" w:eastAsiaTheme="minorEastAsia" w:hAnsiTheme="minorHAnsi" w:cstheme="minorBidi"/>
          <w:b w:val="0"/>
          <w:noProof/>
          <w:kern w:val="0"/>
          <w:sz w:val="22"/>
          <w:szCs w:val="22"/>
        </w:rPr>
      </w:pPr>
      <w:r>
        <w:rPr>
          <w:noProof/>
        </w:rPr>
        <w:t>Part 4—Payment amounts</w:t>
      </w:r>
      <w:r w:rsidRPr="007553B5">
        <w:rPr>
          <w:b w:val="0"/>
          <w:noProof/>
          <w:sz w:val="18"/>
        </w:rPr>
        <w:tab/>
      </w:r>
      <w:r w:rsidRPr="007553B5">
        <w:rPr>
          <w:b w:val="0"/>
          <w:noProof/>
          <w:sz w:val="18"/>
        </w:rPr>
        <w:fldChar w:fldCharType="begin"/>
      </w:r>
      <w:r w:rsidRPr="007553B5">
        <w:rPr>
          <w:b w:val="0"/>
          <w:noProof/>
          <w:sz w:val="18"/>
        </w:rPr>
        <w:instrText xml:space="preserve"> PAGEREF _Toc74311781 \h </w:instrText>
      </w:r>
      <w:r w:rsidRPr="007553B5">
        <w:rPr>
          <w:b w:val="0"/>
          <w:noProof/>
          <w:sz w:val="18"/>
        </w:rPr>
      </w:r>
      <w:r w:rsidRPr="007553B5">
        <w:rPr>
          <w:b w:val="0"/>
          <w:noProof/>
          <w:sz w:val="18"/>
        </w:rPr>
        <w:fldChar w:fldCharType="separate"/>
      </w:r>
      <w:r w:rsidR="0066623A">
        <w:rPr>
          <w:b w:val="0"/>
          <w:noProof/>
          <w:sz w:val="18"/>
        </w:rPr>
        <w:t>12</w:t>
      </w:r>
      <w:r w:rsidRPr="007553B5">
        <w:rPr>
          <w:b w:val="0"/>
          <w:noProof/>
          <w:sz w:val="18"/>
        </w:rPr>
        <w:fldChar w:fldCharType="end"/>
      </w:r>
    </w:p>
    <w:p w:rsidR="007553B5" w:rsidRDefault="007553B5">
      <w:pPr>
        <w:pStyle w:val="TOC3"/>
        <w:rPr>
          <w:rFonts w:asciiTheme="minorHAnsi" w:eastAsiaTheme="minorEastAsia" w:hAnsiTheme="minorHAnsi" w:cstheme="minorBidi"/>
          <w:b w:val="0"/>
          <w:noProof/>
          <w:kern w:val="0"/>
          <w:szCs w:val="22"/>
        </w:rPr>
      </w:pPr>
      <w:r>
        <w:rPr>
          <w:noProof/>
        </w:rPr>
        <w:t>Division 1—Payments to suppliers that are approved hospital authorities for public hospitals</w:t>
      </w:r>
      <w:r w:rsidRPr="007553B5">
        <w:rPr>
          <w:b w:val="0"/>
          <w:noProof/>
          <w:sz w:val="18"/>
        </w:rPr>
        <w:tab/>
      </w:r>
      <w:r w:rsidRPr="007553B5">
        <w:rPr>
          <w:b w:val="0"/>
          <w:noProof/>
          <w:sz w:val="18"/>
        </w:rPr>
        <w:fldChar w:fldCharType="begin"/>
      </w:r>
      <w:r w:rsidRPr="007553B5">
        <w:rPr>
          <w:b w:val="0"/>
          <w:noProof/>
          <w:sz w:val="18"/>
        </w:rPr>
        <w:instrText xml:space="preserve"> PAGEREF _Toc74311782 \h </w:instrText>
      </w:r>
      <w:r w:rsidRPr="007553B5">
        <w:rPr>
          <w:b w:val="0"/>
          <w:noProof/>
          <w:sz w:val="18"/>
        </w:rPr>
      </w:r>
      <w:r w:rsidRPr="007553B5">
        <w:rPr>
          <w:b w:val="0"/>
          <w:noProof/>
          <w:sz w:val="18"/>
        </w:rPr>
        <w:fldChar w:fldCharType="separate"/>
      </w:r>
      <w:r w:rsidR="0066623A">
        <w:rPr>
          <w:b w:val="0"/>
          <w:noProof/>
          <w:sz w:val="18"/>
        </w:rPr>
        <w:t>12</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14</w:t>
      </w:r>
      <w:r>
        <w:rPr>
          <w:noProof/>
        </w:rPr>
        <w:tab/>
        <w:t>Payments to approved hospital authorities for public hospitals</w:t>
      </w:r>
      <w:r w:rsidRPr="007553B5">
        <w:rPr>
          <w:noProof/>
        </w:rPr>
        <w:tab/>
      </w:r>
      <w:r w:rsidRPr="007553B5">
        <w:rPr>
          <w:noProof/>
        </w:rPr>
        <w:fldChar w:fldCharType="begin"/>
      </w:r>
      <w:r w:rsidRPr="007553B5">
        <w:rPr>
          <w:noProof/>
        </w:rPr>
        <w:instrText xml:space="preserve"> PAGEREF _Toc74311783 \h </w:instrText>
      </w:r>
      <w:r w:rsidRPr="007553B5">
        <w:rPr>
          <w:noProof/>
        </w:rPr>
      </w:r>
      <w:r w:rsidRPr="007553B5">
        <w:rPr>
          <w:noProof/>
        </w:rPr>
        <w:fldChar w:fldCharType="separate"/>
      </w:r>
      <w:r w:rsidR="0066623A">
        <w:rPr>
          <w:noProof/>
        </w:rPr>
        <w:t>12</w:t>
      </w:r>
      <w:r w:rsidRPr="007553B5">
        <w:rPr>
          <w:noProof/>
        </w:rPr>
        <w:fldChar w:fldCharType="end"/>
      </w:r>
    </w:p>
    <w:p w:rsidR="007553B5" w:rsidRDefault="007553B5">
      <w:pPr>
        <w:pStyle w:val="TOC3"/>
        <w:rPr>
          <w:rFonts w:asciiTheme="minorHAnsi" w:eastAsiaTheme="minorEastAsia" w:hAnsiTheme="minorHAnsi" w:cstheme="minorBidi"/>
          <w:b w:val="0"/>
          <w:noProof/>
          <w:kern w:val="0"/>
          <w:szCs w:val="22"/>
        </w:rPr>
      </w:pPr>
      <w:r>
        <w:rPr>
          <w:noProof/>
        </w:rPr>
        <w:t>Division 2—Payments to suppliers that are approved hospital authorities for private hospitals, approved pharmacies or approved medical practitioners</w:t>
      </w:r>
      <w:r w:rsidRPr="007553B5">
        <w:rPr>
          <w:b w:val="0"/>
          <w:noProof/>
          <w:sz w:val="18"/>
        </w:rPr>
        <w:tab/>
      </w:r>
      <w:r w:rsidRPr="007553B5">
        <w:rPr>
          <w:b w:val="0"/>
          <w:noProof/>
          <w:sz w:val="18"/>
        </w:rPr>
        <w:fldChar w:fldCharType="begin"/>
      </w:r>
      <w:r w:rsidRPr="007553B5">
        <w:rPr>
          <w:b w:val="0"/>
          <w:noProof/>
          <w:sz w:val="18"/>
        </w:rPr>
        <w:instrText xml:space="preserve"> PAGEREF _Toc74311784 \h </w:instrText>
      </w:r>
      <w:r w:rsidRPr="007553B5">
        <w:rPr>
          <w:b w:val="0"/>
          <w:noProof/>
          <w:sz w:val="18"/>
        </w:rPr>
      </w:r>
      <w:r w:rsidRPr="007553B5">
        <w:rPr>
          <w:b w:val="0"/>
          <w:noProof/>
          <w:sz w:val="18"/>
        </w:rPr>
        <w:fldChar w:fldCharType="separate"/>
      </w:r>
      <w:r w:rsidR="0066623A">
        <w:rPr>
          <w:b w:val="0"/>
          <w:noProof/>
          <w:sz w:val="18"/>
        </w:rPr>
        <w:t>13</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15</w:t>
      </w:r>
      <w:r>
        <w:rPr>
          <w:noProof/>
        </w:rPr>
        <w:tab/>
        <w:t>Payments to certain suppliers of pharmaceutical benefits</w:t>
      </w:r>
      <w:r w:rsidRPr="007553B5">
        <w:rPr>
          <w:noProof/>
        </w:rPr>
        <w:tab/>
      </w:r>
      <w:r w:rsidRPr="007553B5">
        <w:rPr>
          <w:noProof/>
        </w:rPr>
        <w:fldChar w:fldCharType="begin"/>
      </w:r>
      <w:r w:rsidRPr="007553B5">
        <w:rPr>
          <w:noProof/>
        </w:rPr>
        <w:instrText xml:space="preserve"> PAGEREF _Toc74311785 \h </w:instrText>
      </w:r>
      <w:r w:rsidRPr="007553B5">
        <w:rPr>
          <w:noProof/>
        </w:rPr>
      </w:r>
      <w:r w:rsidRPr="007553B5">
        <w:rPr>
          <w:noProof/>
        </w:rPr>
        <w:fldChar w:fldCharType="separate"/>
      </w:r>
      <w:r w:rsidR="0066623A">
        <w:rPr>
          <w:noProof/>
        </w:rPr>
        <w:t>13</w:t>
      </w:r>
      <w:r w:rsidRPr="007553B5">
        <w:rPr>
          <w:noProof/>
        </w:rPr>
        <w:fldChar w:fldCharType="end"/>
      </w:r>
    </w:p>
    <w:p w:rsidR="007553B5" w:rsidRDefault="007553B5">
      <w:pPr>
        <w:pStyle w:val="TOC2"/>
        <w:rPr>
          <w:rFonts w:asciiTheme="minorHAnsi" w:eastAsiaTheme="minorEastAsia" w:hAnsiTheme="minorHAnsi" w:cstheme="minorBidi"/>
          <w:b w:val="0"/>
          <w:noProof/>
          <w:kern w:val="0"/>
          <w:sz w:val="22"/>
          <w:szCs w:val="22"/>
        </w:rPr>
      </w:pPr>
      <w:r>
        <w:rPr>
          <w:noProof/>
        </w:rPr>
        <w:t>Part 5—Dispensed price</w:t>
      </w:r>
      <w:r w:rsidRPr="007553B5">
        <w:rPr>
          <w:b w:val="0"/>
          <w:noProof/>
          <w:sz w:val="18"/>
        </w:rPr>
        <w:tab/>
      </w:r>
      <w:r w:rsidRPr="007553B5">
        <w:rPr>
          <w:b w:val="0"/>
          <w:noProof/>
          <w:sz w:val="18"/>
        </w:rPr>
        <w:fldChar w:fldCharType="begin"/>
      </w:r>
      <w:r w:rsidRPr="007553B5">
        <w:rPr>
          <w:b w:val="0"/>
          <w:noProof/>
          <w:sz w:val="18"/>
        </w:rPr>
        <w:instrText xml:space="preserve"> PAGEREF _Toc74311786 \h </w:instrText>
      </w:r>
      <w:r w:rsidRPr="007553B5">
        <w:rPr>
          <w:b w:val="0"/>
          <w:noProof/>
          <w:sz w:val="18"/>
        </w:rPr>
      </w:r>
      <w:r w:rsidRPr="007553B5">
        <w:rPr>
          <w:b w:val="0"/>
          <w:noProof/>
          <w:sz w:val="18"/>
        </w:rPr>
        <w:fldChar w:fldCharType="separate"/>
      </w:r>
      <w:r w:rsidR="0066623A">
        <w:rPr>
          <w:b w:val="0"/>
          <w:noProof/>
          <w:sz w:val="18"/>
        </w:rPr>
        <w:t>14</w:t>
      </w:r>
      <w:r w:rsidRPr="007553B5">
        <w:rPr>
          <w:b w:val="0"/>
          <w:noProof/>
          <w:sz w:val="18"/>
        </w:rPr>
        <w:fldChar w:fldCharType="end"/>
      </w:r>
    </w:p>
    <w:p w:rsidR="007553B5" w:rsidRDefault="007553B5">
      <w:pPr>
        <w:pStyle w:val="TOC3"/>
        <w:rPr>
          <w:rFonts w:asciiTheme="minorHAnsi" w:eastAsiaTheme="minorEastAsia" w:hAnsiTheme="minorHAnsi" w:cstheme="minorBidi"/>
          <w:b w:val="0"/>
          <w:noProof/>
          <w:kern w:val="0"/>
          <w:szCs w:val="22"/>
        </w:rPr>
      </w:pPr>
      <w:r>
        <w:rPr>
          <w:noProof/>
        </w:rPr>
        <w:t>Division 1—Dispensed price for supply of a pharmaceutical benefit by a hospital authority for a public hospital</w:t>
      </w:r>
      <w:r w:rsidRPr="007553B5">
        <w:rPr>
          <w:b w:val="0"/>
          <w:noProof/>
          <w:sz w:val="18"/>
        </w:rPr>
        <w:tab/>
      </w:r>
      <w:r w:rsidRPr="007553B5">
        <w:rPr>
          <w:b w:val="0"/>
          <w:noProof/>
          <w:sz w:val="18"/>
        </w:rPr>
        <w:fldChar w:fldCharType="begin"/>
      </w:r>
      <w:r w:rsidRPr="007553B5">
        <w:rPr>
          <w:b w:val="0"/>
          <w:noProof/>
          <w:sz w:val="18"/>
        </w:rPr>
        <w:instrText xml:space="preserve"> PAGEREF _Toc74311787 \h </w:instrText>
      </w:r>
      <w:r w:rsidRPr="007553B5">
        <w:rPr>
          <w:b w:val="0"/>
          <w:noProof/>
          <w:sz w:val="18"/>
        </w:rPr>
      </w:r>
      <w:r w:rsidRPr="007553B5">
        <w:rPr>
          <w:b w:val="0"/>
          <w:noProof/>
          <w:sz w:val="18"/>
        </w:rPr>
        <w:fldChar w:fldCharType="separate"/>
      </w:r>
      <w:r w:rsidR="0066623A">
        <w:rPr>
          <w:b w:val="0"/>
          <w:noProof/>
          <w:sz w:val="18"/>
        </w:rPr>
        <w:t>14</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16</w:t>
      </w:r>
      <w:r>
        <w:rPr>
          <w:noProof/>
        </w:rPr>
        <w:tab/>
        <w:t>The dispensed price—supply by public hospital</w:t>
      </w:r>
      <w:r w:rsidRPr="007553B5">
        <w:rPr>
          <w:noProof/>
        </w:rPr>
        <w:tab/>
      </w:r>
      <w:r w:rsidRPr="007553B5">
        <w:rPr>
          <w:noProof/>
        </w:rPr>
        <w:fldChar w:fldCharType="begin"/>
      </w:r>
      <w:r w:rsidRPr="007553B5">
        <w:rPr>
          <w:noProof/>
        </w:rPr>
        <w:instrText xml:space="preserve"> PAGEREF _Toc74311788 \h </w:instrText>
      </w:r>
      <w:r w:rsidRPr="007553B5">
        <w:rPr>
          <w:noProof/>
        </w:rPr>
      </w:r>
      <w:r w:rsidRPr="007553B5">
        <w:rPr>
          <w:noProof/>
        </w:rPr>
        <w:fldChar w:fldCharType="separate"/>
      </w:r>
      <w:r w:rsidR="0066623A">
        <w:rPr>
          <w:noProof/>
        </w:rPr>
        <w:t>14</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lastRenderedPageBreak/>
        <w:t>17</w:t>
      </w:r>
      <w:r>
        <w:rPr>
          <w:noProof/>
        </w:rPr>
        <w:tab/>
        <w:t>Where quantity is less than a pack quantity</w:t>
      </w:r>
      <w:r w:rsidRPr="007553B5">
        <w:rPr>
          <w:noProof/>
        </w:rPr>
        <w:tab/>
      </w:r>
      <w:r w:rsidRPr="007553B5">
        <w:rPr>
          <w:noProof/>
        </w:rPr>
        <w:fldChar w:fldCharType="begin"/>
      </w:r>
      <w:r w:rsidRPr="007553B5">
        <w:rPr>
          <w:noProof/>
        </w:rPr>
        <w:instrText xml:space="preserve"> PAGEREF _Toc74311789 \h </w:instrText>
      </w:r>
      <w:r w:rsidRPr="007553B5">
        <w:rPr>
          <w:noProof/>
        </w:rPr>
      </w:r>
      <w:r w:rsidRPr="007553B5">
        <w:rPr>
          <w:noProof/>
        </w:rPr>
        <w:fldChar w:fldCharType="separate"/>
      </w:r>
      <w:r w:rsidR="0066623A">
        <w:rPr>
          <w:noProof/>
        </w:rPr>
        <w:t>14</w:t>
      </w:r>
      <w:r w:rsidRPr="007553B5">
        <w:rPr>
          <w:noProof/>
        </w:rPr>
        <w:fldChar w:fldCharType="end"/>
      </w:r>
    </w:p>
    <w:p w:rsidR="007553B5" w:rsidRDefault="007553B5">
      <w:pPr>
        <w:pStyle w:val="TOC3"/>
        <w:rPr>
          <w:rFonts w:asciiTheme="minorHAnsi" w:eastAsiaTheme="minorEastAsia" w:hAnsiTheme="minorHAnsi" w:cstheme="minorBidi"/>
          <w:b w:val="0"/>
          <w:noProof/>
          <w:kern w:val="0"/>
          <w:szCs w:val="22"/>
        </w:rPr>
      </w:pPr>
      <w:r>
        <w:rPr>
          <w:noProof/>
        </w:rPr>
        <w:t>Division 2—Dispensed price for supply of a pharmaceutical benefit by certain suppliers</w:t>
      </w:r>
      <w:r w:rsidRPr="007553B5">
        <w:rPr>
          <w:b w:val="0"/>
          <w:noProof/>
          <w:sz w:val="18"/>
        </w:rPr>
        <w:tab/>
      </w:r>
      <w:r w:rsidRPr="007553B5">
        <w:rPr>
          <w:b w:val="0"/>
          <w:noProof/>
          <w:sz w:val="18"/>
        </w:rPr>
        <w:fldChar w:fldCharType="begin"/>
      </w:r>
      <w:r w:rsidRPr="007553B5">
        <w:rPr>
          <w:b w:val="0"/>
          <w:noProof/>
          <w:sz w:val="18"/>
        </w:rPr>
        <w:instrText xml:space="preserve"> PAGEREF _Toc74311790 \h </w:instrText>
      </w:r>
      <w:r w:rsidRPr="007553B5">
        <w:rPr>
          <w:b w:val="0"/>
          <w:noProof/>
          <w:sz w:val="18"/>
        </w:rPr>
      </w:r>
      <w:r w:rsidRPr="007553B5">
        <w:rPr>
          <w:b w:val="0"/>
          <w:noProof/>
          <w:sz w:val="18"/>
        </w:rPr>
        <w:fldChar w:fldCharType="separate"/>
      </w:r>
      <w:r w:rsidR="0066623A">
        <w:rPr>
          <w:b w:val="0"/>
          <w:noProof/>
          <w:sz w:val="18"/>
        </w:rPr>
        <w:t>15</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18</w:t>
      </w:r>
      <w:r>
        <w:rPr>
          <w:noProof/>
        </w:rPr>
        <w:tab/>
        <w:t>The dispensed price—supply by an approved hospital authority for a private hospital, an approved pharmacist or an approved medical practitioner</w:t>
      </w:r>
      <w:r w:rsidRPr="007553B5">
        <w:rPr>
          <w:noProof/>
        </w:rPr>
        <w:tab/>
      </w:r>
      <w:r w:rsidRPr="007553B5">
        <w:rPr>
          <w:noProof/>
        </w:rPr>
        <w:fldChar w:fldCharType="begin"/>
      </w:r>
      <w:r w:rsidRPr="007553B5">
        <w:rPr>
          <w:noProof/>
        </w:rPr>
        <w:instrText xml:space="preserve"> PAGEREF _Toc74311791 \h </w:instrText>
      </w:r>
      <w:r w:rsidRPr="007553B5">
        <w:rPr>
          <w:noProof/>
        </w:rPr>
      </w:r>
      <w:r w:rsidRPr="007553B5">
        <w:rPr>
          <w:noProof/>
        </w:rPr>
        <w:fldChar w:fldCharType="separate"/>
      </w:r>
      <w:r w:rsidR="0066623A">
        <w:rPr>
          <w:noProof/>
        </w:rPr>
        <w:t>15</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19</w:t>
      </w:r>
      <w:r>
        <w:rPr>
          <w:noProof/>
        </w:rPr>
        <w:tab/>
        <w:t>Mark</w:t>
      </w:r>
      <w:r>
        <w:rPr>
          <w:noProof/>
        </w:rPr>
        <w:noBreakHyphen/>
        <w:t>up</w:t>
      </w:r>
      <w:r w:rsidRPr="007553B5">
        <w:rPr>
          <w:noProof/>
        </w:rPr>
        <w:tab/>
      </w:r>
      <w:r w:rsidRPr="007553B5">
        <w:rPr>
          <w:noProof/>
        </w:rPr>
        <w:fldChar w:fldCharType="begin"/>
      </w:r>
      <w:r w:rsidRPr="007553B5">
        <w:rPr>
          <w:noProof/>
        </w:rPr>
        <w:instrText xml:space="preserve"> PAGEREF _Toc74311792 \h </w:instrText>
      </w:r>
      <w:r w:rsidRPr="007553B5">
        <w:rPr>
          <w:noProof/>
        </w:rPr>
      </w:r>
      <w:r w:rsidRPr="007553B5">
        <w:rPr>
          <w:noProof/>
        </w:rPr>
        <w:fldChar w:fldCharType="separate"/>
      </w:r>
      <w:r w:rsidR="0066623A">
        <w:rPr>
          <w:noProof/>
        </w:rPr>
        <w:t>15</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20</w:t>
      </w:r>
      <w:r>
        <w:rPr>
          <w:noProof/>
        </w:rPr>
        <w:tab/>
        <w:t>Where quantity is less than a pack quantity</w:t>
      </w:r>
      <w:r w:rsidRPr="007553B5">
        <w:rPr>
          <w:noProof/>
        </w:rPr>
        <w:tab/>
      </w:r>
      <w:r w:rsidRPr="007553B5">
        <w:rPr>
          <w:noProof/>
        </w:rPr>
        <w:fldChar w:fldCharType="begin"/>
      </w:r>
      <w:r w:rsidRPr="007553B5">
        <w:rPr>
          <w:noProof/>
        </w:rPr>
        <w:instrText xml:space="preserve"> PAGEREF _Toc74311793 \h </w:instrText>
      </w:r>
      <w:r w:rsidRPr="007553B5">
        <w:rPr>
          <w:noProof/>
        </w:rPr>
      </w:r>
      <w:r w:rsidRPr="007553B5">
        <w:rPr>
          <w:noProof/>
        </w:rPr>
        <w:fldChar w:fldCharType="separate"/>
      </w:r>
      <w:r w:rsidR="0066623A">
        <w:rPr>
          <w:noProof/>
        </w:rPr>
        <w:t>16</w:t>
      </w:r>
      <w:r w:rsidRPr="007553B5">
        <w:rPr>
          <w:noProof/>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21</w:t>
      </w:r>
      <w:r>
        <w:rPr>
          <w:noProof/>
        </w:rPr>
        <w:tab/>
        <w:t>Dispensing fee</w:t>
      </w:r>
      <w:r w:rsidRPr="007553B5">
        <w:rPr>
          <w:noProof/>
        </w:rPr>
        <w:tab/>
      </w:r>
      <w:r w:rsidRPr="007553B5">
        <w:rPr>
          <w:noProof/>
        </w:rPr>
        <w:fldChar w:fldCharType="begin"/>
      </w:r>
      <w:r w:rsidRPr="007553B5">
        <w:rPr>
          <w:noProof/>
        </w:rPr>
        <w:instrText xml:space="preserve"> PAGEREF _Toc74311794 \h </w:instrText>
      </w:r>
      <w:r w:rsidRPr="007553B5">
        <w:rPr>
          <w:noProof/>
        </w:rPr>
      </w:r>
      <w:r w:rsidRPr="007553B5">
        <w:rPr>
          <w:noProof/>
        </w:rPr>
        <w:fldChar w:fldCharType="separate"/>
      </w:r>
      <w:r w:rsidR="0066623A">
        <w:rPr>
          <w:noProof/>
        </w:rPr>
        <w:t>16</w:t>
      </w:r>
      <w:r w:rsidRPr="007553B5">
        <w:rPr>
          <w:noProof/>
        </w:rPr>
        <w:fldChar w:fldCharType="end"/>
      </w:r>
    </w:p>
    <w:p w:rsidR="007553B5" w:rsidRDefault="007553B5">
      <w:pPr>
        <w:pStyle w:val="TOC3"/>
        <w:rPr>
          <w:rFonts w:asciiTheme="minorHAnsi" w:eastAsiaTheme="minorEastAsia" w:hAnsiTheme="minorHAnsi" w:cstheme="minorBidi"/>
          <w:b w:val="0"/>
          <w:noProof/>
          <w:kern w:val="0"/>
          <w:szCs w:val="22"/>
        </w:rPr>
      </w:pPr>
      <w:r>
        <w:rPr>
          <w:noProof/>
        </w:rPr>
        <w:t>Division 3—Dispensed price—Other matters</w:t>
      </w:r>
      <w:r w:rsidRPr="007553B5">
        <w:rPr>
          <w:b w:val="0"/>
          <w:noProof/>
          <w:sz w:val="18"/>
        </w:rPr>
        <w:tab/>
      </w:r>
      <w:r w:rsidRPr="007553B5">
        <w:rPr>
          <w:b w:val="0"/>
          <w:noProof/>
          <w:sz w:val="18"/>
        </w:rPr>
        <w:fldChar w:fldCharType="begin"/>
      </w:r>
      <w:r w:rsidRPr="007553B5">
        <w:rPr>
          <w:b w:val="0"/>
          <w:noProof/>
          <w:sz w:val="18"/>
        </w:rPr>
        <w:instrText xml:space="preserve"> PAGEREF _Toc74311795 \h </w:instrText>
      </w:r>
      <w:r w:rsidRPr="007553B5">
        <w:rPr>
          <w:b w:val="0"/>
          <w:noProof/>
          <w:sz w:val="18"/>
        </w:rPr>
      </w:r>
      <w:r w:rsidRPr="007553B5">
        <w:rPr>
          <w:b w:val="0"/>
          <w:noProof/>
          <w:sz w:val="18"/>
        </w:rPr>
        <w:fldChar w:fldCharType="separate"/>
      </w:r>
      <w:r w:rsidR="0066623A">
        <w:rPr>
          <w:b w:val="0"/>
          <w:noProof/>
          <w:sz w:val="18"/>
        </w:rPr>
        <w:t>17</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22</w:t>
      </w:r>
      <w:r>
        <w:rPr>
          <w:noProof/>
        </w:rPr>
        <w:tab/>
        <w:t>Rounding up of dispensed price</w:t>
      </w:r>
      <w:r w:rsidRPr="007553B5">
        <w:rPr>
          <w:noProof/>
        </w:rPr>
        <w:tab/>
      </w:r>
      <w:r w:rsidRPr="007553B5">
        <w:rPr>
          <w:noProof/>
        </w:rPr>
        <w:fldChar w:fldCharType="begin"/>
      </w:r>
      <w:r w:rsidRPr="007553B5">
        <w:rPr>
          <w:noProof/>
        </w:rPr>
        <w:instrText xml:space="preserve"> PAGEREF _Toc74311796 \h </w:instrText>
      </w:r>
      <w:r w:rsidRPr="007553B5">
        <w:rPr>
          <w:noProof/>
        </w:rPr>
      </w:r>
      <w:r w:rsidRPr="007553B5">
        <w:rPr>
          <w:noProof/>
        </w:rPr>
        <w:fldChar w:fldCharType="separate"/>
      </w:r>
      <w:r w:rsidR="0066623A">
        <w:rPr>
          <w:noProof/>
        </w:rPr>
        <w:t>17</w:t>
      </w:r>
      <w:r w:rsidRPr="007553B5">
        <w:rPr>
          <w:noProof/>
        </w:rPr>
        <w:fldChar w:fldCharType="end"/>
      </w:r>
    </w:p>
    <w:p w:rsidR="007553B5" w:rsidRDefault="007553B5">
      <w:pPr>
        <w:pStyle w:val="TOC2"/>
        <w:rPr>
          <w:rFonts w:asciiTheme="minorHAnsi" w:eastAsiaTheme="minorEastAsia" w:hAnsiTheme="minorHAnsi" w:cstheme="minorBidi"/>
          <w:b w:val="0"/>
          <w:noProof/>
          <w:kern w:val="0"/>
          <w:sz w:val="22"/>
          <w:szCs w:val="22"/>
        </w:rPr>
      </w:pPr>
      <w:r>
        <w:rPr>
          <w:noProof/>
        </w:rPr>
        <w:t>Part 6—Patient contributions</w:t>
      </w:r>
      <w:r w:rsidRPr="007553B5">
        <w:rPr>
          <w:b w:val="0"/>
          <w:noProof/>
          <w:sz w:val="18"/>
        </w:rPr>
        <w:tab/>
      </w:r>
      <w:r w:rsidRPr="007553B5">
        <w:rPr>
          <w:b w:val="0"/>
          <w:noProof/>
          <w:sz w:val="18"/>
        </w:rPr>
        <w:fldChar w:fldCharType="begin"/>
      </w:r>
      <w:r w:rsidRPr="007553B5">
        <w:rPr>
          <w:b w:val="0"/>
          <w:noProof/>
          <w:sz w:val="18"/>
        </w:rPr>
        <w:instrText xml:space="preserve"> PAGEREF _Toc74311797 \h </w:instrText>
      </w:r>
      <w:r w:rsidRPr="007553B5">
        <w:rPr>
          <w:b w:val="0"/>
          <w:noProof/>
          <w:sz w:val="18"/>
        </w:rPr>
      </w:r>
      <w:r w:rsidRPr="007553B5">
        <w:rPr>
          <w:b w:val="0"/>
          <w:noProof/>
          <w:sz w:val="18"/>
        </w:rPr>
        <w:fldChar w:fldCharType="separate"/>
      </w:r>
      <w:r w:rsidR="0066623A">
        <w:rPr>
          <w:b w:val="0"/>
          <w:noProof/>
          <w:sz w:val="18"/>
        </w:rPr>
        <w:t>18</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23</w:t>
      </w:r>
      <w:r>
        <w:rPr>
          <w:noProof/>
        </w:rPr>
        <w:tab/>
        <w:t>Patient contributions</w:t>
      </w:r>
      <w:r w:rsidRPr="007553B5">
        <w:rPr>
          <w:noProof/>
        </w:rPr>
        <w:tab/>
      </w:r>
      <w:r w:rsidRPr="007553B5">
        <w:rPr>
          <w:noProof/>
        </w:rPr>
        <w:fldChar w:fldCharType="begin"/>
      </w:r>
      <w:r w:rsidRPr="007553B5">
        <w:rPr>
          <w:noProof/>
        </w:rPr>
        <w:instrText xml:space="preserve"> PAGEREF _Toc74311798 \h </w:instrText>
      </w:r>
      <w:r w:rsidRPr="007553B5">
        <w:rPr>
          <w:noProof/>
        </w:rPr>
      </w:r>
      <w:r w:rsidRPr="007553B5">
        <w:rPr>
          <w:noProof/>
        </w:rPr>
        <w:fldChar w:fldCharType="separate"/>
      </w:r>
      <w:r w:rsidR="0066623A">
        <w:rPr>
          <w:noProof/>
        </w:rPr>
        <w:t>18</w:t>
      </w:r>
      <w:r w:rsidRPr="007553B5">
        <w:rPr>
          <w:noProof/>
        </w:rPr>
        <w:fldChar w:fldCharType="end"/>
      </w:r>
    </w:p>
    <w:p w:rsidR="007553B5" w:rsidRDefault="007553B5">
      <w:pPr>
        <w:pStyle w:val="TOC2"/>
        <w:rPr>
          <w:rFonts w:asciiTheme="minorHAnsi" w:eastAsiaTheme="minorEastAsia" w:hAnsiTheme="minorHAnsi" w:cstheme="minorBidi"/>
          <w:b w:val="0"/>
          <w:noProof/>
          <w:kern w:val="0"/>
          <w:sz w:val="22"/>
          <w:szCs w:val="22"/>
        </w:rPr>
      </w:pPr>
      <w:r>
        <w:rPr>
          <w:noProof/>
        </w:rPr>
        <w:t>Part 7—Approved Hospital Authorities</w:t>
      </w:r>
      <w:r w:rsidRPr="007553B5">
        <w:rPr>
          <w:b w:val="0"/>
          <w:noProof/>
          <w:sz w:val="18"/>
        </w:rPr>
        <w:tab/>
      </w:r>
      <w:r w:rsidRPr="007553B5">
        <w:rPr>
          <w:b w:val="0"/>
          <w:noProof/>
          <w:sz w:val="18"/>
        </w:rPr>
        <w:fldChar w:fldCharType="begin"/>
      </w:r>
      <w:r w:rsidRPr="007553B5">
        <w:rPr>
          <w:b w:val="0"/>
          <w:noProof/>
          <w:sz w:val="18"/>
        </w:rPr>
        <w:instrText xml:space="preserve"> PAGEREF _Toc74311799 \h </w:instrText>
      </w:r>
      <w:r w:rsidRPr="007553B5">
        <w:rPr>
          <w:b w:val="0"/>
          <w:noProof/>
          <w:sz w:val="18"/>
        </w:rPr>
      </w:r>
      <w:r w:rsidRPr="007553B5">
        <w:rPr>
          <w:b w:val="0"/>
          <w:noProof/>
          <w:sz w:val="18"/>
        </w:rPr>
        <w:fldChar w:fldCharType="separate"/>
      </w:r>
      <w:r w:rsidR="0066623A">
        <w:rPr>
          <w:b w:val="0"/>
          <w:noProof/>
          <w:sz w:val="18"/>
        </w:rPr>
        <w:t>19</w:t>
      </w:r>
      <w:r w:rsidRPr="007553B5">
        <w:rPr>
          <w:b w:val="0"/>
          <w:noProof/>
          <w:sz w:val="18"/>
        </w:rPr>
        <w:fldChar w:fldCharType="end"/>
      </w:r>
    </w:p>
    <w:p w:rsidR="007553B5" w:rsidRDefault="007553B5">
      <w:pPr>
        <w:pStyle w:val="TOC5"/>
        <w:rPr>
          <w:rFonts w:asciiTheme="minorHAnsi" w:eastAsiaTheme="minorEastAsia" w:hAnsiTheme="minorHAnsi" w:cstheme="minorBidi"/>
          <w:noProof/>
          <w:kern w:val="0"/>
          <w:sz w:val="22"/>
          <w:szCs w:val="22"/>
        </w:rPr>
      </w:pPr>
      <w:r>
        <w:rPr>
          <w:noProof/>
        </w:rPr>
        <w:t>24</w:t>
      </w:r>
      <w:r>
        <w:rPr>
          <w:noProof/>
        </w:rPr>
        <w:tab/>
        <w:t>Modified application of section 94 approved hospital authorities</w:t>
      </w:r>
      <w:r w:rsidRPr="007553B5">
        <w:rPr>
          <w:noProof/>
        </w:rPr>
        <w:tab/>
      </w:r>
      <w:r w:rsidRPr="007553B5">
        <w:rPr>
          <w:noProof/>
        </w:rPr>
        <w:fldChar w:fldCharType="begin"/>
      </w:r>
      <w:r w:rsidRPr="007553B5">
        <w:rPr>
          <w:noProof/>
        </w:rPr>
        <w:instrText xml:space="preserve"> PAGEREF _Toc74311800 \h </w:instrText>
      </w:r>
      <w:r w:rsidRPr="007553B5">
        <w:rPr>
          <w:noProof/>
        </w:rPr>
      </w:r>
      <w:r w:rsidRPr="007553B5">
        <w:rPr>
          <w:noProof/>
        </w:rPr>
        <w:fldChar w:fldCharType="separate"/>
      </w:r>
      <w:r w:rsidR="0066623A">
        <w:rPr>
          <w:noProof/>
        </w:rPr>
        <w:t>19</w:t>
      </w:r>
      <w:r w:rsidRPr="007553B5">
        <w:rPr>
          <w:noProof/>
        </w:rPr>
        <w:fldChar w:fldCharType="end"/>
      </w:r>
    </w:p>
    <w:p w:rsidR="007553B5" w:rsidRDefault="007553B5">
      <w:pPr>
        <w:pStyle w:val="TOC1"/>
        <w:rPr>
          <w:rFonts w:asciiTheme="minorHAnsi" w:eastAsiaTheme="minorEastAsia" w:hAnsiTheme="minorHAnsi" w:cstheme="minorBidi"/>
          <w:b w:val="0"/>
          <w:noProof/>
          <w:kern w:val="0"/>
          <w:sz w:val="22"/>
          <w:szCs w:val="22"/>
        </w:rPr>
      </w:pPr>
      <w:r>
        <w:rPr>
          <w:noProof/>
        </w:rPr>
        <w:t>Schedule 1—Pharmaceutical benefits covered by this Special Arrangement and related information</w:t>
      </w:r>
      <w:r w:rsidRPr="007553B5">
        <w:rPr>
          <w:b w:val="0"/>
          <w:noProof/>
          <w:sz w:val="18"/>
        </w:rPr>
        <w:tab/>
      </w:r>
      <w:r w:rsidRPr="007553B5">
        <w:rPr>
          <w:b w:val="0"/>
          <w:noProof/>
          <w:sz w:val="18"/>
        </w:rPr>
        <w:fldChar w:fldCharType="begin"/>
      </w:r>
      <w:r w:rsidRPr="007553B5">
        <w:rPr>
          <w:b w:val="0"/>
          <w:noProof/>
          <w:sz w:val="18"/>
        </w:rPr>
        <w:instrText xml:space="preserve"> PAGEREF _Toc74311801 \h </w:instrText>
      </w:r>
      <w:r w:rsidRPr="007553B5">
        <w:rPr>
          <w:b w:val="0"/>
          <w:noProof/>
          <w:sz w:val="18"/>
        </w:rPr>
      </w:r>
      <w:r w:rsidRPr="007553B5">
        <w:rPr>
          <w:b w:val="0"/>
          <w:noProof/>
          <w:sz w:val="18"/>
        </w:rPr>
        <w:fldChar w:fldCharType="separate"/>
      </w:r>
      <w:r w:rsidR="0066623A">
        <w:rPr>
          <w:b w:val="0"/>
          <w:noProof/>
          <w:sz w:val="18"/>
        </w:rPr>
        <w:t>20</w:t>
      </w:r>
      <w:r w:rsidRPr="007553B5">
        <w:rPr>
          <w:b w:val="0"/>
          <w:noProof/>
          <w:sz w:val="18"/>
        </w:rPr>
        <w:fldChar w:fldCharType="end"/>
      </w:r>
    </w:p>
    <w:p w:rsidR="007553B5" w:rsidRDefault="007553B5">
      <w:pPr>
        <w:pStyle w:val="TOC2"/>
        <w:rPr>
          <w:rFonts w:asciiTheme="minorHAnsi" w:eastAsiaTheme="minorEastAsia" w:hAnsiTheme="minorHAnsi" w:cstheme="minorBidi"/>
          <w:b w:val="0"/>
          <w:noProof/>
          <w:kern w:val="0"/>
          <w:sz w:val="22"/>
          <w:szCs w:val="22"/>
        </w:rPr>
      </w:pPr>
      <w:r>
        <w:rPr>
          <w:noProof/>
        </w:rPr>
        <w:t>Part 1—Pharmaceutical benefits for treatment of children</w:t>
      </w:r>
      <w:r w:rsidRPr="007553B5">
        <w:rPr>
          <w:b w:val="0"/>
          <w:noProof/>
          <w:sz w:val="18"/>
        </w:rPr>
        <w:tab/>
      </w:r>
      <w:r w:rsidRPr="007553B5">
        <w:rPr>
          <w:b w:val="0"/>
          <w:noProof/>
          <w:sz w:val="18"/>
        </w:rPr>
        <w:fldChar w:fldCharType="begin"/>
      </w:r>
      <w:r w:rsidRPr="007553B5">
        <w:rPr>
          <w:b w:val="0"/>
          <w:noProof/>
          <w:sz w:val="18"/>
        </w:rPr>
        <w:instrText xml:space="preserve"> PAGEREF _Toc74311802 \h </w:instrText>
      </w:r>
      <w:r w:rsidRPr="007553B5">
        <w:rPr>
          <w:b w:val="0"/>
          <w:noProof/>
          <w:sz w:val="18"/>
        </w:rPr>
      </w:r>
      <w:r w:rsidRPr="007553B5">
        <w:rPr>
          <w:b w:val="0"/>
          <w:noProof/>
          <w:sz w:val="18"/>
        </w:rPr>
        <w:fldChar w:fldCharType="separate"/>
      </w:r>
      <w:r w:rsidR="0066623A">
        <w:rPr>
          <w:b w:val="0"/>
          <w:noProof/>
          <w:sz w:val="18"/>
        </w:rPr>
        <w:t>20</w:t>
      </w:r>
      <w:r w:rsidRPr="007553B5">
        <w:rPr>
          <w:b w:val="0"/>
          <w:noProof/>
          <w:sz w:val="18"/>
        </w:rPr>
        <w:fldChar w:fldCharType="end"/>
      </w:r>
    </w:p>
    <w:p w:rsidR="007553B5" w:rsidRDefault="007553B5">
      <w:pPr>
        <w:pStyle w:val="TOC2"/>
        <w:rPr>
          <w:rFonts w:asciiTheme="minorHAnsi" w:eastAsiaTheme="minorEastAsia" w:hAnsiTheme="minorHAnsi" w:cstheme="minorBidi"/>
          <w:b w:val="0"/>
          <w:noProof/>
          <w:kern w:val="0"/>
          <w:sz w:val="22"/>
          <w:szCs w:val="22"/>
        </w:rPr>
      </w:pPr>
      <w:r>
        <w:rPr>
          <w:noProof/>
        </w:rPr>
        <w:t>Part 2—Pharmaceutical benefits for treatment of adults</w:t>
      </w:r>
      <w:r w:rsidRPr="007553B5">
        <w:rPr>
          <w:b w:val="0"/>
          <w:noProof/>
          <w:sz w:val="18"/>
        </w:rPr>
        <w:tab/>
      </w:r>
      <w:r w:rsidRPr="007553B5">
        <w:rPr>
          <w:b w:val="0"/>
          <w:noProof/>
          <w:sz w:val="18"/>
        </w:rPr>
        <w:fldChar w:fldCharType="begin"/>
      </w:r>
      <w:r w:rsidRPr="007553B5">
        <w:rPr>
          <w:b w:val="0"/>
          <w:noProof/>
          <w:sz w:val="18"/>
        </w:rPr>
        <w:instrText xml:space="preserve"> PAGEREF _Toc74311803 \h </w:instrText>
      </w:r>
      <w:r w:rsidRPr="007553B5">
        <w:rPr>
          <w:b w:val="0"/>
          <w:noProof/>
          <w:sz w:val="18"/>
        </w:rPr>
      </w:r>
      <w:r w:rsidRPr="007553B5">
        <w:rPr>
          <w:b w:val="0"/>
          <w:noProof/>
          <w:sz w:val="18"/>
        </w:rPr>
        <w:fldChar w:fldCharType="separate"/>
      </w:r>
      <w:r w:rsidR="0066623A">
        <w:rPr>
          <w:b w:val="0"/>
          <w:noProof/>
          <w:sz w:val="18"/>
        </w:rPr>
        <w:t>23</w:t>
      </w:r>
      <w:r w:rsidRPr="007553B5">
        <w:rPr>
          <w:b w:val="0"/>
          <w:noProof/>
          <w:sz w:val="18"/>
        </w:rPr>
        <w:fldChar w:fldCharType="end"/>
      </w:r>
    </w:p>
    <w:p w:rsidR="007553B5" w:rsidRDefault="007553B5" w:rsidP="007553B5">
      <w:pPr>
        <w:pStyle w:val="TOC2"/>
        <w:rPr>
          <w:rFonts w:asciiTheme="minorHAnsi" w:eastAsiaTheme="minorEastAsia" w:hAnsiTheme="minorHAnsi" w:cstheme="minorBidi"/>
          <w:b w:val="0"/>
          <w:noProof/>
          <w:kern w:val="0"/>
          <w:sz w:val="22"/>
          <w:szCs w:val="22"/>
        </w:rPr>
      </w:pPr>
      <w:r>
        <w:rPr>
          <w:noProof/>
        </w:rPr>
        <w:t>Endnotes</w:t>
      </w:r>
      <w:r w:rsidRPr="007553B5">
        <w:rPr>
          <w:b w:val="0"/>
          <w:noProof/>
          <w:sz w:val="18"/>
        </w:rPr>
        <w:tab/>
      </w:r>
      <w:r w:rsidRPr="007553B5">
        <w:rPr>
          <w:b w:val="0"/>
          <w:noProof/>
          <w:sz w:val="18"/>
        </w:rPr>
        <w:fldChar w:fldCharType="begin"/>
      </w:r>
      <w:r w:rsidRPr="007553B5">
        <w:rPr>
          <w:b w:val="0"/>
          <w:noProof/>
          <w:sz w:val="18"/>
        </w:rPr>
        <w:instrText xml:space="preserve"> PAGEREF _Toc74311804 \h </w:instrText>
      </w:r>
      <w:r w:rsidRPr="007553B5">
        <w:rPr>
          <w:b w:val="0"/>
          <w:noProof/>
          <w:sz w:val="18"/>
        </w:rPr>
      </w:r>
      <w:r w:rsidRPr="007553B5">
        <w:rPr>
          <w:b w:val="0"/>
          <w:noProof/>
          <w:sz w:val="18"/>
        </w:rPr>
        <w:fldChar w:fldCharType="separate"/>
      </w:r>
      <w:r w:rsidR="0066623A">
        <w:rPr>
          <w:b w:val="0"/>
          <w:noProof/>
          <w:sz w:val="18"/>
        </w:rPr>
        <w:t>24</w:t>
      </w:r>
      <w:r w:rsidRPr="007553B5">
        <w:rPr>
          <w:b w:val="0"/>
          <w:noProof/>
          <w:sz w:val="18"/>
        </w:rPr>
        <w:fldChar w:fldCharType="end"/>
      </w:r>
    </w:p>
    <w:p w:rsidR="007553B5" w:rsidRDefault="007553B5">
      <w:pPr>
        <w:pStyle w:val="TOC3"/>
        <w:rPr>
          <w:rFonts w:asciiTheme="minorHAnsi" w:eastAsiaTheme="minorEastAsia" w:hAnsiTheme="minorHAnsi" w:cstheme="minorBidi"/>
          <w:b w:val="0"/>
          <w:noProof/>
          <w:kern w:val="0"/>
          <w:szCs w:val="22"/>
        </w:rPr>
      </w:pPr>
      <w:r>
        <w:rPr>
          <w:noProof/>
        </w:rPr>
        <w:t>Endnote 1—About the endnotes</w:t>
      </w:r>
      <w:r w:rsidRPr="007553B5">
        <w:rPr>
          <w:b w:val="0"/>
          <w:noProof/>
          <w:sz w:val="18"/>
        </w:rPr>
        <w:tab/>
      </w:r>
      <w:r w:rsidRPr="007553B5">
        <w:rPr>
          <w:b w:val="0"/>
          <w:noProof/>
          <w:sz w:val="18"/>
        </w:rPr>
        <w:fldChar w:fldCharType="begin"/>
      </w:r>
      <w:r w:rsidRPr="007553B5">
        <w:rPr>
          <w:b w:val="0"/>
          <w:noProof/>
          <w:sz w:val="18"/>
        </w:rPr>
        <w:instrText xml:space="preserve"> PAGEREF _Toc74311805 \h </w:instrText>
      </w:r>
      <w:r w:rsidRPr="007553B5">
        <w:rPr>
          <w:b w:val="0"/>
          <w:noProof/>
          <w:sz w:val="18"/>
        </w:rPr>
      </w:r>
      <w:r w:rsidRPr="007553B5">
        <w:rPr>
          <w:b w:val="0"/>
          <w:noProof/>
          <w:sz w:val="18"/>
        </w:rPr>
        <w:fldChar w:fldCharType="separate"/>
      </w:r>
      <w:r w:rsidR="0066623A">
        <w:rPr>
          <w:b w:val="0"/>
          <w:noProof/>
          <w:sz w:val="18"/>
        </w:rPr>
        <w:t>24</w:t>
      </w:r>
      <w:r w:rsidRPr="007553B5">
        <w:rPr>
          <w:b w:val="0"/>
          <w:noProof/>
          <w:sz w:val="18"/>
        </w:rPr>
        <w:fldChar w:fldCharType="end"/>
      </w:r>
    </w:p>
    <w:p w:rsidR="007553B5" w:rsidRDefault="007553B5">
      <w:pPr>
        <w:pStyle w:val="TOC3"/>
        <w:rPr>
          <w:rFonts w:asciiTheme="minorHAnsi" w:eastAsiaTheme="minorEastAsia" w:hAnsiTheme="minorHAnsi" w:cstheme="minorBidi"/>
          <w:b w:val="0"/>
          <w:noProof/>
          <w:kern w:val="0"/>
          <w:szCs w:val="22"/>
        </w:rPr>
      </w:pPr>
      <w:r>
        <w:rPr>
          <w:noProof/>
        </w:rPr>
        <w:t>Endnote 2—Abbreviation key</w:t>
      </w:r>
      <w:r w:rsidRPr="007553B5">
        <w:rPr>
          <w:b w:val="0"/>
          <w:noProof/>
          <w:sz w:val="18"/>
        </w:rPr>
        <w:tab/>
      </w:r>
      <w:r w:rsidRPr="007553B5">
        <w:rPr>
          <w:b w:val="0"/>
          <w:noProof/>
          <w:sz w:val="18"/>
        </w:rPr>
        <w:fldChar w:fldCharType="begin"/>
      </w:r>
      <w:r w:rsidRPr="007553B5">
        <w:rPr>
          <w:b w:val="0"/>
          <w:noProof/>
          <w:sz w:val="18"/>
        </w:rPr>
        <w:instrText xml:space="preserve"> PAGEREF _Toc74311806 \h </w:instrText>
      </w:r>
      <w:r w:rsidRPr="007553B5">
        <w:rPr>
          <w:b w:val="0"/>
          <w:noProof/>
          <w:sz w:val="18"/>
        </w:rPr>
      </w:r>
      <w:r w:rsidRPr="007553B5">
        <w:rPr>
          <w:b w:val="0"/>
          <w:noProof/>
          <w:sz w:val="18"/>
        </w:rPr>
        <w:fldChar w:fldCharType="separate"/>
      </w:r>
      <w:r w:rsidR="0066623A">
        <w:rPr>
          <w:b w:val="0"/>
          <w:noProof/>
          <w:sz w:val="18"/>
        </w:rPr>
        <w:t>25</w:t>
      </w:r>
      <w:r w:rsidRPr="007553B5">
        <w:rPr>
          <w:b w:val="0"/>
          <w:noProof/>
          <w:sz w:val="18"/>
        </w:rPr>
        <w:fldChar w:fldCharType="end"/>
      </w:r>
    </w:p>
    <w:p w:rsidR="007553B5" w:rsidRDefault="007553B5">
      <w:pPr>
        <w:pStyle w:val="TOC3"/>
        <w:rPr>
          <w:rFonts w:asciiTheme="minorHAnsi" w:eastAsiaTheme="minorEastAsia" w:hAnsiTheme="minorHAnsi" w:cstheme="minorBidi"/>
          <w:b w:val="0"/>
          <w:noProof/>
          <w:kern w:val="0"/>
          <w:szCs w:val="22"/>
        </w:rPr>
      </w:pPr>
      <w:r>
        <w:rPr>
          <w:noProof/>
        </w:rPr>
        <w:t>Endnote 3—Legislation history</w:t>
      </w:r>
      <w:r w:rsidRPr="007553B5">
        <w:rPr>
          <w:b w:val="0"/>
          <w:noProof/>
          <w:sz w:val="18"/>
        </w:rPr>
        <w:tab/>
      </w:r>
      <w:r w:rsidRPr="007553B5">
        <w:rPr>
          <w:b w:val="0"/>
          <w:noProof/>
          <w:sz w:val="18"/>
        </w:rPr>
        <w:fldChar w:fldCharType="begin"/>
      </w:r>
      <w:r w:rsidRPr="007553B5">
        <w:rPr>
          <w:b w:val="0"/>
          <w:noProof/>
          <w:sz w:val="18"/>
        </w:rPr>
        <w:instrText xml:space="preserve"> PAGEREF _Toc74311807 \h </w:instrText>
      </w:r>
      <w:r w:rsidRPr="007553B5">
        <w:rPr>
          <w:b w:val="0"/>
          <w:noProof/>
          <w:sz w:val="18"/>
        </w:rPr>
      </w:r>
      <w:r w:rsidRPr="007553B5">
        <w:rPr>
          <w:b w:val="0"/>
          <w:noProof/>
          <w:sz w:val="18"/>
        </w:rPr>
        <w:fldChar w:fldCharType="separate"/>
      </w:r>
      <w:r w:rsidR="0066623A">
        <w:rPr>
          <w:b w:val="0"/>
          <w:noProof/>
          <w:sz w:val="18"/>
        </w:rPr>
        <w:t>26</w:t>
      </w:r>
      <w:r w:rsidRPr="007553B5">
        <w:rPr>
          <w:b w:val="0"/>
          <w:noProof/>
          <w:sz w:val="18"/>
        </w:rPr>
        <w:fldChar w:fldCharType="end"/>
      </w:r>
    </w:p>
    <w:p w:rsidR="007553B5" w:rsidRPr="007553B5" w:rsidRDefault="007553B5">
      <w:pPr>
        <w:pStyle w:val="TOC3"/>
        <w:rPr>
          <w:rFonts w:eastAsiaTheme="minorEastAsia"/>
          <w:b w:val="0"/>
          <w:noProof/>
          <w:kern w:val="0"/>
          <w:sz w:val="18"/>
          <w:szCs w:val="22"/>
        </w:rPr>
      </w:pPr>
      <w:r>
        <w:rPr>
          <w:noProof/>
        </w:rPr>
        <w:t>Endnote 4—Amendment history</w:t>
      </w:r>
      <w:r w:rsidRPr="007553B5">
        <w:rPr>
          <w:b w:val="0"/>
          <w:noProof/>
          <w:sz w:val="18"/>
        </w:rPr>
        <w:tab/>
      </w:r>
      <w:r w:rsidRPr="007553B5">
        <w:rPr>
          <w:b w:val="0"/>
          <w:noProof/>
          <w:sz w:val="18"/>
        </w:rPr>
        <w:fldChar w:fldCharType="begin"/>
      </w:r>
      <w:r w:rsidRPr="007553B5">
        <w:rPr>
          <w:b w:val="0"/>
          <w:noProof/>
          <w:sz w:val="18"/>
        </w:rPr>
        <w:instrText xml:space="preserve"> PAGEREF _Toc74311808 \h </w:instrText>
      </w:r>
      <w:r w:rsidRPr="007553B5">
        <w:rPr>
          <w:b w:val="0"/>
          <w:noProof/>
          <w:sz w:val="18"/>
        </w:rPr>
      </w:r>
      <w:r w:rsidRPr="007553B5">
        <w:rPr>
          <w:b w:val="0"/>
          <w:noProof/>
          <w:sz w:val="18"/>
        </w:rPr>
        <w:fldChar w:fldCharType="separate"/>
      </w:r>
      <w:r w:rsidR="0066623A">
        <w:rPr>
          <w:b w:val="0"/>
          <w:noProof/>
          <w:sz w:val="18"/>
        </w:rPr>
        <w:t>28</w:t>
      </w:r>
      <w:r w:rsidRPr="007553B5">
        <w:rPr>
          <w:b w:val="0"/>
          <w:noProof/>
          <w:sz w:val="18"/>
        </w:rPr>
        <w:fldChar w:fldCharType="end"/>
      </w:r>
    </w:p>
    <w:p w:rsidR="00BB362B" w:rsidRPr="007A436F" w:rsidRDefault="00BB362B" w:rsidP="00E90695">
      <w:pPr>
        <w:ind w:right="1792"/>
      </w:pPr>
      <w:r w:rsidRPr="007553B5">
        <w:rPr>
          <w:rFonts w:cs="Times New Roman"/>
          <w:sz w:val="18"/>
        </w:rPr>
        <w:fldChar w:fldCharType="end"/>
      </w:r>
    </w:p>
    <w:p w:rsidR="003A384E" w:rsidRPr="007A436F" w:rsidRDefault="003A384E" w:rsidP="003A384E">
      <w:pPr>
        <w:sectPr w:rsidR="003A384E" w:rsidRPr="007A436F" w:rsidSect="00864B3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96000F" w:rsidRPr="007A436F" w:rsidRDefault="00BB362B" w:rsidP="00BB362B">
      <w:pPr>
        <w:pStyle w:val="ActHead2"/>
      </w:pPr>
      <w:bookmarkStart w:id="2" w:name="_Toc74311752"/>
      <w:r w:rsidRPr="007A436F">
        <w:rPr>
          <w:rStyle w:val="CharPartNo"/>
        </w:rPr>
        <w:lastRenderedPageBreak/>
        <w:t>Part</w:t>
      </w:r>
      <w:r w:rsidR="007A436F">
        <w:rPr>
          <w:rStyle w:val="CharPartNo"/>
        </w:rPr>
        <w:t> </w:t>
      </w:r>
      <w:r w:rsidR="0096000F" w:rsidRPr="007A436F">
        <w:rPr>
          <w:rStyle w:val="CharPartNo"/>
        </w:rPr>
        <w:t>1</w:t>
      </w:r>
      <w:r w:rsidRPr="007A436F">
        <w:t>—</w:t>
      </w:r>
      <w:r w:rsidR="0096000F" w:rsidRPr="007A436F">
        <w:rPr>
          <w:rStyle w:val="CharPartText"/>
        </w:rPr>
        <w:t>Preliminary</w:t>
      </w:r>
      <w:bookmarkEnd w:id="2"/>
    </w:p>
    <w:p w:rsidR="0096000F" w:rsidRPr="007A436F" w:rsidRDefault="00BB362B" w:rsidP="0096000F">
      <w:pPr>
        <w:pStyle w:val="Header"/>
      </w:pPr>
      <w:r w:rsidRPr="007A436F">
        <w:rPr>
          <w:rStyle w:val="CharDivNo"/>
        </w:rPr>
        <w:t xml:space="preserve"> </w:t>
      </w:r>
      <w:r w:rsidRPr="007A436F">
        <w:rPr>
          <w:rStyle w:val="CharDivText"/>
        </w:rPr>
        <w:t xml:space="preserve"> </w:t>
      </w:r>
    </w:p>
    <w:p w:rsidR="0096000F" w:rsidRPr="007A436F" w:rsidRDefault="0096000F" w:rsidP="00BB362B">
      <w:pPr>
        <w:pStyle w:val="ActHead5"/>
        <w:rPr>
          <w:sz w:val="18"/>
        </w:rPr>
      </w:pPr>
      <w:bookmarkStart w:id="3" w:name="_Toc74311753"/>
      <w:r w:rsidRPr="007A436F">
        <w:rPr>
          <w:rStyle w:val="CharSectno"/>
        </w:rPr>
        <w:t>1</w:t>
      </w:r>
      <w:r w:rsidR="00BB362B" w:rsidRPr="007A436F">
        <w:t xml:space="preserve">  </w:t>
      </w:r>
      <w:r w:rsidRPr="007A436F">
        <w:t>Name of Special Arrangement</w:t>
      </w:r>
      <w:bookmarkEnd w:id="3"/>
    </w:p>
    <w:p w:rsidR="00B8202D" w:rsidRPr="007A436F" w:rsidRDefault="0096000F" w:rsidP="00BB362B">
      <w:pPr>
        <w:pStyle w:val="subsection"/>
      </w:pPr>
      <w:r w:rsidRPr="007A436F">
        <w:tab/>
        <w:t>(1)</w:t>
      </w:r>
      <w:r w:rsidRPr="007A436F">
        <w:tab/>
        <w:t xml:space="preserve">This Special Arrangement is the </w:t>
      </w:r>
      <w:r w:rsidR="0094413D" w:rsidRPr="007A436F">
        <w:rPr>
          <w:i/>
        </w:rPr>
        <w:t>National Health</w:t>
      </w:r>
      <w:r w:rsidR="000D0363" w:rsidRPr="007A436F">
        <w:rPr>
          <w:i/>
        </w:rPr>
        <w:t xml:space="preserve"> (Growth Hormone Program) Special </w:t>
      </w:r>
      <w:r w:rsidR="00B8202D" w:rsidRPr="007A436F">
        <w:rPr>
          <w:i/>
        </w:rPr>
        <w:t>Arrangement</w:t>
      </w:r>
      <w:r w:rsidR="000D0363" w:rsidRPr="007A436F">
        <w:rPr>
          <w:i/>
        </w:rPr>
        <w:t xml:space="preserve"> 2015.</w:t>
      </w:r>
    </w:p>
    <w:p w:rsidR="0096000F" w:rsidRPr="007A436F" w:rsidRDefault="00B8202D" w:rsidP="00BB362B">
      <w:pPr>
        <w:pStyle w:val="subsection"/>
      </w:pPr>
      <w:r w:rsidRPr="007A436F">
        <w:tab/>
      </w:r>
      <w:r w:rsidR="0096000F" w:rsidRPr="007A436F">
        <w:t>(2)</w:t>
      </w:r>
      <w:r w:rsidR="0096000F" w:rsidRPr="007A436F">
        <w:tab/>
        <w:t xml:space="preserve">This Special Arrangement may also be cited as PB </w:t>
      </w:r>
      <w:r w:rsidR="005413EA" w:rsidRPr="007A436F">
        <w:t>85</w:t>
      </w:r>
      <w:r w:rsidR="0096000F" w:rsidRPr="007A436F">
        <w:t xml:space="preserve"> of 201</w:t>
      </w:r>
      <w:r w:rsidR="000D0363" w:rsidRPr="007A436F">
        <w:t>5</w:t>
      </w:r>
      <w:r w:rsidR="0096000F" w:rsidRPr="007A436F">
        <w:t>.</w:t>
      </w:r>
    </w:p>
    <w:p w:rsidR="0096000F" w:rsidRPr="007A436F" w:rsidRDefault="00586359" w:rsidP="00BB362B">
      <w:pPr>
        <w:pStyle w:val="ActHead5"/>
      </w:pPr>
      <w:bookmarkStart w:id="4" w:name="_Toc74311754"/>
      <w:r w:rsidRPr="007A436F">
        <w:rPr>
          <w:rStyle w:val="CharSectno"/>
        </w:rPr>
        <w:t>4</w:t>
      </w:r>
      <w:r w:rsidR="00BB362B" w:rsidRPr="007A436F">
        <w:t xml:space="preserve">  </w:t>
      </w:r>
      <w:r w:rsidR="0096000F" w:rsidRPr="007A436F">
        <w:t>Definitions</w:t>
      </w:r>
      <w:bookmarkEnd w:id="4"/>
    </w:p>
    <w:p w:rsidR="0096000F" w:rsidRPr="007A436F" w:rsidRDefault="0096000F" w:rsidP="00BB362B">
      <w:pPr>
        <w:pStyle w:val="subsection"/>
      </w:pPr>
      <w:r w:rsidRPr="007A436F">
        <w:tab/>
        <w:t>(1)</w:t>
      </w:r>
      <w:r w:rsidRPr="007A436F">
        <w:tab/>
        <w:t>In this Special Arrangement:</w:t>
      </w:r>
    </w:p>
    <w:p w:rsidR="0096000F" w:rsidRPr="007A436F" w:rsidRDefault="0096000F" w:rsidP="0050727B">
      <w:pPr>
        <w:tabs>
          <w:tab w:val="right" w:pos="851"/>
        </w:tabs>
        <w:spacing w:before="180"/>
        <w:ind w:left="992"/>
        <w:rPr>
          <w:szCs w:val="22"/>
        </w:rPr>
      </w:pPr>
      <w:r w:rsidRPr="007A436F">
        <w:rPr>
          <w:b/>
          <w:i/>
          <w:szCs w:val="22"/>
        </w:rPr>
        <w:t xml:space="preserve">Act </w:t>
      </w:r>
      <w:r w:rsidRPr="007A436F">
        <w:rPr>
          <w:szCs w:val="22"/>
        </w:rPr>
        <w:t xml:space="preserve">means the </w:t>
      </w:r>
      <w:r w:rsidRPr="007A436F">
        <w:rPr>
          <w:i/>
          <w:szCs w:val="22"/>
        </w:rPr>
        <w:t>National Health Act 1953</w:t>
      </w:r>
      <w:r w:rsidRPr="007A436F">
        <w:rPr>
          <w:szCs w:val="22"/>
        </w:rPr>
        <w:t>.</w:t>
      </w:r>
    </w:p>
    <w:p w:rsidR="005E5940" w:rsidRPr="007A436F" w:rsidRDefault="005E5940" w:rsidP="005E5940">
      <w:pPr>
        <w:tabs>
          <w:tab w:val="right" w:pos="851"/>
        </w:tabs>
        <w:spacing w:before="180"/>
        <w:ind w:left="992"/>
        <w:rPr>
          <w:szCs w:val="22"/>
        </w:rPr>
      </w:pPr>
      <w:r w:rsidRPr="007A436F">
        <w:rPr>
          <w:b/>
          <w:bCs/>
          <w:i/>
          <w:iCs/>
          <w:szCs w:val="22"/>
        </w:rPr>
        <w:t>adult</w:t>
      </w:r>
      <w:r w:rsidRPr="007A436F">
        <w:rPr>
          <w:szCs w:val="22"/>
        </w:rPr>
        <w:t xml:space="preserve"> means a person, who is any of the following:</w:t>
      </w:r>
    </w:p>
    <w:p w:rsidR="005E5940" w:rsidRPr="007A436F" w:rsidRDefault="005E5940" w:rsidP="005E5940">
      <w:pPr>
        <w:pStyle w:val="paragraph"/>
      </w:pPr>
      <w:r w:rsidRPr="007A436F">
        <w:tab/>
        <w:t>(a)</w:t>
      </w:r>
      <w:r w:rsidRPr="007A436F">
        <w:tab/>
        <w:t xml:space="preserve">is 18 years of age or older and has adult onset growth hormone deficiency; or </w:t>
      </w:r>
    </w:p>
    <w:p w:rsidR="005E5940" w:rsidRPr="007A436F" w:rsidRDefault="005E5940" w:rsidP="005E5940">
      <w:pPr>
        <w:pStyle w:val="paragraph"/>
      </w:pPr>
      <w:r w:rsidRPr="007A436F">
        <w:tab/>
        <w:t>(b)</w:t>
      </w:r>
      <w:r w:rsidRPr="007A436F">
        <w:tab/>
        <w:t>has a mature skeleton; or</w:t>
      </w:r>
    </w:p>
    <w:p w:rsidR="005E5940" w:rsidRPr="007A436F" w:rsidRDefault="005E5940" w:rsidP="005E5940">
      <w:pPr>
        <w:pStyle w:val="paragraph"/>
      </w:pPr>
      <w:r w:rsidRPr="007A436F">
        <w:tab/>
        <w:t>(c)</w:t>
      </w:r>
      <w:r w:rsidRPr="007A436F">
        <w:tab/>
        <w:t>has a diagnosis of Prader</w:t>
      </w:r>
      <w:r w:rsidR="007A436F">
        <w:noBreakHyphen/>
      </w:r>
      <w:r w:rsidRPr="007A436F">
        <w:t>Willi syndrome and is aged 18 years or older.</w:t>
      </w:r>
    </w:p>
    <w:p w:rsidR="003B31F1" w:rsidRPr="007A436F" w:rsidRDefault="003B31F1" w:rsidP="003B31F1">
      <w:pPr>
        <w:tabs>
          <w:tab w:val="right" w:pos="851"/>
        </w:tabs>
        <w:spacing w:before="180"/>
        <w:ind w:left="993"/>
        <w:rPr>
          <w:szCs w:val="22"/>
        </w:rPr>
      </w:pPr>
      <w:r w:rsidRPr="007A436F">
        <w:rPr>
          <w:b/>
          <w:i/>
          <w:szCs w:val="22"/>
        </w:rPr>
        <w:t>authorised prescriber</w:t>
      </w:r>
    </w:p>
    <w:p w:rsidR="002271AD" w:rsidRPr="007A436F" w:rsidRDefault="006A5E0B" w:rsidP="006A5E0B">
      <w:pPr>
        <w:pStyle w:val="paragraph"/>
      </w:pPr>
      <w:r w:rsidRPr="007A436F">
        <w:tab/>
      </w:r>
      <w:r w:rsidR="001571F4" w:rsidRPr="007A436F">
        <w:t>(a)</w:t>
      </w:r>
      <w:r w:rsidR="001571F4" w:rsidRPr="007A436F">
        <w:tab/>
      </w:r>
      <w:r w:rsidR="003B31F1" w:rsidRPr="007A436F">
        <w:t xml:space="preserve">for the </w:t>
      </w:r>
      <w:r w:rsidR="00141BB2" w:rsidRPr="007A436F">
        <w:t>i</w:t>
      </w:r>
      <w:r w:rsidR="003B31F1" w:rsidRPr="007A436F">
        <w:t>nitial treatment phase</w:t>
      </w:r>
      <w:r w:rsidR="00B9006C" w:rsidRPr="007A436F">
        <w:t xml:space="preserve"> for a child</w:t>
      </w:r>
      <w:r w:rsidR="002271AD" w:rsidRPr="007A436F">
        <w:t xml:space="preserve"> means:</w:t>
      </w:r>
    </w:p>
    <w:p w:rsidR="002271AD" w:rsidRPr="007A436F" w:rsidRDefault="001571F4" w:rsidP="001571F4">
      <w:pPr>
        <w:tabs>
          <w:tab w:val="right" w:pos="851"/>
          <w:tab w:val="left" w:pos="1843"/>
        </w:tabs>
        <w:ind w:left="2498" w:hanging="360"/>
        <w:rPr>
          <w:szCs w:val="22"/>
        </w:rPr>
      </w:pPr>
      <w:r w:rsidRPr="007A436F">
        <w:rPr>
          <w:rFonts w:eastAsia="Times New Roman" w:cs="Times New Roman"/>
          <w:szCs w:val="22"/>
          <w:lang w:eastAsia="en-AU"/>
        </w:rPr>
        <w:t>–</w:t>
      </w:r>
      <w:r w:rsidRPr="007A436F">
        <w:rPr>
          <w:rFonts w:eastAsia="Times New Roman" w:cs="Times New Roman"/>
          <w:szCs w:val="22"/>
          <w:lang w:eastAsia="en-AU"/>
        </w:rPr>
        <w:tab/>
      </w:r>
      <w:r w:rsidR="002271AD" w:rsidRPr="007A436F">
        <w:rPr>
          <w:szCs w:val="22"/>
        </w:rPr>
        <w:t>a specialist or consultant physician in paediatric endocrinology</w:t>
      </w:r>
      <w:r w:rsidR="00C934D2" w:rsidRPr="007A436F">
        <w:rPr>
          <w:szCs w:val="22"/>
        </w:rPr>
        <w:t>;</w:t>
      </w:r>
      <w:r w:rsidR="007B3557" w:rsidRPr="007A436F">
        <w:rPr>
          <w:szCs w:val="22"/>
        </w:rPr>
        <w:t xml:space="preserve"> </w:t>
      </w:r>
      <w:r w:rsidR="0050727B" w:rsidRPr="007A436F">
        <w:rPr>
          <w:szCs w:val="22"/>
        </w:rPr>
        <w:t>or</w:t>
      </w:r>
    </w:p>
    <w:p w:rsidR="002271AD" w:rsidRPr="007A436F" w:rsidRDefault="001571F4" w:rsidP="001571F4">
      <w:pPr>
        <w:tabs>
          <w:tab w:val="right" w:pos="851"/>
          <w:tab w:val="left" w:pos="1843"/>
        </w:tabs>
        <w:ind w:left="2498" w:hanging="360"/>
        <w:rPr>
          <w:szCs w:val="22"/>
        </w:rPr>
      </w:pPr>
      <w:r w:rsidRPr="007A436F">
        <w:rPr>
          <w:rFonts w:eastAsia="Times New Roman" w:cs="Times New Roman"/>
          <w:szCs w:val="22"/>
          <w:lang w:eastAsia="en-AU"/>
        </w:rPr>
        <w:t>–</w:t>
      </w:r>
      <w:r w:rsidRPr="007A436F">
        <w:rPr>
          <w:rFonts w:eastAsia="Times New Roman" w:cs="Times New Roman"/>
          <w:szCs w:val="22"/>
          <w:lang w:eastAsia="en-AU"/>
        </w:rPr>
        <w:tab/>
      </w:r>
      <w:r w:rsidR="002271AD" w:rsidRPr="007A436F">
        <w:rPr>
          <w:szCs w:val="22"/>
        </w:rPr>
        <w:t>a specialist or consultant physician in general paediatrics in consultation with a nominated specialist or consultant physician in paediatric endocrinology</w:t>
      </w:r>
      <w:r w:rsidR="00503938" w:rsidRPr="007A436F">
        <w:rPr>
          <w:szCs w:val="22"/>
        </w:rPr>
        <w:t>.</w:t>
      </w:r>
    </w:p>
    <w:p w:rsidR="00503938" w:rsidRPr="007A436F" w:rsidRDefault="006A5E0B" w:rsidP="006A5E0B">
      <w:pPr>
        <w:pStyle w:val="paragraph"/>
      </w:pPr>
      <w:r w:rsidRPr="007A436F">
        <w:tab/>
      </w:r>
      <w:r w:rsidR="001571F4" w:rsidRPr="007A436F">
        <w:t>(b)</w:t>
      </w:r>
      <w:r w:rsidR="001571F4" w:rsidRPr="007A436F">
        <w:tab/>
      </w:r>
      <w:r w:rsidR="00503938" w:rsidRPr="007A436F">
        <w:t xml:space="preserve">for the </w:t>
      </w:r>
      <w:r w:rsidR="00141BB2" w:rsidRPr="007A436F">
        <w:t>c</w:t>
      </w:r>
      <w:r w:rsidR="00503938" w:rsidRPr="007A436F">
        <w:t>ontinuing treatment phase</w:t>
      </w:r>
      <w:r w:rsidR="00B9006C" w:rsidRPr="007A436F">
        <w:t xml:space="preserve"> for a child</w:t>
      </w:r>
      <w:r w:rsidR="00141BB2" w:rsidRPr="007A436F">
        <w:t xml:space="preserve"> means:</w:t>
      </w:r>
    </w:p>
    <w:p w:rsidR="00503938" w:rsidRPr="007A436F" w:rsidRDefault="006A5E0B" w:rsidP="006A5E0B">
      <w:pPr>
        <w:tabs>
          <w:tab w:val="right" w:pos="851"/>
          <w:tab w:val="left" w:pos="1843"/>
        </w:tabs>
        <w:ind w:left="2498" w:hanging="360"/>
      </w:pPr>
      <w:r w:rsidRPr="007A436F">
        <w:rPr>
          <w:rFonts w:eastAsia="Times New Roman" w:cs="Times New Roman"/>
          <w:szCs w:val="22"/>
          <w:lang w:eastAsia="en-AU"/>
        </w:rPr>
        <w:t>–</w:t>
      </w:r>
      <w:r w:rsidRPr="007A436F">
        <w:rPr>
          <w:rFonts w:eastAsia="Times New Roman" w:cs="Times New Roman"/>
          <w:szCs w:val="22"/>
          <w:lang w:eastAsia="en-AU"/>
        </w:rPr>
        <w:tab/>
      </w:r>
      <w:r w:rsidR="00503938" w:rsidRPr="007A436F">
        <w:t xml:space="preserve">a </w:t>
      </w:r>
      <w:r w:rsidR="00503938" w:rsidRPr="007A436F">
        <w:rPr>
          <w:szCs w:val="22"/>
        </w:rPr>
        <w:t>medical</w:t>
      </w:r>
      <w:r w:rsidR="00503938" w:rsidRPr="007A436F">
        <w:t xml:space="preserve"> practitioner.</w:t>
      </w:r>
    </w:p>
    <w:p w:rsidR="00503938" w:rsidRPr="007A436F" w:rsidRDefault="006A5E0B" w:rsidP="006A5E0B">
      <w:pPr>
        <w:pStyle w:val="paragraph"/>
        <w:rPr>
          <w:szCs w:val="22"/>
        </w:rPr>
      </w:pPr>
      <w:r w:rsidRPr="007A436F">
        <w:tab/>
      </w:r>
      <w:r w:rsidR="001571F4" w:rsidRPr="007A436F">
        <w:t>(c)</w:t>
      </w:r>
      <w:r w:rsidR="001571F4" w:rsidRPr="007A436F">
        <w:tab/>
      </w:r>
      <w:r w:rsidR="00503938" w:rsidRPr="007A436F">
        <w:t xml:space="preserve">for </w:t>
      </w:r>
      <w:r w:rsidR="007B3557" w:rsidRPr="007A436F">
        <w:t xml:space="preserve">the </w:t>
      </w:r>
      <w:r w:rsidR="00141BB2" w:rsidRPr="007A436F">
        <w:t>r</w:t>
      </w:r>
      <w:r w:rsidR="007B3557" w:rsidRPr="007A436F">
        <w:t>ecommencement treatment phase</w:t>
      </w:r>
      <w:r w:rsidR="00B9006C" w:rsidRPr="007A436F">
        <w:t xml:space="preserve"> for a child</w:t>
      </w:r>
      <w:r w:rsidR="00141BB2" w:rsidRPr="007A436F">
        <w:t xml:space="preserve">, continuing treatment as a </w:t>
      </w:r>
      <w:r w:rsidR="00141BB2" w:rsidRPr="007A436F">
        <w:rPr>
          <w:szCs w:val="22"/>
        </w:rPr>
        <w:t>reclassified patient phase</w:t>
      </w:r>
      <w:r w:rsidR="00B9006C" w:rsidRPr="007A436F">
        <w:rPr>
          <w:szCs w:val="22"/>
        </w:rPr>
        <w:t xml:space="preserve"> </w:t>
      </w:r>
      <w:r w:rsidR="00B9006C" w:rsidRPr="007A436F">
        <w:t>for a child</w:t>
      </w:r>
      <w:r w:rsidR="00141BB2" w:rsidRPr="007A436F">
        <w:rPr>
          <w:szCs w:val="22"/>
        </w:rPr>
        <w:t xml:space="preserve"> and recommencement of treatment as a reclassified patient phase</w:t>
      </w:r>
      <w:r w:rsidR="00B9006C" w:rsidRPr="007A436F">
        <w:rPr>
          <w:szCs w:val="22"/>
        </w:rPr>
        <w:t xml:space="preserve"> </w:t>
      </w:r>
      <w:r w:rsidR="00B9006C" w:rsidRPr="007A436F">
        <w:t>for a child</w:t>
      </w:r>
      <w:r w:rsidR="00141BB2" w:rsidRPr="007A436F">
        <w:rPr>
          <w:szCs w:val="22"/>
        </w:rPr>
        <w:t xml:space="preserve"> means</w:t>
      </w:r>
      <w:r w:rsidR="00503938" w:rsidRPr="007A436F">
        <w:rPr>
          <w:szCs w:val="22"/>
        </w:rPr>
        <w:t>:</w:t>
      </w:r>
    </w:p>
    <w:p w:rsidR="00141BB2" w:rsidRPr="007A436F" w:rsidRDefault="001571F4" w:rsidP="001571F4">
      <w:pPr>
        <w:tabs>
          <w:tab w:val="right" w:pos="851"/>
          <w:tab w:val="left" w:pos="1843"/>
        </w:tabs>
        <w:ind w:left="2498" w:hanging="360"/>
        <w:rPr>
          <w:szCs w:val="22"/>
        </w:rPr>
      </w:pPr>
      <w:r w:rsidRPr="007A436F">
        <w:rPr>
          <w:rFonts w:eastAsia="Times New Roman" w:cs="Times New Roman"/>
          <w:szCs w:val="22"/>
          <w:lang w:eastAsia="en-AU"/>
        </w:rPr>
        <w:t>–</w:t>
      </w:r>
      <w:r w:rsidRPr="007A436F">
        <w:rPr>
          <w:rFonts w:eastAsia="Times New Roman" w:cs="Times New Roman"/>
          <w:szCs w:val="22"/>
          <w:lang w:eastAsia="en-AU"/>
        </w:rPr>
        <w:tab/>
      </w:r>
      <w:r w:rsidR="00503938" w:rsidRPr="007A436F">
        <w:rPr>
          <w:szCs w:val="22"/>
        </w:rPr>
        <w:t xml:space="preserve">a medical practitioner in consultation with a nominated specialist or consultant physician in paediatric endocrinology; </w:t>
      </w:r>
      <w:r w:rsidR="0050727B" w:rsidRPr="007A436F">
        <w:rPr>
          <w:szCs w:val="22"/>
        </w:rPr>
        <w:t>or</w:t>
      </w:r>
    </w:p>
    <w:p w:rsidR="003B31F1" w:rsidRPr="007A436F" w:rsidRDefault="001571F4" w:rsidP="001571F4">
      <w:pPr>
        <w:tabs>
          <w:tab w:val="right" w:pos="851"/>
          <w:tab w:val="left" w:pos="1843"/>
        </w:tabs>
        <w:ind w:left="2498" w:hanging="360"/>
        <w:rPr>
          <w:szCs w:val="22"/>
        </w:rPr>
      </w:pPr>
      <w:r w:rsidRPr="007A436F">
        <w:rPr>
          <w:rFonts w:eastAsia="Times New Roman" w:cs="Times New Roman"/>
          <w:szCs w:val="22"/>
          <w:lang w:eastAsia="en-AU"/>
        </w:rPr>
        <w:t>–</w:t>
      </w:r>
      <w:r w:rsidRPr="007A436F">
        <w:rPr>
          <w:rFonts w:eastAsia="Times New Roman" w:cs="Times New Roman"/>
          <w:szCs w:val="22"/>
          <w:lang w:eastAsia="en-AU"/>
        </w:rPr>
        <w:tab/>
      </w:r>
      <w:r w:rsidR="00503938" w:rsidRPr="007A436F">
        <w:rPr>
          <w:szCs w:val="22"/>
        </w:rPr>
        <w:t>a medical practitioner in consultation with a nominated specialist or consultant physician in general paediatrics.</w:t>
      </w:r>
    </w:p>
    <w:p w:rsidR="00B9006C" w:rsidRPr="007A436F" w:rsidRDefault="00B9006C" w:rsidP="00B9006C">
      <w:pPr>
        <w:pStyle w:val="paragraph"/>
      </w:pPr>
      <w:r w:rsidRPr="007A436F">
        <w:tab/>
        <w:t>(d)</w:t>
      </w:r>
      <w:r w:rsidRPr="007A436F">
        <w:tab/>
        <w:t>for the initial treatment phase for an adult or the continuing treatment phase for an adult, means a specialist or consultant physician in endocrinology.</w:t>
      </w:r>
    </w:p>
    <w:p w:rsidR="002271AD" w:rsidRPr="007A436F" w:rsidRDefault="00493CC8" w:rsidP="00956A0B">
      <w:pPr>
        <w:tabs>
          <w:tab w:val="right" w:pos="851"/>
        </w:tabs>
        <w:spacing w:before="180"/>
        <w:ind w:left="993"/>
        <w:rPr>
          <w:szCs w:val="22"/>
        </w:rPr>
      </w:pPr>
      <w:r w:rsidRPr="007A436F">
        <w:rPr>
          <w:b/>
          <w:i/>
          <w:szCs w:val="22"/>
        </w:rPr>
        <w:t xml:space="preserve">CDC 2000 </w:t>
      </w:r>
      <w:r w:rsidRPr="007A436F">
        <w:rPr>
          <w:szCs w:val="22"/>
        </w:rPr>
        <w:t xml:space="preserve">means the growth charts in the document entitled </w:t>
      </w:r>
      <w:r w:rsidRPr="007A436F">
        <w:rPr>
          <w:i/>
          <w:szCs w:val="22"/>
        </w:rPr>
        <w:t xml:space="preserve">2000 CDC Growth Charts for the United States: Methods and Development, </w:t>
      </w:r>
      <w:r w:rsidRPr="007A436F">
        <w:rPr>
          <w:szCs w:val="22"/>
        </w:rPr>
        <w:t xml:space="preserve">published by the Centers for Disease Control and Prevention, US Department of Health and Human Services, dated May 2002, and available on that Department’s website at </w:t>
      </w:r>
      <w:r w:rsidR="00B10C71" w:rsidRPr="007A436F">
        <w:rPr>
          <w:szCs w:val="22"/>
        </w:rPr>
        <w:t>http://www.cdc.gov/GROWTHcharts</w:t>
      </w:r>
      <w:r w:rsidRPr="007A436F">
        <w:rPr>
          <w:szCs w:val="22"/>
        </w:rPr>
        <w:t>.</w:t>
      </w:r>
    </w:p>
    <w:p w:rsidR="00306A17" w:rsidRPr="007A436F" w:rsidRDefault="00306A17" w:rsidP="00FF6C15">
      <w:pPr>
        <w:keepNext/>
        <w:keepLines/>
        <w:tabs>
          <w:tab w:val="right" w:pos="851"/>
        </w:tabs>
        <w:spacing w:before="180"/>
        <w:ind w:left="992"/>
      </w:pPr>
      <w:r w:rsidRPr="007A436F">
        <w:rPr>
          <w:b/>
          <w:i/>
        </w:rPr>
        <w:lastRenderedPageBreak/>
        <w:t xml:space="preserve">child </w:t>
      </w:r>
      <w:r w:rsidRPr="007A436F">
        <w:t>means a person who, is any of the following:</w:t>
      </w:r>
    </w:p>
    <w:p w:rsidR="00306A17" w:rsidRPr="007A436F" w:rsidRDefault="00306A17" w:rsidP="00FF6C15">
      <w:pPr>
        <w:pStyle w:val="paragraph"/>
      </w:pPr>
      <w:r w:rsidRPr="007A436F">
        <w:tab/>
        <w:t>(a)</w:t>
      </w:r>
      <w:r w:rsidRPr="007A436F">
        <w:tab/>
        <w:t>is not an adult; or</w:t>
      </w:r>
    </w:p>
    <w:p w:rsidR="00306A17" w:rsidRPr="007A436F" w:rsidRDefault="00306A17" w:rsidP="00FF6C15">
      <w:pPr>
        <w:pStyle w:val="paragraph"/>
      </w:pPr>
      <w:r w:rsidRPr="007A436F">
        <w:tab/>
        <w:t>(b)</w:t>
      </w:r>
      <w:r w:rsidRPr="007A436F">
        <w:tab/>
        <w:t>has a diagnosis of Prader</w:t>
      </w:r>
      <w:r w:rsidR="007A436F">
        <w:noBreakHyphen/>
      </w:r>
      <w:r w:rsidRPr="007A436F">
        <w:t>Willi syndrome and is less than 18 years of age.</w:t>
      </w:r>
    </w:p>
    <w:p w:rsidR="00292124" w:rsidRPr="007A436F" w:rsidRDefault="00292124" w:rsidP="0050727B">
      <w:pPr>
        <w:keepNext/>
        <w:keepLines/>
        <w:tabs>
          <w:tab w:val="right" w:pos="851"/>
        </w:tabs>
        <w:spacing w:before="180"/>
        <w:ind w:left="992"/>
      </w:pPr>
      <w:r w:rsidRPr="007A436F">
        <w:rPr>
          <w:b/>
          <w:i/>
          <w:szCs w:val="22"/>
        </w:rPr>
        <w:t>dispensed</w:t>
      </w:r>
      <w:r w:rsidRPr="007A436F">
        <w:t xml:space="preserve"> </w:t>
      </w:r>
      <w:r w:rsidRPr="007A436F">
        <w:rPr>
          <w:b/>
          <w:i/>
        </w:rPr>
        <w:t>price</w:t>
      </w:r>
      <w:r w:rsidRPr="007A436F">
        <w:t xml:space="preserve">: </w:t>
      </w:r>
    </w:p>
    <w:p w:rsidR="00292124" w:rsidRPr="007A436F" w:rsidRDefault="008155FC" w:rsidP="006A5E0B">
      <w:pPr>
        <w:pStyle w:val="paragraph"/>
      </w:pPr>
      <w:r w:rsidRPr="007A436F">
        <w:tab/>
      </w:r>
      <w:r w:rsidR="00292124" w:rsidRPr="007A436F">
        <w:t>(a)</w:t>
      </w:r>
      <w:r w:rsidR="00292124" w:rsidRPr="007A436F">
        <w:tab/>
        <w:t>for the supply of a pharmaceutical benefit by a hospital authority for a public hospital—has the meaning given by section</w:t>
      </w:r>
      <w:r w:rsidR="007A436F">
        <w:t> </w:t>
      </w:r>
      <w:r w:rsidR="00121578" w:rsidRPr="007A436F">
        <w:t>1</w:t>
      </w:r>
      <w:r w:rsidR="00CF1CBD" w:rsidRPr="007A436F">
        <w:t>6</w:t>
      </w:r>
      <w:r w:rsidR="00292124" w:rsidRPr="007A436F">
        <w:t xml:space="preserve">; and </w:t>
      </w:r>
    </w:p>
    <w:p w:rsidR="00292124" w:rsidRPr="007A436F" w:rsidRDefault="008155FC" w:rsidP="006A5E0B">
      <w:pPr>
        <w:pStyle w:val="paragraph"/>
        <w:rPr>
          <w:szCs w:val="22"/>
        </w:rPr>
      </w:pPr>
      <w:r w:rsidRPr="007A436F">
        <w:tab/>
      </w:r>
      <w:r w:rsidR="00292124" w:rsidRPr="007A436F">
        <w:t>(b</w:t>
      </w:r>
      <w:r w:rsidR="00292124" w:rsidRPr="007A436F">
        <w:rPr>
          <w:szCs w:val="22"/>
        </w:rPr>
        <w:t>)</w:t>
      </w:r>
      <w:r w:rsidR="00292124" w:rsidRPr="007A436F">
        <w:rPr>
          <w:szCs w:val="22"/>
        </w:rPr>
        <w:tab/>
        <w:t>for the supply of a pharmaceutical benefit by an approved hospital authority for a private hospital or by an approved pharmacist or by an approved medical practitioner—has the meaning given by section</w:t>
      </w:r>
      <w:r w:rsidR="007A436F">
        <w:rPr>
          <w:szCs w:val="22"/>
        </w:rPr>
        <w:t> </w:t>
      </w:r>
      <w:r w:rsidR="00CF1CBD" w:rsidRPr="007A436F">
        <w:rPr>
          <w:szCs w:val="22"/>
        </w:rPr>
        <w:t>18</w:t>
      </w:r>
      <w:r w:rsidR="00292124" w:rsidRPr="007A436F">
        <w:rPr>
          <w:szCs w:val="22"/>
        </w:rPr>
        <w:t xml:space="preserve">.  </w:t>
      </w:r>
    </w:p>
    <w:p w:rsidR="00BF4361" w:rsidRPr="007A436F" w:rsidRDefault="00BF4361" w:rsidP="0008485C">
      <w:pPr>
        <w:pStyle w:val="Definition"/>
      </w:pPr>
      <w:r w:rsidRPr="007A436F">
        <w:rPr>
          <w:b/>
          <w:i/>
        </w:rPr>
        <w:t>growth hormone treatment</w:t>
      </w:r>
      <w:r w:rsidRPr="007A436F">
        <w:t xml:space="preserve">, for a person, means treatment of the person using a pharmaceutical benefit in accordance with this Special Arrangement. </w:t>
      </w:r>
    </w:p>
    <w:p w:rsidR="00EC02A7" w:rsidRPr="007A436F" w:rsidRDefault="00EC02A7" w:rsidP="00EC02A7">
      <w:pPr>
        <w:pStyle w:val="Definition"/>
        <w:rPr>
          <w:szCs w:val="22"/>
        </w:rPr>
      </w:pPr>
      <w:r w:rsidRPr="007A436F">
        <w:rPr>
          <w:b/>
          <w:i/>
          <w:szCs w:val="22"/>
        </w:rPr>
        <w:t xml:space="preserve">ideal body weight </w:t>
      </w:r>
      <w:r w:rsidRPr="007A436F">
        <w:rPr>
          <w:szCs w:val="22"/>
        </w:rPr>
        <w:t xml:space="preserve">means: </w:t>
      </w:r>
    </w:p>
    <w:p w:rsidR="00EC02A7" w:rsidRPr="007A436F" w:rsidRDefault="00EC02A7" w:rsidP="00EC02A7">
      <w:pPr>
        <w:pStyle w:val="Definition"/>
        <w:spacing w:before="40"/>
        <w:ind w:left="1797" w:hanging="357"/>
        <w:rPr>
          <w:szCs w:val="22"/>
        </w:rPr>
      </w:pPr>
      <w:r w:rsidRPr="007A436F">
        <w:rPr>
          <w:szCs w:val="22"/>
          <w:lang w:eastAsia="en-US"/>
        </w:rPr>
        <w:t>(a)</w:t>
      </w:r>
      <w:r w:rsidRPr="007A436F">
        <w:rPr>
          <w:szCs w:val="22"/>
          <w:lang w:eastAsia="en-US"/>
        </w:rPr>
        <w:tab/>
        <w:t xml:space="preserve">for a person who is male with a height less than or equal to 176.8 centimetres, or female with a height less than or equal to 163.3 centimetres </w:t>
      </w:r>
      <w:r w:rsidR="007A436F">
        <w:rPr>
          <w:szCs w:val="22"/>
          <w:lang w:eastAsia="en-US"/>
        </w:rPr>
        <w:noBreakHyphen/>
      </w:r>
      <w:r w:rsidRPr="007A436F">
        <w:rPr>
          <w:szCs w:val="22"/>
          <w:lang w:eastAsia="en-US"/>
        </w:rPr>
        <w:t xml:space="preserve"> that person’s 50</w:t>
      </w:r>
      <w:r w:rsidRPr="007A436F">
        <w:rPr>
          <w:szCs w:val="22"/>
          <w:vertAlign w:val="superscript"/>
          <w:lang w:eastAsia="en-US"/>
        </w:rPr>
        <w:t>th</w:t>
      </w:r>
      <w:r w:rsidRPr="007A436F">
        <w:rPr>
          <w:szCs w:val="22"/>
          <w:lang w:eastAsia="en-US"/>
        </w:rPr>
        <w:t xml:space="preserve"> percentile weight for height, calculated using CDC 2000</w:t>
      </w:r>
      <w:r w:rsidRPr="007A436F">
        <w:rPr>
          <w:szCs w:val="22"/>
        </w:rPr>
        <w:t>;</w:t>
      </w:r>
    </w:p>
    <w:p w:rsidR="00EC02A7" w:rsidRPr="007A436F" w:rsidRDefault="00EC02A7" w:rsidP="00EC02A7">
      <w:pPr>
        <w:pStyle w:val="Definition"/>
        <w:spacing w:before="40"/>
        <w:ind w:left="1797" w:hanging="357"/>
        <w:rPr>
          <w:szCs w:val="22"/>
        </w:rPr>
      </w:pPr>
      <w:r w:rsidRPr="007A436F">
        <w:rPr>
          <w:szCs w:val="22"/>
        </w:rPr>
        <w:t>(b)</w:t>
      </w:r>
      <w:r w:rsidRPr="007A436F">
        <w:rPr>
          <w:szCs w:val="22"/>
        </w:rPr>
        <w:tab/>
        <w:t xml:space="preserve">for a person who is male with a height greater than 176.8 centimetres, or female with a height greater than 163.3 centimetres </w:t>
      </w:r>
      <w:r w:rsidR="007A436F">
        <w:rPr>
          <w:szCs w:val="22"/>
        </w:rPr>
        <w:noBreakHyphen/>
      </w:r>
      <w:r w:rsidRPr="007A436F">
        <w:rPr>
          <w:szCs w:val="22"/>
        </w:rPr>
        <w:t xml:space="preserve"> that person’s body mass index at the 50</w:t>
      </w:r>
      <w:r w:rsidRPr="007A436F">
        <w:rPr>
          <w:szCs w:val="22"/>
          <w:vertAlign w:val="superscript"/>
        </w:rPr>
        <w:t>th</w:t>
      </w:r>
      <w:r w:rsidRPr="007A436F">
        <w:rPr>
          <w:szCs w:val="22"/>
        </w:rPr>
        <w:t xml:space="preserve"> percentile for age multipled by height (in metres) squared, calculated using CDC 2000.</w:t>
      </w:r>
    </w:p>
    <w:p w:rsidR="00EC02A7" w:rsidRPr="007A436F" w:rsidRDefault="00EC02A7" w:rsidP="00EC02A7">
      <w:pPr>
        <w:pStyle w:val="Definition"/>
        <w:rPr>
          <w:szCs w:val="22"/>
        </w:rPr>
      </w:pPr>
      <w:r w:rsidRPr="007A436F">
        <w:rPr>
          <w:b/>
          <w:i/>
          <w:szCs w:val="22"/>
        </w:rPr>
        <w:t xml:space="preserve">main listing instrument </w:t>
      </w:r>
      <w:r w:rsidRPr="007A436F">
        <w:rPr>
          <w:szCs w:val="22"/>
        </w:rPr>
        <w:t xml:space="preserve">means the </w:t>
      </w:r>
      <w:r w:rsidRPr="007A436F">
        <w:rPr>
          <w:i/>
          <w:szCs w:val="22"/>
        </w:rPr>
        <w:t>National Health (Listing of Pharmaceutical Benefits) Instrument 2012</w:t>
      </w:r>
      <w:r w:rsidRPr="007A436F">
        <w:rPr>
          <w:szCs w:val="22"/>
        </w:rPr>
        <w:t xml:space="preserve">, or an instrument made to replace that instrument. </w:t>
      </w:r>
    </w:p>
    <w:p w:rsidR="0032539F" w:rsidRPr="007A436F" w:rsidRDefault="0096000F" w:rsidP="00BB362B">
      <w:pPr>
        <w:pStyle w:val="Definition"/>
      </w:pPr>
      <w:r w:rsidRPr="007A436F">
        <w:rPr>
          <w:b/>
          <w:i/>
        </w:rPr>
        <w:t>mature skeleton</w:t>
      </w:r>
      <w:r w:rsidR="0032539F" w:rsidRPr="007A436F">
        <w:t xml:space="preserve"> means: </w:t>
      </w:r>
    </w:p>
    <w:p w:rsidR="0032539F" w:rsidRPr="007A436F" w:rsidRDefault="001571F4" w:rsidP="001571F4">
      <w:pPr>
        <w:pStyle w:val="Definition"/>
        <w:spacing w:before="0"/>
        <w:ind w:left="1797" w:hanging="357"/>
      </w:pPr>
      <w:r w:rsidRPr="007A436F">
        <w:t>(a)</w:t>
      </w:r>
      <w:r w:rsidRPr="007A436F">
        <w:tab/>
      </w:r>
      <w:r w:rsidR="0032539F" w:rsidRPr="007A436F">
        <w:t xml:space="preserve">for a female, where the person has a bone age of 13.5 years or more; and </w:t>
      </w:r>
    </w:p>
    <w:p w:rsidR="0096000F" w:rsidRPr="007A436F" w:rsidRDefault="001571F4" w:rsidP="001571F4">
      <w:pPr>
        <w:pStyle w:val="Definition"/>
        <w:spacing w:before="0"/>
        <w:ind w:left="1797" w:hanging="357"/>
      </w:pPr>
      <w:r w:rsidRPr="007A436F">
        <w:t>(b)</w:t>
      </w:r>
      <w:r w:rsidRPr="007A436F">
        <w:tab/>
      </w:r>
      <w:r w:rsidR="0032539F" w:rsidRPr="007A436F">
        <w:t xml:space="preserve">for a male, where the person has a bone age of 15.5 years or more. </w:t>
      </w:r>
    </w:p>
    <w:p w:rsidR="0096000F" w:rsidRPr="007A436F" w:rsidRDefault="0096000F" w:rsidP="00BB362B">
      <w:pPr>
        <w:pStyle w:val="Definition"/>
      </w:pPr>
      <w:r w:rsidRPr="007A436F">
        <w:rPr>
          <w:b/>
          <w:i/>
        </w:rPr>
        <w:t>maximum dose</w:t>
      </w:r>
      <w:r w:rsidRPr="007A436F">
        <w:t>, for a category for treatment and a pharmaceutical benefit, means the highest dose of the pharmaceutical benefit that can be approved under the table in section</w:t>
      </w:r>
      <w:r w:rsidR="007A436F">
        <w:t> </w:t>
      </w:r>
      <w:r w:rsidR="00984ABB" w:rsidRPr="007A436F">
        <w:t>1</w:t>
      </w:r>
      <w:r w:rsidR="0093714F" w:rsidRPr="007A436F">
        <w:t>1</w:t>
      </w:r>
      <w:r w:rsidRPr="007A436F">
        <w:t xml:space="preserve"> for the category.</w:t>
      </w:r>
    </w:p>
    <w:p w:rsidR="0096000F" w:rsidRPr="007A436F" w:rsidRDefault="0096000F" w:rsidP="00BB362B">
      <w:pPr>
        <w:pStyle w:val="Definition"/>
      </w:pPr>
      <w:r w:rsidRPr="007A436F">
        <w:rPr>
          <w:b/>
          <w:i/>
        </w:rPr>
        <w:t>medical practitioner</w:t>
      </w:r>
      <w:r w:rsidRPr="007A436F">
        <w:t xml:space="preserve"> has the meaning it has in the </w:t>
      </w:r>
      <w:r w:rsidRPr="007A436F">
        <w:rPr>
          <w:i/>
        </w:rPr>
        <w:t>Health Insurance Act 1973</w:t>
      </w:r>
      <w:r w:rsidRPr="007A436F">
        <w:t>.</w:t>
      </w:r>
    </w:p>
    <w:p w:rsidR="00A739F5" w:rsidRPr="007A436F" w:rsidRDefault="00A739F5" w:rsidP="00A739F5">
      <w:pPr>
        <w:pStyle w:val="Definition"/>
      </w:pPr>
      <w:r w:rsidRPr="007A436F">
        <w:rPr>
          <w:b/>
          <w:i/>
        </w:rPr>
        <w:t>non</w:t>
      </w:r>
      <w:r w:rsidR="007A436F">
        <w:rPr>
          <w:b/>
          <w:i/>
        </w:rPr>
        <w:noBreakHyphen/>
      </w:r>
      <w:r w:rsidRPr="007A436F">
        <w:rPr>
          <w:b/>
          <w:i/>
        </w:rPr>
        <w:t>mature skeleton</w:t>
      </w:r>
      <w:r w:rsidRPr="007A436F">
        <w:t xml:space="preserve"> means:</w:t>
      </w:r>
    </w:p>
    <w:p w:rsidR="00A739F5" w:rsidRPr="007A436F" w:rsidRDefault="00A739F5" w:rsidP="001571F4">
      <w:pPr>
        <w:pStyle w:val="Definition"/>
        <w:spacing w:before="0"/>
        <w:ind w:left="1797" w:hanging="357"/>
      </w:pPr>
      <w:r w:rsidRPr="007A436F">
        <w:rPr>
          <w:lang w:eastAsia="en-US"/>
        </w:rPr>
        <w:t>(a)</w:t>
      </w:r>
      <w:r w:rsidR="001571F4" w:rsidRPr="007A436F">
        <w:rPr>
          <w:lang w:eastAsia="en-US"/>
        </w:rPr>
        <w:tab/>
      </w:r>
      <w:r w:rsidRPr="007A436F">
        <w:rPr>
          <w:lang w:eastAsia="en-US"/>
        </w:rPr>
        <w:t>for a female, where the person has a bone age of less than 13.5</w:t>
      </w:r>
      <w:r w:rsidRPr="007A436F">
        <w:t xml:space="preserve"> years; and </w:t>
      </w:r>
    </w:p>
    <w:p w:rsidR="00A739F5" w:rsidRPr="007A436F" w:rsidRDefault="00A739F5" w:rsidP="001571F4">
      <w:pPr>
        <w:pStyle w:val="Definition"/>
        <w:spacing w:before="0"/>
        <w:ind w:left="1797" w:hanging="357"/>
      </w:pPr>
      <w:r w:rsidRPr="007A436F">
        <w:t>(b)</w:t>
      </w:r>
      <w:r w:rsidR="001571F4" w:rsidRPr="007A436F">
        <w:tab/>
      </w:r>
      <w:r w:rsidRPr="007A436F">
        <w:t xml:space="preserve">for a male, where the person has a bone age of less than 15.5 years. </w:t>
      </w:r>
    </w:p>
    <w:p w:rsidR="0096000F" w:rsidRPr="007A436F" w:rsidRDefault="0096000F" w:rsidP="00BB362B">
      <w:pPr>
        <w:pStyle w:val="Definition"/>
      </w:pPr>
      <w:r w:rsidRPr="007A436F">
        <w:rPr>
          <w:b/>
          <w:i/>
        </w:rPr>
        <w:t>other Special Arrangement</w:t>
      </w:r>
      <w:r w:rsidRPr="007A436F">
        <w:rPr>
          <w:b/>
        </w:rPr>
        <w:t xml:space="preserve"> </w:t>
      </w:r>
      <w:r w:rsidRPr="007A436F">
        <w:t>means another Special Arrangement under section</w:t>
      </w:r>
      <w:r w:rsidR="007A436F">
        <w:t> </w:t>
      </w:r>
      <w:r w:rsidRPr="007A436F">
        <w:t>100 of the Act.</w:t>
      </w:r>
    </w:p>
    <w:p w:rsidR="00CF1825" w:rsidRPr="007A436F" w:rsidRDefault="00CF1825" w:rsidP="00CF1825">
      <w:pPr>
        <w:pStyle w:val="Definition"/>
        <w:rPr>
          <w:szCs w:val="22"/>
        </w:rPr>
      </w:pPr>
      <w:r w:rsidRPr="007A436F">
        <w:rPr>
          <w:b/>
          <w:i/>
        </w:rPr>
        <w:t>percentile</w:t>
      </w:r>
      <w:r w:rsidR="00A33DE2" w:rsidRPr="007A436F">
        <w:t xml:space="preserve"> is a measure used in </w:t>
      </w:r>
      <w:r w:rsidR="00A33DE2" w:rsidRPr="007A436F">
        <w:rPr>
          <w:u w:val="single"/>
        </w:rPr>
        <w:t>statistics</w:t>
      </w:r>
      <w:r w:rsidR="00A33DE2" w:rsidRPr="007A436F">
        <w:t xml:space="preserve"> indicating the value below which a given </w:t>
      </w:r>
      <w:r w:rsidR="00A33DE2" w:rsidRPr="007A436F">
        <w:rPr>
          <w:u w:val="single"/>
        </w:rPr>
        <w:t>percentage</w:t>
      </w:r>
      <w:r w:rsidR="00A33DE2" w:rsidRPr="007A436F">
        <w:t xml:space="preserve"> of observations in a group of observations fall.</w:t>
      </w:r>
      <w:r w:rsidR="008024C0" w:rsidRPr="007A436F">
        <w:t xml:space="preserve"> </w:t>
      </w:r>
      <w:r w:rsidR="007B18AB" w:rsidRPr="007A436F">
        <w:t>For the purposes of</w:t>
      </w:r>
      <w:r w:rsidR="008C6C9A" w:rsidRPr="007A436F">
        <w:t xml:space="preserve"> this Special Arrangement, percentile </w:t>
      </w:r>
      <w:r w:rsidR="00806E35" w:rsidRPr="007A436F">
        <w:t xml:space="preserve">is used </w:t>
      </w:r>
      <w:r w:rsidR="003F6FFA" w:rsidRPr="007A436F">
        <w:t xml:space="preserve">to </w:t>
      </w:r>
      <w:r w:rsidR="008C6C9A" w:rsidRPr="007A436F">
        <w:t>compar</w:t>
      </w:r>
      <w:r w:rsidR="003F6FFA" w:rsidRPr="007A436F">
        <w:t>e</w:t>
      </w:r>
      <w:r w:rsidR="008024C0" w:rsidRPr="007A436F">
        <w:rPr>
          <w:color w:val="252525"/>
          <w:szCs w:val="22"/>
          <w:shd w:val="clear" w:color="auto" w:fill="FFFFFF"/>
        </w:rPr>
        <w:t xml:space="preserve"> </w:t>
      </w:r>
      <w:r w:rsidR="00E54E36" w:rsidRPr="007A436F">
        <w:rPr>
          <w:color w:val="252525"/>
          <w:szCs w:val="22"/>
          <w:shd w:val="clear" w:color="auto" w:fill="FFFFFF"/>
        </w:rPr>
        <w:t>a</w:t>
      </w:r>
      <w:r w:rsidR="00D00DD2" w:rsidRPr="007A436F">
        <w:rPr>
          <w:color w:val="252525"/>
          <w:szCs w:val="22"/>
          <w:shd w:val="clear" w:color="auto" w:fill="FFFFFF"/>
        </w:rPr>
        <w:t xml:space="preserve"> </w:t>
      </w:r>
      <w:r w:rsidR="008C6C9A" w:rsidRPr="007A436F">
        <w:rPr>
          <w:color w:val="252525"/>
          <w:szCs w:val="22"/>
          <w:shd w:val="clear" w:color="auto" w:fill="FFFFFF"/>
        </w:rPr>
        <w:t>person’s measurements</w:t>
      </w:r>
      <w:r w:rsidR="00D00DD2" w:rsidRPr="007A436F">
        <w:rPr>
          <w:color w:val="252525"/>
          <w:szCs w:val="22"/>
          <w:shd w:val="clear" w:color="auto" w:fill="FFFFFF"/>
        </w:rPr>
        <w:t xml:space="preserve"> </w:t>
      </w:r>
      <w:r w:rsidR="002361D9" w:rsidRPr="007A436F">
        <w:rPr>
          <w:color w:val="252525"/>
          <w:szCs w:val="22"/>
          <w:shd w:val="clear" w:color="auto" w:fill="FFFFFF"/>
        </w:rPr>
        <w:t>with</w:t>
      </w:r>
      <w:r w:rsidR="00D00DD2" w:rsidRPr="007A436F">
        <w:rPr>
          <w:color w:val="252525"/>
          <w:szCs w:val="22"/>
          <w:shd w:val="clear" w:color="auto" w:fill="FFFFFF"/>
        </w:rPr>
        <w:t xml:space="preserve"> the </w:t>
      </w:r>
      <w:r w:rsidR="008C6C9A" w:rsidRPr="007A436F">
        <w:rPr>
          <w:color w:val="252525"/>
          <w:szCs w:val="22"/>
          <w:shd w:val="clear" w:color="auto" w:fill="FFFFFF"/>
        </w:rPr>
        <w:t xml:space="preserve">referenced </w:t>
      </w:r>
      <w:r w:rsidR="00D74BE1" w:rsidRPr="007A436F">
        <w:rPr>
          <w:color w:val="252525"/>
          <w:szCs w:val="22"/>
          <w:shd w:val="clear" w:color="auto" w:fill="FFFFFF"/>
        </w:rPr>
        <w:t xml:space="preserve">growth </w:t>
      </w:r>
      <w:r w:rsidR="008C6C9A" w:rsidRPr="007A436F">
        <w:rPr>
          <w:color w:val="252525"/>
          <w:szCs w:val="22"/>
          <w:shd w:val="clear" w:color="auto" w:fill="FFFFFF"/>
        </w:rPr>
        <w:t>standards</w:t>
      </w:r>
      <w:r w:rsidR="00C926FF" w:rsidRPr="007A436F">
        <w:rPr>
          <w:color w:val="252525"/>
          <w:szCs w:val="22"/>
          <w:shd w:val="clear" w:color="auto" w:fill="FFFFFF"/>
        </w:rPr>
        <w:t xml:space="preserve"> (eg a body mass index </w:t>
      </w:r>
      <w:r w:rsidR="00D36CF8" w:rsidRPr="007A436F">
        <w:rPr>
          <w:color w:val="252525"/>
          <w:szCs w:val="22"/>
          <w:shd w:val="clear" w:color="auto" w:fill="FFFFFF"/>
        </w:rPr>
        <w:t>at</w:t>
      </w:r>
      <w:r w:rsidR="00C926FF" w:rsidRPr="007A436F">
        <w:rPr>
          <w:color w:val="252525"/>
          <w:szCs w:val="22"/>
          <w:shd w:val="clear" w:color="auto" w:fill="FFFFFF"/>
        </w:rPr>
        <w:t xml:space="preserve"> the 85</w:t>
      </w:r>
      <w:r w:rsidR="00C926FF" w:rsidRPr="007A436F">
        <w:rPr>
          <w:color w:val="252525"/>
          <w:szCs w:val="22"/>
          <w:shd w:val="clear" w:color="auto" w:fill="FFFFFF"/>
          <w:vertAlign w:val="superscript"/>
        </w:rPr>
        <w:t>th</w:t>
      </w:r>
      <w:r w:rsidR="00C926FF" w:rsidRPr="007A436F">
        <w:rPr>
          <w:color w:val="252525"/>
          <w:szCs w:val="22"/>
          <w:shd w:val="clear" w:color="auto" w:fill="FFFFFF"/>
        </w:rPr>
        <w:t xml:space="preserve"> percentile means </w:t>
      </w:r>
      <w:r w:rsidR="00F451A6" w:rsidRPr="007A436F">
        <w:rPr>
          <w:color w:val="252525"/>
          <w:szCs w:val="22"/>
          <w:shd w:val="clear" w:color="auto" w:fill="FFFFFF"/>
        </w:rPr>
        <w:t xml:space="preserve">that 85 percent of the population </w:t>
      </w:r>
      <w:r w:rsidR="005C7D17" w:rsidRPr="007A436F">
        <w:rPr>
          <w:color w:val="252525"/>
          <w:szCs w:val="22"/>
          <w:shd w:val="clear" w:color="auto" w:fill="FFFFFF"/>
        </w:rPr>
        <w:t>encompassed by</w:t>
      </w:r>
      <w:r w:rsidR="00F451A6" w:rsidRPr="007A436F">
        <w:rPr>
          <w:color w:val="252525"/>
          <w:szCs w:val="22"/>
          <w:shd w:val="clear" w:color="auto" w:fill="FFFFFF"/>
        </w:rPr>
        <w:t xml:space="preserve"> the referenced standards have a body mass index below the person’s body mass index)</w:t>
      </w:r>
      <w:r w:rsidR="00092FFA" w:rsidRPr="007A436F">
        <w:rPr>
          <w:color w:val="252525"/>
          <w:szCs w:val="22"/>
          <w:shd w:val="clear" w:color="auto" w:fill="FFFFFF"/>
        </w:rPr>
        <w:t>.</w:t>
      </w:r>
    </w:p>
    <w:p w:rsidR="0096000F" w:rsidRPr="007A436F" w:rsidRDefault="0096000F" w:rsidP="00BB362B">
      <w:pPr>
        <w:pStyle w:val="Definition"/>
      </w:pPr>
      <w:r w:rsidRPr="007A436F">
        <w:rPr>
          <w:b/>
          <w:i/>
        </w:rPr>
        <w:lastRenderedPageBreak/>
        <w:t>pharmaceutical benefit</w:t>
      </w:r>
      <w:r w:rsidRPr="007A436F">
        <w:t xml:space="preserve"> means a pharmaceutical benefit mentioned in </w:t>
      </w:r>
      <w:r w:rsidR="00BB362B" w:rsidRPr="007A436F">
        <w:t>Schedule</w:t>
      </w:r>
      <w:r w:rsidR="007A436F">
        <w:t> </w:t>
      </w:r>
      <w:r w:rsidRPr="007A436F">
        <w:t>1.</w:t>
      </w:r>
    </w:p>
    <w:p w:rsidR="00B9006C" w:rsidRPr="007A436F" w:rsidRDefault="00B9006C" w:rsidP="00B9006C">
      <w:pPr>
        <w:pStyle w:val="notetext"/>
      </w:pPr>
      <w:r w:rsidRPr="007A436F">
        <w:t>Note:</w:t>
      </w:r>
      <w:r w:rsidRPr="007A436F">
        <w:tab/>
        <w:t>Only pharmaceutical benefits mentioned in Part</w:t>
      </w:r>
      <w:r w:rsidR="007A436F">
        <w:t> </w:t>
      </w:r>
      <w:r w:rsidRPr="007A436F">
        <w:t>1 of Schedule</w:t>
      </w:r>
      <w:r w:rsidR="007A436F">
        <w:t> </w:t>
      </w:r>
      <w:r w:rsidRPr="007A436F">
        <w:t>1 may be supplied on a prescription written for a child, and only pharmaceutical benefits mentioned in Part</w:t>
      </w:r>
      <w:r w:rsidR="007A436F">
        <w:t> </w:t>
      </w:r>
      <w:r w:rsidRPr="007A436F">
        <w:t>2 of Schedule</w:t>
      </w:r>
      <w:r w:rsidR="007A436F">
        <w:t> </w:t>
      </w:r>
      <w:r w:rsidRPr="007A436F">
        <w:t>1 may be supplied on a prescription written for an adult: see sections</w:t>
      </w:r>
      <w:r w:rsidR="007A436F">
        <w:t> </w:t>
      </w:r>
      <w:r w:rsidRPr="007A436F">
        <w:t>7A and 9AA.</w:t>
      </w:r>
    </w:p>
    <w:p w:rsidR="00EC02A7" w:rsidRPr="007A436F" w:rsidRDefault="00EC02A7" w:rsidP="00EC02A7">
      <w:pPr>
        <w:pStyle w:val="Definition"/>
        <w:rPr>
          <w:szCs w:val="22"/>
        </w:rPr>
      </w:pPr>
      <w:r w:rsidRPr="007A436F">
        <w:rPr>
          <w:b/>
          <w:i/>
          <w:szCs w:val="22"/>
        </w:rPr>
        <w:t xml:space="preserve">Regulations </w:t>
      </w:r>
      <w:r w:rsidRPr="007A436F">
        <w:rPr>
          <w:szCs w:val="22"/>
        </w:rPr>
        <w:t xml:space="preserve">means the </w:t>
      </w:r>
      <w:r w:rsidRPr="007A436F">
        <w:rPr>
          <w:i/>
          <w:szCs w:val="22"/>
        </w:rPr>
        <w:t>National Health (Pharmaceutical Benefits) Regulations</w:t>
      </w:r>
      <w:r w:rsidR="007A436F">
        <w:rPr>
          <w:i/>
          <w:szCs w:val="22"/>
        </w:rPr>
        <w:t> </w:t>
      </w:r>
      <w:r w:rsidRPr="007A436F">
        <w:rPr>
          <w:i/>
          <w:szCs w:val="22"/>
        </w:rPr>
        <w:t>2017</w:t>
      </w:r>
      <w:r w:rsidRPr="007A436F">
        <w:rPr>
          <w:szCs w:val="22"/>
        </w:rPr>
        <w:t>.</w:t>
      </w:r>
    </w:p>
    <w:p w:rsidR="000D0363" w:rsidRPr="007A436F" w:rsidRDefault="000D0363" w:rsidP="00815A34">
      <w:pPr>
        <w:pStyle w:val="ActHead2"/>
        <w:pageBreakBefore/>
      </w:pPr>
      <w:bookmarkStart w:id="5" w:name="_Toc74311755"/>
      <w:r w:rsidRPr="007A436F">
        <w:rPr>
          <w:rStyle w:val="CharPartNo"/>
        </w:rPr>
        <w:lastRenderedPageBreak/>
        <w:t>Part</w:t>
      </w:r>
      <w:r w:rsidR="007A436F">
        <w:rPr>
          <w:rStyle w:val="CharPartNo"/>
        </w:rPr>
        <w:t> </w:t>
      </w:r>
      <w:r w:rsidR="001571F4" w:rsidRPr="007A436F">
        <w:rPr>
          <w:rStyle w:val="CharPartNo"/>
        </w:rPr>
        <w:t>2</w:t>
      </w:r>
      <w:r w:rsidR="00BB186D" w:rsidRPr="007A436F">
        <w:t>—</w:t>
      </w:r>
      <w:r w:rsidRPr="007A436F">
        <w:rPr>
          <w:rStyle w:val="CharPartText"/>
        </w:rPr>
        <w:t>Pharmaceutical benefits covered by this Special Arrangement</w:t>
      </w:r>
      <w:bookmarkEnd w:id="5"/>
    </w:p>
    <w:p w:rsidR="00732933" w:rsidRPr="007A436F" w:rsidRDefault="00D6656F" w:rsidP="004A044A">
      <w:pPr>
        <w:pStyle w:val="ActHead3"/>
      </w:pPr>
      <w:bookmarkStart w:id="6" w:name="_Toc74311756"/>
      <w:r w:rsidRPr="007A436F">
        <w:rPr>
          <w:rStyle w:val="CharDivNo"/>
        </w:rPr>
        <w:t>Division</w:t>
      </w:r>
      <w:r w:rsidR="007A436F">
        <w:rPr>
          <w:rStyle w:val="CharDivNo"/>
        </w:rPr>
        <w:t> </w:t>
      </w:r>
      <w:r w:rsidRPr="007A436F">
        <w:rPr>
          <w:rStyle w:val="CharDivNo"/>
        </w:rPr>
        <w:t>1</w:t>
      </w:r>
      <w:r w:rsidR="00BB186D" w:rsidRPr="007A436F">
        <w:t>—</w:t>
      </w:r>
      <w:r w:rsidRPr="007A436F">
        <w:rPr>
          <w:rStyle w:val="CharDivText"/>
        </w:rPr>
        <w:t>General</w:t>
      </w:r>
      <w:bookmarkEnd w:id="6"/>
    </w:p>
    <w:p w:rsidR="0096000F" w:rsidRPr="007A436F" w:rsidRDefault="00586359" w:rsidP="00BB362B">
      <w:pPr>
        <w:pStyle w:val="ActHead5"/>
      </w:pPr>
      <w:bookmarkStart w:id="7" w:name="_Toc74311757"/>
      <w:r w:rsidRPr="007A436F">
        <w:rPr>
          <w:rStyle w:val="CharSectno"/>
        </w:rPr>
        <w:t>5</w:t>
      </w:r>
      <w:r w:rsidR="00BB362B" w:rsidRPr="007A436F">
        <w:t xml:space="preserve">  </w:t>
      </w:r>
      <w:r w:rsidR="0096000F" w:rsidRPr="007A436F">
        <w:t>Pharmaceutical benefits covered by this Special Arrangement</w:t>
      </w:r>
      <w:bookmarkEnd w:id="7"/>
    </w:p>
    <w:p w:rsidR="0096000F" w:rsidRPr="007A436F" w:rsidRDefault="0096000F" w:rsidP="00BB362B">
      <w:pPr>
        <w:pStyle w:val="subsection"/>
      </w:pPr>
      <w:r w:rsidRPr="007A436F">
        <w:tab/>
        <w:t>(1)</w:t>
      </w:r>
      <w:r w:rsidRPr="007A436F">
        <w:tab/>
        <w:t>This Special Arrangement applies to each pharmaceutical benefit mentioned in Schedule</w:t>
      </w:r>
      <w:r w:rsidR="007A436F">
        <w:t> </w:t>
      </w:r>
      <w:r w:rsidRPr="007A436F">
        <w:t>1.</w:t>
      </w:r>
    </w:p>
    <w:p w:rsidR="00B9006C" w:rsidRPr="007A436F" w:rsidRDefault="00B9006C" w:rsidP="00B9006C">
      <w:pPr>
        <w:pStyle w:val="notetext"/>
      </w:pPr>
      <w:r w:rsidRPr="007A436F">
        <w:t>Note:</w:t>
      </w:r>
      <w:r w:rsidRPr="007A436F">
        <w:tab/>
        <w:t>Only pharmaceutical benefits mentioned in Part</w:t>
      </w:r>
      <w:r w:rsidR="007A436F">
        <w:t> </w:t>
      </w:r>
      <w:r w:rsidRPr="007A436F">
        <w:t>1 of Schedule</w:t>
      </w:r>
      <w:r w:rsidR="007A436F">
        <w:t> </w:t>
      </w:r>
      <w:r w:rsidRPr="007A436F">
        <w:t>1 may be supplied on a prescription written for a child, and only pharmaceutical benefits mentioned in Part</w:t>
      </w:r>
      <w:r w:rsidR="007A436F">
        <w:t> </w:t>
      </w:r>
      <w:r w:rsidRPr="007A436F">
        <w:t>2 of Schedule</w:t>
      </w:r>
      <w:r w:rsidR="007A436F">
        <w:t> </w:t>
      </w:r>
      <w:r w:rsidRPr="007A436F">
        <w:t>1 may be supplied on a prescription written for an adult: see sections</w:t>
      </w:r>
      <w:r w:rsidR="007A436F">
        <w:t> </w:t>
      </w:r>
      <w:r w:rsidRPr="007A436F">
        <w:t>7A and 9AA.</w:t>
      </w:r>
    </w:p>
    <w:p w:rsidR="0096000F" w:rsidRPr="007A436F" w:rsidRDefault="0096000F" w:rsidP="00BB362B">
      <w:pPr>
        <w:pStyle w:val="subsection"/>
      </w:pPr>
      <w:r w:rsidRPr="007A436F">
        <w:tab/>
        <w:t>(2)</w:t>
      </w:r>
      <w:r w:rsidRPr="007A436F">
        <w:tab/>
        <w:t>Each pharmaceutical benefit to which this Special Arrangement applies is a brand of a listed drug mentioned in Schedule</w:t>
      </w:r>
      <w:r w:rsidR="007A436F">
        <w:t> </w:t>
      </w:r>
      <w:r w:rsidRPr="007A436F">
        <w:t>1:</w:t>
      </w:r>
    </w:p>
    <w:p w:rsidR="0096000F" w:rsidRPr="007A436F" w:rsidRDefault="0096000F" w:rsidP="00BB362B">
      <w:pPr>
        <w:pStyle w:val="paragraph"/>
      </w:pPr>
      <w:r w:rsidRPr="007A436F">
        <w:tab/>
        <w:t>(a)</w:t>
      </w:r>
      <w:r w:rsidRPr="007A436F">
        <w:tab/>
        <w:t>in the form mentioned in Schedule</w:t>
      </w:r>
      <w:r w:rsidR="007A436F">
        <w:t> </w:t>
      </w:r>
      <w:r w:rsidRPr="007A436F">
        <w:t>1 for the listed drug; and</w:t>
      </w:r>
    </w:p>
    <w:p w:rsidR="0096000F" w:rsidRPr="007A436F" w:rsidRDefault="0096000F" w:rsidP="00BB362B">
      <w:pPr>
        <w:pStyle w:val="paragraph"/>
      </w:pPr>
      <w:r w:rsidRPr="007A436F">
        <w:tab/>
        <w:t>(b)</w:t>
      </w:r>
      <w:r w:rsidRPr="007A436F">
        <w:tab/>
        <w:t>with the manner of administration mentioned in Schedule</w:t>
      </w:r>
      <w:r w:rsidR="007A436F">
        <w:t> </w:t>
      </w:r>
      <w:r w:rsidRPr="007A436F">
        <w:t>1 for the form of the listed drug.</w:t>
      </w:r>
    </w:p>
    <w:p w:rsidR="0096000F" w:rsidRPr="007A436F" w:rsidRDefault="0096000F" w:rsidP="00640785">
      <w:pPr>
        <w:pStyle w:val="notetext"/>
      </w:pPr>
      <w:r w:rsidRPr="007A436F">
        <w:t>Note</w:t>
      </w:r>
      <w:r w:rsidR="00640785" w:rsidRPr="007A436F">
        <w:t>:</w:t>
      </w:r>
      <w:r w:rsidR="00640785" w:rsidRPr="007A436F">
        <w:tab/>
      </w:r>
      <w:r w:rsidRPr="007A436F">
        <w:t>Each listed drug mentioned in Schedule</w:t>
      </w:r>
      <w:r w:rsidR="007A436F">
        <w:t> </w:t>
      </w:r>
      <w:r w:rsidRPr="007A436F">
        <w:t>1 has been declared by the Minister under subsection</w:t>
      </w:r>
      <w:r w:rsidR="007A436F">
        <w:t> </w:t>
      </w:r>
      <w:r w:rsidRPr="007A436F">
        <w:t>85(2) of the Act. The form, manner of administration and brand mentioned in Schedule</w:t>
      </w:r>
      <w:r w:rsidR="007A436F">
        <w:t> </w:t>
      </w:r>
      <w:r w:rsidRPr="007A436F">
        <w:t>1 have been determined by the Minister under subsections</w:t>
      </w:r>
      <w:r w:rsidR="007A436F">
        <w:t> </w:t>
      </w:r>
      <w:r w:rsidRPr="007A436F">
        <w:t>85(3), (5) and (6) of the Act respectively.</w:t>
      </w:r>
    </w:p>
    <w:p w:rsidR="0096000F" w:rsidRPr="007A436F" w:rsidRDefault="00586359" w:rsidP="00BB362B">
      <w:pPr>
        <w:pStyle w:val="ActHead5"/>
      </w:pPr>
      <w:bookmarkStart w:id="8" w:name="_Toc74311758"/>
      <w:r w:rsidRPr="007A436F">
        <w:rPr>
          <w:rStyle w:val="CharSectno"/>
        </w:rPr>
        <w:t>6</w:t>
      </w:r>
      <w:r w:rsidR="00BB362B" w:rsidRPr="007A436F">
        <w:t xml:space="preserve">  </w:t>
      </w:r>
      <w:r w:rsidR="0096000F" w:rsidRPr="007A436F">
        <w:t xml:space="preserve">Application of </w:t>
      </w:r>
      <w:r w:rsidR="00BB362B" w:rsidRPr="007A436F">
        <w:t>Part </w:t>
      </w:r>
      <w:r w:rsidR="0096000F" w:rsidRPr="007A436F">
        <w:t>VII of the Act</w:t>
      </w:r>
      <w:bookmarkEnd w:id="8"/>
    </w:p>
    <w:p w:rsidR="0096000F" w:rsidRPr="007A436F" w:rsidRDefault="0096000F" w:rsidP="00BB362B">
      <w:pPr>
        <w:pStyle w:val="subsection"/>
      </w:pPr>
      <w:r w:rsidRPr="007A436F">
        <w:tab/>
        <w:t>(1)</w:t>
      </w:r>
      <w:r w:rsidRPr="007A436F">
        <w:tab/>
        <w:t xml:space="preserve">Each pharmaceutical benefit supplied in accordance with this Special Arrangement is supplied under </w:t>
      </w:r>
      <w:r w:rsidR="00BB362B" w:rsidRPr="007A436F">
        <w:t>Part </w:t>
      </w:r>
      <w:r w:rsidRPr="007A436F">
        <w:t>VII of the Act.</w:t>
      </w:r>
    </w:p>
    <w:p w:rsidR="0096000F" w:rsidRPr="007A436F" w:rsidRDefault="0096000F" w:rsidP="00BB362B">
      <w:pPr>
        <w:pStyle w:val="subsection"/>
      </w:pPr>
      <w:r w:rsidRPr="007A436F">
        <w:tab/>
        <w:t>(2)</w:t>
      </w:r>
      <w:r w:rsidRPr="007A436F">
        <w:tab/>
        <w:t xml:space="preserve">A provision of </w:t>
      </w:r>
      <w:r w:rsidR="00BB362B" w:rsidRPr="007A436F">
        <w:t>Part </w:t>
      </w:r>
      <w:r w:rsidRPr="007A436F">
        <w:t xml:space="preserve">VII of the Act, or of regulations or other instruments made for </w:t>
      </w:r>
      <w:r w:rsidR="00BB362B" w:rsidRPr="007A436F">
        <w:t>Part </w:t>
      </w:r>
      <w:r w:rsidRPr="007A436F">
        <w:t>VII of the Act, applies subject to this Special Arrangement.</w:t>
      </w:r>
    </w:p>
    <w:p w:rsidR="0096000F" w:rsidRPr="007A436F" w:rsidRDefault="00BB362B" w:rsidP="00F27D64">
      <w:pPr>
        <w:pStyle w:val="notetext"/>
      </w:pPr>
      <w:r w:rsidRPr="007A436F">
        <w:t>Note:</w:t>
      </w:r>
      <w:r w:rsidRPr="007A436F">
        <w:tab/>
      </w:r>
      <w:r w:rsidR="0096000F" w:rsidRPr="007A436F">
        <w:t>See subsection</w:t>
      </w:r>
      <w:r w:rsidR="007A436F">
        <w:t> </w:t>
      </w:r>
      <w:r w:rsidR="0096000F" w:rsidRPr="007A436F">
        <w:t>100(3) of the Act.</w:t>
      </w:r>
    </w:p>
    <w:p w:rsidR="000D0363" w:rsidRPr="007A436F" w:rsidRDefault="00586359" w:rsidP="000D0363">
      <w:pPr>
        <w:pStyle w:val="ActHead5"/>
      </w:pPr>
      <w:bookmarkStart w:id="9" w:name="_Toc74311759"/>
      <w:r w:rsidRPr="007A436F">
        <w:rPr>
          <w:rStyle w:val="CharSectno"/>
        </w:rPr>
        <w:t>7</w:t>
      </w:r>
      <w:r w:rsidR="000D0363" w:rsidRPr="007A436F">
        <w:t xml:space="preserve">  Section</w:t>
      </w:r>
      <w:r w:rsidR="007A436F">
        <w:t> </w:t>
      </w:r>
      <w:r w:rsidR="000D0363" w:rsidRPr="007A436F">
        <w:t>100 only supply</w:t>
      </w:r>
      <w:bookmarkEnd w:id="9"/>
    </w:p>
    <w:p w:rsidR="000D0363" w:rsidRPr="007A436F" w:rsidRDefault="000D0363" w:rsidP="000D0363">
      <w:pPr>
        <w:pStyle w:val="subsection"/>
      </w:pPr>
      <w:r w:rsidRPr="007A436F">
        <w:tab/>
        <w:t>(1)</w:t>
      </w:r>
      <w:r w:rsidRPr="007A436F">
        <w:tab/>
        <w:t>If the code ‘D(100)’ is mentioned in the column</w:t>
      </w:r>
      <w:r w:rsidR="00B9006C" w:rsidRPr="007A436F">
        <w:t xml:space="preserve"> of a table</w:t>
      </w:r>
      <w:r w:rsidRPr="007A436F">
        <w:t xml:space="preserve"> in Schedule</w:t>
      </w:r>
      <w:r w:rsidR="007A436F">
        <w:t> </w:t>
      </w:r>
      <w:r w:rsidRPr="007A436F">
        <w:t>1 headed ‘Section</w:t>
      </w:r>
      <w:r w:rsidR="007A436F">
        <w:t> </w:t>
      </w:r>
      <w:r w:rsidRPr="007A436F">
        <w:t>100 only’ for a listed drug, the listed drug may be supplied only in accordance with this Special Arrangement and any other Special Arrangement relating to the listed drug.</w:t>
      </w:r>
    </w:p>
    <w:p w:rsidR="000D0363" w:rsidRPr="007A436F" w:rsidRDefault="000D0363" w:rsidP="000D0363">
      <w:pPr>
        <w:pStyle w:val="subsection"/>
      </w:pPr>
      <w:r w:rsidRPr="007A436F">
        <w:tab/>
        <w:t>(2)</w:t>
      </w:r>
      <w:r w:rsidRPr="007A436F">
        <w:tab/>
        <w:t xml:space="preserve">A pharmaceutical benefit that has a drug mentioned in </w:t>
      </w:r>
      <w:r w:rsidR="007A436F">
        <w:t>subsection (</w:t>
      </w:r>
      <w:r w:rsidRPr="007A436F">
        <w:t>1) is not available for general supply on the Pharmaceutical Benefits Scheme.</w:t>
      </w:r>
    </w:p>
    <w:p w:rsidR="000D0363" w:rsidRPr="007A436F" w:rsidRDefault="000D0363" w:rsidP="00F27D64">
      <w:pPr>
        <w:pStyle w:val="notetext"/>
      </w:pPr>
      <w:r w:rsidRPr="007A436F">
        <w:t>Note:</w:t>
      </w:r>
      <w:r w:rsidRPr="007A436F">
        <w:tab/>
        <w:t>The Minister has declared, under subsection</w:t>
      </w:r>
      <w:r w:rsidR="007A436F">
        <w:t> </w:t>
      </w:r>
      <w:r w:rsidRPr="007A436F">
        <w:t>85(2A) of the Act, that the listed drug can only be supplied under a section</w:t>
      </w:r>
      <w:r w:rsidR="007A436F">
        <w:t> </w:t>
      </w:r>
      <w:r w:rsidRPr="007A436F">
        <w:t>100 Special Arrangement.</w:t>
      </w:r>
    </w:p>
    <w:p w:rsidR="00D6656F" w:rsidRPr="007A436F" w:rsidRDefault="00D6656F" w:rsidP="00226727">
      <w:pPr>
        <w:pStyle w:val="ActHead3"/>
        <w:pageBreakBefore/>
      </w:pPr>
      <w:bookmarkStart w:id="10" w:name="_Toc74311760"/>
      <w:r w:rsidRPr="007A436F">
        <w:rPr>
          <w:rStyle w:val="CharDivNo"/>
        </w:rPr>
        <w:lastRenderedPageBreak/>
        <w:t>Division</w:t>
      </w:r>
      <w:r w:rsidR="007A436F">
        <w:rPr>
          <w:rStyle w:val="CharDivNo"/>
        </w:rPr>
        <w:t> </w:t>
      </w:r>
      <w:r w:rsidRPr="007A436F">
        <w:rPr>
          <w:rStyle w:val="CharDivNo"/>
        </w:rPr>
        <w:t>2</w:t>
      </w:r>
      <w:r w:rsidR="00BB186D" w:rsidRPr="007A436F">
        <w:t>—</w:t>
      </w:r>
      <w:r w:rsidRPr="007A436F">
        <w:rPr>
          <w:rStyle w:val="CharDivText"/>
        </w:rPr>
        <w:t>Prescriptions for pharmaceutical benefits</w:t>
      </w:r>
      <w:bookmarkEnd w:id="10"/>
    </w:p>
    <w:p w:rsidR="00B9006C" w:rsidRPr="007A436F" w:rsidRDefault="00B9006C" w:rsidP="00B9006C">
      <w:pPr>
        <w:pStyle w:val="ActHead4"/>
      </w:pPr>
      <w:bookmarkStart w:id="11" w:name="_Toc74311761"/>
      <w:r w:rsidRPr="007A436F">
        <w:rPr>
          <w:rStyle w:val="CharSubdNo"/>
        </w:rPr>
        <w:t>Subdivision A</w:t>
      </w:r>
      <w:r w:rsidRPr="007A436F">
        <w:t>—</w:t>
      </w:r>
      <w:r w:rsidRPr="007A436F">
        <w:rPr>
          <w:rStyle w:val="CharSubdText"/>
        </w:rPr>
        <w:t>Prescriptions for children</w:t>
      </w:r>
      <w:bookmarkEnd w:id="11"/>
    </w:p>
    <w:p w:rsidR="00B9006C" w:rsidRPr="007A436F" w:rsidRDefault="00B9006C" w:rsidP="00B9006C">
      <w:pPr>
        <w:pStyle w:val="ActHead5"/>
      </w:pPr>
      <w:bookmarkStart w:id="12" w:name="_Toc74311762"/>
      <w:r w:rsidRPr="007A436F">
        <w:rPr>
          <w:rStyle w:val="CharSectno"/>
        </w:rPr>
        <w:t>7A</w:t>
      </w:r>
      <w:r w:rsidRPr="007A436F">
        <w:t xml:space="preserve">  Prescription of pharmaceutical benefits in Part</w:t>
      </w:r>
      <w:r w:rsidR="007A436F">
        <w:t> </w:t>
      </w:r>
      <w:r w:rsidRPr="007A436F">
        <w:t>1 of Schedule</w:t>
      </w:r>
      <w:r w:rsidR="007A436F">
        <w:t> </w:t>
      </w:r>
      <w:r w:rsidRPr="007A436F">
        <w:t>1 for children</w:t>
      </w:r>
      <w:bookmarkEnd w:id="12"/>
    </w:p>
    <w:p w:rsidR="00B9006C" w:rsidRPr="007A436F" w:rsidRDefault="00B9006C" w:rsidP="00B9006C">
      <w:pPr>
        <w:pStyle w:val="subsection"/>
      </w:pPr>
      <w:r w:rsidRPr="007A436F">
        <w:tab/>
      </w:r>
      <w:r w:rsidRPr="007A436F">
        <w:tab/>
        <w:t>A pharmaceutical benefit must not be supplied on a prescription written for a person who is a child when the prescription is written unless the pharmaceutical benefit is mentioned in Part</w:t>
      </w:r>
      <w:r w:rsidR="007A436F">
        <w:t> </w:t>
      </w:r>
      <w:r w:rsidRPr="007A436F">
        <w:t>1 of Schedule</w:t>
      </w:r>
      <w:r w:rsidR="007A436F">
        <w:t> </w:t>
      </w:r>
      <w:r w:rsidRPr="007A436F">
        <w:t>1.</w:t>
      </w:r>
    </w:p>
    <w:p w:rsidR="00B9006C" w:rsidRPr="007A436F" w:rsidRDefault="00B9006C" w:rsidP="00B9006C">
      <w:pPr>
        <w:pStyle w:val="ActHead5"/>
      </w:pPr>
      <w:bookmarkStart w:id="13" w:name="_Toc74311763"/>
      <w:r w:rsidRPr="007A436F">
        <w:rPr>
          <w:rStyle w:val="CharSectno"/>
        </w:rPr>
        <w:t>8</w:t>
      </w:r>
      <w:r w:rsidRPr="007A436F">
        <w:t xml:space="preserve">  Prescription for child—maximum quantity</w:t>
      </w:r>
      <w:bookmarkEnd w:id="13"/>
    </w:p>
    <w:p w:rsidR="0096000F" w:rsidRPr="007A436F" w:rsidRDefault="0096000F" w:rsidP="00BB362B">
      <w:pPr>
        <w:pStyle w:val="subsection"/>
      </w:pPr>
      <w:r w:rsidRPr="007A436F">
        <w:tab/>
        <w:t>(1)</w:t>
      </w:r>
      <w:r w:rsidRPr="007A436F">
        <w:tab/>
        <w:t>The maximum quantity or number of units of the pharmaceutical benefit that may, in one prescription</w:t>
      </w:r>
      <w:r w:rsidR="00B9006C" w:rsidRPr="007A436F">
        <w:t xml:space="preserve"> for a child</w:t>
      </w:r>
      <w:r w:rsidRPr="007A436F">
        <w:t xml:space="preserve">, be directed to be supplied </w:t>
      </w:r>
      <w:r w:rsidR="00732933" w:rsidRPr="007A436F">
        <w:t xml:space="preserve">during an initial treatment period </w:t>
      </w:r>
      <w:r w:rsidRPr="007A436F">
        <w:t>is an amount that is sufficient for:</w:t>
      </w:r>
    </w:p>
    <w:p w:rsidR="0096000F" w:rsidRPr="007A436F" w:rsidRDefault="0096000F" w:rsidP="00BB362B">
      <w:pPr>
        <w:pStyle w:val="paragraph"/>
      </w:pPr>
      <w:r w:rsidRPr="007A436F">
        <w:tab/>
        <w:t>(a)</w:t>
      </w:r>
      <w:r w:rsidRPr="007A436F">
        <w:tab/>
        <w:t xml:space="preserve">the first </w:t>
      </w:r>
      <w:r w:rsidR="00D629B6" w:rsidRPr="007A436F">
        <w:t>16</w:t>
      </w:r>
      <w:r w:rsidRPr="007A436F">
        <w:t xml:space="preserve"> weeks of treatment of </w:t>
      </w:r>
      <w:r w:rsidR="00D95B2F" w:rsidRPr="007A436F">
        <w:t>the child</w:t>
      </w:r>
      <w:r w:rsidRPr="007A436F">
        <w:t>; or</w:t>
      </w:r>
    </w:p>
    <w:p w:rsidR="00732933" w:rsidRPr="007A436F" w:rsidRDefault="0096000F" w:rsidP="00BB362B">
      <w:pPr>
        <w:pStyle w:val="paragraph"/>
      </w:pPr>
      <w:r w:rsidRPr="007A436F">
        <w:tab/>
        <w:t>(b)</w:t>
      </w:r>
      <w:r w:rsidRPr="007A436F">
        <w:tab/>
        <w:t xml:space="preserve">if a prescription mentioned in </w:t>
      </w:r>
      <w:r w:rsidR="007A436F">
        <w:t>paragraph (</w:t>
      </w:r>
      <w:r w:rsidRPr="007A436F">
        <w:t xml:space="preserve">a) has already been written for </w:t>
      </w:r>
      <w:r w:rsidR="00D95B2F" w:rsidRPr="007A436F">
        <w:t>the child</w:t>
      </w:r>
      <w:r w:rsidRPr="007A436F">
        <w:t xml:space="preserve"> for the treatment period</w:t>
      </w:r>
      <w:r w:rsidR="00BB362B" w:rsidRPr="007A436F">
        <w:t>—</w:t>
      </w:r>
      <w:r w:rsidRPr="007A436F">
        <w:t xml:space="preserve">the remaining </w:t>
      </w:r>
      <w:r w:rsidR="00D629B6" w:rsidRPr="007A436F">
        <w:t>16</w:t>
      </w:r>
      <w:r w:rsidRPr="007A436F">
        <w:t xml:space="preserve"> weeks of treatment of </w:t>
      </w:r>
      <w:r w:rsidR="00D95B2F" w:rsidRPr="007A436F">
        <w:t>the child</w:t>
      </w:r>
      <w:r w:rsidRPr="007A436F">
        <w:t xml:space="preserve"> for that treatment period</w:t>
      </w:r>
      <w:r w:rsidR="00F02E7A" w:rsidRPr="007A436F">
        <w:t>;</w:t>
      </w:r>
      <w:r w:rsidR="001175B1" w:rsidRPr="007A436F">
        <w:t xml:space="preserve"> or</w:t>
      </w:r>
    </w:p>
    <w:p w:rsidR="00CD0DBF" w:rsidRPr="007A436F" w:rsidRDefault="00CD0DBF" w:rsidP="008155FC">
      <w:pPr>
        <w:pStyle w:val="paragraph"/>
      </w:pPr>
      <w:r w:rsidRPr="007A436F">
        <w:tab/>
      </w:r>
      <w:r w:rsidRPr="007A436F">
        <w:rPr>
          <w:lang w:eastAsia="en-US"/>
        </w:rPr>
        <w:t>(c)</w:t>
      </w:r>
      <w:r w:rsidR="008155FC" w:rsidRPr="007A436F">
        <w:rPr>
          <w:lang w:eastAsia="en-US"/>
        </w:rPr>
        <w:tab/>
      </w:r>
      <w:r w:rsidRPr="007A436F">
        <w:rPr>
          <w:lang w:eastAsia="en-US"/>
        </w:rPr>
        <w:t>a tota</w:t>
      </w:r>
      <w:r w:rsidRPr="007A436F">
        <w:t>l of 32 weeks</w:t>
      </w:r>
      <w:r w:rsidR="00E026F8" w:rsidRPr="007A436F">
        <w:t xml:space="preserve"> of treatment of </w:t>
      </w:r>
      <w:r w:rsidR="00D95B2F" w:rsidRPr="007A436F">
        <w:t>the child</w:t>
      </w:r>
      <w:r w:rsidR="00E026F8" w:rsidRPr="007A436F">
        <w:t>.</w:t>
      </w:r>
    </w:p>
    <w:p w:rsidR="00732933" w:rsidRPr="007A436F" w:rsidRDefault="00732933" w:rsidP="00732933">
      <w:pPr>
        <w:pStyle w:val="subsection"/>
      </w:pPr>
      <w:r w:rsidRPr="007A436F">
        <w:tab/>
        <w:t>(2)</w:t>
      </w:r>
      <w:r w:rsidRPr="007A436F">
        <w:tab/>
        <w:t>The maximum quantity or number of units of the pharmaceutical benefit that may, in one prescription</w:t>
      </w:r>
      <w:r w:rsidR="00D95B2F" w:rsidRPr="007A436F">
        <w:t xml:space="preserve"> for a child</w:t>
      </w:r>
      <w:r w:rsidRPr="007A436F">
        <w:t>, be directed to be supplied during a continuing treatment period is an amount that is sufficient for:</w:t>
      </w:r>
    </w:p>
    <w:p w:rsidR="00732933" w:rsidRPr="007A436F" w:rsidRDefault="00732933" w:rsidP="00732933">
      <w:pPr>
        <w:pStyle w:val="paragraph"/>
      </w:pPr>
      <w:r w:rsidRPr="007A436F">
        <w:tab/>
        <w:t>(a)</w:t>
      </w:r>
      <w:r w:rsidRPr="007A436F">
        <w:tab/>
        <w:t xml:space="preserve">the first 13 weeks of treatment of </w:t>
      </w:r>
      <w:r w:rsidR="00D95B2F" w:rsidRPr="007A436F">
        <w:t>the child</w:t>
      </w:r>
      <w:r w:rsidRPr="007A436F">
        <w:t>; or</w:t>
      </w:r>
    </w:p>
    <w:p w:rsidR="00732933" w:rsidRPr="007A436F" w:rsidRDefault="00732933" w:rsidP="00732933">
      <w:pPr>
        <w:pStyle w:val="paragraph"/>
      </w:pPr>
      <w:r w:rsidRPr="007A436F">
        <w:tab/>
        <w:t>(b)</w:t>
      </w:r>
      <w:r w:rsidRPr="007A436F">
        <w:tab/>
        <w:t xml:space="preserve">if a prescription mentioned in </w:t>
      </w:r>
      <w:r w:rsidR="007A436F">
        <w:t>paragraph (</w:t>
      </w:r>
      <w:r w:rsidRPr="007A436F">
        <w:t xml:space="preserve">a) has already been written for the </w:t>
      </w:r>
      <w:r w:rsidR="00D95B2F" w:rsidRPr="007A436F">
        <w:t>child</w:t>
      </w:r>
      <w:r w:rsidRPr="007A436F">
        <w:t xml:space="preserve"> for the treatment period—the remaining 13 weeks of treatment of the </w:t>
      </w:r>
      <w:r w:rsidR="00D95B2F" w:rsidRPr="007A436F">
        <w:t>child for that treatment period</w:t>
      </w:r>
      <w:r w:rsidR="001175B1" w:rsidRPr="007A436F">
        <w:t>; or</w:t>
      </w:r>
    </w:p>
    <w:p w:rsidR="001175B1" w:rsidRPr="007A436F" w:rsidRDefault="001175B1" w:rsidP="008155FC">
      <w:pPr>
        <w:pStyle w:val="paragraph"/>
      </w:pPr>
      <w:r w:rsidRPr="007A436F">
        <w:tab/>
        <w:t>(c)</w:t>
      </w:r>
      <w:r w:rsidR="008155FC" w:rsidRPr="007A436F">
        <w:tab/>
      </w:r>
      <w:r w:rsidRPr="007A436F">
        <w:t xml:space="preserve">a total of 26 weeks of treatment of </w:t>
      </w:r>
      <w:r w:rsidR="00D95B2F" w:rsidRPr="007A436F">
        <w:t>the child</w:t>
      </w:r>
      <w:r w:rsidRPr="007A436F">
        <w:t>.</w:t>
      </w:r>
    </w:p>
    <w:p w:rsidR="00732933" w:rsidRPr="007A436F" w:rsidRDefault="00732933" w:rsidP="00F02E7A">
      <w:pPr>
        <w:pStyle w:val="subsection"/>
      </w:pPr>
      <w:r w:rsidRPr="007A436F">
        <w:tab/>
        <w:t>(3)</w:t>
      </w:r>
      <w:r w:rsidRPr="007A436F">
        <w:tab/>
        <w:t>The maximum quantity or number of units of the pharmaceutical benefit that may, in one prescription</w:t>
      </w:r>
      <w:r w:rsidR="00DE0BE9" w:rsidRPr="007A436F">
        <w:t xml:space="preserve"> for a child</w:t>
      </w:r>
      <w:r w:rsidRPr="007A436F">
        <w:t>, be directed to be supplied during a recommencement treatment period is an amount that is sufficient for:</w:t>
      </w:r>
    </w:p>
    <w:p w:rsidR="00732933" w:rsidRPr="007A436F" w:rsidRDefault="00732933" w:rsidP="00732933">
      <w:pPr>
        <w:pStyle w:val="paragraph"/>
      </w:pPr>
      <w:r w:rsidRPr="007A436F">
        <w:tab/>
        <w:t>(a)</w:t>
      </w:r>
      <w:r w:rsidRPr="007A436F">
        <w:tab/>
        <w:t xml:space="preserve">the first 16 weeks of treatment of </w:t>
      </w:r>
      <w:r w:rsidR="00DE0BE9" w:rsidRPr="007A436F">
        <w:t>the child</w:t>
      </w:r>
      <w:r w:rsidRPr="007A436F">
        <w:t>; or</w:t>
      </w:r>
    </w:p>
    <w:p w:rsidR="001175B1" w:rsidRPr="007A436F" w:rsidRDefault="00732933" w:rsidP="001175B1">
      <w:pPr>
        <w:pStyle w:val="paragraph"/>
      </w:pPr>
      <w:r w:rsidRPr="007A436F">
        <w:tab/>
        <w:t>(b)</w:t>
      </w:r>
      <w:r w:rsidRPr="007A436F">
        <w:tab/>
        <w:t xml:space="preserve">if a prescription mentioned in </w:t>
      </w:r>
      <w:r w:rsidR="007A436F">
        <w:t>paragraph (</w:t>
      </w:r>
      <w:r w:rsidRPr="007A436F">
        <w:t xml:space="preserve">a) has already been written for the </w:t>
      </w:r>
      <w:r w:rsidR="00DE0BE9" w:rsidRPr="007A436F">
        <w:t>child</w:t>
      </w:r>
      <w:r w:rsidRPr="007A436F">
        <w:t xml:space="preserve"> for the treatment period—the remaining 16 weeks of treatment of the </w:t>
      </w:r>
      <w:r w:rsidR="00DE0BE9" w:rsidRPr="007A436F">
        <w:t>child for that treatment period</w:t>
      </w:r>
      <w:r w:rsidR="001175B1" w:rsidRPr="007A436F">
        <w:t>; or</w:t>
      </w:r>
    </w:p>
    <w:p w:rsidR="001175B1" w:rsidRPr="007A436F" w:rsidRDefault="008155FC" w:rsidP="008155FC">
      <w:pPr>
        <w:pStyle w:val="paragraph"/>
      </w:pPr>
      <w:r w:rsidRPr="007A436F">
        <w:tab/>
        <w:t>(c)</w:t>
      </w:r>
      <w:r w:rsidRPr="007A436F">
        <w:tab/>
      </w:r>
      <w:r w:rsidR="001175B1" w:rsidRPr="007A436F">
        <w:t xml:space="preserve">a total of 32 weeks of  treatment of </w:t>
      </w:r>
      <w:r w:rsidR="00DE0BE9" w:rsidRPr="007A436F">
        <w:t>the child</w:t>
      </w:r>
      <w:r w:rsidR="001175B1" w:rsidRPr="007A436F">
        <w:t>.</w:t>
      </w:r>
    </w:p>
    <w:p w:rsidR="00DE0BE9" w:rsidRPr="007A436F" w:rsidRDefault="00DE0BE9" w:rsidP="00DE0BE9">
      <w:pPr>
        <w:pStyle w:val="ActHead5"/>
      </w:pPr>
      <w:bookmarkStart w:id="14" w:name="_Toc74311764"/>
      <w:r w:rsidRPr="007A436F">
        <w:rPr>
          <w:rStyle w:val="CharSectno"/>
        </w:rPr>
        <w:t>9</w:t>
      </w:r>
      <w:r w:rsidRPr="007A436F">
        <w:t xml:space="preserve">  Prescription for child—maximum number of repeats</w:t>
      </w:r>
      <w:bookmarkEnd w:id="14"/>
    </w:p>
    <w:p w:rsidR="0096000F" w:rsidRPr="007A436F" w:rsidRDefault="0096000F" w:rsidP="00BB362B">
      <w:pPr>
        <w:pStyle w:val="subsection"/>
      </w:pPr>
      <w:r w:rsidRPr="007A436F">
        <w:tab/>
      </w:r>
      <w:r w:rsidR="00111045" w:rsidRPr="007A436F">
        <w:t>(1)</w:t>
      </w:r>
      <w:r w:rsidRPr="007A436F">
        <w:tab/>
        <w:t>The maximum number of occasions on which the supply of the pharmaceutical benefit may, in one prescription</w:t>
      </w:r>
      <w:r w:rsidR="00DE0BE9" w:rsidRPr="007A436F">
        <w:t xml:space="preserve"> for a child</w:t>
      </w:r>
      <w:r w:rsidRPr="007A436F">
        <w:t>, be directed to be repeated is:</w:t>
      </w:r>
    </w:p>
    <w:p w:rsidR="00975036" w:rsidRPr="007A436F" w:rsidRDefault="0096000F" w:rsidP="00BB362B">
      <w:pPr>
        <w:pStyle w:val="paragraph"/>
      </w:pPr>
      <w:r w:rsidRPr="007A436F">
        <w:tab/>
        <w:t>(a)</w:t>
      </w:r>
      <w:r w:rsidRPr="007A436F">
        <w:tab/>
        <w:t xml:space="preserve">for a prescription for initial treatment of </w:t>
      </w:r>
      <w:r w:rsidR="00DE0BE9" w:rsidRPr="007A436F">
        <w:t>the child</w:t>
      </w:r>
      <w:r w:rsidR="00975036" w:rsidRPr="007A436F">
        <w:t>:</w:t>
      </w:r>
    </w:p>
    <w:p w:rsidR="0096000F" w:rsidRPr="007A436F" w:rsidRDefault="00732933" w:rsidP="004D324A">
      <w:pPr>
        <w:pStyle w:val="paragraphsub"/>
      </w:pPr>
      <w:r w:rsidRPr="007A436F">
        <w:t xml:space="preserve"> </w:t>
      </w:r>
      <w:r w:rsidR="004D324A" w:rsidRPr="007A436F">
        <w:tab/>
      </w:r>
      <w:r w:rsidR="00975036" w:rsidRPr="007A436F">
        <w:t>(i)</w:t>
      </w:r>
      <w:r w:rsidR="004D324A" w:rsidRPr="007A436F">
        <w:tab/>
      </w:r>
      <w:r w:rsidR="00D629B6" w:rsidRPr="007A436F">
        <w:t>one repeat for a prescription that directs a supply, on one occasion, of  pharmaceutical benefit sufficient for a 16 week period; or</w:t>
      </w:r>
    </w:p>
    <w:p w:rsidR="001175B1" w:rsidRPr="007A436F" w:rsidRDefault="001175B1" w:rsidP="004D324A">
      <w:pPr>
        <w:pStyle w:val="paragraphsub"/>
      </w:pPr>
      <w:r w:rsidRPr="007A436F">
        <w:lastRenderedPageBreak/>
        <w:tab/>
        <w:t>(ii)</w:t>
      </w:r>
      <w:r w:rsidR="004D324A" w:rsidRPr="007A436F">
        <w:tab/>
      </w:r>
      <w:r w:rsidRPr="007A436F">
        <w:t>no repeats for a prescription that directs a supply, on one occasion, of a pharmaceutical benefit sufficient for a 32 week period.</w:t>
      </w:r>
    </w:p>
    <w:p w:rsidR="00975036" w:rsidRPr="007A436F" w:rsidRDefault="00842C8F" w:rsidP="00842C8F">
      <w:pPr>
        <w:pStyle w:val="paragraph"/>
      </w:pPr>
      <w:r w:rsidRPr="007A436F">
        <w:tab/>
      </w:r>
      <w:r w:rsidR="00975036" w:rsidRPr="007A436F">
        <w:t>(b)</w:t>
      </w:r>
      <w:r w:rsidRPr="007A436F">
        <w:tab/>
      </w:r>
      <w:r w:rsidR="00975036" w:rsidRPr="007A436F">
        <w:t>(i)</w:t>
      </w:r>
      <w:r w:rsidRPr="007A436F">
        <w:t xml:space="preserve">  </w:t>
      </w:r>
      <w:r w:rsidR="00732933" w:rsidRPr="007A436F">
        <w:t xml:space="preserve">for a prescription for recommencement treatment of </w:t>
      </w:r>
      <w:r w:rsidR="00DE0BE9" w:rsidRPr="007A436F">
        <w:t>the child</w:t>
      </w:r>
      <w:r w:rsidR="00975036" w:rsidRPr="007A436F">
        <w:t>:</w:t>
      </w:r>
    </w:p>
    <w:p w:rsidR="00732933" w:rsidRPr="007A436F" w:rsidRDefault="00732933" w:rsidP="00D800C7">
      <w:pPr>
        <w:pStyle w:val="paragraphsub"/>
      </w:pPr>
      <w:r w:rsidRPr="007A436F">
        <w:t xml:space="preserve"> </w:t>
      </w:r>
      <w:r w:rsidR="00975036" w:rsidRPr="007A436F">
        <w:tab/>
      </w:r>
      <w:r w:rsidR="00975036" w:rsidRPr="007A436F">
        <w:tab/>
      </w:r>
      <w:r w:rsidRPr="007A436F">
        <w:t xml:space="preserve">one repeat for a prescription that directs a supply, on one occasion, of  pharmaceutical benefit sufficient for a 16 week period; or </w:t>
      </w:r>
    </w:p>
    <w:p w:rsidR="001175B1" w:rsidRPr="007A436F" w:rsidRDefault="001175B1" w:rsidP="00D800C7">
      <w:pPr>
        <w:pStyle w:val="paragraphsub"/>
      </w:pPr>
      <w:r w:rsidRPr="007A436F">
        <w:tab/>
        <w:t>(ii)</w:t>
      </w:r>
      <w:r w:rsidR="004D324A" w:rsidRPr="007A436F">
        <w:tab/>
      </w:r>
      <w:r w:rsidRPr="007A436F">
        <w:t>no repeats for a prescription that directs a supply, on one occasion, of a pharmaceutical benefit sufficient for a 32 week period.</w:t>
      </w:r>
    </w:p>
    <w:p w:rsidR="00732933" w:rsidRPr="007A436F" w:rsidRDefault="00732933" w:rsidP="00732933">
      <w:pPr>
        <w:pStyle w:val="paragraph"/>
      </w:pPr>
      <w:r w:rsidRPr="007A436F">
        <w:tab/>
        <w:t>(c)</w:t>
      </w:r>
      <w:r w:rsidRPr="007A436F">
        <w:tab/>
      </w:r>
      <w:r w:rsidR="0096000F" w:rsidRPr="007A436F">
        <w:t xml:space="preserve">for a prescription for continuing treatment of </w:t>
      </w:r>
      <w:r w:rsidR="00DE0BE9" w:rsidRPr="007A436F">
        <w:t>the child</w:t>
      </w:r>
      <w:r w:rsidRPr="007A436F">
        <w:t>:</w:t>
      </w:r>
    </w:p>
    <w:p w:rsidR="000C47C4" w:rsidRPr="007A436F" w:rsidRDefault="004D324A" w:rsidP="00D800C7">
      <w:pPr>
        <w:pStyle w:val="paragraphsub"/>
      </w:pPr>
      <w:r w:rsidRPr="007A436F">
        <w:tab/>
      </w:r>
      <w:r w:rsidR="00732933" w:rsidRPr="007A436F">
        <w:t>(i)</w:t>
      </w:r>
      <w:r w:rsidRPr="007A436F">
        <w:tab/>
      </w:r>
      <w:r w:rsidR="0096000F" w:rsidRPr="007A436F">
        <w:t xml:space="preserve">one repeat for a prescription that directs a supply, on one occasion, </w:t>
      </w:r>
      <w:r w:rsidR="00732933" w:rsidRPr="007A436F">
        <w:t xml:space="preserve">of a pharmaceutical benefit sufficient for a 13 week period; or </w:t>
      </w:r>
    </w:p>
    <w:p w:rsidR="00732933" w:rsidRPr="007A436F" w:rsidRDefault="00732933" w:rsidP="00D800C7">
      <w:pPr>
        <w:pStyle w:val="paragraphsub"/>
      </w:pPr>
      <w:r w:rsidRPr="007A436F">
        <w:tab/>
        <w:t>(ii)</w:t>
      </w:r>
      <w:r w:rsidR="004D324A" w:rsidRPr="007A436F">
        <w:tab/>
      </w:r>
      <w:r w:rsidRPr="007A436F">
        <w:t>no repeats for a prescription that directs a supply, on one occasion, of a pharmaceutical benefit sufficient for a 26 week period.</w:t>
      </w:r>
    </w:p>
    <w:p w:rsidR="00DE0BE9" w:rsidRPr="007A436F" w:rsidRDefault="00DE0BE9" w:rsidP="00DE0BE9">
      <w:pPr>
        <w:pStyle w:val="ActHead4"/>
      </w:pPr>
      <w:bookmarkStart w:id="15" w:name="_Toc74311765"/>
      <w:r w:rsidRPr="007A436F">
        <w:rPr>
          <w:rStyle w:val="CharSubdNo"/>
        </w:rPr>
        <w:t>Subdivision B</w:t>
      </w:r>
      <w:r w:rsidRPr="007A436F">
        <w:t>—</w:t>
      </w:r>
      <w:r w:rsidRPr="007A436F">
        <w:rPr>
          <w:rStyle w:val="CharSubdText"/>
        </w:rPr>
        <w:t>Prescriptions for adults</w:t>
      </w:r>
      <w:bookmarkEnd w:id="15"/>
    </w:p>
    <w:p w:rsidR="00DE0BE9" w:rsidRPr="007A436F" w:rsidRDefault="00DE0BE9" w:rsidP="00DE0BE9">
      <w:pPr>
        <w:pStyle w:val="ActHead5"/>
      </w:pPr>
      <w:bookmarkStart w:id="16" w:name="_Toc74311766"/>
      <w:r w:rsidRPr="007A436F">
        <w:rPr>
          <w:rStyle w:val="CharSectno"/>
        </w:rPr>
        <w:t>9AA</w:t>
      </w:r>
      <w:r w:rsidRPr="007A436F">
        <w:t xml:space="preserve">  Prescription of pharmaceutical benefits in Part</w:t>
      </w:r>
      <w:r w:rsidR="007A436F">
        <w:t> </w:t>
      </w:r>
      <w:r w:rsidRPr="007A436F">
        <w:t>2 of Schedule</w:t>
      </w:r>
      <w:r w:rsidR="007A436F">
        <w:t> </w:t>
      </w:r>
      <w:r w:rsidRPr="007A436F">
        <w:t>1 for adults</w:t>
      </w:r>
      <w:bookmarkEnd w:id="16"/>
    </w:p>
    <w:p w:rsidR="00DE0BE9" w:rsidRPr="007A436F" w:rsidRDefault="00DE0BE9" w:rsidP="00DE0BE9">
      <w:pPr>
        <w:pStyle w:val="subsection"/>
      </w:pPr>
      <w:r w:rsidRPr="007A436F">
        <w:tab/>
      </w:r>
      <w:r w:rsidRPr="007A436F">
        <w:tab/>
        <w:t>A pharmaceutical benefit must not be supplied on a prescription written for a person who is an adult when the prescription is written unless the pharmaceutical benefit is mentioned in Part</w:t>
      </w:r>
      <w:r w:rsidR="007A436F">
        <w:t> </w:t>
      </w:r>
      <w:r w:rsidRPr="007A436F">
        <w:t>2 of Schedule</w:t>
      </w:r>
      <w:r w:rsidR="007A436F">
        <w:t> </w:t>
      </w:r>
      <w:r w:rsidRPr="007A436F">
        <w:t>1.</w:t>
      </w:r>
    </w:p>
    <w:p w:rsidR="00DE0BE9" w:rsidRPr="007A436F" w:rsidRDefault="00DE0BE9" w:rsidP="00DE0BE9">
      <w:pPr>
        <w:pStyle w:val="ActHead5"/>
      </w:pPr>
      <w:bookmarkStart w:id="17" w:name="_Toc74311767"/>
      <w:r w:rsidRPr="007A436F">
        <w:rPr>
          <w:rStyle w:val="CharSectno"/>
        </w:rPr>
        <w:t>9AB</w:t>
      </w:r>
      <w:r w:rsidRPr="007A436F">
        <w:t xml:space="preserve">  Prescription for adult—maximum quantity</w:t>
      </w:r>
      <w:bookmarkEnd w:id="17"/>
    </w:p>
    <w:p w:rsidR="00DE0BE9" w:rsidRPr="007A436F" w:rsidRDefault="00DE0BE9" w:rsidP="00DE0BE9">
      <w:pPr>
        <w:pStyle w:val="subsection"/>
      </w:pPr>
      <w:r w:rsidRPr="007A436F">
        <w:tab/>
      </w:r>
      <w:r w:rsidRPr="007A436F">
        <w:tab/>
        <w:t>The maximum quantity or number of units of the pharmaceutical benefit that may, in one prescription for an adult, be directed to be supplied during an initial treatment period or a continuing treatment period is an amount that is sufficient for the first month of treatment of the adult in that period.</w:t>
      </w:r>
    </w:p>
    <w:p w:rsidR="00DE0BE9" w:rsidRPr="007A436F" w:rsidRDefault="00DE0BE9" w:rsidP="00DE0BE9">
      <w:pPr>
        <w:pStyle w:val="ActHead5"/>
      </w:pPr>
      <w:bookmarkStart w:id="18" w:name="_Toc74311768"/>
      <w:r w:rsidRPr="007A436F">
        <w:rPr>
          <w:rStyle w:val="CharSectno"/>
        </w:rPr>
        <w:t>9AC</w:t>
      </w:r>
      <w:r w:rsidRPr="007A436F">
        <w:t xml:space="preserve">  Prescription for adult—maximum number of repeats</w:t>
      </w:r>
      <w:bookmarkEnd w:id="18"/>
    </w:p>
    <w:p w:rsidR="00DE0BE9" w:rsidRPr="007A436F" w:rsidRDefault="00DE0BE9" w:rsidP="00DE0BE9">
      <w:pPr>
        <w:pStyle w:val="subsection"/>
      </w:pPr>
      <w:r w:rsidRPr="007A436F">
        <w:tab/>
      </w:r>
      <w:r w:rsidRPr="007A436F">
        <w:tab/>
        <w:t>The maximum number of occasions on which the supply of the pharmaceutical benefit may, in one prescription for an adult, be directed to be repeated is 5, with each direction for a repeated supply directing a supply, on one occasion, of pharmaceutical benefit sufficient for one month.</w:t>
      </w:r>
    </w:p>
    <w:p w:rsidR="00DE0BE9" w:rsidRPr="007A436F" w:rsidRDefault="00DE0BE9" w:rsidP="00DE0BE9">
      <w:pPr>
        <w:pStyle w:val="ActHead4"/>
      </w:pPr>
      <w:bookmarkStart w:id="19" w:name="_Toc74311769"/>
      <w:r w:rsidRPr="007A436F">
        <w:rPr>
          <w:rStyle w:val="CharSubdNo"/>
        </w:rPr>
        <w:t>Subdivision C</w:t>
      </w:r>
      <w:r w:rsidRPr="007A436F">
        <w:t>—</w:t>
      </w:r>
      <w:r w:rsidRPr="007A436F">
        <w:rPr>
          <w:rStyle w:val="CharSubdText"/>
        </w:rPr>
        <w:t>Prescriptions for children and adults</w:t>
      </w:r>
      <w:bookmarkEnd w:id="19"/>
    </w:p>
    <w:p w:rsidR="00DE0BE9" w:rsidRPr="007A436F" w:rsidRDefault="00DE0BE9" w:rsidP="00DE0BE9">
      <w:pPr>
        <w:pStyle w:val="ActHead5"/>
      </w:pPr>
      <w:bookmarkStart w:id="20" w:name="_Toc74311770"/>
      <w:r w:rsidRPr="007A436F">
        <w:rPr>
          <w:rStyle w:val="CharSectno"/>
        </w:rPr>
        <w:t>9AD</w:t>
      </w:r>
      <w:r w:rsidRPr="007A436F">
        <w:t xml:space="preserve">  Prescription by authorised prescriber only</w:t>
      </w:r>
      <w:bookmarkEnd w:id="20"/>
    </w:p>
    <w:p w:rsidR="00DE0BE9" w:rsidRPr="007A436F" w:rsidRDefault="00DE0BE9" w:rsidP="00DE0BE9">
      <w:pPr>
        <w:pStyle w:val="subsection"/>
      </w:pPr>
      <w:r w:rsidRPr="007A436F">
        <w:tab/>
      </w:r>
      <w:r w:rsidRPr="007A436F">
        <w:tab/>
        <w:t>A pharmaceutical benefit must not be supplied on prescription for a phase of treatment of a person unless the prescription is written by an authorised prescriber for that phase.</w:t>
      </w:r>
    </w:p>
    <w:p w:rsidR="00DE0BE9" w:rsidRPr="007A436F" w:rsidRDefault="00DE0BE9" w:rsidP="00DE0BE9">
      <w:pPr>
        <w:pStyle w:val="ActHead5"/>
      </w:pPr>
      <w:bookmarkStart w:id="21" w:name="_Toc74311771"/>
      <w:r w:rsidRPr="007A436F">
        <w:rPr>
          <w:rStyle w:val="CharSectno"/>
        </w:rPr>
        <w:t>9A</w:t>
      </w:r>
      <w:r w:rsidRPr="007A436F">
        <w:t xml:space="preserve">  Prescription for child or adult—authority required procedures</w:t>
      </w:r>
      <w:bookmarkEnd w:id="21"/>
    </w:p>
    <w:p w:rsidR="00EC02A7" w:rsidRPr="007A436F" w:rsidRDefault="00EC02A7" w:rsidP="00EC02A7">
      <w:pPr>
        <w:pStyle w:val="subsection"/>
        <w:rPr>
          <w:szCs w:val="22"/>
        </w:rPr>
      </w:pPr>
      <w:r w:rsidRPr="007A436F">
        <w:rPr>
          <w:szCs w:val="22"/>
        </w:rPr>
        <w:tab/>
        <w:t>(1)</w:t>
      </w:r>
      <w:r w:rsidRPr="007A436F">
        <w:rPr>
          <w:szCs w:val="22"/>
        </w:rPr>
        <w:tab/>
        <w:t xml:space="preserve">For the purposes of the main listing instrument, a prescription for a pharmaceutical benefit is also taken to have been submitted in accordance with </w:t>
      </w:r>
      <w:r w:rsidRPr="007A436F">
        <w:rPr>
          <w:szCs w:val="22"/>
        </w:rPr>
        <w:lastRenderedPageBreak/>
        <w:t>section</w:t>
      </w:r>
      <w:r w:rsidR="007A436F">
        <w:rPr>
          <w:szCs w:val="22"/>
        </w:rPr>
        <w:t> </w:t>
      </w:r>
      <w:r w:rsidRPr="007A436F">
        <w:rPr>
          <w:szCs w:val="22"/>
        </w:rPr>
        <w:t>12</w:t>
      </w:r>
      <w:r w:rsidR="00DE0BE9" w:rsidRPr="007A436F">
        <w:rPr>
          <w:szCs w:val="22"/>
        </w:rPr>
        <w:t xml:space="preserve"> </w:t>
      </w:r>
      <w:r w:rsidR="00DE0BE9" w:rsidRPr="007A436F">
        <w:t>of that instrument</w:t>
      </w:r>
      <w:r w:rsidRPr="007A436F">
        <w:rPr>
          <w:szCs w:val="22"/>
        </w:rPr>
        <w:t xml:space="preserve"> where the authorised prescriber submits details of that prescription in accordance with </w:t>
      </w:r>
      <w:r w:rsidR="007A436F">
        <w:rPr>
          <w:szCs w:val="22"/>
        </w:rPr>
        <w:t>subsection (</w:t>
      </w:r>
      <w:r w:rsidRPr="007A436F">
        <w:rPr>
          <w:szCs w:val="22"/>
        </w:rPr>
        <w:t>2)</w:t>
      </w:r>
      <w:r w:rsidR="00DE0BE9" w:rsidRPr="007A436F">
        <w:rPr>
          <w:szCs w:val="22"/>
        </w:rPr>
        <w:t xml:space="preserve"> </w:t>
      </w:r>
      <w:r w:rsidR="00DE0BE9" w:rsidRPr="007A436F">
        <w:t>of this section</w:t>
      </w:r>
      <w:r w:rsidRPr="007A436F">
        <w:rPr>
          <w:szCs w:val="22"/>
        </w:rPr>
        <w:t>.</w:t>
      </w:r>
    </w:p>
    <w:p w:rsidR="00EC02A7" w:rsidRPr="007A436F" w:rsidRDefault="00EC02A7" w:rsidP="00EC02A7">
      <w:pPr>
        <w:pStyle w:val="subsection"/>
        <w:rPr>
          <w:szCs w:val="22"/>
        </w:rPr>
      </w:pPr>
      <w:r w:rsidRPr="007A436F">
        <w:rPr>
          <w:szCs w:val="22"/>
        </w:rPr>
        <w:tab/>
        <w:t>(2)</w:t>
      </w:r>
      <w:r w:rsidRPr="007A436F">
        <w:rPr>
          <w:szCs w:val="22"/>
        </w:rPr>
        <w:tab/>
        <w:t>The details must be:</w:t>
      </w:r>
    </w:p>
    <w:p w:rsidR="00EC02A7" w:rsidRPr="007A436F" w:rsidRDefault="00EC02A7" w:rsidP="00EC02A7">
      <w:pPr>
        <w:pStyle w:val="Definition"/>
        <w:spacing w:before="40"/>
        <w:ind w:left="1797" w:hanging="357"/>
        <w:rPr>
          <w:szCs w:val="22"/>
        </w:rPr>
      </w:pPr>
      <w:r w:rsidRPr="007A436F">
        <w:rPr>
          <w:szCs w:val="22"/>
          <w:lang w:eastAsia="en-US"/>
        </w:rPr>
        <w:t>(a)</w:t>
      </w:r>
      <w:r w:rsidRPr="007A436F">
        <w:rPr>
          <w:szCs w:val="22"/>
          <w:lang w:eastAsia="en-US"/>
        </w:rPr>
        <w:tab/>
        <w:t>given to the Chief Executive Medicare in writing</w:t>
      </w:r>
      <w:r w:rsidRPr="007A436F">
        <w:rPr>
          <w:szCs w:val="22"/>
        </w:rPr>
        <w:t>; and</w:t>
      </w:r>
    </w:p>
    <w:p w:rsidR="00EC02A7" w:rsidRPr="007A436F" w:rsidRDefault="00EC02A7" w:rsidP="00EC02A7">
      <w:pPr>
        <w:pStyle w:val="Definition"/>
        <w:spacing w:before="40"/>
        <w:ind w:left="1797" w:hanging="357"/>
        <w:rPr>
          <w:szCs w:val="22"/>
        </w:rPr>
      </w:pPr>
      <w:r w:rsidRPr="007A436F">
        <w:rPr>
          <w:szCs w:val="22"/>
        </w:rPr>
        <w:t>(b)</w:t>
      </w:r>
      <w:r w:rsidRPr="007A436F">
        <w:rPr>
          <w:szCs w:val="22"/>
        </w:rPr>
        <w:tab/>
        <w:t>by means of an electronic communication; and</w:t>
      </w:r>
    </w:p>
    <w:p w:rsidR="00EC02A7" w:rsidRPr="007A436F" w:rsidRDefault="00EC02A7" w:rsidP="00EC02A7">
      <w:pPr>
        <w:pStyle w:val="Definition"/>
        <w:spacing w:before="40"/>
        <w:ind w:left="1797" w:hanging="357"/>
        <w:rPr>
          <w:szCs w:val="22"/>
        </w:rPr>
      </w:pPr>
      <w:r w:rsidRPr="007A436F">
        <w:rPr>
          <w:szCs w:val="22"/>
          <w:lang w:eastAsia="en-US"/>
        </w:rPr>
        <w:t>(c)</w:t>
      </w:r>
      <w:r w:rsidRPr="007A436F">
        <w:rPr>
          <w:szCs w:val="22"/>
          <w:lang w:eastAsia="en-US"/>
        </w:rPr>
        <w:tab/>
        <w:t>in a form approved by the Chief Executive Medicare</w:t>
      </w:r>
      <w:r w:rsidRPr="007A436F">
        <w:rPr>
          <w:szCs w:val="22"/>
        </w:rPr>
        <w:t xml:space="preserve">; and </w:t>
      </w:r>
    </w:p>
    <w:p w:rsidR="00EC02A7" w:rsidRPr="007A436F" w:rsidRDefault="00EC02A7" w:rsidP="00EC02A7">
      <w:pPr>
        <w:pStyle w:val="Definition"/>
        <w:spacing w:before="40"/>
        <w:ind w:left="1797" w:hanging="357"/>
        <w:rPr>
          <w:szCs w:val="22"/>
        </w:rPr>
      </w:pPr>
      <w:r w:rsidRPr="007A436F">
        <w:rPr>
          <w:szCs w:val="22"/>
        </w:rPr>
        <w:t>(d)</w:t>
      </w:r>
      <w:r w:rsidRPr="007A436F">
        <w:rPr>
          <w:szCs w:val="22"/>
        </w:rPr>
        <w:tab/>
        <w:t xml:space="preserve">in accordance with any other requirements that would need to be met in order for the requirements to give the information in writing to be taken to have been met under the </w:t>
      </w:r>
      <w:r w:rsidRPr="007A436F">
        <w:rPr>
          <w:i/>
          <w:szCs w:val="22"/>
        </w:rPr>
        <w:t>Electronic Transactions Act</w:t>
      </w:r>
      <w:r w:rsidRPr="007A436F">
        <w:rPr>
          <w:szCs w:val="22"/>
        </w:rPr>
        <w:t xml:space="preserve"> 1999.</w:t>
      </w:r>
    </w:p>
    <w:p w:rsidR="00EC02A7" w:rsidRPr="007A436F" w:rsidRDefault="00EC02A7" w:rsidP="00EC02A7">
      <w:pPr>
        <w:pStyle w:val="subsection"/>
        <w:rPr>
          <w:szCs w:val="22"/>
        </w:rPr>
      </w:pPr>
      <w:r w:rsidRPr="007A436F">
        <w:rPr>
          <w:szCs w:val="22"/>
        </w:rPr>
        <w:tab/>
        <w:t>(3)</w:t>
      </w:r>
      <w:r w:rsidRPr="007A436F">
        <w:rPr>
          <w:szCs w:val="22"/>
        </w:rPr>
        <w:tab/>
        <w:t xml:space="preserve">For the purposes of the main listing instrument, a prescription submitted in accordance with </w:t>
      </w:r>
      <w:r w:rsidR="007A436F">
        <w:rPr>
          <w:szCs w:val="22"/>
        </w:rPr>
        <w:t>subsection (</w:t>
      </w:r>
      <w:r w:rsidRPr="007A436F">
        <w:rPr>
          <w:szCs w:val="22"/>
        </w:rPr>
        <w:t>2) is also taken to have been authorised under subsection</w:t>
      </w:r>
      <w:r w:rsidR="007A436F">
        <w:rPr>
          <w:szCs w:val="22"/>
        </w:rPr>
        <w:t> </w:t>
      </w:r>
      <w:r w:rsidRPr="007A436F">
        <w:rPr>
          <w:szCs w:val="22"/>
        </w:rPr>
        <w:t xml:space="preserve">13(3) of the main listing instrument where the Chief Executive Medicare sends his or her authorisation, by electronic communication, including computer automated electronic communication, to the authorised prescriber. </w:t>
      </w:r>
    </w:p>
    <w:p w:rsidR="000C47C4" w:rsidRPr="007A436F" w:rsidRDefault="000C47C4" w:rsidP="00482DB5">
      <w:pPr>
        <w:pStyle w:val="ActHead2"/>
        <w:pageBreakBefore/>
        <w:spacing w:before="120"/>
      </w:pPr>
      <w:bookmarkStart w:id="22" w:name="_Toc74311772"/>
      <w:r w:rsidRPr="007A436F">
        <w:rPr>
          <w:rStyle w:val="CharPartNo"/>
        </w:rPr>
        <w:lastRenderedPageBreak/>
        <w:t>Part</w:t>
      </w:r>
      <w:r w:rsidR="007A436F">
        <w:rPr>
          <w:rStyle w:val="CharPartNo"/>
        </w:rPr>
        <w:t> </w:t>
      </w:r>
      <w:r w:rsidRPr="007A436F">
        <w:rPr>
          <w:rStyle w:val="CharPartNo"/>
        </w:rPr>
        <w:t>3</w:t>
      </w:r>
      <w:r w:rsidRPr="007A436F">
        <w:t>—</w:t>
      </w:r>
      <w:r w:rsidR="00DE0BE9" w:rsidRPr="007A436F">
        <w:rPr>
          <w:rStyle w:val="CharPartText"/>
        </w:rPr>
        <w:t>Treatment doses for children</w:t>
      </w:r>
      <w:bookmarkEnd w:id="22"/>
    </w:p>
    <w:p w:rsidR="00135E18" w:rsidRPr="007A436F" w:rsidRDefault="00B31DBD" w:rsidP="004A044A">
      <w:pPr>
        <w:pStyle w:val="ActHead3"/>
      </w:pPr>
      <w:bookmarkStart w:id="23" w:name="_Toc74311773"/>
      <w:r w:rsidRPr="007A436F">
        <w:rPr>
          <w:rStyle w:val="CharDivNo"/>
        </w:rPr>
        <w:t>D</w:t>
      </w:r>
      <w:r w:rsidR="00135E18" w:rsidRPr="007A436F">
        <w:rPr>
          <w:rStyle w:val="CharDivNo"/>
        </w:rPr>
        <w:t>ivision</w:t>
      </w:r>
      <w:r w:rsidR="007A436F">
        <w:rPr>
          <w:rStyle w:val="CharDivNo"/>
        </w:rPr>
        <w:t> </w:t>
      </w:r>
      <w:r w:rsidR="00135E18" w:rsidRPr="007A436F">
        <w:rPr>
          <w:rStyle w:val="CharDivNo"/>
        </w:rPr>
        <w:t>1</w:t>
      </w:r>
      <w:r w:rsidR="00135E18" w:rsidRPr="007A436F">
        <w:t>—</w:t>
      </w:r>
      <w:r w:rsidR="0064357A" w:rsidRPr="007A436F">
        <w:rPr>
          <w:rStyle w:val="CharDivText"/>
        </w:rPr>
        <w:t>General</w:t>
      </w:r>
      <w:bookmarkEnd w:id="23"/>
    </w:p>
    <w:p w:rsidR="00DE0BE9" w:rsidRPr="007A436F" w:rsidRDefault="00DE0BE9" w:rsidP="00DE0BE9">
      <w:pPr>
        <w:pStyle w:val="ActHead5"/>
      </w:pPr>
      <w:bookmarkStart w:id="24" w:name="_Toc74311774"/>
      <w:r w:rsidRPr="007A436F">
        <w:rPr>
          <w:rStyle w:val="CharSectno"/>
        </w:rPr>
        <w:t>9B</w:t>
      </w:r>
      <w:r w:rsidRPr="007A436F">
        <w:t xml:space="preserve">  This Part applies to children</w:t>
      </w:r>
      <w:bookmarkEnd w:id="24"/>
    </w:p>
    <w:p w:rsidR="00DE0BE9" w:rsidRPr="007A436F" w:rsidRDefault="00DE0BE9" w:rsidP="00DE0BE9">
      <w:pPr>
        <w:pStyle w:val="subsection"/>
      </w:pPr>
      <w:r w:rsidRPr="007A436F">
        <w:tab/>
      </w:r>
      <w:r w:rsidRPr="007A436F">
        <w:tab/>
        <w:t>This Part applies in relation to:</w:t>
      </w:r>
    </w:p>
    <w:p w:rsidR="00DE0BE9" w:rsidRPr="007A436F" w:rsidRDefault="00DE0BE9" w:rsidP="00DE0BE9">
      <w:pPr>
        <w:pStyle w:val="paragraph"/>
      </w:pPr>
      <w:r w:rsidRPr="007A436F">
        <w:tab/>
        <w:t>(a)</w:t>
      </w:r>
      <w:r w:rsidRPr="007A436F">
        <w:tab/>
        <w:t>a person who is a child; and</w:t>
      </w:r>
    </w:p>
    <w:p w:rsidR="00DE0BE9" w:rsidRPr="007A436F" w:rsidRDefault="00DE0BE9" w:rsidP="00DE0BE9">
      <w:pPr>
        <w:pStyle w:val="paragraph"/>
      </w:pPr>
      <w:r w:rsidRPr="007A436F">
        <w:tab/>
        <w:t>(b)</w:t>
      </w:r>
      <w:r w:rsidRPr="007A436F">
        <w:tab/>
        <w:t>a pharmaceutical benefit mentioned in Part</w:t>
      </w:r>
      <w:r w:rsidR="007A436F">
        <w:t> </w:t>
      </w:r>
      <w:r w:rsidRPr="007A436F">
        <w:t>1 of Schedule</w:t>
      </w:r>
      <w:r w:rsidR="007A436F">
        <w:t> </w:t>
      </w:r>
      <w:r w:rsidRPr="007A436F">
        <w:t>1.</w:t>
      </w:r>
    </w:p>
    <w:p w:rsidR="0096000F" w:rsidRPr="007A436F" w:rsidRDefault="00CA26CE" w:rsidP="00BB362B">
      <w:pPr>
        <w:pStyle w:val="ActHead5"/>
      </w:pPr>
      <w:bookmarkStart w:id="25" w:name="_Toc74311775"/>
      <w:r w:rsidRPr="007A436F">
        <w:rPr>
          <w:rStyle w:val="CharSectno"/>
        </w:rPr>
        <w:t>10</w:t>
      </w:r>
      <w:r w:rsidR="00BB362B" w:rsidRPr="007A436F">
        <w:t xml:space="preserve">  </w:t>
      </w:r>
      <w:r w:rsidR="0096000F" w:rsidRPr="007A436F">
        <w:t>Definition</w:t>
      </w:r>
      <w:r w:rsidR="00B31DBD" w:rsidRPr="007A436F">
        <w:t>s</w:t>
      </w:r>
      <w:bookmarkEnd w:id="25"/>
    </w:p>
    <w:p w:rsidR="0096000F" w:rsidRPr="007A436F" w:rsidRDefault="0096000F" w:rsidP="00BB362B">
      <w:pPr>
        <w:pStyle w:val="subsection"/>
      </w:pPr>
      <w:r w:rsidRPr="007A436F">
        <w:tab/>
        <w:t>(1)</w:t>
      </w:r>
      <w:r w:rsidRPr="007A436F">
        <w:tab/>
        <w:t xml:space="preserve">In this </w:t>
      </w:r>
      <w:r w:rsidR="00B31DBD" w:rsidRPr="007A436F">
        <w:t>Part</w:t>
      </w:r>
      <w:r w:rsidRPr="007A436F">
        <w:t>:</w:t>
      </w:r>
    </w:p>
    <w:p w:rsidR="0096000F" w:rsidRPr="007A436F" w:rsidRDefault="0096000F" w:rsidP="00BB362B">
      <w:pPr>
        <w:pStyle w:val="Definition"/>
      </w:pPr>
      <w:r w:rsidRPr="007A436F">
        <w:rPr>
          <w:b/>
          <w:i/>
        </w:rPr>
        <w:t>dose</w:t>
      </w:r>
      <w:r w:rsidRPr="007A436F">
        <w:t>,</w:t>
      </w:r>
      <w:r w:rsidRPr="007A436F">
        <w:rPr>
          <w:i/>
        </w:rPr>
        <w:t xml:space="preserve"> </w:t>
      </w:r>
      <w:r w:rsidRPr="007A436F">
        <w:t>for a person and a pharmaceutical benefit, means a dose of pharmaceutical benefit mentioned in the table in section</w:t>
      </w:r>
      <w:r w:rsidR="007A436F">
        <w:t> </w:t>
      </w:r>
      <w:r w:rsidR="00CA26CE" w:rsidRPr="007A436F">
        <w:t>11</w:t>
      </w:r>
      <w:r w:rsidRPr="007A436F">
        <w:t xml:space="preserve"> that is measured as a </w:t>
      </w:r>
      <w:r w:rsidR="00CA26CE" w:rsidRPr="007A436F">
        <w:t>dose</w:t>
      </w:r>
      <w:r w:rsidRPr="007A436F">
        <w:t xml:space="preserve"> that applies to the body surface area of the person for a week, with the body surface area of the person </w:t>
      </w:r>
      <w:r w:rsidR="00CB361E" w:rsidRPr="007A436F">
        <w:t xml:space="preserve">calculated </w:t>
      </w:r>
      <w:r w:rsidRPr="007A436F">
        <w:t>using the formula:</w:t>
      </w:r>
    </w:p>
    <w:p w:rsidR="0096000F" w:rsidRPr="007A436F" w:rsidRDefault="0066623A" w:rsidP="00BB362B">
      <w:pPr>
        <w:pStyle w:val="Definition"/>
        <w:spacing w:before="120" w:after="120"/>
      </w:pPr>
      <w:r>
        <w:pict>
          <v:shape id="_x0000_i1026" type="#_x0000_t75" style="width:250.5pt;height:35.25pt">
            <v:imagedata r:id="rId21" o:title=""/>
          </v:shape>
        </w:pict>
      </w:r>
    </w:p>
    <w:p w:rsidR="002E7B85" w:rsidRPr="007A436F" w:rsidRDefault="00B31DBD" w:rsidP="00943631">
      <w:pPr>
        <w:pStyle w:val="subsection"/>
      </w:pPr>
      <w:r w:rsidRPr="007A436F">
        <w:tab/>
      </w:r>
      <w:r w:rsidR="002E7B85" w:rsidRPr="007A436F">
        <w:t>(2)</w:t>
      </w:r>
      <w:r w:rsidR="002E7B85" w:rsidRPr="007A436F">
        <w:tab/>
        <w:t>The measurement</w:t>
      </w:r>
      <w:r w:rsidR="002E7B85" w:rsidRPr="007A436F">
        <w:rPr>
          <w:b/>
        </w:rPr>
        <w:t xml:space="preserve"> ‘m</w:t>
      </w:r>
      <w:r w:rsidR="002E7B85" w:rsidRPr="007A436F">
        <w:rPr>
          <w:b/>
          <w:vertAlign w:val="superscript"/>
        </w:rPr>
        <w:t>2</w:t>
      </w:r>
      <w:r w:rsidR="002E7B85" w:rsidRPr="007A436F">
        <w:rPr>
          <w:b/>
        </w:rPr>
        <w:t>’</w:t>
      </w:r>
      <w:r w:rsidR="002E7B85" w:rsidRPr="007A436F">
        <w:t xml:space="preserve"> refers to:</w:t>
      </w:r>
    </w:p>
    <w:p w:rsidR="002E7B85" w:rsidRPr="007A436F" w:rsidRDefault="00972279" w:rsidP="00D73F2F">
      <w:pPr>
        <w:pStyle w:val="paragraph"/>
      </w:pPr>
      <w:r w:rsidRPr="007A436F">
        <w:tab/>
      </w:r>
      <w:r w:rsidR="002E7B85" w:rsidRPr="007A436F">
        <w:t>(a)</w:t>
      </w:r>
      <w:r w:rsidRPr="007A436F">
        <w:tab/>
      </w:r>
      <w:r w:rsidR="002E7B85" w:rsidRPr="007A436F">
        <w:t>where a person is:</w:t>
      </w:r>
    </w:p>
    <w:p w:rsidR="002E7B85" w:rsidRPr="007A436F" w:rsidRDefault="00972279" w:rsidP="00D73F2F">
      <w:pPr>
        <w:pStyle w:val="paragraphsub"/>
      </w:pPr>
      <w:r w:rsidRPr="007A436F">
        <w:tab/>
        <w:t>(i)</w:t>
      </w:r>
      <w:r w:rsidRPr="007A436F">
        <w:tab/>
      </w:r>
      <w:r w:rsidR="002E7B85" w:rsidRPr="007A436F">
        <w:t>mentioned in item</w:t>
      </w:r>
      <w:r w:rsidR="007A436F">
        <w:t> </w:t>
      </w:r>
      <w:r w:rsidR="002E7B85" w:rsidRPr="007A436F">
        <w:t>1 or 2</w:t>
      </w:r>
      <w:r w:rsidR="0064357A" w:rsidRPr="007A436F">
        <w:t xml:space="preserve"> in the table in section</w:t>
      </w:r>
      <w:r w:rsidR="007A436F">
        <w:t> </w:t>
      </w:r>
      <w:r w:rsidR="00CA26CE" w:rsidRPr="007A436F">
        <w:t>11</w:t>
      </w:r>
      <w:r w:rsidR="002E7B85" w:rsidRPr="007A436F">
        <w:t xml:space="preserve">; or </w:t>
      </w:r>
    </w:p>
    <w:p w:rsidR="002E7B85" w:rsidRPr="007A436F" w:rsidRDefault="00972279" w:rsidP="00D73F2F">
      <w:pPr>
        <w:pStyle w:val="paragraphsub"/>
      </w:pPr>
      <w:r w:rsidRPr="007A436F">
        <w:tab/>
        <w:t>(ii)</w:t>
      </w:r>
      <w:r w:rsidRPr="007A436F">
        <w:tab/>
      </w:r>
      <w:r w:rsidR="002E7B85" w:rsidRPr="007A436F">
        <w:t>mentioned in item</w:t>
      </w:r>
      <w:r w:rsidR="007A436F">
        <w:t> </w:t>
      </w:r>
      <w:r w:rsidR="002E7B85" w:rsidRPr="007A436F">
        <w:t xml:space="preserve">3 </w:t>
      </w:r>
      <w:r w:rsidR="00E6311C" w:rsidRPr="007A436F">
        <w:t>in the table in section</w:t>
      </w:r>
      <w:r w:rsidR="007A436F">
        <w:t> </w:t>
      </w:r>
      <w:r w:rsidR="00CA26CE" w:rsidRPr="007A436F">
        <w:t>11</w:t>
      </w:r>
      <w:r w:rsidR="002E7B85" w:rsidRPr="007A436F">
        <w:t xml:space="preserve"> and has a body mass index less than the 85</w:t>
      </w:r>
      <w:r w:rsidR="002E7B85" w:rsidRPr="007A436F">
        <w:rPr>
          <w:vertAlign w:val="superscript"/>
        </w:rPr>
        <w:t>th</w:t>
      </w:r>
      <w:r w:rsidR="002E7B85" w:rsidRPr="007A436F">
        <w:t xml:space="preserve"> percentile for age and sex;</w:t>
      </w:r>
    </w:p>
    <w:p w:rsidR="002E7B85" w:rsidRPr="007A436F" w:rsidRDefault="002E7B85" w:rsidP="00D73F2F">
      <w:pPr>
        <w:pStyle w:val="subsection2"/>
      </w:pPr>
      <w:r w:rsidRPr="007A436F">
        <w:t xml:space="preserve">a square </w:t>
      </w:r>
      <w:r w:rsidR="00DE0BE9" w:rsidRPr="007A436F">
        <w:t>metre of the body surface area of the person</w:t>
      </w:r>
      <w:r w:rsidRPr="007A436F">
        <w:t xml:space="preserve"> calculated by weight; or</w:t>
      </w:r>
    </w:p>
    <w:p w:rsidR="002E7B85" w:rsidRPr="007A436F" w:rsidRDefault="00972279" w:rsidP="00D73F2F">
      <w:pPr>
        <w:pStyle w:val="paragraph"/>
      </w:pPr>
      <w:r w:rsidRPr="007A436F">
        <w:tab/>
      </w:r>
      <w:r w:rsidR="002E7B85" w:rsidRPr="007A436F">
        <w:t>(b</w:t>
      </w:r>
      <w:r w:rsidRPr="007A436F">
        <w:t>)</w:t>
      </w:r>
      <w:r w:rsidRPr="007A436F">
        <w:tab/>
      </w:r>
      <w:r w:rsidR="002E7B85" w:rsidRPr="007A436F">
        <w:t xml:space="preserve">where a person is: </w:t>
      </w:r>
    </w:p>
    <w:p w:rsidR="002E7B85" w:rsidRPr="007A436F" w:rsidRDefault="00972279" w:rsidP="00D73F2F">
      <w:pPr>
        <w:pStyle w:val="paragraphsub"/>
      </w:pPr>
      <w:r w:rsidRPr="007A436F">
        <w:tab/>
        <w:t>(i)</w:t>
      </w:r>
      <w:r w:rsidRPr="007A436F">
        <w:tab/>
      </w:r>
      <w:r w:rsidR="002E7B85" w:rsidRPr="007A436F">
        <w:t>mentioned in item</w:t>
      </w:r>
      <w:r w:rsidR="007A436F">
        <w:t> </w:t>
      </w:r>
      <w:r w:rsidR="002E7B85" w:rsidRPr="007A436F">
        <w:t xml:space="preserve">3 </w:t>
      </w:r>
      <w:r w:rsidR="0064357A" w:rsidRPr="007A436F">
        <w:t>in the table in section</w:t>
      </w:r>
      <w:r w:rsidR="007A436F">
        <w:t> </w:t>
      </w:r>
      <w:r w:rsidR="00CA26CE" w:rsidRPr="007A436F">
        <w:t>11</w:t>
      </w:r>
      <w:r w:rsidR="002E7B85" w:rsidRPr="007A436F">
        <w:t xml:space="preserve">; and </w:t>
      </w:r>
    </w:p>
    <w:p w:rsidR="002E7B85" w:rsidRPr="007A436F" w:rsidRDefault="00972279" w:rsidP="00D73F2F">
      <w:pPr>
        <w:pStyle w:val="paragraphsub"/>
      </w:pPr>
      <w:r w:rsidRPr="007A436F">
        <w:tab/>
        <w:t>(ii)</w:t>
      </w:r>
      <w:r w:rsidRPr="007A436F">
        <w:tab/>
      </w:r>
      <w:r w:rsidR="002E7B85" w:rsidRPr="007A436F">
        <w:t>has a body mass index greater than the 85</w:t>
      </w:r>
      <w:r w:rsidR="002E7B85" w:rsidRPr="007A436F">
        <w:rPr>
          <w:vertAlign w:val="superscript"/>
        </w:rPr>
        <w:t>th</w:t>
      </w:r>
      <w:r w:rsidR="002E7B85" w:rsidRPr="007A436F">
        <w:t xml:space="preserve"> percentile for age and sex,  </w:t>
      </w:r>
    </w:p>
    <w:p w:rsidR="002E7B85" w:rsidRPr="007A436F" w:rsidRDefault="002E7B85" w:rsidP="00D73F2F">
      <w:pPr>
        <w:pStyle w:val="subsection2"/>
      </w:pPr>
      <w:r w:rsidRPr="007A436F">
        <w:t xml:space="preserve">a square metre of the body surface area of the person, calculated </w:t>
      </w:r>
      <w:r w:rsidR="00FB26D3" w:rsidRPr="007A436F">
        <w:t xml:space="preserve">using </w:t>
      </w:r>
      <w:r w:rsidR="00EC02A7" w:rsidRPr="007A436F">
        <w:rPr>
          <w:szCs w:val="22"/>
        </w:rPr>
        <w:t>ideal body weight (kg)</w:t>
      </w:r>
      <w:r w:rsidRPr="007A436F">
        <w:t>.</w:t>
      </w:r>
    </w:p>
    <w:p w:rsidR="00CB361E" w:rsidRPr="007A436F" w:rsidRDefault="00842C8F" w:rsidP="00CB361E">
      <w:pPr>
        <w:pStyle w:val="subsection"/>
        <w:ind w:hanging="425"/>
      </w:pPr>
      <w:r w:rsidRPr="007A436F">
        <w:tab/>
        <w:t>(3)</w:t>
      </w:r>
      <w:r w:rsidRPr="007A436F">
        <w:tab/>
      </w:r>
      <w:r w:rsidR="00CB361E" w:rsidRPr="007A436F">
        <w:t>The measurement ‘kg’ refers to:</w:t>
      </w:r>
    </w:p>
    <w:p w:rsidR="004A46D5" w:rsidRPr="007A436F" w:rsidRDefault="00CB361E" w:rsidP="004D324A">
      <w:pPr>
        <w:pStyle w:val="paragraph"/>
      </w:pPr>
      <w:r w:rsidRPr="007A436F">
        <w:tab/>
        <w:t>(a)</w:t>
      </w:r>
      <w:r w:rsidR="004D324A" w:rsidRPr="007A436F">
        <w:tab/>
      </w:r>
      <w:r w:rsidRPr="007A436F">
        <w:t>where a person is</w:t>
      </w:r>
      <w:r w:rsidR="004A46D5" w:rsidRPr="007A436F">
        <w:t xml:space="preserve"> </w:t>
      </w:r>
      <w:r w:rsidRPr="007A436F">
        <w:t>mentioned in item</w:t>
      </w:r>
      <w:r w:rsidR="007A436F">
        <w:t> </w:t>
      </w:r>
      <w:r w:rsidRPr="007A436F">
        <w:t>4 in the table in section</w:t>
      </w:r>
      <w:r w:rsidR="007A436F">
        <w:t> </w:t>
      </w:r>
      <w:r w:rsidRPr="007A436F">
        <w:t>11 and has a body mass index equal to or less than the 85th percentile for age and sex</w:t>
      </w:r>
      <w:r w:rsidR="004A46D5" w:rsidRPr="007A436F">
        <w:t>, the person’s body weight in kilograms; or</w:t>
      </w:r>
    </w:p>
    <w:p w:rsidR="00CB361E" w:rsidRPr="007A436F" w:rsidRDefault="004D324A" w:rsidP="004D324A">
      <w:pPr>
        <w:pStyle w:val="paragraph"/>
      </w:pPr>
      <w:r w:rsidRPr="007A436F">
        <w:tab/>
      </w:r>
      <w:r w:rsidR="004A46D5" w:rsidRPr="007A436F">
        <w:t>(b)</w:t>
      </w:r>
      <w:r w:rsidRPr="007A436F">
        <w:tab/>
      </w:r>
      <w:r w:rsidR="004A46D5" w:rsidRPr="007A436F">
        <w:t>where a person is mentioned in item</w:t>
      </w:r>
      <w:r w:rsidR="007A436F">
        <w:t> </w:t>
      </w:r>
      <w:r w:rsidR="004A46D5" w:rsidRPr="007A436F">
        <w:t>4 in the table in section</w:t>
      </w:r>
      <w:r w:rsidR="007A436F">
        <w:t> </w:t>
      </w:r>
      <w:r w:rsidR="004A46D5" w:rsidRPr="007A436F">
        <w:t>11 and has a body mass index greater than the 85</w:t>
      </w:r>
      <w:r w:rsidR="004A46D5" w:rsidRPr="007A436F">
        <w:rPr>
          <w:vertAlign w:val="superscript"/>
        </w:rPr>
        <w:t>th</w:t>
      </w:r>
      <w:r w:rsidR="004A46D5" w:rsidRPr="007A436F">
        <w:t xml:space="preserve"> percentile for age and sex, the person’s</w:t>
      </w:r>
      <w:r w:rsidR="004A46D5" w:rsidRPr="007A436F">
        <w:rPr>
          <w:szCs w:val="22"/>
        </w:rPr>
        <w:t xml:space="preserve"> </w:t>
      </w:r>
      <w:r w:rsidR="00EC02A7" w:rsidRPr="007A436F">
        <w:rPr>
          <w:szCs w:val="22"/>
        </w:rPr>
        <w:t>ideal body weight in kilograms</w:t>
      </w:r>
      <w:r w:rsidR="004A46D5" w:rsidRPr="007A436F">
        <w:rPr>
          <w:szCs w:val="22"/>
        </w:rPr>
        <w:t xml:space="preserve">. </w:t>
      </w:r>
    </w:p>
    <w:p w:rsidR="0096000F" w:rsidRPr="007A436F" w:rsidRDefault="00CA26CE" w:rsidP="00BB362B">
      <w:pPr>
        <w:pStyle w:val="ActHead5"/>
      </w:pPr>
      <w:bookmarkStart w:id="26" w:name="_Toc74311776"/>
      <w:r w:rsidRPr="007A436F">
        <w:rPr>
          <w:rStyle w:val="CharSectno"/>
        </w:rPr>
        <w:t>11</w:t>
      </w:r>
      <w:r w:rsidR="00BB362B" w:rsidRPr="007A436F">
        <w:t xml:space="preserve">  </w:t>
      </w:r>
      <w:r w:rsidR="0096000F" w:rsidRPr="007A436F">
        <w:t>Assessment of dosage of pharmaceutical benefit</w:t>
      </w:r>
      <w:bookmarkEnd w:id="26"/>
    </w:p>
    <w:p w:rsidR="00156667" w:rsidRPr="007A436F" w:rsidRDefault="00156667" w:rsidP="00D73F2F">
      <w:pPr>
        <w:pStyle w:val="subsection"/>
        <w:rPr>
          <w:i/>
        </w:rPr>
      </w:pPr>
      <w:r w:rsidRPr="007A436F">
        <w:tab/>
        <w:t>(1)</w:t>
      </w:r>
      <w:r w:rsidRPr="007A436F">
        <w:tab/>
        <w:t xml:space="preserve">The </w:t>
      </w:r>
      <w:r w:rsidR="00CA26CE" w:rsidRPr="007A436F">
        <w:t xml:space="preserve">authorised </w:t>
      </w:r>
      <w:r w:rsidR="00943631" w:rsidRPr="007A436F">
        <w:t xml:space="preserve">prescriber </w:t>
      </w:r>
      <w:r w:rsidR="00F40C4E" w:rsidRPr="007A436F">
        <w:t>must</w:t>
      </w:r>
      <w:r w:rsidR="00943631" w:rsidRPr="007A436F">
        <w:t xml:space="preserve"> prescribe </w:t>
      </w:r>
      <w:r w:rsidR="0064357A" w:rsidRPr="007A436F">
        <w:t>a</w:t>
      </w:r>
      <w:r w:rsidRPr="007A436F">
        <w:t xml:space="preserve"> dose of pharmaceutical benefit that is appropriate for treatment of </w:t>
      </w:r>
      <w:r w:rsidR="00F40C4E" w:rsidRPr="007A436F">
        <w:t>a</w:t>
      </w:r>
      <w:r w:rsidRPr="007A436F">
        <w:t xml:space="preserve"> person </w:t>
      </w:r>
      <w:r w:rsidR="00F40C4E" w:rsidRPr="007A436F">
        <w:t xml:space="preserve">under this Special Arrangement </w:t>
      </w:r>
      <w:r w:rsidRPr="007A436F">
        <w:t>in accordance with the table in this section and this Division.</w:t>
      </w:r>
    </w:p>
    <w:p w:rsidR="0096000F" w:rsidRPr="007A436F" w:rsidRDefault="0096000F" w:rsidP="00BB362B">
      <w:pPr>
        <w:pStyle w:val="not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04"/>
        <w:gridCol w:w="3559"/>
        <w:gridCol w:w="4264"/>
      </w:tblGrid>
      <w:tr w:rsidR="00156667" w:rsidRPr="007A436F" w:rsidTr="00A84969">
        <w:trPr>
          <w:tblHeader/>
        </w:trPr>
        <w:tc>
          <w:tcPr>
            <w:tcW w:w="413" w:type="pct"/>
            <w:tcBorders>
              <w:top w:val="single" w:sz="12" w:space="0" w:color="auto"/>
              <w:left w:val="nil"/>
              <w:bottom w:val="single" w:sz="12" w:space="0" w:color="auto"/>
              <w:right w:val="nil"/>
            </w:tcBorders>
            <w:hideMark/>
          </w:tcPr>
          <w:p w:rsidR="00156667" w:rsidRPr="007A436F" w:rsidRDefault="00156667" w:rsidP="00842C8F">
            <w:pPr>
              <w:pStyle w:val="TableHeading"/>
            </w:pPr>
            <w:r w:rsidRPr="007A436F">
              <w:t>Item</w:t>
            </w:r>
          </w:p>
        </w:tc>
        <w:tc>
          <w:tcPr>
            <w:tcW w:w="2087" w:type="pct"/>
            <w:tcBorders>
              <w:top w:val="single" w:sz="12" w:space="0" w:color="auto"/>
              <w:left w:val="nil"/>
              <w:bottom w:val="single" w:sz="12" w:space="0" w:color="auto"/>
              <w:right w:val="nil"/>
            </w:tcBorders>
            <w:hideMark/>
          </w:tcPr>
          <w:p w:rsidR="00156667" w:rsidRPr="007A436F" w:rsidRDefault="00F40C4E" w:rsidP="00842C8F">
            <w:pPr>
              <w:pStyle w:val="TableHeading"/>
            </w:pPr>
            <w:r w:rsidRPr="007A436F">
              <w:t>P</w:t>
            </w:r>
            <w:r w:rsidR="00156667" w:rsidRPr="007A436F">
              <w:t>erson</w:t>
            </w:r>
            <w:r w:rsidRPr="007A436F">
              <w:t>’s condition</w:t>
            </w:r>
          </w:p>
        </w:tc>
        <w:tc>
          <w:tcPr>
            <w:tcW w:w="2500" w:type="pct"/>
            <w:tcBorders>
              <w:top w:val="single" w:sz="12" w:space="0" w:color="auto"/>
              <w:left w:val="nil"/>
              <w:bottom w:val="single" w:sz="12" w:space="0" w:color="auto"/>
              <w:right w:val="nil"/>
            </w:tcBorders>
            <w:hideMark/>
          </w:tcPr>
          <w:p w:rsidR="00156667" w:rsidRPr="007A436F" w:rsidRDefault="00F40C4E" w:rsidP="00842C8F">
            <w:pPr>
              <w:pStyle w:val="TableHeading"/>
            </w:pPr>
            <w:r w:rsidRPr="007A436F">
              <w:t>Dose</w:t>
            </w:r>
            <w:r w:rsidR="00156667" w:rsidRPr="007A436F">
              <w:t xml:space="preserve"> of a pharmaceutical benefit</w:t>
            </w:r>
          </w:p>
        </w:tc>
      </w:tr>
      <w:tr w:rsidR="00156667" w:rsidRPr="007A436F" w:rsidTr="00A84969">
        <w:tc>
          <w:tcPr>
            <w:tcW w:w="413" w:type="pct"/>
            <w:tcBorders>
              <w:top w:val="single" w:sz="12" w:space="0" w:color="auto"/>
              <w:left w:val="nil"/>
              <w:bottom w:val="single" w:sz="4" w:space="0" w:color="auto"/>
              <w:right w:val="nil"/>
            </w:tcBorders>
            <w:hideMark/>
          </w:tcPr>
          <w:p w:rsidR="00156667" w:rsidRPr="007A436F" w:rsidRDefault="00156667">
            <w:pPr>
              <w:pStyle w:val="Tabletext"/>
            </w:pPr>
            <w:r w:rsidRPr="007A436F">
              <w:t>1</w:t>
            </w:r>
          </w:p>
        </w:tc>
        <w:tc>
          <w:tcPr>
            <w:tcW w:w="2087" w:type="pct"/>
            <w:tcBorders>
              <w:top w:val="single" w:sz="12" w:space="0" w:color="auto"/>
              <w:left w:val="nil"/>
              <w:bottom w:val="single" w:sz="4" w:space="0" w:color="auto"/>
              <w:right w:val="nil"/>
            </w:tcBorders>
            <w:hideMark/>
          </w:tcPr>
          <w:p w:rsidR="00156667" w:rsidRPr="007A436F" w:rsidRDefault="00156667" w:rsidP="00420438">
            <w:pPr>
              <w:pStyle w:val="Tabletext"/>
            </w:pPr>
            <w:r w:rsidRPr="007A436F">
              <w:t>in the category of:</w:t>
            </w:r>
          </w:p>
          <w:p w:rsidR="00156667" w:rsidRPr="007A436F" w:rsidRDefault="00156667">
            <w:pPr>
              <w:pStyle w:val="Tablea"/>
            </w:pPr>
            <w:r w:rsidRPr="007A436F">
              <w:t>(a) short stature and slow growth; or</w:t>
            </w:r>
          </w:p>
          <w:p w:rsidR="00156667" w:rsidRPr="007A436F" w:rsidRDefault="00156667">
            <w:pPr>
              <w:pStyle w:val="Tablea"/>
            </w:pPr>
            <w:r w:rsidRPr="007A436F">
              <w:t xml:space="preserve">(b) </w:t>
            </w:r>
            <w:r w:rsidR="00CA26CE" w:rsidRPr="007A436F">
              <w:t xml:space="preserve">short stature associated with </w:t>
            </w:r>
            <w:r w:rsidRPr="007A436F">
              <w:t>biochemical growth hormone deficiency; or</w:t>
            </w:r>
          </w:p>
          <w:p w:rsidR="00156667" w:rsidRPr="007A436F" w:rsidRDefault="00156667">
            <w:pPr>
              <w:pStyle w:val="Tablea"/>
            </w:pPr>
            <w:r w:rsidRPr="007A436F">
              <w:t>(c) growth retardation secondary to an intracranial lesion or cranial irradiation; or</w:t>
            </w:r>
          </w:p>
          <w:p w:rsidR="00156667" w:rsidRPr="007A436F" w:rsidRDefault="00156667">
            <w:pPr>
              <w:pStyle w:val="Tablea"/>
            </w:pPr>
            <w:r w:rsidRPr="007A436F">
              <w:t>(d</w:t>
            </w:r>
            <w:r w:rsidR="00CA26CE" w:rsidRPr="007A436F">
              <w:t xml:space="preserve"> </w:t>
            </w:r>
            <w:r w:rsidR="00530341" w:rsidRPr="007A436F">
              <w:t>r</w:t>
            </w:r>
            <w:r w:rsidR="00CA26CE" w:rsidRPr="007A436F">
              <w:t>isk</w:t>
            </w:r>
            <w:r w:rsidRPr="007A436F">
              <w:t xml:space="preserve"> of hypoglycaemia secondary to biochemical growth hormone deficiency</w:t>
            </w:r>
            <w:r w:rsidR="00CA26CE" w:rsidRPr="007A436F">
              <w:t xml:space="preserve"> in neonates/infants</w:t>
            </w:r>
            <w:r w:rsidRPr="007A436F">
              <w:t>; or</w:t>
            </w:r>
          </w:p>
          <w:p w:rsidR="00156667" w:rsidRPr="007A436F" w:rsidRDefault="00156667">
            <w:pPr>
              <w:pStyle w:val="Tablea"/>
            </w:pPr>
            <w:r w:rsidRPr="007A436F">
              <w:t xml:space="preserve">(e) </w:t>
            </w:r>
            <w:r w:rsidR="00CA26CE" w:rsidRPr="007A436F">
              <w:t xml:space="preserve">biochemical </w:t>
            </w:r>
            <w:r w:rsidRPr="007A436F">
              <w:t>growth hormone deficiency and precocious puberty</w:t>
            </w:r>
            <w:r w:rsidR="00C70856" w:rsidRPr="007A436F">
              <w:t>; or</w:t>
            </w:r>
          </w:p>
          <w:p w:rsidR="00A33780" w:rsidRPr="007A436F" w:rsidRDefault="00A33780" w:rsidP="00517D9A">
            <w:pPr>
              <w:pStyle w:val="Tablea"/>
            </w:pPr>
            <w:r w:rsidRPr="007A436F">
              <w:t xml:space="preserve">(f) </w:t>
            </w:r>
            <w:r w:rsidR="000E7A91" w:rsidRPr="007A436F">
              <w:t>h</w:t>
            </w:r>
            <w:r w:rsidR="005B1D28" w:rsidRPr="007A436F">
              <w:t>ypothalamic</w:t>
            </w:r>
            <w:r w:rsidR="007A436F">
              <w:noBreakHyphen/>
            </w:r>
            <w:r w:rsidR="005B1D28" w:rsidRPr="007A436F">
              <w:t>pituitary disease secondary to a structural lesion, with hypothalamic obesity driven growth</w:t>
            </w:r>
          </w:p>
        </w:tc>
        <w:tc>
          <w:tcPr>
            <w:tcW w:w="2500" w:type="pct"/>
            <w:tcBorders>
              <w:top w:val="single" w:sz="12" w:space="0" w:color="auto"/>
              <w:left w:val="nil"/>
              <w:bottom w:val="single" w:sz="4" w:space="0" w:color="auto"/>
              <w:right w:val="nil"/>
            </w:tcBorders>
            <w:hideMark/>
          </w:tcPr>
          <w:p w:rsidR="00156667" w:rsidRPr="007A436F" w:rsidRDefault="009C4957" w:rsidP="006D64FF">
            <w:pPr>
              <w:pStyle w:val="Tablea"/>
            </w:pPr>
            <w:r w:rsidRPr="007A436F">
              <w:t>U</w:t>
            </w:r>
            <w:r w:rsidR="00CA26CE" w:rsidRPr="007A436F">
              <w:t xml:space="preserve">p to </w:t>
            </w:r>
            <w:r w:rsidR="00156667" w:rsidRPr="007A436F">
              <w:t>7.5mg/m</w:t>
            </w:r>
            <w:r w:rsidR="00156667" w:rsidRPr="007A436F">
              <w:rPr>
                <w:vertAlign w:val="superscript"/>
              </w:rPr>
              <w:t>2</w:t>
            </w:r>
            <w:r w:rsidR="006D64FF" w:rsidRPr="007A436F">
              <w:t>/week</w:t>
            </w:r>
          </w:p>
        </w:tc>
      </w:tr>
      <w:tr w:rsidR="00156667" w:rsidRPr="007A436F" w:rsidTr="00A84969">
        <w:trPr>
          <w:cantSplit/>
        </w:trPr>
        <w:tc>
          <w:tcPr>
            <w:tcW w:w="413" w:type="pct"/>
            <w:tcBorders>
              <w:top w:val="single" w:sz="4" w:space="0" w:color="auto"/>
              <w:left w:val="nil"/>
              <w:bottom w:val="single" w:sz="4" w:space="0" w:color="auto"/>
              <w:right w:val="nil"/>
            </w:tcBorders>
            <w:hideMark/>
          </w:tcPr>
          <w:p w:rsidR="00156667" w:rsidRPr="007A436F" w:rsidRDefault="00156667" w:rsidP="00420438">
            <w:pPr>
              <w:pStyle w:val="Tabletext"/>
            </w:pPr>
            <w:r w:rsidRPr="007A436F">
              <w:t>2</w:t>
            </w:r>
          </w:p>
        </w:tc>
        <w:tc>
          <w:tcPr>
            <w:tcW w:w="2087" w:type="pct"/>
            <w:tcBorders>
              <w:top w:val="single" w:sz="4" w:space="0" w:color="auto"/>
              <w:left w:val="nil"/>
              <w:bottom w:val="single" w:sz="4" w:space="0" w:color="auto"/>
              <w:right w:val="nil"/>
            </w:tcBorders>
            <w:hideMark/>
          </w:tcPr>
          <w:p w:rsidR="00156667" w:rsidRPr="007A436F" w:rsidRDefault="00156667" w:rsidP="00420438">
            <w:pPr>
              <w:pStyle w:val="Tabletext"/>
            </w:pPr>
            <w:r w:rsidRPr="007A436F">
              <w:t>in the category of:</w:t>
            </w:r>
          </w:p>
          <w:p w:rsidR="00156667" w:rsidRPr="007A436F" w:rsidRDefault="00156667">
            <w:pPr>
              <w:pStyle w:val="Tablea"/>
            </w:pPr>
            <w:r w:rsidRPr="007A436F">
              <w:t xml:space="preserve">(a) </w:t>
            </w:r>
            <w:r w:rsidR="00CA26CE" w:rsidRPr="007A436F">
              <w:t xml:space="preserve">short stature associated with </w:t>
            </w:r>
            <w:r w:rsidRPr="007A436F">
              <w:t>Turner Syndrome; or</w:t>
            </w:r>
          </w:p>
          <w:p w:rsidR="00156667" w:rsidRPr="007A436F" w:rsidRDefault="00156667">
            <w:pPr>
              <w:pStyle w:val="Tablea"/>
            </w:pPr>
            <w:r w:rsidRPr="007A436F">
              <w:t>(b) short stature due to short stature homeobox (SHOX) gene disorders; or</w:t>
            </w:r>
          </w:p>
          <w:p w:rsidR="00156667" w:rsidRPr="007A436F" w:rsidRDefault="00156667" w:rsidP="00517D9A">
            <w:pPr>
              <w:pStyle w:val="Tablea"/>
            </w:pPr>
            <w:r w:rsidRPr="007A436F">
              <w:t xml:space="preserve">(c) </w:t>
            </w:r>
            <w:r w:rsidR="00CA26CE" w:rsidRPr="007A436F">
              <w:t xml:space="preserve">short stature associated with </w:t>
            </w:r>
            <w:r w:rsidRPr="007A436F">
              <w:t>chronic renal insufficiency</w:t>
            </w:r>
          </w:p>
        </w:tc>
        <w:tc>
          <w:tcPr>
            <w:tcW w:w="2500" w:type="pct"/>
            <w:tcBorders>
              <w:top w:val="single" w:sz="4" w:space="0" w:color="auto"/>
              <w:left w:val="nil"/>
              <w:bottom w:val="single" w:sz="4" w:space="0" w:color="auto"/>
              <w:right w:val="nil"/>
            </w:tcBorders>
            <w:hideMark/>
          </w:tcPr>
          <w:p w:rsidR="00156667" w:rsidRPr="007A436F" w:rsidRDefault="009C4957" w:rsidP="00C772D4">
            <w:pPr>
              <w:pStyle w:val="Tabletext"/>
            </w:pPr>
            <w:r w:rsidRPr="007A436F">
              <w:t>U</w:t>
            </w:r>
            <w:r w:rsidR="00CA26CE" w:rsidRPr="007A436F">
              <w:t xml:space="preserve">p to </w:t>
            </w:r>
            <w:r w:rsidR="00156667" w:rsidRPr="007A436F">
              <w:t>9.5mg/m</w:t>
            </w:r>
            <w:r w:rsidR="00156667" w:rsidRPr="007A436F">
              <w:rPr>
                <w:vertAlign w:val="superscript"/>
              </w:rPr>
              <w:t>2</w:t>
            </w:r>
            <w:r w:rsidR="00156667" w:rsidRPr="007A436F">
              <w:t>/week</w:t>
            </w:r>
          </w:p>
        </w:tc>
      </w:tr>
      <w:tr w:rsidR="00156667" w:rsidRPr="007A436F" w:rsidTr="00A84969">
        <w:tc>
          <w:tcPr>
            <w:tcW w:w="413" w:type="pct"/>
            <w:tcBorders>
              <w:top w:val="single" w:sz="4" w:space="0" w:color="auto"/>
              <w:left w:val="nil"/>
              <w:bottom w:val="single" w:sz="4" w:space="0" w:color="auto"/>
              <w:right w:val="nil"/>
            </w:tcBorders>
            <w:hideMark/>
          </w:tcPr>
          <w:p w:rsidR="00156667" w:rsidRPr="007A436F" w:rsidRDefault="00156667" w:rsidP="00420438">
            <w:pPr>
              <w:pStyle w:val="Tabletext"/>
            </w:pPr>
            <w:r w:rsidRPr="007A436F">
              <w:t>3</w:t>
            </w:r>
          </w:p>
        </w:tc>
        <w:tc>
          <w:tcPr>
            <w:tcW w:w="2087" w:type="pct"/>
            <w:tcBorders>
              <w:top w:val="single" w:sz="4" w:space="0" w:color="auto"/>
              <w:left w:val="nil"/>
              <w:bottom w:val="single" w:sz="4" w:space="0" w:color="auto"/>
              <w:right w:val="nil"/>
            </w:tcBorders>
            <w:hideMark/>
          </w:tcPr>
          <w:p w:rsidR="00156667" w:rsidRPr="007A436F" w:rsidRDefault="00156667" w:rsidP="00F36AC2">
            <w:pPr>
              <w:pStyle w:val="Tabletext"/>
            </w:pPr>
            <w:r w:rsidRPr="007A436F">
              <w:t xml:space="preserve">in the category of </w:t>
            </w:r>
            <w:r w:rsidR="00CA26CE" w:rsidRPr="007A436F">
              <w:t xml:space="preserve">short stature and poor body composition due to </w:t>
            </w:r>
            <w:r w:rsidRPr="007A436F">
              <w:t>Prader</w:t>
            </w:r>
            <w:r w:rsidR="007A436F">
              <w:noBreakHyphen/>
            </w:r>
            <w:r w:rsidRPr="007A436F">
              <w:t xml:space="preserve">Willi Syndrome, </w:t>
            </w:r>
            <w:r w:rsidR="00F36AC2" w:rsidRPr="007A436F">
              <w:t xml:space="preserve">where the person </w:t>
            </w:r>
            <w:r w:rsidRPr="007A436F">
              <w:t>has a non</w:t>
            </w:r>
            <w:r w:rsidR="007A436F">
              <w:noBreakHyphen/>
            </w:r>
            <w:r w:rsidRPr="007A436F">
              <w:t>mature skeleton</w:t>
            </w:r>
          </w:p>
        </w:tc>
        <w:tc>
          <w:tcPr>
            <w:tcW w:w="2500" w:type="pct"/>
            <w:tcBorders>
              <w:top w:val="single" w:sz="4" w:space="0" w:color="auto"/>
              <w:left w:val="nil"/>
              <w:bottom w:val="single" w:sz="4" w:space="0" w:color="auto"/>
              <w:right w:val="nil"/>
            </w:tcBorders>
            <w:hideMark/>
          </w:tcPr>
          <w:p w:rsidR="00156667" w:rsidRPr="007A436F" w:rsidRDefault="009C4957" w:rsidP="003D4069">
            <w:pPr>
              <w:pStyle w:val="Tablea"/>
            </w:pPr>
            <w:r w:rsidRPr="007A436F">
              <w:t>U</w:t>
            </w:r>
            <w:r w:rsidR="00C1152F" w:rsidRPr="007A436F">
              <w:t xml:space="preserve">p to </w:t>
            </w:r>
            <w:r w:rsidR="006D64FF" w:rsidRPr="007A436F">
              <w:t>7.5mg/m</w:t>
            </w:r>
            <w:r w:rsidR="006D64FF" w:rsidRPr="007A436F">
              <w:rPr>
                <w:vertAlign w:val="superscript"/>
              </w:rPr>
              <w:t>2</w:t>
            </w:r>
            <w:r w:rsidR="006D64FF" w:rsidRPr="007A436F">
              <w:t>/week</w:t>
            </w:r>
          </w:p>
        </w:tc>
      </w:tr>
      <w:tr w:rsidR="00156667" w:rsidRPr="007A436F" w:rsidTr="00A84969">
        <w:tc>
          <w:tcPr>
            <w:tcW w:w="413" w:type="pct"/>
            <w:tcBorders>
              <w:top w:val="single" w:sz="4" w:space="0" w:color="auto"/>
              <w:left w:val="nil"/>
              <w:bottom w:val="single" w:sz="12" w:space="0" w:color="auto"/>
              <w:right w:val="nil"/>
            </w:tcBorders>
            <w:hideMark/>
          </w:tcPr>
          <w:p w:rsidR="00156667" w:rsidRPr="007A436F" w:rsidRDefault="00156667" w:rsidP="00420438">
            <w:pPr>
              <w:pStyle w:val="Tabletext"/>
            </w:pPr>
            <w:r w:rsidRPr="007A436F">
              <w:t>4</w:t>
            </w:r>
          </w:p>
        </w:tc>
        <w:tc>
          <w:tcPr>
            <w:tcW w:w="2087" w:type="pct"/>
            <w:tcBorders>
              <w:top w:val="single" w:sz="4" w:space="0" w:color="auto"/>
              <w:left w:val="nil"/>
              <w:bottom w:val="single" w:sz="12" w:space="0" w:color="auto"/>
              <w:right w:val="nil"/>
            </w:tcBorders>
            <w:hideMark/>
          </w:tcPr>
          <w:p w:rsidR="00156667" w:rsidRPr="007A436F" w:rsidRDefault="00156667" w:rsidP="003D4069">
            <w:pPr>
              <w:pStyle w:val="Tabletext"/>
            </w:pPr>
            <w:r w:rsidRPr="007A436F">
              <w:t xml:space="preserve">in the category of </w:t>
            </w:r>
            <w:r w:rsidR="00C1152F" w:rsidRPr="007A436F">
              <w:t xml:space="preserve">short stature and poor body composition due to </w:t>
            </w:r>
            <w:r w:rsidRPr="007A436F">
              <w:t>Prader</w:t>
            </w:r>
            <w:r w:rsidR="007A436F">
              <w:noBreakHyphen/>
            </w:r>
            <w:r w:rsidRPr="007A436F">
              <w:t xml:space="preserve">Willi Syndrome, </w:t>
            </w:r>
            <w:r w:rsidR="003D4069" w:rsidRPr="007A436F">
              <w:t xml:space="preserve">where the person </w:t>
            </w:r>
            <w:r w:rsidRPr="007A436F">
              <w:t>has a mature skeleton</w:t>
            </w:r>
          </w:p>
        </w:tc>
        <w:tc>
          <w:tcPr>
            <w:tcW w:w="2500" w:type="pct"/>
            <w:tcBorders>
              <w:top w:val="single" w:sz="4" w:space="0" w:color="auto"/>
              <w:left w:val="nil"/>
              <w:bottom w:val="single" w:sz="12" w:space="0" w:color="auto"/>
              <w:right w:val="nil"/>
            </w:tcBorders>
            <w:hideMark/>
          </w:tcPr>
          <w:p w:rsidR="00156667" w:rsidRPr="007A436F" w:rsidRDefault="00156667">
            <w:pPr>
              <w:pStyle w:val="Tablea"/>
            </w:pPr>
            <w:r w:rsidRPr="007A436F">
              <w:t>0.04mg/kg/week</w:t>
            </w:r>
          </w:p>
        </w:tc>
      </w:tr>
    </w:tbl>
    <w:p w:rsidR="00C772D4" w:rsidRPr="007A436F" w:rsidRDefault="001571F4" w:rsidP="001571F4">
      <w:pPr>
        <w:pStyle w:val="subsection"/>
        <w:tabs>
          <w:tab w:val="clear" w:pos="1021"/>
          <w:tab w:val="right" w:pos="709"/>
        </w:tabs>
        <w:ind w:left="1077" w:hanging="357"/>
      </w:pPr>
      <w:r w:rsidRPr="007A436F">
        <w:rPr>
          <w:szCs w:val="22"/>
        </w:rPr>
        <w:t>(2)</w:t>
      </w:r>
      <w:r w:rsidRPr="007A436F">
        <w:rPr>
          <w:szCs w:val="22"/>
        </w:rPr>
        <w:tab/>
      </w:r>
      <w:r w:rsidR="00C772D4" w:rsidRPr="007A436F">
        <w:t xml:space="preserve">The dose mentioned in the table in this section for a category of treatment mentioned in any of the items of that table, is the maximum dose that can be used for any </w:t>
      </w:r>
      <w:r w:rsidR="00DE0BE9" w:rsidRPr="007A436F">
        <w:t>person</w:t>
      </w:r>
      <w:r w:rsidR="00C772D4" w:rsidRPr="007A436F">
        <w:t>.</w:t>
      </w:r>
    </w:p>
    <w:p w:rsidR="007B182F" w:rsidRPr="007A436F" w:rsidRDefault="007B182F" w:rsidP="00F00470">
      <w:pPr>
        <w:pStyle w:val="subsection"/>
        <w:tabs>
          <w:tab w:val="clear" w:pos="1021"/>
          <w:tab w:val="right" w:pos="1134"/>
        </w:tabs>
        <w:ind w:left="1066" w:hanging="357"/>
      </w:pPr>
      <w:r w:rsidRPr="007A436F">
        <w:t>(</w:t>
      </w:r>
      <w:r w:rsidR="00C772D4" w:rsidRPr="007A436F">
        <w:t>3</w:t>
      </w:r>
      <w:r w:rsidRPr="007A436F">
        <w:t>)</w:t>
      </w:r>
      <w:r w:rsidRPr="007A436F">
        <w:tab/>
        <w:t>However, if the form of the pharmaceutical benefit and the manufacturer’s pack is unable to accommodate the dose mentioned in the item of the table that applies to a person, the dose of pharmaceutical benefit</w:t>
      </w:r>
      <w:r w:rsidR="007E70D1" w:rsidRPr="007A436F">
        <w:t xml:space="preserve"> </w:t>
      </w:r>
      <w:r w:rsidRPr="007A436F">
        <w:t xml:space="preserve">may be within 3% of the maximum dose </w:t>
      </w:r>
      <w:r w:rsidR="007E70D1" w:rsidRPr="007A436F">
        <w:t xml:space="preserve">for </w:t>
      </w:r>
      <w:r w:rsidRPr="007A436F">
        <w:t>the item of the table that applies to the person</w:t>
      </w:r>
      <w:r w:rsidR="007E70D1" w:rsidRPr="007A436F">
        <w:t>.</w:t>
      </w:r>
    </w:p>
    <w:p w:rsidR="00B350FF" w:rsidRPr="007A436F" w:rsidRDefault="00842C8F" w:rsidP="00842C8F">
      <w:pPr>
        <w:pStyle w:val="subsection"/>
        <w:rPr>
          <w:szCs w:val="22"/>
        </w:rPr>
      </w:pPr>
      <w:r w:rsidRPr="007A436F">
        <w:tab/>
      </w:r>
      <w:r w:rsidR="00156667" w:rsidRPr="007A436F">
        <w:t>(</w:t>
      </w:r>
      <w:r w:rsidR="00C772D4" w:rsidRPr="007A436F">
        <w:t>4</w:t>
      </w:r>
      <w:r w:rsidR="00156667" w:rsidRPr="007A436F">
        <w:t>)</w:t>
      </w:r>
      <w:r w:rsidRPr="007A436F">
        <w:tab/>
      </w:r>
      <w:r w:rsidR="00156667" w:rsidRPr="007A436F">
        <w:t>For item</w:t>
      </w:r>
      <w:r w:rsidR="00791285" w:rsidRPr="007A436F">
        <w:t>s</w:t>
      </w:r>
      <w:r w:rsidR="007A436F">
        <w:t> </w:t>
      </w:r>
      <w:r w:rsidR="009C4957" w:rsidRPr="007A436F">
        <w:t>3</w:t>
      </w:r>
      <w:r w:rsidR="00791285" w:rsidRPr="007A436F">
        <w:t xml:space="preserve"> and 4</w:t>
      </w:r>
      <w:r w:rsidR="00156667" w:rsidRPr="007A436F">
        <w:t xml:space="preserve"> of the table in this section, </w:t>
      </w:r>
      <w:r w:rsidR="001517C8" w:rsidRPr="007A436F">
        <w:t>if the person’s body mass index is greater than the 85</w:t>
      </w:r>
      <w:r w:rsidR="001517C8" w:rsidRPr="007A436F">
        <w:rPr>
          <w:vertAlign w:val="superscript"/>
        </w:rPr>
        <w:t>th</w:t>
      </w:r>
      <w:r w:rsidR="001517C8" w:rsidRPr="007A436F">
        <w:t xml:space="preserve"> percentile for age and sex, </w:t>
      </w:r>
      <w:r w:rsidR="00925C6C" w:rsidRPr="007A436F">
        <w:t xml:space="preserve">the dose prescribed for the person </w:t>
      </w:r>
      <w:r w:rsidR="00791285" w:rsidRPr="007A436F">
        <w:t>must be</w:t>
      </w:r>
      <w:r w:rsidR="00925C6C" w:rsidRPr="007A436F">
        <w:t xml:space="preserve"> </w:t>
      </w:r>
      <w:r w:rsidR="00156667" w:rsidRPr="007A436F">
        <w:t xml:space="preserve">calculated </w:t>
      </w:r>
      <w:r w:rsidR="00925C6C" w:rsidRPr="007A436F">
        <w:t xml:space="preserve">using the person’s </w:t>
      </w:r>
      <w:r w:rsidR="00EC02A7" w:rsidRPr="007A436F">
        <w:rPr>
          <w:szCs w:val="22"/>
        </w:rPr>
        <w:t>ideal body weight in kilograms</w:t>
      </w:r>
      <w:r w:rsidR="009C4957" w:rsidRPr="007A436F">
        <w:rPr>
          <w:szCs w:val="22"/>
        </w:rPr>
        <w:t>.</w:t>
      </w:r>
    </w:p>
    <w:p w:rsidR="00B350FF" w:rsidRPr="007A436F" w:rsidRDefault="00B350FF" w:rsidP="0028070F">
      <w:pPr>
        <w:pStyle w:val="ActHead3"/>
        <w:pageBreakBefore/>
      </w:pPr>
      <w:bookmarkStart w:id="27" w:name="_Toc74311777"/>
      <w:r w:rsidRPr="007A436F">
        <w:rPr>
          <w:rStyle w:val="CharDivNo"/>
        </w:rPr>
        <w:lastRenderedPageBreak/>
        <w:t>Division</w:t>
      </w:r>
      <w:r w:rsidR="007A436F">
        <w:rPr>
          <w:rStyle w:val="CharDivNo"/>
        </w:rPr>
        <w:t> </w:t>
      </w:r>
      <w:r w:rsidRPr="007A436F">
        <w:rPr>
          <w:rStyle w:val="CharDivNo"/>
        </w:rPr>
        <w:t>2</w:t>
      </w:r>
      <w:r w:rsidRPr="007A436F">
        <w:t>—</w:t>
      </w:r>
      <w:r w:rsidRPr="007A436F">
        <w:rPr>
          <w:rStyle w:val="CharDivText"/>
        </w:rPr>
        <w:t>Reclassification</w:t>
      </w:r>
      <w:bookmarkEnd w:id="27"/>
    </w:p>
    <w:p w:rsidR="00B31DBD" w:rsidRPr="007A436F" w:rsidRDefault="00925C6C" w:rsidP="00A269BC">
      <w:pPr>
        <w:pStyle w:val="ActHead5"/>
        <w:ind w:left="0" w:firstLine="0"/>
      </w:pPr>
      <w:bookmarkStart w:id="28" w:name="_Toc74311778"/>
      <w:r w:rsidRPr="007A436F">
        <w:rPr>
          <w:rStyle w:val="CharSectno"/>
        </w:rPr>
        <w:t>12</w:t>
      </w:r>
      <w:r w:rsidR="00B31DBD" w:rsidRPr="007A436F">
        <w:t xml:space="preserve"> </w:t>
      </w:r>
      <w:r w:rsidR="00486893" w:rsidRPr="007A436F">
        <w:t xml:space="preserve"> </w:t>
      </w:r>
      <w:r w:rsidR="00B31DBD" w:rsidRPr="007A436F">
        <w:t>Dose for change of treatment category</w:t>
      </w:r>
      <w:r w:rsidR="001D442B" w:rsidRPr="007A436F">
        <w:t xml:space="preserve"> </w:t>
      </w:r>
      <w:r w:rsidR="00265CDB" w:rsidRPr="007A436F">
        <w:t>(</w:t>
      </w:r>
      <w:r w:rsidR="001D442B" w:rsidRPr="007A436F">
        <w:t>reclassification</w:t>
      </w:r>
      <w:r w:rsidR="00265CDB" w:rsidRPr="007A436F">
        <w:t>)</w:t>
      </w:r>
      <w:bookmarkEnd w:id="28"/>
    </w:p>
    <w:p w:rsidR="00B31DBD" w:rsidRPr="007A436F" w:rsidRDefault="00B31DBD" w:rsidP="00D800C7">
      <w:pPr>
        <w:pStyle w:val="subsection"/>
        <w:tabs>
          <w:tab w:val="clear" w:pos="1021"/>
          <w:tab w:val="right" w:pos="1134"/>
        </w:tabs>
        <w:ind w:left="1077" w:hanging="357"/>
      </w:pPr>
      <w:r w:rsidRPr="007A436F">
        <w:t>(1)</w:t>
      </w:r>
      <w:r w:rsidR="00D800C7" w:rsidRPr="007A436F">
        <w:tab/>
      </w:r>
      <w:r w:rsidR="00186F4C" w:rsidRPr="007A436F">
        <w:tab/>
      </w:r>
      <w:r w:rsidR="001517C8" w:rsidRPr="007A436F">
        <w:t>A</w:t>
      </w:r>
      <w:r w:rsidR="001D442B" w:rsidRPr="007A436F">
        <w:t xml:space="preserve">n authorised </w:t>
      </w:r>
      <w:r w:rsidRPr="007A436F">
        <w:t xml:space="preserve">prescriber must prescribe </w:t>
      </w:r>
      <w:r w:rsidR="009C1D40" w:rsidRPr="007A436F">
        <w:t xml:space="preserve">a </w:t>
      </w:r>
      <w:r w:rsidRPr="007A436F">
        <w:t xml:space="preserve">dose of pharmaceutical benefit, for a person who is reclassified to a different category </w:t>
      </w:r>
      <w:r w:rsidR="001517C8" w:rsidRPr="007A436F">
        <w:t>for treatment</w:t>
      </w:r>
      <w:r w:rsidR="00AF1F9B" w:rsidRPr="007A436F">
        <w:t>,</w:t>
      </w:r>
      <w:r w:rsidR="001517C8" w:rsidRPr="007A436F">
        <w:t xml:space="preserve"> in accordance with </w:t>
      </w:r>
      <w:r w:rsidRPr="007A436F">
        <w:t xml:space="preserve">the </w:t>
      </w:r>
      <w:r w:rsidR="001D442B" w:rsidRPr="007A436F">
        <w:t>dose</w:t>
      </w:r>
      <w:r w:rsidR="00AF1F9B" w:rsidRPr="007A436F">
        <w:t xml:space="preserve"> </w:t>
      </w:r>
      <w:r w:rsidRPr="007A436F">
        <w:t>in the table in section</w:t>
      </w:r>
      <w:r w:rsidR="007A436F">
        <w:t> </w:t>
      </w:r>
      <w:r w:rsidR="001D442B" w:rsidRPr="007A436F">
        <w:t>11</w:t>
      </w:r>
      <w:r w:rsidRPr="007A436F">
        <w:t xml:space="preserve"> that applies to the category </w:t>
      </w:r>
      <w:r w:rsidR="00481639" w:rsidRPr="007A436F">
        <w:t xml:space="preserve">to </w:t>
      </w:r>
      <w:r w:rsidRPr="007A436F">
        <w:t>which the person has been reclassified</w:t>
      </w:r>
      <w:r w:rsidR="00984ABB" w:rsidRPr="007A436F">
        <w:t>.</w:t>
      </w:r>
    </w:p>
    <w:p w:rsidR="00B31DBD" w:rsidRPr="007A436F" w:rsidRDefault="00B31DBD" w:rsidP="00186F4C">
      <w:pPr>
        <w:pStyle w:val="subsection"/>
        <w:tabs>
          <w:tab w:val="clear" w:pos="1021"/>
          <w:tab w:val="right" w:pos="1134"/>
        </w:tabs>
        <w:ind w:left="1077" w:hanging="357"/>
      </w:pPr>
      <w:r w:rsidRPr="007A436F">
        <w:t>(2)</w:t>
      </w:r>
      <w:r w:rsidRPr="007A436F">
        <w:tab/>
      </w:r>
      <w:r w:rsidR="00186F4C" w:rsidRPr="007A436F">
        <w:tab/>
      </w:r>
      <w:r w:rsidRPr="007A436F">
        <w:t xml:space="preserve">The dose cannot exceed the maximum dose permitted for the category for treatment </w:t>
      </w:r>
      <w:r w:rsidR="00615A08" w:rsidRPr="007A436F">
        <w:t xml:space="preserve">to </w:t>
      </w:r>
      <w:r w:rsidRPr="007A436F">
        <w:t>which the person has been reclassified.</w:t>
      </w:r>
    </w:p>
    <w:p w:rsidR="0096000F" w:rsidRPr="007A436F" w:rsidRDefault="00984ABB" w:rsidP="0028070F">
      <w:pPr>
        <w:pStyle w:val="ActHead3"/>
        <w:pageBreakBefore/>
      </w:pPr>
      <w:bookmarkStart w:id="29" w:name="_Toc74311779"/>
      <w:r w:rsidRPr="007A436F">
        <w:rPr>
          <w:rStyle w:val="CharDivNo"/>
        </w:rPr>
        <w:lastRenderedPageBreak/>
        <w:t>D</w:t>
      </w:r>
      <w:r w:rsidR="00BB362B" w:rsidRPr="007A436F">
        <w:rPr>
          <w:rStyle w:val="CharDivNo"/>
        </w:rPr>
        <w:t>ivision</w:t>
      </w:r>
      <w:r w:rsidR="007A436F">
        <w:rPr>
          <w:rStyle w:val="CharDivNo"/>
        </w:rPr>
        <w:t> </w:t>
      </w:r>
      <w:r w:rsidRPr="007A436F">
        <w:rPr>
          <w:rStyle w:val="CharDivNo"/>
        </w:rPr>
        <w:t>3</w:t>
      </w:r>
      <w:r w:rsidR="00BB362B" w:rsidRPr="007A436F">
        <w:t>—</w:t>
      </w:r>
      <w:r w:rsidRPr="007A436F">
        <w:rPr>
          <w:rStyle w:val="CharDivText"/>
        </w:rPr>
        <w:t xml:space="preserve">Recommenced </w:t>
      </w:r>
      <w:r w:rsidR="0096000F" w:rsidRPr="007A436F">
        <w:rPr>
          <w:rStyle w:val="CharDivText"/>
        </w:rPr>
        <w:t>treatment</w:t>
      </w:r>
      <w:bookmarkEnd w:id="29"/>
    </w:p>
    <w:p w:rsidR="000B3B95" w:rsidRPr="007A436F" w:rsidRDefault="001D442B" w:rsidP="00186F4C">
      <w:pPr>
        <w:pStyle w:val="ActHead5"/>
        <w:ind w:left="0" w:firstLine="0"/>
      </w:pPr>
      <w:bookmarkStart w:id="30" w:name="_Toc74311780"/>
      <w:r w:rsidRPr="007A436F">
        <w:rPr>
          <w:rStyle w:val="CharSectno"/>
        </w:rPr>
        <w:t>13</w:t>
      </w:r>
      <w:r w:rsidR="000B3B95" w:rsidRPr="007A436F">
        <w:t xml:space="preserve">  Dose for recommenced treatmen</w:t>
      </w:r>
      <w:r w:rsidR="00A97EBD" w:rsidRPr="007A436F">
        <w:t>t</w:t>
      </w:r>
      <w:bookmarkEnd w:id="30"/>
    </w:p>
    <w:p w:rsidR="000B3B95" w:rsidRPr="007A436F" w:rsidRDefault="002C5088" w:rsidP="002C5088">
      <w:pPr>
        <w:pStyle w:val="subsection"/>
      </w:pPr>
      <w:r w:rsidRPr="007A436F">
        <w:tab/>
      </w:r>
      <w:r w:rsidR="000B3B95" w:rsidRPr="007A436F">
        <w:t>(1)</w:t>
      </w:r>
      <w:r w:rsidRPr="007A436F">
        <w:tab/>
      </w:r>
      <w:r w:rsidR="000B3B95" w:rsidRPr="007A436F">
        <w:t xml:space="preserve">This section applies if a person </w:t>
      </w:r>
      <w:r w:rsidR="00520BFF" w:rsidRPr="007A436F">
        <w:t>is</w:t>
      </w:r>
      <w:r w:rsidR="000B3B95" w:rsidRPr="007A436F">
        <w:t xml:space="preserve"> recommenc</w:t>
      </w:r>
      <w:r w:rsidR="00520BFF" w:rsidRPr="007A436F">
        <w:t>ing</w:t>
      </w:r>
      <w:r w:rsidR="000B3B95" w:rsidRPr="007A436F">
        <w:t xml:space="preserve"> growth hormone treatment, in a category mentioned in the table in section</w:t>
      </w:r>
      <w:r w:rsidR="007A436F">
        <w:t> </w:t>
      </w:r>
      <w:r w:rsidR="001D442B" w:rsidRPr="007A436F">
        <w:t>11</w:t>
      </w:r>
      <w:r w:rsidR="000B3B95" w:rsidRPr="007A436F">
        <w:t>.</w:t>
      </w:r>
      <w:r w:rsidR="00A97EBD" w:rsidRPr="007A436F">
        <w:tab/>
      </w:r>
    </w:p>
    <w:p w:rsidR="001D442B" w:rsidRPr="007A436F" w:rsidRDefault="002C5088" w:rsidP="002C5088">
      <w:pPr>
        <w:pStyle w:val="subsection"/>
      </w:pPr>
      <w:r w:rsidRPr="007A436F">
        <w:tab/>
      </w:r>
      <w:r w:rsidR="001D442B" w:rsidRPr="007A436F">
        <w:t>(2)</w:t>
      </w:r>
      <w:r w:rsidR="00186F4C" w:rsidRPr="007A436F">
        <w:tab/>
      </w:r>
      <w:r w:rsidR="001D442B" w:rsidRPr="007A436F">
        <w:t>The dose cannot exceed the maximum dose permitted for the category for treatment for which the person has recommenced.</w:t>
      </w:r>
    </w:p>
    <w:p w:rsidR="00312354" w:rsidRPr="007A436F" w:rsidRDefault="00312354" w:rsidP="003B1A5C">
      <w:pPr>
        <w:pStyle w:val="ActHead2"/>
        <w:pageBreakBefore/>
      </w:pPr>
      <w:bookmarkStart w:id="31" w:name="_Toc74311781"/>
      <w:r w:rsidRPr="007A436F">
        <w:rPr>
          <w:rStyle w:val="CharPartNo"/>
        </w:rPr>
        <w:lastRenderedPageBreak/>
        <w:t>Part</w:t>
      </w:r>
      <w:r w:rsidR="007A436F">
        <w:rPr>
          <w:rStyle w:val="CharPartNo"/>
        </w:rPr>
        <w:t> </w:t>
      </w:r>
      <w:r w:rsidR="000C47C4" w:rsidRPr="007A436F">
        <w:rPr>
          <w:rStyle w:val="CharPartNo"/>
        </w:rPr>
        <w:t>4</w:t>
      </w:r>
      <w:r w:rsidR="002B398D" w:rsidRPr="007A436F">
        <w:t>—</w:t>
      </w:r>
      <w:r w:rsidR="000520E0" w:rsidRPr="007A436F">
        <w:rPr>
          <w:rStyle w:val="CharPartText"/>
        </w:rPr>
        <w:t>P</w:t>
      </w:r>
      <w:r w:rsidRPr="007A436F">
        <w:rPr>
          <w:rStyle w:val="CharPartText"/>
        </w:rPr>
        <w:t>ayment amounts</w:t>
      </w:r>
      <w:bookmarkEnd w:id="31"/>
      <w:r w:rsidRPr="007A436F">
        <w:rPr>
          <w:rStyle w:val="CharPartText"/>
        </w:rPr>
        <w:t xml:space="preserve"> </w:t>
      </w:r>
    </w:p>
    <w:p w:rsidR="005721C7" w:rsidRPr="007A436F" w:rsidRDefault="005721C7" w:rsidP="004A044A">
      <w:pPr>
        <w:pStyle w:val="ActHead3"/>
      </w:pPr>
      <w:bookmarkStart w:id="32" w:name="_Toc74311782"/>
      <w:r w:rsidRPr="007A436F">
        <w:rPr>
          <w:rStyle w:val="CharDivNo"/>
        </w:rPr>
        <w:t>Division</w:t>
      </w:r>
      <w:r w:rsidR="007A436F">
        <w:rPr>
          <w:rStyle w:val="CharDivNo"/>
        </w:rPr>
        <w:t> </w:t>
      </w:r>
      <w:r w:rsidRPr="007A436F">
        <w:rPr>
          <w:rStyle w:val="CharDivNo"/>
        </w:rPr>
        <w:t>1</w:t>
      </w:r>
      <w:r w:rsidR="00DF4575" w:rsidRPr="007A436F">
        <w:t>—</w:t>
      </w:r>
      <w:r w:rsidRPr="007A436F">
        <w:rPr>
          <w:rStyle w:val="CharDivText"/>
        </w:rPr>
        <w:t>Payments to suppliers that are approved hospital authorities for public hospitals</w:t>
      </w:r>
      <w:bookmarkEnd w:id="32"/>
    </w:p>
    <w:p w:rsidR="00312354" w:rsidRPr="007A436F" w:rsidRDefault="001D442B" w:rsidP="000C47C4">
      <w:pPr>
        <w:pStyle w:val="ActHead5"/>
      </w:pPr>
      <w:bookmarkStart w:id="33" w:name="_Toc74311783"/>
      <w:r w:rsidRPr="007A436F">
        <w:rPr>
          <w:rStyle w:val="CharSectno"/>
        </w:rPr>
        <w:t>14</w:t>
      </w:r>
      <w:r w:rsidR="004C633C" w:rsidRPr="007A436F">
        <w:t xml:space="preserve">  </w:t>
      </w:r>
      <w:r w:rsidR="00312354" w:rsidRPr="007A436F">
        <w:t>Payments to approved hospital authorities for public hospitals</w:t>
      </w:r>
      <w:bookmarkEnd w:id="33"/>
    </w:p>
    <w:p w:rsidR="004B389D" w:rsidRPr="007A436F" w:rsidRDefault="007D2E6A" w:rsidP="004B389D">
      <w:pPr>
        <w:pStyle w:val="subsection"/>
      </w:pPr>
      <w:r w:rsidRPr="007A436F">
        <w:tab/>
      </w:r>
      <w:r w:rsidR="001571F4" w:rsidRPr="007A436F">
        <w:t>(1)</w:t>
      </w:r>
      <w:r w:rsidR="001571F4" w:rsidRPr="007A436F">
        <w:tab/>
      </w:r>
      <w:r w:rsidR="00312354" w:rsidRPr="007A436F">
        <w:t>An approved hospital authority for a public hospital is entitled to be paid by the Commonwealth the amount, if any, by which the dispensed price for its supply of the pharmaceutical benefit is greater than the amount that the approved hospital authority was entitled to charge under section</w:t>
      </w:r>
      <w:r w:rsidR="007A436F">
        <w:t> </w:t>
      </w:r>
      <w:r w:rsidR="00D2752E" w:rsidRPr="007A436F">
        <w:t>16</w:t>
      </w:r>
      <w:r w:rsidR="00715464" w:rsidRPr="007A436F">
        <w:t>.</w:t>
      </w:r>
    </w:p>
    <w:p w:rsidR="004B389D" w:rsidRPr="007A436F" w:rsidRDefault="004B389D" w:rsidP="004B389D">
      <w:pPr>
        <w:pStyle w:val="subsection"/>
      </w:pPr>
      <w:r w:rsidRPr="007A436F">
        <w:tab/>
      </w:r>
      <w:r w:rsidR="001571F4" w:rsidRPr="007A436F">
        <w:t>(2)</w:t>
      </w:r>
      <w:r w:rsidR="001571F4" w:rsidRPr="007A436F">
        <w:tab/>
      </w:r>
      <w:r w:rsidR="00312354" w:rsidRPr="007A436F">
        <w:t xml:space="preserve">The dispensed price for the supply of a pharmaceutical benefit by an approved hospital authority for a public hospital </w:t>
      </w:r>
      <w:r w:rsidR="000B2231" w:rsidRPr="007A436F">
        <w:t xml:space="preserve">must be determined in accordance with </w:t>
      </w:r>
      <w:r w:rsidR="00312354" w:rsidRPr="007A436F">
        <w:t>Division</w:t>
      </w:r>
      <w:r w:rsidR="007A436F">
        <w:t> </w:t>
      </w:r>
      <w:r w:rsidR="000520E0" w:rsidRPr="007A436F">
        <w:t>1</w:t>
      </w:r>
      <w:r w:rsidR="00312354" w:rsidRPr="007A436F">
        <w:t xml:space="preserve"> of Part</w:t>
      </w:r>
      <w:r w:rsidR="007A436F">
        <w:t> </w:t>
      </w:r>
      <w:r w:rsidR="000520E0" w:rsidRPr="007A436F">
        <w:t>5</w:t>
      </w:r>
      <w:r w:rsidR="00312354" w:rsidRPr="007A436F">
        <w:t xml:space="preserve">.  </w:t>
      </w:r>
    </w:p>
    <w:p w:rsidR="00312354" w:rsidRPr="007A436F" w:rsidRDefault="004B389D" w:rsidP="004B389D">
      <w:pPr>
        <w:pStyle w:val="subsection"/>
      </w:pPr>
      <w:r w:rsidRPr="007A436F">
        <w:tab/>
      </w:r>
      <w:r w:rsidR="001571F4" w:rsidRPr="007A436F">
        <w:t>(3)</w:t>
      </w:r>
      <w:r w:rsidR="001571F4" w:rsidRPr="007A436F">
        <w:tab/>
      </w:r>
      <w:r w:rsidR="00312354" w:rsidRPr="007A436F">
        <w:t>No mark</w:t>
      </w:r>
      <w:r w:rsidR="007A436F">
        <w:noBreakHyphen/>
      </w:r>
      <w:r w:rsidR="00312354" w:rsidRPr="007A436F">
        <w:t xml:space="preserve">ups may be added to the cost of a pharmaceutical benefit for which payment is claimed by an approved hospital authority for a public hospital.  </w:t>
      </w:r>
    </w:p>
    <w:p w:rsidR="0029565E" w:rsidRPr="007A436F" w:rsidRDefault="0029565E" w:rsidP="0028070F">
      <w:pPr>
        <w:pStyle w:val="ActHead3"/>
        <w:pageBreakBefore/>
      </w:pPr>
      <w:bookmarkStart w:id="34" w:name="_Toc74311784"/>
      <w:r w:rsidRPr="007A436F">
        <w:rPr>
          <w:rStyle w:val="CharDivNo"/>
        </w:rPr>
        <w:lastRenderedPageBreak/>
        <w:t>Division</w:t>
      </w:r>
      <w:r w:rsidR="007A436F">
        <w:rPr>
          <w:rStyle w:val="CharDivNo"/>
        </w:rPr>
        <w:t> </w:t>
      </w:r>
      <w:r w:rsidRPr="007A436F">
        <w:rPr>
          <w:rStyle w:val="CharDivNo"/>
        </w:rPr>
        <w:t>2</w:t>
      </w:r>
      <w:r w:rsidR="00DF4575" w:rsidRPr="007A436F">
        <w:t>—</w:t>
      </w:r>
      <w:r w:rsidRPr="007A436F">
        <w:rPr>
          <w:rStyle w:val="CharDivText"/>
        </w:rPr>
        <w:t>Payments to suppliers that are approved hospital authorities for private hospitals, approved pharmacies or approved medical practitioners</w:t>
      </w:r>
      <w:bookmarkEnd w:id="34"/>
    </w:p>
    <w:p w:rsidR="00312354" w:rsidRPr="007A436F" w:rsidRDefault="001D442B" w:rsidP="000C47C4">
      <w:pPr>
        <w:pStyle w:val="ActHead5"/>
      </w:pPr>
      <w:bookmarkStart w:id="35" w:name="_Toc74311785"/>
      <w:r w:rsidRPr="007A436F">
        <w:rPr>
          <w:rStyle w:val="CharSectno"/>
        </w:rPr>
        <w:t>15</w:t>
      </w:r>
      <w:r w:rsidR="00AA11A0" w:rsidRPr="007A436F">
        <w:t xml:space="preserve">  </w:t>
      </w:r>
      <w:r w:rsidR="00312354" w:rsidRPr="007A436F">
        <w:t>Payments to certain suppliers of pharmaceutical benefits</w:t>
      </w:r>
      <w:bookmarkEnd w:id="35"/>
      <w:r w:rsidR="00312354" w:rsidRPr="007A436F">
        <w:t xml:space="preserve"> </w:t>
      </w:r>
    </w:p>
    <w:p w:rsidR="00312354" w:rsidRPr="007A436F" w:rsidRDefault="00CE2F6F" w:rsidP="00CE2F6F">
      <w:pPr>
        <w:pStyle w:val="subsection"/>
      </w:pPr>
      <w:r w:rsidRPr="007A436F">
        <w:tab/>
      </w:r>
      <w:r w:rsidR="001571F4" w:rsidRPr="007A436F">
        <w:t>(1)</w:t>
      </w:r>
      <w:r w:rsidR="001571F4" w:rsidRPr="007A436F">
        <w:tab/>
      </w:r>
      <w:r w:rsidR="00312354" w:rsidRPr="007A436F">
        <w:t>An approved hospital authority for a private hospital is entitled to be paid by the Commonwealth the amount, if any, by which the dispensed price for its supply of the pharmaceutical benefit is greater than the amount that the approved hospital authority was entitled to charge under section</w:t>
      </w:r>
      <w:r w:rsidR="007A436F">
        <w:t> </w:t>
      </w:r>
      <w:r w:rsidR="00553E24" w:rsidRPr="007A436F">
        <w:t>18</w:t>
      </w:r>
      <w:r w:rsidR="00312354" w:rsidRPr="007A436F">
        <w:t xml:space="preserve">.  </w:t>
      </w:r>
    </w:p>
    <w:p w:rsidR="00312354" w:rsidRPr="007A436F" w:rsidRDefault="00CE2F6F" w:rsidP="00CE2F6F">
      <w:pPr>
        <w:pStyle w:val="subsection"/>
      </w:pPr>
      <w:r w:rsidRPr="007A436F">
        <w:tab/>
      </w:r>
      <w:r w:rsidR="001571F4" w:rsidRPr="007A436F">
        <w:t>(2)</w:t>
      </w:r>
      <w:r w:rsidR="001571F4" w:rsidRPr="007A436F">
        <w:tab/>
      </w:r>
      <w:r w:rsidR="00312354" w:rsidRPr="007A436F">
        <w:t>An approved pharmacist or an approved medical practitioner is entitled to be paid by the Commonwealth the amount, if any, by which the dispensed price for the supply of a pharmaceutical benefit is greater than the amount that the approved pharmacist or approved medical practitioner was entitled to charge under section</w:t>
      </w:r>
      <w:r w:rsidR="007A436F">
        <w:t> </w:t>
      </w:r>
      <w:r w:rsidR="00543757" w:rsidRPr="007A436F">
        <w:t>18</w:t>
      </w:r>
      <w:r w:rsidR="00312354" w:rsidRPr="007A436F">
        <w:t xml:space="preserve">.  </w:t>
      </w:r>
    </w:p>
    <w:p w:rsidR="00312354" w:rsidRPr="007A436F" w:rsidRDefault="00CE2F6F" w:rsidP="00CE2F6F">
      <w:pPr>
        <w:pStyle w:val="subsection"/>
      </w:pPr>
      <w:r w:rsidRPr="007A436F">
        <w:tab/>
      </w:r>
      <w:r w:rsidR="001571F4" w:rsidRPr="007A436F">
        <w:t>(3)</w:t>
      </w:r>
      <w:r w:rsidR="001571F4" w:rsidRPr="007A436F">
        <w:tab/>
      </w:r>
      <w:r w:rsidR="00312354" w:rsidRPr="007A436F">
        <w:t xml:space="preserve">The dispensed price for the supply of a pharmaceutical benefit by an approved hospital authority for a private hospital, an approved pharmacist or an approved medical practitioner </w:t>
      </w:r>
      <w:r w:rsidR="00543757" w:rsidRPr="007A436F">
        <w:t xml:space="preserve">must be determined in accordance with </w:t>
      </w:r>
      <w:r w:rsidR="00296C90" w:rsidRPr="007A436F">
        <w:t>Division</w:t>
      </w:r>
      <w:r w:rsidR="007A436F">
        <w:t> </w:t>
      </w:r>
      <w:r w:rsidR="00296C90" w:rsidRPr="007A436F">
        <w:t>2</w:t>
      </w:r>
      <w:r w:rsidR="00312354" w:rsidRPr="007A436F">
        <w:t xml:space="preserve"> of Part</w:t>
      </w:r>
      <w:r w:rsidR="007A436F">
        <w:t> </w:t>
      </w:r>
      <w:r w:rsidR="00296C90" w:rsidRPr="007A436F">
        <w:t>5</w:t>
      </w:r>
      <w:r w:rsidR="00312354" w:rsidRPr="007A436F">
        <w:t xml:space="preserve">.  </w:t>
      </w:r>
    </w:p>
    <w:p w:rsidR="00312354" w:rsidRPr="007A436F" w:rsidRDefault="00312354" w:rsidP="003B1A5C">
      <w:pPr>
        <w:pStyle w:val="ActHead2"/>
        <w:pageBreakBefore/>
      </w:pPr>
      <w:bookmarkStart w:id="36" w:name="_Toc74311786"/>
      <w:r w:rsidRPr="007A436F">
        <w:rPr>
          <w:rStyle w:val="CharPartNo"/>
        </w:rPr>
        <w:lastRenderedPageBreak/>
        <w:t>Part</w:t>
      </w:r>
      <w:r w:rsidR="007A436F">
        <w:rPr>
          <w:rStyle w:val="CharPartNo"/>
        </w:rPr>
        <w:t> </w:t>
      </w:r>
      <w:r w:rsidR="000C47C4" w:rsidRPr="007A436F">
        <w:rPr>
          <w:rStyle w:val="CharPartNo"/>
        </w:rPr>
        <w:t>5</w:t>
      </w:r>
      <w:r w:rsidR="00AA34D2" w:rsidRPr="007A436F">
        <w:t>—</w:t>
      </w:r>
      <w:r w:rsidRPr="007A436F">
        <w:rPr>
          <w:rStyle w:val="CharPartText"/>
        </w:rPr>
        <w:t>Dispensed price</w:t>
      </w:r>
      <w:bookmarkEnd w:id="36"/>
      <w:r w:rsidRPr="007A436F">
        <w:rPr>
          <w:rStyle w:val="CharPartText"/>
        </w:rPr>
        <w:t xml:space="preserve"> </w:t>
      </w:r>
    </w:p>
    <w:p w:rsidR="00312354" w:rsidRPr="007A436F" w:rsidRDefault="00312354" w:rsidP="004A044A">
      <w:pPr>
        <w:pStyle w:val="ActHead3"/>
      </w:pPr>
      <w:bookmarkStart w:id="37" w:name="_Toc74311787"/>
      <w:r w:rsidRPr="007A436F">
        <w:rPr>
          <w:rStyle w:val="CharDivNo"/>
        </w:rPr>
        <w:t>Division</w:t>
      </w:r>
      <w:r w:rsidR="007A436F">
        <w:rPr>
          <w:rStyle w:val="CharDivNo"/>
        </w:rPr>
        <w:t> </w:t>
      </w:r>
      <w:r w:rsidRPr="007A436F">
        <w:rPr>
          <w:rStyle w:val="CharDivNo"/>
        </w:rPr>
        <w:t>1</w:t>
      </w:r>
      <w:r w:rsidRPr="007A436F">
        <w:t>—</w:t>
      </w:r>
      <w:r w:rsidRPr="007A436F">
        <w:rPr>
          <w:rStyle w:val="CharDivText"/>
        </w:rPr>
        <w:t>Dispensed price for supply of a pharmaceutical benefit by a hospital authority for a public hospital</w:t>
      </w:r>
      <w:bookmarkEnd w:id="37"/>
      <w:r w:rsidRPr="007A436F">
        <w:rPr>
          <w:rStyle w:val="CharDivText"/>
        </w:rPr>
        <w:t xml:space="preserve"> </w:t>
      </w:r>
    </w:p>
    <w:p w:rsidR="00312354" w:rsidRPr="007A436F" w:rsidRDefault="001D442B" w:rsidP="000C47C4">
      <w:pPr>
        <w:pStyle w:val="ActHead5"/>
      </w:pPr>
      <w:bookmarkStart w:id="38" w:name="_Toc74311788"/>
      <w:r w:rsidRPr="007A436F">
        <w:rPr>
          <w:rStyle w:val="CharSectno"/>
        </w:rPr>
        <w:t>16</w:t>
      </w:r>
      <w:r w:rsidR="00AA11A0" w:rsidRPr="007A436F">
        <w:t xml:space="preserve">  </w:t>
      </w:r>
      <w:r w:rsidR="00312354" w:rsidRPr="007A436F">
        <w:t>The dispensed price—supply by public hospital</w:t>
      </w:r>
      <w:bookmarkEnd w:id="38"/>
      <w:r w:rsidR="00312354" w:rsidRPr="007A436F">
        <w:t xml:space="preserve"> </w:t>
      </w:r>
    </w:p>
    <w:p w:rsidR="00312354" w:rsidRPr="007A436F" w:rsidRDefault="00CE2F6F" w:rsidP="00CE2F6F">
      <w:pPr>
        <w:pStyle w:val="subsection"/>
        <w:rPr>
          <w:b/>
          <w:szCs w:val="22"/>
        </w:rPr>
      </w:pPr>
      <w:r w:rsidRPr="007A436F">
        <w:tab/>
      </w:r>
      <w:r w:rsidR="001571F4" w:rsidRPr="007A436F">
        <w:t>(1)</w:t>
      </w:r>
      <w:r w:rsidR="001571F4" w:rsidRPr="007A436F">
        <w:tab/>
      </w:r>
      <w:r w:rsidR="00312354" w:rsidRPr="007A436F">
        <w:t>The dispensed price for the supply of a pharmaceutical benefit by a hospital</w:t>
      </w:r>
      <w:r w:rsidR="00312354" w:rsidRPr="007A436F">
        <w:rPr>
          <w:szCs w:val="22"/>
        </w:rPr>
        <w:t xml:space="preserve"> authority for a public hospital is as follows: </w:t>
      </w:r>
    </w:p>
    <w:p w:rsidR="00312354" w:rsidRPr="007A436F" w:rsidRDefault="00CE2F6F" w:rsidP="00CE2F6F">
      <w:pPr>
        <w:pStyle w:val="paragraph"/>
      </w:pPr>
      <w:r w:rsidRPr="007A436F">
        <w:tab/>
      </w:r>
      <w:r w:rsidR="001571F4" w:rsidRPr="007A436F">
        <w:t>(a)</w:t>
      </w:r>
      <w:r w:rsidR="001571F4" w:rsidRPr="007A436F">
        <w:tab/>
      </w:r>
      <w:r w:rsidR="00312354" w:rsidRPr="007A436F">
        <w:t>if the quantity of the pharmaceutical benefit that is ordered and supplied is equal to a multiple of a pack quantity of the benefit—the sum of the approved ex</w:t>
      </w:r>
      <w:r w:rsidR="007A436F">
        <w:noBreakHyphen/>
      </w:r>
      <w:r w:rsidR="00312354" w:rsidRPr="007A436F">
        <w:t>manufacturer price or the proportional ex</w:t>
      </w:r>
      <w:r w:rsidR="007A436F">
        <w:noBreakHyphen/>
      </w:r>
      <w:r w:rsidR="00312354" w:rsidRPr="007A436F">
        <w:t xml:space="preserve">manufacturer price for each pack quantity; </w:t>
      </w:r>
    </w:p>
    <w:p w:rsidR="00312354" w:rsidRPr="007A436F" w:rsidRDefault="00CE2F6F" w:rsidP="00CE2F6F">
      <w:pPr>
        <w:pStyle w:val="paragraph"/>
      </w:pPr>
      <w:r w:rsidRPr="007A436F">
        <w:tab/>
      </w:r>
      <w:r w:rsidR="001571F4" w:rsidRPr="007A436F">
        <w:t>(b)</w:t>
      </w:r>
      <w:r w:rsidR="001571F4" w:rsidRPr="007A436F">
        <w:tab/>
      </w:r>
      <w:r w:rsidR="00312354" w:rsidRPr="007A436F">
        <w:t>if the quantity of the pharmaceutical benefit that is ordered and supplied is less than a pack quantity of the benefit—the amount calculated in accordance with section</w:t>
      </w:r>
      <w:r w:rsidR="007A436F">
        <w:t> </w:t>
      </w:r>
      <w:r w:rsidR="005B66FB" w:rsidRPr="007A436F">
        <w:t>17</w:t>
      </w:r>
      <w:r w:rsidR="00312354" w:rsidRPr="007A436F">
        <w:t xml:space="preserve">; </w:t>
      </w:r>
    </w:p>
    <w:p w:rsidR="00312354" w:rsidRPr="007A436F" w:rsidRDefault="00CE2F6F" w:rsidP="00CE2F6F">
      <w:pPr>
        <w:pStyle w:val="paragraph"/>
      </w:pPr>
      <w:r w:rsidRPr="007A436F">
        <w:tab/>
      </w:r>
      <w:r w:rsidR="001571F4" w:rsidRPr="007A436F">
        <w:t>(c)</w:t>
      </w:r>
      <w:r w:rsidR="001571F4" w:rsidRPr="007A436F">
        <w:tab/>
      </w:r>
      <w:r w:rsidR="00312354" w:rsidRPr="007A436F">
        <w:t xml:space="preserve">if the quantity of the pharmaceutical benefit that is ordered and supplied is more than a multiple of a pack quantity of the benefit—the sum of: </w:t>
      </w:r>
    </w:p>
    <w:p w:rsidR="00312354" w:rsidRPr="007A436F" w:rsidRDefault="00D800C7" w:rsidP="00D800C7">
      <w:pPr>
        <w:pStyle w:val="paragraphsub"/>
      </w:pPr>
      <w:r w:rsidRPr="007A436F">
        <w:tab/>
      </w:r>
      <w:r w:rsidR="001571F4" w:rsidRPr="007A436F">
        <w:t>(i)</w:t>
      </w:r>
      <w:r w:rsidR="001571F4" w:rsidRPr="007A436F">
        <w:tab/>
      </w:r>
      <w:r w:rsidR="00312354" w:rsidRPr="007A436F">
        <w:t>the approved ex</w:t>
      </w:r>
      <w:r w:rsidR="007A436F">
        <w:noBreakHyphen/>
      </w:r>
      <w:r w:rsidR="00312354" w:rsidRPr="007A436F">
        <w:t>manufacturer price or the proportional ex</w:t>
      </w:r>
      <w:r w:rsidR="007A436F">
        <w:noBreakHyphen/>
      </w:r>
      <w:r w:rsidR="00312354" w:rsidRPr="007A436F">
        <w:t>manufacturer price for each pack quantity; and</w:t>
      </w:r>
    </w:p>
    <w:p w:rsidR="00312354" w:rsidRPr="007A436F" w:rsidRDefault="00D800C7" w:rsidP="00D800C7">
      <w:pPr>
        <w:pStyle w:val="paragraphsub"/>
      </w:pPr>
      <w:r w:rsidRPr="007A436F">
        <w:tab/>
      </w:r>
      <w:r w:rsidR="001571F4" w:rsidRPr="007A436F">
        <w:t>(ii)</w:t>
      </w:r>
      <w:r w:rsidR="001571F4" w:rsidRPr="007A436F">
        <w:tab/>
      </w:r>
      <w:r w:rsidR="00312354" w:rsidRPr="007A436F">
        <w:t>the amount calculated in accordance with section</w:t>
      </w:r>
      <w:r w:rsidR="007A436F">
        <w:t> </w:t>
      </w:r>
      <w:r w:rsidR="005B66FB" w:rsidRPr="007A436F">
        <w:t>17</w:t>
      </w:r>
      <w:r w:rsidR="009C42D1" w:rsidRPr="007A436F">
        <w:t xml:space="preserve"> </w:t>
      </w:r>
      <w:r w:rsidR="00312354" w:rsidRPr="007A436F">
        <w:t xml:space="preserve">for the remainder of the quantity supplied that is less than a pack quantity. </w:t>
      </w:r>
    </w:p>
    <w:p w:rsidR="00312354" w:rsidRPr="007A436F" w:rsidRDefault="001D442B" w:rsidP="000C47C4">
      <w:pPr>
        <w:pStyle w:val="ActHead5"/>
      </w:pPr>
      <w:bookmarkStart w:id="39" w:name="_Toc74311789"/>
      <w:r w:rsidRPr="007A436F">
        <w:rPr>
          <w:rStyle w:val="CharSectno"/>
        </w:rPr>
        <w:t>17</w:t>
      </w:r>
      <w:r w:rsidR="00AA11A0" w:rsidRPr="007A436F">
        <w:t xml:space="preserve">  </w:t>
      </w:r>
      <w:r w:rsidR="00312354" w:rsidRPr="007A436F">
        <w:t>Where quantity is less than a pack quantity</w:t>
      </w:r>
      <w:bookmarkEnd w:id="39"/>
      <w:r w:rsidR="00312354" w:rsidRPr="007A436F">
        <w:t xml:space="preserve"> </w:t>
      </w:r>
    </w:p>
    <w:p w:rsidR="00312354" w:rsidRPr="007A436F" w:rsidRDefault="001571F4" w:rsidP="001571F4">
      <w:pPr>
        <w:tabs>
          <w:tab w:val="left" w:pos="709"/>
          <w:tab w:val="right" w:pos="1134"/>
        </w:tabs>
        <w:spacing w:before="180"/>
        <w:ind w:left="1110" w:hanging="360"/>
        <w:rPr>
          <w:b/>
          <w:szCs w:val="22"/>
        </w:rPr>
      </w:pPr>
      <w:r w:rsidRPr="007A436F">
        <w:rPr>
          <w:rFonts w:eastAsia="Times New Roman" w:cs="Times New Roman"/>
          <w:szCs w:val="22"/>
          <w:lang w:eastAsia="en-AU"/>
        </w:rPr>
        <w:t>(1)</w:t>
      </w:r>
      <w:r w:rsidRPr="007A436F">
        <w:rPr>
          <w:rFonts w:eastAsia="Times New Roman" w:cs="Times New Roman"/>
          <w:szCs w:val="22"/>
          <w:lang w:eastAsia="en-AU"/>
        </w:rPr>
        <w:tab/>
      </w:r>
      <w:r w:rsidR="00312354" w:rsidRPr="007A436F">
        <w:rPr>
          <w:szCs w:val="22"/>
        </w:rPr>
        <w:t xml:space="preserve">If the quantity of a pharmaceutical benefit that is ordered and supplied is less than a pack quantity of the benefit (a </w:t>
      </w:r>
      <w:r w:rsidR="00312354" w:rsidRPr="007A436F">
        <w:rPr>
          <w:b/>
          <w:szCs w:val="22"/>
        </w:rPr>
        <w:t>broken quantity</w:t>
      </w:r>
      <w:r w:rsidR="00312354" w:rsidRPr="007A436F">
        <w:rPr>
          <w:szCs w:val="22"/>
        </w:rPr>
        <w:t>), the amount mentioned in paragraph</w:t>
      </w:r>
      <w:r w:rsidR="007A436F">
        <w:rPr>
          <w:szCs w:val="22"/>
        </w:rPr>
        <w:t> </w:t>
      </w:r>
      <w:r w:rsidR="005B66FB" w:rsidRPr="007A436F">
        <w:rPr>
          <w:szCs w:val="22"/>
        </w:rPr>
        <w:t>16</w:t>
      </w:r>
      <w:r w:rsidR="00945955" w:rsidRPr="007A436F">
        <w:rPr>
          <w:szCs w:val="22"/>
        </w:rPr>
        <w:t>(</w:t>
      </w:r>
      <w:r w:rsidR="00312354" w:rsidRPr="007A436F">
        <w:rPr>
          <w:szCs w:val="22"/>
        </w:rPr>
        <w:t>1)(b) and subparagraph</w:t>
      </w:r>
      <w:r w:rsidR="007A436F">
        <w:rPr>
          <w:szCs w:val="22"/>
        </w:rPr>
        <w:t> </w:t>
      </w:r>
      <w:r w:rsidR="005B66FB" w:rsidRPr="007A436F">
        <w:rPr>
          <w:szCs w:val="22"/>
        </w:rPr>
        <w:t>16</w:t>
      </w:r>
      <w:r w:rsidR="00945955" w:rsidRPr="007A436F">
        <w:rPr>
          <w:szCs w:val="22"/>
        </w:rPr>
        <w:t>(</w:t>
      </w:r>
      <w:r w:rsidR="00312354" w:rsidRPr="007A436F">
        <w:rPr>
          <w:szCs w:val="22"/>
        </w:rPr>
        <w:t xml:space="preserve">1)(c)(ii) is to be calculated by:  </w:t>
      </w:r>
    </w:p>
    <w:p w:rsidR="00312354" w:rsidRPr="007A436F" w:rsidRDefault="001571F4" w:rsidP="001571F4">
      <w:pPr>
        <w:tabs>
          <w:tab w:val="left" w:pos="1560"/>
        </w:tabs>
        <w:spacing w:before="40"/>
        <w:ind w:left="1560" w:hanging="426"/>
        <w:rPr>
          <w:szCs w:val="22"/>
        </w:rPr>
      </w:pPr>
      <w:r w:rsidRPr="007A436F">
        <w:rPr>
          <w:rFonts w:eastAsia="Times New Roman" w:cs="Times New Roman"/>
          <w:szCs w:val="22"/>
          <w:lang w:eastAsia="en-AU"/>
        </w:rPr>
        <w:t>(a)</w:t>
      </w:r>
      <w:r w:rsidRPr="007A436F">
        <w:rPr>
          <w:rFonts w:eastAsia="Times New Roman" w:cs="Times New Roman"/>
          <w:szCs w:val="22"/>
          <w:lang w:eastAsia="en-AU"/>
        </w:rPr>
        <w:tab/>
      </w:r>
      <w:r w:rsidR="00312354" w:rsidRPr="007A436F">
        <w:rPr>
          <w:szCs w:val="22"/>
        </w:rPr>
        <w:t xml:space="preserve">dividing the quantity or number of units in the broken quantity by the pack quantity, expressed as a percentage to 2 decimal places; and </w:t>
      </w:r>
    </w:p>
    <w:p w:rsidR="00312354" w:rsidRPr="007A436F" w:rsidRDefault="001571F4" w:rsidP="001571F4">
      <w:pPr>
        <w:tabs>
          <w:tab w:val="left" w:pos="1560"/>
        </w:tabs>
        <w:spacing w:before="40"/>
        <w:ind w:left="1560" w:hanging="426"/>
        <w:rPr>
          <w:szCs w:val="22"/>
        </w:rPr>
      </w:pPr>
      <w:r w:rsidRPr="007A436F">
        <w:rPr>
          <w:rFonts w:eastAsia="Times New Roman" w:cs="Times New Roman"/>
          <w:szCs w:val="22"/>
          <w:lang w:eastAsia="en-AU"/>
        </w:rPr>
        <w:t>(b)</w:t>
      </w:r>
      <w:r w:rsidRPr="007A436F">
        <w:rPr>
          <w:rFonts w:eastAsia="Times New Roman" w:cs="Times New Roman"/>
          <w:szCs w:val="22"/>
          <w:lang w:eastAsia="en-AU"/>
        </w:rPr>
        <w:tab/>
      </w:r>
      <w:r w:rsidR="00312354" w:rsidRPr="007A436F">
        <w:rPr>
          <w:szCs w:val="22"/>
        </w:rPr>
        <w:t>applying that percentage to the approved ex</w:t>
      </w:r>
      <w:r w:rsidR="007A436F">
        <w:rPr>
          <w:szCs w:val="22"/>
        </w:rPr>
        <w:noBreakHyphen/>
      </w:r>
      <w:r w:rsidR="00312354" w:rsidRPr="007A436F">
        <w:rPr>
          <w:szCs w:val="22"/>
        </w:rPr>
        <w:t>manufacturer price or proportional ex</w:t>
      </w:r>
      <w:r w:rsidR="007A436F">
        <w:rPr>
          <w:szCs w:val="22"/>
        </w:rPr>
        <w:noBreakHyphen/>
      </w:r>
      <w:r w:rsidR="00312354" w:rsidRPr="007A436F">
        <w:rPr>
          <w:szCs w:val="22"/>
        </w:rPr>
        <w:t xml:space="preserve">manufacturer price for the pack quantity. </w:t>
      </w:r>
    </w:p>
    <w:p w:rsidR="00312354" w:rsidRPr="007A436F" w:rsidRDefault="00312354" w:rsidP="0028070F">
      <w:pPr>
        <w:pStyle w:val="ActHead3"/>
        <w:pageBreakBefore/>
      </w:pPr>
      <w:bookmarkStart w:id="40" w:name="_Toc74311790"/>
      <w:r w:rsidRPr="007A436F">
        <w:rPr>
          <w:rStyle w:val="CharDivNo"/>
        </w:rPr>
        <w:lastRenderedPageBreak/>
        <w:t>Division</w:t>
      </w:r>
      <w:r w:rsidR="007A436F">
        <w:rPr>
          <w:rStyle w:val="CharDivNo"/>
        </w:rPr>
        <w:t> </w:t>
      </w:r>
      <w:r w:rsidRPr="007A436F">
        <w:rPr>
          <w:rStyle w:val="CharDivNo"/>
        </w:rPr>
        <w:t>2</w:t>
      </w:r>
      <w:r w:rsidR="002B398D" w:rsidRPr="007A436F">
        <w:t>—</w:t>
      </w:r>
      <w:r w:rsidRPr="007A436F">
        <w:rPr>
          <w:rStyle w:val="CharDivText"/>
        </w:rPr>
        <w:t>Dispensed price for supply of a pharmaceutical benefit by certain suppliers</w:t>
      </w:r>
      <w:bookmarkEnd w:id="40"/>
    </w:p>
    <w:p w:rsidR="00312354" w:rsidRPr="007A436F" w:rsidRDefault="001D442B" w:rsidP="00A12213">
      <w:pPr>
        <w:pStyle w:val="ActHead5"/>
        <w:ind w:left="426" w:hanging="426"/>
      </w:pPr>
      <w:bookmarkStart w:id="41" w:name="_Toc74311791"/>
      <w:r w:rsidRPr="007A436F">
        <w:rPr>
          <w:rStyle w:val="CharSectno"/>
        </w:rPr>
        <w:t>18</w:t>
      </w:r>
      <w:r w:rsidR="00AA11A0" w:rsidRPr="007A436F">
        <w:t xml:space="preserve">  </w:t>
      </w:r>
      <w:r w:rsidR="00312354" w:rsidRPr="007A436F">
        <w:t>The dispensed price—supply by an approved hospital authority for a private hospital, an approved pharmacist or an approved medical practitioner</w:t>
      </w:r>
      <w:bookmarkEnd w:id="41"/>
    </w:p>
    <w:p w:rsidR="004D324A" w:rsidRPr="007A436F" w:rsidRDefault="004D324A" w:rsidP="004D324A">
      <w:pPr>
        <w:pStyle w:val="subsection"/>
      </w:pPr>
      <w:r w:rsidRPr="007A436F">
        <w:tab/>
      </w:r>
      <w:r w:rsidR="001571F4" w:rsidRPr="007A436F">
        <w:t>(1)</w:t>
      </w:r>
      <w:r w:rsidR="001571F4" w:rsidRPr="007A436F">
        <w:tab/>
      </w:r>
      <w:r w:rsidR="00312354" w:rsidRPr="007A436F">
        <w:t xml:space="preserve">The dispensed price for the supply of a pharmaceutical benefit by an approved hospital authority for a private hospital, an approved pharmacist or an approved medical practitioner, is as follows: </w:t>
      </w:r>
    </w:p>
    <w:p w:rsidR="00312354" w:rsidRPr="007A436F" w:rsidRDefault="004D324A" w:rsidP="004D324A">
      <w:pPr>
        <w:pStyle w:val="paragraph"/>
      </w:pPr>
      <w:r w:rsidRPr="007A436F">
        <w:tab/>
      </w:r>
      <w:r w:rsidR="001571F4" w:rsidRPr="007A436F">
        <w:t>(a)</w:t>
      </w:r>
      <w:r w:rsidR="001571F4" w:rsidRPr="007A436F">
        <w:tab/>
      </w:r>
      <w:r w:rsidR="00312354" w:rsidRPr="007A436F">
        <w:t>if the quantity of the pharmaceutical benefit that is ordered and supplied is equal to a multiple of a pack quantity, the sum of:</w:t>
      </w:r>
    </w:p>
    <w:p w:rsidR="00312354" w:rsidRPr="007A436F" w:rsidRDefault="002B398D" w:rsidP="002B398D">
      <w:pPr>
        <w:pStyle w:val="paragraphsub"/>
      </w:pPr>
      <w:r w:rsidRPr="007A436F">
        <w:tab/>
      </w:r>
      <w:r w:rsidR="001571F4" w:rsidRPr="007A436F">
        <w:t>(i)</w:t>
      </w:r>
      <w:r w:rsidR="00312354" w:rsidRPr="007A436F">
        <w:tab/>
        <w:t>the approved ex</w:t>
      </w:r>
      <w:r w:rsidR="007A436F">
        <w:noBreakHyphen/>
      </w:r>
      <w:r w:rsidR="00312354" w:rsidRPr="007A436F">
        <w:t>manufacturer price or the proportional ex</w:t>
      </w:r>
      <w:r w:rsidR="007A436F">
        <w:noBreakHyphen/>
      </w:r>
      <w:r w:rsidR="00312354" w:rsidRPr="007A436F">
        <w:t>manufacturer price for each pack quantity, plus the mark</w:t>
      </w:r>
      <w:r w:rsidR="007A436F">
        <w:noBreakHyphen/>
      </w:r>
      <w:r w:rsidR="00312354" w:rsidRPr="007A436F">
        <w:t>up mentioned in section</w:t>
      </w:r>
      <w:r w:rsidR="007A436F">
        <w:t> </w:t>
      </w:r>
      <w:r w:rsidR="00CC3B69" w:rsidRPr="007A436F">
        <w:t>19</w:t>
      </w:r>
      <w:r w:rsidR="00312354" w:rsidRPr="007A436F">
        <w:t xml:space="preserve"> taken to the nearest cent, with one half cent being rounded up to 1 cent; and </w:t>
      </w:r>
    </w:p>
    <w:p w:rsidR="00312354" w:rsidRPr="007A436F" w:rsidRDefault="002B398D" w:rsidP="002B398D">
      <w:pPr>
        <w:pStyle w:val="paragraphsub"/>
        <w:rPr>
          <w:szCs w:val="22"/>
        </w:rPr>
      </w:pPr>
      <w:r w:rsidRPr="007A436F">
        <w:tab/>
      </w:r>
      <w:r w:rsidR="001571F4" w:rsidRPr="007A436F">
        <w:t>(ii)</w:t>
      </w:r>
      <w:r w:rsidR="00312354" w:rsidRPr="007A436F">
        <w:tab/>
        <w:t>a dispensing fee equal to the dispensing fee for the su</w:t>
      </w:r>
      <w:r w:rsidR="00312354" w:rsidRPr="007A436F">
        <w:rPr>
          <w:szCs w:val="22"/>
        </w:rPr>
        <w:t>pply of a ready prepared pharmaceutical benefit, mentioned in the determination made under paragraph</w:t>
      </w:r>
      <w:r w:rsidR="007A436F">
        <w:rPr>
          <w:szCs w:val="22"/>
        </w:rPr>
        <w:t> </w:t>
      </w:r>
      <w:r w:rsidR="00312354" w:rsidRPr="007A436F">
        <w:rPr>
          <w:szCs w:val="22"/>
        </w:rPr>
        <w:t xml:space="preserve">98B(1)(a) of the Act, as in force at the time of the supply of the pharmaceutical benefit; or </w:t>
      </w:r>
    </w:p>
    <w:p w:rsidR="00312354" w:rsidRPr="007A436F" w:rsidRDefault="002B398D" w:rsidP="002B398D">
      <w:pPr>
        <w:pStyle w:val="paragraph"/>
      </w:pPr>
      <w:r w:rsidRPr="007A436F">
        <w:tab/>
      </w:r>
      <w:r w:rsidR="001571F4" w:rsidRPr="007A436F">
        <w:t>(b)</w:t>
      </w:r>
      <w:r w:rsidR="001571F4" w:rsidRPr="007A436F">
        <w:tab/>
      </w:r>
      <w:r w:rsidR="00312354" w:rsidRPr="007A436F">
        <w:t xml:space="preserve">if a quantity of the pharmaceutical benefit that is ordered and supplied is less than a pack quantity, the sum of: </w:t>
      </w:r>
    </w:p>
    <w:p w:rsidR="00312354" w:rsidRPr="007A436F" w:rsidRDefault="002B398D" w:rsidP="002B398D">
      <w:pPr>
        <w:pStyle w:val="paragraphsub"/>
      </w:pPr>
      <w:r w:rsidRPr="007A436F">
        <w:tab/>
      </w:r>
      <w:r w:rsidR="001571F4" w:rsidRPr="007A436F">
        <w:t>(i)</w:t>
      </w:r>
      <w:r w:rsidRPr="007A436F">
        <w:tab/>
      </w:r>
      <w:r w:rsidR="00312354" w:rsidRPr="007A436F">
        <w:t>the amount calculated in accordance with section</w:t>
      </w:r>
      <w:r w:rsidR="007A436F">
        <w:t> </w:t>
      </w:r>
      <w:r w:rsidR="00CC3B69" w:rsidRPr="007A436F">
        <w:t>20</w:t>
      </w:r>
      <w:r w:rsidR="0010146F" w:rsidRPr="007A436F">
        <w:t>;</w:t>
      </w:r>
      <w:r w:rsidR="00312354" w:rsidRPr="007A436F">
        <w:t xml:space="preserve"> and </w:t>
      </w:r>
    </w:p>
    <w:p w:rsidR="00312354" w:rsidRPr="007A436F" w:rsidRDefault="002B398D" w:rsidP="002B398D">
      <w:pPr>
        <w:pStyle w:val="paragraphsub"/>
      </w:pPr>
      <w:r w:rsidRPr="007A436F">
        <w:tab/>
      </w:r>
      <w:r w:rsidR="001571F4" w:rsidRPr="007A436F">
        <w:t>(ii)</w:t>
      </w:r>
      <w:r w:rsidR="00312354" w:rsidRPr="007A436F">
        <w:tab/>
        <w:t>a dispensing fee equal to the dispensing fee for the supply of a ready prepared pharmaceutical benefit, mentioned in the determination made under paragraph</w:t>
      </w:r>
      <w:r w:rsidR="007A436F">
        <w:t> </w:t>
      </w:r>
      <w:r w:rsidR="00312354" w:rsidRPr="007A436F">
        <w:t xml:space="preserve">98B(1)(a) of the Act, as in force at the time of the supply of the pharmaceutical benefit; or </w:t>
      </w:r>
    </w:p>
    <w:p w:rsidR="00312354" w:rsidRPr="007A436F" w:rsidRDefault="001571F4" w:rsidP="001571F4">
      <w:pPr>
        <w:tabs>
          <w:tab w:val="left" w:pos="567"/>
          <w:tab w:val="left" w:pos="1560"/>
        </w:tabs>
        <w:spacing w:before="40"/>
        <w:ind w:left="1560" w:hanging="426"/>
        <w:rPr>
          <w:b/>
          <w:szCs w:val="22"/>
        </w:rPr>
      </w:pPr>
      <w:r w:rsidRPr="007A436F">
        <w:rPr>
          <w:rFonts w:eastAsia="Times New Roman" w:cs="Times New Roman"/>
          <w:szCs w:val="22"/>
          <w:lang w:eastAsia="en-AU"/>
        </w:rPr>
        <w:t>(c)</w:t>
      </w:r>
      <w:r w:rsidRPr="007A436F">
        <w:rPr>
          <w:rFonts w:eastAsia="Times New Roman" w:cs="Times New Roman"/>
          <w:szCs w:val="22"/>
          <w:lang w:eastAsia="en-AU"/>
        </w:rPr>
        <w:tab/>
      </w:r>
      <w:r w:rsidR="00312354" w:rsidRPr="007A436F">
        <w:rPr>
          <w:szCs w:val="22"/>
        </w:rPr>
        <w:t xml:space="preserve">if a quantity of the pharmaceutical benefit that is ordered and supplied is more than a multiple of a pack quantity, the sum of: </w:t>
      </w:r>
    </w:p>
    <w:p w:rsidR="00312354" w:rsidRPr="007A436F" w:rsidRDefault="002B398D" w:rsidP="002B398D">
      <w:pPr>
        <w:pStyle w:val="paragraphsub"/>
      </w:pPr>
      <w:r w:rsidRPr="007A436F">
        <w:tab/>
      </w:r>
      <w:r w:rsidR="001571F4" w:rsidRPr="007A436F">
        <w:t>(i)</w:t>
      </w:r>
      <w:r w:rsidR="00312354" w:rsidRPr="007A436F">
        <w:tab/>
        <w:t>for each pack quantity, the approved ex</w:t>
      </w:r>
      <w:r w:rsidR="007A436F">
        <w:noBreakHyphen/>
      </w:r>
      <w:r w:rsidR="00312354" w:rsidRPr="007A436F">
        <w:t>manufacturer price or the proportional ex</w:t>
      </w:r>
      <w:r w:rsidR="007A436F">
        <w:noBreakHyphen/>
      </w:r>
      <w:r w:rsidR="00312354" w:rsidRPr="007A436F">
        <w:t>manufacturer price for the pack quantity, plus the mark</w:t>
      </w:r>
      <w:r w:rsidR="007A436F">
        <w:noBreakHyphen/>
      </w:r>
      <w:r w:rsidR="00312354" w:rsidRPr="007A436F">
        <w:t>up mentioned in section</w:t>
      </w:r>
      <w:r w:rsidR="007A436F">
        <w:t> </w:t>
      </w:r>
      <w:r w:rsidR="00945955" w:rsidRPr="007A436F">
        <w:t>19</w:t>
      </w:r>
      <w:r w:rsidR="00312354" w:rsidRPr="007A436F">
        <w:t xml:space="preserve"> taken to the nearest cent, with one half cent being </w:t>
      </w:r>
      <w:r w:rsidR="009213F0" w:rsidRPr="007A436F">
        <w:t>rounded up to</w:t>
      </w:r>
      <w:r w:rsidR="00312354" w:rsidRPr="007A436F">
        <w:t xml:space="preserve"> 1 cent; and </w:t>
      </w:r>
    </w:p>
    <w:p w:rsidR="00312354" w:rsidRPr="007A436F" w:rsidRDefault="002B398D" w:rsidP="002B398D">
      <w:pPr>
        <w:pStyle w:val="paragraphsub"/>
      </w:pPr>
      <w:r w:rsidRPr="007A436F">
        <w:tab/>
      </w:r>
      <w:r w:rsidR="001571F4" w:rsidRPr="007A436F">
        <w:t>(ii)</w:t>
      </w:r>
      <w:r w:rsidR="00312354" w:rsidRPr="007A436F">
        <w:tab/>
        <w:t>the amount calculated in accordance with section</w:t>
      </w:r>
      <w:r w:rsidR="007A436F">
        <w:t> </w:t>
      </w:r>
      <w:r w:rsidR="00945955" w:rsidRPr="007A436F">
        <w:t>20</w:t>
      </w:r>
      <w:r w:rsidR="00312354" w:rsidRPr="007A436F">
        <w:t xml:space="preserve"> for the remainder of the quantity supplied that is less than a pack quantity; and</w:t>
      </w:r>
    </w:p>
    <w:p w:rsidR="00312354" w:rsidRPr="007A436F" w:rsidRDefault="002B398D" w:rsidP="002B398D">
      <w:pPr>
        <w:pStyle w:val="paragraphsub"/>
        <w:rPr>
          <w:szCs w:val="22"/>
        </w:rPr>
      </w:pPr>
      <w:r w:rsidRPr="007A436F">
        <w:tab/>
      </w:r>
      <w:r w:rsidR="001571F4" w:rsidRPr="007A436F">
        <w:t>(iii)</w:t>
      </w:r>
      <w:r w:rsidR="00312354" w:rsidRPr="007A436F">
        <w:tab/>
        <w:t>a dispensing fee equal to the dispensing fee for the supply of a ready prepared pharmaceutical benefit, mentioned in the determination made under paragraph</w:t>
      </w:r>
      <w:r w:rsidR="007A436F">
        <w:t> </w:t>
      </w:r>
      <w:r w:rsidR="00312354" w:rsidRPr="007A436F">
        <w:t>98B(1)(a) of the Act, as in force at the time of the supply of</w:t>
      </w:r>
      <w:r w:rsidR="00312354" w:rsidRPr="007A436F">
        <w:rPr>
          <w:szCs w:val="22"/>
        </w:rPr>
        <w:t xml:space="preserve"> the pharmaceutical benefit.</w:t>
      </w:r>
      <w:r w:rsidR="00312354" w:rsidRPr="007A436F">
        <w:rPr>
          <w:szCs w:val="22"/>
          <w:highlight w:val="green"/>
        </w:rPr>
        <w:t xml:space="preserve"> </w:t>
      </w:r>
    </w:p>
    <w:p w:rsidR="00312354" w:rsidRPr="007A436F" w:rsidRDefault="001D442B" w:rsidP="000C47C4">
      <w:pPr>
        <w:pStyle w:val="ActHead5"/>
      </w:pPr>
      <w:bookmarkStart w:id="42" w:name="_Toc74311792"/>
      <w:r w:rsidRPr="007A436F">
        <w:rPr>
          <w:rStyle w:val="CharSectno"/>
        </w:rPr>
        <w:t>19</w:t>
      </w:r>
      <w:r w:rsidR="00AA11A0" w:rsidRPr="007A436F">
        <w:t xml:space="preserve">  </w:t>
      </w:r>
      <w:r w:rsidR="00312354" w:rsidRPr="007A436F">
        <w:t>Mark</w:t>
      </w:r>
      <w:r w:rsidR="007A436F">
        <w:noBreakHyphen/>
      </w:r>
      <w:r w:rsidR="00312354" w:rsidRPr="007A436F">
        <w:t>up</w:t>
      </w:r>
      <w:bookmarkEnd w:id="42"/>
      <w:r w:rsidR="00312354" w:rsidRPr="007A436F">
        <w:t xml:space="preserve"> </w:t>
      </w:r>
    </w:p>
    <w:p w:rsidR="00312354" w:rsidRPr="007A436F" w:rsidRDefault="00312354" w:rsidP="00312354">
      <w:pPr>
        <w:tabs>
          <w:tab w:val="right" w:pos="851"/>
        </w:tabs>
        <w:spacing w:before="180"/>
        <w:ind w:left="993"/>
        <w:rPr>
          <w:szCs w:val="22"/>
        </w:rPr>
      </w:pPr>
      <w:r w:rsidRPr="007A436F">
        <w:rPr>
          <w:szCs w:val="22"/>
        </w:rPr>
        <w:t>For subparagraphs</w:t>
      </w:r>
      <w:r w:rsidR="007A436F">
        <w:rPr>
          <w:szCs w:val="22"/>
        </w:rPr>
        <w:t> </w:t>
      </w:r>
      <w:r w:rsidR="00945955" w:rsidRPr="007A436F">
        <w:rPr>
          <w:szCs w:val="22"/>
        </w:rPr>
        <w:t>18</w:t>
      </w:r>
      <w:r w:rsidR="00C46557" w:rsidRPr="007A436F">
        <w:rPr>
          <w:szCs w:val="22"/>
        </w:rPr>
        <w:t>(</w:t>
      </w:r>
      <w:r w:rsidRPr="007A436F">
        <w:rPr>
          <w:szCs w:val="22"/>
        </w:rPr>
        <w:t>1)(a)(i) and </w:t>
      </w:r>
      <w:r w:rsidR="00A34826" w:rsidRPr="007A436F">
        <w:rPr>
          <w:szCs w:val="22"/>
        </w:rPr>
        <w:t>18</w:t>
      </w:r>
      <w:r w:rsidR="00C46557" w:rsidRPr="007A436F">
        <w:rPr>
          <w:szCs w:val="22"/>
        </w:rPr>
        <w:t>(</w:t>
      </w:r>
      <w:r w:rsidRPr="007A436F">
        <w:rPr>
          <w:szCs w:val="22"/>
        </w:rPr>
        <w:t>1)(c)(i) and for paragraph</w:t>
      </w:r>
      <w:r w:rsidR="007A436F">
        <w:rPr>
          <w:szCs w:val="22"/>
        </w:rPr>
        <w:t> </w:t>
      </w:r>
      <w:r w:rsidR="00945955" w:rsidRPr="007A436F">
        <w:rPr>
          <w:szCs w:val="22"/>
        </w:rPr>
        <w:t>20</w:t>
      </w:r>
      <w:r w:rsidRPr="007A436F">
        <w:rPr>
          <w:szCs w:val="22"/>
        </w:rPr>
        <w:t>(a), the mark</w:t>
      </w:r>
      <w:r w:rsidR="007A436F">
        <w:rPr>
          <w:szCs w:val="22"/>
        </w:rPr>
        <w:noBreakHyphen/>
      </w:r>
      <w:r w:rsidRPr="007A436F">
        <w:rPr>
          <w:szCs w:val="22"/>
        </w:rPr>
        <w:t>up for a pack quantity of a ready</w:t>
      </w:r>
      <w:r w:rsidR="007A436F">
        <w:rPr>
          <w:szCs w:val="22"/>
        </w:rPr>
        <w:noBreakHyphen/>
      </w:r>
      <w:r w:rsidRPr="007A436F">
        <w:rPr>
          <w:szCs w:val="22"/>
        </w:rPr>
        <w:t xml:space="preserve">prepared pharmaceutical benefit is: </w:t>
      </w:r>
    </w:p>
    <w:p w:rsidR="00312354" w:rsidRPr="007A436F" w:rsidRDefault="00AA34D2" w:rsidP="00AA34D2">
      <w:pPr>
        <w:pStyle w:val="paragraph"/>
      </w:pPr>
      <w:r w:rsidRPr="007A436F">
        <w:rPr>
          <w:lang w:eastAsia="en-US"/>
        </w:rPr>
        <w:tab/>
      </w:r>
      <w:r w:rsidR="001571F4" w:rsidRPr="007A436F">
        <w:rPr>
          <w:lang w:eastAsia="en-US"/>
        </w:rPr>
        <w:t>(a)</w:t>
      </w:r>
      <w:r w:rsidR="001571F4" w:rsidRPr="007A436F">
        <w:rPr>
          <w:lang w:eastAsia="en-US"/>
        </w:rPr>
        <w:tab/>
      </w:r>
      <w:r w:rsidR="00312354" w:rsidRPr="007A436F">
        <w:rPr>
          <w:lang w:eastAsia="en-US"/>
        </w:rPr>
        <w:t>if the pack quantity for which a mark</w:t>
      </w:r>
      <w:r w:rsidR="007A436F">
        <w:rPr>
          <w:lang w:eastAsia="en-US"/>
        </w:rPr>
        <w:noBreakHyphen/>
      </w:r>
      <w:r w:rsidR="00312354" w:rsidRPr="007A436F">
        <w:rPr>
          <w:lang w:eastAsia="en-US"/>
        </w:rPr>
        <w:t>up is to be calculated under this</w:t>
      </w:r>
      <w:r w:rsidR="00312354" w:rsidRPr="007A436F">
        <w:t xml:space="preserve"> section is equal to a maximum quantity of the pharmaceutical benefit, the mark</w:t>
      </w:r>
      <w:r w:rsidR="007A436F">
        <w:noBreakHyphen/>
      </w:r>
      <w:r w:rsidR="00312354" w:rsidRPr="007A436F">
        <w:t xml:space="preserve">up is the amount mentioned in the table below for the approved </w:t>
      </w:r>
      <w:r w:rsidR="00312354" w:rsidRPr="007A436F">
        <w:lastRenderedPageBreak/>
        <w:t>ex</w:t>
      </w:r>
      <w:r w:rsidR="007A436F">
        <w:noBreakHyphen/>
      </w:r>
      <w:r w:rsidR="00312354" w:rsidRPr="007A436F">
        <w:t>manufacturer price (AEMP) or for the proportional ex</w:t>
      </w:r>
      <w:r w:rsidR="007A436F">
        <w:noBreakHyphen/>
      </w:r>
      <w:r w:rsidR="00312354" w:rsidRPr="007A436F">
        <w:t xml:space="preserve">manufacturer price (PEMP) for that quantity. </w:t>
      </w:r>
    </w:p>
    <w:p w:rsidR="00200FB8" w:rsidRPr="007A436F" w:rsidRDefault="00D56F26" w:rsidP="00AA34D2">
      <w:pPr>
        <w:pStyle w:val="paragraph"/>
      </w:pPr>
      <w:r w:rsidRPr="007A436F">
        <w:rPr>
          <w:noProof/>
        </w:rPr>
        <w:drawing>
          <wp:inline distT="0" distB="0" distL="0" distR="0" wp14:anchorId="718F2201" wp14:editId="1B1863A5">
            <wp:extent cx="4998720" cy="173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24321" t="34578" r="7366" b="23311"/>
                    <a:stretch/>
                  </pic:blipFill>
                  <pic:spPr bwMode="auto">
                    <a:xfrm>
                      <a:off x="0" y="0"/>
                      <a:ext cx="4998720" cy="1733550"/>
                    </a:xfrm>
                    <a:prstGeom prst="rect">
                      <a:avLst/>
                    </a:prstGeom>
                    <a:ln>
                      <a:noFill/>
                    </a:ln>
                    <a:extLst>
                      <a:ext uri="{53640926-AAD7-44D8-BBD7-CCE9431645EC}">
                        <a14:shadowObscured xmlns:a14="http://schemas.microsoft.com/office/drawing/2010/main"/>
                      </a:ext>
                    </a:extLst>
                  </pic:spPr>
                </pic:pic>
              </a:graphicData>
            </a:graphic>
          </wp:inline>
        </w:drawing>
      </w:r>
      <w:r w:rsidR="00AA34D2" w:rsidRPr="007A436F">
        <w:tab/>
      </w:r>
    </w:p>
    <w:p w:rsidR="00200FB8" w:rsidRPr="007A436F" w:rsidRDefault="00200FB8" w:rsidP="008052BC"/>
    <w:p w:rsidR="00312354" w:rsidRPr="007A436F" w:rsidRDefault="00200FB8" w:rsidP="00AA34D2">
      <w:pPr>
        <w:pStyle w:val="paragraph"/>
      </w:pPr>
      <w:r w:rsidRPr="007A436F">
        <w:tab/>
      </w:r>
      <w:r w:rsidR="001571F4" w:rsidRPr="007A436F">
        <w:t>(b)</w:t>
      </w:r>
      <w:r w:rsidR="001571F4" w:rsidRPr="007A436F">
        <w:tab/>
      </w:r>
      <w:r w:rsidR="00312354" w:rsidRPr="007A436F">
        <w:t>if the pack quantity for which a mark</w:t>
      </w:r>
      <w:r w:rsidR="007A436F">
        <w:noBreakHyphen/>
      </w:r>
      <w:r w:rsidR="00312354" w:rsidRPr="007A436F">
        <w:t>up is to be calculated under this section is not equal to a maximum quantity of the pharmaceutical benefit, the mark</w:t>
      </w:r>
      <w:r w:rsidR="007A436F">
        <w:noBreakHyphen/>
      </w:r>
      <w:r w:rsidR="00312354" w:rsidRPr="007A436F">
        <w:t xml:space="preserve">up is worked out as follows: </w:t>
      </w:r>
    </w:p>
    <w:p w:rsidR="00312354" w:rsidRPr="007A436F" w:rsidRDefault="00AA34D2" w:rsidP="008052BC">
      <w:pPr>
        <w:pStyle w:val="paragraphsub"/>
      </w:pPr>
      <w:r w:rsidRPr="007A436F">
        <w:tab/>
      </w:r>
      <w:r w:rsidR="001571F4" w:rsidRPr="007A436F">
        <w:t>(i)</w:t>
      </w:r>
      <w:r w:rsidR="001571F4" w:rsidRPr="007A436F">
        <w:tab/>
      </w:r>
      <w:r w:rsidR="00312354" w:rsidRPr="007A436F">
        <w:t>if the mark</w:t>
      </w:r>
      <w:r w:rsidR="007A436F">
        <w:noBreakHyphen/>
      </w:r>
      <w:r w:rsidR="00312354" w:rsidRPr="007A436F">
        <w:t xml:space="preserve">up that would apply to the maximum quantity is shown in the table in </w:t>
      </w:r>
      <w:r w:rsidR="007A436F">
        <w:t>paragraph (</w:t>
      </w:r>
      <w:r w:rsidR="00312354" w:rsidRPr="007A436F">
        <w:t>a) as a monetary amount—the mark</w:t>
      </w:r>
      <w:r w:rsidR="007A436F">
        <w:noBreakHyphen/>
      </w:r>
      <w:r w:rsidR="00312354" w:rsidRPr="007A436F">
        <w:t xml:space="preserve">up for the pack quantity is that monetary amount, reduced proportionately for the relative quantities; and </w:t>
      </w:r>
    </w:p>
    <w:p w:rsidR="00312354" w:rsidRPr="007A436F" w:rsidRDefault="00AA34D2" w:rsidP="008052BC">
      <w:pPr>
        <w:pStyle w:val="paragraphsub"/>
      </w:pPr>
      <w:r w:rsidRPr="007A436F">
        <w:tab/>
      </w:r>
      <w:r w:rsidR="001571F4" w:rsidRPr="007A436F">
        <w:t>(ii)</w:t>
      </w:r>
      <w:r w:rsidR="001571F4" w:rsidRPr="007A436F">
        <w:tab/>
      </w:r>
      <w:r w:rsidR="00312354" w:rsidRPr="007A436F">
        <w:t>if the mark</w:t>
      </w:r>
      <w:r w:rsidR="007A436F">
        <w:noBreakHyphen/>
      </w:r>
      <w:r w:rsidR="00312354" w:rsidRPr="007A436F">
        <w:t xml:space="preserve">up that would apply to the maximum quantity is shown in the table in </w:t>
      </w:r>
      <w:r w:rsidR="007A436F">
        <w:t>paragraph (</w:t>
      </w:r>
      <w:r w:rsidR="00312354" w:rsidRPr="007A436F">
        <w:t>a) as a percentage of AEMP or PEMP—the mark</w:t>
      </w:r>
      <w:r w:rsidR="007A436F">
        <w:noBreakHyphen/>
      </w:r>
      <w:r w:rsidR="00312354" w:rsidRPr="007A436F">
        <w:t xml:space="preserve">up for the pack quantity is that percentage of the AEMP or PEMP for the pack quantity. </w:t>
      </w:r>
    </w:p>
    <w:p w:rsidR="00312354" w:rsidRPr="007A436F" w:rsidRDefault="001D442B" w:rsidP="000C47C4">
      <w:pPr>
        <w:pStyle w:val="ActHead5"/>
      </w:pPr>
      <w:bookmarkStart w:id="43" w:name="_Toc74311793"/>
      <w:r w:rsidRPr="007A436F">
        <w:rPr>
          <w:rStyle w:val="CharSectno"/>
        </w:rPr>
        <w:t>20</w:t>
      </w:r>
      <w:r w:rsidR="00AA11A0" w:rsidRPr="007A436F">
        <w:t xml:space="preserve">  </w:t>
      </w:r>
      <w:r w:rsidR="00312354" w:rsidRPr="007A436F">
        <w:t>Where quantity is less than a pack quantity</w:t>
      </w:r>
      <w:bookmarkEnd w:id="43"/>
      <w:r w:rsidR="00312354" w:rsidRPr="007A436F">
        <w:t xml:space="preserve"> </w:t>
      </w:r>
    </w:p>
    <w:p w:rsidR="00312354" w:rsidRPr="007A436F" w:rsidRDefault="00312354" w:rsidP="008075DC">
      <w:pPr>
        <w:tabs>
          <w:tab w:val="right" w:pos="851"/>
        </w:tabs>
        <w:ind w:left="993"/>
        <w:rPr>
          <w:szCs w:val="22"/>
        </w:rPr>
      </w:pPr>
      <w:r w:rsidRPr="007A436F">
        <w:rPr>
          <w:szCs w:val="22"/>
        </w:rPr>
        <w:t xml:space="preserve">If the quantity of a pharmaceutical benefit that is ordered and supplied is less than a pack quantity of the benefit (a </w:t>
      </w:r>
      <w:r w:rsidRPr="007A436F">
        <w:rPr>
          <w:b/>
          <w:szCs w:val="22"/>
        </w:rPr>
        <w:t>broken quantity</w:t>
      </w:r>
      <w:r w:rsidRPr="007A436F">
        <w:rPr>
          <w:szCs w:val="22"/>
        </w:rPr>
        <w:t>), the amount mentioned in subparagraph </w:t>
      </w:r>
      <w:r w:rsidR="00945955" w:rsidRPr="007A436F" w:rsidDel="00945955">
        <w:rPr>
          <w:szCs w:val="22"/>
        </w:rPr>
        <w:t xml:space="preserve"> </w:t>
      </w:r>
      <w:r w:rsidR="00945955" w:rsidRPr="007A436F">
        <w:rPr>
          <w:szCs w:val="22"/>
        </w:rPr>
        <w:t>18</w:t>
      </w:r>
      <w:r w:rsidR="00C46557" w:rsidRPr="007A436F">
        <w:rPr>
          <w:szCs w:val="22"/>
        </w:rPr>
        <w:t>(</w:t>
      </w:r>
      <w:r w:rsidRPr="007A436F">
        <w:rPr>
          <w:szCs w:val="22"/>
        </w:rPr>
        <w:t>1)(b)(i) and </w:t>
      </w:r>
      <w:r w:rsidR="00945955" w:rsidRPr="007A436F" w:rsidDel="00945955">
        <w:rPr>
          <w:szCs w:val="22"/>
        </w:rPr>
        <w:t xml:space="preserve"> </w:t>
      </w:r>
      <w:r w:rsidR="00945955" w:rsidRPr="007A436F">
        <w:rPr>
          <w:szCs w:val="22"/>
        </w:rPr>
        <w:t>18</w:t>
      </w:r>
      <w:r w:rsidRPr="007A436F">
        <w:rPr>
          <w:szCs w:val="22"/>
        </w:rPr>
        <w:t>(1)(c)(ii) is to be calculated by:</w:t>
      </w:r>
    </w:p>
    <w:p w:rsidR="00312354" w:rsidRPr="007A436F" w:rsidRDefault="00312354" w:rsidP="00AA34D2">
      <w:pPr>
        <w:pStyle w:val="paragraph"/>
      </w:pPr>
      <w:r w:rsidRPr="007A436F">
        <w:rPr>
          <w:szCs w:val="22"/>
        </w:rPr>
        <w:t xml:space="preserve"> </w:t>
      </w:r>
      <w:r w:rsidR="00AA34D2" w:rsidRPr="007A436F">
        <w:tab/>
      </w:r>
      <w:r w:rsidR="001571F4" w:rsidRPr="007A436F">
        <w:t>(a)</w:t>
      </w:r>
      <w:r w:rsidR="001571F4" w:rsidRPr="007A436F">
        <w:tab/>
      </w:r>
      <w:r w:rsidRPr="007A436F">
        <w:t>adding the mark</w:t>
      </w:r>
      <w:r w:rsidR="007A436F">
        <w:noBreakHyphen/>
      </w:r>
      <w:r w:rsidRPr="007A436F">
        <w:t>up mentioned in section</w:t>
      </w:r>
      <w:r w:rsidR="007A436F">
        <w:t> </w:t>
      </w:r>
      <w:r w:rsidR="00945955" w:rsidRPr="007A436F">
        <w:t>19</w:t>
      </w:r>
      <w:r w:rsidRPr="007A436F">
        <w:t xml:space="preserve"> to the approved ex</w:t>
      </w:r>
      <w:r w:rsidR="007A436F">
        <w:noBreakHyphen/>
      </w:r>
      <w:r w:rsidRPr="007A436F">
        <w:t>manufacturer price or the proportional ex</w:t>
      </w:r>
      <w:r w:rsidR="007A436F">
        <w:noBreakHyphen/>
      </w:r>
      <w:r w:rsidRPr="007A436F">
        <w:t>manufacturer price for the pack quantity, taking the result to the nearest cent, with one half cent being</w:t>
      </w:r>
      <w:r w:rsidR="00B8182E" w:rsidRPr="007A436F">
        <w:t xml:space="preserve"> rounded up to </w:t>
      </w:r>
      <w:r w:rsidRPr="007A436F">
        <w:t xml:space="preserve">1 cent; and </w:t>
      </w:r>
    </w:p>
    <w:p w:rsidR="00312354" w:rsidRPr="007A436F" w:rsidRDefault="00AA34D2" w:rsidP="00AA34D2">
      <w:pPr>
        <w:pStyle w:val="paragraph"/>
      </w:pPr>
      <w:r w:rsidRPr="007A436F">
        <w:tab/>
      </w:r>
      <w:r w:rsidR="001571F4" w:rsidRPr="007A436F">
        <w:t>(b)</w:t>
      </w:r>
      <w:r w:rsidR="001571F4" w:rsidRPr="007A436F">
        <w:tab/>
      </w:r>
      <w:r w:rsidR="00312354" w:rsidRPr="007A436F">
        <w:t xml:space="preserve">dividing the quantity or number of units in the broken quantity by the pack quantity, expressed as a percentage to 2 decimal places; and </w:t>
      </w:r>
    </w:p>
    <w:p w:rsidR="00312354" w:rsidRPr="007A436F" w:rsidRDefault="00AA34D2" w:rsidP="00AA34D2">
      <w:pPr>
        <w:pStyle w:val="paragraph"/>
      </w:pPr>
      <w:r w:rsidRPr="007A436F">
        <w:tab/>
      </w:r>
      <w:r w:rsidR="001571F4" w:rsidRPr="007A436F">
        <w:t>(c)</w:t>
      </w:r>
      <w:r w:rsidR="001571F4" w:rsidRPr="007A436F">
        <w:tab/>
      </w:r>
      <w:r w:rsidR="00312354" w:rsidRPr="007A436F">
        <w:t xml:space="preserve">applying the percentage worked out under </w:t>
      </w:r>
      <w:r w:rsidR="007A436F">
        <w:t>subparagraph (</w:t>
      </w:r>
      <w:r w:rsidR="00312354" w:rsidRPr="007A436F">
        <w:t xml:space="preserve">b) to the amount worked out under </w:t>
      </w:r>
      <w:r w:rsidR="007A436F">
        <w:t>subparagraph (</w:t>
      </w:r>
      <w:r w:rsidR="00312354" w:rsidRPr="007A436F">
        <w:t xml:space="preserve">a). </w:t>
      </w:r>
    </w:p>
    <w:p w:rsidR="00312354" w:rsidRPr="007A436F" w:rsidRDefault="001D442B" w:rsidP="000C47C4">
      <w:pPr>
        <w:pStyle w:val="ActHead5"/>
      </w:pPr>
      <w:bookmarkStart w:id="44" w:name="_Toc74311794"/>
      <w:r w:rsidRPr="007A436F">
        <w:rPr>
          <w:rStyle w:val="CharSectno"/>
        </w:rPr>
        <w:t>21</w:t>
      </w:r>
      <w:r w:rsidR="00AA11A0" w:rsidRPr="007A436F">
        <w:t xml:space="preserve">  </w:t>
      </w:r>
      <w:r w:rsidR="00312354" w:rsidRPr="007A436F">
        <w:t>Dispensing fee</w:t>
      </w:r>
      <w:bookmarkEnd w:id="44"/>
      <w:r w:rsidR="00312354" w:rsidRPr="007A436F">
        <w:t xml:space="preserve"> </w:t>
      </w:r>
    </w:p>
    <w:p w:rsidR="006E1B4A" w:rsidRPr="007A436F" w:rsidRDefault="00312354" w:rsidP="00312354">
      <w:pPr>
        <w:tabs>
          <w:tab w:val="right" w:pos="851"/>
        </w:tabs>
        <w:spacing w:before="180"/>
        <w:ind w:left="993"/>
        <w:rPr>
          <w:szCs w:val="22"/>
        </w:rPr>
      </w:pPr>
      <w:r w:rsidRPr="007A436F">
        <w:rPr>
          <w:szCs w:val="22"/>
        </w:rPr>
        <w:t>If an eligible medical practitioner, instead of directing a repeated supply of a pharmaceutical benefit, directs the supply on one occasion of a quantity or number of units of the drug, not exceeding the total quantity or number of units that could be prescribed if the eligible medical practitioner directed a repeated supply, the dispensed price for the supply of the pharmaceutical benefit will include only one dispensing fee.</w:t>
      </w:r>
    </w:p>
    <w:p w:rsidR="00312354" w:rsidRPr="007A436F" w:rsidRDefault="00312354" w:rsidP="0028070F">
      <w:pPr>
        <w:pStyle w:val="ActHead3"/>
        <w:pageBreakBefore/>
      </w:pPr>
      <w:bookmarkStart w:id="45" w:name="_Toc74311795"/>
      <w:r w:rsidRPr="007A436F">
        <w:rPr>
          <w:rStyle w:val="CharDivNo"/>
        </w:rPr>
        <w:lastRenderedPageBreak/>
        <w:t>Division</w:t>
      </w:r>
      <w:r w:rsidR="007A436F">
        <w:rPr>
          <w:rStyle w:val="CharDivNo"/>
        </w:rPr>
        <w:t> </w:t>
      </w:r>
      <w:r w:rsidRPr="007A436F">
        <w:rPr>
          <w:rStyle w:val="CharDivNo"/>
        </w:rPr>
        <w:t>3</w:t>
      </w:r>
      <w:r w:rsidR="002B398D" w:rsidRPr="007A436F">
        <w:t>—</w:t>
      </w:r>
      <w:r w:rsidRPr="007A436F">
        <w:rPr>
          <w:rStyle w:val="CharDivText"/>
        </w:rPr>
        <w:t>Dispensed price</w:t>
      </w:r>
      <w:r w:rsidR="004D324A" w:rsidRPr="007A436F">
        <w:rPr>
          <w:rStyle w:val="CharDivText"/>
        </w:rPr>
        <w:t>—</w:t>
      </w:r>
      <w:r w:rsidRPr="007A436F">
        <w:rPr>
          <w:rStyle w:val="CharDivText"/>
        </w:rPr>
        <w:t>Other matters</w:t>
      </w:r>
      <w:bookmarkEnd w:id="45"/>
      <w:r w:rsidRPr="007A436F">
        <w:rPr>
          <w:rStyle w:val="CharDivText"/>
        </w:rPr>
        <w:t xml:space="preserve"> </w:t>
      </w:r>
    </w:p>
    <w:p w:rsidR="00312354" w:rsidRPr="007A436F" w:rsidRDefault="001D442B" w:rsidP="000C47C4">
      <w:pPr>
        <w:pStyle w:val="ActHead5"/>
      </w:pPr>
      <w:bookmarkStart w:id="46" w:name="_Toc74311796"/>
      <w:r w:rsidRPr="007A436F">
        <w:rPr>
          <w:rStyle w:val="CharSectno"/>
        </w:rPr>
        <w:t>22</w:t>
      </w:r>
      <w:r w:rsidR="00AA11A0" w:rsidRPr="007A436F">
        <w:t xml:space="preserve">  </w:t>
      </w:r>
      <w:r w:rsidR="00312354" w:rsidRPr="007A436F">
        <w:t>Rounding up of dispensed price</w:t>
      </w:r>
      <w:bookmarkEnd w:id="46"/>
      <w:r w:rsidR="00312354" w:rsidRPr="007A436F">
        <w:t xml:space="preserve"> </w:t>
      </w:r>
    </w:p>
    <w:p w:rsidR="00312354" w:rsidRPr="007A436F" w:rsidRDefault="00312354" w:rsidP="00312354">
      <w:pPr>
        <w:tabs>
          <w:tab w:val="right" w:pos="851"/>
        </w:tabs>
        <w:spacing w:before="180"/>
        <w:ind w:left="993"/>
        <w:rPr>
          <w:szCs w:val="22"/>
        </w:rPr>
      </w:pPr>
      <w:r w:rsidRPr="007A436F">
        <w:rPr>
          <w:szCs w:val="22"/>
        </w:rPr>
        <w:t xml:space="preserve">The dispensed price for the supply of a pharmaceutical benefit will in each case be taken to the nearest cent, </w:t>
      </w:r>
      <w:r w:rsidR="00355D10" w:rsidRPr="007A436F">
        <w:rPr>
          <w:szCs w:val="22"/>
        </w:rPr>
        <w:t xml:space="preserve">with </w:t>
      </w:r>
      <w:r w:rsidRPr="007A436F">
        <w:rPr>
          <w:szCs w:val="22"/>
        </w:rPr>
        <w:t>one half cent being</w:t>
      </w:r>
      <w:r w:rsidR="00355D10" w:rsidRPr="007A436F">
        <w:rPr>
          <w:szCs w:val="22"/>
        </w:rPr>
        <w:t xml:space="preserve"> rounded up to</w:t>
      </w:r>
      <w:r w:rsidRPr="007A436F">
        <w:rPr>
          <w:szCs w:val="22"/>
        </w:rPr>
        <w:t xml:space="preserve"> 1 cent.  </w:t>
      </w:r>
    </w:p>
    <w:p w:rsidR="00312354" w:rsidRPr="007A436F" w:rsidRDefault="00312354" w:rsidP="003B1A5C">
      <w:pPr>
        <w:pStyle w:val="ActHead2"/>
        <w:pageBreakBefore/>
      </w:pPr>
      <w:bookmarkStart w:id="47" w:name="_Toc74311797"/>
      <w:r w:rsidRPr="007A436F">
        <w:rPr>
          <w:rStyle w:val="CharPartNo"/>
        </w:rPr>
        <w:lastRenderedPageBreak/>
        <w:t>P</w:t>
      </w:r>
      <w:r w:rsidR="000C47C4" w:rsidRPr="007A436F">
        <w:rPr>
          <w:rStyle w:val="CharPartNo"/>
        </w:rPr>
        <w:t>art</w:t>
      </w:r>
      <w:r w:rsidR="007A436F">
        <w:rPr>
          <w:rStyle w:val="CharPartNo"/>
        </w:rPr>
        <w:t> </w:t>
      </w:r>
      <w:r w:rsidR="000C47C4" w:rsidRPr="007A436F">
        <w:rPr>
          <w:rStyle w:val="CharPartNo"/>
        </w:rPr>
        <w:t>6</w:t>
      </w:r>
      <w:r w:rsidR="003B610F" w:rsidRPr="007A436F">
        <w:t>—</w:t>
      </w:r>
      <w:r w:rsidRPr="007A436F">
        <w:rPr>
          <w:rStyle w:val="CharPartText"/>
        </w:rPr>
        <w:t>Patient contributions</w:t>
      </w:r>
      <w:bookmarkEnd w:id="47"/>
    </w:p>
    <w:p w:rsidR="00FB6636" w:rsidRPr="007A436F" w:rsidRDefault="00FB6636" w:rsidP="00FB6636">
      <w:pPr>
        <w:pStyle w:val="Header"/>
      </w:pPr>
      <w:r w:rsidRPr="007A436F">
        <w:rPr>
          <w:rStyle w:val="CharDivNo"/>
        </w:rPr>
        <w:t xml:space="preserve"> </w:t>
      </w:r>
      <w:r w:rsidRPr="007A436F">
        <w:rPr>
          <w:rStyle w:val="CharDivText"/>
        </w:rPr>
        <w:t xml:space="preserve"> </w:t>
      </w:r>
    </w:p>
    <w:p w:rsidR="00312354" w:rsidRPr="007A436F" w:rsidRDefault="001D442B" w:rsidP="000C47C4">
      <w:pPr>
        <w:pStyle w:val="ActHead5"/>
      </w:pPr>
      <w:bookmarkStart w:id="48" w:name="_Toc74311798"/>
      <w:r w:rsidRPr="007A436F">
        <w:rPr>
          <w:rStyle w:val="CharSectno"/>
        </w:rPr>
        <w:t>23</w:t>
      </w:r>
      <w:r w:rsidR="007A5452" w:rsidRPr="007A436F">
        <w:t xml:space="preserve">  P</w:t>
      </w:r>
      <w:r w:rsidR="00312354" w:rsidRPr="007A436F">
        <w:t>atient contributions</w:t>
      </w:r>
      <w:bookmarkEnd w:id="48"/>
      <w:r w:rsidR="00312354" w:rsidRPr="007A436F">
        <w:t xml:space="preserve"> </w:t>
      </w:r>
    </w:p>
    <w:p w:rsidR="00312354" w:rsidRPr="007A436F" w:rsidRDefault="001571F4" w:rsidP="001571F4">
      <w:pPr>
        <w:tabs>
          <w:tab w:val="left" w:pos="709"/>
          <w:tab w:val="right" w:pos="1134"/>
        </w:tabs>
        <w:spacing w:before="180"/>
        <w:ind w:left="1110" w:hanging="360"/>
        <w:rPr>
          <w:b/>
          <w:szCs w:val="22"/>
        </w:rPr>
      </w:pPr>
      <w:r w:rsidRPr="007A436F">
        <w:rPr>
          <w:rFonts w:eastAsia="Times New Roman" w:cs="Times New Roman"/>
          <w:szCs w:val="22"/>
          <w:lang w:eastAsia="en-AU"/>
        </w:rPr>
        <w:t>(1)</w:t>
      </w:r>
      <w:r w:rsidRPr="007A436F">
        <w:rPr>
          <w:rFonts w:eastAsia="Times New Roman" w:cs="Times New Roman"/>
          <w:szCs w:val="22"/>
          <w:lang w:eastAsia="en-AU"/>
        </w:rPr>
        <w:tab/>
      </w:r>
      <w:r w:rsidR="00312354" w:rsidRPr="007A436F">
        <w:rPr>
          <w:szCs w:val="22"/>
        </w:rPr>
        <w:t xml:space="preserve">This section applies if an approved pharmacist, an approved medical practitioner, or an approved hospital authority for a public hospital or a private hospital supplies a pharmaceutical benefit to a patient and makes a claim for payment. </w:t>
      </w:r>
    </w:p>
    <w:p w:rsidR="0044599F" w:rsidRPr="007A436F" w:rsidRDefault="001571F4" w:rsidP="001571F4">
      <w:pPr>
        <w:tabs>
          <w:tab w:val="left" w:pos="709"/>
          <w:tab w:val="right" w:pos="1134"/>
        </w:tabs>
        <w:spacing w:before="180"/>
        <w:ind w:left="1110" w:hanging="360"/>
        <w:rPr>
          <w:b/>
          <w:szCs w:val="22"/>
        </w:rPr>
      </w:pPr>
      <w:r w:rsidRPr="007A436F">
        <w:rPr>
          <w:rFonts w:eastAsia="Times New Roman" w:cs="Times New Roman"/>
          <w:szCs w:val="22"/>
          <w:lang w:eastAsia="en-AU"/>
        </w:rPr>
        <w:t>(2)</w:t>
      </w:r>
      <w:r w:rsidRPr="007A436F">
        <w:rPr>
          <w:rFonts w:eastAsia="Times New Roman" w:cs="Times New Roman"/>
          <w:szCs w:val="22"/>
          <w:lang w:eastAsia="en-AU"/>
        </w:rPr>
        <w:tab/>
      </w:r>
      <w:r w:rsidR="00312354" w:rsidRPr="007A436F">
        <w:rPr>
          <w:szCs w:val="22"/>
        </w:rPr>
        <w:t>The</w:t>
      </w:r>
      <w:r w:rsidR="00287CA9" w:rsidRPr="007A436F">
        <w:rPr>
          <w:szCs w:val="22"/>
        </w:rPr>
        <w:t xml:space="preserve"> </w:t>
      </w:r>
      <w:r w:rsidR="00287CA9" w:rsidRPr="007A436F">
        <w:t>approved pharmacist, approved medical practitioner or</w:t>
      </w:r>
      <w:r w:rsidR="00312354" w:rsidRPr="007A436F">
        <w:rPr>
          <w:szCs w:val="22"/>
        </w:rPr>
        <w:t xml:space="preserve"> approved hospital authority may charge the patient an amount equivalent to the amount that may be charged under section</w:t>
      </w:r>
      <w:r w:rsidR="007A436F">
        <w:rPr>
          <w:szCs w:val="22"/>
        </w:rPr>
        <w:t> </w:t>
      </w:r>
      <w:r w:rsidR="00312354" w:rsidRPr="007A436F">
        <w:rPr>
          <w:szCs w:val="22"/>
        </w:rPr>
        <w:t>87 of the Act for the supply of a pharmaceutical benefit to the patient.</w:t>
      </w:r>
    </w:p>
    <w:p w:rsidR="00CA0744" w:rsidRPr="007A436F" w:rsidRDefault="00CA0744" w:rsidP="00E916D2">
      <w:pPr>
        <w:pStyle w:val="ActHead2"/>
        <w:pageBreakBefore/>
      </w:pPr>
      <w:bookmarkStart w:id="49" w:name="_Toc74311799"/>
      <w:r w:rsidRPr="007A436F">
        <w:rPr>
          <w:rStyle w:val="CharPartNo"/>
        </w:rPr>
        <w:lastRenderedPageBreak/>
        <w:t>Part</w:t>
      </w:r>
      <w:r w:rsidR="007A436F">
        <w:rPr>
          <w:rStyle w:val="CharPartNo"/>
        </w:rPr>
        <w:t> </w:t>
      </w:r>
      <w:r w:rsidRPr="007A436F">
        <w:rPr>
          <w:rStyle w:val="CharPartNo"/>
        </w:rPr>
        <w:t>7</w:t>
      </w:r>
      <w:r w:rsidR="003B1A5C" w:rsidRPr="007A436F">
        <w:t>—</w:t>
      </w:r>
      <w:r w:rsidR="007A1FE4" w:rsidRPr="007A436F">
        <w:rPr>
          <w:rStyle w:val="CharPartText"/>
        </w:rPr>
        <w:t>A</w:t>
      </w:r>
      <w:r w:rsidRPr="007A436F">
        <w:rPr>
          <w:rStyle w:val="CharPartText"/>
        </w:rPr>
        <w:t>pproved Hospital Authorities</w:t>
      </w:r>
      <w:bookmarkEnd w:id="49"/>
    </w:p>
    <w:p w:rsidR="003B1A5C" w:rsidRPr="007A436F" w:rsidRDefault="003B1A5C" w:rsidP="003B1A5C">
      <w:pPr>
        <w:pStyle w:val="Header"/>
      </w:pPr>
      <w:r w:rsidRPr="007A436F">
        <w:rPr>
          <w:rStyle w:val="CharDivNo"/>
        </w:rPr>
        <w:t xml:space="preserve"> </w:t>
      </w:r>
      <w:r w:rsidRPr="007A436F">
        <w:rPr>
          <w:rStyle w:val="CharDivText"/>
        </w:rPr>
        <w:t xml:space="preserve"> </w:t>
      </w:r>
    </w:p>
    <w:p w:rsidR="00CA0744" w:rsidRPr="007A436F" w:rsidRDefault="00CA0744" w:rsidP="00CA0744">
      <w:pPr>
        <w:pStyle w:val="ActHead5"/>
      </w:pPr>
      <w:bookmarkStart w:id="50" w:name="_Hlk74131091"/>
      <w:bookmarkStart w:id="51" w:name="_Toc74311800"/>
      <w:r w:rsidRPr="007A436F">
        <w:rPr>
          <w:rStyle w:val="CharSectno"/>
        </w:rPr>
        <w:t>24</w:t>
      </w:r>
      <w:r w:rsidRPr="007A436F">
        <w:t xml:space="preserve">  Modified application of section</w:t>
      </w:r>
      <w:r w:rsidR="007A436F">
        <w:t> </w:t>
      </w:r>
      <w:r w:rsidRPr="007A436F">
        <w:t>94 approved hospital authorities</w:t>
      </w:r>
      <w:bookmarkEnd w:id="51"/>
      <w:r w:rsidRPr="007A436F">
        <w:t xml:space="preserve"> </w:t>
      </w:r>
    </w:p>
    <w:p w:rsidR="00F17598" w:rsidRPr="007A436F" w:rsidRDefault="001571F4" w:rsidP="001571F4">
      <w:pPr>
        <w:tabs>
          <w:tab w:val="left" w:pos="709"/>
          <w:tab w:val="right" w:pos="1134"/>
        </w:tabs>
        <w:spacing w:before="180"/>
        <w:ind w:left="1110" w:hanging="360"/>
        <w:rPr>
          <w:b/>
          <w:szCs w:val="22"/>
        </w:rPr>
      </w:pPr>
      <w:r w:rsidRPr="007A436F">
        <w:rPr>
          <w:rFonts w:eastAsia="Times New Roman" w:cs="Times New Roman"/>
          <w:szCs w:val="22"/>
          <w:lang w:eastAsia="en-AU"/>
        </w:rPr>
        <w:t>(1)</w:t>
      </w:r>
      <w:r w:rsidRPr="007A436F">
        <w:rPr>
          <w:rFonts w:eastAsia="Times New Roman" w:cs="Times New Roman"/>
          <w:szCs w:val="22"/>
          <w:lang w:eastAsia="en-AU"/>
        </w:rPr>
        <w:tab/>
      </w:r>
      <w:r w:rsidR="00F17598" w:rsidRPr="007A436F">
        <w:rPr>
          <w:szCs w:val="22"/>
        </w:rPr>
        <w:t>Section</w:t>
      </w:r>
      <w:r w:rsidR="007A436F">
        <w:rPr>
          <w:szCs w:val="22"/>
        </w:rPr>
        <w:t> </w:t>
      </w:r>
      <w:r w:rsidR="00F17598" w:rsidRPr="007A436F">
        <w:rPr>
          <w:szCs w:val="22"/>
        </w:rPr>
        <w:t xml:space="preserve">94 of the Act applies in a modified manner to pharmaceutical benefits supplied under this Special Arrangement. </w:t>
      </w:r>
    </w:p>
    <w:p w:rsidR="00F17598" w:rsidRPr="007A436F" w:rsidRDefault="001571F4" w:rsidP="001571F4">
      <w:pPr>
        <w:tabs>
          <w:tab w:val="left" w:pos="709"/>
          <w:tab w:val="right" w:pos="1134"/>
        </w:tabs>
        <w:spacing w:before="180"/>
        <w:ind w:left="1110" w:hanging="360"/>
        <w:rPr>
          <w:b/>
          <w:szCs w:val="22"/>
        </w:rPr>
      </w:pPr>
      <w:r w:rsidRPr="007A436F">
        <w:rPr>
          <w:rFonts w:eastAsia="Times New Roman" w:cs="Times New Roman"/>
          <w:szCs w:val="22"/>
          <w:lang w:eastAsia="en-AU"/>
        </w:rPr>
        <w:t>(2)</w:t>
      </w:r>
      <w:r w:rsidRPr="007A436F">
        <w:rPr>
          <w:rFonts w:eastAsia="Times New Roman" w:cs="Times New Roman"/>
          <w:szCs w:val="22"/>
          <w:lang w:eastAsia="en-AU"/>
        </w:rPr>
        <w:tab/>
      </w:r>
      <w:r w:rsidR="00F17598" w:rsidRPr="007A436F">
        <w:rPr>
          <w:szCs w:val="22"/>
        </w:rPr>
        <w:t>An approved hospital authority may supply pharmaceutical benefits</w:t>
      </w:r>
      <w:r w:rsidR="00C66243" w:rsidRPr="007A436F">
        <w:rPr>
          <w:szCs w:val="22"/>
        </w:rPr>
        <w:t xml:space="preserve"> that are</w:t>
      </w:r>
      <w:r w:rsidR="00D94249" w:rsidRPr="007A436F">
        <w:rPr>
          <w:szCs w:val="22"/>
        </w:rPr>
        <w:t xml:space="preserve"> subject to this Special Arrangement</w:t>
      </w:r>
      <w:r w:rsidR="00F17598" w:rsidRPr="007A436F">
        <w:rPr>
          <w:szCs w:val="22"/>
        </w:rPr>
        <w:t xml:space="preserve"> to patients receiving treatment in or </w:t>
      </w:r>
      <w:r w:rsidR="00D94249" w:rsidRPr="007A436F">
        <w:rPr>
          <w:szCs w:val="22"/>
        </w:rPr>
        <w:t>at the hospital of which it is the governing body or proprietor</w:t>
      </w:r>
      <w:r w:rsidR="00C66243" w:rsidRPr="007A436F">
        <w:rPr>
          <w:szCs w:val="22"/>
        </w:rPr>
        <w:t>,</w:t>
      </w:r>
      <w:r w:rsidR="00F17598" w:rsidRPr="007A436F">
        <w:rPr>
          <w:szCs w:val="22"/>
        </w:rPr>
        <w:t xml:space="preserve"> or outside of the </w:t>
      </w:r>
      <w:r w:rsidR="00D94249" w:rsidRPr="007A436F">
        <w:rPr>
          <w:szCs w:val="22"/>
        </w:rPr>
        <w:t>hospital of which it is the governing body or proprietor</w:t>
      </w:r>
      <w:r w:rsidR="00F17598" w:rsidRPr="007A436F">
        <w:rPr>
          <w:szCs w:val="22"/>
        </w:rPr>
        <w:t>.</w:t>
      </w:r>
      <w:bookmarkEnd w:id="50"/>
      <w:r w:rsidR="00F17598" w:rsidRPr="007A436F">
        <w:rPr>
          <w:szCs w:val="22"/>
        </w:rPr>
        <w:t xml:space="preserve"> </w:t>
      </w:r>
    </w:p>
    <w:p w:rsidR="00E916D2" w:rsidRPr="007A436F" w:rsidRDefault="00E916D2" w:rsidP="001571F4">
      <w:pPr>
        <w:sectPr w:rsidR="00E916D2" w:rsidRPr="007A436F" w:rsidSect="00864B3F">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bookmarkStart w:id="52" w:name="OPCSB_BodyPrincipleA4"/>
    </w:p>
    <w:p w:rsidR="0096000F" w:rsidRPr="007A436F" w:rsidRDefault="00BB362B" w:rsidP="00A12213">
      <w:pPr>
        <w:pStyle w:val="ActHead1"/>
        <w:ind w:left="2127" w:hanging="2127"/>
      </w:pPr>
      <w:bookmarkStart w:id="53" w:name="_Toc74311801"/>
      <w:bookmarkEnd w:id="52"/>
      <w:r w:rsidRPr="007A436F">
        <w:rPr>
          <w:rStyle w:val="CharChapNo"/>
        </w:rPr>
        <w:lastRenderedPageBreak/>
        <w:t>Schedule</w:t>
      </w:r>
      <w:r w:rsidR="007A436F">
        <w:rPr>
          <w:rStyle w:val="CharChapNo"/>
        </w:rPr>
        <w:t> </w:t>
      </w:r>
      <w:r w:rsidR="0096000F" w:rsidRPr="007A436F">
        <w:rPr>
          <w:rStyle w:val="CharChapNo"/>
        </w:rPr>
        <w:t>1</w:t>
      </w:r>
      <w:r w:rsidRPr="007A436F">
        <w:t>—</w:t>
      </w:r>
      <w:r w:rsidR="0096000F" w:rsidRPr="007A436F">
        <w:rPr>
          <w:rStyle w:val="CharChapText"/>
        </w:rPr>
        <w:t>Pharmaceutical benefits covered by this Special Arrangement and related information</w:t>
      </w:r>
      <w:bookmarkEnd w:id="53"/>
    </w:p>
    <w:p w:rsidR="00287CA9" w:rsidRPr="007A436F" w:rsidRDefault="00287CA9" w:rsidP="00287CA9">
      <w:pPr>
        <w:pStyle w:val="notemargin"/>
      </w:pPr>
      <w:r w:rsidRPr="007A436F">
        <w:t>Note:</w:t>
      </w:r>
      <w:r w:rsidRPr="007A436F">
        <w:tab/>
        <w:t>See sections</w:t>
      </w:r>
      <w:r w:rsidR="007A436F">
        <w:t> </w:t>
      </w:r>
      <w:r w:rsidRPr="007A436F">
        <w:t>5, 7, 7A and 9AA.</w:t>
      </w:r>
    </w:p>
    <w:p w:rsidR="00287CA9" w:rsidRPr="007A436F" w:rsidRDefault="00287CA9" w:rsidP="00287CA9">
      <w:pPr>
        <w:pStyle w:val="ActHead2"/>
      </w:pPr>
      <w:bookmarkStart w:id="54" w:name="_Toc74311802"/>
      <w:r w:rsidRPr="007A436F">
        <w:rPr>
          <w:rStyle w:val="CharPartNo"/>
        </w:rPr>
        <w:t>Part</w:t>
      </w:r>
      <w:r w:rsidR="007A436F">
        <w:rPr>
          <w:rStyle w:val="CharPartNo"/>
        </w:rPr>
        <w:t> </w:t>
      </w:r>
      <w:r w:rsidRPr="007A436F">
        <w:rPr>
          <w:rStyle w:val="CharPartNo"/>
        </w:rPr>
        <w:t>1</w:t>
      </w:r>
      <w:r w:rsidRPr="007A436F">
        <w:t>—</w:t>
      </w:r>
      <w:r w:rsidRPr="007A436F">
        <w:rPr>
          <w:rStyle w:val="CharPartText"/>
        </w:rPr>
        <w:t>Pharmaceutical benefits for treatment of children</w:t>
      </w:r>
      <w:bookmarkEnd w:id="54"/>
    </w:p>
    <w:p w:rsidR="00287CA9" w:rsidRPr="007A436F" w:rsidRDefault="00287CA9" w:rsidP="00287CA9">
      <w:pPr>
        <w:pStyle w:val="Header"/>
      </w:pPr>
      <w:r w:rsidRPr="007A436F">
        <w:rPr>
          <w:rStyle w:val="CharDivNo"/>
        </w:rPr>
        <w:t xml:space="preserve"> </w:t>
      </w:r>
      <w:r w:rsidRPr="007A436F">
        <w:rPr>
          <w:rStyle w:val="CharDivText"/>
        </w:rPr>
        <w:t xml:space="preserve"> </w:t>
      </w:r>
    </w:p>
    <w:p w:rsidR="0096000F" w:rsidRPr="007A436F" w:rsidRDefault="0096000F" w:rsidP="00780B03"/>
    <w:tbl>
      <w:tblPr>
        <w:tblW w:w="5000" w:type="pct"/>
        <w:tblBorders>
          <w:bottom w:val="single" w:sz="4" w:space="0" w:color="auto"/>
        </w:tblBorders>
        <w:tblLook w:val="0000" w:firstRow="0" w:lastRow="0" w:firstColumn="0" w:lastColumn="0" w:noHBand="0" w:noVBand="0"/>
      </w:tblPr>
      <w:tblGrid>
        <w:gridCol w:w="2155"/>
        <w:gridCol w:w="4658"/>
        <w:gridCol w:w="2216"/>
        <w:gridCol w:w="2216"/>
        <w:gridCol w:w="2216"/>
      </w:tblGrid>
      <w:tr w:rsidR="00A12213" w:rsidRPr="007A436F" w:rsidTr="00A83EC2">
        <w:trPr>
          <w:cantSplit/>
          <w:trHeight w:val="657"/>
          <w:tblHeader/>
        </w:trPr>
        <w:tc>
          <w:tcPr>
            <w:tcW w:w="800" w:type="pct"/>
            <w:tcBorders>
              <w:top w:val="single" w:sz="12" w:space="0" w:color="auto"/>
              <w:bottom w:val="single" w:sz="12" w:space="0" w:color="auto"/>
            </w:tcBorders>
          </w:tcPr>
          <w:p w:rsidR="00A12213" w:rsidRPr="007A436F" w:rsidRDefault="00A12213" w:rsidP="00780B03">
            <w:pPr>
              <w:pStyle w:val="TableColHead"/>
            </w:pPr>
            <w:r w:rsidRPr="007A436F">
              <w:t>Listed Drug</w:t>
            </w:r>
          </w:p>
        </w:tc>
        <w:tc>
          <w:tcPr>
            <w:tcW w:w="1730" w:type="pct"/>
            <w:tcBorders>
              <w:top w:val="single" w:sz="12" w:space="0" w:color="auto"/>
              <w:bottom w:val="single" w:sz="12" w:space="0" w:color="auto"/>
            </w:tcBorders>
          </w:tcPr>
          <w:p w:rsidR="00A12213" w:rsidRPr="007A436F" w:rsidRDefault="00A12213" w:rsidP="00780B03">
            <w:pPr>
              <w:pStyle w:val="TableColHead"/>
            </w:pPr>
            <w:r w:rsidRPr="007A436F">
              <w:t xml:space="preserve">Form </w:t>
            </w:r>
          </w:p>
        </w:tc>
        <w:tc>
          <w:tcPr>
            <w:tcW w:w="823" w:type="pct"/>
            <w:tcBorders>
              <w:top w:val="single" w:sz="12" w:space="0" w:color="auto"/>
              <w:bottom w:val="single" w:sz="12" w:space="0" w:color="auto"/>
            </w:tcBorders>
          </w:tcPr>
          <w:p w:rsidR="00A12213" w:rsidRPr="007A436F" w:rsidRDefault="00A12213" w:rsidP="00780B03">
            <w:pPr>
              <w:pStyle w:val="TableColHead"/>
            </w:pPr>
            <w:r w:rsidRPr="007A436F">
              <w:t>Manner of Administration</w:t>
            </w:r>
          </w:p>
        </w:tc>
        <w:tc>
          <w:tcPr>
            <w:tcW w:w="823" w:type="pct"/>
            <w:tcBorders>
              <w:top w:val="single" w:sz="12" w:space="0" w:color="auto"/>
              <w:bottom w:val="single" w:sz="12" w:space="0" w:color="auto"/>
            </w:tcBorders>
          </w:tcPr>
          <w:p w:rsidR="00A12213" w:rsidRPr="007A436F" w:rsidRDefault="00A12213" w:rsidP="00780B03">
            <w:pPr>
              <w:pStyle w:val="TableColHead"/>
            </w:pPr>
            <w:r w:rsidRPr="007A436F">
              <w:t>Brand</w:t>
            </w:r>
          </w:p>
        </w:tc>
        <w:tc>
          <w:tcPr>
            <w:tcW w:w="823" w:type="pct"/>
            <w:tcBorders>
              <w:top w:val="single" w:sz="12" w:space="0" w:color="auto"/>
              <w:bottom w:val="single" w:sz="12" w:space="0" w:color="auto"/>
            </w:tcBorders>
          </w:tcPr>
          <w:p w:rsidR="00A12213" w:rsidRPr="007A436F" w:rsidRDefault="00A12213" w:rsidP="00780B03">
            <w:pPr>
              <w:pStyle w:val="TableColHead"/>
            </w:pPr>
            <w:r w:rsidRPr="007A436F">
              <w:t>Section</w:t>
            </w:r>
            <w:r w:rsidR="007A436F">
              <w:t> </w:t>
            </w:r>
            <w:r w:rsidRPr="007A436F">
              <w:t>100 only</w:t>
            </w:r>
          </w:p>
        </w:tc>
      </w:tr>
      <w:tr w:rsidR="00D501CE" w:rsidRPr="007A436F" w:rsidTr="00A83EC2">
        <w:trPr>
          <w:cantSplit/>
        </w:trPr>
        <w:tc>
          <w:tcPr>
            <w:tcW w:w="800" w:type="pct"/>
            <w:tcBorders>
              <w:bottom w:val="nil"/>
            </w:tcBorders>
          </w:tcPr>
          <w:p w:rsidR="00D501CE" w:rsidRPr="007A436F" w:rsidRDefault="004520C3" w:rsidP="00780B03">
            <w:pPr>
              <w:pStyle w:val="TableText0"/>
              <w:rPr>
                <w:sz w:val="20"/>
                <w:szCs w:val="20"/>
              </w:rPr>
            </w:pPr>
            <w:r w:rsidRPr="007A436F">
              <w:rPr>
                <w:sz w:val="20"/>
                <w:szCs w:val="20"/>
              </w:rPr>
              <w:t>Somatropin</w:t>
            </w:r>
          </w:p>
        </w:tc>
        <w:tc>
          <w:tcPr>
            <w:tcW w:w="1730" w:type="pct"/>
            <w:tcBorders>
              <w:bottom w:val="nil"/>
            </w:tcBorders>
          </w:tcPr>
          <w:p w:rsidR="00D501CE" w:rsidRPr="007A436F" w:rsidRDefault="004520C3" w:rsidP="00780B03">
            <w:pPr>
              <w:pStyle w:val="TableText0"/>
              <w:rPr>
                <w:sz w:val="20"/>
                <w:szCs w:val="20"/>
              </w:rPr>
            </w:pPr>
            <w:r w:rsidRPr="007A436F">
              <w:rPr>
                <w:sz w:val="20"/>
                <w:szCs w:val="20"/>
              </w:rPr>
              <w:t>Injection 0.4 mg (1.2 i.u.) with diluent in single use syringe (without preservative)</w:t>
            </w:r>
          </w:p>
        </w:tc>
        <w:tc>
          <w:tcPr>
            <w:tcW w:w="823" w:type="pct"/>
            <w:tcBorders>
              <w:bottom w:val="nil"/>
            </w:tcBorders>
          </w:tcPr>
          <w:p w:rsidR="00D501CE"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D501CE" w:rsidRPr="007A436F" w:rsidRDefault="004520C3" w:rsidP="00780B03">
            <w:pPr>
              <w:pStyle w:val="TableText0"/>
              <w:rPr>
                <w:sz w:val="20"/>
                <w:szCs w:val="20"/>
              </w:rPr>
            </w:pPr>
            <w:r w:rsidRPr="007A436F">
              <w:rPr>
                <w:sz w:val="20"/>
                <w:szCs w:val="20"/>
              </w:rPr>
              <w:t>Genotropin MiniQuick</w:t>
            </w:r>
          </w:p>
        </w:tc>
        <w:tc>
          <w:tcPr>
            <w:tcW w:w="823" w:type="pct"/>
            <w:tcBorders>
              <w:bottom w:val="nil"/>
            </w:tcBorders>
          </w:tcPr>
          <w:p w:rsidR="00D501CE"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rFonts w:ascii="Arial" w:hAnsi="Arial" w:cs="Arial"/>
                <w:sz w:val="16"/>
                <w:szCs w:val="16"/>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0.6 mg (1.8 i.u.) with diluent in single use syringe (without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Genotropin MiniQuick</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0.8 mg (2.4 i.u.) with diluent in single use syringe (without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Genotropin MiniQuick</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1 mg (3 i.u.) with diluent in single use syringe (without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Genotropin MiniQuick</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1.2 mg (3.6 i.u.) with diluent in single use syringe (without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Genotropin MiniQuick</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1.4 mg (4.2 i.u.) with diluent in single use syringe (without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Genotropin MiniQuick</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1.6 mg (4.8 i.u.) with diluent in single use syringe (without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Genotropin MiniQuick</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1.8 mg (5.4 i.u.) with diluent in single use syringe (without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Genotropin MiniQuick</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2 mg (6 i.u.) with diluent in single use syringe (without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Genotropin MiniQuick</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18 i.u. (6 mg) cartridge with 3.15 mL diluent (with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Humatrope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36 i.u. (12 mg) cartridge with 3.15 mL diluent (with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Humatrope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Injection 72 i.u. (24 mg) cartridge with 3.15 mL diluent (with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Humatrope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Powder for injection 5 mg (15 i.u.) with diluent in pre</w:t>
            </w:r>
            <w:r w:rsidR="007A436F">
              <w:rPr>
                <w:sz w:val="20"/>
                <w:szCs w:val="20"/>
              </w:rPr>
              <w:noBreakHyphen/>
            </w:r>
            <w:r w:rsidRPr="007A436F">
              <w:rPr>
                <w:sz w:val="20"/>
                <w:szCs w:val="20"/>
              </w:rPr>
              <w:t>filled pen (with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357300">
            <w:pPr>
              <w:pStyle w:val="TableText0"/>
              <w:rPr>
                <w:sz w:val="20"/>
                <w:szCs w:val="20"/>
              </w:rPr>
            </w:pPr>
            <w:r w:rsidRPr="007A436F">
              <w:rPr>
                <w:sz w:val="20"/>
                <w:szCs w:val="20"/>
              </w:rPr>
              <w:t>Genotropin</w:t>
            </w:r>
          </w:p>
          <w:p w:rsidR="004520C3" w:rsidRPr="007A436F" w:rsidRDefault="004520C3" w:rsidP="00780B03">
            <w:pPr>
              <w:pStyle w:val="TableText0"/>
              <w:rPr>
                <w:sz w:val="20"/>
                <w:szCs w:val="20"/>
              </w:rPr>
            </w:pPr>
            <w:r w:rsidRPr="007A436F">
              <w:rPr>
                <w:sz w:val="20"/>
                <w:szCs w:val="20"/>
              </w:rPr>
              <w:t xml:space="preserve">GoQuick </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4520C3" w:rsidRPr="007A436F" w:rsidTr="00A83EC2">
        <w:trPr>
          <w:cantSplit/>
        </w:trPr>
        <w:tc>
          <w:tcPr>
            <w:tcW w:w="800" w:type="pct"/>
            <w:tcBorders>
              <w:bottom w:val="nil"/>
            </w:tcBorders>
          </w:tcPr>
          <w:p w:rsidR="004520C3" w:rsidRPr="007A436F" w:rsidRDefault="004520C3" w:rsidP="00780B03">
            <w:pPr>
              <w:pStyle w:val="TableText0"/>
              <w:rPr>
                <w:sz w:val="20"/>
                <w:szCs w:val="20"/>
              </w:rPr>
            </w:pPr>
          </w:p>
        </w:tc>
        <w:tc>
          <w:tcPr>
            <w:tcW w:w="1730" w:type="pct"/>
            <w:tcBorders>
              <w:bottom w:val="nil"/>
            </w:tcBorders>
          </w:tcPr>
          <w:p w:rsidR="004520C3" w:rsidRPr="007A436F" w:rsidRDefault="004520C3" w:rsidP="00780B03">
            <w:pPr>
              <w:pStyle w:val="TableText0"/>
              <w:rPr>
                <w:sz w:val="20"/>
                <w:szCs w:val="20"/>
              </w:rPr>
            </w:pPr>
            <w:r w:rsidRPr="007A436F">
              <w:rPr>
                <w:sz w:val="20"/>
                <w:szCs w:val="20"/>
              </w:rPr>
              <w:t>Powder for injection 12 mg (36 i.u.) with diluent in pre</w:t>
            </w:r>
            <w:r w:rsidR="007A436F">
              <w:rPr>
                <w:sz w:val="20"/>
                <w:szCs w:val="20"/>
              </w:rPr>
              <w:noBreakHyphen/>
            </w:r>
            <w:r w:rsidRPr="007A436F">
              <w:rPr>
                <w:sz w:val="20"/>
                <w:szCs w:val="20"/>
              </w:rPr>
              <w:t>filled pen (with preservative)</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Injection</w:t>
            </w:r>
          </w:p>
        </w:tc>
        <w:tc>
          <w:tcPr>
            <w:tcW w:w="823" w:type="pct"/>
            <w:tcBorders>
              <w:bottom w:val="nil"/>
            </w:tcBorders>
          </w:tcPr>
          <w:p w:rsidR="004520C3" w:rsidRPr="007A436F" w:rsidRDefault="004520C3" w:rsidP="00357300">
            <w:pPr>
              <w:pStyle w:val="TableText0"/>
              <w:rPr>
                <w:sz w:val="20"/>
                <w:szCs w:val="20"/>
              </w:rPr>
            </w:pPr>
            <w:r w:rsidRPr="007A436F">
              <w:rPr>
                <w:sz w:val="20"/>
                <w:szCs w:val="20"/>
              </w:rPr>
              <w:t>Genotropin</w:t>
            </w:r>
          </w:p>
          <w:p w:rsidR="004520C3" w:rsidRPr="007A436F" w:rsidRDefault="004520C3" w:rsidP="00357300">
            <w:pPr>
              <w:pStyle w:val="TableText0"/>
              <w:rPr>
                <w:sz w:val="20"/>
                <w:szCs w:val="20"/>
              </w:rPr>
            </w:pPr>
            <w:r w:rsidRPr="007A436F">
              <w:rPr>
                <w:sz w:val="20"/>
                <w:szCs w:val="20"/>
              </w:rPr>
              <w:t>GoQuick</w:t>
            </w:r>
          </w:p>
        </w:tc>
        <w:tc>
          <w:tcPr>
            <w:tcW w:w="823" w:type="pct"/>
            <w:tcBorders>
              <w:bottom w:val="nil"/>
            </w:tcBorders>
          </w:tcPr>
          <w:p w:rsidR="004520C3" w:rsidRPr="007A436F" w:rsidRDefault="004520C3" w:rsidP="00780B03">
            <w:pPr>
              <w:pStyle w:val="TableText0"/>
              <w:rPr>
                <w:sz w:val="20"/>
                <w:szCs w:val="20"/>
              </w:rPr>
            </w:pPr>
            <w:r w:rsidRPr="007A436F">
              <w:rPr>
                <w:sz w:val="20"/>
                <w:szCs w:val="20"/>
              </w:rPr>
              <w:t>D(100)</w:t>
            </w:r>
          </w:p>
        </w:tc>
      </w:tr>
      <w:tr w:rsidR="00B07C09" w:rsidRPr="007A436F" w:rsidDel="0094413D" w:rsidTr="00A83EC2">
        <w:trPr>
          <w:cantSplit/>
        </w:trPr>
        <w:tc>
          <w:tcPr>
            <w:tcW w:w="800" w:type="pct"/>
            <w:tcBorders>
              <w:bottom w:val="nil"/>
            </w:tcBorders>
          </w:tcPr>
          <w:p w:rsidR="00B07C09" w:rsidRPr="007A436F" w:rsidDel="0094413D" w:rsidRDefault="00B07C09" w:rsidP="00B07C09">
            <w:pPr>
              <w:pStyle w:val="TableText0"/>
              <w:rPr>
                <w:sz w:val="20"/>
                <w:szCs w:val="20"/>
              </w:rPr>
            </w:pPr>
          </w:p>
        </w:tc>
        <w:tc>
          <w:tcPr>
            <w:tcW w:w="1730" w:type="pct"/>
            <w:tcBorders>
              <w:bottom w:val="nil"/>
            </w:tcBorders>
          </w:tcPr>
          <w:p w:rsidR="00B07C09" w:rsidRPr="007A436F" w:rsidDel="0094413D" w:rsidRDefault="00B07C09" w:rsidP="00B07C09">
            <w:pPr>
              <w:pStyle w:val="TableText0"/>
              <w:rPr>
                <w:sz w:val="20"/>
                <w:szCs w:val="20"/>
              </w:rPr>
            </w:pPr>
            <w:r w:rsidRPr="007A436F">
              <w:rPr>
                <w:sz w:val="20"/>
                <w:szCs w:val="20"/>
              </w:rPr>
              <w:t>Solution for injection 5 mg (15 i.u.) in 1.5 mL cartridge (with preservative)</w:t>
            </w:r>
          </w:p>
        </w:tc>
        <w:tc>
          <w:tcPr>
            <w:tcW w:w="823" w:type="pct"/>
            <w:tcBorders>
              <w:bottom w:val="nil"/>
            </w:tcBorders>
          </w:tcPr>
          <w:p w:rsidR="00B07C09" w:rsidRPr="007A436F" w:rsidDel="0094413D" w:rsidRDefault="00B07C09" w:rsidP="00B07C09">
            <w:pPr>
              <w:pStyle w:val="TableText0"/>
              <w:rPr>
                <w:sz w:val="20"/>
                <w:szCs w:val="20"/>
              </w:rPr>
            </w:pPr>
            <w:r w:rsidRPr="007A436F">
              <w:rPr>
                <w:sz w:val="20"/>
                <w:szCs w:val="20"/>
              </w:rPr>
              <w:t>Injection</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Omnitrope Surepal 5</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D(100)</w:t>
            </w:r>
          </w:p>
        </w:tc>
      </w:tr>
      <w:tr w:rsidR="00B07C09" w:rsidRPr="007A436F" w:rsidDel="0094413D" w:rsidTr="00A83EC2">
        <w:trPr>
          <w:cantSplit/>
        </w:trPr>
        <w:tc>
          <w:tcPr>
            <w:tcW w:w="800" w:type="pct"/>
            <w:tcBorders>
              <w:bottom w:val="nil"/>
            </w:tcBorders>
          </w:tcPr>
          <w:p w:rsidR="00B07C09" w:rsidRPr="007A436F" w:rsidDel="0094413D" w:rsidRDefault="00B07C09" w:rsidP="00B07C09">
            <w:pPr>
              <w:pStyle w:val="TableText0"/>
              <w:rPr>
                <w:sz w:val="20"/>
                <w:szCs w:val="20"/>
              </w:rPr>
            </w:pPr>
          </w:p>
        </w:tc>
        <w:tc>
          <w:tcPr>
            <w:tcW w:w="1730" w:type="pct"/>
            <w:tcBorders>
              <w:bottom w:val="nil"/>
            </w:tcBorders>
          </w:tcPr>
          <w:p w:rsidR="00B07C09" w:rsidRPr="007A436F" w:rsidDel="0094413D" w:rsidRDefault="00B07C09" w:rsidP="00B07C09">
            <w:pPr>
              <w:pStyle w:val="TableText0"/>
              <w:rPr>
                <w:sz w:val="20"/>
                <w:szCs w:val="20"/>
              </w:rPr>
            </w:pPr>
          </w:p>
        </w:tc>
        <w:tc>
          <w:tcPr>
            <w:tcW w:w="823" w:type="pct"/>
            <w:tcBorders>
              <w:bottom w:val="nil"/>
            </w:tcBorders>
          </w:tcPr>
          <w:p w:rsidR="00B07C09" w:rsidRPr="007A436F" w:rsidDel="0094413D" w:rsidRDefault="00B07C09" w:rsidP="00B07C09">
            <w:pPr>
              <w:pStyle w:val="TableText0"/>
              <w:rPr>
                <w:sz w:val="20"/>
                <w:szCs w:val="20"/>
              </w:rPr>
            </w:pPr>
          </w:p>
        </w:tc>
        <w:tc>
          <w:tcPr>
            <w:tcW w:w="823" w:type="pct"/>
            <w:tcBorders>
              <w:bottom w:val="nil"/>
            </w:tcBorders>
          </w:tcPr>
          <w:p w:rsidR="00B07C09" w:rsidRPr="007A436F" w:rsidRDefault="00B07C09" w:rsidP="00B07C09">
            <w:pPr>
              <w:pStyle w:val="TableText0"/>
              <w:rPr>
                <w:sz w:val="20"/>
                <w:szCs w:val="20"/>
              </w:rPr>
            </w:pPr>
            <w:r w:rsidRPr="007A436F">
              <w:rPr>
                <w:sz w:val="20"/>
                <w:szCs w:val="20"/>
              </w:rPr>
              <w:t>Scitropin A</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D(100)</w:t>
            </w:r>
          </w:p>
        </w:tc>
      </w:tr>
      <w:tr w:rsidR="00B07C09" w:rsidRPr="007A436F" w:rsidDel="002E523F" w:rsidTr="00A83EC2">
        <w:trPr>
          <w:cantSplit/>
        </w:trPr>
        <w:tc>
          <w:tcPr>
            <w:tcW w:w="800" w:type="pct"/>
            <w:tcBorders>
              <w:bottom w:val="nil"/>
            </w:tcBorders>
          </w:tcPr>
          <w:p w:rsidR="00B07C09" w:rsidRPr="007A436F" w:rsidDel="002E523F" w:rsidRDefault="00B07C09" w:rsidP="00B07C09">
            <w:pPr>
              <w:pStyle w:val="TableText0"/>
              <w:rPr>
                <w:sz w:val="20"/>
                <w:szCs w:val="20"/>
              </w:rPr>
            </w:pPr>
          </w:p>
        </w:tc>
        <w:tc>
          <w:tcPr>
            <w:tcW w:w="1730" w:type="pct"/>
            <w:tcBorders>
              <w:bottom w:val="nil"/>
            </w:tcBorders>
          </w:tcPr>
          <w:p w:rsidR="00B07C09" w:rsidRPr="007A436F" w:rsidDel="002E523F" w:rsidRDefault="00B07C09" w:rsidP="00B07C09">
            <w:pPr>
              <w:pStyle w:val="TableText0"/>
              <w:rPr>
                <w:sz w:val="20"/>
                <w:szCs w:val="20"/>
              </w:rPr>
            </w:pPr>
            <w:r w:rsidRPr="007A436F">
              <w:rPr>
                <w:sz w:val="20"/>
                <w:szCs w:val="20"/>
              </w:rPr>
              <w:t xml:space="preserve">Solution for injection 5 mg (15 i.u.) in 1.5 mL cartridge (with preservative) in a </w:t>
            </w:r>
            <w:r w:rsidRPr="007A436F">
              <w:rPr>
                <w:sz w:val="20"/>
                <w:szCs w:val="20"/>
              </w:rPr>
              <w:br/>
              <w:t>pre</w:t>
            </w:r>
            <w:r>
              <w:rPr>
                <w:sz w:val="20"/>
                <w:szCs w:val="20"/>
              </w:rPr>
              <w:noBreakHyphen/>
            </w:r>
            <w:r w:rsidRPr="007A436F">
              <w:rPr>
                <w:sz w:val="20"/>
                <w:szCs w:val="20"/>
              </w:rPr>
              <w:t>filled pen</w:t>
            </w:r>
          </w:p>
        </w:tc>
        <w:tc>
          <w:tcPr>
            <w:tcW w:w="823" w:type="pct"/>
            <w:tcBorders>
              <w:bottom w:val="nil"/>
            </w:tcBorders>
          </w:tcPr>
          <w:p w:rsidR="00B07C09" w:rsidRPr="007A436F" w:rsidDel="002E523F" w:rsidRDefault="00B07C09" w:rsidP="00B07C09">
            <w:pPr>
              <w:pStyle w:val="TableText0"/>
              <w:rPr>
                <w:sz w:val="20"/>
                <w:szCs w:val="20"/>
              </w:rPr>
            </w:pPr>
            <w:r w:rsidRPr="007A436F">
              <w:rPr>
                <w:sz w:val="20"/>
                <w:szCs w:val="20"/>
              </w:rPr>
              <w:t>Injection</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Norditropin</w:t>
            </w:r>
          </w:p>
          <w:p w:rsidR="00B07C09" w:rsidRPr="007A436F" w:rsidDel="002E523F" w:rsidRDefault="00B07C09" w:rsidP="00B07C09">
            <w:pPr>
              <w:pStyle w:val="TableText0"/>
              <w:rPr>
                <w:sz w:val="20"/>
                <w:szCs w:val="20"/>
              </w:rPr>
            </w:pPr>
            <w:r w:rsidRPr="007A436F">
              <w:rPr>
                <w:sz w:val="20"/>
                <w:szCs w:val="20"/>
              </w:rPr>
              <w:t>FlexPro</w:t>
            </w:r>
          </w:p>
        </w:tc>
        <w:tc>
          <w:tcPr>
            <w:tcW w:w="823" w:type="pct"/>
            <w:tcBorders>
              <w:bottom w:val="nil"/>
            </w:tcBorders>
          </w:tcPr>
          <w:p w:rsidR="00B07C09" w:rsidRPr="007A436F" w:rsidDel="002E523F" w:rsidRDefault="00B07C09" w:rsidP="00B07C09">
            <w:pPr>
              <w:pStyle w:val="TableText0"/>
              <w:rPr>
                <w:sz w:val="20"/>
                <w:szCs w:val="20"/>
              </w:rPr>
            </w:pPr>
            <w:r w:rsidRPr="007A436F">
              <w:rPr>
                <w:sz w:val="20"/>
                <w:szCs w:val="20"/>
              </w:rPr>
              <w:t>D(100)</w:t>
            </w:r>
          </w:p>
        </w:tc>
      </w:tr>
      <w:tr w:rsidR="00B07C09" w:rsidRPr="007A436F" w:rsidTr="00A83EC2">
        <w:trPr>
          <w:cantSplit/>
        </w:trPr>
        <w:tc>
          <w:tcPr>
            <w:tcW w:w="800" w:type="pct"/>
            <w:tcBorders>
              <w:top w:val="nil"/>
              <w:bottom w:val="nil"/>
            </w:tcBorders>
          </w:tcPr>
          <w:p w:rsidR="00B07C09" w:rsidRPr="007A436F" w:rsidRDefault="00B07C09" w:rsidP="00B07C09">
            <w:pPr>
              <w:pStyle w:val="TableText0"/>
              <w:rPr>
                <w:sz w:val="20"/>
                <w:szCs w:val="20"/>
              </w:rPr>
            </w:pPr>
          </w:p>
        </w:tc>
        <w:tc>
          <w:tcPr>
            <w:tcW w:w="1730" w:type="pct"/>
            <w:tcBorders>
              <w:top w:val="nil"/>
              <w:bottom w:val="nil"/>
            </w:tcBorders>
          </w:tcPr>
          <w:p w:rsidR="00B07C09" w:rsidRPr="007A436F" w:rsidRDefault="00B07C09" w:rsidP="00B07C09">
            <w:pPr>
              <w:pStyle w:val="TableText0"/>
              <w:rPr>
                <w:sz w:val="20"/>
                <w:szCs w:val="20"/>
              </w:rPr>
            </w:pPr>
            <w:r w:rsidRPr="007A436F">
              <w:rPr>
                <w:sz w:val="20"/>
                <w:szCs w:val="20"/>
              </w:rPr>
              <w:t>Solution for injection 6 mg (18 i.u.) in 1.03 mL cartridge (with preservative)</w:t>
            </w:r>
          </w:p>
        </w:tc>
        <w:tc>
          <w:tcPr>
            <w:tcW w:w="823" w:type="pct"/>
            <w:tcBorders>
              <w:top w:val="nil"/>
              <w:bottom w:val="nil"/>
            </w:tcBorders>
          </w:tcPr>
          <w:p w:rsidR="00B07C09" w:rsidRPr="007A436F" w:rsidRDefault="00B07C09" w:rsidP="00B07C09">
            <w:pPr>
              <w:pStyle w:val="TableText0"/>
              <w:rPr>
                <w:sz w:val="20"/>
                <w:szCs w:val="20"/>
              </w:rPr>
            </w:pPr>
            <w:r w:rsidRPr="007A436F">
              <w:rPr>
                <w:sz w:val="20"/>
                <w:szCs w:val="20"/>
              </w:rPr>
              <w:t>Injection</w:t>
            </w:r>
          </w:p>
        </w:tc>
        <w:tc>
          <w:tcPr>
            <w:tcW w:w="823" w:type="pct"/>
            <w:tcBorders>
              <w:top w:val="nil"/>
              <w:bottom w:val="nil"/>
            </w:tcBorders>
          </w:tcPr>
          <w:p w:rsidR="00B07C09" w:rsidRPr="007A436F" w:rsidRDefault="00B07C09" w:rsidP="00B07C09">
            <w:pPr>
              <w:pStyle w:val="TableText0"/>
              <w:rPr>
                <w:sz w:val="20"/>
                <w:szCs w:val="20"/>
              </w:rPr>
            </w:pPr>
            <w:r w:rsidRPr="007A436F">
              <w:rPr>
                <w:sz w:val="20"/>
                <w:szCs w:val="20"/>
              </w:rPr>
              <w:t>Saizen</w:t>
            </w:r>
          </w:p>
        </w:tc>
        <w:tc>
          <w:tcPr>
            <w:tcW w:w="823" w:type="pct"/>
            <w:tcBorders>
              <w:top w:val="nil"/>
              <w:bottom w:val="nil"/>
            </w:tcBorders>
          </w:tcPr>
          <w:p w:rsidR="00B07C09" w:rsidRPr="007A436F" w:rsidRDefault="00B07C09" w:rsidP="00B07C09">
            <w:pPr>
              <w:pStyle w:val="TableText0"/>
              <w:rPr>
                <w:sz w:val="20"/>
                <w:szCs w:val="20"/>
              </w:rPr>
            </w:pPr>
            <w:r w:rsidRPr="007A436F">
              <w:rPr>
                <w:sz w:val="20"/>
                <w:szCs w:val="20"/>
              </w:rPr>
              <w:t>D(100)</w:t>
            </w:r>
          </w:p>
        </w:tc>
      </w:tr>
      <w:tr w:rsidR="00B07C09" w:rsidRPr="007A436F" w:rsidDel="0094413D" w:rsidTr="00A83EC2">
        <w:trPr>
          <w:cantSplit/>
        </w:trPr>
        <w:tc>
          <w:tcPr>
            <w:tcW w:w="800" w:type="pct"/>
            <w:tcBorders>
              <w:bottom w:val="nil"/>
            </w:tcBorders>
          </w:tcPr>
          <w:p w:rsidR="00B07C09" w:rsidRPr="007A436F" w:rsidDel="0094413D" w:rsidRDefault="00B07C09" w:rsidP="00B07C09">
            <w:pPr>
              <w:pStyle w:val="TableText0"/>
              <w:rPr>
                <w:sz w:val="20"/>
                <w:szCs w:val="20"/>
              </w:rPr>
            </w:pPr>
          </w:p>
        </w:tc>
        <w:tc>
          <w:tcPr>
            <w:tcW w:w="1730" w:type="pct"/>
            <w:tcBorders>
              <w:bottom w:val="nil"/>
            </w:tcBorders>
          </w:tcPr>
          <w:p w:rsidR="00B07C09" w:rsidRPr="007A436F" w:rsidDel="0094413D" w:rsidRDefault="00B07C09" w:rsidP="00B07C09">
            <w:pPr>
              <w:pStyle w:val="TableText0"/>
              <w:rPr>
                <w:sz w:val="20"/>
                <w:szCs w:val="20"/>
              </w:rPr>
            </w:pPr>
            <w:r w:rsidRPr="007A436F">
              <w:rPr>
                <w:sz w:val="20"/>
                <w:szCs w:val="20"/>
              </w:rPr>
              <w:t>Solution for injection 10 mg (30 i.u.) in 1.5 mL cartridge (with preservative)</w:t>
            </w:r>
          </w:p>
        </w:tc>
        <w:tc>
          <w:tcPr>
            <w:tcW w:w="823" w:type="pct"/>
            <w:tcBorders>
              <w:bottom w:val="nil"/>
            </w:tcBorders>
          </w:tcPr>
          <w:p w:rsidR="00B07C09" w:rsidRPr="007A436F" w:rsidDel="0094413D" w:rsidRDefault="00B07C09" w:rsidP="00B07C09">
            <w:pPr>
              <w:pStyle w:val="TableText0"/>
              <w:rPr>
                <w:sz w:val="20"/>
                <w:szCs w:val="20"/>
              </w:rPr>
            </w:pPr>
            <w:r w:rsidRPr="007A436F">
              <w:rPr>
                <w:sz w:val="20"/>
                <w:szCs w:val="20"/>
              </w:rPr>
              <w:t>Injection</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Omnitrope Surepal 10</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D(100)</w:t>
            </w:r>
          </w:p>
        </w:tc>
      </w:tr>
      <w:tr w:rsidR="00B07C09" w:rsidRPr="007A436F" w:rsidDel="0094413D" w:rsidTr="00A83EC2">
        <w:trPr>
          <w:cantSplit/>
        </w:trPr>
        <w:tc>
          <w:tcPr>
            <w:tcW w:w="800" w:type="pct"/>
            <w:tcBorders>
              <w:bottom w:val="nil"/>
            </w:tcBorders>
          </w:tcPr>
          <w:p w:rsidR="00B07C09" w:rsidRPr="007A436F" w:rsidDel="0094413D" w:rsidRDefault="00B07C09" w:rsidP="00B07C09">
            <w:pPr>
              <w:pStyle w:val="TableText0"/>
              <w:rPr>
                <w:sz w:val="20"/>
                <w:szCs w:val="20"/>
              </w:rPr>
            </w:pPr>
          </w:p>
        </w:tc>
        <w:tc>
          <w:tcPr>
            <w:tcW w:w="1730" w:type="pct"/>
            <w:tcBorders>
              <w:bottom w:val="nil"/>
            </w:tcBorders>
          </w:tcPr>
          <w:p w:rsidR="00B07C09" w:rsidRPr="007A436F" w:rsidDel="0094413D" w:rsidRDefault="00B07C09" w:rsidP="00B07C09">
            <w:pPr>
              <w:pStyle w:val="TableText0"/>
              <w:rPr>
                <w:sz w:val="20"/>
                <w:szCs w:val="20"/>
              </w:rPr>
            </w:pPr>
          </w:p>
        </w:tc>
        <w:tc>
          <w:tcPr>
            <w:tcW w:w="823" w:type="pct"/>
            <w:tcBorders>
              <w:bottom w:val="nil"/>
            </w:tcBorders>
          </w:tcPr>
          <w:p w:rsidR="00B07C09" w:rsidRPr="007A436F" w:rsidDel="0094413D" w:rsidRDefault="00B07C09" w:rsidP="00B07C09">
            <w:pPr>
              <w:pStyle w:val="TableText0"/>
              <w:rPr>
                <w:sz w:val="20"/>
                <w:szCs w:val="20"/>
              </w:rPr>
            </w:pPr>
          </w:p>
        </w:tc>
        <w:tc>
          <w:tcPr>
            <w:tcW w:w="823" w:type="pct"/>
            <w:tcBorders>
              <w:bottom w:val="nil"/>
            </w:tcBorders>
          </w:tcPr>
          <w:p w:rsidR="00B07C09" w:rsidRPr="007A436F" w:rsidRDefault="00B07C09" w:rsidP="00B07C09">
            <w:pPr>
              <w:pStyle w:val="TableText0"/>
              <w:rPr>
                <w:sz w:val="20"/>
                <w:szCs w:val="20"/>
              </w:rPr>
            </w:pPr>
            <w:r w:rsidRPr="007A436F">
              <w:rPr>
                <w:sz w:val="20"/>
                <w:szCs w:val="20"/>
              </w:rPr>
              <w:t>SciTropin A</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D(100)</w:t>
            </w:r>
          </w:p>
        </w:tc>
      </w:tr>
      <w:tr w:rsidR="00B07C09" w:rsidRPr="007A436F" w:rsidDel="002E523F" w:rsidTr="00A83EC2">
        <w:trPr>
          <w:cantSplit/>
        </w:trPr>
        <w:tc>
          <w:tcPr>
            <w:tcW w:w="800" w:type="pct"/>
            <w:tcBorders>
              <w:bottom w:val="nil"/>
            </w:tcBorders>
          </w:tcPr>
          <w:p w:rsidR="00B07C09" w:rsidRPr="007A436F" w:rsidDel="002E523F" w:rsidRDefault="00B07C09" w:rsidP="00B07C09">
            <w:pPr>
              <w:pStyle w:val="TableText0"/>
              <w:rPr>
                <w:sz w:val="20"/>
                <w:szCs w:val="20"/>
              </w:rPr>
            </w:pPr>
          </w:p>
        </w:tc>
        <w:tc>
          <w:tcPr>
            <w:tcW w:w="1730" w:type="pct"/>
            <w:tcBorders>
              <w:bottom w:val="nil"/>
            </w:tcBorders>
          </w:tcPr>
          <w:p w:rsidR="00B07C09" w:rsidRPr="007A436F" w:rsidDel="002E523F" w:rsidRDefault="00B07C09" w:rsidP="00B07C09">
            <w:pPr>
              <w:pStyle w:val="TableText0"/>
              <w:rPr>
                <w:sz w:val="20"/>
                <w:szCs w:val="20"/>
              </w:rPr>
            </w:pPr>
            <w:r w:rsidRPr="007A436F">
              <w:rPr>
                <w:sz w:val="20"/>
                <w:szCs w:val="20"/>
              </w:rPr>
              <w:t xml:space="preserve">Solution for injection 10 mg (30 i.u.) in 1.5 mL cartridge (with preservative) in a </w:t>
            </w:r>
            <w:r w:rsidRPr="007A436F">
              <w:rPr>
                <w:sz w:val="20"/>
                <w:szCs w:val="20"/>
              </w:rPr>
              <w:br/>
              <w:t>pre</w:t>
            </w:r>
            <w:r>
              <w:rPr>
                <w:sz w:val="20"/>
                <w:szCs w:val="20"/>
              </w:rPr>
              <w:noBreakHyphen/>
            </w:r>
            <w:r w:rsidRPr="007A436F">
              <w:rPr>
                <w:sz w:val="20"/>
                <w:szCs w:val="20"/>
              </w:rPr>
              <w:t>filled pen</w:t>
            </w:r>
          </w:p>
        </w:tc>
        <w:tc>
          <w:tcPr>
            <w:tcW w:w="823" w:type="pct"/>
            <w:tcBorders>
              <w:bottom w:val="nil"/>
            </w:tcBorders>
          </w:tcPr>
          <w:p w:rsidR="00B07C09" w:rsidRPr="007A436F" w:rsidDel="002E523F" w:rsidRDefault="00B07C09" w:rsidP="00B07C09">
            <w:pPr>
              <w:pStyle w:val="TableText0"/>
              <w:rPr>
                <w:sz w:val="20"/>
                <w:szCs w:val="20"/>
              </w:rPr>
            </w:pPr>
            <w:r w:rsidRPr="007A436F">
              <w:rPr>
                <w:sz w:val="20"/>
                <w:szCs w:val="20"/>
              </w:rPr>
              <w:t>Injection</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Norditropin</w:t>
            </w:r>
          </w:p>
          <w:p w:rsidR="00B07C09" w:rsidRPr="007A436F" w:rsidDel="002E523F" w:rsidRDefault="00B07C09" w:rsidP="00B07C09">
            <w:pPr>
              <w:pStyle w:val="TableText0"/>
              <w:rPr>
                <w:sz w:val="20"/>
                <w:szCs w:val="20"/>
              </w:rPr>
            </w:pPr>
            <w:r w:rsidRPr="007A436F">
              <w:rPr>
                <w:sz w:val="20"/>
                <w:szCs w:val="20"/>
              </w:rPr>
              <w:t>FlexPro</w:t>
            </w:r>
          </w:p>
        </w:tc>
        <w:tc>
          <w:tcPr>
            <w:tcW w:w="823" w:type="pct"/>
            <w:tcBorders>
              <w:bottom w:val="nil"/>
            </w:tcBorders>
          </w:tcPr>
          <w:p w:rsidR="00B07C09" w:rsidRPr="007A436F" w:rsidDel="002E523F" w:rsidRDefault="00B07C09" w:rsidP="00B07C09">
            <w:pPr>
              <w:pStyle w:val="TableText0"/>
              <w:rPr>
                <w:sz w:val="20"/>
                <w:szCs w:val="20"/>
              </w:rPr>
            </w:pPr>
            <w:r w:rsidRPr="007A436F">
              <w:rPr>
                <w:sz w:val="20"/>
                <w:szCs w:val="20"/>
              </w:rPr>
              <w:t>D(100)</w:t>
            </w:r>
          </w:p>
        </w:tc>
      </w:tr>
      <w:tr w:rsidR="00B07C09" w:rsidRPr="007A436F" w:rsidDel="002E523F" w:rsidTr="00A83EC2">
        <w:trPr>
          <w:cantSplit/>
        </w:trPr>
        <w:tc>
          <w:tcPr>
            <w:tcW w:w="800" w:type="pct"/>
            <w:tcBorders>
              <w:bottom w:val="nil"/>
            </w:tcBorders>
          </w:tcPr>
          <w:p w:rsidR="00B07C09" w:rsidRPr="007A436F" w:rsidDel="002E523F" w:rsidRDefault="00B07C09" w:rsidP="00B07C09">
            <w:pPr>
              <w:pStyle w:val="TableText0"/>
              <w:rPr>
                <w:sz w:val="20"/>
                <w:szCs w:val="20"/>
              </w:rPr>
            </w:pPr>
          </w:p>
        </w:tc>
        <w:tc>
          <w:tcPr>
            <w:tcW w:w="1730" w:type="pct"/>
            <w:tcBorders>
              <w:bottom w:val="nil"/>
            </w:tcBorders>
          </w:tcPr>
          <w:p w:rsidR="00B07C09" w:rsidRPr="007A436F" w:rsidRDefault="00B07C09" w:rsidP="00B07C09">
            <w:pPr>
              <w:pStyle w:val="TableText0"/>
              <w:rPr>
                <w:sz w:val="20"/>
                <w:szCs w:val="20"/>
              </w:rPr>
            </w:pPr>
            <w:r w:rsidRPr="007A436F">
              <w:rPr>
                <w:sz w:val="20"/>
                <w:szCs w:val="20"/>
              </w:rPr>
              <w:t>Solution for injection 10 mg (30 i.u.) in 2 mL cartridge (with preservative)</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Injection</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NutropinAq</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D(100)</w:t>
            </w:r>
          </w:p>
        </w:tc>
      </w:tr>
      <w:tr w:rsidR="00B07C09" w:rsidRPr="007A436F" w:rsidTr="00A83EC2">
        <w:trPr>
          <w:cantSplit/>
        </w:trPr>
        <w:tc>
          <w:tcPr>
            <w:tcW w:w="800" w:type="pct"/>
            <w:tcBorders>
              <w:bottom w:val="nil"/>
            </w:tcBorders>
          </w:tcPr>
          <w:p w:rsidR="00B07C09" w:rsidRPr="007A436F" w:rsidRDefault="00B07C09" w:rsidP="00B07C09">
            <w:pPr>
              <w:pStyle w:val="TableText0"/>
              <w:rPr>
                <w:sz w:val="20"/>
                <w:szCs w:val="20"/>
              </w:rPr>
            </w:pPr>
          </w:p>
        </w:tc>
        <w:tc>
          <w:tcPr>
            <w:tcW w:w="1730" w:type="pct"/>
            <w:tcBorders>
              <w:bottom w:val="nil"/>
            </w:tcBorders>
          </w:tcPr>
          <w:p w:rsidR="00B07C09" w:rsidRPr="007A436F" w:rsidRDefault="00B07C09" w:rsidP="00B07C09">
            <w:pPr>
              <w:pStyle w:val="TableText0"/>
              <w:rPr>
                <w:sz w:val="20"/>
                <w:szCs w:val="20"/>
              </w:rPr>
            </w:pPr>
            <w:r w:rsidRPr="007A436F">
              <w:rPr>
                <w:sz w:val="20"/>
                <w:szCs w:val="20"/>
              </w:rPr>
              <w:t>Solution for injection 12 mg (36 i.u.) in 1.5 mL cartridge (with preservative)</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Injection</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Saizen</w:t>
            </w:r>
          </w:p>
        </w:tc>
        <w:tc>
          <w:tcPr>
            <w:tcW w:w="823" w:type="pct"/>
            <w:tcBorders>
              <w:bottom w:val="nil"/>
            </w:tcBorders>
          </w:tcPr>
          <w:p w:rsidR="00B07C09" w:rsidRPr="007A436F" w:rsidRDefault="00B07C09" w:rsidP="00B07C09">
            <w:pPr>
              <w:pStyle w:val="TableText0"/>
              <w:rPr>
                <w:sz w:val="20"/>
                <w:szCs w:val="20"/>
              </w:rPr>
            </w:pPr>
            <w:r w:rsidRPr="007A436F">
              <w:rPr>
                <w:sz w:val="20"/>
                <w:szCs w:val="20"/>
              </w:rPr>
              <w:t>D(100)</w:t>
            </w:r>
          </w:p>
        </w:tc>
      </w:tr>
      <w:tr w:rsidR="00552B49" w:rsidRPr="007A436F" w:rsidTr="00A83EC2">
        <w:trPr>
          <w:cantSplit/>
        </w:trPr>
        <w:tc>
          <w:tcPr>
            <w:tcW w:w="800" w:type="pct"/>
            <w:tcBorders>
              <w:top w:val="nil"/>
              <w:bottom w:val="nil"/>
            </w:tcBorders>
          </w:tcPr>
          <w:p w:rsidR="00552B49" w:rsidRPr="007A436F" w:rsidRDefault="00552B49" w:rsidP="00552B49">
            <w:pPr>
              <w:pStyle w:val="TableText0"/>
              <w:rPr>
                <w:sz w:val="20"/>
                <w:szCs w:val="20"/>
              </w:rPr>
            </w:pPr>
          </w:p>
        </w:tc>
        <w:tc>
          <w:tcPr>
            <w:tcW w:w="1730" w:type="pct"/>
            <w:tcBorders>
              <w:top w:val="nil"/>
              <w:bottom w:val="nil"/>
            </w:tcBorders>
          </w:tcPr>
          <w:p w:rsidR="00552B49" w:rsidRPr="007A436F" w:rsidRDefault="00552B49" w:rsidP="00552B49">
            <w:pPr>
              <w:pStyle w:val="TableText0"/>
              <w:rPr>
                <w:sz w:val="20"/>
                <w:szCs w:val="20"/>
              </w:rPr>
            </w:pPr>
            <w:r w:rsidRPr="007A436F">
              <w:rPr>
                <w:sz w:val="20"/>
                <w:szCs w:val="20"/>
              </w:rPr>
              <w:t>Solution for injection 15 mg (45 i.u.) in 1.5 mL cartridge (with preservative)</w:t>
            </w:r>
          </w:p>
        </w:tc>
        <w:tc>
          <w:tcPr>
            <w:tcW w:w="823" w:type="pct"/>
            <w:tcBorders>
              <w:top w:val="nil"/>
              <w:bottom w:val="nil"/>
            </w:tcBorders>
          </w:tcPr>
          <w:p w:rsidR="00552B49" w:rsidRPr="007A436F" w:rsidRDefault="00552B49" w:rsidP="00552B49">
            <w:pPr>
              <w:pStyle w:val="TableText0"/>
              <w:rPr>
                <w:sz w:val="20"/>
                <w:szCs w:val="20"/>
              </w:rPr>
            </w:pPr>
            <w:r w:rsidRPr="007A436F">
              <w:rPr>
                <w:sz w:val="20"/>
                <w:szCs w:val="20"/>
              </w:rPr>
              <w:t>Injection</w:t>
            </w:r>
          </w:p>
        </w:tc>
        <w:tc>
          <w:tcPr>
            <w:tcW w:w="823" w:type="pct"/>
            <w:tcBorders>
              <w:top w:val="nil"/>
              <w:bottom w:val="nil"/>
            </w:tcBorders>
          </w:tcPr>
          <w:p w:rsidR="00552B49" w:rsidRPr="007A436F" w:rsidRDefault="00552B49" w:rsidP="00552B49">
            <w:pPr>
              <w:pStyle w:val="TableText0"/>
              <w:rPr>
                <w:sz w:val="20"/>
                <w:szCs w:val="20"/>
              </w:rPr>
            </w:pPr>
            <w:r w:rsidRPr="007A436F">
              <w:rPr>
                <w:sz w:val="20"/>
                <w:szCs w:val="20"/>
              </w:rPr>
              <w:t xml:space="preserve">Omnitrope Surepal </w:t>
            </w:r>
            <w:r w:rsidRPr="007A436F">
              <w:t>15</w:t>
            </w:r>
          </w:p>
        </w:tc>
        <w:tc>
          <w:tcPr>
            <w:tcW w:w="823" w:type="pct"/>
            <w:tcBorders>
              <w:top w:val="nil"/>
              <w:bottom w:val="nil"/>
            </w:tcBorders>
          </w:tcPr>
          <w:p w:rsidR="00552B49" w:rsidRPr="007A436F" w:rsidRDefault="00552B49" w:rsidP="00552B49">
            <w:pPr>
              <w:pStyle w:val="TableText0"/>
              <w:rPr>
                <w:sz w:val="20"/>
                <w:szCs w:val="20"/>
              </w:rPr>
            </w:pPr>
            <w:r w:rsidRPr="007A436F">
              <w:rPr>
                <w:sz w:val="20"/>
                <w:szCs w:val="20"/>
              </w:rPr>
              <w:t>D(100)</w:t>
            </w:r>
          </w:p>
        </w:tc>
      </w:tr>
      <w:tr w:rsidR="00552B49" w:rsidRPr="007A436F" w:rsidDel="002E523F" w:rsidTr="00A83EC2">
        <w:trPr>
          <w:cantSplit/>
        </w:trPr>
        <w:tc>
          <w:tcPr>
            <w:tcW w:w="800" w:type="pct"/>
            <w:tcBorders>
              <w:bottom w:val="nil"/>
            </w:tcBorders>
          </w:tcPr>
          <w:p w:rsidR="00552B49" w:rsidRPr="007A436F" w:rsidDel="002E523F" w:rsidRDefault="00552B49" w:rsidP="00552B49">
            <w:pPr>
              <w:pStyle w:val="TableText0"/>
              <w:rPr>
                <w:sz w:val="20"/>
                <w:szCs w:val="20"/>
              </w:rPr>
            </w:pPr>
          </w:p>
        </w:tc>
        <w:tc>
          <w:tcPr>
            <w:tcW w:w="1730" w:type="pct"/>
            <w:tcBorders>
              <w:bottom w:val="nil"/>
            </w:tcBorders>
          </w:tcPr>
          <w:p w:rsidR="00552B49" w:rsidRPr="007A436F" w:rsidRDefault="00552B49" w:rsidP="00552B49">
            <w:pPr>
              <w:pStyle w:val="TableText0"/>
              <w:rPr>
                <w:sz w:val="20"/>
                <w:szCs w:val="20"/>
              </w:rPr>
            </w:pPr>
            <w:r w:rsidRPr="007A436F">
              <w:rPr>
                <w:sz w:val="20"/>
                <w:szCs w:val="20"/>
              </w:rPr>
              <w:t xml:space="preserve">Solution for injection 15 mg (45 i.u.) in 1.5 mL cartridge (with preservative) in a </w:t>
            </w:r>
            <w:r w:rsidRPr="007A436F">
              <w:rPr>
                <w:sz w:val="20"/>
                <w:szCs w:val="20"/>
              </w:rPr>
              <w:br/>
              <w:t>pre</w:t>
            </w:r>
            <w:r>
              <w:rPr>
                <w:sz w:val="20"/>
                <w:szCs w:val="20"/>
              </w:rPr>
              <w:noBreakHyphen/>
            </w:r>
            <w:r w:rsidRPr="007A436F">
              <w:rPr>
                <w:sz w:val="20"/>
                <w:szCs w:val="20"/>
              </w:rPr>
              <w:t>filled pen</w:t>
            </w:r>
          </w:p>
        </w:tc>
        <w:tc>
          <w:tcPr>
            <w:tcW w:w="823" w:type="pct"/>
            <w:tcBorders>
              <w:bottom w:val="nil"/>
            </w:tcBorders>
          </w:tcPr>
          <w:p w:rsidR="00552B49" w:rsidRPr="007A436F" w:rsidRDefault="00552B49" w:rsidP="00552B49">
            <w:pPr>
              <w:pStyle w:val="TableText0"/>
              <w:rPr>
                <w:sz w:val="20"/>
                <w:szCs w:val="20"/>
              </w:rPr>
            </w:pPr>
            <w:r w:rsidRPr="007A436F">
              <w:rPr>
                <w:sz w:val="20"/>
                <w:szCs w:val="20"/>
              </w:rPr>
              <w:t>Injection</w:t>
            </w:r>
          </w:p>
        </w:tc>
        <w:tc>
          <w:tcPr>
            <w:tcW w:w="823" w:type="pct"/>
            <w:tcBorders>
              <w:bottom w:val="nil"/>
            </w:tcBorders>
          </w:tcPr>
          <w:p w:rsidR="00552B49" w:rsidRPr="007A436F" w:rsidRDefault="00552B49" w:rsidP="00552B49">
            <w:pPr>
              <w:pStyle w:val="TableText0"/>
              <w:rPr>
                <w:sz w:val="20"/>
                <w:szCs w:val="20"/>
              </w:rPr>
            </w:pPr>
            <w:r w:rsidRPr="007A436F">
              <w:rPr>
                <w:sz w:val="20"/>
                <w:szCs w:val="20"/>
              </w:rPr>
              <w:t>Norditropin</w:t>
            </w:r>
          </w:p>
          <w:p w:rsidR="00552B49" w:rsidRPr="007A436F" w:rsidRDefault="00552B49" w:rsidP="00552B49">
            <w:pPr>
              <w:pStyle w:val="TableText0"/>
              <w:rPr>
                <w:sz w:val="20"/>
                <w:szCs w:val="20"/>
              </w:rPr>
            </w:pPr>
            <w:r w:rsidRPr="007A436F">
              <w:rPr>
                <w:sz w:val="20"/>
                <w:szCs w:val="20"/>
              </w:rPr>
              <w:t>FlexPro</w:t>
            </w:r>
          </w:p>
        </w:tc>
        <w:tc>
          <w:tcPr>
            <w:tcW w:w="823" w:type="pct"/>
            <w:tcBorders>
              <w:bottom w:val="nil"/>
            </w:tcBorders>
          </w:tcPr>
          <w:p w:rsidR="00552B49" w:rsidRPr="007A436F" w:rsidRDefault="00552B49" w:rsidP="00552B49">
            <w:pPr>
              <w:pStyle w:val="TableText0"/>
              <w:rPr>
                <w:sz w:val="20"/>
                <w:szCs w:val="20"/>
              </w:rPr>
            </w:pPr>
            <w:r w:rsidRPr="007A436F">
              <w:rPr>
                <w:sz w:val="20"/>
                <w:szCs w:val="20"/>
              </w:rPr>
              <w:t>D(100)</w:t>
            </w:r>
          </w:p>
        </w:tc>
      </w:tr>
      <w:tr w:rsidR="00552B49" w:rsidRPr="007A436F" w:rsidTr="00A83EC2">
        <w:trPr>
          <w:cantSplit/>
        </w:trPr>
        <w:tc>
          <w:tcPr>
            <w:tcW w:w="800" w:type="pct"/>
            <w:tcBorders>
              <w:bottom w:val="single" w:sz="12" w:space="0" w:color="auto"/>
            </w:tcBorders>
          </w:tcPr>
          <w:p w:rsidR="00552B49" w:rsidRPr="007A436F" w:rsidRDefault="00552B49" w:rsidP="00552B49">
            <w:pPr>
              <w:pStyle w:val="TableText0"/>
              <w:rPr>
                <w:sz w:val="20"/>
                <w:szCs w:val="20"/>
              </w:rPr>
            </w:pPr>
          </w:p>
        </w:tc>
        <w:tc>
          <w:tcPr>
            <w:tcW w:w="1730" w:type="pct"/>
            <w:tcBorders>
              <w:bottom w:val="single" w:sz="12" w:space="0" w:color="auto"/>
            </w:tcBorders>
          </w:tcPr>
          <w:p w:rsidR="00552B49" w:rsidRPr="007A436F" w:rsidRDefault="00552B49" w:rsidP="00552B49">
            <w:pPr>
              <w:pStyle w:val="TableText0"/>
              <w:rPr>
                <w:sz w:val="20"/>
                <w:szCs w:val="20"/>
              </w:rPr>
            </w:pPr>
            <w:r w:rsidRPr="007A436F">
              <w:rPr>
                <w:sz w:val="20"/>
                <w:szCs w:val="20"/>
              </w:rPr>
              <w:t>Solution for injection 20 mg (60 i.u.) in 2.5 mL cartridge (with preservative)</w:t>
            </w:r>
          </w:p>
        </w:tc>
        <w:tc>
          <w:tcPr>
            <w:tcW w:w="823" w:type="pct"/>
            <w:tcBorders>
              <w:bottom w:val="single" w:sz="12" w:space="0" w:color="auto"/>
            </w:tcBorders>
          </w:tcPr>
          <w:p w:rsidR="00552B49" w:rsidRPr="007A436F" w:rsidRDefault="00552B49" w:rsidP="00552B49">
            <w:pPr>
              <w:pStyle w:val="TableText0"/>
              <w:rPr>
                <w:sz w:val="20"/>
                <w:szCs w:val="20"/>
              </w:rPr>
            </w:pPr>
            <w:r w:rsidRPr="007A436F">
              <w:rPr>
                <w:sz w:val="20"/>
                <w:szCs w:val="20"/>
              </w:rPr>
              <w:t>Injection</w:t>
            </w:r>
          </w:p>
        </w:tc>
        <w:tc>
          <w:tcPr>
            <w:tcW w:w="823" w:type="pct"/>
            <w:tcBorders>
              <w:bottom w:val="single" w:sz="12" w:space="0" w:color="auto"/>
            </w:tcBorders>
          </w:tcPr>
          <w:p w:rsidR="00552B49" w:rsidRPr="007A436F" w:rsidRDefault="00552B49" w:rsidP="00552B49">
            <w:pPr>
              <w:pStyle w:val="TableText0"/>
              <w:rPr>
                <w:sz w:val="20"/>
                <w:szCs w:val="20"/>
              </w:rPr>
            </w:pPr>
            <w:r w:rsidRPr="007A436F">
              <w:rPr>
                <w:sz w:val="20"/>
                <w:szCs w:val="20"/>
              </w:rPr>
              <w:t>Saizen</w:t>
            </w:r>
          </w:p>
        </w:tc>
        <w:tc>
          <w:tcPr>
            <w:tcW w:w="823" w:type="pct"/>
            <w:tcBorders>
              <w:bottom w:val="single" w:sz="12" w:space="0" w:color="auto"/>
            </w:tcBorders>
          </w:tcPr>
          <w:p w:rsidR="00552B49" w:rsidRPr="007A436F" w:rsidRDefault="00552B49" w:rsidP="00552B49">
            <w:pPr>
              <w:pStyle w:val="TableText0"/>
              <w:rPr>
                <w:sz w:val="20"/>
                <w:szCs w:val="20"/>
              </w:rPr>
            </w:pPr>
            <w:r w:rsidRPr="007A436F">
              <w:rPr>
                <w:sz w:val="20"/>
                <w:szCs w:val="20"/>
              </w:rPr>
              <w:t>D(100)</w:t>
            </w:r>
          </w:p>
        </w:tc>
      </w:tr>
    </w:tbl>
    <w:p w:rsidR="00DD67C4" w:rsidRPr="007A436F" w:rsidRDefault="00DD67C4" w:rsidP="00700DD1"/>
    <w:p w:rsidR="00287CA9" w:rsidRPr="007A436F" w:rsidRDefault="00287CA9" w:rsidP="00FC567F">
      <w:pPr>
        <w:pStyle w:val="ActHead2"/>
        <w:pageBreakBefore/>
      </w:pPr>
      <w:bookmarkStart w:id="55" w:name="_Toc74311803"/>
      <w:r w:rsidRPr="007A436F">
        <w:rPr>
          <w:rStyle w:val="CharPartNo"/>
        </w:rPr>
        <w:lastRenderedPageBreak/>
        <w:t>Part</w:t>
      </w:r>
      <w:r w:rsidR="007A436F">
        <w:rPr>
          <w:rStyle w:val="CharPartNo"/>
        </w:rPr>
        <w:t> </w:t>
      </w:r>
      <w:r w:rsidRPr="007A436F">
        <w:rPr>
          <w:rStyle w:val="CharPartNo"/>
        </w:rPr>
        <w:t>2</w:t>
      </w:r>
      <w:r w:rsidRPr="007A436F">
        <w:t>—</w:t>
      </w:r>
      <w:r w:rsidRPr="007A436F">
        <w:rPr>
          <w:rStyle w:val="CharPartText"/>
        </w:rPr>
        <w:t>Pharmaceutical benefits for treatment of adults</w:t>
      </w:r>
      <w:bookmarkEnd w:id="55"/>
    </w:p>
    <w:p w:rsidR="00287CA9" w:rsidRPr="007A436F" w:rsidRDefault="00287CA9" w:rsidP="00287CA9">
      <w:pPr>
        <w:pStyle w:val="Header"/>
      </w:pPr>
      <w:r w:rsidRPr="007A436F">
        <w:rPr>
          <w:rStyle w:val="CharDivNo"/>
        </w:rPr>
        <w:t xml:space="preserve"> </w:t>
      </w:r>
      <w:r w:rsidRPr="007A436F">
        <w:rPr>
          <w:rStyle w:val="CharDivText"/>
        </w:rPr>
        <w:t xml:space="preserve"> </w:t>
      </w:r>
    </w:p>
    <w:tbl>
      <w:tblPr>
        <w:tblW w:w="5000" w:type="pct"/>
        <w:tblBorders>
          <w:bottom w:val="single" w:sz="4" w:space="0" w:color="auto"/>
        </w:tblBorders>
        <w:tblLook w:val="0000" w:firstRow="0" w:lastRow="0" w:firstColumn="0" w:lastColumn="0" w:noHBand="0" w:noVBand="0"/>
      </w:tblPr>
      <w:tblGrid>
        <w:gridCol w:w="2134"/>
        <w:gridCol w:w="4655"/>
        <w:gridCol w:w="2173"/>
        <w:gridCol w:w="2326"/>
        <w:gridCol w:w="2173"/>
      </w:tblGrid>
      <w:tr w:rsidR="00287CA9" w:rsidRPr="007A436F" w:rsidTr="00A84969">
        <w:trPr>
          <w:cantSplit/>
          <w:trHeight w:val="657"/>
          <w:tblHeader/>
        </w:trPr>
        <w:tc>
          <w:tcPr>
            <w:tcW w:w="793" w:type="pct"/>
            <w:tcBorders>
              <w:top w:val="single" w:sz="12" w:space="0" w:color="auto"/>
              <w:bottom w:val="single" w:sz="12" w:space="0" w:color="auto"/>
            </w:tcBorders>
          </w:tcPr>
          <w:p w:rsidR="00287CA9" w:rsidRPr="007A436F" w:rsidRDefault="00287CA9" w:rsidP="00B73576">
            <w:pPr>
              <w:pStyle w:val="TableColHead"/>
            </w:pPr>
            <w:r w:rsidRPr="007A436F">
              <w:t>Listed Drug</w:t>
            </w:r>
          </w:p>
        </w:tc>
        <w:tc>
          <w:tcPr>
            <w:tcW w:w="1729" w:type="pct"/>
            <w:tcBorders>
              <w:top w:val="single" w:sz="12" w:space="0" w:color="auto"/>
              <w:bottom w:val="single" w:sz="12" w:space="0" w:color="auto"/>
            </w:tcBorders>
          </w:tcPr>
          <w:p w:rsidR="00287CA9" w:rsidRPr="007A436F" w:rsidRDefault="00287CA9" w:rsidP="00B73576">
            <w:pPr>
              <w:pStyle w:val="TableColHead"/>
            </w:pPr>
            <w:r w:rsidRPr="007A436F">
              <w:t>Form</w:t>
            </w:r>
          </w:p>
        </w:tc>
        <w:tc>
          <w:tcPr>
            <w:tcW w:w="807" w:type="pct"/>
            <w:tcBorders>
              <w:top w:val="single" w:sz="12" w:space="0" w:color="auto"/>
              <w:bottom w:val="single" w:sz="12" w:space="0" w:color="auto"/>
            </w:tcBorders>
          </w:tcPr>
          <w:p w:rsidR="00287CA9" w:rsidRPr="007A436F" w:rsidRDefault="00287CA9" w:rsidP="00B73576">
            <w:pPr>
              <w:pStyle w:val="TableColHead"/>
            </w:pPr>
            <w:r w:rsidRPr="007A436F">
              <w:t>Manner of Administration</w:t>
            </w:r>
          </w:p>
        </w:tc>
        <w:tc>
          <w:tcPr>
            <w:tcW w:w="864" w:type="pct"/>
            <w:tcBorders>
              <w:top w:val="single" w:sz="12" w:space="0" w:color="auto"/>
              <w:bottom w:val="single" w:sz="12" w:space="0" w:color="auto"/>
            </w:tcBorders>
          </w:tcPr>
          <w:p w:rsidR="00287CA9" w:rsidRPr="007A436F" w:rsidRDefault="00287CA9" w:rsidP="00B73576">
            <w:pPr>
              <w:pStyle w:val="TableColHead"/>
            </w:pPr>
            <w:r w:rsidRPr="007A436F">
              <w:t>Brand</w:t>
            </w:r>
          </w:p>
        </w:tc>
        <w:tc>
          <w:tcPr>
            <w:tcW w:w="807" w:type="pct"/>
            <w:tcBorders>
              <w:top w:val="single" w:sz="12" w:space="0" w:color="auto"/>
              <w:bottom w:val="single" w:sz="12" w:space="0" w:color="auto"/>
            </w:tcBorders>
          </w:tcPr>
          <w:p w:rsidR="00287CA9" w:rsidRPr="007A436F" w:rsidRDefault="00287CA9" w:rsidP="00B73576">
            <w:pPr>
              <w:pStyle w:val="TableColHead"/>
            </w:pPr>
            <w:r w:rsidRPr="007A436F">
              <w:t>Section</w:t>
            </w:r>
            <w:r w:rsidR="007A436F">
              <w:t> </w:t>
            </w:r>
            <w:r w:rsidRPr="007A436F">
              <w:t>100 only</w:t>
            </w:r>
          </w:p>
        </w:tc>
      </w:tr>
      <w:tr w:rsidR="00287CA9" w:rsidRPr="007A436F" w:rsidTr="00A84969">
        <w:trPr>
          <w:cantSplit/>
        </w:trPr>
        <w:tc>
          <w:tcPr>
            <w:tcW w:w="793" w:type="pct"/>
            <w:tcBorders>
              <w:bottom w:val="nil"/>
            </w:tcBorders>
          </w:tcPr>
          <w:p w:rsidR="00287CA9" w:rsidRPr="007A436F" w:rsidRDefault="00BF39EF" w:rsidP="00B73576">
            <w:pPr>
              <w:pStyle w:val="Tabletext"/>
            </w:pPr>
            <w:r w:rsidRPr="007A436F">
              <w:t>Somatropin</w:t>
            </w:r>
          </w:p>
        </w:tc>
        <w:tc>
          <w:tcPr>
            <w:tcW w:w="1729" w:type="pct"/>
            <w:tcBorders>
              <w:bottom w:val="nil"/>
            </w:tcBorders>
          </w:tcPr>
          <w:p w:rsidR="00287CA9" w:rsidRPr="007A436F" w:rsidRDefault="00287CA9" w:rsidP="00B73576">
            <w:pPr>
              <w:pStyle w:val="Tabletext"/>
            </w:pPr>
            <w:r w:rsidRPr="007A436F">
              <w:t>Powder for injection 5 mg (15 i.u.) with diluent in pre</w:t>
            </w:r>
            <w:r w:rsidR="007A436F">
              <w:noBreakHyphen/>
            </w:r>
            <w:r w:rsidRPr="007A436F">
              <w:t>filled pen (with preservative)</w:t>
            </w:r>
          </w:p>
        </w:tc>
        <w:tc>
          <w:tcPr>
            <w:tcW w:w="807" w:type="pct"/>
            <w:tcBorders>
              <w:bottom w:val="nil"/>
            </w:tcBorders>
          </w:tcPr>
          <w:p w:rsidR="00287CA9" w:rsidRPr="007A436F" w:rsidRDefault="00287CA9" w:rsidP="00B73576">
            <w:pPr>
              <w:pStyle w:val="Tabletext"/>
            </w:pPr>
            <w:r w:rsidRPr="007A436F">
              <w:t>Injection</w:t>
            </w:r>
          </w:p>
        </w:tc>
        <w:tc>
          <w:tcPr>
            <w:tcW w:w="864" w:type="pct"/>
            <w:tcBorders>
              <w:bottom w:val="nil"/>
            </w:tcBorders>
          </w:tcPr>
          <w:p w:rsidR="00287CA9" w:rsidRPr="007A436F" w:rsidRDefault="00287CA9" w:rsidP="00B73576">
            <w:pPr>
              <w:pStyle w:val="Tabletext"/>
            </w:pPr>
            <w:r w:rsidRPr="007A436F">
              <w:t>Genotropin GoQuick</w:t>
            </w:r>
          </w:p>
        </w:tc>
        <w:tc>
          <w:tcPr>
            <w:tcW w:w="807" w:type="pct"/>
            <w:tcBorders>
              <w:bottom w:val="nil"/>
            </w:tcBorders>
          </w:tcPr>
          <w:p w:rsidR="00287CA9" w:rsidRPr="007A436F" w:rsidRDefault="00287CA9" w:rsidP="00B73576">
            <w:pPr>
              <w:pStyle w:val="Tabletext"/>
            </w:pPr>
            <w:r w:rsidRPr="007A436F">
              <w:t>D(100)</w:t>
            </w:r>
          </w:p>
        </w:tc>
      </w:tr>
      <w:tr w:rsidR="00287CA9" w:rsidRPr="007A436F" w:rsidTr="00FF7B50">
        <w:trPr>
          <w:cantSplit/>
        </w:trPr>
        <w:tc>
          <w:tcPr>
            <w:tcW w:w="793" w:type="pct"/>
          </w:tcPr>
          <w:p w:rsidR="00287CA9" w:rsidRPr="007A436F" w:rsidRDefault="00287CA9" w:rsidP="00B73576">
            <w:pPr>
              <w:pStyle w:val="Tabletext"/>
            </w:pPr>
          </w:p>
        </w:tc>
        <w:tc>
          <w:tcPr>
            <w:tcW w:w="1729" w:type="pct"/>
          </w:tcPr>
          <w:p w:rsidR="00287CA9" w:rsidRPr="007A436F" w:rsidRDefault="00287CA9" w:rsidP="00B73576">
            <w:pPr>
              <w:pStyle w:val="Tabletext"/>
            </w:pPr>
            <w:r w:rsidRPr="007A436F">
              <w:t>Powder for injection 12 mg (36 i.u.) with diluent in pre</w:t>
            </w:r>
            <w:r w:rsidR="007A436F">
              <w:noBreakHyphen/>
            </w:r>
            <w:r w:rsidRPr="007A436F">
              <w:t>filled pen (with preservative)</w:t>
            </w:r>
          </w:p>
        </w:tc>
        <w:tc>
          <w:tcPr>
            <w:tcW w:w="807" w:type="pct"/>
          </w:tcPr>
          <w:p w:rsidR="00287CA9" w:rsidRPr="007A436F" w:rsidRDefault="00287CA9" w:rsidP="00B73576">
            <w:pPr>
              <w:pStyle w:val="Tabletext"/>
            </w:pPr>
            <w:r w:rsidRPr="007A436F">
              <w:t>Injection</w:t>
            </w:r>
          </w:p>
        </w:tc>
        <w:tc>
          <w:tcPr>
            <w:tcW w:w="864" w:type="pct"/>
          </w:tcPr>
          <w:p w:rsidR="00287CA9" w:rsidRPr="007A436F" w:rsidRDefault="00287CA9" w:rsidP="00B73576">
            <w:pPr>
              <w:pStyle w:val="Tabletext"/>
            </w:pPr>
            <w:r w:rsidRPr="007A436F">
              <w:t>Genotropin GoQuick</w:t>
            </w:r>
          </w:p>
        </w:tc>
        <w:tc>
          <w:tcPr>
            <w:tcW w:w="807" w:type="pct"/>
          </w:tcPr>
          <w:p w:rsidR="00287CA9" w:rsidRPr="007A436F" w:rsidRDefault="00287CA9" w:rsidP="00B73576">
            <w:pPr>
              <w:pStyle w:val="Tabletext"/>
            </w:pPr>
            <w:r w:rsidRPr="007A436F">
              <w:t>D(100)</w:t>
            </w:r>
          </w:p>
        </w:tc>
      </w:tr>
      <w:tr w:rsidR="00F75E67" w:rsidRPr="007A436F" w:rsidTr="00FF7B50">
        <w:trPr>
          <w:cantSplit/>
        </w:trPr>
        <w:tc>
          <w:tcPr>
            <w:tcW w:w="793" w:type="pct"/>
          </w:tcPr>
          <w:p w:rsidR="00F75E67" w:rsidRPr="007A436F" w:rsidRDefault="00F75E67" w:rsidP="00B73576">
            <w:pPr>
              <w:pStyle w:val="Tabletext"/>
            </w:pPr>
          </w:p>
        </w:tc>
        <w:tc>
          <w:tcPr>
            <w:tcW w:w="1729" w:type="pct"/>
          </w:tcPr>
          <w:p w:rsidR="00F75E67" w:rsidRPr="007A436F" w:rsidRDefault="00F75E67" w:rsidP="00B73576">
            <w:pPr>
              <w:pStyle w:val="Tabletext"/>
            </w:pPr>
            <w:r w:rsidRPr="007A436F">
              <w:t>Solution for injection 5 mg (15 i.u.) in 1.5 mL cartridge (with preservative) in pre</w:t>
            </w:r>
            <w:r w:rsidR="007A436F">
              <w:noBreakHyphen/>
            </w:r>
            <w:r w:rsidRPr="007A436F">
              <w:t>filled pen</w:t>
            </w:r>
          </w:p>
        </w:tc>
        <w:tc>
          <w:tcPr>
            <w:tcW w:w="807" w:type="pct"/>
          </w:tcPr>
          <w:p w:rsidR="00F75E67" w:rsidRPr="007A436F" w:rsidRDefault="00F75E67" w:rsidP="00B73576">
            <w:pPr>
              <w:pStyle w:val="Tabletext"/>
            </w:pPr>
            <w:r w:rsidRPr="007A436F">
              <w:t>Injection</w:t>
            </w:r>
          </w:p>
        </w:tc>
        <w:tc>
          <w:tcPr>
            <w:tcW w:w="864" w:type="pct"/>
          </w:tcPr>
          <w:p w:rsidR="00F75E67" w:rsidRPr="007A436F" w:rsidRDefault="00F75E67" w:rsidP="00B73576">
            <w:pPr>
              <w:pStyle w:val="Tabletext"/>
            </w:pPr>
            <w:r w:rsidRPr="007A436F">
              <w:t>Norditropin FlexPro</w:t>
            </w:r>
          </w:p>
        </w:tc>
        <w:tc>
          <w:tcPr>
            <w:tcW w:w="807" w:type="pct"/>
          </w:tcPr>
          <w:p w:rsidR="00F75E67" w:rsidRPr="007A436F" w:rsidRDefault="00F75E67" w:rsidP="00B73576">
            <w:pPr>
              <w:pStyle w:val="Tabletext"/>
            </w:pPr>
            <w:r w:rsidRPr="007A436F">
              <w:t>D(100)</w:t>
            </w:r>
          </w:p>
        </w:tc>
      </w:tr>
      <w:tr w:rsidR="009F09FD" w:rsidRPr="007A436F" w:rsidTr="00A84969">
        <w:trPr>
          <w:cantSplit/>
        </w:trPr>
        <w:tc>
          <w:tcPr>
            <w:tcW w:w="793" w:type="pct"/>
            <w:tcBorders>
              <w:bottom w:val="single" w:sz="12" w:space="0" w:color="auto"/>
            </w:tcBorders>
          </w:tcPr>
          <w:p w:rsidR="009F09FD" w:rsidRPr="007A436F" w:rsidRDefault="009F09FD" w:rsidP="00B73576">
            <w:pPr>
              <w:pStyle w:val="Tabletext"/>
            </w:pPr>
          </w:p>
        </w:tc>
        <w:tc>
          <w:tcPr>
            <w:tcW w:w="1729" w:type="pct"/>
            <w:tcBorders>
              <w:bottom w:val="single" w:sz="12" w:space="0" w:color="auto"/>
            </w:tcBorders>
          </w:tcPr>
          <w:p w:rsidR="009F09FD" w:rsidRPr="007A436F" w:rsidRDefault="009F09FD" w:rsidP="00B73576">
            <w:pPr>
              <w:pStyle w:val="Tabletext"/>
            </w:pPr>
            <w:r w:rsidRPr="007A436F">
              <w:t>Solution for injection 10 mg (30 i.u.) in 2 mL cartridge (with preservative)</w:t>
            </w:r>
          </w:p>
        </w:tc>
        <w:tc>
          <w:tcPr>
            <w:tcW w:w="807" w:type="pct"/>
            <w:tcBorders>
              <w:bottom w:val="single" w:sz="12" w:space="0" w:color="auto"/>
            </w:tcBorders>
          </w:tcPr>
          <w:p w:rsidR="009F09FD" w:rsidRPr="007A436F" w:rsidRDefault="009F09FD" w:rsidP="00B73576">
            <w:pPr>
              <w:pStyle w:val="Tabletext"/>
            </w:pPr>
            <w:r w:rsidRPr="007A436F">
              <w:t>Injection</w:t>
            </w:r>
          </w:p>
        </w:tc>
        <w:tc>
          <w:tcPr>
            <w:tcW w:w="864" w:type="pct"/>
            <w:tcBorders>
              <w:bottom w:val="single" w:sz="12" w:space="0" w:color="auto"/>
            </w:tcBorders>
          </w:tcPr>
          <w:p w:rsidR="009F09FD" w:rsidRPr="007A436F" w:rsidRDefault="009F09FD" w:rsidP="00B73576">
            <w:pPr>
              <w:pStyle w:val="Tabletext"/>
            </w:pPr>
            <w:r w:rsidRPr="007A436F">
              <w:t>NutropinAq</w:t>
            </w:r>
          </w:p>
        </w:tc>
        <w:tc>
          <w:tcPr>
            <w:tcW w:w="807" w:type="pct"/>
            <w:tcBorders>
              <w:bottom w:val="single" w:sz="12" w:space="0" w:color="auto"/>
            </w:tcBorders>
          </w:tcPr>
          <w:p w:rsidR="009F09FD" w:rsidRPr="007A436F" w:rsidRDefault="009F09FD" w:rsidP="00B73576">
            <w:pPr>
              <w:pStyle w:val="Tabletext"/>
            </w:pPr>
            <w:r w:rsidRPr="007A436F">
              <w:t>D(100)</w:t>
            </w:r>
          </w:p>
        </w:tc>
      </w:tr>
    </w:tbl>
    <w:p w:rsidR="00E916D2" w:rsidRPr="007A436F" w:rsidRDefault="00E916D2" w:rsidP="00700DD1"/>
    <w:p w:rsidR="00812422" w:rsidRPr="007A436F" w:rsidRDefault="00812422" w:rsidP="00812422">
      <w:pPr>
        <w:sectPr w:rsidR="00812422" w:rsidRPr="007A436F" w:rsidSect="00864B3F">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2325" w:right="1797" w:bottom="1440" w:left="1797" w:header="720" w:footer="709" w:gutter="0"/>
          <w:cols w:space="720"/>
          <w:docGrid w:linePitch="299"/>
        </w:sectPr>
      </w:pPr>
      <w:bookmarkStart w:id="56" w:name="OPCSB_LandScapeNonAmdSchA4"/>
    </w:p>
    <w:p w:rsidR="00B54BEC" w:rsidRPr="007A436F" w:rsidRDefault="00B54BEC" w:rsidP="00B54BEC">
      <w:pPr>
        <w:pStyle w:val="ENotesHeading1"/>
        <w:pageBreakBefore/>
        <w:outlineLvl w:val="9"/>
      </w:pPr>
      <w:bookmarkStart w:id="57" w:name="_Toc74311804"/>
      <w:bookmarkEnd w:id="56"/>
      <w:r w:rsidRPr="007A436F">
        <w:lastRenderedPageBreak/>
        <w:t>Endnotes</w:t>
      </w:r>
      <w:bookmarkEnd w:id="57"/>
    </w:p>
    <w:p w:rsidR="00A84969" w:rsidRPr="007A436F" w:rsidRDefault="00A84969" w:rsidP="00B73576">
      <w:pPr>
        <w:pStyle w:val="ENotesHeading2"/>
        <w:spacing w:line="240" w:lineRule="auto"/>
        <w:outlineLvl w:val="9"/>
      </w:pPr>
      <w:bookmarkStart w:id="58" w:name="_Toc74311805"/>
      <w:r w:rsidRPr="007A436F">
        <w:t>Endnote 1—About the endnotes</w:t>
      </w:r>
      <w:bookmarkEnd w:id="58"/>
    </w:p>
    <w:p w:rsidR="00A84969" w:rsidRPr="007A436F" w:rsidRDefault="00A84969" w:rsidP="00B73576">
      <w:pPr>
        <w:spacing w:after="120"/>
      </w:pPr>
      <w:r w:rsidRPr="007A436F">
        <w:t>The endnotes provide information about this compilation and the compiled law.</w:t>
      </w:r>
    </w:p>
    <w:p w:rsidR="00A84969" w:rsidRPr="007A436F" w:rsidRDefault="00A84969" w:rsidP="00B73576">
      <w:pPr>
        <w:spacing w:after="120"/>
      </w:pPr>
      <w:r w:rsidRPr="007A436F">
        <w:t>The following endnotes are included in every compilation:</w:t>
      </w:r>
    </w:p>
    <w:p w:rsidR="00A84969" w:rsidRPr="007A436F" w:rsidRDefault="00A84969" w:rsidP="00B73576">
      <w:r w:rsidRPr="007A436F">
        <w:t>Endnote 1—About the endnotes</w:t>
      </w:r>
    </w:p>
    <w:p w:rsidR="00A84969" w:rsidRPr="007A436F" w:rsidRDefault="00A84969" w:rsidP="00B73576">
      <w:r w:rsidRPr="007A436F">
        <w:t>Endnote 2—Abbreviation key</w:t>
      </w:r>
    </w:p>
    <w:p w:rsidR="00A84969" w:rsidRPr="007A436F" w:rsidRDefault="00A84969" w:rsidP="00B73576">
      <w:r w:rsidRPr="007A436F">
        <w:t>Endnote 3—Legislation history</w:t>
      </w:r>
    </w:p>
    <w:p w:rsidR="00A84969" w:rsidRPr="007A436F" w:rsidRDefault="00A84969" w:rsidP="00B73576">
      <w:pPr>
        <w:spacing w:after="120"/>
      </w:pPr>
      <w:r w:rsidRPr="007A436F">
        <w:t>Endnote 4—Amendment history</w:t>
      </w:r>
    </w:p>
    <w:p w:rsidR="00A84969" w:rsidRPr="007A436F" w:rsidRDefault="00A84969" w:rsidP="00B73576">
      <w:r w:rsidRPr="007A436F">
        <w:rPr>
          <w:b/>
        </w:rPr>
        <w:t>Abbreviation key—Endnote 2</w:t>
      </w:r>
    </w:p>
    <w:p w:rsidR="00A84969" w:rsidRPr="007A436F" w:rsidRDefault="00A84969" w:rsidP="00B73576">
      <w:pPr>
        <w:spacing w:after="120"/>
      </w:pPr>
      <w:r w:rsidRPr="007A436F">
        <w:t>The abbreviation key sets out abbreviations that may be used in the endnotes.</w:t>
      </w:r>
    </w:p>
    <w:p w:rsidR="00A84969" w:rsidRPr="007A436F" w:rsidRDefault="00A84969" w:rsidP="00B73576">
      <w:pPr>
        <w:rPr>
          <w:b/>
        </w:rPr>
      </w:pPr>
      <w:r w:rsidRPr="007A436F">
        <w:rPr>
          <w:b/>
        </w:rPr>
        <w:t>Legislation history and amendment history—Endnotes 3 and 4</w:t>
      </w:r>
    </w:p>
    <w:p w:rsidR="00A84969" w:rsidRPr="007A436F" w:rsidRDefault="00A84969" w:rsidP="00B73576">
      <w:pPr>
        <w:spacing w:after="120"/>
      </w:pPr>
      <w:r w:rsidRPr="007A436F">
        <w:t>Amending laws are annotated in the legislation history and amendment history.</w:t>
      </w:r>
    </w:p>
    <w:p w:rsidR="00A84969" w:rsidRPr="007A436F" w:rsidRDefault="00A84969" w:rsidP="00B73576">
      <w:pPr>
        <w:spacing w:after="120"/>
      </w:pPr>
      <w:r w:rsidRPr="007A436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84969" w:rsidRPr="007A436F" w:rsidRDefault="00A84969" w:rsidP="00B73576">
      <w:pPr>
        <w:spacing w:after="120"/>
      </w:pPr>
      <w:r w:rsidRPr="007A436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84969" w:rsidRPr="007A436F" w:rsidRDefault="00A84969" w:rsidP="00B73576">
      <w:pPr>
        <w:rPr>
          <w:b/>
        </w:rPr>
      </w:pPr>
      <w:r w:rsidRPr="007A436F">
        <w:rPr>
          <w:b/>
        </w:rPr>
        <w:t>Editorial changes</w:t>
      </w:r>
    </w:p>
    <w:p w:rsidR="00A84969" w:rsidRPr="007A436F" w:rsidRDefault="00A84969" w:rsidP="00B73576">
      <w:pPr>
        <w:spacing w:after="120"/>
      </w:pPr>
      <w:r w:rsidRPr="007A436F">
        <w:t xml:space="preserve">The </w:t>
      </w:r>
      <w:r w:rsidRPr="007A436F">
        <w:rPr>
          <w:i/>
        </w:rPr>
        <w:t>Legislation Act 2003</w:t>
      </w:r>
      <w:r w:rsidRPr="007A436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84969" w:rsidRPr="007A436F" w:rsidRDefault="00A84969" w:rsidP="00B73576">
      <w:pPr>
        <w:spacing w:after="120"/>
      </w:pPr>
      <w:r w:rsidRPr="007A436F">
        <w:t xml:space="preserve">If the compilation includes editorial changes, the endnotes include a brief outline of the changes in general terms. Full details of any changes can be obtained from the Office of Parliamentary Counsel. </w:t>
      </w:r>
    </w:p>
    <w:p w:rsidR="00A84969" w:rsidRPr="007A436F" w:rsidRDefault="00A84969" w:rsidP="00B73576">
      <w:pPr>
        <w:keepNext/>
      </w:pPr>
      <w:r w:rsidRPr="007A436F">
        <w:rPr>
          <w:b/>
        </w:rPr>
        <w:t>Misdescribed amendments</w:t>
      </w:r>
    </w:p>
    <w:p w:rsidR="00A84969" w:rsidRPr="007A436F" w:rsidRDefault="00A84969" w:rsidP="00B73576">
      <w:pPr>
        <w:spacing w:after="120"/>
      </w:pPr>
      <w:r w:rsidRPr="007A436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84969" w:rsidRPr="007A436F" w:rsidRDefault="00A84969" w:rsidP="00B73576">
      <w:pPr>
        <w:spacing w:before="120"/>
      </w:pPr>
      <w:r w:rsidRPr="007A436F">
        <w:t>If a misdescribed amendment cannot be given effect as intended, the abbreviation “(md not incorp)” is added to the details of the amendment included in the amendment history.</w:t>
      </w:r>
    </w:p>
    <w:p w:rsidR="008272CE" w:rsidRPr="007A436F" w:rsidRDefault="008272CE" w:rsidP="008272CE"/>
    <w:p w:rsidR="00A84969" w:rsidRPr="007A436F" w:rsidRDefault="00A84969" w:rsidP="00B73576">
      <w:pPr>
        <w:pStyle w:val="ENotesHeading2"/>
        <w:pageBreakBefore/>
        <w:outlineLvl w:val="9"/>
      </w:pPr>
      <w:bookmarkStart w:id="59" w:name="_Toc74311806"/>
      <w:r w:rsidRPr="007A436F">
        <w:lastRenderedPageBreak/>
        <w:t>Endnote 2—Abbreviation key</w:t>
      </w:r>
      <w:bookmarkEnd w:id="59"/>
    </w:p>
    <w:p w:rsidR="00A84969" w:rsidRPr="007A436F" w:rsidRDefault="00A84969" w:rsidP="00B73576">
      <w:pPr>
        <w:pStyle w:val="Tabletext"/>
      </w:pPr>
    </w:p>
    <w:tbl>
      <w:tblPr>
        <w:tblW w:w="5000" w:type="pct"/>
        <w:tblLook w:val="0000" w:firstRow="0" w:lastRow="0" w:firstColumn="0" w:lastColumn="0" w:noHBand="0" w:noVBand="0"/>
      </w:tblPr>
      <w:tblGrid>
        <w:gridCol w:w="4570"/>
        <w:gridCol w:w="3959"/>
      </w:tblGrid>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ad = added or inserted</w:t>
            </w:r>
          </w:p>
        </w:tc>
        <w:tc>
          <w:tcPr>
            <w:tcW w:w="2321" w:type="pct"/>
            <w:shd w:val="clear" w:color="auto" w:fill="auto"/>
          </w:tcPr>
          <w:p w:rsidR="00A84969" w:rsidRPr="007A436F" w:rsidRDefault="00A84969" w:rsidP="00B73576">
            <w:pPr>
              <w:spacing w:before="60"/>
              <w:ind w:left="34"/>
              <w:rPr>
                <w:sz w:val="20"/>
              </w:rPr>
            </w:pPr>
            <w:r w:rsidRPr="007A436F">
              <w:rPr>
                <w:sz w:val="20"/>
              </w:rPr>
              <w:t>o = order(s)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am = amended</w:t>
            </w:r>
          </w:p>
        </w:tc>
        <w:tc>
          <w:tcPr>
            <w:tcW w:w="2321" w:type="pct"/>
            <w:shd w:val="clear" w:color="auto" w:fill="auto"/>
          </w:tcPr>
          <w:p w:rsidR="00A84969" w:rsidRPr="007A436F" w:rsidRDefault="00A84969" w:rsidP="00B73576">
            <w:pPr>
              <w:spacing w:before="60"/>
              <w:ind w:left="34"/>
              <w:rPr>
                <w:sz w:val="20"/>
              </w:rPr>
            </w:pPr>
            <w:r w:rsidRPr="007A436F">
              <w:rPr>
                <w:sz w:val="20"/>
              </w:rPr>
              <w:t>Ord = Ordinance</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amdt = amendment</w:t>
            </w:r>
          </w:p>
        </w:tc>
        <w:tc>
          <w:tcPr>
            <w:tcW w:w="2321" w:type="pct"/>
            <w:shd w:val="clear" w:color="auto" w:fill="auto"/>
          </w:tcPr>
          <w:p w:rsidR="00A84969" w:rsidRPr="007A436F" w:rsidRDefault="00A84969" w:rsidP="00B73576">
            <w:pPr>
              <w:spacing w:before="60"/>
              <w:ind w:left="34"/>
              <w:rPr>
                <w:sz w:val="20"/>
              </w:rPr>
            </w:pPr>
            <w:r w:rsidRPr="007A436F">
              <w:rPr>
                <w:sz w:val="20"/>
              </w:rPr>
              <w:t>orig = original</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c = clause(s)</w:t>
            </w:r>
          </w:p>
        </w:tc>
        <w:tc>
          <w:tcPr>
            <w:tcW w:w="2321" w:type="pct"/>
            <w:shd w:val="clear" w:color="auto" w:fill="auto"/>
          </w:tcPr>
          <w:p w:rsidR="00A84969" w:rsidRPr="007A436F" w:rsidRDefault="00A84969" w:rsidP="00B73576">
            <w:pPr>
              <w:spacing w:before="60"/>
              <w:ind w:left="34"/>
              <w:rPr>
                <w:sz w:val="20"/>
              </w:rPr>
            </w:pPr>
            <w:r w:rsidRPr="007A436F">
              <w:rPr>
                <w:sz w:val="20"/>
              </w:rPr>
              <w:t>par = paragraph(s)/subparagraph(s)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C[x] = Compilation No. x</w:t>
            </w:r>
          </w:p>
        </w:tc>
        <w:tc>
          <w:tcPr>
            <w:tcW w:w="2321" w:type="pct"/>
            <w:shd w:val="clear" w:color="auto" w:fill="auto"/>
          </w:tcPr>
          <w:p w:rsidR="00A84969" w:rsidRPr="007A436F" w:rsidRDefault="006B153A" w:rsidP="006B153A">
            <w:pPr>
              <w:ind w:left="34" w:firstLine="249"/>
              <w:rPr>
                <w:sz w:val="20"/>
              </w:rPr>
            </w:pPr>
            <w:r w:rsidRPr="007A436F">
              <w:rPr>
                <w:sz w:val="20"/>
              </w:rPr>
              <w:t>/</w:t>
            </w:r>
            <w:r w:rsidR="00A84969" w:rsidRPr="007A436F">
              <w:rPr>
                <w:sz w:val="20"/>
              </w:rPr>
              <w:t>sub</w:t>
            </w:r>
            <w:r w:rsidR="007A436F">
              <w:rPr>
                <w:sz w:val="20"/>
              </w:rPr>
              <w:noBreakHyphen/>
            </w:r>
            <w:r w:rsidR="00A84969" w:rsidRPr="007A436F">
              <w:rPr>
                <w:sz w:val="20"/>
              </w:rPr>
              <w:t>subparagraph(s)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Ch = Chapter(s)</w:t>
            </w:r>
          </w:p>
        </w:tc>
        <w:tc>
          <w:tcPr>
            <w:tcW w:w="2321" w:type="pct"/>
            <w:shd w:val="clear" w:color="auto" w:fill="auto"/>
          </w:tcPr>
          <w:p w:rsidR="00A84969" w:rsidRPr="007A436F" w:rsidRDefault="00A84969" w:rsidP="00B73576">
            <w:pPr>
              <w:spacing w:before="60"/>
              <w:ind w:left="34"/>
              <w:rPr>
                <w:sz w:val="20"/>
              </w:rPr>
            </w:pPr>
            <w:r w:rsidRPr="007A436F">
              <w:rPr>
                <w:sz w:val="20"/>
              </w:rPr>
              <w:t>pres = present</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def = definition(s)</w:t>
            </w:r>
          </w:p>
        </w:tc>
        <w:tc>
          <w:tcPr>
            <w:tcW w:w="2321" w:type="pct"/>
            <w:shd w:val="clear" w:color="auto" w:fill="auto"/>
          </w:tcPr>
          <w:p w:rsidR="00A84969" w:rsidRPr="007A436F" w:rsidRDefault="00A84969" w:rsidP="00B73576">
            <w:pPr>
              <w:spacing w:before="60"/>
              <w:ind w:left="34"/>
              <w:rPr>
                <w:sz w:val="20"/>
              </w:rPr>
            </w:pPr>
            <w:r w:rsidRPr="007A436F">
              <w:rPr>
                <w:sz w:val="20"/>
              </w:rPr>
              <w:t>prev = previous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Dict = Dictionary</w:t>
            </w:r>
          </w:p>
        </w:tc>
        <w:tc>
          <w:tcPr>
            <w:tcW w:w="2321" w:type="pct"/>
            <w:shd w:val="clear" w:color="auto" w:fill="auto"/>
          </w:tcPr>
          <w:p w:rsidR="00A84969" w:rsidRPr="007A436F" w:rsidRDefault="00A84969" w:rsidP="00B73576">
            <w:pPr>
              <w:spacing w:before="60"/>
              <w:ind w:left="34"/>
              <w:rPr>
                <w:sz w:val="20"/>
              </w:rPr>
            </w:pPr>
            <w:r w:rsidRPr="007A436F">
              <w:rPr>
                <w:sz w:val="20"/>
              </w:rPr>
              <w:t>(prev…) = previously</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disallowed = disallowed by Parliament</w:t>
            </w:r>
          </w:p>
        </w:tc>
        <w:tc>
          <w:tcPr>
            <w:tcW w:w="2321" w:type="pct"/>
            <w:shd w:val="clear" w:color="auto" w:fill="auto"/>
          </w:tcPr>
          <w:p w:rsidR="00A84969" w:rsidRPr="007A436F" w:rsidRDefault="00A84969" w:rsidP="00B73576">
            <w:pPr>
              <w:spacing w:before="60"/>
              <w:ind w:left="34"/>
              <w:rPr>
                <w:sz w:val="20"/>
              </w:rPr>
            </w:pPr>
            <w:r w:rsidRPr="007A436F">
              <w:rPr>
                <w:sz w:val="20"/>
              </w:rPr>
              <w:t>Pt = Part(s)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Div = Division(s)</w:t>
            </w:r>
          </w:p>
        </w:tc>
        <w:tc>
          <w:tcPr>
            <w:tcW w:w="2321" w:type="pct"/>
            <w:shd w:val="clear" w:color="auto" w:fill="auto"/>
          </w:tcPr>
          <w:p w:rsidR="00A84969" w:rsidRPr="007A436F" w:rsidRDefault="00A84969" w:rsidP="00B73576">
            <w:pPr>
              <w:spacing w:before="60"/>
              <w:ind w:left="34"/>
              <w:rPr>
                <w:sz w:val="20"/>
              </w:rPr>
            </w:pPr>
            <w:r w:rsidRPr="007A436F">
              <w:rPr>
                <w:sz w:val="20"/>
              </w:rPr>
              <w:t>r = regulation(s)/rule(s)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ed = editorial change</w:t>
            </w:r>
          </w:p>
        </w:tc>
        <w:tc>
          <w:tcPr>
            <w:tcW w:w="2321" w:type="pct"/>
            <w:shd w:val="clear" w:color="auto" w:fill="auto"/>
          </w:tcPr>
          <w:p w:rsidR="00A84969" w:rsidRPr="007A436F" w:rsidRDefault="00A84969" w:rsidP="00B73576">
            <w:pPr>
              <w:spacing w:before="60"/>
              <w:ind w:left="34"/>
              <w:rPr>
                <w:sz w:val="20"/>
              </w:rPr>
            </w:pPr>
            <w:r w:rsidRPr="007A436F">
              <w:rPr>
                <w:sz w:val="20"/>
              </w:rPr>
              <w:t>reloc = relocated</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exp = expires/expired or ceases/ceased to have</w:t>
            </w:r>
          </w:p>
        </w:tc>
        <w:tc>
          <w:tcPr>
            <w:tcW w:w="2321" w:type="pct"/>
            <w:shd w:val="clear" w:color="auto" w:fill="auto"/>
          </w:tcPr>
          <w:p w:rsidR="00A84969" w:rsidRPr="007A436F" w:rsidRDefault="00A84969" w:rsidP="00B73576">
            <w:pPr>
              <w:spacing w:before="60"/>
              <w:ind w:left="34"/>
              <w:rPr>
                <w:sz w:val="20"/>
              </w:rPr>
            </w:pPr>
            <w:r w:rsidRPr="007A436F">
              <w:rPr>
                <w:sz w:val="20"/>
              </w:rPr>
              <w:t>renum = renumbered</w:t>
            </w:r>
          </w:p>
        </w:tc>
      </w:tr>
      <w:tr w:rsidR="00A84969" w:rsidRPr="007A436F" w:rsidTr="00A84969">
        <w:tc>
          <w:tcPr>
            <w:tcW w:w="2679" w:type="pct"/>
            <w:shd w:val="clear" w:color="auto" w:fill="auto"/>
          </w:tcPr>
          <w:p w:rsidR="00A84969" w:rsidRPr="007A436F" w:rsidRDefault="006B153A" w:rsidP="006B153A">
            <w:pPr>
              <w:ind w:left="34" w:firstLine="249"/>
              <w:rPr>
                <w:sz w:val="20"/>
              </w:rPr>
            </w:pPr>
            <w:r w:rsidRPr="007A436F">
              <w:rPr>
                <w:sz w:val="20"/>
              </w:rPr>
              <w:t>e</w:t>
            </w:r>
            <w:r w:rsidR="00A84969" w:rsidRPr="007A436F">
              <w:rPr>
                <w:sz w:val="20"/>
              </w:rPr>
              <w:t>ffect</w:t>
            </w:r>
          </w:p>
        </w:tc>
        <w:tc>
          <w:tcPr>
            <w:tcW w:w="2321" w:type="pct"/>
            <w:shd w:val="clear" w:color="auto" w:fill="auto"/>
          </w:tcPr>
          <w:p w:rsidR="00A84969" w:rsidRPr="007A436F" w:rsidRDefault="00A84969" w:rsidP="00B73576">
            <w:pPr>
              <w:spacing w:before="60"/>
              <w:ind w:left="34"/>
              <w:rPr>
                <w:sz w:val="20"/>
              </w:rPr>
            </w:pPr>
            <w:r w:rsidRPr="007A436F">
              <w:rPr>
                <w:sz w:val="20"/>
              </w:rPr>
              <w:t>rep = repealed</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F = Federal Register of Legislation</w:t>
            </w:r>
          </w:p>
        </w:tc>
        <w:tc>
          <w:tcPr>
            <w:tcW w:w="2321" w:type="pct"/>
            <w:shd w:val="clear" w:color="auto" w:fill="auto"/>
          </w:tcPr>
          <w:p w:rsidR="00A84969" w:rsidRPr="007A436F" w:rsidRDefault="00A84969" w:rsidP="00B73576">
            <w:pPr>
              <w:spacing w:before="60"/>
              <w:ind w:left="34"/>
              <w:rPr>
                <w:sz w:val="20"/>
              </w:rPr>
            </w:pPr>
            <w:r w:rsidRPr="007A436F">
              <w:rPr>
                <w:sz w:val="20"/>
              </w:rPr>
              <w:t>rs = repealed and substituted</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gaz = gazette</w:t>
            </w:r>
          </w:p>
        </w:tc>
        <w:tc>
          <w:tcPr>
            <w:tcW w:w="2321" w:type="pct"/>
            <w:shd w:val="clear" w:color="auto" w:fill="auto"/>
          </w:tcPr>
          <w:p w:rsidR="00A84969" w:rsidRPr="007A436F" w:rsidRDefault="00A84969" w:rsidP="00B73576">
            <w:pPr>
              <w:spacing w:before="60"/>
              <w:ind w:left="34"/>
              <w:rPr>
                <w:sz w:val="20"/>
              </w:rPr>
            </w:pPr>
            <w:r w:rsidRPr="007A436F">
              <w:rPr>
                <w:sz w:val="20"/>
              </w:rPr>
              <w:t>s = section(s)/subsection(s)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 xml:space="preserve">LA = </w:t>
            </w:r>
            <w:r w:rsidRPr="007A436F">
              <w:rPr>
                <w:i/>
                <w:sz w:val="20"/>
              </w:rPr>
              <w:t>Legislation Act 2003</w:t>
            </w:r>
          </w:p>
        </w:tc>
        <w:tc>
          <w:tcPr>
            <w:tcW w:w="2321" w:type="pct"/>
            <w:shd w:val="clear" w:color="auto" w:fill="auto"/>
          </w:tcPr>
          <w:p w:rsidR="00A84969" w:rsidRPr="007A436F" w:rsidRDefault="00A84969" w:rsidP="00B73576">
            <w:pPr>
              <w:spacing w:before="60"/>
              <w:ind w:left="34"/>
              <w:rPr>
                <w:sz w:val="20"/>
              </w:rPr>
            </w:pPr>
            <w:r w:rsidRPr="007A436F">
              <w:rPr>
                <w:sz w:val="20"/>
              </w:rPr>
              <w:t>Sch = Schedule(s)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 xml:space="preserve">LIA = </w:t>
            </w:r>
            <w:r w:rsidRPr="007A436F">
              <w:rPr>
                <w:i/>
                <w:sz w:val="20"/>
              </w:rPr>
              <w:t>Legislative Instruments Act 2003</w:t>
            </w:r>
          </w:p>
        </w:tc>
        <w:tc>
          <w:tcPr>
            <w:tcW w:w="2321" w:type="pct"/>
            <w:shd w:val="clear" w:color="auto" w:fill="auto"/>
          </w:tcPr>
          <w:p w:rsidR="00A84969" w:rsidRPr="007A436F" w:rsidRDefault="00A84969" w:rsidP="00B73576">
            <w:pPr>
              <w:spacing w:before="60"/>
              <w:ind w:left="34"/>
              <w:rPr>
                <w:sz w:val="20"/>
              </w:rPr>
            </w:pPr>
            <w:r w:rsidRPr="007A436F">
              <w:rPr>
                <w:sz w:val="20"/>
              </w:rPr>
              <w:t>Sdiv = Subdivision(s)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(md) = misdescribed amendment can be given</w:t>
            </w:r>
          </w:p>
        </w:tc>
        <w:tc>
          <w:tcPr>
            <w:tcW w:w="2321" w:type="pct"/>
            <w:shd w:val="clear" w:color="auto" w:fill="auto"/>
          </w:tcPr>
          <w:p w:rsidR="00A84969" w:rsidRPr="007A436F" w:rsidRDefault="00A84969" w:rsidP="00B73576">
            <w:pPr>
              <w:spacing w:before="60"/>
              <w:ind w:left="34"/>
              <w:rPr>
                <w:sz w:val="20"/>
              </w:rPr>
            </w:pPr>
            <w:r w:rsidRPr="007A436F">
              <w:rPr>
                <w:sz w:val="20"/>
              </w:rPr>
              <w:t>SLI = Select Legislative Instrument</w:t>
            </w:r>
          </w:p>
        </w:tc>
      </w:tr>
      <w:tr w:rsidR="00A84969" w:rsidRPr="007A436F" w:rsidTr="00A84969">
        <w:tc>
          <w:tcPr>
            <w:tcW w:w="2679" w:type="pct"/>
            <w:shd w:val="clear" w:color="auto" w:fill="auto"/>
          </w:tcPr>
          <w:p w:rsidR="00A84969" w:rsidRPr="007A436F" w:rsidRDefault="006B153A" w:rsidP="006B153A">
            <w:pPr>
              <w:ind w:left="34" w:firstLine="249"/>
              <w:rPr>
                <w:sz w:val="20"/>
              </w:rPr>
            </w:pPr>
            <w:r w:rsidRPr="007A436F">
              <w:rPr>
                <w:sz w:val="20"/>
              </w:rPr>
              <w:t>e</w:t>
            </w:r>
            <w:r w:rsidR="00A84969" w:rsidRPr="007A436F">
              <w:rPr>
                <w:sz w:val="20"/>
              </w:rPr>
              <w:t>ffect</w:t>
            </w:r>
          </w:p>
        </w:tc>
        <w:tc>
          <w:tcPr>
            <w:tcW w:w="2321" w:type="pct"/>
            <w:shd w:val="clear" w:color="auto" w:fill="auto"/>
          </w:tcPr>
          <w:p w:rsidR="00A84969" w:rsidRPr="007A436F" w:rsidRDefault="00A84969" w:rsidP="00B73576">
            <w:pPr>
              <w:spacing w:before="60"/>
              <w:ind w:left="34"/>
              <w:rPr>
                <w:sz w:val="20"/>
              </w:rPr>
            </w:pPr>
            <w:r w:rsidRPr="007A436F">
              <w:rPr>
                <w:sz w:val="20"/>
              </w:rPr>
              <w:t>SR = Statutory Rules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(md not incorp) = misdescribed amendment</w:t>
            </w:r>
          </w:p>
        </w:tc>
        <w:tc>
          <w:tcPr>
            <w:tcW w:w="2321" w:type="pct"/>
            <w:shd w:val="clear" w:color="auto" w:fill="auto"/>
          </w:tcPr>
          <w:p w:rsidR="00A84969" w:rsidRPr="007A436F" w:rsidRDefault="00A84969" w:rsidP="00B73576">
            <w:pPr>
              <w:spacing w:before="60"/>
              <w:ind w:left="34"/>
              <w:rPr>
                <w:sz w:val="20"/>
              </w:rPr>
            </w:pPr>
            <w:r w:rsidRPr="007A436F">
              <w:rPr>
                <w:sz w:val="20"/>
              </w:rPr>
              <w:t>Sub</w:t>
            </w:r>
            <w:r w:rsidR="007A436F">
              <w:rPr>
                <w:sz w:val="20"/>
              </w:rPr>
              <w:noBreakHyphen/>
            </w:r>
            <w:r w:rsidRPr="007A436F">
              <w:rPr>
                <w:sz w:val="20"/>
              </w:rPr>
              <w:t>Ch = Sub</w:t>
            </w:r>
            <w:r w:rsidR="007A436F">
              <w:rPr>
                <w:sz w:val="20"/>
              </w:rPr>
              <w:noBreakHyphen/>
            </w:r>
            <w:r w:rsidRPr="007A436F">
              <w:rPr>
                <w:sz w:val="20"/>
              </w:rPr>
              <w:t>Chapter(s)</w:t>
            </w:r>
          </w:p>
        </w:tc>
      </w:tr>
      <w:tr w:rsidR="00A84969" w:rsidRPr="007A436F" w:rsidTr="00A84969">
        <w:tc>
          <w:tcPr>
            <w:tcW w:w="2679" w:type="pct"/>
            <w:shd w:val="clear" w:color="auto" w:fill="auto"/>
          </w:tcPr>
          <w:p w:rsidR="00A84969" w:rsidRPr="007A436F" w:rsidRDefault="006B153A" w:rsidP="006B153A">
            <w:pPr>
              <w:ind w:left="34" w:firstLine="249"/>
              <w:rPr>
                <w:sz w:val="20"/>
              </w:rPr>
            </w:pPr>
            <w:r w:rsidRPr="007A436F">
              <w:rPr>
                <w:sz w:val="20"/>
              </w:rPr>
              <w:t>c</w:t>
            </w:r>
            <w:r w:rsidR="00A84969" w:rsidRPr="007A436F">
              <w:rPr>
                <w:sz w:val="20"/>
              </w:rPr>
              <w:t>annot be given effect</w:t>
            </w:r>
          </w:p>
        </w:tc>
        <w:tc>
          <w:tcPr>
            <w:tcW w:w="2321" w:type="pct"/>
            <w:shd w:val="clear" w:color="auto" w:fill="auto"/>
          </w:tcPr>
          <w:p w:rsidR="00A84969" w:rsidRPr="007A436F" w:rsidRDefault="00A84969" w:rsidP="00B73576">
            <w:pPr>
              <w:spacing w:before="60"/>
              <w:ind w:left="34"/>
              <w:rPr>
                <w:sz w:val="20"/>
              </w:rPr>
            </w:pPr>
            <w:r w:rsidRPr="007A436F">
              <w:rPr>
                <w:sz w:val="20"/>
              </w:rPr>
              <w:t>SubPt = Subpart(s)</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mod = modified/modification</w:t>
            </w:r>
          </w:p>
        </w:tc>
        <w:tc>
          <w:tcPr>
            <w:tcW w:w="2321" w:type="pct"/>
            <w:shd w:val="clear" w:color="auto" w:fill="auto"/>
          </w:tcPr>
          <w:p w:rsidR="00A84969" w:rsidRPr="007A436F" w:rsidRDefault="00A84969" w:rsidP="00B73576">
            <w:pPr>
              <w:spacing w:before="60"/>
              <w:ind w:left="34"/>
              <w:rPr>
                <w:sz w:val="20"/>
              </w:rPr>
            </w:pPr>
            <w:r w:rsidRPr="007A436F">
              <w:rPr>
                <w:sz w:val="20"/>
                <w:u w:val="single"/>
              </w:rPr>
              <w:t>underlining</w:t>
            </w:r>
            <w:r w:rsidRPr="007A436F">
              <w:rPr>
                <w:sz w:val="20"/>
              </w:rPr>
              <w:t xml:space="preserve"> = whole or part not</w:t>
            </w:r>
          </w:p>
        </w:tc>
      </w:tr>
      <w:tr w:rsidR="00A84969" w:rsidRPr="007A436F" w:rsidTr="00A84969">
        <w:tc>
          <w:tcPr>
            <w:tcW w:w="2679" w:type="pct"/>
            <w:shd w:val="clear" w:color="auto" w:fill="auto"/>
          </w:tcPr>
          <w:p w:rsidR="00A84969" w:rsidRPr="007A436F" w:rsidRDefault="00A84969" w:rsidP="00B73576">
            <w:pPr>
              <w:spacing w:before="60"/>
              <w:ind w:left="34"/>
              <w:rPr>
                <w:sz w:val="20"/>
              </w:rPr>
            </w:pPr>
            <w:r w:rsidRPr="007A436F">
              <w:rPr>
                <w:sz w:val="20"/>
              </w:rPr>
              <w:t>No. = Number(s)</w:t>
            </w:r>
          </w:p>
        </w:tc>
        <w:tc>
          <w:tcPr>
            <w:tcW w:w="2321" w:type="pct"/>
            <w:shd w:val="clear" w:color="auto" w:fill="auto"/>
          </w:tcPr>
          <w:p w:rsidR="00A84969" w:rsidRPr="007A436F" w:rsidRDefault="006B153A" w:rsidP="006B153A">
            <w:pPr>
              <w:ind w:left="34" w:firstLine="249"/>
              <w:rPr>
                <w:sz w:val="20"/>
              </w:rPr>
            </w:pPr>
            <w:r w:rsidRPr="007A436F">
              <w:rPr>
                <w:sz w:val="20"/>
              </w:rPr>
              <w:t>c</w:t>
            </w:r>
            <w:r w:rsidR="00A84969" w:rsidRPr="007A436F">
              <w:rPr>
                <w:sz w:val="20"/>
              </w:rPr>
              <w:t>ommenced or to be commenced</w:t>
            </w:r>
          </w:p>
        </w:tc>
      </w:tr>
    </w:tbl>
    <w:p w:rsidR="00A84969" w:rsidRPr="007A436F" w:rsidRDefault="00A84969" w:rsidP="00B73576">
      <w:pPr>
        <w:pStyle w:val="Tabletext"/>
      </w:pPr>
    </w:p>
    <w:p w:rsidR="00812422" w:rsidRPr="007A436F" w:rsidRDefault="00812422" w:rsidP="00CE2F6F">
      <w:pPr>
        <w:pStyle w:val="ENotesHeading2"/>
        <w:pageBreakBefore/>
        <w:outlineLvl w:val="9"/>
      </w:pPr>
      <w:bookmarkStart w:id="60" w:name="_Toc74311807"/>
      <w:r w:rsidRPr="007A436F">
        <w:lastRenderedPageBreak/>
        <w:t>Endnote 3—Legislation history</w:t>
      </w:r>
      <w:bookmarkEnd w:id="60"/>
    </w:p>
    <w:p w:rsidR="00812422" w:rsidRPr="007A436F" w:rsidRDefault="00812422" w:rsidP="0081242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53"/>
        <w:gridCol w:w="1986"/>
        <w:gridCol w:w="2098"/>
        <w:gridCol w:w="2192"/>
      </w:tblGrid>
      <w:tr w:rsidR="00812422" w:rsidRPr="007A436F" w:rsidTr="00A84969">
        <w:trPr>
          <w:cantSplit/>
          <w:tblHeader/>
        </w:trPr>
        <w:tc>
          <w:tcPr>
            <w:tcW w:w="1320" w:type="pct"/>
            <w:tcBorders>
              <w:top w:val="single" w:sz="12" w:space="0" w:color="auto"/>
              <w:bottom w:val="single" w:sz="12" w:space="0" w:color="auto"/>
            </w:tcBorders>
            <w:shd w:val="clear" w:color="auto" w:fill="auto"/>
          </w:tcPr>
          <w:p w:rsidR="00812422" w:rsidRPr="007A436F" w:rsidRDefault="00812422" w:rsidP="00812422">
            <w:pPr>
              <w:pStyle w:val="ENoteTableHeading"/>
            </w:pPr>
            <w:r w:rsidRPr="007A436F">
              <w:t>Name</w:t>
            </w:r>
          </w:p>
        </w:tc>
        <w:tc>
          <w:tcPr>
            <w:tcW w:w="1164" w:type="pct"/>
            <w:tcBorders>
              <w:top w:val="single" w:sz="12" w:space="0" w:color="auto"/>
              <w:bottom w:val="single" w:sz="12" w:space="0" w:color="auto"/>
            </w:tcBorders>
            <w:shd w:val="clear" w:color="auto" w:fill="auto"/>
          </w:tcPr>
          <w:p w:rsidR="00812422" w:rsidRPr="007A436F" w:rsidRDefault="00812422" w:rsidP="00144E92">
            <w:pPr>
              <w:pStyle w:val="ENoteTableHeading"/>
            </w:pPr>
            <w:r w:rsidRPr="007A436F">
              <w:t>Registration</w:t>
            </w:r>
          </w:p>
        </w:tc>
        <w:tc>
          <w:tcPr>
            <w:tcW w:w="1230" w:type="pct"/>
            <w:tcBorders>
              <w:top w:val="single" w:sz="12" w:space="0" w:color="auto"/>
              <w:bottom w:val="single" w:sz="12" w:space="0" w:color="auto"/>
            </w:tcBorders>
            <w:shd w:val="clear" w:color="auto" w:fill="auto"/>
          </w:tcPr>
          <w:p w:rsidR="00812422" w:rsidRPr="007A436F" w:rsidRDefault="00812422" w:rsidP="00812422">
            <w:pPr>
              <w:pStyle w:val="ENoteTableHeading"/>
            </w:pPr>
            <w:r w:rsidRPr="007A436F">
              <w:t>Commencement</w:t>
            </w:r>
          </w:p>
        </w:tc>
        <w:tc>
          <w:tcPr>
            <w:tcW w:w="1285" w:type="pct"/>
            <w:tcBorders>
              <w:top w:val="single" w:sz="12" w:space="0" w:color="auto"/>
              <w:bottom w:val="single" w:sz="12" w:space="0" w:color="auto"/>
            </w:tcBorders>
            <w:shd w:val="clear" w:color="auto" w:fill="auto"/>
          </w:tcPr>
          <w:p w:rsidR="00812422" w:rsidRPr="007A436F" w:rsidRDefault="00812422" w:rsidP="00812422">
            <w:pPr>
              <w:pStyle w:val="ENoteTableHeading"/>
            </w:pPr>
            <w:r w:rsidRPr="007A436F">
              <w:t>Application, saving and transitional provisions</w:t>
            </w:r>
          </w:p>
        </w:tc>
      </w:tr>
      <w:tr w:rsidR="00812422" w:rsidRPr="007A436F" w:rsidTr="00A84969">
        <w:trPr>
          <w:cantSplit/>
        </w:trPr>
        <w:tc>
          <w:tcPr>
            <w:tcW w:w="1320" w:type="pct"/>
            <w:tcBorders>
              <w:top w:val="single" w:sz="12" w:space="0" w:color="auto"/>
              <w:bottom w:val="single" w:sz="4" w:space="0" w:color="auto"/>
            </w:tcBorders>
            <w:shd w:val="clear" w:color="auto" w:fill="auto"/>
          </w:tcPr>
          <w:p w:rsidR="00812422" w:rsidRPr="007A436F" w:rsidRDefault="00C507EF" w:rsidP="00812422">
            <w:pPr>
              <w:pStyle w:val="ENoteTableText"/>
            </w:pPr>
            <w:r w:rsidRPr="00C507EF">
              <w:t>National Health (Growth Hormone Program) Special Arrangement 2015</w:t>
            </w:r>
            <w:r>
              <w:t xml:space="preserve"> (</w:t>
            </w:r>
            <w:r w:rsidR="006A02EA" w:rsidRPr="007A436F">
              <w:t>PB 85 of 2015</w:t>
            </w:r>
            <w:r>
              <w:t>)</w:t>
            </w:r>
          </w:p>
        </w:tc>
        <w:tc>
          <w:tcPr>
            <w:tcW w:w="1164" w:type="pct"/>
            <w:tcBorders>
              <w:top w:val="single" w:sz="12" w:space="0" w:color="auto"/>
              <w:bottom w:val="single" w:sz="4" w:space="0" w:color="auto"/>
            </w:tcBorders>
            <w:shd w:val="clear" w:color="auto" w:fill="auto"/>
          </w:tcPr>
          <w:p w:rsidR="00812422" w:rsidRPr="007A436F" w:rsidRDefault="00B53173" w:rsidP="00812422">
            <w:pPr>
              <w:pStyle w:val="ENoteTableText"/>
            </w:pPr>
            <w:r w:rsidRPr="007A436F">
              <w:t xml:space="preserve">1 Sept 2015 </w:t>
            </w:r>
            <w:r w:rsidR="006A02EA" w:rsidRPr="007A436F">
              <w:t>(F2015L01368)</w:t>
            </w:r>
          </w:p>
        </w:tc>
        <w:tc>
          <w:tcPr>
            <w:tcW w:w="1230" w:type="pct"/>
            <w:tcBorders>
              <w:top w:val="single" w:sz="12" w:space="0" w:color="auto"/>
              <w:bottom w:val="single" w:sz="4" w:space="0" w:color="auto"/>
            </w:tcBorders>
            <w:shd w:val="clear" w:color="auto" w:fill="auto"/>
          </w:tcPr>
          <w:p w:rsidR="00812422" w:rsidRPr="007A436F" w:rsidRDefault="00B53173" w:rsidP="00812422">
            <w:pPr>
              <w:pStyle w:val="ENoteTableText"/>
            </w:pPr>
            <w:r w:rsidRPr="007A436F">
              <w:t>1 Sept 2015 (s 2)</w:t>
            </w:r>
          </w:p>
        </w:tc>
        <w:tc>
          <w:tcPr>
            <w:tcW w:w="1285" w:type="pct"/>
            <w:tcBorders>
              <w:top w:val="single" w:sz="12" w:space="0" w:color="auto"/>
              <w:bottom w:val="single" w:sz="4" w:space="0" w:color="auto"/>
            </w:tcBorders>
            <w:shd w:val="clear" w:color="auto" w:fill="auto"/>
          </w:tcPr>
          <w:p w:rsidR="00812422" w:rsidRPr="007A436F" w:rsidRDefault="00812422" w:rsidP="00812422">
            <w:pPr>
              <w:pStyle w:val="ENoteTableText"/>
            </w:pPr>
          </w:p>
        </w:tc>
      </w:tr>
      <w:tr w:rsidR="00812422" w:rsidRPr="007A436F" w:rsidTr="00A84969">
        <w:trPr>
          <w:cantSplit/>
        </w:trPr>
        <w:tc>
          <w:tcPr>
            <w:tcW w:w="1320" w:type="pct"/>
            <w:shd w:val="clear" w:color="auto" w:fill="auto"/>
          </w:tcPr>
          <w:p w:rsidR="00812422" w:rsidRPr="007A436F" w:rsidRDefault="00C507EF" w:rsidP="00B021AB">
            <w:pPr>
              <w:pStyle w:val="ENoteTableText"/>
            </w:pPr>
            <w:r w:rsidRPr="00C507EF">
              <w:t>National Health (Growth Hormone Program) Special Arrangement Amendment Instrument 2015 (No.1)</w:t>
            </w:r>
            <w:r>
              <w:t xml:space="preserve"> (</w:t>
            </w:r>
            <w:r w:rsidR="006A02EA" w:rsidRPr="007A436F">
              <w:t>PB 96 of 2015</w:t>
            </w:r>
            <w:r>
              <w:t>)</w:t>
            </w:r>
          </w:p>
        </w:tc>
        <w:tc>
          <w:tcPr>
            <w:tcW w:w="1164" w:type="pct"/>
            <w:shd w:val="clear" w:color="auto" w:fill="auto"/>
          </w:tcPr>
          <w:p w:rsidR="00812422" w:rsidRPr="007A436F" w:rsidRDefault="006A02EA" w:rsidP="00812422">
            <w:pPr>
              <w:pStyle w:val="ENoteTableText"/>
            </w:pPr>
            <w:r w:rsidRPr="007A436F">
              <w:t>1 Dec 2015 (</w:t>
            </w:r>
            <w:r w:rsidR="00AD252E" w:rsidRPr="007A436F">
              <w:t>F2015L01904</w:t>
            </w:r>
            <w:r w:rsidRPr="007A436F">
              <w:t>)</w:t>
            </w:r>
          </w:p>
        </w:tc>
        <w:tc>
          <w:tcPr>
            <w:tcW w:w="1230" w:type="pct"/>
            <w:shd w:val="clear" w:color="auto" w:fill="auto"/>
          </w:tcPr>
          <w:p w:rsidR="00812422" w:rsidRPr="007A436F" w:rsidRDefault="00B53173" w:rsidP="00812422">
            <w:pPr>
              <w:pStyle w:val="ENoteTableText"/>
            </w:pPr>
            <w:r w:rsidRPr="007A436F">
              <w:t>1 Dec 2015 (s 2)</w:t>
            </w:r>
          </w:p>
        </w:tc>
        <w:tc>
          <w:tcPr>
            <w:tcW w:w="1285" w:type="pct"/>
            <w:shd w:val="clear" w:color="auto" w:fill="auto"/>
          </w:tcPr>
          <w:p w:rsidR="00812422" w:rsidRPr="007A436F" w:rsidRDefault="006A02EA" w:rsidP="00812422">
            <w:pPr>
              <w:pStyle w:val="ENoteTableText"/>
            </w:pPr>
            <w:r w:rsidRPr="007A436F">
              <w:t>—</w:t>
            </w:r>
          </w:p>
        </w:tc>
      </w:tr>
      <w:tr w:rsidR="004520C3" w:rsidRPr="007A436F" w:rsidTr="00A84969">
        <w:trPr>
          <w:cantSplit/>
        </w:trPr>
        <w:tc>
          <w:tcPr>
            <w:tcW w:w="1320" w:type="pct"/>
            <w:shd w:val="clear" w:color="auto" w:fill="auto"/>
          </w:tcPr>
          <w:p w:rsidR="004520C3" w:rsidRPr="007A436F" w:rsidRDefault="00C507EF" w:rsidP="008272CE">
            <w:pPr>
              <w:pStyle w:val="ENoteTableText"/>
            </w:pPr>
            <w:r w:rsidRPr="00C507EF">
              <w:t>National Health (Growth Hormone Program) Special Arrangement Amendment Instrument 2016 (No.1)</w:t>
            </w:r>
            <w:r>
              <w:t xml:space="preserve"> (</w:t>
            </w:r>
            <w:r w:rsidR="004520C3" w:rsidRPr="007A436F">
              <w:t>PB 87 of 2016</w:t>
            </w:r>
            <w:r>
              <w:t>)</w:t>
            </w:r>
          </w:p>
        </w:tc>
        <w:tc>
          <w:tcPr>
            <w:tcW w:w="1164" w:type="pct"/>
            <w:shd w:val="clear" w:color="auto" w:fill="auto"/>
          </w:tcPr>
          <w:p w:rsidR="004520C3" w:rsidRPr="007A436F" w:rsidRDefault="004520C3" w:rsidP="008272CE">
            <w:pPr>
              <w:pStyle w:val="ENoteTableText"/>
            </w:pPr>
            <w:r w:rsidRPr="007A436F">
              <w:t>30 Sept 2016 (F2016L01553)</w:t>
            </w:r>
          </w:p>
        </w:tc>
        <w:tc>
          <w:tcPr>
            <w:tcW w:w="1230" w:type="pct"/>
            <w:shd w:val="clear" w:color="auto" w:fill="auto"/>
          </w:tcPr>
          <w:p w:rsidR="004520C3" w:rsidRPr="007A436F" w:rsidRDefault="004520C3" w:rsidP="008272CE">
            <w:pPr>
              <w:pStyle w:val="ENoteTableText"/>
            </w:pPr>
            <w:r w:rsidRPr="007A436F">
              <w:t>1 Oct 2016 (s 2)</w:t>
            </w:r>
          </w:p>
        </w:tc>
        <w:tc>
          <w:tcPr>
            <w:tcW w:w="1285" w:type="pct"/>
            <w:shd w:val="clear" w:color="auto" w:fill="auto"/>
          </w:tcPr>
          <w:p w:rsidR="004520C3" w:rsidRPr="007A436F" w:rsidRDefault="004520C3" w:rsidP="00812422">
            <w:pPr>
              <w:pStyle w:val="ENoteTableText"/>
            </w:pPr>
            <w:r w:rsidRPr="007A436F">
              <w:t>—</w:t>
            </w:r>
          </w:p>
        </w:tc>
      </w:tr>
      <w:tr w:rsidR="00DA6814" w:rsidRPr="007A436F" w:rsidTr="00A84969">
        <w:trPr>
          <w:cantSplit/>
        </w:trPr>
        <w:tc>
          <w:tcPr>
            <w:tcW w:w="1320" w:type="pct"/>
            <w:shd w:val="clear" w:color="auto" w:fill="auto"/>
          </w:tcPr>
          <w:p w:rsidR="00DA6814" w:rsidRPr="007A436F" w:rsidRDefault="00C507EF" w:rsidP="008272CE">
            <w:pPr>
              <w:pStyle w:val="ENoteTableText"/>
            </w:pPr>
            <w:r w:rsidRPr="00C507EF">
              <w:t>National Health (Growth Hormone Program) Special Arrangement Amendment Instrument 2016 (No.2)</w:t>
            </w:r>
            <w:r>
              <w:t xml:space="preserve"> (</w:t>
            </w:r>
            <w:r w:rsidR="00DA6814" w:rsidRPr="007A436F">
              <w:t>PB 116 of 2016</w:t>
            </w:r>
            <w:r>
              <w:t>)</w:t>
            </w:r>
          </w:p>
        </w:tc>
        <w:tc>
          <w:tcPr>
            <w:tcW w:w="1164" w:type="pct"/>
            <w:shd w:val="clear" w:color="auto" w:fill="auto"/>
          </w:tcPr>
          <w:p w:rsidR="00DA6814" w:rsidRPr="007A436F" w:rsidRDefault="00DA6814" w:rsidP="008272CE">
            <w:pPr>
              <w:pStyle w:val="ENoteTableText"/>
            </w:pPr>
            <w:r w:rsidRPr="007A436F">
              <w:t>22 Dec 2016 (F2016L02029)</w:t>
            </w:r>
          </w:p>
        </w:tc>
        <w:tc>
          <w:tcPr>
            <w:tcW w:w="1230" w:type="pct"/>
            <w:shd w:val="clear" w:color="auto" w:fill="auto"/>
          </w:tcPr>
          <w:p w:rsidR="00DA6814" w:rsidRPr="007A436F" w:rsidRDefault="00DA6814" w:rsidP="008272CE">
            <w:pPr>
              <w:pStyle w:val="ENoteTableText"/>
            </w:pPr>
            <w:r w:rsidRPr="007A436F">
              <w:t>1 Jan 2017 (s 2)</w:t>
            </w:r>
          </w:p>
        </w:tc>
        <w:tc>
          <w:tcPr>
            <w:tcW w:w="1285" w:type="pct"/>
            <w:shd w:val="clear" w:color="auto" w:fill="auto"/>
          </w:tcPr>
          <w:p w:rsidR="00DA6814" w:rsidRPr="007A436F" w:rsidRDefault="00DA6814" w:rsidP="00812422">
            <w:pPr>
              <w:pStyle w:val="ENoteTableText"/>
            </w:pPr>
            <w:r w:rsidRPr="007A436F">
              <w:t>—</w:t>
            </w:r>
          </w:p>
        </w:tc>
      </w:tr>
      <w:tr w:rsidR="0081265B" w:rsidRPr="007A436F" w:rsidTr="00A84969">
        <w:trPr>
          <w:cantSplit/>
        </w:trPr>
        <w:tc>
          <w:tcPr>
            <w:tcW w:w="1320" w:type="pct"/>
            <w:shd w:val="clear" w:color="auto" w:fill="auto"/>
          </w:tcPr>
          <w:p w:rsidR="0081265B" w:rsidRPr="007A436F" w:rsidRDefault="00C507EF" w:rsidP="005D3551">
            <w:pPr>
              <w:pStyle w:val="ENoteTableText"/>
            </w:pPr>
            <w:r w:rsidRPr="00C507EF">
              <w:t>National Health (Growth Hormone Program) Special Arrangement Amendment Instrument 2017 (No. 1)</w:t>
            </w:r>
            <w:r>
              <w:t xml:space="preserve"> (</w:t>
            </w:r>
            <w:r w:rsidR="0081265B" w:rsidRPr="007A436F">
              <w:t>PB 78 of 2017</w:t>
            </w:r>
            <w:r>
              <w:t>)</w:t>
            </w:r>
          </w:p>
        </w:tc>
        <w:tc>
          <w:tcPr>
            <w:tcW w:w="1164" w:type="pct"/>
            <w:shd w:val="clear" w:color="auto" w:fill="auto"/>
          </w:tcPr>
          <w:p w:rsidR="0081265B" w:rsidRPr="007A436F" w:rsidRDefault="0081265B" w:rsidP="005D3551">
            <w:pPr>
              <w:pStyle w:val="ENoteTableText"/>
            </w:pPr>
            <w:r w:rsidRPr="007A436F">
              <w:t>26 Sept 2017 (F2017L01263)</w:t>
            </w:r>
          </w:p>
        </w:tc>
        <w:tc>
          <w:tcPr>
            <w:tcW w:w="1230" w:type="pct"/>
            <w:shd w:val="clear" w:color="auto" w:fill="auto"/>
          </w:tcPr>
          <w:p w:rsidR="0081265B" w:rsidRPr="007A436F" w:rsidRDefault="0081265B" w:rsidP="005D3551">
            <w:pPr>
              <w:pStyle w:val="ENoteTableText"/>
            </w:pPr>
            <w:r w:rsidRPr="007A436F">
              <w:t>1 Oct 2017 (s 2)</w:t>
            </w:r>
          </w:p>
        </w:tc>
        <w:tc>
          <w:tcPr>
            <w:tcW w:w="1285" w:type="pct"/>
            <w:shd w:val="clear" w:color="auto" w:fill="auto"/>
          </w:tcPr>
          <w:p w:rsidR="0081265B" w:rsidRPr="007A436F" w:rsidRDefault="0081265B" w:rsidP="00812422">
            <w:pPr>
              <w:pStyle w:val="ENoteTableText"/>
            </w:pPr>
            <w:r w:rsidRPr="007A436F">
              <w:t>—</w:t>
            </w:r>
          </w:p>
        </w:tc>
      </w:tr>
      <w:tr w:rsidR="00EC02A7" w:rsidRPr="007A436F" w:rsidTr="00A84969">
        <w:trPr>
          <w:cantSplit/>
        </w:trPr>
        <w:tc>
          <w:tcPr>
            <w:tcW w:w="1320" w:type="pct"/>
            <w:shd w:val="clear" w:color="auto" w:fill="auto"/>
          </w:tcPr>
          <w:p w:rsidR="00EC02A7" w:rsidRPr="007A436F" w:rsidRDefault="00C507EF" w:rsidP="006D77C5">
            <w:pPr>
              <w:pStyle w:val="ENoteTableText"/>
            </w:pPr>
            <w:r w:rsidRPr="00C507EF">
              <w:t>National Health (Growth Hormone Program) Special Arrangement Amendment Instrument 2017 (No.2)</w:t>
            </w:r>
            <w:r>
              <w:t xml:space="preserve"> (</w:t>
            </w:r>
            <w:r w:rsidR="00EC02A7" w:rsidRPr="007A436F">
              <w:t>PB 91 of 2017</w:t>
            </w:r>
            <w:r>
              <w:t>)</w:t>
            </w:r>
          </w:p>
        </w:tc>
        <w:tc>
          <w:tcPr>
            <w:tcW w:w="1164" w:type="pct"/>
            <w:shd w:val="clear" w:color="auto" w:fill="auto"/>
          </w:tcPr>
          <w:p w:rsidR="00EC02A7" w:rsidRPr="007A436F" w:rsidRDefault="00EC02A7" w:rsidP="006D77C5">
            <w:pPr>
              <w:pStyle w:val="ENoteTableText"/>
            </w:pPr>
            <w:r w:rsidRPr="007A436F">
              <w:t>31 Oct 2017 (F2017L01405)</w:t>
            </w:r>
          </w:p>
        </w:tc>
        <w:tc>
          <w:tcPr>
            <w:tcW w:w="1230" w:type="pct"/>
            <w:shd w:val="clear" w:color="auto" w:fill="auto"/>
          </w:tcPr>
          <w:p w:rsidR="00EC02A7" w:rsidRPr="007A436F" w:rsidRDefault="00EC02A7" w:rsidP="006D77C5">
            <w:pPr>
              <w:pStyle w:val="ENoteTableText"/>
            </w:pPr>
            <w:r w:rsidRPr="007A436F">
              <w:t>1 Nov 2017 (s 2)</w:t>
            </w:r>
          </w:p>
        </w:tc>
        <w:tc>
          <w:tcPr>
            <w:tcW w:w="1285" w:type="pct"/>
            <w:shd w:val="clear" w:color="auto" w:fill="auto"/>
          </w:tcPr>
          <w:p w:rsidR="00EC02A7" w:rsidRPr="007A436F" w:rsidRDefault="00EC02A7" w:rsidP="00812422">
            <w:pPr>
              <w:pStyle w:val="ENoteTableText"/>
            </w:pPr>
            <w:r w:rsidRPr="007A436F">
              <w:t>—</w:t>
            </w:r>
          </w:p>
        </w:tc>
      </w:tr>
      <w:tr w:rsidR="00E95F68" w:rsidRPr="007A436F" w:rsidTr="00A84969">
        <w:trPr>
          <w:cantSplit/>
        </w:trPr>
        <w:tc>
          <w:tcPr>
            <w:tcW w:w="1320" w:type="pct"/>
            <w:shd w:val="clear" w:color="auto" w:fill="auto"/>
          </w:tcPr>
          <w:p w:rsidR="00E95F68" w:rsidRPr="007A436F" w:rsidRDefault="00C507EF" w:rsidP="006D77C5">
            <w:pPr>
              <w:pStyle w:val="ENoteTableText"/>
            </w:pPr>
            <w:r w:rsidRPr="00C507EF">
              <w:t>National Health (Growth Hormone Program) Special Arrangement Amendment Instrument 2018 (No. 1)</w:t>
            </w:r>
            <w:r>
              <w:t xml:space="preserve"> (</w:t>
            </w:r>
            <w:r w:rsidR="00E95F68" w:rsidRPr="007A436F">
              <w:t>PB 28 of 2018</w:t>
            </w:r>
            <w:r>
              <w:t>)</w:t>
            </w:r>
          </w:p>
        </w:tc>
        <w:tc>
          <w:tcPr>
            <w:tcW w:w="1164" w:type="pct"/>
            <w:shd w:val="clear" w:color="auto" w:fill="auto"/>
          </w:tcPr>
          <w:p w:rsidR="00E95F68" w:rsidRPr="007A436F" w:rsidRDefault="00E95F68" w:rsidP="006D77C5">
            <w:pPr>
              <w:pStyle w:val="ENoteTableText"/>
            </w:pPr>
            <w:r w:rsidRPr="007A436F">
              <w:t>28 Mar 2018 (F2018L00429)</w:t>
            </w:r>
          </w:p>
        </w:tc>
        <w:tc>
          <w:tcPr>
            <w:tcW w:w="1230" w:type="pct"/>
            <w:shd w:val="clear" w:color="auto" w:fill="auto"/>
          </w:tcPr>
          <w:p w:rsidR="00E95F68" w:rsidRPr="007A436F" w:rsidRDefault="00E95F68" w:rsidP="006D77C5">
            <w:pPr>
              <w:pStyle w:val="ENoteTableText"/>
            </w:pPr>
            <w:r w:rsidRPr="007A436F">
              <w:t>1 Apr 2018 (s 2)</w:t>
            </w:r>
          </w:p>
        </w:tc>
        <w:tc>
          <w:tcPr>
            <w:tcW w:w="1285" w:type="pct"/>
            <w:shd w:val="clear" w:color="auto" w:fill="auto"/>
          </w:tcPr>
          <w:p w:rsidR="00E95F68" w:rsidRPr="007A436F" w:rsidRDefault="00E95F68" w:rsidP="00812422">
            <w:pPr>
              <w:pStyle w:val="ENoteTableText"/>
            </w:pPr>
            <w:r w:rsidRPr="007A436F">
              <w:t>—</w:t>
            </w:r>
          </w:p>
        </w:tc>
      </w:tr>
      <w:tr w:rsidR="004C6A34" w:rsidRPr="007A436F" w:rsidTr="00A84969">
        <w:trPr>
          <w:cantSplit/>
        </w:trPr>
        <w:tc>
          <w:tcPr>
            <w:tcW w:w="1320" w:type="pct"/>
            <w:shd w:val="clear" w:color="auto" w:fill="auto"/>
          </w:tcPr>
          <w:p w:rsidR="004C6A34" w:rsidRPr="007A436F" w:rsidRDefault="00C507EF" w:rsidP="00414ED5">
            <w:pPr>
              <w:pStyle w:val="ENoteTableText"/>
            </w:pPr>
            <w:r w:rsidRPr="00C507EF">
              <w:t>National Health (Growth Hormone Program) Special Arrangement Amendment Instrument 2018 (No. 2)</w:t>
            </w:r>
            <w:r>
              <w:t xml:space="preserve"> (</w:t>
            </w:r>
            <w:r w:rsidR="004C6A34" w:rsidRPr="007A436F">
              <w:t>PB 35 of 2018</w:t>
            </w:r>
            <w:r>
              <w:t>)</w:t>
            </w:r>
          </w:p>
        </w:tc>
        <w:tc>
          <w:tcPr>
            <w:tcW w:w="1164" w:type="pct"/>
            <w:shd w:val="clear" w:color="auto" w:fill="auto"/>
          </w:tcPr>
          <w:p w:rsidR="004C6A34" w:rsidRPr="007A436F" w:rsidRDefault="004C6A34" w:rsidP="00084CAB">
            <w:pPr>
              <w:pStyle w:val="ENoteTableText"/>
            </w:pPr>
            <w:r w:rsidRPr="007A436F">
              <w:t xml:space="preserve">30 </w:t>
            </w:r>
            <w:r w:rsidR="00084CAB" w:rsidRPr="007A436F">
              <w:t>Apr</w:t>
            </w:r>
            <w:r w:rsidRPr="007A436F">
              <w:t xml:space="preserve"> 2018 (F2018L00548)</w:t>
            </w:r>
          </w:p>
        </w:tc>
        <w:tc>
          <w:tcPr>
            <w:tcW w:w="1230" w:type="pct"/>
            <w:shd w:val="clear" w:color="auto" w:fill="auto"/>
          </w:tcPr>
          <w:p w:rsidR="004C6A34" w:rsidRPr="007A436F" w:rsidRDefault="004C6A34" w:rsidP="00414ED5">
            <w:pPr>
              <w:pStyle w:val="ENoteTableText"/>
            </w:pPr>
            <w:r w:rsidRPr="007A436F">
              <w:t>1</w:t>
            </w:r>
            <w:r w:rsidR="007A436F">
              <w:t> </w:t>
            </w:r>
            <w:r w:rsidRPr="007A436F">
              <w:t>May 2018 (s 2)</w:t>
            </w:r>
          </w:p>
        </w:tc>
        <w:tc>
          <w:tcPr>
            <w:tcW w:w="1285" w:type="pct"/>
            <w:shd w:val="clear" w:color="auto" w:fill="auto"/>
          </w:tcPr>
          <w:p w:rsidR="004C6A34" w:rsidRPr="007A436F" w:rsidRDefault="004C6A34" w:rsidP="00812422">
            <w:pPr>
              <w:pStyle w:val="ENoteTableText"/>
            </w:pPr>
            <w:r w:rsidRPr="007A436F">
              <w:t>—</w:t>
            </w:r>
          </w:p>
        </w:tc>
      </w:tr>
      <w:tr w:rsidR="00FB1DB6" w:rsidRPr="007A436F" w:rsidTr="00A84969">
        <w:trPr>
          <w:cantSplit/>
        </w:trPr>
        <w:tc>
          <w:tcPr>
            <w:tcW w:w="1320" w:type="pct"/>
            <w:shd w:val="clear" w:color="auto" w:fill="auto"/>
          </w:tcPr>
          <w:p w:rsidR="00FB1DB6" w:rsidRPr="007A436F" w:rsidRDefault="00C507EF" w:rsidP="00414ED5">
            <w:pPr>
              <w:pStyle w:val="ENoteTableText"/>
            </w:pPr>
            <w:r w:rsidRPr="00C507EF">
              <w:lastRenderedPageBreak/>
              <w:t>National Health (Growth Hormone Program) Special Arrangement Amendment (Adult Use) Instrument 2018</w:t>
            </w:r>
            <w:r>
              <w:t xml:space="preserve"> (</w:t>
            </w:r>
            <w:r w:rsidR="00FB1DB6" w:rsidRPr="007A436F">
              <w:t>PB 96 of 2018</w:t>
            </w:r>
            <w:r>
              <w:t>)</w:t>
            </w:r>
          </w:p>
        </w:tc>
        <w:tc>
          <w:tcPr>
            <w:tcW w:w="1164" w:type="pct"/>
            <w:shd w:val="clear" w:color="auto" w:fill="auto"/>
          </w:tcPr>
          <w:p w:rsidR="00FB1DB6" w:rsidRPr="007A436F" w:rsidRDefault="00FB1DB6" w:rsidP="00084CAB">
            <w:pPr>
              <w:pStyle w:val="ENoteTableText"/>
            </w:pPr>
            <w:r w:rsidRPr="007A436F">
              <w:t>29 Nov 2018 (F2018L01634)</w:t>
            </w:r>
          </w:p>
        </w:tc>
        <w:tc>
          <w:tcPr>
            <w:tcW w:w="1230" w:type="pct"/>
            <w:shd w:val="clear" w:color="auto" w:fill="auto"/>
          </w:tcPr>
          <w:p w:rsidR="00FB1DB6" w:rsidRPr="007A436F" w:rsidRDefault="00FB1DB6" w:rsidP="00414ED5">
            <w:pPr>
              <w:pStyle w:val="ENoteTableText"/>
            </w:pPr>
            <w:r w:rsidRPr="007A436F">
              <w:t>1 Dec 2018 (s 2(1) item</w:t>
            </w:r>
            <w:r w:rsidR="007A436F">
              <w:t> </w:t>
            </w:r>
            <w:r w:rsidRPr="007A436F">
              <w:t>1)</w:t>
            </w:r>
          </w:p>
        </w:tc>
        <w:tc>
          <w:tcPr>
            <w:tcW w:w="1285" w:type="pct"/>
            <w:shd w:val="clear" w:color="auto" w:fill="auto"/>
          </w:tcPr>
          <w:p w:rsidR="00FB1DB6" w:rsidRPr="007A436F" w:rsidRDefault="00FB1DB6" w:rsidP="00812422">
            <w:pPr>
              <w:pStyle w:val="ENoteTableText"/>
            </w:pPr>
            <w:r w:rsidRPr="007A436F">
              <w:t>—</w:t>
            </w:r>
          </w:p>
        </w:tc>
      </w:tr>
      <w:tr w:rsidR="00BF39EF" w:rsidRPr="007A436F" w:rsidTr="00E41BED">
        <w:trPr>
          <w:cantSplit/>
        </w:trPr>
        <w:tc>
          <w:tcPr>
            <w:tcW w:w="1320" w:type="pct"/>
            <w:shd w:val="clear" w:color="auto" w:fill="auto"/>
          </w:tcPr>
          <w:p w:rsidR="00BF39EF" w:rsidRPr="007A436F" w:rsidRDefault="00C507EF" w:rsidP="00414ED5">
            <w:pPr>
              <w:pStyle w:val="ENoteTableText"/>
            </w:pPr>
            <w:r w:rsidRPr="00C507EF">
              <w:t>National Health (Growth Hormone Program) Special Arrangement Amendment Instrument 2018 (No. 3)</w:t>
            </w:r>
            <w:r>
              <w:t xml:space="preserve"> (</w:t>
            </w:r>
            <w:r w:rsidR="00BF39EF" w:rsidRPr="007A436F">
              <w:t>PB 113 of 2018</w:t>
            </w:r>
            <w:r>
              <w:t>)</w:t>
            </w:r>
          </w:p>
        </w:tc>
        <w:tc>
          <w:tcPr>
            <w:tcW w:w="1164" w:type="pct"/>
            <w:shd w:val="clear" w:color="auto" w:fill="auto"/>
          </w:tcPr>
          <w:p w:rsidR="00BF39EF" w:rsidRPr="007A436F" w:rsidRDefault="00BF39EF" w:rsidP="00084CAB">
            <w:pPr>
              <w:pStyle w:val="ENoteTableText"/>
            </w:pPr>
            <w:r w:rsidRPr="007A436F">
              <w:t>20 Dec 2018 (F2018L01815)</w:t>
            </w:r>
          </w:p>
        </w:tc>
        <w:tc>
          <w:tcPr>
            <w:tcW w:w="1230" w:type="pct"/>
            <w:shd w:val="clear" w:color="auto" w:fill="auto"/>
          </w:tcPr>
          <w:p w:rsidR="00BF39EF" w:rsidRPr="007A436F" w:rsidRDefault="00BF39EF" w:rsidP="00414ED5">
            <w:pPr>
              <w:pStyle w:val="ENoteTableText"/>
            </w:pPr>
            <w:r w:rsidRPr="007A436F">
              <w:t>1 Jan 2019 (s 2)</w:t>
            </w:r>
          </w:p>
        </w:tc>
        <w:tc>
          <w:tcPr>
            <w:tcW w:w="1285" w:type="pct"/>
            <w:shd w:val="clear" w:color="auto" w:fill="auto"/>
          </w:tcPr>
          <w:p w:rsidR="00BF39EF" w:rsidRPr="007A436F" w:rsidRDefault="00BF39EF" w:rsidP="00812422">
            <w:pPr>
              <w:pStyle w:val="ENoteTableText"/>
            </w:pPr>
            <w:r w:rsidRPr="007A436F">
              <w:t>—</w:t>
            </w:r>
          </w:p>
        </w:tc>
      </w:tr>
      <w:tr w:rsidR="007A0E93" w:rsidRPr="007A436F" w:rsidTr="00A83EC2">
        <w:trPr>
          <w:cantSplit/>
        </w:trPr>
        <w:tc>
          <w:tcPr>
            <w:tcW w:w="1320" w:type="pct"/>
            <w:shd w:val="clear" w:color="auto" w:fill="auto"/>
          </w:tcPr>
          <w:p w:rsidR="007A0E93" w:rsidRPr="007A436F" w:rsidRDefault="00C507EF" w:rsidP="00414ED5">
            <w:pPr>
              <w:pStyle w:val="ENoteTableText"/>
            </w:pPr>
            <w:r w:rsidRPr="00C507EF">
              <w:t>National Health (Growth Hormone Program) Special Arrangement Amendment Instrument 2019 (No. 1)</w:t>
            </w:r>
            <w:r>
              <w:t xml:space="preserve"> (</w:t>
            </w:r>
            <w:r w:rsidR="007A0E93" w:rsidRPr="007A436F">
              <w:t>PB 22 of 2019</w:t>
            </w:r>
            <w:r>
              <w:t>)</w:t>
            </w:r>
          </w:p>
        </w:tc>
        <w:tc>
          <w:tcPr>
            <w:tcW w:w="1164" w:type="pct"/>
            <w:shd w:val="clear" w:color="auto" w:fill="auto"/>
          </w:tcPr>
          <w:p w:rsidR="007A0E93" w:rsidRPr="007A436F" w:rsidRDefault="007A0E93" w:rsidP="00084CAB">
            <w:pPr>
              <w:pStyle w:val="ENoteTableText"/>
            </w:pPr>
            <w:r w:rsidRPr="007A436F">
              <w:t>28 Mar 2019 (F2019L00452)</w:t>
            </w:r>
          </w:p>
        </w:tc>
        <w:tc>
          <w:tcPr>
            <w:tcW w:w="1230" w:type="pct"/>
            <w:shd w:val="clear" w:color="auto" w:fill="auto"/>
          </w:tcPr>
          <w:p w:rsidR="007A0E93" w:rsidRPr="007A436F" w:rsidRDefault="007A0E93" w:rsidP="00414ED5">
            <w:pPr>
              <w:pStyle w:val="ENoteTableText"/>
            </w:pPr>
            <w:r w:rsidRPr="007A436F">
              <w:t>1 Apr 2019 (s 2)</w:t>
            </w:r>
          </w:p>
        </w:tc>
        <w:tc>
          <w:tcPr>
            <w:tcW w:w="1285" w:type="pct"/>
            <w:shd w:val="clear" w:color="auto" w:fill="auto"/>
          </w:tcPr>
          <w:p w:rsidR="007A0E93" w:rsidRPr="007A436F" w:rsidRDefault="007A0E93" w:rsidP="00812422">
            <w:pPr>
              <w:pStyle w:val="ENoteTableText"/>
            </w:pPr>
            <w:r w:rsidRPr="007A436F">
              <w:t>—</w:t>
            </w:r>
          </w:p>
        </w:tc>
      </w:tr>
      <w:tr w:rsidR="002A337F" w:rsidRPr="007A436F" w:rsidTr="00FF6C15">
        <w:trPr>
          <w:cantSplit/>
        </w:trPr>
        <w:tc>
          <w:tcPr>
            <w:tcW w:w="1320" w:type="pct"/>
            <w:shd w:val="clear" w:color="auto" w:fill="auto"/>
          </w:tcPr>
          <w:p w:rsidR="002A337F" w:rsidRPr="007A436F" w:rsidRDefault="00C507EF" w:rsidP="00414ED5">
            <w:pPr>
              <w:pStyle w:val="ENoteTableText"/>
            </w:pPr>
            <w:r w:rsidRPr="00C507EF">
              <w:t>National Health (Growth Hormone Program) Special Arrangement Amendment Instrument 2019 (No. 2)</w:t>
            </w:r>
            <w:r>
              <w:t xml:space="preserve"> (</w:t>
            </w:r>
            <w:r w:rsidR="002A337F" w:rsidRPr="007A436F">
              <w:t>PB 80 of 2019</w:t>
            </w:r>
            <w:r>
              <w:t>)</w:t>
            </w:r>
          </w:p>
        </w:tc>
        <w:tc>
          <w:tcPr>
            <w:tcW w:w="1164" w:type="pct"/>
            <w:shd w:val="clear" w:color="auto" w:fill="auto"/>
          </w:tcPr>
          <w:p w:rsidR="002A337F" w:rsidRPr="007A436F" w:rsidRDefault="001E03BA" w:rsidP="001E03BA">
            <w:pPr>
              <w:pStyle w:val="ENoteTableText"/>
            </w:pPr>
            <w:r w:rsidRPr="007A436F">
              <w:t xml:space="preserve">30 Sept </w:t>
            </w:r>
            <w:r w:rsidR="002A337F" w:rsidRPr="007A436F">
              <w:t>2019</w:t>
            </w:r>
            <w:r w:rsidRPr="007A436F">
              <w:t xml:space="preserve"> </w:t>
            </w:r>
            <w:r w:rsidR="002A337F" w:rsidRPr="007A436F">
              <w:t>(F2019L01299)</w:t>
            </w:r>
          </w:p>
        </w:tc>
        <w:tc>
          <w:tcPr>
            <w:tcW w:w="1230" w:type="pct"/>
            <w:shd w:val="clear" w:color="auto" w:fill="auto"/>
          </w:tcPr>
          <w:p w:rsidR="002A337F" w:rsidRPr="007A436F" w:rsidRDefault="002A337F" w:rsidP="00414ED5">
            <w:pPr>
              <w:pStyle w:val="ENoteTableText"/>
            </w:pPr>
            <w:r w:rsidRPr="007A436F">
              <w:t>1 Oct 2019 (s 2)</w:t>
            </w:r>
          </w:p>
        </w:tc>
        <w:tc>
          <w:tcPr>
            <w:tcW w:w="1285" w:type="pct"/>
            <w:shd w:val="clear" w:color="auto" w:fill="auto"/>
          </w:tcPr>
          <w:p w:rsidR="002A337F" w:rsidRPr="007A436F" w:rsidRDefault="002A337F" w:rsidP="00812422">
            <w:pPr>
              <w:pStyle w:val="ENoteTableText"/>
            </w:pPr>
            <w:r w:rsidRPr="007A436F">
              <w:t>—</w:t>
            </w:r>
          </w:p>
        </w:tc>
      </w:tr>
      <w:tr w:rsidR="00395B99" w:rsidRPr="007A436F" w:rsidTr="004A044A">
        <w:trPr>
          <w:cantSplit/>
        </w:trPr>
        <w:tc>
          <w:tcPr>
            <w:tcW w:w="1320" w:type="pct"/>
            <w:shd w:val="clear" w:color="auto" w:fill="auto"/>
          </w:tcPr>
          <w:p w:rsidR="00395B99" w:rsidRPr="007A436F" w:rsidRDefault="00C507EF" w:rsidP="00414ED5">
            <w:pPr>
              <w:pStyle w:val="ENoteTableText"/>
            </w:pPr>
            <w:r w:rsidRPr="00C507EF">
              <w:t>National Health (Growth Hormone Program) Special Arrangement Amendment Instrument 2019 (No. 3)</w:t>
            </w:r>
            <w:r>
              <w:t xml:space="preserve"> (</w:t>
            </w:r>
            <w:r w:rsidR="00395B99" w:rsidRPr="007A436F">
              <w:t>PB 109 of 2019</w:t>
            </w:r>
            <w:r>
              <w:t>)</w:t>
            </w:r>
          </w:p>
        </w:tc>
        <w:tc>
          <w:tcPr>
            <w:tcW w:w="1164" w:type="pct"/>
            <w:shd w:val="clear" w:color="auto" w:fill="auto"/>
          </w:tcPr>
          <w:p w:rsidR="00395B99" w:rsidRPr="007A436F" w:rsidRDefault="00395B99" w:rsidP="002E2355">
            <w:pPr>
              <w:pStyle w:val="ENoteTableText"/>
            </w:pPr>
            <w:r w:rsidRPr="007A436F">
              <w:t>20 Dec 2019 (F2019L01679)</w:t>
            </w:r>
          </w:p>
        </w:tc>
        <w:tc>
          <w:tcPr>
            <w:tcW w:w="1230" w:type="pct"/>
            <w:shd w:val="clear" w:color="auto" w:fill="auto"/>
          </w:tcPr>
          <w:p w:rsidR="00395B99" w:rsidRPr="007A436F" w:rsidRDefault="00395B99" w:rsidP="00414ED5">
            <w:pPr>
              <w:pStyle w:val="ENoteTableText"/>
            </w:pPr>
            <w:r w:rsidRPr="007A436F">
              <w:t>1 Jan 2020 (s 2(1) item</w:t>
            </w:r>
            <w:r w:rsidR="007A436F">
              <w:t> </w:t>
            </w:r>
            <w:r w:rsidRPr="007A436F">
              <w:t>1)</w:t>
            </w:r>
          </w:p>
        </w:tc>
        <w:tc>
          <w:tcPr>
            <w:tcW w:w="1285" w:type="pct"/>
            <w:shd w:val="clear" w:color="auto" w:fill="auto"/>
          </w:tcPr>
          <w:p w:rsidR="00395B99" w:rsidRPr="007A436F" w:rsidRDefault="00395B99" w:rsidP="00812422">
            <w:pPr>
              <w:pStyle w:val="ENoteTableText"/>
            </w:pPr>
            <w:r w:rsidRPr="007A436F">
              <w:t>—</w:t>
            </w:r>
          </w:p>
        </w:tc>
      </w:tr>
      <w:tr w:rsidR="00F75E67" w:rsidRPr="007A436F" w:rsidTr="00AD252E">
        <w:trPr>
          <w:cantSplit/>
        </w:trPr>
        <w:tc>
          <w:tcPr>
            <w:tcW w:w="1320" w:type="pct"/>
            <w:shd w:val="clear" w:color="auto" w:fill="auto"/>
          </w:tcPr>
          <w:p w:rsidR="00F75E67" w:rsidRPr="007A436F" w:rsidRDefault="00424825" w:rsidP="00414ED5">
            <w:pPr>
              <w:pStyle w:val="ENoteTableText"/>
            </w:pPr>
            <w:r w:rsidRPr="00424825">
              <w:t>National Health (Growth Hormone Program) Special Arrangement Amendment Instrument 2020 (No. 1)</w:t>
            </w:r>
            <w:r>
              <w:t xml:space="preserve"> (</w:t>
            </w:r>
            <w:r w:rsidR="00F75E67" w:rsidRPr="007A436F">
              <w:t>PB 6 of 2020</w:t>
            </w:r>
            <w:r>
              <w:t>)</w:t>
            </w:r>
          </w:p>
        </w:tc>
        <w:tc>
          <w:tcPr>
            <w:tcW w:w="1164" w:type="pct"/>
            <w:shd w:val="clear" w:color="auto" w:fill="auto"/>
          </w:tcPr>
          <w:p w:rsidR="00F75E67" w:rsidRPr="007A436F" w:rsidRDefault="00F75E67" w:rsidP="002E2355">
            <w:pPr>
              <w:pStyle w:val="ENoteTableText"/>
            </w:pPr>
            <w:r w:rsidRPr="007A436F">
              <w:t>31 Jan 2020 (F2020L00071)</w:t>
            </w:r>
          </w:p>
        </w:tc>
        <w:tc>
          <w:tcPr>
            <w:tcW w:w="1230" w:type="pct"/>
            <w:shd w:val="clear" w:color="auto" w:fill="auto"/>
          </w:tcPr>
          <w:p w:rsidR="00F75E67" w:rsidRPr="007A436F" w:rsidRDefault="00F75E67" w:rsidP="00414ED5">
            <w:pPr>
              <w:pStyle w:val="ENoteTableText"/>
            </w:pPr>
            <w:r w:rsidRPr="007A436F">
              <w:t>1 Feb 2020 (s 2)</w:t>
            </w:r>
          </w:p>
        </w:tc>
        <w:tc>
          <w:tcPr>
            <w:tcW w:w="1285" w:type="pct"/>
            <w:shd w:val="clear" w:color="auto" w:fill="auto"/>
          </w:tcPr>
          <w:p w:rsidR="00F75E67" w:rsidRPr="007A436F" w:rsidRDefault="00F75E67" w:rsidP="00812422">
            <w:pPr>
              <w:pStyle w:val="ENoteTableText"/>
            </w:pPr>
            <w:r w:rsidRPr="007A436F">
              <w:t>—</w:t>
            </w:r>
          </w:p>
        </w:tc>
      </w:tr>
      <w:tr w:rsidR="00552B49" w:rsidRPr="007A436F" w:rsidTr="00311AB6">
        <w:trPr>
          <w:cantSplit/>
        </w:trPr>
        <w:tc>
          <w:tcPr>
            <w:tcW w:w="1320" w:type="pct"/>
            <w:shd w:val="clear" w:color="auto" w:fill="auto"/>
          </w:tcPr>
          <w:p w:rsidR="00552B49" w:rsidRPr="007A436F" w:rsidRDefault="00552B49" w:rsidP="00414ED5">
            <w:pPr>
              <w:pStyle w:val="ENoteTableText"/>
            </w:pPr>
            <w:r w:rsidRPr="00552B49">
              <w:t>National Health (Growth Hormone Program) Special Arrangement Amendment Instrument 2021 (No. 1)</w:t>
            </w:r>
            <w:r>
              <w:t xml:space="preserve"> (</w:t>
            </w:r>
            <w:r w:rsidRPr="001E54DB">
              <w:t>PB 44 of 2021</w:t>
            </w:r>
            <w:r>
              <w:t>)</w:t>
            </w:r>
          </w:p>
        </w:tc>
        <w:tc>
          <w:tcPr>
            <w:tcW w:w="1164" w:type="pct"/>
            <w:shd w:val="clear" w:color="auto" w:fill="auto"/>
          </w:tcPr>
          <w:p w:rsidR="00552B49" w:rsidRPr="007A436F" w:rsidRDefault="00552B49" w:rsidP="002E2355">
            <w:pPr>
              <w:pStyle w:val="ENoteTableText"/>
            </w:pPr>
            <w:r>
              <w:t>30 Ap</w:t>
            </w:r>
            <w:r w:rsidR="00424825">
              <w:t>r 2021 (F2021L00528)</w:t>
            </w:r>
          </w:p>
        </w:tc>
        <w:tc>
          <w:tcPr>
            <w:tcW w:w="1230" w:type="pct"/>
            <w:shd w:val="clear" w:color="auto" w:fill="auto"/>
          </w:tcPr>
          <w:p w:rsidR="00552B49" w:rsidRPr="007A436F" w:rsidRDefault="00424825" w:rsidP="00414ED5">
            <w:pPr>
              <w:pStyle w:val="ENoteTableText"/>
            </w:pPr>
            <w:r>
              <w:t xml:space="preserve">1 May </w:t>
            </w:r>
            <w:r w:rsidR="009841F5">
              <w:t xml:space="preserve">2021 </w:t>
            </w:r>
            <w:r>
              <w:t>(s 2)</w:t>
            </w:r>
          </w:p>
        </w:tc>
        <w:tc>
          <w:tcPr>
            <w:tcW w:w="1285" w:type="pct"/>
            <w:shd w:val="clear" w:color="auto" w:fill="auto"/>
          </w:tcPr>
          <w:p w:rsidR="00552B49" w:rsidRPr="007A436F" w:rsidRDefault="00424825" w:rsidP="00812422">
            <w:pPr>
              <w:pStyle w:val="ENoteTableText"/>
            </w:pPr>
            <w:r>
              <w:t>—</w:t>
            </w:r>
          </w:p>
        </w:tc>
      </w:tr>
      <w:tr w:rsidR="001D6555" w:rsidRPr="007A436F" w:rsidTr="00A84969">
        <w:trPr>
          <w:cantSplit/>
        </w:trPr>
        <w:tc>
          <w:tcPr>
            <w:tcW w:w="1320" w:type="pct"/>
            <w:tcBorders>
              <w:bottom w:val="single" w:sz="12" w:space="0" w:color="auto"/>
            </w:tcBorders>
            <w:shd w:val="clear" w:color="auto" w:fill="auto"/>
          </w:tcPr>
          <w:p w:rsidR="001D6555" w:rsidRPr="00552B49" w:rsidRDefault="001D6555" w:rsidP="00414ED5">
            <w:pPr>
              <w:pStyle w:val="ENoteTableText"/>
            </w:pPr>
            <w:r w:rsidRPr="00311AB6">
              <w:t>National Health (Growth Hormone Program) Special Arrangement Amendment Instrument 2021 (No. 2)</w:t>
            </w:r>
          </w:p>
        </w:tc>
        <w:tc>
          <w:tcPr>
            <w:tcW w:w="1164" w:type="pct"/>
            <w:tcBorders>
              <w:bottom w:val="single" w:sz="12" w:space="0" w:color="auto"/>
            </w:tcBorders>
            <w:shd w:val="clear" w:color="auto" w:fill="auto"/>
          </w:tcPr>
          <w:p w:rsidR="001D6555" w:rsidRDefault="001D6555" w:rsidP="002E2355">
            <w:pPr>
              <w:pStyle w:val="ENoteTableText"/>
            </w:pPr>
            <w:r>
              <w:t>28 May 2021 (F2021L00664)</w:t>
            </w:r>
          </w:p>
        </w:tc>
        <w:tc>
          <w:tcPr>
            <w:tcW w:w="1230" w:type="pct"/>
            <w:tcBorders>
              <w:bottom w:val="single" w:sz="12" w:space="0" w:color="auto"/>
            </w:tcBorders>
            <w:shd w:val="clear" w:color="auto" w:fill="auto"/>
          </w:tcPr>
          <w:p w:rsidR="001D6555" w:rsidRDefault="001D6555" w:rsidP="00414ED5">
            <w:pPr>
              <w:pStyle w:val="ENoteTableText"/>
            </w:pPr>
            <w:r>
              <w:t>1 June 2021</w:t>
            </w:r>
          </w:p>
        </w:tc>
        <w:tc>
          <w:tcPr>
            <w:tcW w:w="1285" w:type="pct"/>
            <w:tcBorders>
              <w:bottom w:val="single" w:sz="12" w:space="0" w:color="auto"/>
            </w:tcBorders>
            <w:shd w:val="clear" w:color="auto" w:fill="auto"/>
          </w:tcPr>
          <w:p w:rsidR="001D6555" w:rsidRDefault="001D6555" w:rsidP="00812422">
            <w:pPr>
              <w:pStyle w:val="ENoteTableText"/>
            </w:pPr>
            <w:r>
              <w:t>—</w:t>
            </w:r>
          </w:p>
        </w:tc>
      </w:tr>
    </w:tbl>
    <w:p w:rsidR="00812422" w:rsidRPr="007A436F" w:rsidRDefault="00812422" w:rsidP="00812422"/>
    <w:p w:rsidR="00812422" w:rsidRPr="007A436F" w:rsidRDefault="00812422" w:rsidP="00CE2F6F">
      <w:pPr>
        <w:pStyle w:val="ENotesHeading2"/>
        <w:pageBreakBefore/>
        <w:outlineLvl w:val="9"/>
      </w:pPr>
      <w:bookmarkStart w:id="61" w:name="_Toc74311808"/>
      <w:r w:rsidRPr="007A436F">
        <w:lastRenderedPageBreak/>
        <w:t>Endnote 4—Amendment history</w:t>
      </w:r>
      <w:bookmarkEnd w:id="61"/>
    </w:p>
    <w:p w:rsidR="00812422" w:rsidRPr="007A436F" w:rsidRDefault="00812422" w:rsidP="00812422">
      <w:pPr>
        <w:pStyle w:val="Tabletext"/>
      </w:pPr>
    </w:p>
    <w:tbl>
      <w:tblPr>
        <w:tblW w:w="5000" w:type="pct"/>
        <w:tblLook w:val="0000" w:firstRow="0" w:lastRow="0" w:firstColumn="0" w:lastColumn="0" w:noHBand="0" w:noVBand="0"/>
      </w:tblPr>
      <w:tblGrid>
        <w:gridCol w:w="2518"/>
        <w:gridCol w:w="6011"/>
      </w:tblGrid>
      <w:tr w:rsidR="00812422" w:rsidRPr="007A436F" w:rsidTr="00FF7B50">
        <w:trPr>
          <w:cantSplit/>
          <w:tblHeader/>
        </w:trPr>
        <w:tc>
          <w:tcPr>
            <w:tcW w:w="1476" w:type="pct"/>
            <w:tcBorders>
              <w:top w:val="single" w:sz="12" w:space="0" w:color="auto"/>
              <w:bottom w:val="single" w:sz="12" w:space="0" w:color="auto"/>
            </w:tcBorders>
            <w:shd w:val="clear" w:color="auto" w:fill="auto"/>
          </w:tcPr>
          <w:p w:rsidR="00812422" w:rsidRPr="007A436F" w:rsidRDefault="00812422" w:rsidP="00812422">
            <w:pPr>
              <w:pStyle w:val="ENoteTableHeading"/>
              <w:tabs>
                <w:tab w:val="center" w:leader="dot" w:pos="2268"/>
              </w:tabs>
            </w:pPr>
            <w:r w:rsidRPr="007A436F">
              <w:t>Provision affected</w:t>
            </w:r>
          </w:p>
        </w:tc>
        <w:tc>
          <w:tcPr>
            <w:tcW w:w="3524" w:type="pct"/>
            <w:tcBorders>
              <w:top w:val="single" w:sz="12" w:space="0" w:color="auto"/>
              <w:bottom w:val="single" w:sz="12" w:space="0" w:color="auto"/>
            </w:tcBorders>
            <w:shd w:val="clear" w:color="auto" w:fill="auto"/>
          </w:tcPr>
          <w:p w:rsidR="00812422" w:rsidRPr="007A436F" w:rsidRDefault="00812422" w:rsidP="00812422">
            <w:pPr>
              <w:pStyle w:val="ENoteTableHeading"/>
              <w:tabs>
                <w:tab w:val="center" w:leader="dot" w:pos="2268"/>
              </w:tabs>
            </w:pPr>
            <w:r w:rsidRPr="007A436F">
              <w:t>How affected</w:t>
            </w:r>
          </w:p>
        </w:tc>
      </w:tr>
      <w:tr w:rsidR="00042EC8" w:rsidRPr="007A436F" w:rsidTr="00FF7B50">
        <w:trPr>
          <w:cantSplit/>
        </w:trPr>
        <w:tc>
          <w:tcPr>
            <w:tcW w:w="1476" w:type="pct"/>
            <w:tcBorders>
              <w:top w:val="single" w:sz="12" w:space="0" w:color="auto"/>
            </w:tcBorders>
            <w:shd w:val="clear" w:color="auto" w:fill="auto"/>
          </w:tcPr>
          <w:p w:rsidR="00042EC8" w:rsidRPr="007A436F" w:rsidRDefault="00042EC8" w:rsidP="008272CE">
            <w:pPr>
              <w:pStyle w:val="ENoteTableText"/>
              <w:tabs>
                <w:tab w:val="center" w:leader="dot" w:pos="2268"/>
              </w:tabs>
              <w:rPr>
                <w:b/>
              </w:rPr>
            </w:pPr>
            <w:r w:rsidRPr="007A436F">
              <w:rPr>
                <w:b/>
              </w:rPr>
              <w:t>Part</w:t>
            </w:r>
            <w:r w:rsidR="007A436F">
              <w:rPr>
                <w:b/>
              </w:rPr>
              <w:t> </w:t>
            </w:r>
            <w:r w:rsidRPr="007A436F">
              <w:rPr>
                <w:b/>
              </w:rPr>
              <w:t>1</w:t>
            </w:r>
          </w:p>
        </w:tc>
        <w:tc>
          <w:tcPr>
            <w:tcW w:w="3524" w:type="pct"/>
            <w:tcBorders>
              <w:top w:val="single" w:sz="12" w:space="0" w:color="auto"/>
            </w:tcBorders>
            <w:shd w:val="clear" w:color="auto" w:fill="auto"/>
          </w:tcPr>
          <w:p w:rsidR="00042EC8" w:rsidRPr="007A436F" w:rsidRDefault="00042EC8" w:rsidP="008272CE">
            <w:pPr>
              <w:pStyle w:val="ENoteTableText"/>
              <w:tabs>
                <w:tab w:val="center" w:leader="dot" w:pos="2268"/>
              </w:tabs>
            </w:pPr>
          </w:p>
        </w:tc>
      </w:tr>
      <w:tr w:rsidR="00F81537" w:rsidRPr="007A436F" w:rsidTr="00FF7B50">
        <w:trPr>
          <w:cantSplit/>
        </w:trPr>
        <w:tc>
          <w:tcPr>
            <w:tcW w:w="1476" w:type="pct"/>
            <w:shd w:val="clear" w:color="auto" w:fill="auto"/>
          </w:tcPr>
          <w:p w:rsidR="00F81537" w:rsidRPr="007A436F" w:rsidRDefault="00F81537" w:rsidP="008272CE">
            <w:pPr>
              <w:pStyle w:val="ENoteTableText"/>
              <w:tabs>
                <w:tab w:val="center" w:leader="dot" w:pos="2268"/>
              </w:tabs>
            </w:pPr>
            <w:r w:rsidRPr="007A436F">
              <w:t>s 2</w:t>
            </w:r>
            <w:r w:rsidRPr="007A436F">
              <w:tab/>
            </w:r>
          </w:p>
        </w:tc>
        <w:tc>
          <w:tcPr>
            <w:tcW w:w="3524" w:type="pct"/>
            <w:shd w:val="clear" w:color="auto" w:fill="auto"/>
          </w:tcPr>
          <w:p w:rsidR="00F81537" w:rsidRPr="007A436F" w:rsidRDefault="00F81537" w:rsidP="008272CE">
            <w:pPr>
              <w:pStyle w:val="ENoteTableText"/>
              <w:tabs>
                <w:tab w:val="center" w:leader="dot" w:pos="2268"/>
              </w:tabs>
            </w:pPr>
            <w:r w:rsidRPr="007A436F">
              <w:t>rep LIA s 48D</w:t>
            </w:r>
          </w:p>
        </w:tc>
      </w:tr>
      <w:tr w:rsidR="00F81537" w:rsidRPr="007A436F" w:rsidTr="00FF7B50">
        <w:trPr>
          <w:cantSplit/>
        </w:trPr>
        <w:tc>
          <w:tcPr>
            <w:tcW w:w="1476" w:type="pct"/>
            <w:shd w:val="clear" w:color="auto" w:fill="auto"/>
          </w:tcPr>
          <w:p w:rsidR="00F81537" w:rsidRPr="007A436F" w:rsidRDefault="00F81537" w:rsidP="008272CE">
            <w:pPr>
              <w:pStyle w:val="ENoteTableText"/>
              <w:tabs>
                <w:tab w:val="center" w:leader="dot" w:pos="2268"/>
              </w:tabs>
            </w:pPr>
            <w:r w:rsidRPr="007A436F">
              <w:t>s 3</w:t>
            </w:r>
            <w:r w:rsidRPr="007A436F">
              <w:tab/>
            </w:r>
          </w:p>
        </w:tc>
        <w:tc>
          <w:tcPr>
            <w:tcW w:w="3524" w:type="pct"/>
            <w:shd w:val="clear" w:color="auto" w:fill="auto"/>
          </w:tcPr>
          <w:p w:rsidR="00F81537" w:rsidRPr="007A436F" w:rsidRDefault="00F81537" w:rsidP="008272CE">
            <w:pPr>
              <w:pStyle w:val="ENoteTableText"/>
              <w:tabs>
                <w:tab w:val="center" w:leader="dot" w:pos="2268"/>
              </w:tabs>
            </w:pPr>
            <w:r w:rsidRPr="007A436F">
              <w:t>rep LIA s 48C</w:t>
            </w:r>
          </w:p>
        </w:tc>
      </w:tr>
      <w:tr w:rsidR="00EC02A7" w:rsidRPr="007A436F" w:rsidTr="00FF7B50">
        <w:trPr>
          <w:cantSplit/>
        </w:trPr>
        <w:tc>
          <w:tcPr>
            <w:tcW w:w="1476" w:type="pct"/>
            <w:shd w:val="clear" w:color="auto" w:fill="auto"/>
          </w:tcPr>
          <w:p w:rsidR="00EC02A7" w:rsidRPr="007A436F" w:rsidRDefault="00EC02A7" w:rsidP="008272CE">
            <w:pPr>
              <w:pStyle w:val="ENoteTableText"/>
              <w:tabs>
                <w:tab w:val="center" w:leader="dot" w:pos="2268"/>
              </w:tabs>
            </w:pPr>
            <w:r w:rsidRPr="007A436F">
              <w:t>s 4</w:t>
            </w:r>
            <w:r w:rsidRPr="007A436F">
              <w:tab/>
            </w:r>
          </w:p>
        </w:tc>
        <w:tc>
          <w:tcPr>
            <w:tcW w:w="3524" w:type="pct"/>
            <w:shd w:val="clear" w:color="auto" w:fill="auto"/>
          </w:tcPr>
          <w:p w:rsidR="00EC02A7" w:rsidRPr="007A436F" w:rsidRDefault="00EC02A7" w:rsidP="002D5DFB">
            <w:pPr>
              <w:pStyle w:val="ENoteTableText"/>
              <w:tabs>
                <w:tab w:val="center" w:leader="dot" w:pos="2268"/>
              </w:tabs>
            </w:pPr>
            <w:r w:rsidRPr="007A436F">
              <w:t xml:space="preserve">am </w:t>
            </w:r>
            <w:r w:rsidR="00045E6E" w:rsidRPr="007A436F">
              <w:t>F2017L01405</w:t>
            </w:r>
            <w:r w:rsidR="00FB1DB6" w:rsidRPr="007A436F">
              <w:t xml:space="preserve">; </w:t>
            </w:r>
            <w:r w:rsidR="002C7699" w:rsidRPr="007A436F">
              <w:t>F2018L01634</w:t>
            </w:r>
            <w:r w:rsidR="00486557" w:rsidRPr="007A436F">
              <w:t xml:space="preserve">; </w:t>
            </w:r>
            <w:r w:rsidR="002C7699" w:rsidRPr="007A436F">
              <w:t>F2019L01679</w:t>
            </w:r>
          </w:p>
        </w:tc>
      </w:tr>
      <w:tr w:rsidR="00EC02A7" w:rsidRPr="007A436F" w:rsidTr="00FF7B50">
        <w:trPr>
          <w:cantSplit/>
        </w:trPr>
        <w:tc>
          <w:tcPr>
            <w:tcW w:w="1476" w:type="pct"/>
            <w:shd w:val="clear" w:color="auto" w:fill="auto"/>
          </w:tcPr>
          <w:p w:rsidR="00EC02A7" w:rsidRPr="007A436F" w:rsidRDefault="00EC02A7" w:rsidP="008272CE">
            <w:pPr>
              <w:pStyle w:val="ENoteTableText"/>
              <w:tabs>
                <w:tab w:val="center" w:leader="dot" w:pos="2268"/>
              </w:tabs>
              <w:rPr>
                <w:b/>
              </w:rPr>
            </w:pPr>
            <w:r w:rsidRPr="007A436F">
              <w:rPr>
                <w:b/>
              </w:rPr>
              <w:t>Part</w:t>
            </w:r>
            <w:r w:rsidR="007A436F">
              <w:rPr>
                <w:b/>
              </w:rPr>
              <w:t> </w:t>
            </w:r>
            <w:r w:rsidRPr="007A436F">
              <w:rPr>
                <w:b/>
              </w:rPr>
              <w:t>2</w:t>
            </w:r>
          </w:p>
        </w:tc>
        <w:tc>
          <w:tcPr>
            <w:tcW w:w="3524" w:type="pct"/>
            <w:shd w:val="clear" w:color="auto" w:fill="auto"/>
          </w:tcPr>
          <w:p w:rsidR="00EC02A7" w:rsidRPr="007A436F" w:rsidRDefault="00EC02A7" w:rsidP="008272CE">
            <w:pPr>
              <w:pStyle w:val="ENoteTableText"/>
              <w:tabs>
                <w:tab w:val="center" w:leader="dot" w:pos="2268"/>
              </w:tabs>
            </w:pP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rPr>
                <w:b/>
              </w:rPr>
            </w:pPr>
            <w:r w:rsidRPr="007A436F">
              <w:rPr>
                <w:b/>
              </w:rPr>
              <w:t>Division</w:t>
            </w:r>
            <w:r w:rsidR="007A436F">
              <w:rPr>
                <w:b/>
              </w:rPr>
              <w:t> </w:t>
            </w:r>
            <w:r w:rsidRPr="007A436F">
              <w:rPr>
                <w:b/>
              </w:rPr>
              <w:t>1</w:t>
            </w:r>
          </w:p>
        </w:tc>
        <w:tc>
          <w:tcPr>
            <w:tcW w:w="3524" w:type="pct"/>
            <w:shd w:val="clear" w:color="auto" w:fill="auto"/>
          </w:tcPr>
          <w:p w:rsidR="00AD1A99" w:rsidRPr="007A436F" w:rsidRDefault="00AD1A99" w:rsidP="008272CE">
            <w:pPr>
              <w:pStyle w:val="ENoteTableText"/>
              <w:tabs>
                <w:tab w:val="center" w:leader="dot" w:pos="2268"/>
              </w:tabs>
            </w:pP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5</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am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7</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am </w:t>
            </w:r>
            <w:r w:rsidR="002C7699" w:rsidRPr="007A436F">
              <w:t>F2018L01634</w:t>
            </w:r>
          </w:p>
        </w:tc>
      </w:tr>
      <w:tr w:rsidR="00EC02A7" w:rsidRPr="007A436F" w:rsidTr="00FF7B50">
        <w:trPr>
          <w:cantSplit/>
        </w:trPr>
        <w:tc>
          <w:tcPr>
            <w:tcW w:w="1476" w:type="pct"/>
            <w:shd w:val="clear" w:color="auto" w:fill="auto"/>
          </w:tcPr>
          <w:p w:rsidR="00EC02A7" w:rsidRPr="007A436F" w:rsidRDefault="00EC02A7" w:rsidP="008272CE">
            <w:pPr>
              <w:pStyle w:val="ENoteTableText"/>
              <w:tabs>
                <w:tab w:val="center" w:leader="dot" w:pos="2268"/>
              </w:tabs>
              <w:rPr>
                <w:b/>
              </w:rPr>
            </w:pPr>
            <w:r w:rsidRPr="007A436F">
              <w:rPr>
                <w:b/>
              </w:rPr>
              <w:t>Div</w:t>
            </w:r>
            <w:r w:rsidR="00ED2F68" w:rsidRPr="007A436F">
              <w:rPr>
                <w:b/>
              </w:rPr>
              <w:t>ision</w:t>
            </w:r>
            <w:r w:rsidR="007A436F">
              <w:rPr>
                <w:b/>
              </w:rPr>
              <w:t> </w:t>
            </w:r>
            <w:r w:rsidRPr="007A436F">
              <w:rPr>
                <w:b/>
              </w:rPr>
              <w:t>2</w:t>
            </w:r>
          </w:p>
        </w:tc>
        <w:tc>
          <w:tcPr>
            <w:tcW w:w="3524" w:type="pct"/>
            <w:shd w:val="clear" w:color="auto" w:fill="auto"/>
          </w:tcPr>
          <w:p w:rsidR="00EC02A7" w:rsidRPr="007A436F" w:rsidRDefault="00EC02A7" w:rsidP="008272CE">
            <w:pPr>
              <w:pStyle w:val="ENoteTableText"/>
              <w:tabs>
                <w:tab w:val="center" w:leader="dot" w:pos="2268"/>
              </w:tabs>
            </w:pP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rPr>
                <w:b/>
              </w:rPr>
            </w:pPr>
            <w:r w:rsidRPr="007A436F">
              <w:rPr>
                <w:b/>
              </w:rPr>
              <w:t>Subdivision A</w:t>
            </w:r>
          </w:p>
        </w:tc>
        <w:tc>
          <w:tcPr>
            <w:tcW w:w="3524" w:type="pct"/>
            <w:shd w:val="clear" w:color="auto" w:fill="auto"/>
          </w:tcPr>
          <w:p w:rsidR="00AD1A99" w:rsidRPr="007A436F" w:rsidRDefault="00AD1A99" w:rsidP="008272CE">
            <w:pPr>
              <w:pStyle w:val="ENoteTableText"/>
              <w:tabs>
                <w:tab w:val="center" w:leader="dot" w:pos="2268"/>
              </w:tabs>
            </w:pP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Subdivision A heading</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ad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7A</w:t>
            </w:r>
            <w:r w:rsidRPr="007A436F">
              <w:tab/>
            </w:r>
          </w:p>
        </w:tc>
        <w:tc>
          <w:tcPr>
            <w:tcW w:w="3524" w:type="pct"/>
            <w:shd w:val="clear" w:color="auto" w:fill="auto"/>
          </w:tcPr>
          <w:p w:rsidR="00AD1A99" w:rsidRPr="007A436F" w:rsidRDefault="00AD1A99" w:rsidP="002D5DFB">
            <w:pPr>
              <w:pStyle w:val="ENoteTableText"/>
              <w:tabs>
                <w:tab w:val="center" w:leader="dot" w:pos="2268"/>
              </w:tabs>
            </w:pPr>
            <w:r w:rsidRPr="007A436F">
              <w:t xml:space="preserve">ad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8</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am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9</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am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rPr>
                <w:b/>
              </w:rPr>
              <w:t>Subdivision B</w:t>
            </w:r>
          </w:p>
        </w:tc>
        <w:tc>
          <w:tcPr>
            <w:tcW w:w="3524" w:type="pct"/>
            <w:shd w:val="clear" w:color="auto" w:fill="auto"/>
          </w:tcPr>
          <w:p w:rsidR="00AD1A99" w:rsidRPr="007A436F" w:rsidRDefault="00AD1A99" w:rsidP="008272CE">
            <w:pPr>
              <w:pStyle w:val="ENoteTableText"/>
              <w:tabs>
                <w:tab w:val="center" w:leader="dot" w:pos="2268"/>
              </w:tabs>
            </w:pPr>
          </w:p>
        </w:tc>
      </w:tr>
      <w:tr w:rsidR="00AD1A99" w:rsidRPr="007A436F" w:rsidTr="00FF7B50">
        <w:trPr>
          <w:cantSplit/>
        </w:trPr>
        <w:tc>
          <w:tcPr>
            <w:tcW w:w="1476" w:type="pct"/>
            <w:shd w:val="clear" w:color="auto" w:fill="auto"/>
          </w:tcPr>
          <w:p w:rsidR="00AD1A99" w:rsidRPr="007A436F" w:rsidRDefault="00AD1A99" w:rsidP="00BF5EB9">
            <w:pPr>
              <w:pStyle w:val="ENoteTableText"/>
              <w:tabs>
                <w:tab w:val="center" w:leader="dot" w:pos="2268"/>
              </w:tabs>
            </w:pPr>
            <w:r w:rsidRPr="007A436F">
              <w:t>Subdivision B</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ad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9AA</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ad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9AB</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ad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9AC</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ad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rPr>
                <w:b/>
              </w:rPr>
              <w:t>Subdivision C</w:t>
            </w:r>
          </w:p>
        </w:tc>
        <w:tc>
          <w:tcPr>
            <w:tcW w:w="3524" w:type="pct"/>
            <w:shd w:val="clear" w:color="auto" w:fill="auto"/>
          </w:tcPr>
          <w:p w:rsidR="00AD1A99" w:rsidRPr="007A436F" w:rsidRDefault="00AD1A99" w:rsidP="008272CE">
            <w:pPr>
              <w:pStyle w:val="ENoteTableText"/>
              <w:tabs>
                <w:tab w:val="center" w:leader="dot" w:pos="2268"/>
              </w:tabs>
            </w:pP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Subdivision C heading</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ad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9AD</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ad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9A</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ad </w:t>
            </w:r>
            <w:r w:rsidR="00045E6E" w:rsidRPr="007A436F">
              <w:t>F2017L01405</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p>
        </w:tc>
        <w:tc>
          <w:tcPr>
            <w:tcW w:w="3524" w:type="pct"/>
            <w:shd w:val="clear" w:color="auto" w:fill="auto"/>
          </w:tcPr>
          <w:p w:rsidR="00AD1A99" w:rsidRPr="007A436F" w:rsidRDefault="00AD1A99" w:rsidP="008272CE">
            <w:pPr>
              <w:pStyle w:val="ENoteTableText"/>
              <w:tabs>
                <w:tab w:val="center" w:leader="dot" w:pos="2268"/>
              </w:tabs>
            </w:pPr>
            <w:r w:rsidRPr="007A436F">
              <w:t xml:space="preserve">am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60278F">
            <w:pPr>
              <w:pStyle w:val="ENoteTableText"/>
              <w:tabs>
                <w:tab w:val="center" w:leader="dot" w:pos="2268"/>
              </w:tabs>
              <w:rPr>
                <w:b/>
              </w:rPr>
            </w:pPr>
            <w:r w:rsidRPr="007A436F">
              <w:rPr>
                <w:b/>
              </w:rPr>
              <w:t>Part</w:t>
            </w:r>
            <w:r w:rsidR="007A436F">
              <w:rPr>
                <w:b/>
              </w:rPr>
              <w:t> </w:t>
            </w:r>
            <w:r w:rsidRPr="007A436F">
              <w:rPr>
                <w:b/>
              </w:rPr>
              <w:t>3</w:t>
            </w:r>
          </w:p>
        </w:tc>
        <w:tc>
          <w:tcPr>
            <w:tcW w:w="3524" w:type="pct"/>
            <w:shd w:val="clear" w:color="auto" w:fill="auto"/>
          </w:tcPr>
          <w:p w:rsidR="00AD1A99" w:rsidRPr="007A436F" w:rsidRDefault="00AD1A99" w:rsidP="008272CE">
            <w:pPr>
              <w:pStyle w:val="ENoteTableText"/>
              <w:tabs>
                <w:tab w:val="center" w:leader="dot" w:pos="2268"/>
              </w:tabs>
            </w:pPr>
          </w:p>
        </w:tc>
      </w:tr>
      <w:tr w:rsidR="00AD1A99" w:rsidRPr="007A436F" w:rsidTr="00FF7B50">
        <w:trPr>
          <w:cantSplit/>
        </w:trPr>
        <w:tc>
          <w:tcPr>
            <w:tcW w:w="1476" w:type="pct"/>
            <w:shd w:val="clear" w:color="auto" w:fill="auto"/>
          </w:tcPr>
          <w:p w:rsidR="00AD1A99" w:rsidRPr="007A436F" w:rsidRDefault="00AD1A99" w:rsidP="0060278F">
            <w:pPr>
              <w:pStyle w:val="ENoteTableText"/>
              <w:tabs>
                <w:tab w:val="center" w:leader="dot" w:pos="2268"/>
              </w:tabs>
            </w:pPr>
            <w:r w:rsidRPr="007A436F">
              <w:t>Part</w:t>
            </w:r>
            <w:r w:rsidR="007A436F">
              <w:t> </w:t>
            </w:r>
            <w:r w:rsidRPr="007A436F">
              <w:t>3 heading</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rs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60278F">
            <w:pPr>
              <w:pStyle w:val="ENoteTableText"/>
              <w:tabs>
                <w:tab w:val="center" w:leader="dot" w:pos="2268"/>
              </w:tabs>
              <w:rPr>
                <w:b/>
              </w:rPr>
            </w:pPr>
            <w:r w:rsidRPr="007A436F">
              <w:rPr>
                <w:b/>
              </w:rPr>
              <w:t>Division</w:t>
            </w:r>
            <w:r w:rsidR="007A436F">
              <w:rPr>
                <w:b/>
              </w:rPr>
              <w:t> </w:t>
            </w:r>
            <w:r w:rsidRPr="007A436F">
              <w:rPr>
                <w:b/>
              </w:rPr>
              <w:t>1</w:t>
            </w:r>
          </w:p>
        </w:tc>
        <w:tc>
          <w:tcPr>
            <w:tcW w:w="3524" w:type="pct"/>
            <w:shd w:val="clear" w:color="auto" w:fill="auto"/>
          </w:tcPr>
          <w:p w:rsidR="00AD1A99" w:rsidRPr="007A436F" w:rsidRDefault="00AD1A99" w:rsidP="008272CE">
            <w:pPr>
              <w:pStyle w:val="ENoteTableText"/>
              <w:tabs>
                <w:tab w:val="center" w:leader="dot" w:pos="2268"/>
              </w:tabs>
            </w:pPr>
          </w:p>
        </w:tc>
      </w:tr>
      <w:tr w:rsidR="00AD1A99" w:rsidRPr="007A436F" w:rsidTr="00FF7B50">
        <w:trPr>
          <w:cantSplit/>
        </w:trPr>
        <w:tc>
          <w:tcPr>
            <w:tcW w:w="1476" w:type="pct"/>
            <w:shd w:val="clear" w:color="auto" w:fill="auto"/>
          </w:tcPr>
          <w:p w:rsidR="00AD1A99" w:rsidRPr="007A436F" w:rsidRDefault="00AD1A99" w:rsidP="0060278F">
            <w:pPr>
              <w:pStyle w:val="ENoteTableText"/>
              <w:tabs>
                <w:tab w:val="center" w:leader="dot" w:pos="2268"/>
              </w:tabs>
            </w:pPr>
            <w:r w:rsidRPr="007A436F">
              <w:t>s 9B</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ad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10</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am </w:t>
            </w:r>
            <w:r w:rsidR="00045E6E" w:rsidRPr="007A436F">
              <w:t>F2017L01405</w:t>
            </w:r>
            <w:r w:rsidRPr="007A436F">
              <w:t xml:space="preserve">;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11</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am </w:t>
            </w:r>
            <w:r w:rsidR="00045E6E" w:rsidRPr="007A436F">
              <w:t>F2017L01405</w:t>
            </w:r>
            <w:r w:rsidRPr="007A436F">
              <w:t xml:space="preserve">;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rPr>
                <w:b/>
              </w:rPr>
            </w:pPr>
            <w:r w:rsidRPr="007A436F">
              <w:rPr>
                <w:b/>
              </w:rPr>
              <w:t>Part</w:t>
            </w:r>
            <w:r w:rsidR="007A436F">
              <w:rPr>
                <w:b/>
              </w:rPr>
              <w:t> </w:t>
            </w:r>
            <w:r w:rsidRPr="007A436F">
              <w:rPr>
                <w:b/>
              </w:rPr>
              <w:t>6</w:t>
            </w:r>
          </w:p>
        </w:tc>
        <w:tc>
          <w:tcPr>
            <w:tcW w:w="3524" w:type="pct"/>
            <w:shd w:val="clear" w:color="auto" w:fill="auto"/>
          </w:tcPr>
          <w:p w:rsidR="00AD1A99" w:rsidRPr="007A436F" w:rsidRDefault="00AD1A99" w:rsidP="008272CE">
            <w:pPr>
              <w:pStyle w:val="ENoteTableText"/>
              <w:tabs>
                <w:tab w:val="center" w:leader="dot" w:pos="2268"/>
              </w:tabs>
            </w:pP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23</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am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Part</w:t>
            </w:r>
            <w:r w:rsidR="007A436F">
              <w:t> </w:t>
            </w:r>
            <w:r w:rsidRPr="007A436F">
              <w:t>8</w:t>
            </w:r>
            <w:r w:rsidRPr="007A436F">
              <w:tab/>
            </w:r>
          </w:p>
        </w:tc>
        <w:tc>
          <w:tcPr>
            <w:tcW w:w="3524" w:type="pct"/>
            <w:shd w:val="clear" w:color="auto" w:fill="auto"/>
          </w:tcPr>
          <w:p w:rsidR="00AD1A99" w:rsidRPr="007A436F" w:rsidRDefault="00AD1A99" w:rsidP="008272CE">
            <w:pPr>
              <w:pStyle w:val="ENoteTableText"/>
              <w:tabs>
                <w:tab w:val="center" w:leader="dot" w:pos="2268"/>
              </w:tabs>
            </w:pPr>
            <w:r w:rsidRPr="007A436F">
              <w:t xml:space="preserve">rep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25</w:t>
            </w:r>
            <w:r w:rsidRPr="007A436F">
              <w:tab/>
            </w:r>
          </w:p>
        </w:tc>
        <w:tc>
          <w:tcPr>
            <w:tcW w:w="3524" w:type="pct"/>
            <w:shd w:val="clear" w:color="auto" w:fill="auto"/>
          </w:tcPr>
          <w:p w:rsidR="00AD1A99" w:rsidRPr="007A436F" w:rsidRDefault="00042EC8" w:rsidP="008272CE">
            <w:pPr>
              <w:pStyle w:val="ENoteTableText"/>
              <w:tabs>
                <w:tab w:val="center" w:leader="dot" w:pos="2268"/>
              </w:tabs>
            </w:pPr>
            <w:r w:rsidRPr="007A436F">
              <w:t xml:space="preserve">rep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26</w:t>
            </w:r>
            <w:r w:rsidRPr="007A436F">
              <w:tab/>
            </w:r>
          </w:p>
        </w:tc>
        <w:tc>
          <w:tcPr>
            <w:tcW w:w="3524" w:type="pct"/>
            <w:shd w:val="clear" w:color="auto" w:fill="auto"/>
          </w:tcPr>
          <w:p w:rsidR="00AD1A99" w:rsidRPr="007A436F" w:rsidRDefault="00042EC8" w:rsidP="008272CE">
            <w:pPr>
              <w:pStyle w:val="ENoteTableText"/>
              <w:tabs>
                <w:tab w:val="center" w:leader="dot" w:pos="2268"/>
              </w:tabs>
            </w:pPr>
            <w:r w:rsidRPr="007A436F">
              <w:t xml:space="preserve">rep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27</w:t>
            </w:r>
            <w:r w:rsidRPr="007A436F">
              <w:tab/>
            </w:r>
          </w:p>
        </w:tc>
        <w:tc>
          <w:tcPr>
            <w:tcW w:w="3524" w:type="pct"/>
            <w:shd w:val="clear" w:color="auto" w:fill="auto"/>
          </w:tcPr>
          <w:p w:rsidR="00AD1A99" w:rsidRPr="007A436F" w:rsidRDefault="00042EC8" w:rsidP="008272CE">
            <w:pPr>
              <w:pStyle w:val="ENoteTableText"/>
              <w:tabs>
                <w:tab w:val="center" w:leader="dot" w:pos="2268"/>
              </w:tabs>
            </w:pPr>
            <w:r w:rsidRPr="007A436F">
              <w:t xml:space="preserve">rep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 28</w:t>
            </w:r>
            <w:r w:rsidRPr="007A436F">
              <w:tab/>
            </w:r>
          </w:p>
        </w:tc>
        <w:tc>
          <w:tcPr>
            <w:tcW w:w="3524" w:type="pct"/>
            <w:shd w:val="clear" w:color="auto" w:fill="auto"/>
          </w:tcPr>
          <w:p w:rsidR="00AD1A99" w:rsidRPr="007A436F" w:rsidRDefault="00042EC8" w:rsidP="008272CE">
            <w:pPr>
              <w:pStyle w:val="ENoteTableText"/>
              <w:tabs>
                <w:tab w:val="center" w:leader="dot" w:pos="2268"/>
              </w:tabs>
            </w:pPr>
            <w:r w:rsidRPr="007A436F">
              <w:t xml:space="preserve">rep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lastRenderedPageBreak/>
              <w:t>s 29</w:t>
            </w:r>
            <w:r w:rsidRPr="007A436F">
              <w:tab/>
            </w:r>
          </w:p>
        </w:tc>
        <w:tc>
          <w:tcPr>
            <w:tcW w:w="3524" w:type="pct"/>
            <w:shd w:val="clear" w:color="auto" w:fill="auto"/>
          </w:tcPr>
          <w:p w:rsidR="00AD1A99" w:rsidRPr="007A436F" w:rsidRDefault="00042EC8" w:rsidP="008272CE">
            <w:pPr>
              <w:pStyle w:val="ENoteTableText"/>
              <w:tabs>
                <w:tab w:val="center" w:leader="dot" w:pos="2268"/>
              </w:tabs>
            </w:pPr>
            <w:r w:rsidRPr="007A436F">
              <w:t xml:space="preserve">rep </w:t>
            </w:r>
            <w:r w:rsidR="002C7699" w:rsidRPr="007A436F">
              <w:t>F2018L01634</w:t>
            </w: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rPr>
                <w:b/>
              </w:rPr>
              <w:t>Schedule</w:t>
            </w:r>
            <w:r w:rsidR="007A436F">
              <w:rPr>
                <w:b/>
              </w:rPr>
              <w:t> </w:t>
            </w:r>
            <w:r w:rsidRPr="007A436F">
              <w:rPr>
                <w:b/>
              </w:rPr>
              <w:t>1</w:t>
            </w:r>
          </w:p>
        </w:tc>
        <w:tc>
          <w:tcPr>
            <w:tcW w:w="3524" w:type="pct"/>
            <w:shd w:val="clear" w:color="auto" w:fill="auto"/>
          </w:tcPr>
          <w:p w:rsidR="00AD1A99" w:rsidRPr="007A436F" w:rsidRDefault="00AD1A99" w:rsidP="008272CE">
            <w:pPr>
              <w:pStyle w:val="ENoteTableText"/>
              <w:tabs>
                <w:tab w:val="center" w:leader="dot" w:pos="2268"/>
              </w:tabs>
            </w:pPr>
          </w:p>
        </w:tc>
      </w:tr>
      <w:tr w:rsidR="00AD1A99" w:rsidRPr="007A436F" w:rsidTr="00FF7B50">
        <w:trPr>
          <w:cantSplit/>
        </w:trPr>
        <w:tc>
          <w:tcPr>
            <w:tcW w:w="1476" w:type="pct"/>
            <w:shd w:val="clear" w:color="auto" w:fill="auto"/>
          </w:tcPr>
          <w:p w:rsidR="00AD1A99" w:rsidRPr="007A436F" w:rsidRDefault="00AD1A99" w:rsidP="008272CE">
            <w:pPr>
              <w:pStyle w:val="ENoteTableText"/>
              <w:tabs>
                <w:tab w:val="center" w:leader="dot" w:pos="2268"/>
              </w:tabs>
            </w:pPr>
            <w:r w:rsidRPr="007A436F">
              <w:t>Schedule</w:t>
            </w:r>
            <w:r w:rsidR="007A436F">
              <w:t> </w:t>
            </w:r>
            <w:r w:rsidRPr="007A436F">
              <w:t>1</w:t>
            </w:r>
            <w:r w:rsidRPr="007A436F">
              <w:tab/>
            </w:r>
          </w:p>
        </w:tc>
        <w:tc>
          <w:tcPr>
            <w:tcW w:w="3524" w:type="pct"/>
            <w:shd w:val="clear" w:color="auto" w:fill="auto"/>
          </w:tcPr>
          <w:p w:rsidR="00AD1A99" w:rsidRPr="007A436F" w:rsidRDefault="00AD1A99" w:rsidP="002D5DFB">
            <w:pPr>
              <w:pStyle w:val="ENoteTableText"/>
              <w:tabs>
                <w:tab w:val="center" w:leader="dot" w:pos="2268"/>
              </w:tabs>
            </w:pPr>
            <w:r w:rsidRPr="007A436F">
              <w:t xml:space="preserve">am </w:t>
            </w:r>
            <w:r w:rsidR="002C7699" w:rsidRPr="007A436F">
              <w:t>F2015L01904</w:t>
            </w:r>
            <w:r w:rsidRPr="007A436F">
              <w:t xml:space="preserve">; </w:t>
            </w:r>
            <w:r w:rsidR="002C7699" w:rsidRPr="007A436F">
              <w:t>F2016L01553</w:t>
            </w:r>
            <w:r w:rsidRPr="007A436F">
              <w:t xml:space="preserve">; </w:t>
            </w:r>
            <w:r w:rsidR="002C7699" w:rsidRPr="007A436F">
              <w:t>F2016L02029</w:t>
            </w:r>
            <w:r w:rsidRPr="007A436F">
              <w:t xml:space="preserve">; </w:t>
            </w:r>
            <w:r w:rsidR="002C7699" w:rsidRPr="007A436F">
              <w:t>F2017L01263</w:t>
            </w:r>
            <w:r w:rsidRPr="007A436F">
              <w:t xml:space="preserve">; </w:t>
            </w:r>
            <w:r w:rsidR="002C7699" w:rsidRPr="007A436F">
              <w:t>F2018L00429</w:t>
            </w:r>
            <w:r w:rsidRPr="007A436F">
              <w:t xml:space="preserve">; </w:t>
            </w:r>
            <w:r w:rsidR="002C7699" w:rsidRPr="007A436F">
              <w:t>F2018L00548</w:t>
            </w:r>
            <w:r w:rsidR="00042EC8" w:rsidRPr="007A436F">
              <w:t xml:space="preserve">; </w:t>
            </w:r>
            <w:r w:rsidR="002C7699" w:rsidRPr="007A436F">
              <w:t>F2018L01634</w:t>
            </w:r>
            <w:r w:rsidR="00BF39EF" w:rsidRPr="007A436F">
              <w:t xml:space="preserve">; </w:t>
            </w:r>
            <w:r w:rsidR="002C7699" w:rsidRPr="007A436F">
              <w:t>F2018L01815</w:t>
            </w:r>
            <w:r w:rsidR="007A0E93" w:rsidRPr="007A436F">
              <w:t xml:space="preserve">; </w:t>
            </w:r>
            <w:r w:rsidR="002C7699" w:rsidRPr="007A436F">
              <w:t>F2019L00452</w:t>
            </w:r>
          </w:p>
        </w:tc>
      </w:tr>
      <w:tr w:rsidR="00B73576" w:rsidRPr="007A436F" w:rsidTr="002A337F">
        <w:trPr>
          <w:cantSplit/>
        </w:trPr>
        <w:tc>
          <w:tcPr>
            <w:tcW w:w="1476" w:type="pct"/>
            <w:shd w:val="clear" w:color="auto" w:fill="auto"/>
          </w:tcPr>
          <w:p w:rsidR="00B73576" w:rsidRPr="007A436F" w:rsidRDefault="00B73576" w:rsidP="008272CE">
            <w:pPr>
              <w:pStyle w:val="ENoteTableText"/>
              <w:tabs>
                <w:tab w:val="center" w:leader="dot" w:pos="2268"/>
              </w:tabs>
            </w:pPr>
          </w:p>
        </w:tc>
        <w:tc>
          <w:tcPr>
            <w:tcW w:w="3524" w:type="pct"/>
            <w:shd w:val="clear" w:color="auto" w:fill="auto"/>
          </w:tcPr>
          <w:p w:rsidR="00B73576" w:rsidRPr="007A436F" w:rsidRDefault="00B73576" w:rsidP="002D5DFB">
            <w:pPr>
              <w:pStyle w:val="ENoteTableText"/>
              <w:tabs>
                <w:tab w:val="center" w:leader="dot" w:pos="2268"/>
              </w:tabs>
            </w:pPr>
            <w:r w:rsidRPr="007A436F">
              <w:t>ed C10</w:t>
            </w:r>
          </w:p>
        </w:tc>
      </w:tr>
      <w:tr w:rsidR="002A337F" w:rsidRPr="007A436F" w:rsidTr="00FF7B50">
        <w:trPr>
          <w:cantSplit/>
        </w:trPr>
        <w:tc>
          <w:tcPr>
            <w:tcW w:w="1476" w:type="pct"/>
            <w:tcBorders>
              <w:bottom w:val="single" w:sz="12" w:space="0" w:color="auto"/>
            </w:tcBorders>
            <w:shd w:val="clear" w:color="auto" w:fill="auto"/>
          </w:tcPr>
          <w:p w:rsidR="002A337F" w:rsidRPr="007A436F" w:rsidRDefault="002A337F" w:rsidP="008272CE">
            <w:pPr>
              <w:pStyle w:val="ENoteTableText"/>
              <w:tabs>
                <w:tab w:val="center" w:leader="dot" w:pos="2268"/>
              </w:tabs>
            </w:pPr>
          </w:p>
        </w:tc>
        <w:tc>
          <w:tcPr>
            <w:tcW w:w="3524" w:type="pct"/>
            <w:tcBorders>
              <w:bottom w:val="single" w:sz="12" w:space="0" w:color="auto"/>
            </w:tcBorders>
            <w:shd w:val="clear" w:color="auto" w:fill="auto"/>
          </w:tcPr>
          <w:p w:rsidR="002A337F" w:rsidRPr="007A436F" w:rsidRDefault="002A337F" w:rsidP="002D5DFB">
            <w:pPr>
              <w:pStyle w:val="ENoteTableText"/>
              <w:tabs>
                <w:tab w:val="center" w:leader="dot" w:pos="2268"/>
              </w:tabs>
            </w:pPr>
            <w:r w:rsidRPr="007A436F">
              <w:t xml:space="preserve">am </w:t>
            </w:r>
            <w:r w:rsidR="002C7699" w:rsidRPr="007A436F">
              <w:t>F2019L01299</w:t>
            </w:r>
            <w:r w:rsidR="00F75E67" w:rsidRPr="007A436F">
              <w:t xml:space="preserve">; </w:t>
            </w:r>
            <w:r w:rsidR="002C7699" w:rsidRPr="007A436F">
              <w:t>F2020L00071</w:t>
            </w:r>
            <w:r w:rsidR="00C507EF">
              <w:t>; F2021L00528</w:t>
            </w:r>
            <w:r w:rsidR="00195AC4">
              <w:t>; F2021L00664</w:t>
            </w:r>
          </w:p>
        </w:tc>
      </w:tr>
    </w:tbl>
    <w:p w:rsidR="00812422" w:rsidRPr="007A436F" w:rsidRDefault="00812422" w:rsidP="00812422"/>
    <w:p w:rsidR="00812422" w:rsidRPr="007A436F" w:rsidRDefault="00812422" w:rsidP="00812422">
      <w:pPr>
        <w:sectPr w:rsidR="00812422" w:rsidRPr="007A436F" w:rsidSect="00864B3F">
          <w:headerReference w:type="even" r:id="rId35"/>
          <w:headerReference w:type="default" r:id="rId36"/>
          <w:footerReference w:type="even" r:id="rId37"/>
          <w:footerReference w:type="default" r:id="rId38"/>
          <w:pgSz w:w="11907" w:h="16839" w:code="9"/>
          <w:pgMar w:top="2325" w:right="1797" w:bottom="1440" w:left="1797" w:header="720" w:footer="709" w:gutter="0"/>
          <w:cols w:space="708"/>
          <w:docGrid w:linePitch="360"/>
        </w:sectPr>
      </w:pPr>
    </w:p>
    <w:p w:rsidR="00E916D2" w:rsidRPr="007A436F" w:rsidRDefault="00E916D2" w:rsidP="00812422"/>
    <w:sectPr w:rsidR="00E916D2" w:rsidRPr="007A436F" w:rsidSect="00864B3F">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23A" w:rsidRDefault="0066623A">
      <w:r>
        <w:separator/>
      </w:r>
    </w:p>
  </w:endnote>
  <w:endnote w:type="continuationSeparator" w:id="0">
    <w:p w:rsidR="0066623A" w:rsidRDefault="0066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Default="0066623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6"/>
      <w:gridCol w:w="9137"/>
      <w:gridCol w:w="283"/>
      <w:gridCol w:w="1847"/>
    </w:tblGrid>
    <w:tr w:rsidR="0066623A" w:rsidRPr="007B3B51" w:rsidTr="00A84969">
      <w:tc>
        <w:tcPr>
          <w:tcW w:w="642" w:type="pct"/>
        </w:tcPr>
        <w:p w:rsidR="0066623A" w:rsidRPr="007B3B51" w:rsidRDefault="0066623A" w:rsidP="00812422">
          <w:pPr>
            <w:rPr>
              <w:i/>
              <w:sz w:val="16"/>
              <w:szCs w:val="16"/>
            </w:rPr>
          </w:pPr>
        </w:p>
      </w:tc>
      <w:tc>
        <w:tcPr>
          <w:tcW w:w="3672"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1FE">
            <w:rPr>
              <w:i/>
              <w:noProof/>
              <w:sz w:val="16"/>
              <w:szCs w:val="16"/>
            </w:rPr>
            <w:t>National Health (Growth Hormone Program) Special Arrangement 2015</w:t>
          </w:r>
          <w:r w:rsidRPr="007B3B51">
            <w:rPr>
              <w:i/>
              <w:sz w:val="16"/>
              <w:szCs w:val="16"/>
            </w:rPr>
            <w:fldChar w:fldCharType="end"/>
          </w:r>
        </w:p>
      </w:tc>
      <w:tc>
        <w:tcPr>
          <w:tcW w:w="686" w:type="pct"/>
        </w:tcPr>
        <w:p w:rsidR="0066623A" w:rsidRPr="007B3B51" w:rsidRDefault="0066623A" w:rsidP="008124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66623A" w:rsidRPr="00130F37" w:rsidTr="00A84969">
      <w:tc>
        <w:tcPr>
          <w:tcW w:w="815" w:type="pct"/>
          <w:gridSpan w:val="2"/>
        </w:tcPr>
        <w:p w:rsidR="0066623A" w:rsidRPr="00130F37" w:rsidRDefault="0066623A" w:rsidP="008124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w:t>
          </w:r>
          <w:r w:rsidRPr="00130F37">
            <w:rPr>
              <w:sz w:val="16"/>
              <w:szCs w:val="16"/>
            </w:rPr>
            <w:fldChar w:fldCharType="end"/>
          </w:r>
        </w:p>
      </w:tc>
      <w:tc>
        <w:tcPr>
          <w:tcW w:w="3394" w:type="pct"/>
        </w:tcPr>
        <w:p w:rsidR="0066623A" w:rsidRPr="00130F37" w:rsidRDefault="0066623A" w:rsidP="0081242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01/06/2021</w:t>
          </w:r>
          <w:r w:rsidRPr="00130F37">
            <w:rPr>
              <w:sz w:val="16"/>
              <w:szCs w:val="16"/>
            </w:rPr>
            <w:fldChar w:fldCharType="end"/>
          </w:r>
        </w:p>
      </w:tc>
      <w:tc>
        <w:tcPr>
          <w:tcW w:w="791" w:type="pct"/>
          <w:gridSpan w:val="2"/>
        </w:tcPr>
        <w:p w:rsidR="0066623A" w:rsidRPr="00130F37" w:rsidRDefault="0066623A" w:rsidP="008124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11/06/2021</w:t>
          </w:r>
          <w:r w:rsidRPr="00130F37">
            <w:rPr>
              <w:sz w:val="16"/>
              <w:szCs w:val="16"/>
            </w:rPr>
            <w:fldChar w:fldCharType="end"/>
          </w:r>
        </w:p>
      </w:tc>
    </w:tr>
  </w:tbl>
  <w:p w:rsidR="0066623A" w:rsidRPr="00812422" w:rsidRDefault="0066623A" w:rsidP="0081242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6"/>
      <w:gridCol w:w="9137"/>
      <w:gridCol w:w="283"/>
      <w:gridCol w:w="1847"/>
    </w:tblGrid>
    <w:tr w:rsidR="0066623A" w:rsidRPr="007B3B51" w:rsidTr="00A84969">
      <w:tc>
        <w:tcPr>
          <w:tcW w:w="642" w:type="pct"/>
        </w:tcPr>
        <w:p w:rsidR="0066623A" w:rsidRPr="007B3B51" w:rsidRDefault="0066623A" w:rsidP="00812422">
          <w:pPr>
            <w:rPr>
              <w:i/>
              <w:sz w:val="16"/>
              <w:szCs w:val="16"/>
            </w:rPr>
          </w:pPr>
        </w:p>
      </w:tc>
      <w:tc>
        <w:tcPr>
          <w:tcW w:w="3672"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(Growth Hormone Program) Special Arrangement 2015</w:t>
          </w:r>
          <w:r w:rsidRPr="007B3B51">
            <w:rPr>
              <w:i/>
              <w:sz w:val="16"/>
              <w:szCs w:val="16"/>
            </w:rPr>
            <w:fldChar w:fldCharType="end"/>
          </w:r>
        </w:p>
      </w:tc>
      <w:tc>
        <w:tcPr>
          <w:tcW w:w="686" w:type="pct"/>
        </w:tcPr>
        <w:p w:rsidR="0066623A" w:rsidRPr="007B3B51" w:rsidRDefault="0066623A" w:rsidP="008124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r>
    <w:tr w:rsidR="0066623A" w:rsidRPr="00130F37" w:rsidTr="00A84969">
      <w:tc>
        <w:tcPr>
          <w:tcW w:w="815" w:type="pct"/>
          <w:gridSpan w:val="2"/>
        </w:tcPr>
        <w:p w:rsidR="0066623A" w:rsidRPr="00130F37" w:rsidRDefault="0066623A" w:rsidP="008124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w:t>
          </w:r>
          <w:r w:rsidRPr="00130F37">
            <w:rPr>
              <w:sz w:val="16"/>
              <w:szCs w:val="16"/>
            </w:rPr>
            <w:fldChar w:fldCharType="end"/>
          </w:r>
        </w:p>
      </w:tc>
      <w:tc>
        <w:tcPr>
          <w:tcW w:w="3394" w:type="pct"/>
        </w:tcPr>
        <w:p w:rsidR="0066623A" w:rsidRPr="00130F37" w:rsidRDefault="0066623A" w:rsidP="0081242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01/06/2021</w:t>
          </w:r>
          <w:r w:rsidRPr="00130F37">
            <w:rPr>
              <w:sz w:val="16"/>
              <w:szCs w:val="16"/>
            </w:rPr>
            <w:fldChar w:fldCharType="end"/>
          </w:r>
        </w:p>
      </w:tc>
      <w:tc>
        <w:tcPr>
          <w:tcW w:w="791" w:type="pct"/>
          <w:gridSpan w:val="2"/>
        </w:tcPr>
        <w:p w:rsidR="0066623A" w:rsidRPr="00130F37" w:rsidRDefault="0066623A" w:rsidP="008124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11/06/2021</w:t>
          </w:r>
          <w:r w:rsidRPr="00130F37">
            <w:rPr>
              <w:sz w:val="16"/>
              <w:szCs w:val="16"/>
            </w:rPr>
            <w:fldChar w:fldCharType="end"/>
          </w:r>
        </w:p>
      </w:tc>
    </w:tr>
  </w:tbl>
  <w:p w:rsidR="0066623A" w:rsidRPr="00812422" w:rsidRDefault="0066623A" w:rsidP="0081242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66623A" w:rsidRPr="007B3B51" w:rsidTr="00A84969">
      <w:tc>
        <w:tcPr>
          <w:tcW w:w="681" w:type="pct"/>
        </w:tcPr>
        <w:p w:rsidR="0066623A" w:rsidRPr="007B3B51" w:rsidRDefault="0066623A" w:rsidP="008124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3471"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1FE">
            <w:rPr>
              <w:i/>
              <w:noProof/>
              <w:sz w:val="16"/>
              <w:szCs w:val="16"/>
            </w:rPr>
            <w:t>National Health (Growth Hormone Program) Special Arrangement 2015</w:t>
          </w:r>
          <w:r w:rsidRPr="007B3B51">
            <w:rPr>
              <w:i/>
              <w:sz w:val="16"/>
              <w:szCs w:val="16"/>
            </w:rPr>
            <w:fldChar w:fldCharType="end"/>
          </w:r>
        </w:p>
      </w:tc>
      <w:tc>
        <w:tcPr>
          <w:tcW w:w="848" w:type="pct"/>
        </w:tcPr>
        <w:p w:rsidR="0066623A" w:rsidRPr="007B3B51" w:rsidRDefault="0066623A" w:rsidP="00812422">
          <w:pPr>
            <w:jc w:val="right"/>
            <w:rPr>
              <w:sz w:val="16"/>
              <w:szCs w:val="16"/>
            </w:rPr>
          </w:pPr>
        </w:p>
      </w:tc>
    </w:tr>
    <w:tr w:rsidR="0066623A" w:rsidRPr="0055472E" w:rsidTr="00FF7B50">
      <w:tc>
        <w:tcPr>
          <w:tcW w:w="895" w:type="pct"/>
          <w:gridSpan w:val="2"/>
        </w:tcPr>
        <w:p w:rsidR="0066623A" w:rsidRPr="0055472E" w:rsidRDefault="0066623A" w:rsidP="008124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w:t>
          </w:r>
          <w:r w:rsidRPr="0055472E">
            <w:rPr>
              <w:sz w:val="16"/>
              <w:szCs w:val="16"/>
            </w:rPr>
            <w:fldChar w:fldCharType="end"/>
          </w:r>
        </w:p>
      </w:tc>
      <w:tc>
        <w:tcPr>
          <w:tcW w:w="3088" w:type="pct"/>
        </w:tcPr>
        <w:p w:rsidR="0066623A" w:rsidRPr="0055472E" w:rsidRDefault="0066623A" w:rsidP="0081242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01/06/2021</w:t>
          </w:r>
          <w:r w:rsidRPr="0055472E">
            <w:rPr>
              <w:sz w:val="16"/>
              <w:szCs w:val="16"/>
            </w:rPr>
            <w:fldChar w:fldCharType="end"/>
          </w:r>
        </w:p>
      </w:tc>
      <w:tc>
        <w:tcPr>
          <w:tcW w:w="1017" w:type="pct"/>
          <w:gridSpan w:val="2"/>
        </w:tcPr>
        <w:p w:rsidR="0066623A" w:rsidRPr="0055472E" w:rsidRDefault="0066623A" w:rsidP="008124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11/06/2021</w:t>
          </w:r>
          <w:r w:rsidRPr="0055472E">
            <w:rPr>
              <w:sz w:val="16"/>
              <w:szCs w:val="16"/>
            </w:rPr>
            <w:fldChar w:fldCharType="end"/>
          </w:r>
        </w:p>
      </w:tc>
    </w:tr>
  </w:tbl>
  <w:p w:rsidR="0066623A" w:rsidRPr="00812422" w:rsidRDefault="0066623A" w:rsidP="0081242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66623A" w:rsidRPr="007B3B51" w:rsidTr="00A84969">
      <w:tc>
        <w:tcPr>
          <w:tcW w:w="681" w:type="pct"/>
        </w:tcPr>
        <w:p w:rsidR="0066623A" w:rsidRPr="007B3B51" w:rsidRDefault="0066623A" w:rsidP="00812422">
          <w:pPr>
            <w:rPr>
              <w:i/>
              <w:sz w:val="16"/>
              <w:szCs w:val="16"/>
            </w:rPr>
          </w:pPr>
        </w:p>
      </w:tc>
      <w:tc>
        <w:tcPr>
          <w:tcW w:w="3471"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1FE">
            <w:rPr>
              <w:i/>
              <w:noProof/>
              <w:sz w:val="16"/>
              <w:szCs w:val="16"/>
            </w:rPr>
            <w:t>National Health (Growth Hormone Program) Special Arrangement 2015</w:t>
          </w:r>
          <w:r w:rsidRPr="007B3B51">
            <w:rPr>
              <w:i/>
              <w:sz w:val="16"/>
              <w:szCs w:val="16"/>
            </w:rPr>
            <w:fldChar w:fldCharType="end"/>
          </w:r>
        </w:p>
      </w:tc>
      <w:tc>
        <w:tcPr>
          <w:tcW w:w="848" w:type="pct"/>
        </w:tcPr>
        <w:p w:rsidR="0066623A" w:rsidRPr="007B3B51" w:rsidRDefault="0066623A" w:rsidP="008124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66623A" w:rsidRPr="00130F37" w:rsidTr="00FF7B50">
      <w:tc>
        <w:tcPr>
          <w:tcW w:w="895" w:type="pct"/>
          <w:gridSpan w:val="2"/>
        </w:tcPr>
        <w:p w:rsidR="0066623A" w:rsidRPr="00130F37" w:rsidRDefault="0066623A" w:rsidP="008124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w:t>
          </w:r>
          <w:r w:rsidRPr="00130F37">
            <w:rPr>
              <w:sz w:val="16"/>
              <w:szCs w:val="16"/>
            </w:rPr>
            <w:fldChar w:fldCharType="end"/>
          </w:r>
        </w:p>
      </w:tc>
      <w:tc>
        <w:tcPr>
          <w:tcW w:w="3088" w:type="pct"/>
        </w:tcPr>
        <w:p w:rsidR="0066623A" w:rsidRPr="00130F37" w:rsidRDefault="0066623A" w:rsidP="0081242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01/06/2021</w:t>
          </w:r>
          <w:r w:rsidRPr="00130F37">
            <w:rPr>
              <w:sz w:val="16"/>
              <w:szCs w:val="16"/>
            </w:rPr>
            <w:fldChar w:fldCharType="end"/>
          </w:r>
        </w:p>
      </w:tc>
      <w:tc>
        <w:tcPr>
          <w:tcW w:w="1017" w:type="pct"/>
          <w:gridSpan w:val="2"/>
        </w:tcPr>
        <w:p w:rsidR="0066623A" w:rsidRPr="00130F37" w:rsidRDefault="0066623A" w:rsidP="008124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11/06/2021</w:t>
          </w:r>
          <w:r w:rsidRPr="00130F37">
            <w:rPr>
              <w:sz w:val="16"/>
              <w:szCs w:val="16"/>
            </w:rPr>
            <w:fldChar w:fldCharType="end"/>
          </w:r>
        </w:p>
      </w:tc>
    </w:tr>
  </w:tbl>
  <w:p w:rsidR="0066623A" w:rsidRPr="00812422" w:rsidRDefault="0066623A" w:rsidP="0081242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6623A" w:rsidRPr="007B3B51" w:rsidTr="00A84969">
      <w:tc>
        <w:tcPr>
          <w:tcW w:w="681" w:type="pct"/>
        </w:tcPr>
        <w:p w:rsidR="0066623A" w:rsidRPr="007B3B51" w:rsidRDefault="0066623A" w:rsidP="008124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3471"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(Growth Hormone Program) Special Arrangement 2015</w:t>
          </w:r>
          <w:r w:rsidRPr="007B3B51">
            <w:rPr>
              <w:i/>
              <w:sz w:val="16"/>
              <w:szCs w:val="16"/>
            </w:rPr>
            <w:fldChar w:fldCharType="end"/>
          </w:r>
        </w:p>
      </w:tc>
      <w:tc>
        <w:tcPr>
          <w:tcW w:w="848" w:type="pct"/>
        </w:tcPr>
        <w:p w:rsidR="0066623A" w:rsidRPr="007B3B51" w:rsidRDefault="0066623A" w:rsidP="00812422">
          <w:pPr>
            <w:jc w:val="right"/>
            <w:rPr>
              <w:sz w:val="16"/>
              <w:szCs w:val="16"/>
            </w:rPr>
          </w:pPr>
        </w:p>
      </w:tc>
    </w:tr>
    <w:tr w:rsidR="0066623A" w:rsidRPr="0055472E" w:rsidTr="00A84969">
      <w:tc>
        <w:tcPr>
          <w:tcW w:w="848" w:type="pct"/>
          <w:gridSpan w:val="2"/>
        </w:tcPr>
        <w:p w:rsidR="0066623A" w:rsidRPr="0055472E" w:rsidRDefault="0066623A" w:rsidP="008124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w:t>
          </w:r>
          <w:r w:rsidRPr="0055472E">
            <w:rPr>
              <w:sz w:val="16"/>
              <w:szCs w:val="16"/>
            </w:rPr>
            <w:fldChar w:fldCharType="end"/>
          </w:r>
        </w:p>
      </w:tc>
      <w:tc>
        <w:tcPr>
          <w:tcW w:w="3135" w:type="pct"/>
        </w:tcPr>
        <w:p w:rsidR="0066623A" w:rsidRPr="0055472E" w:rsidRDefault="0066623A" w:rsidP="0081242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01/06/2021</w:t>
          </w:r>
          <w:r w:rsidRPr="0055472E">
            <w:rPr>
              <w:sz w:val="16"/>
              <w:szCs w:val="16"/>
            </w:rPr>
            <w:fldChar w:fldCharType="end"/>
          </w:r>
        </w:p>
      </w:tc>
      <w:tc>
        <w:tcPr>
          <w:tcW w:w="1017" w:type="pct"/>
          <w:gridSpan w:val="2"/>
        </w:tcPr>
        <w:p w:rsidR="0066623A" w:rsidRPr="0055472E" w:rsidRDefault="0066623A" w:rsidP="008124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11/06/2021</w:t>
          </w:r>
          <w:r w:rsidRPr="0055472E">
            <w:rPr>
              <w:sz w:val="16"/>
              <w:szCs w:val="16"/>
            </w:rPr>
            <w:fldChar w:fldCharType="end"/>
          </w:r>
        </w:p>
      </w:tc>
    </w:tr>
  </w:tbl>
  <w:p w:rsidR="0066623A" w:rsidRPr="00812422" w:rsidRDefault="0066623A" w:rsidP="0081242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66623A" w:rsidRPr="007B3B51" w:rsidTr="00A84969">
      <w:tc>
        <w:tcPr>
          <w:tcW w:w="681" w:type="pct"/>
        </w:tcPr>
        <w:p w:rsidR="0066623A" w:rsidRPr="007B3B51" w:rsidRDefault="0066623A" w:rsidP="00812422">
          <w:pPr>
            <w:rPr>
              <w:i/>
              <w:sz w:val="16"/>
              <w:szCs w:val="16"/>
            </w:rPr>
          </w:pPr>
        </w:p>
      </w:tc>
      <w:tc>
        <w:tcPr>
          <w:tcW w:w="3471"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(Growth Hormone Program) Special Arrangement 2015</w:t>
          </w:r>
          <w:r w:rsidRPr="007B3B51">
            <w:rPr>
              <w:i/>
              <w:sz w:val="16"/>
              <w:szCs w:val="16"/>
            </w:rPr>
            <w:fldChar w:fldCharType="end"/>
          </w:r>
        </w:p>
      </w:tc>
      <w:tc>
        <w:tcPr>
          <w:tcW w:w="848" w:type="pct"/>
        </w:tcPr>
        <w:p w:rsidR="0066623A" w:rsidRPr="007B3B51" w:rsidRDefault="0066623A" w:rsidP="008124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r>
    <w:tr w:rsidR="0066623A" w:rsidRPr="00130F37" w:rsidTr="00A84969">
      <w:tc>
        <w:tcPr>
          <w:tcW w:w="848" w:type="pct"/>
          <w:gridSpan w:val="2"/>
        </w:tcPr>
        <w:p w:rsidR="0066623A" w:rsidRPr="00130F37" w:rsidRDefault="0066623A" w:rsidP="008124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w:t>
          </w:r>
          <w:r w:rsidRPr="00130F37">
            <w:rPr>
              <w:sz w:val="16"/>
              <w:szCs w:val="16"/>
            </w:rPr>
            <w:fldChar w:fldCharType="end"/>
          </w:r>
        </w:p>
      </w:tc>
      <w:tc>
        <w:tcPr>
          <w:tcW w:w="3135" w:type="pct"/>
        </w:tcPr>
        <w:p w:rsidR="0066623A" w:rsidRPr="00130F37" w:rsidRDefault="0066623A" w:rsidP="0081242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01/06/2021</w:t>
          </w:r>
          <w:r w:rsidRPr="00130F37">
            <w:rPr>
              <w:sz w:val="16"/>
              <w:szCs w:val="16"/>
            </w:rPr>
            <w:fldChar w:fldCharType="end"/>
          </w:r>
        </w:p>
      </w:tc>
      <w:tc>
        <w:tcPr>
          <w:tcW w:w="1017" w:type="pct"/>
          <w:gridSpan w:val="2"/>
        </w:tcPr>
        <w:p w:rsidR="0066623A" w:rsidRPr="00130F37" w:rsidRDefault="0066623A" w:rsidP="008124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11/06/2021</w:t>
          </w:r>
          <w:r w:rsidRPr="00130F37">
            <w:rPr>
              <w:sz w:val="16"/>
              <w:szCs w:val="16"/>
            </w:rPr>
            <w:fldChar w:fldCharType="end"/>
          </w:r>
        </w:p>
      </w:tc>
    </w:tr>
  </w:tbl>
  <w:p w:rsidR="0066623A" w:rsidRPr="00812422" w:rsidRDefault="0066623A" w:rsidP="0081242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D1021D" w:rsidRDefault="0066623A" w:rsidP="00E916D2">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025"/>
      <w:gridCol w:w="6242"/>
      <w:gridCol w:w="1262"/>
    </w:tblGrid>
    <w:tr w:rsidR="0066623A" w:rsidTr="00A84969">
      <w:tc>
        <w:tcPr>
          <w:tcW w:w="601" w:type="pct"/>
          <w:tcBorders>
            <w:top w:val="nil"/>
            <w:left w:val="nil"/>
            <w:bottom w:val="nil"/>
            <w:right w:val="nil"/>
          </w:tcBorders>
        </w:tcPr>
        <w:p w:rsidR="0066623A" w:rsidRDefault="0066623A" w:rsidP="001571F4">
          <w:pPr>
            <w:spacing w:line="0" w:lineRule="atLeast"/>
            <w:rPr>
              <w:sz w:val="18"/>
            </w:rPr>
          </w:pPr>
        </w:p>
      </w:tc>
      <w:tc>
        <w:tcPr>
          <w:tcW w:w="3659" w:type="pct"/>
          <w:tcBorders>
            <w:top w:val="nil"/>
            <w:left w:val="nil"/>
            <w:bottom w:val="nil"/>
            <w:right w:val="nil"/>
          </w:tcBorders>
        </w:tcPr>
        <w:p w:rsidR="0066623A" w:rsidRDefault="0066623A" w:rsidP="001571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(Growth Hormone Program) Special Arrangement 2015</w:t>
          </w:r>
          <w:r w:rsidRPr="007A1328">
            <w:rPr>
              <w:i/>
              <w:sz w:val="18"/>
            </w:rPr>
            <w:fldChar w:fldCharType="end"/>
          </w:r>
        </w:p>
      </w:tc>
      <w:tc>
        <w:tcPr>
          <w:tcW w:w="740" w:type="pct"/>
          <w:tcBorders>
            <w:top w:val="nil"/>
            <w:left w:val="nil"/>
            <w:bottom w:val="nil"/>
            <w:right w:val="nil"/>
          </w:tcBorders>
        </w:tcPr>
        <w:p w:rsidR="0066623A" w:rsidRDefault="0066623A" w:rsidP="001571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30</w:t>
          </w:r>
          <w:r w:rsidRPr="00ED79B6">
            <w:rPr>
              <w:i/>
              <w:sz w:val="18"/>
            </w:rPr>
            <w:fldChar w:fldCharType="end"/>
          </w:r>
        </w:p>
      </w:tc>
    </w:tr>
  </w:tbl>
  <w:p w:rsidR="0066623A" w:rsidRPr="00D1021D" w:rsidRDefault="0066623A" w:rsidP="00E916D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Default="0066623A" w:rsidP="00B7357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ED79B6" w:rsidRDefault="0066623A" w:rsidP="00B7357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66623A" w:rsidRPr="007B3B51" w:rsidTr="00A84969">
      <w:tc>
        <w:tcPr>
          <w:tcW w:w="681" w:type="pct"/>
        </w:tcPr>
        <w:p w:rsidR="0066623A" w:rsidRPr="007B3B51" w:rsidRDefault="0066623A" w:rsidP="008124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471"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3002">
            <w:rPr>
              <w:i/>
              <w:noProof/>
              <w:sz w:val="16"/>
              <w:szCs w:val="16"/>
            </w:rPr>
            <w:t>National Health (Growth Hormone Program) Special Arrangement 2015</w:t>
          </w:r>
          <w:r w:rsidRPr="007B3B51">
            <w:rPr>
              <w:i/>
              <w:sz w:val="16"/>
              <w:szCs w:val="16"/>
            </w:rPr>
            <w:fldChar w:fldCharType="end"/>
          </w:r>
        </w:p>
      </w:tc>
      <w:tc>
        <w:tcPr>
          <w:tcW w:w="848" w:type="pct"/>
        </w:tcPr>
        <w:p w:rsidR="0066623A" w:rsidRPr="007B3B51" w:rsidRDefault="0066623A" w:rsidP="00812422">
          <w:pPr>
            <w:jc w:val="right"/>
            <w:rPr>
              <w:sz w:val="16"/>
              <w:szCs w:val="16"/>
            </w:rPr>
          </w:pPr>
        </w:p>
      </w:tc>
    </w:tr>
    <w:tr w:rsidR="0066623A" w:rsidRPr="0055472E" w:rsidTr="00FF7B50">
      <w:tc>
        <w:tcPr>
          <w:tcW w:w="895" w:type="pct"/>
          <w:gridSpan w:val="2"/>
        </w:tcPr>
        <w:p w:rsidR="0066623A" w:rsidRPr="0055472E" w:rsidRDefault="0066623A" w:rsidP="008124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w:t>
          </w:r>
          <w:r w:rsidRPr="0055472E">
            <w:rPr>
              <w:sz w:val="16"/>
              <w:szCs w:val="16"/>
            </w:rPr>
            <w:fldChar w:fldCharType="end"/>
          </w:r>
        </w:p>
      </w:tc>
      <w:tc>
        <w:tcPr>
          <w:tcW w:w="3088" w:type="pct"/>
        </w:tcPr>
        <w:p w:rsidR="0066623A" w:rsidRPr="0055472E" w:rsidRDefault="0066623A" w:rsidP="0081242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01/06/2021</w:t>
          </w:r>
          <w:r w:rsidRPr="0055472E">
            <w:rPr>
              <w:sz w:val="16"/>
              <w:szCs w:val="16"/>
            </w:rPr>
            <w:fldChar w:fldCharType="end"/>
          </w:r>
        </w:p>
      </w:tc>
      <w:tc>
        <w:tcPr>
          <w:tcW w:w="1017" w:type="pct"/>
          <w:gridSpan w:val="2"/>
        </w:tcPr>
        <w:p w:rsidR="0066623A" w:rsidRPr="0055472E" w:rsidRDefault="0066623A" w:rsidP="008124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11/06/2021</w:t>
          </w:r>
          <w:r w:rsidRPr="0055472E">
            <w:rPr>
              <w:sz w:val="16"/>
              <w:szCs w:val="16"/>
            </w:rPr>
            <w:fldChar w:fldCharType="end"/>
          </w:r>
        </w:p>
      </w:tc>
    </w:tr>
  </w:tbl>
  <w:p w:rsidR="0066623A" w:rsidRPr="00812422" w:rsidRDefault="0066623A" w:rsidP="008124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66623A" w:rsidRPr="007B3B51" w:rsidTr="00A84969">
      <w:tc>
        <w:tcPr>
          <w:tcW w:w="681" w:type="pct"/>
        </w:tcPr>
        <w:p w:rsidR="0066623A" w:rsidRPr="007B3B51" w:rsidRDefault="0066623A" w:rsidP="00812422">
          <w:pPr>
            <w:rPr>
              <w:i/>
              <w:sz w:val="16"/>
              <w:szCs w:val="16"/>
            </w:rPr>
          </w:pPr>
        </w:p>
      </w:tc>
      <w:tc>
        <w:tcPr>
          <w:tcW w:w="3471"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4B3F">
            <w:rPr>
              <w:i/>
              <w:noProof/>
              <w:sz w:val="16"/>
              <w:szCs w:val="16"/>
            </w:rPr>
            <w:t>National Health (Growth Hormone Program) Special Arrangement 2015</w:t>
          </w:r>
          <w:r w:rsidRPr="007B3B51">
            <w:rPr>
              <w:i/>
              <w:sz w:val="16"/>
              <w:szCs w:val="16"/>
            </w:rPr>
            <w:fldChar w:fldCharType="end"/>
          </w:r>
        </w:p>
      </w:tc>
      <w:tc>
        <w:tcPr>
          <w:tcW w:w="848" w:type="pct"/>
        </w:tcPr>
        <w:p w:rsidR="0066623A" w:rsidRPr="007B3B51" w:rsidRDefault="0066623A" w:rsidP="008124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6623A" w:rsidRPr="00130F37" w:rsidTr="00FF7B50">
      <w:tc>
        <w:tcPr>
          <w:tcW w:w="895" w:type="pct"/>
          <w:gridSpan w:val="2"/>
        </w:tcPr>
        <w:p w:rsidR="0066623A" w:rsidRPr="00130F37" w:rsidRDefault="0066623A" w:rsidP="008124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w:t>
          </w:r>
          <w:r w:rsidRPr="00130F37">
            <w:rPr>
              <w:sz w:val="16"/>
              <w:szCs w:val="16"/>
            </w:rPr>
            <w:fldChar w:fldCharType="end"/>
          </w:r>
        </w:p>
      </w:tc>
      <w:tc>
        <w:tcPr>
          <w:tcW w:w="3088" w:type="pct"/>
        </w:tcPr>
        <w:p w:rsidR="0066623A" w:rsidRPr="00130F37" w:rsidRDefault="0066623A" w:rsidP="0081242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01/06/2021</w:t>
          </w:r>
          <w:r w:rsidRPr="00130F37">
            <w:rPr>
              <w:sz w:val="16"/>
              <w:szCs w:val="16"/>
            </w:rPr>
            <w:fldChar w:fldCharType="end"/>
          </w:r>
        </w:p>
      </w:tc>
      <w:tc>
        <w:tcPr>
          <w:tcW w:w="1017" w:type="pct"/>
          <w:gridSpan w:val="2"/>
        </w:tcPr>
        <w:p w:rsidR="0066623A" w:rsidRPr="00130F37" w:rsidRDefault="0066623A" w:rsidP="008124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11/06/2021</w:t>
          </w:r>
          <w:r w:rsidRPr="00130F37">
            <w:rPr>
              <w:sz w:val="16"/>
              <w:szCs w:val="16"/>
            </w:rPr>
            <w:fldChar w:fldCharType="end"/>
          </w:r>
        </w:p>
      </w:tc>
    </w:tr>
  </w:tbl>
  <w:p w:rsidR="0066623A" w:rsidRPr="00812422" w:rsidRDefault="0066623A" w:rsidP="008124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66623A" w:rsidRPr="007B3B51" w:rsidTr="00A84969">
      <w:tc>
        <w:tcPr>
          <w:tcW w:w="681" w:type="pct"/>
        </w:tcPr>
        <w:p w:rsidR="0066623A" w:rsidRPr="007B3B51" w:rsidRDefault="0066623A" w:rsidP="008124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c>
        <w:tcPr>
          <w:tcW w:w="3471"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4B3F">
            <w:rPr>
              <w:i/>
              <w:noProof/>
              <w:sz w:val="16"/>
              <w:szCs w:val="16"/>
            </w:rPr>
            <w:t>National Health (Growth Hormone Program) Special Arrangement 2015</w:t>
          </w:r>
          <w:r w:rsidRPr="007B3B51">
            <w:rPr>
              <w:i/>
              <w:sz w:val="16"/>
              <w:szCs w:val="16"/>
            </w:rPr>
            <w:fldChar w:fldCharType="end"/>
          </w:r>
        </w:p>
      </w:tc>
      <w:tc>
        <w:tcPr>
          <w:tcW w:w="848" w:type="pct"/>
        </w:tcPr>
        <w:p w:rsidR="0066623A" w:rsidRPr="007B3B51" w:rsidRDefault="0066623A" w:rsidP="00812422">
          <w:pPr>
            <w:jc w:val="right"/>
            <w:rPr>
              <w:sz w:val="16"/>
              <w:szCs w:val="16"/>
            </w:rPr>
          </w:pPr>
        </w:p>
      </w:tc>
    </w:tr>
    <w:tr w:rsidR="0066623A" w:rsidRPr="0055472E" w:rsidTr="00FF7B50">
      <w:tc>
        <w:tcPr>
          <w:tcW w:w="895" w:type="pct"/>
          <w:gridSpan w:val="2"/>
        </w:tcPr>
        <w:p w:rsidR="0066623A" w:rsidRPr="0055472E" w:rsidRDefault="0066623A" w:rsidP="008124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w:t>
          </w:r>
          <w:r w:rsidRPr="0055472E">
            <w:rPr>
              <w:sz w:val="16"/>
              <w:szCs w:val="16"/>
            </w:rPr>
            <w:fldChar w:fldCharType="end"/>
          </w:r>
        </w:p>
      </w:tc>
      <w:tc>
        <w:tcPr>
          <w:tcW w:w="3088" w:type="pct"/>
        </w:tcPr>
        <w:p w:rsidR="0066623A" w:rsidRPr="0055472E" w:rsidRDefault="0066623A" w:rsidP="0081242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01/06/2021</w:t>
          </w:r>
          <w:r w:rsidRPr="0055472E">
            <w:rPr>
              <w:sz w:val="16"/>
              <w:szCs w:val="16"/>
            </w:rPr>
            <w:fldChar w:fldCharType="end"/>
          </w:r>
        </w:p>
      </w:tc>
      <w:tc>
        <w:tcPr>
          <w:tcW w:w="1017" w:type="pct"/>
          <w:gridSpan w:val="2"/>
        </w:tcPr>
        <w:p w:rsidR="0066623A" w:rsidRPr="0055472E" w:rsidRDefault="0066623A" w:rsidP="008124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11/06/2021</w:t>
          </w:r>
          <w:r w:rsidRPr="0055472E">
            <w:rPr>
              <w:sz w:val="16"/>
              <w:szCs w:val="16"/>
            </w:rPr>
            <w:fldChar w:fldCharType="end"/>
          </w:r>
        </w:p>
      </w:tc>
    </w:tr>
  </w:tbl>
  <w:p w:rsidR="0066623A" w:rsidRPr="00812422" w:rsidRDefault="0066623A" w:rsidP="0081242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66623A" w:rsidRPr="007B3B51" w:rsidTr="00A84969">
      <w:tc>
        <w:tcPr>
          <w:tcW w:w="681" w:type="pct"/>
        </w:tcPr>
        <w:p w:rsidR="0066623A" w:rsidRPr="007B3B51" w:rsidRDefault="0066623A" w:rsidP="00812422">
          <w:pPr>
            <w:rPr>
              <w:i/>
              <w:sz w:val="16"/>
              <w:szCs w:val="16"/>
            </w:rPr>
          </w:pPr>
        </w:p>
      </w:tc>
      <w:tc>
        <w:tcPr>
          <w:tcW w:w="3471"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4B3F">
            <w:rPr>
              <w:i/>
              <w:noProof/>
              <w:sz w:val="16"/>
              <w:szCs w:val="16"/>
            </w:rPr>
            <w:t>National Health (Growth Hormone Program) Special Arrangement 2015</w:t>
          </w:r>
          <w:r w:rsidRPr="007B3B51">
            <w:rPr>
              <w:i/>
              <w:sz w:val="16"/>
              <w:szCs w:val="16"/>
            </w:rPr>
            <w:fldChar w:fldCharType="end"/>
          </w:r>
        </w:p>
      </w:tc>
      <w:tc>
        <w:tcPr>
          <w:tcW w:w="848" w:type="pct"/>
        </w:tcPr>
        <w:p w:rsidR="0066623A" w:rsidRPr="007B3B51" w:rsidRDefault="0066623A" w:rsidP="0081242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6623A" w:rsidRPr="00130F37" w:rsidTr="00FF7B50">
      <w:tc>
        <w:tcPr>
          <w:tcW w:w="895" w:type="pct"/>
          <w:gridSpan w:val="2"/>
        </w:tcPr>
        <w:p w:rsidR="0066623A" w:rsidRPr="00130F37" w:rsidRDefault="0066623A" w:rsidP="0081242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15</w:t>
          </w:r>
          <w:r w:rsidRPr="00130F37">
            <w:rPr>
              <w:sz w:val="16"/>
              <w:szCs w:val="16"/>
            </w:rPr>
            <w:fldChar w:fldCharType="end"/>
          </w:r>
        </w:p>
      </w:tc>
      <w:tc>
        <w:tcPr>
          <w:tcW w:w="3088" w:type="pct"/>
        </w:tcPr>
        <w:p w:rsidR="0066623A" w:rsidRPr="00130F37" w:rsidRDefault="0066623A" w:rsidP="0081242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01/06/2021</w:t>
          </w:r>
          <w:r w:rsidRPr="00130F37">
            <w:rPr>
              <w:sz w:val="16"/>
              <w:szCs w:val="16"/>
            </w:rPr>
            <w:fldChar w:fldCharType="end"/>
          </w:r>
        </w:p>
      </w:tc>
      <w:tc>
        <w:tcPr>
          <w:tcW w:w="1017" w:type="pct"/>
          <w:gridSpan w:val="2"/>
        </w:tcPr>
        <w:p w:rsidR="0066623A" w:rsidRPr="00130F37" w:rsidRDefault="0066623A" w:rsidP="0081242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11/06/2021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11/06/2021</w:t>
          </w:r>
          <w:r w:rsidRPr="00130F37">
            <w:rPr>
              <w:sz w:val="16"/>
              <w:szCs w:val="16"/>
            </w:rPr>
            <w:fldChar w:fldCharType="end"/>
          </w:r>
        </w:p>
      </w:tc>
    </w:tr>
  </w:tbl>
  <w:p w:rsidR="0066623A" w:rsidRPr="00812422" w:rsidRDefault="0066623A" w:rsidP="0081242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D1021D" w:rsidRDefault="0066623A" w:rsidP="00E916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025"/>
      <w:gridCol w:w="6242"/>
      <w:gridCol w:w="1262"/>
    </w:tblGrid>
    <w:tr w:rsidR="0066623A" w:rsidTr="00A84969">
      <w:tc>
        <w:tcPr>
          <w:tcW w:w="601" w:type="pct"/>
          <w:tcBorders>
            <w:top w:val="nil"/>
            <w:left w:val="nil"/>
            <w:bottom w:val="nil"/>
            <w:right w:val="nil"/>
          </w:tcBorders>
        </w:tcPr>
        <w:p w:rsidR="0066623A" w:rsidRDefault="0066623A" w:rsidP="001571F4">
          <w:pPr>
            <w:spacing w:line="0" w:lineRule="atLeast"/>
            <w:rPr>
              <w:sz w:val="18"/>
            </w:rPr>
          </w:pPr>
        </w:p>
      </w:tc>
      <w:tc>
        <w:tcPr>
          <w:tcW w:w="3659" w:type="pct"/>
          <w:tcBorders>
            <w:top w:val="nil"/>
            <w:left w:val="nil"/>
            <w:bottom w:val="nil"/>
            <w:right w:val="nil"/>
          </w:tcBorders>
        </w:tcPr>
        <w:p w:rsidR="0066623A" w:rsidRDefault="0066623A" w:rsidP="001571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(Growth Hormone Program) Special Arrangement 2015</w:t>
          </w:r>
          <w:r w:rsidRPr="007A1328">
            <w:rPr>
              <w:i/>
              <w:sz w:val="18"/>
            </w:rPr>
            <w:fldChar w:fldCharType="end"/>
          </w:r>
        </w:p>
      </w:tc>
      <w:tc>
        <w:tcPr>
          <w:tcW w:w="740" w:type="pct"/>
          <w:tcBorders>
            <w:top w:val="nil"/>
            <w:left w:val="nil"/>
            <w:bottom w:val="nil"/>
            <w:right w:val="nil"/>
          </w:tcBorders>
        </w:tcPr>
        <w:p w:rsidR="0066623A" w:rsidRDefault="0066623A" w:rsidP="001571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30</w:t>
          </w:r>
          <w:r w:rsidRPr="00ED79B6">
            <w:rPr>
              <w:i/>
              <w:sz w:val="18"/>
            </w:rPr>
            <w:fldChar w:fldCharType="end"/>
          </w:r>
        </w:p>
      </w:tc>
    </w:tr>
  </w:tbl>
  <w:p w:rsidR="0066623A" w:rsidRPr="00D1021D" w:rsidRDefault="0066623A" w:rsidP="00E916D2">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B3B51" w:rsidRDefault="0066623A" w:rsidP="0081242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55"/>
      <w:gridCol w:w="9153"/>
      <w:gridCol w:w="280"/>
      <w:gridCol w:w="1876"/>
    </w:tblGrid>
    <w:tr w:rsidR="0066623A" w:rsidRPr="007B3B51" w:rsidTr="00A84969">
      <w:tc>
        <w:tcPr>
          <w:tcW w:w="630" w:type="pct"/>
        </w:tcPr>
        <w:p w:rsidR="0066623A" w:rsidRPr="007B3B51" w:rsidRDefault="0066623A" w:rsidP="0081242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673" w:type="pct"/>
          <w:gridSpan w:val="3"/>
        </w:tcPr>
        <w:p w:rsidR="0066623A" w:rsidRPr="007B3B51" w:rsidRDefault="0066623A" w:rsidP="0081242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1FE">
            <w:rPr>
              <w:i/>
              <w:noProof/>
              <w:sz w:val="16"/>
              <w:szCs w:val="16"/>
            </w:rPr>
            <w:t>National Health (Growth Hormone Program) Special Arrangement 2015</w:t>
          </w:r>
          <w:r w:rsidRPr="007B3B51">
            <w:rPr>
              <w:i/>
              <w:sz w:val="16"/>
              <w:szCs w:val="16"/>
            </w:rPr>
            <w:fldChar w:fldCharType="end"/>
          </w:r>
        </w:p>
      </w:tc>
      <w:tc>
        <w:tcPr>
          <w:tcW w:w="697" w:type="pct"/>
        </w:tcPr>
        <w:p w:rsidR="0066623A" w:rsidRPr="007B3B51" w:rsidRDefault="0066623A" w:rsidP="00812422">
          <w:pPr>
            <w:jc w:val="right"/>
            <w:rPr>
              <w:sz w:val="16"/>
              <w:szCs w:val="16"/>
            </w:rPr>
          </w:pPr>
        </w:p>
      </w:tc>
    </w:tr>
    <w:tr w:rsidR="0066623A" w:rsidRPr="0055472E" w:rsidTr="00A84969">
      <w:tc>
        <w:tcPr>
          <w:tcW w:w="799" w:type="pct"/>
          <w:gridSpan w:val="2"/>
        </w:tcPr>
        <w:p w:rsidR="0066623A" w:rsidRPr="0055472E" w:rsidRDefault="0066623A" w:rsidP="0081242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15</w:t>
          </w:r>
          <w:r w:rsidRPr="0055472E">
            <w:rPr>
              <w:sz w:val="16"/>
              <w:szCs w:val="16"/>
            </w:rPr>
            <w:fldChar w:fldCharType="end"/>
          </w:r>
        </w:p>
      </w:tc>
      <w:tc>
        <w:tcPr>
          <w:tcW w:w="3400" w:type="pct"/>
        </w:tcPr>
        <w:p w:rsidR="0066623A" w:rsidRPr="0055472E" w:rsidRDefault="0066623A" w:rsidP="0081242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01/06/2021</w:t>
          </w:r>
          <w:r w:rsidRPr="0055472E">
            <w:rPr>
              <w:sz w:val="16"/>
              <w:szCs w:val="16"/>
            </w:rPr>
            <w:fldChar w:fldCharType="end"/>
          </w:r>
        </w:p>
      </w:tc>
      <w:tc>
        <w:tcPr>
          <w:tcW w:w="800" w:type="pct"/>
          <w:gridSpan w:val="2"/>
        </w:tcPr>
        <w:p w:rsidR="0066623A" w:rsidRPr="0055472E" w:rsidRDefault="0066623A" w:rsidP="0081242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11/06/2021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11/06/2021</w:t>
          </w:r>
          <w:r w:rsidRPr="0055472E">
            <w:rPr>
              <w:sz w:val="16"/>
              <w:szCs w:val="16"/>
            </w:rPr>
            <w:fldChar w:fldCharType="end"/>
          </w:r>
        </w:p>
      </w:tc>
    </w:tr>
  </w:tbl>
  <w:p w:rsidR="0066623A" w:rsidRPr="00812422" w:rsidRDefault="0066623A" w:rsidP="0081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23A" w:rsidRDefault="0066623A">
      <w:r>
        <w:separator/>
      </w:r>
    </w:p>
  </w:footnote>
  <w:footnote w:type="continuationSeparator" w:id="0">
    <w:p w:rsidR="0066623A" w:rsidRDefault="0066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Default="0066623A" w:rsidP="00B73576">
    <w:pPr>
      <w:pStyle w:val="Header"/>
      <w:pBdr>
        <w:bottom w:val="single" w:sz="6" w:space="1" w:color="auto"/>
      </w:pBdr>
    </w:pPr>
  </w:p>
  <w:p w:rsidR="0066623A" w:rsidRDefault="0066623A" w:rsidP="00B73576">
    <w:pPr>
      <w:pStyle w:val="Header"/>
      <w:pBdr>
        <w:bottom w:val="single" w:sz="6" w:space="1" w:color="auto"/>
      </w:pBdr>
    </w:pPr>
  </w:p>
  <w:p w:rsidR="0066623A" w:rsidRPr="001E77D2" w:rsidRDefault="0066623A" w:rsidP="00B7357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D1021D" w:rsidRDefault="0066623A">
    <w:pPr>
      <w:rPr>
        <w:sz w:val="20"/>
      </w:rPr>
    </w:pPr>
    <w:r w:rsidRPr="00D1021D">
      <w:rPr>
        <w:b/>
        <w:sz w:val="20"/>
      </w:rPr>
      <w:fldChar w:fldCharType="begin"/>
    </w:r>
    <w:r w:rsidRPr="00D1021D">
      <w:rPr>
        <w:b/>
        <w:sz w:val="20"/>
      </w:rPr>
      <w:instrText xml:space="preserve"> STYLEREF CharChapNo </w:instrText>
    </w:r>
    <w:r>
      <w:rPr>
        <w:b/>
        <w:sz w:val="20"/>
      </w:rPr>
      <w:fldChar w:fldCharType="separate"/>
    </w:r>
    <w:r w:rsidR="006B01FE">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Pr>
        <w:sz w:val="20"/>
      </w:rPr>
      <w:fldChar w:fldCharType="separate"/>
    </w:r>
    <w:r w:rsidR="006B01FE">
      <w:rPr>
        <w:noProof/>
        <w:sz w:val="20"/>
      </w:rPr>
      <w:t>Pharmaceutical benefits covered by this Special Arrangement and related information</w:t>
    </w:r>
    <w:r w:rsidRPr="00D1021D">
      <w:rPr>
        <w:sz w:val="20"/>
      </w:rPr>
      <w:fldChar w:fldCharType="end"/>
    </w:r>
  </w:p>
  <w:p w:rsidR="0066623A" w:rsidRPr="00D1021D" w:rsidRDefault="0066623A">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6B01FE">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6B01FE">
      <w:rPr>
        <w:noProof/>
        <w:sz w:val="20"/>
      </w:rPr>
      <w:t>Pharmaceutical benefits for treatment of children</w:t>
    </w:r>
    <w:r w:rsidRPr="00D1021D">
      <w:rPr>
        <w:sz w:val="20"/>
      </w:rPr>
      <w:fldChar w:fldCharType="end"/>
    </w:r>
  </w:p>
  <w:p w:rsidR="0066623A" w:rsidRPr="00D1021D" w:rsidRDefault="0066623A">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6623A" w:rsidRPr="00D1021D" w:rsidRDefault="0066623A" w:rsidP="00812422">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D1021D" w:rsidRDefault="0066623A">
    <w:pPr>
      <w:jc w:val="right"/>
      <w:rPr>
        <w:sz w:val="20"/>
      </w:rPr>
    </w:pPr>
    <w:r w:rsidRPr="00D1021D">
      <w:rPr>
        <w:sz w:val="20"/>
      </w:rPr>
      <w:fldChar w:fldCharType="begin"/>
    </w:r>
    <w:r w:rsidRPr="00D1021D">
      <w:rPr>
        <w:sz w:val="20"/>
      </w:rPr>
      <w:instrText xml:space="preserve"> STYLEREF CharChapText </w:instrText>
    </w:r>
    <w:r>
      <w:rPr>
        <w:sz w:val="20"/>
      </w:rPr>
      <w:fldChar w:fldCharType="separate"/>
    </w:r>
    <w:r w:rsidR="006B01FE">
      <w:rPr>
        <w:noProof/>
        <w:sz w:val="20"/>
      </w:rPr>
      <w:t>Pharmaceutical benefits covered by this Special Arrangement and related information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Pr>
        <w:b/>
        <w:sz w:val="20"/>
      </w:rPr>
      <w:fldChar w:fldCharType="separate"/>
    </w:r>
    <w:r w:rsidR="006B01FE">
      <w:rPr>
        <w:b/>
        <w:noProof/>
        <w:sz w:val="20"/>
      </w:rPr>
      <w:t>Schedule 1</w:t>
    </w:r>
    <w:r w:rsidRPr="00D1021D">
      <w:rPr>
        <w:b/>
        <w:sz w:val="20"/>
      </w:rPr>
      <w:fldChar w:fldCharType="end"/>
    </w:r>
  </w:p>
  <w:p w:rsidR="0066623A" w:rsidRPr="00D1021D" w:rsidRDefault="0066623A">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6B01FE">
      <w:rPr>
        <w:noProof/>
        <w:sz w:val="20"/>
      </w:rPr>
      <w:t>Pharmaceutical benefits for treatment of adults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6B01FE">
      <w:rPr>
        <w:b/>
        <w:noProof/>
        <w:sz w:val="20"/>
      </w:rPr>
      <w:t>Part 2</w:t>
    </w:r>
    <w:r w:rsidRPr="00D1021D">
      <w:rPr>
        <w:b/>
        <w:sz w:val="20"/>
      </w:rPr>
      <w:fldChar w:fldCharType="end"/>
    </w:r>
  </w:p>
  <w:p w:rsidR="0066623A" w:rsidRPr="00D1021D" w:rsidRDefault="0066623A">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6623A" w:rsidRPr="00D1021D" w:rsidRDefault="0066623A" w:rsidP="00812422">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Default="0066623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C4473E" w:rsidRDefault="0066623A" w:rsidP="00812422">
    <w:pPr>
      <w:rPr>
        <w:sz w:val="26"/>
        <w:szCs w:val="26"/>
      </w:rPr>
    </w:pPr>
  </w:p>
  <w:p w:rsidR="0066623A" w:rsidRPr="00965EE7" w:rsidRDefault="0066623A" w:rsidP="00812422">
    <w:pPr>
      <w:rPr>
        <w:b/>
        <w:sz w:val="20"/>
      </w:rPr>
    </w:pPr>
    <w:r w:rsidRPr="00965EE7">
      <w:rPr>
        <w:b/>
        <w:sz w:val="20"/>
      </w:rPr>
      <w:t>Endnotes</w:t>
    </w:r>
  </w:p>
  <w:p w:rsidR="0066623A" w:rsidRPr="007A1328" w:rsidRDefault="0066623A" w:rsidP="00812422">
    <w:pPr>
      <w:rPr>
        <w:sz w:val="20"/>
      </w:rPr>
    </w:pPr>
  </w:p>
  <w:p w:rsidR="0066623A" w:rsidRPr="007A1328" w:rsidRDefault="0066623A" w:rsidP="00812422">
    <w:pPr>
      <w:rPr>
        <w:b/>
        <w:sz w:val="24"/>
      </w:rPr>
    </w:pPr>
  </w:p>
  <w:p w:rsidR="0066623A" w:rsidRPr="00C4473E" w:rsidRDefault="0066623A" w:rsidP="00812422">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B01FE">
      <w:rPr>
        <w:noProof/>
        <w:szCs w:val="22"/>
      </w:rPr>
      <w:t>Endnote 4—Amendment history</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C4473E" w:rsidRDefault="0066623A" w:rsidP="00812422">
    <w:pPr>
      <w:jc w:val="right"/>
      <w:rPr>
        <w:sz w:val="26"/>
        <w:szCs w:val="26"/>
      </w:rPr>
    </w:pPr>
  </w:p>
  <w:p w:rsidR="0066623A" w:rsidRPr="00965EE7" w:rsidRDefault="0066623A" w:rsidP="00812422">
    <w:pPr>
      <w:jc w:val="right"/>
      <w:rPr>
        <w:b/>
        <w:sz w:val="20"/>
      </w:rPr>
    </w:pPr>
    <w:r w:rsidRPr="00965EE7">
      <w:rPr>
        <w:b/>
        <w:sz w:val="20"/>
      </w:rPr>
      <w:t>Endnotes</w:t>
    </w:r>
  </w:p>
  <w:p w:rsidR="0066623A" w:rsidRPr="007A1328" w:rsidRDefault="0066623A" w:rsidP="00812422">
    <w:pPr>
      <w:jc w:val="right"/>
      <w:rPr>
        <w:sz w:val="20"/>
      </w:rPr>
    </w:pPr>
  </w:p>
  <w:p w:rsidR="0066623A" w:rsidRPr="007A1328" w:rsidRDefault="0066623A" w:rsidP="00812422">
    <w:pPr>
      <w:jc w:val="right"/>
      <w:rPr>
        <w:b/>
        <w:sz w:val="24"/>
      </w:rPr>
    </w:pPr>
  </w:p>
  <w:p w:rsidR="0066623A" w:rsidRPr="00C4473E" w:rsidRDefault="0066623A" w:rsidP="0081242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B01FE">
      <w:rPr>
        <w:noProof/>
        <w:szCs w:val="22"/>
      </w:rPr>
      <w:t>Endnote 4—Amendment history</w:t>
    </w:r>
    <w:r w:rsidRPr="00C4473E">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D1021D" w:rsidRDefault="0066623A">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Pharmaceutical benefits covered by this Special Arrangement and related information</w:t>
    </w:r>
    <w:r w:rsidRPr="00D1021D">
      <w:rPr>
        <w:sz w:val="20"/>
      </w:rPr>
      <w:fldChar w:fldCharType="end"/>
    </w:r>
  </w:p>
  <w:p w:rsidR="0066623A" w:rsidRPr="00D1021D" w:rsidRDefault="0066623A">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Pharmaceutical benefits for treatment of adults</w:t>
    </w:r>
    <w:r w:rsidRPr="00D1021D">
      <w:rPr>
        <w:sz w:val="20"/>
      </w:rPr>
      <w:fldChar w:fldCharType="end"/>
    </w:r>
  </w:p>
  <w:p w:rsidR="0066623A" w:rsidRPr="00D1021D" w:rsidRDefault="0066623A">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6623A" w:rsidRPr="00D1021D" w:rsidRDefault="0066623A" w:rsidP="00E916D2">
    <w:pPr>
      <w:pBdr>
        <w:bottom w:val="single" w:sz="6" w:space="1" w:color="auto"/>
      </w:pBdr>
      <w:spacing w:after="12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D1021D" w:rsidRDefault="0066623A">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Pr>
        <w:noProof/>
        <w:sz w:val="20"/>
      </w:rPr>
      <w:t>Pharmaceutical benefits covered by this Special Arrangement and related information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Pr>
        <w:b/>
        <w:noProof/>
        <w:sz w:val="20"/>
      </w:rPr>
      <w:t>Schedule 1</w:t>
    </w:r>
    <w:r w:rsidRPr="00D1021D">
      <w:rPr>
        <w:b/>
        <w:sz w:val="20"/>
      </w:rPr>
      <w:fldChar w:fldCharType="end"/>
    </w:r>
  </w:p>
  <w:p w:rsidR="0066623A" w:rsidRPr="00D1021D" w:rsidRDefault="0066623A">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Pharmaceutical benefits for treatment of adults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2</w:t>
    </w:r>
    <w:r w:rsidRPr="00D1021D">
      <w:rPr>
        <w:b/>
        <w:sz w:val="20"/>
      </w:rPr>
      <w:fldChar w:fldCharType="end"/>
    </w:r>
  </w:p>
  <w:p w:rsidR="0066623A" w:rsidRPr="00D1021D" w:rsidRDefault="0066623A">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6623A" w:rsidRPr="00D1021D" w:rsidRDefault="0066623A" w:rsidP="00E916D2">
    <w:pPr>
      <w:pBdr>
        <w:bottom w:val="single" w:sz="6" w:space="1" w:color="auto"/>
      </w:pBdr>
      <w:spacing w:after="12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Default="006662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Default="0066623A" w:rsidP="00B73576">
    <w:pPr>
      <w:pStyle w:val="Header"/>
      <w:pBdr>
        <w:bottom w:val="single" w:sz="4" w:space="1" w:color="auto"/>
      </w:pBdr>
    </w:pPr>
  </w:p>
  <w:p w:rsidR="0066623A" w:rsidRDefault="0066623A" w:rsidP="00B73576">
    <w:pPr>
      <w:pStyle w:val="Header"/>
      <w:pBdr>
        <w:bottom w:val="single" w:sz="4" w:space="1" w:color="auto"/>
      </w:pBdr>
    </w:pPr>
  </w:p>
  <w:p w:rsidR="0066623A" w:rsidRPr="001E77D2" w:rsidRDefault="0066623A" w:rsidP="00B7357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5F1388" w:rsidRDefault="0066623A" w:rsidP="00B7357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ED79B6" w:rsidRDefault="0066623A" w:rsidP="00E431EB">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ED79B6" w:rsidRDefault="0066623A" w:rsidP="00D87419">
    <w:pPr>
      <w:pBdr>
        <w:bottom w:val="single" w:sz="6" w:space="2"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ED79B6" w:rsidRDefault="0066623A" w:rsidP="00D8741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Default="0066623A" w:rsidP="001571F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6623A" w:rsidRDefault="0066623A" w:rsidP="001571F4">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864B3F">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64B3F">
      <w:rPr>
        <w:noProof/>
        <w:sz w:val="20"/>
      </w:rPr>
      <w:t>Dispensed price</w:t>
    </w:r>
    <w:r>
      <w:rPr>
        <w:sz w:val="20"/>
      </w:rPr>
      <w:fldChar w:fldCharType="end"/>
    </w:r>
  </w:p>
  <w:p w:rsidR="0066623A" w:rsidRPr="007A1328" w:rsidRDefault="0066623A" w:rsidP="001571F4">
    <w:pPr>
      <w:rPr>
        <w:sz w:val="20"/>
      </w:rPr>
    </w:pPr>
    <w:r>
      <w:rPr>
        <w:b/>
        <w:sz w:val="20"/>
      </w:rPr>
      <w:fldChar w:fldCharType="begin"/>
    </w:r>
    <w:r>
      <w:rPr>
        <w:b/>
        <w:sz w:val="20"/>
      </w:rPr>
      <w:instrText xml:space="preserve"> STYLEREF CharDivNo </w:instrText>
    </w:r>
    <w:r w:rsidR="00864B3F">
      <w:rPr>
        <w:b/>
        <w:sz w:val="20"/>
      </w:rPr>
      <w:fldChar w:fldCharType="separate"/>
    </w:r>
    <w:r w:rsidR="00864B3F">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64B3F">
      <w:rPr>
        <w:sz w:val="20"/>
      </w:rPr>
      <w:fldChar w:fldCharType="separate"/>
    </w:r>
    <w:r w:rsidR="00864B3F">
      <w:rPr>
        <w:noProof/>
        <w:sz w:val="20"/>
      </w:rPr>
      <w:t>Dispensed price for supply of a pharmaceutical benefit by certain suppliers</w:t>
    </w:r>
    <w:r>
      <w:rPr>
        <w:sz w:val="20"/>
      </w:rPr>
      <w:fldChar w:fldCharType="end"/>
    </w:r>
  </w:p>
  <w:p w:rsidR="0066623A" w:rsidRPr="007A1328" w:rsidRDefault="0066623A" w:rsidP="001571F4">
    <w:pPr>
      <w:rPr>
        <w:b/>
        <w:sz w:val="24"/>
      </w:rPr>
    </w:pPr>
  </w:p>
  <w:p w:rsidR="0066623A" w:rsidRPr="007A1328" w:rsidRDefault="0066623A" w:rsidP="00E916D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64B3F">
      <w:rPr>
        <w:noProof/>
        <w:sz w:val="24"/>
      </w:rPr>
      <w:t>20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A1328" w:rsidRDefault="0066623A" w:rsidP="001571F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6623A" w:rsidRPr="007A1328" w:rsidRDefault="0066623A" w:rsidP="001571F4">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864B3F">
      <w:rPr>
        <w:noProof/>
        <w:sz w:val="20"/>
      </w:rPr>
      <w:t>Dispensed price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64B3F">
      <w:rPr>
        <w:b/>
        <w:noProof/>
        <w:sz w:val="20"/>
      </w:rPr>
      <w:t>Part 5</w:t>
    </w:r>
    <w:r>
      <w:rPr>
        <w:b/>
        <w:sz w:val="20"/>
      </w:rPr>
      <w:fldChar w:fldCharType="end"/>
    </w:r>
  </w:p>
  <w:p w:rsidR="0066623A" w:rsidRPr="007A1328" w:rsidRDefault="0066623A" w:rsidP="001571F4">
    <w:pPr>
      <w:jc w:val="right"/>
      <w:rPr>
        <w:sz w:val="20"/>
      </w:rPr>
    </w:pPr>
    <w:r w:rsidRPr="007A1328">
      <w:rPr>
        <w:sz w:val="20"/>
      </w:rPr>
      <w:fldChar w:fldCharType="begin"/>
    </w:r>
    <w:r w:rsidRPr="007A1328">
      <w:rPr>
        <w:sz w:val="20"/>
      </w:rPr>
      <w:instrText xml:space="preserve"> STYLEREF CharDivText </w:instrText>
    </w:r>
    <w:r w:rsidR="00864B3F">
      <w:rPr>
        <w:sz w:val="20"/>
      </w:rPr>
      <w:fldChar w:fldCharType="separate"/>
    </w:r>
    <w:r w:rsidR="00864B3F">
      <w:rPr>
        <w:noProof/>
        <w:sz w:val="20"/>
      </w:rPr>
      <w:t>Dispensed price—Other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64B3F">
      <w:rPr>
        <w:b/>
        <w:sz w:val="20"/>
      </w:rPr>
      <w:fldChar w:fldCharType="separate"/>
    </w:r>
    <w:r w:rsidR="00864B3F">
      <w:rPr>
        <w:b/>
        <w:noProof/>
        <w:sz w:val="20"/>
      </w:rPr>
      <w:t>Division 3</w:t>
    </w:r>
    <w:r>
      <w:rPr>
        <w:b/>
        <w:sz w:val="20"/>
      </w:rPr>
      <w:fldChar w:fldCharType="end"/>
    </w:r>
  </w:p>
  <w:p w:rsidR="0066623A" w:rsidRPr="007A1328" w:rsidRDefault="0066623A" w:rsidP="001571F4">
    <w:pPr>
      <w:jc w:val="right"/>
      <w:rPr>
        <w:b/>
        <w:sz w:val="24"/>
      </w:rPr>
    </w:pPr>
  </w:p>
  <w:p w:rsidR="0066623A" w:rsidRPr="007A1328" w:rsidRDefault="0066623A" w:rsidP="00E916D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64B3F">
      <w:rPr>
        <w:noProof/>
        <w:sz w:val="24"/>
      </w:rPr>
      <w:t>22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3A" w:rsidRPr="007A1328" w:rsidRDefault="0066623A" w:rsidP="001571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6B76FF"/>
    <w:multiLevelType w:val="hybridMultilevel"/>
    <w:tmpl w:val="3816F6E8"/>
    <w:lvl w:ilvl="0" w:tplc="0846D7C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2E219C"/>
    <w:multiLevelType w:val="hybridMultilevel"/>
    <w:tmpl w:val="1FE63B40"/>
    <w:lvl w:ilvl="0" w:tplc="A6DE20D4">
      <w:start w:val="1"/>
      <w:numFmt w:val="decimal"/>
      <w:lvlText w:val="[%1]"/>
      <w:lvlJc w:val="left"/>
      <w:pPr>
        <w:ind w:left="720" w:hanging="360"/>
      </w:pPr>
      <w:rPr>
        <w:rFonts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4"/>
  </w:num>
  <w:num w:numId="3">
    <w:abstractNumId w:val="16"/>
  </w:num>
  <w:num w:numId="4">
    <w:abstractNumId w:val="15"/>
  </w:num>
  <w:num w:numId="5">
    <w:abstractNumId w:val="13"/>
  </w:num>
  <w:num w:numId="6">
    <w:abstractNumId w:val="17"/>
  </w:num>
  <w:num w:numId="7">
    <w:abstractNumId w:val="19"/>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399"/>
    <w:rsid w:val="00000E6B"/>
    <w:rsid w:val="0000224D"/>
    <w:rsid w:val="00005455"/>
    <w:rsid w:val="000056EE"/>
    <w:rsid w:val="000114EE"/>
    <w:rsid w:val="00011852"/>
    <w:rsid w:val="00013C58"/>
    <w:rsid w:val="00013E3A"/>
    <w:rsid w:val="00017B3C"/>
    <w:rsid w:val="00021676"/>
    <w:rsid w:val="00024697"/>
    <w:rsid w:val="00027EB9"/>
    <w:rsid w:val="00032756"/>
    <w:rsid w:val="0003498B"/>
    <w:rsid w:val="0003760B"/>
    <w:rsid w:val="00041036"/>
    <w:rsid w:val="00042EC8"/>
    <w:rsid w:val="00045E6E"/>
    <w:rsid w:val="000464A0"/>
    <w:rsid w:val="000520E0"/>
    <w:rsid w:val="0005680C"/>
    <w:rsid w:val="00063F77"/>
    <w:rsid w:val="00064548"/>
    <w:rsid w:val="00070A26"/>
    <w:rsid w:val="00081C4B"/>
    <w:rsid w:val="000821BA"/>
    <w:rsid w:val="00084764"/>
    <w:rsid w:val="0008485C"/>
    <w:rsid w:val="00084CAB"/>
    <w:rsid w:val="00086479"/>
    <w:rsid w:val="00087DD4"/>
    <w:rsid w:val="00092FFA"/>
    <w:rsid w:val="00096745"/>
    <w:rsid w:val="0009787E"/>
    <w:rsid w:val="000A2D9C"/>
    <w:rsid w:val="000A705B"/>
    <w:rsid w:val="000A7AF2"/>
    <w:rsid w:val="000A7D50"/>
    <w:rsid w:val="000B2231"/>
    <w:rsid w:val="000B3B95"/>
    <w:rsid w:val="000B52F3"/>
    <w:rsid w:val="000B626D"/>
    <w:rsid w:val="000C0E9A"/>
    <w:rsid w:val="000C47C4"/>
    <w:rsid w:val="000C4CBC"/>
    <w:rsid w:val="000C5CD6"/>
    <w:rsid w:val="000C7E9D"/>
    <w:rsid w:val="000D0363"/>
    <w:rsid w:val="000D153F"/>
    <w:rsid w:val="000D2686"/>
    <w:rsid w:val="000D2E1B"/>
    <w:rsid w:val="000E017B"/>
    <w:rsid w:val="000E16F3"/>
    <w:rsid w:val="000E6727"/>
    <w:rsid w:val="000E7A91"/>
    <w:rsid w:val="000F5C9B"/>
    <w:rsid w:val="0010146F"/>
    <w:rsid w:val="00106F9A"/>
    <w:rsid w:val="00111045"/>
    <w:rsid w:val="00114286"/>
    <w:rsid w:val="001175B1"/>
    <w:rsid w:val="00121578"/>
    <w:rsid w:val="001223AD"/>
    <w:rsid w:val="001241C9"/>
    <w:rsid w:val="001312CF"/>
    <w:rsid w:val="0013294D"/>
    <w:rsid w:val="001352A6"/>
    <w:rsid w:val="00135E18"/>
    <w:rsid w:val="00137445"/>
    <w:rsid w:val="0013759D"/>
    <w:rsid w:val="00137655"/>
    <w:rsid w:val="001410A9"/>
    <w:rsid w:val="001415D1"/>
    <w:rsid w:val="00141B4E"/>
    <w:rsid w:val="00141BB2"/>
    <w:rsid w:val="00142CB2"/>
    <w:rsid w:val="00144E92"/>
    <w:rsid w:val="00145C33"/>
    <w:rsid w:val="0014660D"/>
    <w:rsid w:val="00147077"/>
    <w:rsid w:val="001470E3"/>
    <w:rsid w:val="00147858"/>
    <w:rsid w:val="00147992"/>
    <w:rsid w:val="0015004C"/>
    <w:rsid w:val="00150F5C"/>
    <w:rsid w:val="001517C8"/>
    <w:rsid w:val="00152E88"/>
    <w:rsid w:val="00156667"/>
    <w:rsid w:val="001571F4"/>
    <w:rsid w:val="00160A66"/>
    <w:rsid w:val="00160DB0"/>
    <w:rsid w:val="00161E2C"/>
    <w:rsid w:val="00162D58"/>
    <w:rsid w:val="00163FA9"/>
    <w:rsid w:val="00165EF5"/>
    <w:rsid w:val="001678E6"/>
    <w:rsid w:val="0017099C"/>
    <w:rsid w:val="00173BA0"/>
    <w:rsid w:val="001823D9"/>
    <w:rsid w:val="001836BE"/>
    <w:rsid w:val="00183AC8"/>
    <w:rsid w:val="00186DAA"/>
    <w:rsid w:val="00186F4C"/>
    <w:rsid w:val="00187459"/>
    <w:rsid w:val="00187A74"/>
    <w:rsid w:val="00187B15"/>
    <w:rsid w:val="00190752"/>
    <w:rsid w:val="00190826"/>
    <w:rsid w:val="001914D9"/>
    <w:rsid w:val="0019199A"/>
    <w:rsid w:val="00195AC4"/>
    <w:rsid w:val="001A2D9F"/>
    <w:rsid w:val="001B0739"/>
    <w:rsid w:val="001B2225"/>
    <w:rsid w:val="001B4AE0"/>
    <w:rsid w:val="001B4EBD"/>
    <w:rsid w:val="001B503D"/>
    <w:rsid w:val="001B680B"/>
    <w:rsid w:val="001B7538"/>
    <w:rsid w:val="001B7872"/>
    <w:rsid w:val="001C07B5"/>
    <w:rsid w:val="001C122D"/>
    <w:rsid w:val="001C1677"/>
    <w:rsid w:val="001C6CA3"/>
    <w:rsid w:val="001D09D3"/>
    <w:rsid w:val="001D1D4F"/>
    <w:rsid w:val="001D217A"/>
    <w:rsid w:val="001D3CEE"/>
    <w:rsid w:val="001D442B"/>
    <w:rsid w:val="001D49E7"/>
    <w:rsid w:val="001D6555"/>
    <w:rsid w:val="001E03BA"/>
    <w:rsid w:val="001E3075"/>
    <w:rsid w:val="001E42F9"/>
    <w:rsid w:val="001E4407"/>
    <w:rsid w:val="001F0C16"/>
    <w:rsid w:val="001F0FF2"/>
    <w:rsid w:val="001F130C"/>
    <w:rsid w:val="001F1FCC"/>
    <w:rsid w:val="001F3D4C"/>
    <w:rsid w:val="001F56B2"/>
    <w:rsid w:val="001F64A4"/>
    <w:rsid w:val="001F7FB6"/>
    <w:rsid w:val="00200FB8"/>
    <w:rsid w:val="002019B4"/>
    <w:rsid w:val="00204409"/>
    <w:rsid w:val="00204668"/>
    <w:rsid w:val="002048CD"/>
    <w:rsid w:val="002049D0"/>
    <w:rsid w:val="002108D2"/>
    <w:rsid w:val="00211F14"/>
    <w:rsid w:val="002125DA"/>
    <w:rsid w:val="00213748"/>
    <w:rsid w:val="00213EC8"/>
    <w:rsid w:val="0021465E"/>
    <w:rsid w:val="00215390"/>
    <w:rsid w:val="00217C64"/>
    <w:rsid w:val="00220EDA"/>
    <w:rsid w:val="002213CE"/>
    <w:rsid w:val="002222DD"/>
    <w:rsid w:val="0022244C"/>
    <w:rsid w:val="00222DA1"/>
    <w:rsid w:val="0022369F"/>
    <w:rsid w:val="00223A7F"/>
    <w:rsid w:val="00224DA4"/>
    <w:rsid w:val="002253A0"/>
    <w:rsid w:val="00226078"/>
    <w:rsid w:val="00226727"/>
    <w:rsid w:val="002271AD"/>
    <w:rsid w:val="002301AF"/>
    <w:rsid w:val="00234FDE"/>
    <w:rsid w:val="002361D9"/>
    <w:rsid w:val="0024355F"/>
    <w:rsid w:val="00246590"/>
    <w:rsid w:val="00251437"/>
    <w:rsid w:val="00253675"/>
    <w:rsid w:val="00254B2F"/>
    <w:rsid w:val="00256090"/>
    <w:rsid w:val="00256425"/>
    <w:rsid w:val="00263CA6"/>
    <w:rsid w:val="00265CDB"/>
    <w:rsid w:val="002672A4"/>
    <w:rsid w:val="0027113F"/>
    <w:rsid w:val="00273E99"/>
    <w:rsid w:val="0027437A"/>
    <w:rsid w:val="00275D22"/>
    <w:rsid w:val="0028070F"/>
    <w:rsid w:val="00280C49"/>
    <w:rsid w:val="00282CF9"/>
    <w:rsid w:val="0028365F"/>
    <w:rsid w:val="00284A2C"/>
    <w:rsid w:val="00285829"/>
    <w:rsid w:val="00285E75"/>
    <w:rsid w:val="00287CA9"/>
    <w:rsid w:val="00292124"/>
    <w:rsid w:val="002929F2"/>
    <w:rsid w:val="0029565E"/>
    <w:rsid w:val="00296C90"/>
    <w:rsid w:val="00296E69"/>
    <w:rsid w:val="002978B0"/>
    <w:rsid w:val="002A337F"/>
    <w:rsid w:val="002A57A4"/>
    <w:rsid w:val="002B0FB1"/>
    <w:rsid w:val="002B1829"/>
    <w:rsid w:val="002B398D"/>
    <w:rsid w:val="002B4431"/>
    <w:rsid w:val="002B50EB"/>
    <w:rsid w:val="002C2B36"/>
    <w:rsid w:val="002C2F88"/>
    <w:rsid w:val="002C34B3"/>
    <w:rsid w:val="002C5088"/>
    <w:rsid w:val="002C7433"/>
    <w:rsid w:val="002C7699"/>
    <w:rsid w:val="002D24DD"/>
    <w:rsid w:val="002D3EED"/>
    <w:rsid w:val="002D3F3C"/>
    <w:rsid w:val="002D5DFB"/>
    <w:rsid w:val="002D68AE"/>
    <w:rsid w:val="002E048A"/>
    <w:rsid w:val="002E0C9A"/>
    <w:rsid w:val="002E2355"/>
    <w:rsid w:val="002E2F0F"/>
    <w:rsid w:val="002E3012"/>
    <w:rsid w:val="002E44A8"/>
    <w:rsid w:val="002E523F"/>
    <w:rsid w:val="002E6381"/>
    <w:rsid w:val="002E7B85"/>
    <w:rsid w:val="002F28BC"/>
    <w:rsid w:val="002F312B"/>
    <w:rsid w:val="0030040E"/>
    <w:rsid w:val="00300E43"/>
    <w:rsid w:val="00301382"/>
    <w:rsid w:val="003023A8"/>
    <w:rsid w:val="00302F66"/>
    <w:rsid w:val="0030627F"/>
    <w:rsid w:val="00306A17"/>
    <w:rsid w:val="00307449"/>
    <w:rsid w:val="0031085E"/>
    <w:rsid w:val="003114A7"/>
    <w:rsid w:val="00311AB6"/>
    <w:rsid w:val="00312354"/>
    <w:rsid w:val="0031285F"/>
    <w:rsid w:val="00312B26"/>
    <w:rsid w:val="00312EA1"/>
    <w:rsid w:val="00314C2D"/>
    <w:rsid w:val="003162C1"/>
    <w:rsid w:val="003238FF"/>
    <w:rsid w:val="0032539F"/>
    <w:rsid w:val="003263DD"/>
    <w:rsid w:val="0032668D"/>
    <w:rsid w:val="00331F91"/>
    <w:rsid w:val="003327E3"/>
    <w:rsid w:val="003343B7"/>
    <w:rsid w:val="00342DD9"/>
    <w:rsid w:val="00344609"/>
    <w:rsid w:val="00346021"/>
    <w:rsid w:val="00347278"/>
    <w:rsid w:val="00347ABE"/>
    <w:rsid w:val="003507D4"/>
    <w:rsid w:val="003512FA"/>
    <w:rsid w:val="00351F33"/>
    <w:rsid w:val="003522BB"/>
    <w:rsid w:val="00352893"/>
    <w:rsid w:val="003535E0"/>
    <w:rsid w:val="0035404D"/>
    <w:rsid w:val="00354DDD"/>
    <w:rsid w:val="00355D10"/>
    <w:rsid w:val="00356C44"/>
    <w:rsid w:val="003570F6"/>
    <w:rsid w:val="00357300"/>
    <w:rsid w:val="00360F57"/>
    <w:rsid w:val="00361398"/>
    <w:rsid w:val="00361523"/>
    <w:rsid w:val="00363CB2"/>
    <w:rsid w:val="00364755"/>
    <w:rsid w:val="00364DEB"/>
    <w:rsid w:val="00366209"/>
    <w:rsid w:val="00366216"/>
    <w:rsid w:val="00367B0C"/>
    <w:rsid w:val="003701A5"/>
    <w:rsid w:val="00373D79"/>
    <w:rsid w:val="003742D3"/>
    <w:rsid w:val="00376B8F"/>
    <w:rsid w:val="0038023F"/>
    <w:rsid w:val="0038236C"/>
    <w:rsid w:val="00382EAF"/>
    <w:rsid w:val="003833D0"/>
    <w:rsid w:val="00383571"/>
    <w:rsid w:val="003839CE"/>
    <w:rsid w:val="00383D0E"/>
    <w:rsid w:val="00384027"/>
    <w:rsid w:val="003843EC"/>
    <w:rsid w:val="00387C12"/>
    <w:rsid w:val="00390077"/>
    <w:rsid w:val="00395B99"/>
    <w:rsid w:val="00396732"/>
    <w:rsid w:val="00396752"/>
    <w:rsid w:val="003A2BF9"/>
    <w:rsid w:val="003A3291"/>
    <w:rsid w:val="003A380E"/>
    <w:rsid w:val="003A384E"/>
    <w:rsid w:val="003A641E"/>
    <w:rsid w:val="003B1A5C"/>
    <w:rsid w:val="003B31F1"/>
    <w:rsid w:val="003B6027"/>
    <w:rsid w:val="003B610F"/>
    <w:rsid w:val="003C0193"/>
    <w:rsid w:val="003C0DC6"/>
    <w:rsid w:val="003C3C69"/>
    <w:rsid w:val="003C5961"/>
    <w:rsid w:val="003C700C"/>
    <w:rsid w:val="003C7D9A"/>
    <w:rsid w:val="003D204A"/>
    <w:rsid w:val="003D20DD"/>
    <w:rsid w:val="003D29A7"/>
    <w:rsid w:val="003D4069"/>
    <w:rsid w:val="003D6454"/>
    <w:rsid w:val="003E405D"/>
    <w:rsid w:val="003E7130"/>
    <w:rsid w:val="003F0E92"/>
    <w:rsid w:val="003F2F0B"/>
    <w:rsid w:val="003F43C5"/>
    <w:rsid w:val="003F6FFA"/>
    <w:rsid w:val="00401917"/>
    <w:rsid w:val="00403CA6"/>
    <w:rsid w:val="004044C3"/>
    <w:rsid w:val="00404C44"/>
    <w:rsid w:val="00405420"/>
    <w:rsid w:val="00405625"/>
    <w:rsid w:val="0041134B"/>
    <w:rsid w:val="00411575"/>
    <w:rsid w:val="00411BB8"/>
    <w:rsid w:val="00411C6B"/>
    <w:rsid w:val="00413F59"/>
    <w:rsid w:val="00414ED5"/>
    <w:rsid w:val="004162D6"/>
    <w:rsid w:val="004174C2"/>
    <w:rsid w:val="00420438"/>
    <w:rsid w:val="00420A7B"/>
    <w:rsid w:val="00424825"/>
    <w:rsid w:val="0042503A"/>
    <w:rsid w:val="00426FA8"/>
    <w:rsid w:val="00430763"/>
    <w:rsid w:val="00430D57"/>
    <w:rsid w:val="00432BC4"/>
    <w:rsid w:val="0043600E"/>
    <w:rsid w:val="00440BE1"/>
    <w:rsid w:val="00440FCB"/>
    <w:rsid w:val="0044253E"/>
    <w:rsid w:val="004435A4"/>
    <w:rsid w:val="0044455D"/>
    <w:rsid w:val="0044599F"/>
    <w:rsid w:val="00447669"/>
    <w:rsid w:val="004520C3"/>
    <w:rsid w:val="00454D0B"/>
    <w:rsid w:val="004570CD"/>
    <w:rsid w:val="00460CAF"/>
    <w:rsid w:val="00461674"/>
    <w:rsid w:val="0046344B"/>
    <w:rsid w:val="00463B51"/>
    <w:rsid w:val="00466101"/>
    <w:rsid w:val="00470CE8"/>
    <w:rsid w:val="004718EE"/>
    <w:rsid w:val="00471C7B"/>
    <w:rsid w:val="0047221D"/>
    <w:rsid w:val="00473443"/>
    <w:rsid w:val="0047744B"/>
    <w:rsid w:val="00481639"/>
    <w:rsid w:val="00482B0A"/>
    <w:rsid w:val="00482DB5"/>
    <w:rsid w:val="00484DBA"/>
    <w:rsid w:val="004853CC"/>
    <w:rsid w:val="00486557"/>
    <w:rsid w:val="00486893"/>
    <w:rsid w:val="004873E1"/>
    <w:rsid w:val="00487822"/>
    <w:rsid w:val="00491DC2"/>
    <w:rsid w:val="004933C4"/>
    <w:rsid w:val="00493CC8"/>
    <w:rsid w:val="0049765A"/>
    <w:rsid w:val="004A0155"/>
    <w:rsid w:val="004A0344"/>
    <w:rsid w:val="004A044A"/>
    <w:rsid w:val="004A28F1"/>
    <w:rsid w:val="004A31EF"/>
    <w:rsid w:val="004A3982"/>
    <w:rsid w:val="004A3C57"/>
    <w:rsid w:val="004A46D5"/>
    <w:rsid w:val="004A4722"/>
    <w:rsid w:val="004B131B"/>
    <w:rsid w:val="004B1701"/>
    <w:rsid w:val="004B389D"/>
    <w:rsid w:val="004B708E"/>
    <w:rsid w:val="004C0E42"/>
    <w:rsid w:val="004C237E"/>
    <w:rsid w:val="004C27DA"/>
    <w:rsid w:val="004C3BDC"/>
    <w:rsid w:val="004C52A2"/>
    <w:rsid w:val="004C633C"/>
    <w:rsid w:val="004C6A34"/>
    <w:rsid w:val="004C6C3E"/>
    <w:rsid w:val="004C7735"/>
    <w:rsid w:val="004D1DEF"/>
    <w:rsid w:val="004D25D8"/>
    <w:rsid w:val="004D2CCB"/>
    <w:rsid w:val="004D324A"/>
    <w:rsid w:val="004D71F1"/>
    <w:rsid w:val="004D7964"/>
    <w:rsid w:val="004E01BE"/>
    <w:rsid w:val="004E38C1"/>
    <w:rsid w:val="004E60A9"/>
    <w:rsid w:val="004E6AFA"/>
    <w:rsid w:val="004E6C95"/>
    <w:rsid w:val="004E7FD1"/>
    <w:rsid w:val="004F1014"/>
    <w:rsid w:val="004F3A0D"/>
    <w:rsid w:val="004F4139"/>
    <w:rsid w:val="004F4E12"/>
    <w:rsid w:val="004F5E79"/>
    <w:rsid w:val="004F6457"/>
    <w:rsid w:val="0050017F"/>
    <w:rsid w:val="00503938"/>
    <w:rsid w:val="00503D0D"/>
    <w:rsid w:val="00505817"/>
    <w:rsid w:val="0050727B"/>
    <w:rsid w:val="00511D69"/>
    <w:rsid w:val="00515BDB"/>
    <w:rsid w:val="00516F09"/>
    <w:rsid w:val="00517D9A"/>
    <w:rsid w:val="00520BFF"/>
    <w:rsid w:val="005228C1"/>
    <w:rsid w:val="00522941"/>
    <w:rsid w:val="00526917"/>
    <w:rsid w:val="00526A68"/>
    <w:rsid w:val="00530341"/>
    <w:rsid w:val="00530A4B"/>
    <w:rsid w:val="005335FD"/>
    <w:rsid w:val="00533AB5"/>
    <w:rsid w:val="00533F51"/>
    <w:rsid w:val="005344BF"/>
    <w:rsid w:val="005413EA"/>
    <w:rsid w:val="005424F3"/>
    <w:rsid w:val="00543757"/>
    <w:rsid w:val="00547763"/>
    <w:rsid w:val="00551FD3"/>
    <w:rsid w:val="00552309"/>
    <w:rsid w:val="00552B49"/>
    <w:rsid w:val="00553E24"/>
    <w:rsid w:val="00555A3E"/>
    <w:rsid w:val="00564001"/>
    <w:rsid w:val="00564A57"/>
    <w:rsid w:val="005719B3"/>
    <w:rsid w:val="005721C7"/>
    <w:rsid w:val="005737FD"/>
    <w:rsid w:val="00575495"/>
    <w:rsid w:val="0058053F"/>
    <w:rsid w:val="00584A71"/>
    <w:rsid w:val="00586359"/>
    <w:rsid w:val="00587FA0"/>
    <w:rsid w:val="00590B66"/>
    <w:rsid w:val="00592859"/>
    <w:rsid w:val="00593515"/>
    <w:rsid w:val="005939F0"/>
    <w:rsid w:val="005944CF"/>
    <w:rsid w:val="00596122"/>
    <w:rsid w:val="00596F0D"/>
    <w:rsid w:val="005971A1"/>
    <w:rsid w:val="005A0F53"/>
    <w:rsid w:val="005A2A56"/>
    <w:rsid w:val="005A45DD"/>
    <w:rsid w:val="005A6973"/>
    <w:rsid w:val="005A6D31"/>
    <w:rsid w:val="005B0A82"/>
    <w:rsid w:val="005B1D28"/>
    <w:rsid w:val="005B246C"/>
    <w:rsid w:val="005B2CF4"/>
    <w:rsid w:val="005B5129"/>
    <w:rsid w:val="005B66FB"/>
    <w:rsid w:val="005B6D02"/>
    <w:rsid w:val="005C00F6"/>
    <w:rsid w:val="005C2985"/>
    <w:rsid w:val="005C3646"/>
    <w:rsid w:val="005C5EC7"/>
    <w:rsid w:val="005C6383"/>
    <w:rsid w:val="005C7D17"/>
    <w:rsid w:val="005D05F3"/>
    <w:rsid w:val="005D2A21"/>
    <w:rsid w:val="005D33C6"/>
    <w:rsid w:val="005D3551"/>
    <w:rsid w:val="005D6F22"/>
    <w:rsid w:val="005D7FE4"/>
    <w:rsid w:val="005E0AD7"/>
    <w:rsid w:val="005E3106"/>
    <w:rsid w:val="005E5309"/>
    <w:rsid w:val="005E5940"/>
    <w:rsid w:val="005F0786"/>
    <w:rsid w:val="005F1502"/>
    <w:rsid w:val="005F18B8"/>
    <w:rsid w:val="005F4A31"/>
    <w:rsid w:val="005F4E58"/>
    <w:rsid w:val="005F5365"/>
    <w:rsid w:val="00601E75"/>
    <w:rsid w:val="0060278F"/>
    <w:rsid w:val="00603AD1"/>
    <w:rsid w:val="006133D2"/>
    <w:rsid w:val="006136E1"/>
    <w:rsid w:val="00614266"/>
    <w:rsid w:val="0061472F"/>
    <w:rsid w:val="00615A08"/>
    <w:rsid w:val="006163E7"/>
    <w:rsid w:val="006165B3"/>
    <w:rsid w:val="00617061"/>
    <w:rsid w:val="00623919"/>
    <w:rsid w:val="00624DAA"/>
    <w:rsid w:val="00625A83"/>
    <w:rsid w:val="0062619F"/>
    <w:rsid w:val="00636345"/>
    <w:rsid w:val="00640785"/>
    <w:rsid w:val="00641809"/>
    <w:rsid w:val="0064357A"/>
    <w:rsid w:val="00643FAB"/>
    <w:rsid w:val="00644B8D"/>
    <w:rsid w:val="006477BA"/>
    <w:rsid w:val="0065006C"/>
    <w:rsid w:val="006503AC"/>
    <w:rsid w:val="006508C1"/>
    <w:rsid w:val="006538E2"/>
    <w:rsid w:val="00656CF1"/>
    <w:rsid w:val="00657047"/>
    <w:rsid w:val="00661E7B"/>
    <w:rsid w:val="00664153"/>
    <w:rsid w:val="0066623A"/>
    <w:rsid w:val="00672003"/>
    <w:rsid w:val="00672555"/>
    <w:rsid w:val="00674416"/>
    <w:rsid w:val="006775E0"/>
    <w:rsid w:val="0067770F"/>
    <w:rsid w:val="006811CC"/>
    <w:rsid w:val="00686231"/>
    <w:rsid w:val="006934BE"/>
    <w:rsid w:val="00693D62"/>
    <w:rsid w:val="0069457E"/>
    <w:rsid w:val="006957D1"/>
    <w:rsid w:val="00697430"/>
    <w:rsid w:val="006A014B"/>
    <w:rsid w:val="006A02EA"/>
    <w:rsid w:val="006A2651"/>
    <w:rsid w:val="006A2F30"/>
    <w:rsid w:val="006A5895"/>
    <w:rsid w:val="006A5E0B"/>
    <w:rsid w:val="006A6C9D"/>
    <w:rsid w:val="006A7BCB"/>
    <w:rsid w:val="006B01FE"/>
    <w:rsid w:val="006B153A"/>
    <w:rsid w:val="006B241A"/>
    <w:rsid w:val="006B28EE"/>
    <w:rsid w:val="006C2F02"/>
    <w:rsid w:val="006C42CE"/>
    <w:rsid w:val="006C4BED"/>
    <w:rsid w:val="006C53D2"/>
    <w:rsid w:val="006D1971"/>
    <w:rsid w:val="006D41A0"/>
    <w:rsid w:val="006D4411"/>
    <w:rsid w:val="006D4B7F"/>
    <w:rsid w:val="006D64FF"/>
    <w:rsid w:val="006D6872"/>
    <w:rsid w:val="006D77C5"/>
    <w:rsid w:val="006E06EA"/>
    <w:rsid w:val="006E1B4A"/>
    <w:rsid w:val="006E32B2"/>
    <w:rsid w:val="006E459C"/>
    <w:rsid w:val="006E69DC"/>
    <w:rsid w:val="006F0CA0"/>
    <w:rsid w:val="006F1DEF"/>
    <w:rsid w:val="006F3964"/>
    <w:rsid w:val="006F421F"/>
    <w:rsid w:val="006F58B9"/>
    <w:rsid w:val="00700DD1"/>
    <w:rsid w:val="00702BF6"/>
    <w:rsid w:val="007037DD"/>
    <w:rsid w:val="00703B38"/>
    <w:rsid w:val="00704B6E"/>
    <w:rsid w:val="00710DC7"/>
    <w:rsid w:val="00712019"/>
    <w:rsid w:val="0071265F"/>
    <w:rsid w:val="00715464"/>
    <w:rsid w:val="00717054"/>
    <w:rsid w:val="00717563"/>
    <w:rsid w:val="00720650"/>
    <w:rsid w:val="007217CC"/>
    <w:rsid w:val="00726623"/>
    <w:rsid w:val="00730DD7"/>
    <w:rsid w:val="00732869"/>
    <w:rsid w:val="00732933"/>
    <w:rsid w:val="00732BDB"/>
    <w:rsid w:val="00735465"/>
    <w:rsid w:val="00735B24"/>
    <w:rsid w:val="00735CFD"/>
    <w:rsid w:val="00741824"/>
    <w:rsid w:val="00742BE4"/>
    <w:rsid w:val="00747499"/>
    <w:rsid w:val="00747C32"/>
    <w:rsid w:val="007508A7"/>
    <w:rsid w:val="00750F54"/>
    <w:rsid w:val="00752137"/>
    <w:rsid w:val="007553B5"/>
    <w:rsid w:val="00757557"/>
    <w:rsid w:val="0075789A"/>
    <w:rsid w:val="00761551"/>
    <w:rsid w:val="00761759"/>
    <w:rsid w:val="007628FB"/>
    <w:rsid w:val="00770579"/>
    <w:rsid w:val="00771B1D"/>
    <w:rsid w:val="00773AB5"/>
    <w:rsid w:val="00776F65"/>
    <w:rsid w:val="00777D93"/>
    <w:rsid w:val="00780B03"/>
    <w:rsid w:val="00783293"/>
    <w:rsid w:val="00784BEE"/>
    <w:rsid w:val="007862D5"/>
    <w:rsid w:val="00787D5F"/>
    <w:rsid w:val="00787EBD"/>
    <w:rsid w:val="00791285"/>
    <w:rsid w:val="00791D33"/>
    <w:rsid w:val="007923CF"/>
    <w:rsid w:val="00793E4B"/>
    <w:rsid w:val="00797591"/>
    <w:rsid w:val="007978B1"/>
    <w:rsid w:val="00797BAE"/>
    <w:rsid w:val="007A0E93"/>
    <w:rsid w:val="007A1349"/>
    <w:rsid w:val="007A1FE4"/>
    <w:rsid w:val="007A3567"/>
    <w:rsid w:val="007A3A31"/>
    <w:rsid w:val="007A436F"/>
    <w:rsid w:val="007A5452"/>
    <w:rsid w:val="007A56B8"/>
    <w:rsid w:val="007B182F"/>
    <w:rsid w:val="007B18AB"/>
    <w:rsid w:val="007B1DA6"/>
    <w:rsid w:val="007B3557"/>
    <w:rsid w:val="007B5453"/>
    <w:rsid w:val="007B56F1"/>
    <w:rsid w:val="007C0096"/>
    <w:rsid w:val="007C0378"/>
    <w:rsid w:val="007C0F03"/>
    <w:rsid w:val="007C206F"/>
    <w:rsid w:val="007C35F0"/>
    <w:rsid w:val="007D1500"/>
    <w:rsid w:val="007D2042"/>
    <w:rsid w:val="007D2E6A"/>
    <w:rsid w:val="007D4762"/>
    <w:rsid w:val="007E0C8C"/>
    <w:rsid w:val="007E0CA2"/>
    <w:rsid w:val="007E13A3"/>
    <w:rsid w:val="007E1E6C"/>
    <w:rsid w:val="007E21C3"/>
    <w:rsid w:val="007E2AB6"/>
    <w:rsid w:val="007E4DC1"/>
    <w:rsid w:val="007E70D1"/>
    <w:rsid w:val="007F10CE"/>
    <w:rsid w:val="007F313B"/>
    <w:rsid w:val="007F324B"/>
    <w:rsid w:val="007F3913"/>
    <w:rsid w:val="007F4D5B"/>
    <w:rsid w:val="007F4DBC"/>
    <w:rsid w:val="008024C0"/>
    <w:rsid w:val="00802693"/>
    <w:rsid w:val="00802C50"/>
    <w:rsid w:val="0080309D"/>
    <w:rsid w:val="00804233"/>
    <w:rsid w:val="008052BC"/>
    <w:rsid w:val="00805315"/>
    <w:rsid w:val="00805665"/>
    <w:rsid w:val="00806B35"/>
    <w:rsid w:val="00806E35"/>
    <w:rsid w:val="008075DC"/>
    <w:rsid w:val="00811530"/>
    <w:rsid w:val="00812422"/>
    <w:rsid w:val="0081265B"/>
    <w:rsid w:val="008155FC"/>
    <w:rsid w:val="00815A34"/>
    <w:rsid w:val="00815DA1"/>
    <w:rsid w:val="00817B2E"/>
    <w:rsid w:val="008200F1"/>
    <w:rsid w:val="00820E6A"/>
    <w:rsid w:val="00821BFF"/>
    <w:rsid w:val="00821F9F"/>
    <w:rsid w:val="00822585"/>
    <w:rsid w:val="00822857"/>
    <w:rsid w:val="00824176"/>
    <w:rsid w:val="00824CC7"/>
    <w:rsid w:val="008272CE"/>
    <w:rsid w:val="00827C9C"/>
    <w:rsid w:val="00833587"/>
    <w:rsid w:val="00833F72"/>
    <w:rsid w:val="008361DB"/>
    <w:rsid w:val="00842C8F"/>
    <w:rsid w:val="00844CAF"/>
    <w:rsid w:val="008453DC"/>
    <w:rsid w:val="00851BB2"/>
    <w:rsid w:val="00852746"/>
    <w:rsid w:val="00853EC8"/>
    <w:rsid w:val="00855B7C"/>
    <w:rsid w:val="00856AC8"/>
    <w:rsid w:val="008578FD"/>
    <w:rsid w:val="008621D6"/>
    <w:rsid w:val="00863200"/>
    <w:rsid w:val="00864B3F"/>
    <w:rsid w:val="00870344"/>
    <w:rsid w:val="00870B97"/>
    <w:rsid w:val="00874445"/>
    <w:rsid w:val="00875BAD"/>
    <w:rsid w:val="00884752"/>
    <w:rsid w:val="00890A16"/>
    <w:rsid w:val="00891412"/>
    <w:rsid w:val="00891E97"/>
    <w:rsid w:val="00893204"/>
    <w:rsid w:val="00893C0E"/>
    <w:rsid w:val="008940E4"/>
    <w:rsid w:val="008949D1"/>
    <w:rsid w:val="008A0372"/>
    <w:rsid w:val="008A0D3A"/>
    <w:rsid w:val="008A483B"/>
    <w:rsid w:val="008A5870"/>
    <w:rsid w:val="008A5BE2"/>
    <w:rsid w:val="008B12BF"/>
    <w:rsid w:val="008B2A57"/>
    <w:rsid w:val="008B4B79"/>
    <w:rsid w:val="008C0AC8"/>
    <w:rsid w:val="008C3348"/>
    <w:rsid w:val="008C5DF1"/>
    <w:rsid w:val="008C6C9A"/>
    <w:rsid w:val="008D2975"/>
    <w:rsid w:val="008D524B"/>
    <w:rsid w:val="008D68C0"/>
    <w:rsid w:val="008D69A9"/>
    <w:rsid w:val="008E02E5"/>
    <w:rsid w:val="008E0BAD"/>
    <w:rsid w:val="008E3156"/>
    <w:rsid w:val="008E3175"/>
    <w:rsid w:val="008E5537"/>
    <w:rsid w:val="008E74ED"/>
    <w:rsid w:val="008F0766"/>
    <w:rsid w:val="008F5EC2"/>
    <w:rsid w:val="008F66C9"/>
    <w:rsid w:val="008F6AB7"/>
    <w:rsid w:val="009070F5"/>
    <w:rsid w:val="00912E1E"/>
    <w:rsid w:val="00913183"/>
    <w:rsid w:val="00914698"/>
    <w:rsid w:val="00914CC9"/>
    <w:rsid w:val="00915B19"/>
    <w:rsid w:val="009213F0"/>
    <w:rsid w:val="00922EA1"/>
    <w:rsid w:val="009231C6"/>
    <w:rsid w:val="00923D70"/>
    <w:rsid w:val="00925C6C"/>
    <w:rsid w:val="0093033C"/>
    <w:rsid w:val="0093070E"/>
    <w:rsid w:val="00932CFA"/>
    <w:rsid w:val="009330DB"/>
    <w:rsid w:val="00934C71"/>
    <w:rsid w:val="009356C5"/>
    <w:rsid w:val="0093714F"/>
    <w:rsid w:val="009375B3"/>
    <w:rsid w:val="00943631"/>
    <w:rsid w:val="0094413D"/>
    <w:rsid w:val="00945218"/>
    <w:rsid w:val="00945955"/>
    <w:rsid w:val="00951980"/>
    <w:rsid w:val="00951F38"/>
    <w:rsid w:val="00952A7C"/>
    <w:rsid w:val="009553F5"/>
    <w:rsid w:val="00955AE6"/>
    <w:rsid w:val="00956A0B"/>
    <w:rsid w:val="00956CD4"/>
    <w:rsid w:val="0096000F"/>
    <w:rsid w:val="00962521"/>
    <w:rsid w:val="009625BC"/>
    <w:rsid w:val="009663F7"/>
    <w:rsid w:val="0096686E"/>
    <w:rsid w:val="00966F59"/>
    <w:rsid w:val="0096767F"/>
    <w:rsid w:val="00970D53"/>
    <w:rsid w:val="009716AC"/>
    <w:rsid w:val="00972084"/>
    <w:rsid w:val="00972279"/>
    <w:rsid w:val="0097307E"/>
    <w:rsid w:val="00975036"/>
    <w:rsid w:val="00977116"/>
    <w:rsid w:val="00982234"/>
    <w:rsid w:val="00982FFF"/>
    <w:rsid w:val="009830DC"/>
    <w:rsid w:val="009841F5"/>
    <w:rsid w:val="00984ABB"/>
    <w:rsid w:val="00984CB1"/>
    <w:rsid w:val="00992710"/>
    <w:rsid w:val="00993D8A"/>
    <w:rsid w:val="00996AB8"/>
    <w:rsid w:val="009A022A"/>
    <w:rsid w:val="009A0DED"/>
    <w:rsid w:val="009A1B5C"/>
    <w:rsid w:val="009A3B54"/>
    <w:rsid w:val="009A43F4"/>
    <w:rsid w:val="009A595E"/>
    <w:rsid w:val="009A5A60"/>
    <w:rsid w:val="009A5B89"/>
    <w:rsid w:val="009A6D0D"/>
    <w:rsid w:val="009B1760"/>
    <w:rsid w:val="009B1B94"/>
    <w:rsid w:val="009B1D23"/>
    <w:rsid w:val="009B620B"/>
    <w:rsid w:val="009B68AD"/>
    <w:rsid w:val="009C0DE1"/>
    <w:rsid w:val="009C1C01"/>
    <w:rsid w:val="009C1D40"/>
    <w:rsid w:val="009C27D7"/>
    <w:rsid w:val="009C42D1"/>
    <w:rsid w:val="009C4957"/>
    <w:rsid w:val="009C5E6F"/>
    <w:rsid w:val="009C7B2F"/>
    <w:rsid w:val="009D0B04"/>
    <w:rsid w:val="009D13E9"/>
    <w:rsid w:val="009D17D3"/>
    <w:rsid w:val="009E0C57"/>
    <w:rsid w:val="009E2F61"/>
    <w:rsid w:val="009E3171"/>
    <w:rsid w:val="009E4C02"/>
    <w:rsid w:val="009F09FD"/>
    <w:rsid w:val="009F2345"/>
    <w:rsid w:val="009F47BC"/>
    <w:rsid w:val="009F4E2D"/>
    <w:rsid w:val="009F6303"/>
    <w:rsid w:val="009F667D"/>
    <w:rsid w:val="00A00812"/>
    <w:rsid w:val="00A04203"/>
    <w:rsid w:val="00A070B2"/>
    <w:rsid w:val="00A10ABA"/>
    <w:rsid w:val="00A11940"/>
    <w:rsid w:val="00A11EE4"/>
    <w:rsid w:val="00A12213"/>
    <w:rsid w:val="00A1281A"/>
    <w:rsid w:val="00A12FA7"/>
    <w:rsid w:val="00A208AB"/>
    <w:rsid w:val="00A20CB3"/>
    <w:rsid w:val="00A232BF"/>
    <w:rsid w:val="00A269BC"/>
    <w:rsid w:val="00A27F48"/>
    <w:rsid w:val="00A31BE9"/>
    <w:rsid w:val="00A33780"/>
    <w:rsid w:val="00A33DE2"/>
    <w:rsid w:val="00A34826"/>
    <w:rsid w:val="00A34FC6"/>
    <w:rsid w:val="00A40923"/>
    <w:rsid w:val="00A453B8"/>
    <w:rsid w:val="00A45D09"/>
    <w:rsid w:val="00A46607"/>
    <w:rsid w:val="00A466D1"/>
    <w:rsid w:val="00A46CFD"/>
    <w:rsid w:val="00A5572F"/>
    <w:rsid w:val="00A56AB6"/>
    <w:rsid w:val="00A5740A"/>
    <w:rsid w:val="00A57FB6"/>
    <w:rsid w:val="00A60AB0"/>
    <w:rsid w:val="00A61194"/>
    <w:rsid w:val="00A63798"/>
    <w:rsid w:val="00A64F24"/>
    <w:rsid w:val="00A7161E"/>
    <w:rsid w:val="00A7238F"/>
    <w:rsid w:val="00A72A46"/>
    <w:rsid w:val="00A72E2D"/>
    <w:rsid w:val="00A739F5"/>
    <w:rsid w:val="00A742C6"/>
    <w:rsid w:val="00A745C9"/>
    <w:rsid w:val="00A75790"/>
    <w:rsid w:val="00A75824"/>
    <w:rsid w:val="00A8187E"/>
    <w:rsid w:val="00A82D4B"/>
    <w:rsid w:val="00A83EC2"/>
    <w:rsid w:val="00A84969"/>
    <w:rsid w:val="00A8514C"/>
    <w:rsid w:val="00A867B2"/>
    <w:rsid w:val="00A867F2"/>
    <w:rsid w:val="00A86CDF"/>
    <w:rsid w:val="00A87051"/>
    <w:rsid w:val="00A93472"/>
    <w:rsid w:val="00A93484"/>
    <w:rsid w:val="00A964C1"/>
    <w:rsid w:val="00A965C3"/>
    <w:rsid w:val="00A97EBD"/>
    <w:rsid w:val="00AA11A0"/>
    <w:rsid w:val="00AA29AE"/>
    <w:rsid w:val="00AA2C0E"/>
    <w:rsid w:val="00AA31CC"/>
    <w:rsid w:val="00AA34D2"/>
    <w:rsid w:val="00AA4094"/>
    <w:rsid w:val="00AB15F9"/>
    <w:rsid w:val="00AB63E9"/>
    <w:rsid w:val="00AC2743"/>
    <w:rsid w:val="00AC312F"/>
    <w:rsid w:val="00AC7098"/>
    <w:rsid w:val="00AC7BAB"/>
    <w:rsid w:val="00AD1210"/>
    <w:rsid w:val="00AD1A99"/>
    <w:rsid w:val="00AD252E"/>
    <w:rsid w:val="00AD3815"/>
    <w:rsid w:val="00AD3E31"/>
    <w:rsid w:val="00AD4617"/>
    <w:rsid w:val="00AD4C82"/>
    <w:rsid w:val="00AD69E9"/>
    <w:rsid w:val="00AE20FC"/>
    <w:rsid w:val="00AE3002"/>
    <w:rsid w:val="00AE6D35"/>
    <w:rsid w:val="00AE7F41"/>
    <w:rsid w:val="00AF1F9B"/>
    <w:rsid w:val="00AF30B0"/>
    <w:rsid w:val="00AF44C3"/>
    <w:rsid w:val="00AF4EC8"/>
    <w:rsid w:val="00AF6AED"/>
    <w:rsid w:val="00B021AB"/>
    <w:rsid w:val="00B02301"/>
    <w:rsid w:val="00B02F7C"/>
    <w:rsid w:val="00B06605"/>
    <w:rsid w:val="00B07C09"/>
    <w:rsid w:val="00B10C71"/>
    <w:rsid w:val="00B117D1"/>
    <w:rsid w:val="00B11FF4"/>
    <w:rsid w:val="00B13944"/>
    <w:rsid w:val="00B16781"/>
    <w:rsid w:val="00B219B7"/>
    <w:rsid w:val="00B2367E"/>
    <w:rsid w:val="00B23A85"/>
    <w:rsid w:val="00B25D75"/>
    <w:rsid w:val="00B263EF"/>
    <w:rsid w:val="00B27130"/>
    <w:rsid w:val="00B30D33"/>
    <w:rsid w:val="00B31DBD"/>
    <w:rsid w:val="00B32504"/>
    <w:rsid w:val="00B350FF"/>
    <w:rsid w:val="00B36113"/>
    <w:rsid w:val="00B41A08"/>
    <w:rsid w:val="00B41A9B"/>
    <w:rsid w:val="00B4372D"/>
    <w:rsid w:val="00B440EB"/>
    <w:rsid w:val="00B50B2D"/>
    <w:rsid w:val="00B50D73"/>
    <w:rsid w:val="00B52778"/>
    <w:rsid w:val="00B52BED"/>
    <w:rsid w:val="00B53173"/>
    <w:rsid w:val="00B54BEC"/>
    <w:rsid w:val="00B56176"/>
    <w:rsid w:val="00B564FE"/>
    <w:rsid w:val="00B61BD7"/>
    <w:rsid w:val="00B62227"/>
    <w:rsid w:val="00B62B02"/>
    <w:rsid w:val="00B64D46"/>
    <w:rsid w:val="00B65355"/>
    <w:rsid w:val="00B656BE"/>
    <w:rsid w:val="00B65B18"/>
    <w:rsid w:val="00B7226E"/>
    <w:rsid w:val="00B73138"/>
    <w:rsid w:val="00B73576"/>
    <w:rsid w:val="00B73ED2"/>
    <w:rsid w:val="00B74AE5"/>
    <w:rsid w:val="00B8004D"/>
    <w:rsid w:val="00B8182E"/>
    <w:rsid w:val="00B8202D"/>
    <w:rsid w:val="00B82256"/>
    <w:rsid w:val="00B82B9D"/>
    <w:rsid w:val="00B82EAA"/>
    <w:rsid w:val="00B847F2"/>
    <w:rsid w:val="00B9006C"/>
    <w:rsid w:val="00B93121"/>
    <w:rsid w:val="00B97067"/>
    <w:rsid w:val="00BA1CFF"/>
    <w:rsid w:val="00BA34F2"/>
    <w:rsid w:val="00BA46A3"/>
    <w:rsid w:val="00BA5648"/>
    <w:rsid w:val="00BA5A4E"/>
    <w:rsid w:val="00BA61EE"/>
    <w:rsid w:val="00BB186D"/>
    <w:rsid w:val="00BB1A1B"/>
    <w:rsid w:val="00BB362B"/>
    <w:rsid w:val="00BB3FA6"/>
    <w:rsid w:val="00BB5CE5"/>
    <w:rsid w:val="00BB6303"/>
    <w:rsid w:val="00BB7E2D"/>
    <w:rsid w:val="00BC02CF"/>
    <w:rsid w:val="00BC053C"/>
    <w:rsid w:val="00BC676E"/>
    <w:rsid w:val="00BD2512"/>
    <w:rsid w:val="00BD4213"/>
    <w:rsid w:val="00BD4551"/>
    <w:rsid w:val="00BD7DC4"/>
    <w:rsid w:val="00BE2947"/>
    <w:rsid w:val="00BE6504"/>
    <w:rsid w:val="00BF10EC"/>
    <w:rsid w:val="00BF25FA"/>
    <w:rsid w:val="00BF365C"/>
    <w:rsid w:val="00BF39EF"/>
    <w:rsid w:val="00BF4361"/>
    <w:rsid w:val="00BF4827"/>
    <w:rsid w:val="00BF5EB9"/>
    <w:rsid w:val="00BF7E18"/>
    <w:rsid w:val="00C02DBF"/>
    <w:rsid w:val="00C03332"/>
    <w:rsid w:val="00C07708"/>
    <w:rsid w:val="00C10541"/>
    <w:rsid w:val="00C108A3"/>
    <w:rsid w:val="00C1152F"/>
    <w:rsid w:val="00C143E8"/>
    <w:rsid w:val="00C144DF"/>
    <w:rsid w:val="00C147DB"/>
    <w:rsid w:val="00C152BF"/>
    <w:rsid w:val="00C154F4"/>
    <w:rsid w:val="00C15633"/>
    <w:rsid w:val="00C24220"/>
    <w:rsid w:val="00C24A92"/>
    <w:rsid w:val="00C24DC2"/>
    <w:rsid w:val="00C252F0"/>
    <w:rsid w:val="00C25519"/>
    <w:rsid w:val="00C2654D"/>
    <w:rsid w:val="00C34D89"/>
    <w:rsid w:val="00C354E3"/>
    <w:rsid w:val="00C46557"/>
    <w:rsid w:val="00C4697F"/>
    <w:rsid w:val="00C507EF"/>
    <w:rsid w:val="00C53342"/>
    <w:rsid w:val="00C61D8A"/>
    <w:rsid w:val="00C62CF6"/>
    <w:rsid w:val="00C63448"/>
    <w:rsid w:val="00C63F35"/>
    <w:rsid w:val="00C66243"/>
    <w:rsid w:val="00C7037E"/>
    <w:rsid w:val="00C70856"/>
    <w:rsid w:val="00C71889"/>
    <w:rsid w:val="00C71A74"/>
    <w:rsid w:val="00C7214E"/>
    <w:rsid w:val="00C73541"/>
    <w:rsid w:val="00C7648E"/>
    <w:rsid w:val="00C772D4"/>
    <w:rsid w:val="00C8165C"/>
    <w:rsid w:val="00C82D38"/>
    <w:rsid w:val="00C849ED"/>
    <w:rsid w:val="00C84E7C"/>
    <w:rsid w:val="00C853D0"/>
    <w:rsid w:val="00C85B3F"/>
    <w:rsid w:val="00C85D0E"/>
    <w:rsid w:val="00C864BF"/>
    <w:rsid w:val="00C86D30"/>
    <w:rsid w:val="00C92281"/>
    <w:rsid w:val="00C926FF"/>
    <w:rsid w:val="00C934D2"/>
    <w:rsid w:val="00C9472B"/>
    <w:rsid w:val="00C958D1"/>
    <w:rsid w:val="00C95A4E"/>
    <w:rsid w:val="00C96BD0"/>
    <w:rsid w:val="00C97166"/>
    <w:rsid w:val="00CA0744"/>
    <w:rsid w:val="00CA26CE"/>
    <w:rsid w:val="00CA2898"/>
    <w:rsid w:val="00CB361E"/>
    <w:rsid w:val="00CB5EDC"/>
    <w:rsid w:val="00CB68F0"/>
    <w:rsid w:val="00CB7154"/>
    <w:rsid w:val="00CC03EF"/>
    <w:rsid w:val="00CC3B69"/>
    <w:rsid w:val="00CC4EF4"/>
    <w:rsid w:val="00CC6438"/>
    <w:rsid w:val="00CC7753"/>
    <w:rsid w:val="00CC7E6C"/>
    <w:rsid w:val="00CD0DBF"/>
    <w:rsid w:val="00CD3B76"/>
    <w:rsid w:val="00CE1248"/>
    <w:rsid w:val="00CE2F6F"/>
    <w:rsid w:val="00CE7D35"/>
    <w:rsid w:val="00CF0688"/>
    <w:rsid w:val="00CF1250"/>
    <w:rsid w:val="00CF1825"/>
    <w:rsid w:val="00CF1CBD"/>
    <w:rsid w:val="00CF6B79"/>
    <w:rsid w:val="00CF6C98"/>
    <w:rsid w:val="00CF7042"/>
    <w:rsid w:val="00D00741"/>
    <w:rsid w:val="00D00DD2"/>
    <w:rsid w:val="00D02CCC"/>
    <w:rsid w:val="00D034AD"/>
    <w:rsid w:val="00D064C9"/>
    <w:rsid w:val="00D07306"/>
    <w:rsid w:val="00D10555"/>
    <w:rsid w:val="00D108FD"/>
    <w:rsid w:val="00D11F56"/>
    <w:rsid w:val="00D13EE6"/>
    <w:rsid w:val="00D1562D"/>
    <w:rsid w:val="00D161EE"/>
    <w:rsid w:val="00D16F5F"/>
    <w:rsid w:val="00D22684"/>
    <w:rsid w:val="00D23971"/>
    <w:rsid w:val="00D24365"/>
    <w:rsid w:val="00D2752E"/>
    <w:rsid w:val="00D305D7"/>
    <w:rsid w:val="00D36CF8"/>
    <w:rsid w:val="00D405C2"/>
    <w:rsid w:val="00D42005"/>
    <w:rsid w:val="00D4206A"/>
    <w:rsid w:val="00D42CBD"/>
    <w:rsid w:val="00D4341A"/>
    <w:rsid w:val="00D449AE"/>
    <w:rsid w:val="00D47A7F"/>
    <w:rsid w:val="00D501CE"/>
    <w:rsid w:val="00D50550"/>
    <w:rsid w:val="00D5200A"/>
    <w:rsid w:val="00D523AB"/>
    <w:rsid w:val="00D53085"/>
    <w:rsid w:val="00D53C14"/>
    <w:rsid w:val="00D54113"/>
    <w:rsid w:val="00D54433"/>
    <w:rsid w:val="00D545E1"/>
    <w:rsid w:val="00D558BA"/>
    <w:rsid w:val="00D55BBF"/>
    <w:rsid w:val="00D5643B"/>
    <w:rsid w:val="00D56F26"/>
    <w:rsid w:val="00D629B6"/>
    <w:rsid w:val="00D62BA7"/>
    <w:rsid w:val="00D62C81"/>
    <w:rsid w:val="00D632AF"/>
    <w:rsid w:val="00D6656F"/>
    <w:rsid w:val="00D66702"/>
    <w:rsid w:val="00D7320B"/>
    <w:rsid w:val="00D73F2F"/>
    <w:rsid w:val="00D749C4"/>
    <w:rsid w:val="00D74BB3"/>
    <w:rsid w:val="00D74BE1"/>
    <w:rsid w:val="00D771D4"/>
    <w:rsid w:val="00D77841"/>
    <w:rsid w:val="00D779B3"/>
    <w:rsid w:val="00D800C7"/>
    <w:rsid w:val="00D80E6D"/>
    <w:rsid w:val="00D813A0"/>
    <w:rsid w:val="00D81BCC"/>
    <w:rsid w:val="00D835F9"/>
    <w:rsid w:val="00D86301"/>
    <w:rsid w:val="00D87419"/>
    <w:rsid w:val="00D9415C"/>
    <w:rsid w:val="00D94249"/>
    <w:rsid w:val="00D9425C"/>
    <w:rsid w:val="00D94295"/>
    <w:rsid w:val="00D9587A"/>
    <w:rsid w:val="00D95B2F"/>
    <w:rsid w:val="00D96401"/>
    <w:rsid w:val="00D965E3"/>
    <w:rsid w:val="00D96FAA"/>
    <w:rsid w:val="00D975D7"/>
    <w:rsid w:val="00DA359A"/>
    <w:rsid w:val="00DA45B7"/>
    <w:rsid w:val="00DA66F1"/>
    <w:rsid w:val="00DA680B"/>
    <w:rsid w:val="00DA6814"/>
    <w:rsid w:val="00DA7901"/>
    <w:rsid w:val="00DB1CF7"/>
    <w:rsid w:val="00DB3A53"/>
    <w:rsid w:val="00DB3C97"/>
    <w:rsid w:val="00DB5808"/>
    <w:rsid w:val="00DB5835"/>
    <w:rsid w:val="00DB78AA"/>
    <w:rsid w:val="00DB7D9C"/>
    <w:rsid w:val="00DC1628"/>
    <w:rsid w:val="00DC413A"/>
    <w:rsid w:val="00DC442A"/>
    <w:rsid w:val="00DC621D"/>
    <w:rsid w:val="00DD0812"/>
    <w:rsid w:val="00DD31CD"/>
    <w:rsid w:val="00DD3616"/>
    <w:rsid w:val="00DD67C4"/>
    <w:rsid w:val="00DD75ED"/>
    <w:rsid w:val="00DD7F49"/>
    <w:rsid w:val="00DE0A50"/>
    <w:rsid w:val="00DE0BE9"/>
    <w:rsid w:val="00DE4D4D"/>
    <w:rsid w:val="00DF2719"/>
    <w:rsid w:val="00DF4575"/>
    <w:rsid w:val="00DF4BB5"/>
    <w:rsid w:val="00E00753"/>
    <w:rsid w:val="00E01F26"/>
    <w:rsid w:val="00E026F8"/>
    <w:rsid w:val="00E0273C"/>
    <w:rsid w:val="00E04644"/>
    <w:rsid w:val="00E07150"/>
    <w:rsid w:val="00E13215"/>
    <w:rsid w:val="00E2062A"/>
    <w:rsid w:val="00E24259"/>
    <w:rsid w:val="00E25113"/>
    <w:rsid w:val="00E274FB"/>
    <w:rsid w:val="00E305D6"/>
    <w:rsid w:val="00E31E32"/>
    <w:rsid w:val="00E33B74"/>
    <w:rsid w:val="00E3550D"/>
    <w:rsid w:val="00E371BB"/>
    <w:rsid w:val="00E406CA"/>
    <w:rsid w:val="00E417FD"/>
    <w:rsid w:val="00E41BED"/>
    <w:rsid w:val="00E42B7B"/>
    <w:rsid w:val="00E431EB"/>
    <w:rsid w:val="00E43A14"/>
    <w:rsid w:val="00E448B3"/>
    <w:rsid w:val="00E459ED"/>
    <w:rsid w:val="00E548EE"/>
    <w:rsid w:val="00E54E36"/>
    <w:rsid w:val="00E56B25"/>
    <w:rsid w:val="00E604B4"/>
    <w:rsid w:val="00E60EC5"/>
    <w:rsid w:val="00E61608"/>
    <w:rsid w:val="00E62B83"/>
    <w:rsid w:val="00E6311C"/>
    <w:rsid w:val="00E654E4"/>
    <w:rsid w:val="00E66085"/>
    <w:rsid w:val="00E759B1"/>
    <w:rsid w:val="00E77EFF"/>
    <w:rsid w:val="00E82C97"/>
    <w:rsid w:val="00E83399"/>
    <w:rsid w:val="00E90695"/>
    <w:rsid w:val="00E916D2"/>
    <w:rsid w:val="00E91B8E"/>
    <w:rsid w:val="00E9239E"/>
    <w:rsid w:val="00E92EA3"/>
    <w:rsid w:val="00E95F68"/>
    <w:rsid w:val="00E96D8A"/>
    <w:rsid w:val="00EA36C0"/>
    <w:rsid w:val="00EA3E08"/>
    <w:rsid w:val="00EA4F43"/>
    <w:rsid w:val="00EA521A"/>
    <w:rsid w:val="00EB160C"/>
    <w:rsid w:val="00EB4EA0"/>
    <w:rsid w:val="00EB712B"/>
    <w:rsid w:val="00EC02A7"/>
    <w:rsid w:val="00EC6938"/>
    <w:rsid w:val="00ED07E0"/>
    <w:rsid w:val="00ED0A7C"/>
    <w:rsid w:val="00ED0B89"/>
    <w:rsid w:val="00ED1D7E"/>
    <w:rsid w:val="00ED2990"/>
    <w:rsid w:val="00ED2F68"/>
    <w:rsid w:val="00ED3F56"/>
    <w:rsid w:val="00ED7A80"/>
    <w:rsid w:val="00EE1D9D"/>
    <w:rsid w:val="00EE6F3D"/>
    <w:rsid w:val="00EE7B81"/>
    <w:rsid w:val="00EE7D3C"/>
    <w:rsid w:val="00EF253D"/>
    <w:rsid w:val="00EF3D03"/>
    <w:rsid w:val="00EF4628"/>
    <w:rsid w:val="00EF6B19"/>
    <w:rsid w:val="00EF7748"/>
    <w:rsid w:val="00F00470"/>
    <w:rsid w:val="00F024C0"/>
    <w:rsid w:val="00F02E7A"/>
    <w:rsid w:val="00F03603"/>
    <w:rsid w:val="00F1288D"/>
    <w:rsid w:val="00F16EAD"/>
    <w:rsid w:val="00F17598"/>
    <w:rsid w:val="00F21C80"/>
    <w:rsid w:val="00F2252A"/>
    <w:rsid w:val="00F253A0"/>
    <w:rsid w:val="00F25838"/>
    <w:rsid w:val="00F27D64"/>
    <w:rsid w:val="00F325AA"/>
    <w:rsid w:val="00F35E9A"/>
    <w:rsid w:val="00F36AC2"/>
    <w:rsid w:val="00F378FC"/>
    <w:rsid w:val="00F4058D"/>
    <w:rsid w:val="00F40C4E"/>
    <w:rsid w:val="00F451A6"/>
    <w:rsid w:val="00F4561D"/>
    <w:rsid w:val="00F532FC"/>
    <w:rsid w:val="00F53EEB"/>
    <w:rsid w:val="00F54154"/>
    <w:rsid w:val="00F55013"/>
    <w:rsid w:val="00F57E1F"/>
    <w:rsid w:val="00F63245"/>
    <w:rsid w:val="00F63A79"/>
    <w:rsid w:val="00F63B56"/>
    <w:rsid w:val="00F66576"/>
    <w:rsid w:val="00F66CDA"/>
    <w:rsid w:val="00F66F73"/>
    <w:rsid w:val="00F70064"/>
    <w:rsid w:val="00F72662"/>
    <w:rsid w:val="00F74980"/>
    <w:rsid w:val="00F74DBD"/>
    <w:rsid w:val="00F75E67"/>
    <w:rsid w:val="00F80DA6"/>
    <w:rsid w:val="00F81537"/>
    <w:rsid w:val="00F817AC"/>
    <w:rsid w:val="00F8217F"/>
    <w:rsid w:val="00F82634"/>
    <w:rsid w:val="00F83E23"/>
    <w:rsid w:val="00F84D4D"/>
    <w:rsid w:val="00F86AD1"/>
    <w:rsid w:val="00F86D3E"/>
    <w:rsid w:val="00F95ADD"/>
    <w:rsid w:val="00FA108D"/>
    <w:rsid w:val="00FA4A7D"/>
    <w:rsid w:val="00FA5FA1"/>
    <w:rsid w:val="00FA68B0"/>
    <w:rsid w:val="00FB1DAA"/>
    <w:rsid w:val="00FB1DB6"/>
    <w:rsid w:val="00FB2402"/>
    <w:rsid w:val="00FB26D3"/>
    <w:rsid w:val="00FB2A3E"/>
    <w:rsid w:val="00FB50BF"/>
    <w:rsid w:val="00FB515C"/>
    <w:rsid w:val="00FB6636"/>
    <w:rsid w:val="00FB668F"/>
    <w:rsid w:val="00FB68C5"/>
    <w:rsid w:val="00FC1CF1"/>
    <w:rsid w:val="00FC304C"/>
    <w:rsid w:val="00FC45BD"/>
    <w:rsid w:val="00FC567F"/>
    <w:rsid w:val="00FC578D"/>
    <w:rsid w:val="00FC6D8C"/>
    <w:rsid w:val="00FD212A"/>
    <w:rsid w:val="00FD4B3A"/>
    <w:rsid w:val="00FD6B5F"/>
    <w:rsid w:val="00FE0A41"/>
    <w:rsid w:val="00FE3FC6"/>
    <w:rsid w:val="00FE4163"/>
    <w:rsid w:val="00FE5A07"/>
    <w:rsid w:val="00FE66A1"/>
    <w:rsid w:val="00FE6EEA"/>
    <w:rsid w:val="00FF20D1"/>
    <w:rsid w:val="00FF39CD"/>
    <w:rsid w:val="00FF51E7"/>
    <w:rsid w:val="00FF62A7"/>
    <w:rsid w:val="00FF6542"/>
    <w:rsid w:val="00FF6621"/>
    <w:rsid w:val="00FF6C15"/>
    <w:rsid w:val="00FF7B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553B5"/>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A483B"/>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7553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53B5"/>
  </w:style>
  <w:style w:type="character" w:customStyle="1" w:styleId="CharSubPartTextCASA">
    <w:name w:val="CharSubPartText(CASA)"/>
    <w:basedOn w:val="OPCCharBase"/>
    <w:uiPriority w:val="1"/>
    <w:rsid w:val="007553B5"/>
  </w:style>
  <w:style w:type="character" w:customStyle="1" w:styleId="CharSubPartNoCASA">
    <w:name w:val="CharSubPartNo(CASA)"/>
    <w:basedOn w:val="OPCCharBase"/>
    <w:uiPriority w:val="1"/>
    <w:rsid w:val="007553B5"/>
  </w:style>
  <w:style w:type="paragraph" w:styleId="Footer">
    <w:name w:val="footer"/>
    <w:link w:val="FooterChar"/>
    <w:rsid w:val="007553B5"/>
    <w:pPr>
      <w:tabs>
        <w:tab w:val="center" w:pos="4153"/>
        <w:tab w:val="right" w:pos="8306"/>
      </w:tabs>
    </w:pPr>
    <w:rPr>
      <w:sz w:val="22"/>
      <w:szCs w:val="24"/>
    </w:rPr>
  </w:style>
  <w:style w:type="paragraph" w:customStyle="1" w:styleId="ENoteTTIndentHeadingSub">
    <w:name w:val="ENoteTTIndentHeadingSub"/>
    <w:aliases w:val="enTTHis"/>
    <w:basedOn w:val="OPCParaBase"/>
    <w:rsid w:val="007553B5"/>
    <w:pPr>
      <w:keepNext/>
      <w:spacing w:before="60" w:line="240" w:lineRule="atLeast"/>
      <w:ind w:left="340"/>
    </w:pPr>
    <w:rPr>
      <w:b/>
      <w:sz w:val="16"/>
    </w:rPr>
  </w:style>
  <w:style w:type="paragraph" w:customStyle="1" w:styleId="ENoteTTiSub">
    <w:name w:val="ENoteTTiSub"/>
    <w:aliases w:val="enttis"/>
    <w:basedOn w:val="OPCParaBase"/>
    <w:rsid w:val="007553B5"/>
    <w:pPr>
      <w:keepNext/>
      <w:spacing w:before="60" w:line="240" w:lineRule="atLeast"/>
      <w:ind w:left="340"/>
    </w:pPr>
    <w:rPr>
      <w:sz w:val="16"/>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7553B5"/>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7553B5"/>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553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7553B5"/>
  </w:style>
  <w:style w:type="character" w:customStyle="1" w:styleId="CharAmSchText">
    <w:name w:val="CharAmSchText"/>
    <w:basedOn w:val="OPCCharBase"/>
    <w:uiPriority w:val="1"/>
    <w:qFormat/>
    <w:rsid w:val="007553B5"/>
  </w:style>
  <w:style w:type="character" w:customStyle="1" w:styleId="CharChapNo">
    <w:name w:val="CharChapNo"/>
    <w:basedOn w:val="OPCCharBase"/>
    <w:qFormat/>
    <w:rsid w:val="007553B5"/>
  </w:style>
  <w:style w:type="character" w:customStyle="1" w:styleId="CharChapText">
    <w:name w:val="CharChapText"/>
    <w:basedOn w:val="OPCCharBase"/>
    <w:qFormat/>
    <w:rsid w:val="007553B5"/>
  </w:style>
  <w:style w:type="character" w:customStyle="1" w:styleId="CharDivNo">
    <w:name w:val="CharDivNo"/>
    <w:basedOn w:val="OPCCharBase"/>
    <w:qFormat/>
    <w:rsid w:val="007553B5"/>
  </w:style>
  <w:style w:type="character" w:customStyle="1" w:styleId="CharDivText">
    <w:name w:val="CharDivText"/>
    <w:basedOn w:val="OPCCharBase"/>
    <w:qFormat/>
    <w:rsid w:val="007553B5"/>
  </w:style>
  <w:style w:type="character" w:customStyle="1" w:styleId="CharPartNo">
    <w:name w:val="CharPartNo"/>
    <w:basedOn w:val="OPCCharBase"/>
    <w:qFormat/>
    <w:rsid w:val="007553B5"/>
  </w:style>
  <w:style w:type="character" w:customStyle="1" w:styleId="CharPartText">
    <w:name w:val="CharPartText"/>
    <w:basedOn w:val="OPCCharBase"/>
    <w:qFormat/>
    <w:rsid w:val="007553B5"/>
  </w:style>
  <w:style w:type="character" w:customStyle="1" w:styleId="OPCCharBase">
    <w:name w:val="OPCCharBase"/>
    <w:uiPriority w:val="1"/>
    <w:qFormat/>
    <w:rsid w:val="007553B5"/>
  </w:style>
  <w:style w:type="paragraph" w:customStyle="1" w:styleId="OPCParaBase">
    <w:name w:val="OPCParaBase"/>
    <w:qFormat/>
    <w:rsid w:val="007553B5"/>
    <w:pPr>
      <w:spacing w:line="260" w:lineRule="atLeast"/>
    </w:pPr>
    <w:rPr>
      <w:sz w:val="22"/>
    </w:rPr>
  </w:style>
  <w:style w:type="character" w:customStyle="1" w:styleId="CharSectno">
    <w:name w:val="CharSectno"/>
    <w:basedOn w:val="OPCCharBase"/>
    <w:qFormat/>
    <w:rsid w:val="007553B5"/>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7553B5"/>
    <w:pPr>
      <w:spacing w:line="240" w:lineRule="auto"/>
      <w:ind w:left="1134"/>
    </w:pPr>
    <w:rPr>
      <w:sz w:val="20"/>
    </w:rPr>
  </w:style>
  <w:style w:type="paragraph" w:customStyle="1" w:styleId="ShortT">
    <w:name w:val="ShortT"/>
    <w:basedOn w:val="OPCParaBase"/>
    <w:next w:val="Normal"/>
    <w:qFormat/>
    <w:rsid w:val="007553B5"/>
    <w:pPr>
      <w:spacing w:line="240" w:lineRule="auto"/>
    </w:pPr>
    <w:rPr>
      <w:b/>
      <w:sz w:val="40"/>
    </w:rPr>
  </w:style>
  <w:style w:type="paragraph" w:customStyle="1" w:styleId="Penalty">
    <w:name w:val="Penalty"/>
    <w:basedOn w:val="OPCParaBase"/>
    <w:rsid w:val="007553B5"/>
    <w:pPr>
      <w:tabs>
        <w:tab w:val="left" w:pos="2977"/>
      </w:tabs>
      <w:spacing w:before="180" w:line="240" w:lineRule="auto"/>
      <w:ind w:left="1985" w:hanging="851"/>
    </w:pPr>
  </w:style>
  <w:style w:type="paragraph" w:customStyle="1" w:styleId="ActHead1">
    <w:name w:val="ActHead 1"/>
    <w:aliases w:val="c"/>
    <w:basedOn w:val="OPCParaBase"/>
    <w:next w:val="Normal"/>
    <w:qFormat/>
    <w:rsid w:val="007553B5"/>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7553B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53B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553B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553B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553B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553B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553B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553B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553B5"/>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7553B5"/>
    <w:pPr>
      <w:spacing w:line="240" w:lineRule="auto"/>
    </w:pPr>
    <w:rPr>
      <w:sz w:val="20"/>
    </w:rPr>
  </w:style>
  <w:style w:type="paragraph" w:customStyle="1" w:styleId="ActHead2">
    <w:name w:val="ActHead 2"/>
    <w:aliases w:val="p"/>
    <w:basedOn w:val="OPCParaBase"/>
    <w:next w:val="ActHead3"/>
    <w:qFormat/>
    <w:rsid w:val="007553B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7553B5"/>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link w:val="notetextChar"/>
    <w:rsid w:val="007553B5"/>
    <w:pPr>
      <w:spacing w:before="122" w:line="240" w:lineRule="auto"/>
      <w:ind w:left="1985" w:hanging="851"/>
    </w:pPr>
    <w:rPr>
      <w:sz w:val="18"/>
    </w:rPr>
  </w:style>
  <w:style w:type="character" w:customStyle="1" w:styleId="Heading3Char">
    <w:name w:val="Heading 3 Char"/>
    <w:basedOn w:val="DefaultParagraphFont"/>
    <w:link w:val="Heading3"/>
    <w:rsid w:val="0096000F"/>
    <w:rPr>
      <w:rFonts w:ascii="Arial" w:hAnsi="Arial" w:cs="Arial"/>
      <w:b/>
      <w:bCs/>
      <w:sz w:val="26"/>
      <w:szCs w:val="26"/>
    </w:rPr>
  </w:style>
  <w:style w:type="paragraph" w:customStyle="1" w:styleId="Definition">
    <w:name w:val="Definition"/>
    <w:aliases w:val="dd"/>
    <w:basedOn w:val="OPCParaBase"/>
    <w:rsid w:val="007553B5"/>
    <w:pPr>
      <w:spacing w:before="180" w:line="240" w:lineRule="auto"/>
      <w:ind w:left="1134"/>
    </w:pPr>
  </w:style>
  <w:style w:type="paragraph" w:customStyle="1" w:styleId="ActHead3">
    <w:name w:val="ActHead 3"/>
    <w:aliases w:val="d"/>
    <w:basedOn w:val="OPCParaBase"/>
    <w:next w:val="ActHead4"/>
    <w:qFormat/>
    <w:rsid w:val="007553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53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553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53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53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53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53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53B5"/>
  </w:style>
  <w:style w:type="paragraph" w:customStyle="1" w:styleId="Blocks">
    <w:name w:val="Blocks"/>
    <w:aliases w:val="bb"/>
    <w:basedOn w:val="OPCParaBase"/>
    <w:qFormat/>
    <w:rsid w:val="007553B5"/>
    <w:pPr>
      <w:spacing w:line="240" w:lineRule="auto"/>
    </w:pPr>
    <w:rPr>
      <w:sz w:val="24"/>
    </w:rPr>
  </w:style>
  <w:style w:type="paragraph" w:customStyle="1" w:styleId="BoxText">
    <w:name w:val="BoxText"/>
    <w:aliases w:val="bt"/>
    <w:basedOn w:val="OPCParaBase"/>
    <w:qFormat/>
    <w:rsid w:val="007553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53B5"/>
    <w:rPr>
      <w:b/>
    </w:rPr>
  </w:style>
  <w:style w:type="paragraph" w:customStyle="1" w:styleId="BoxHeadItalic">
    <w:name w:val="BoxHeadItalic"/>
    <w:aliases w:val="bhi"/>
    <w:basedOn w:val="BoxText"/>
    <w:next w:val="BoxStep"/>
    <w:qFormat/>
    <w:rsid w:val="007553B5"/>
    <w:rPr>
      <w:i/>
    </w:rPr>
  </w:style>
  <w:style w:type="paragraph" w:customStyle="1" w:styleId="BoxList">
    <w:name w:val="BoxList"/>
    <w:aliases w:val="bl"/>
    <w:basedOn w:val="BoxText"/>
    <w:qFormat/>
    <w:rsid w:val="007553B5"/>
    <w:pPr>
      <w:ind w:left="1559" w:hanging="425"/>
    </w:pPr>
  </w:style>
  <w:style w:type="paragraph" w:customStyle="1" w:styleId="BoxNote">
    <w:name w:val="BoxNote"/>
    <w:aliases w:val="bn"/>
    <w:basedOn w:val="BoxText"/>
    <w:qFormat/>
    <w:rsid w:val="007553B5"/>
    <w:pPr>
      <w:tabs>
        <w:tab w:val="left" w:pos="1985"/>
      </w:tabs>
      <w:spacing w:before="122" w:line="198" w:lineRule="exact"/>
      <w:ind w:left="2948" w:hanging="1814"/>
    </w:pPr>
    <w:rPr>
      <w:sz w:val="18"/>
    </w:rPr>
  </w:style>
  <w:style w:type="paragraph" w:customStyle="1" w:styleId="BoxPara">
    <w:name w:val="BoxPara"/>
    <w:aliases w:val="bp"/>
    <w:basedOn w:val="BoxText"/>
    <w:qFormat/>
    <w:rsid w:val="007553B5"/>
    <w:pPr>
      <w:tabs>
        <w:tab w:val="right" w:pos="2268"/>
      </w:tabs>
      <w:ind w:left="2552" w:hanging="1418"/>
    </w:pPr>
  </w:style>
  <w:style w:type="paragraph" w:customStyle="1" w:styleId="BoxStep">
    <w:name w:val="BoxStep"/>
    <w:aliases w:val="bs"/>
    <w:basedOn w:val="BoxText"/>
    <w:qFormat/>
    <w:rsid w:val="007553B5"/>
    <w:pPr>
      <w:ind w:left="1985" w:hanging="851"/>
    </w:pPr>
  </w:style>
  <w:style w:type="character" w:customStyle="1" w:styleId="CharAmPartNo">
    <w:name w:val="CharAmPartNo"/>
    <w:basedOn w:val="OPCCharBase"/>
    <w:uiPriority w:val="1"/>
    <w:qFormat/>
    <w:rsid w:val="007553B5"/>
  </w:style>
  <w:style w:type="character" w:customStyle="1" w:styleId="CharAmPartText">
    <w:name w:val="CharAmPartText"/>
    <w:basedOn w:val="OPCCharBase"/>
    <w:uiPriority w:val="1"/>
    <w:qFormat/>
    <w:rsid w:val="007553B5"/>
  </w:style>
  <w:style w:type="character" w:customStyle="1" w:styleId="CharBoldItalic">
    <w:name w:val="CharBoldItalic"/>
    <w:basedOn w:val="OPCCharBase"/>
    <w:uiPriority w:val="1"/>
    <w:qFormat/>
    <w:rsid w:val="007553B5"/>
    <w:rPr>
      <w:b/>
      <w:i/>
    </w:rPr>
  </w:style>
  <w:style w:type="character" w:customStyle="1" w:styleId="CharItalic">
    <w:name w:val="CharItalic"/>
    <w:basedOn w:val="OPCCharBase"/>
    <w:uiPriority w:val="1"/>
    <w:qFormat/>
    <w:rsid w:val="007553B5"/>
    <w:rPr>
      <w:i/>
    </w:rPr>
  </w:style>
  <w:style w:type="character" w:customStyle="1" w:styleId="CharSubdNo">
    <w:name w:val="CharSubdNo"/>
    <w:basedOn w:val="OPCCharBase"/>
    <w:uiPriority w:val="1"/>
    <w:qFormat/>
    <w:rsid w:val="007553B5"/>
  </w:style>
  <w:style w:type="character" w:customStyle="1" w:styleId="CharSubdText">
    <w:name w:val="CharSubdText"/>
    <w:basedOn w:val="OPCCharBase"/>
    <w:uiPriority w:val="1"/>
    <w:qFormat/>
    <w:rsid w:val="007553B5"/>
  </w:style>
  <w:style w:type="paragraph" w:customStyle="1" w:styleId="CTA--">
    <w:name w:val="CTA --"/>
    <w:basedOn w:val="OPCParaBase"/>
    <w:next w:val="Normal"/>
    <w:rsid w:val="007553B5"/>
    <w:pPr>
      <w:spacing w:before="60" w:line="240" w:lineRule="atLeast"/>
      <w:ind w:left="142" w:hanging="142"/>
    </w:pPr>
    <w:rPr>
      <w:sz w:val="20"/>
    </w:rPr>
  </w:style>
  <w:style w:type="paragraph" w:customStyle="1" w:styleId="CTA-">
    <w:name w:val="CTA -"/>
    <w:basedOn w:val="OPCParaBase"/>
    <w:rsid w:val="007553B5"/>
    <w:pPr>
      <w:spacing w:before="60" w:line="240" w:lineRule="atLeast"/>
      <w:ind w:left="85" w:hanging="85"/>
    </w:pPr>
    <w:rPr>
      <w:sz w:val="20"/>
    </w:rPr>
  </w:style>
  <w:style w:type="paragraph" w:customStyle="1" w:styleId="CTA---">
    <w:name w:val="CTA ---"/>
    <w:basedOn w:val="OPCParaBase"/>
    <w:next w:val="Normal"/>
    <w:rsid w:val="007553B5"/>
    <w:pPr>
      <w:spacing w:before="60" w:line="240" w:lineRule="atLeast"/>
      <w:ind w:left="198" w:hanging="198"/>
    </w:pPr>
    <w:rPr>
      <w:sz w:val="20"/>
    </w:rPr>
  </w:style>
  <w:style w:type="paragraph" w:customStyle="1" w:styleId="CTA----">
    <w:name w:val="CTA ----"/>
    <w:basedOn w:val="OPCParaBase"/>
    <w:next w:val="Normal"/>
    <w:rsid w:val="007553B5"/>
    <w:pPr>
      <w:spacing w:before="60" w:line="240" w:lineRule="atLeast"/>
      <w:ind w:left="255" w:hanging="255"/>
    </w:pPr>
    <w:rPr>
      <w:sz w:val="20"/>
    </w:rPr>
  </w:style>
  <w:style w:type="paragraph" w:customStyle="1" w:styleId="CTA1a">
    <w:name w:val="CTA 1(a)"/>
    <w:basedOn w:val="OPCParaBase"/>
    <w:rsid w:val="007553B5"/>
    <w:pPr>
      <w:tabs>
        <w:tab w:val="right" w:pos="414"/>
      </w:tabs>
      <w:spacing w:before="40" w:line="240" w:lineRule="atLeast"/>
      <w:ind w:left="675" w:hanging="675"/>
    </w:pPr>
    <w:rPr>
      <w:sz w:val="20"/>
    </w:rPr>
  </w:style>
  <w:style w:type="paragraph" w:customStyle="1" w:styleId="CTA1ai">
    <w:name w:val="CTA 1(a)(i)"/>
    <w:basedOn w:val="OPCParaBase"/>
    <w:rsid w:val="007553B5"/>
    <w:pPr>
      <w:tabs>
        <w:tab w:val="right" w:pos="1004"/>
      </w:tabs>
      <w:spacing w:before="40" w:line="240" w:lineRule="atLeast"/>
      <w:ind w:left="1253" w:hanging="1253"/>
    </w:pPr>
    <w:rPr>
      <w:sz w:val="20"/>
    </w:rPr>
  </w:style>
  <w:style w:type="paragraph" w:customStyle="1" w:styleId="CTA2a">
    <w:name w:val="CTA 2(a)"/>
    <w:basedOn w:val="OPCParaBase"/>
    <w:rsid w:val="007553B5"/>
    <w:pPr>
      <w:tabs>
        <w:tab w:val="right" w:pos="482"/>
      </w:tabs>
      <w:spacing w:before="40" w:line="240" w:lineRule="atLeast"/>
      <w:ind w:left="748" w:hanging="748"/>
    </w:pPr>
    <w:rPr>
      <w:sz w:val="20"/>
    </w:rPr>
  </w:style>
  <w:style w:type="paragraph" w:customStyle="1" w:styleId="CTA2ai">
    <w:name w:val="CTA 2(a)(i)"/>
    <w:basedOn w:val="OPCParaBase"/>
    <w:rsid w:val="007553B5"/>
    <w:pPr>
      <w:tabs>
        <w:tab w:val="right" w:pos="1089"/>
      </w:tabs>
      <w:spacing w:before="40" w:line="240" w:lineRule="atLeast"/>
      <w:ind w:left="1327" w:hanging="1327"/>
    </w:pPr>
    <w:rPr>
      <w:sz w:val="20"/>
    </w:rPr>
  </w:style>
  <w:style w:type="paragraph" w:customStyle="1" w:styleId="CTA3a">
    <w:name w:val="CTA 3(a)"/>
    <w:basedOn w:val="OPCParaBase"/>
    <w:rsid w:val="007553B5"/>
    <w:pPr>
      <w:tabs>
        <w:tab w:val="right" w:pos="556"/>
      </w:tabs>
      <w:spacing w:before="40" w:line="240" w:lineRule="atLeast"/>
      <w:ind w:left="805" w:hanging="805"/>
    </w:pPr>
    <w:rPr>
      <w:sz w:val="20"/>
    </w:rPr>
  </w:style>
  <w:style w:type="paragraph" w:customStyle="1" w:styleId="CTA3ai">
    <w:name w:val="CTA 3(a)(i)"/>
    <w:basedOn w:val="OPCParaBase"/>
    <w:rsid w:val="007553B5"/>
    <w:pPr>
      <w:tabs>
        <w:tab w:val="right" w:pos="1140"/>
      </w:tabs>
      <w:spacing w:before="40" w:line="240" w:lineRule="atLeast"/>
      <w:ind w:left="1361" w:hanging="1361"/>
    </w:pPr>
    <w:rPr>
      <w:sz w:val="20"/>
    </w:rPr>
  </w:style>
  <w:style w:type="paragraph" w:customStyle="1" w:styleId="CTA4a">
    <w:name w:val="CTA 4(a)"/>
    <w:basedOn w:val="OPCParaBase"/>
    <w:rsid w:val="007553B5"/>
    <w:pPr>
      <w:tabs>
        <w:tab w:val="right" w:pos="624"/>
      </w:tabs>
      <w:spacing w:before="40" w:line="240" w:lineRule="atLeast"/>
      <w:ind w:left="873" w:hanging="873"/>
    </w:pPr>
    <w:rPr>
      <w:sz w:val="20"/>
    </w:rPr>
  </w:style>
  <w:style w:type="paragraph" w:customStyle="1" w:styleId="CTA4ai">
    <w:name w:val="CTA 4(a)(i)"/>
    <w:basedOn w:val="OPCParaBase"/>
    <w:rsid w:val="007553B5"/>
    <w:pPr>
      <w:tabs>
        <w:tab w:val="right" w:pos="1213"/>
      </w:tabs>
      <w:spacing w:before="40" w:line="240" w:lineRule="atLeast"/>
      <w:ind w:left="1452" w:hanging="1452"/>
    </w:pPr>
    <w:rPr>
      <w:sz w:val="20"/>
    </w:rPr>
  </w:style>
  <w:style w:type="paragraph" w:customStyle="1" w:styleId="CTACAPS">
    <w:name w:val="CTA CAPS"/>
    <w:basedOn w:val="OPCParaBase"/>
    <w:rsid w:val="007553B5"/>
    <w:pPr>
      <w:spacing w:before="60" w:line="240" w:lineRule="atLeast"/>
    </w:pPr>
    <w:rPr>
      <w:sz w:val="20"/>
    </w:rPr>
  </w:style>
  <w:style w:type="paragraph" w:customStyle="1" w:styleId="CTAright">
    <w:name w:val="CTA right"/>
    <w:basedOn w:val="OPCParaBase"/>
    <w:rsid w:val="007553B5"/>
    <w:pPr>
      <w:spacing w:before="60" w:line="240" w:lineRule="auto"/>
      <w:jc w:val="right"/>
    </w:pPr>
    <w:rPr>
      <w:sz w:val="20"/>
    </w:rPr>
  </w:style>
  <w:style w:type="paragraph" w:customStyle="1" w:styleId="subsection">
    <w:name w:val="subsection"/>
    <w:aliases w:val="ss"/>
    <w:basedOn w:val="OPCParaBase"/>
    <w:link w:val="subsectionChar"/>
    <w:rsid w:val="007553B5"/>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7553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53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53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53B5"/>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7553B5"/>
    <w:rPr>
      <w:sz w:val="16"/>
    </w:rPr>
  </w:style>
  <w:style w:type="paragraph" w:customStyle="1" w:styleId="House">
    <w:name w:val="House"/>
    <w:basedOn w:val="OPCParaBase"/>
    <w:rsid w:val="007553B5"/>
    <w:pPr>
      <w:spacing w:line="240" w:lineRule="auto"/>
    </w:pPr>
    <w:rPr>
      <w:sz w:val="28"/>
    </w:rPr>
  </w:style>
  <w:style w:type="paragraph" w:customStyle="1" w:styleId="Item">
    <w:name w:val="Item"/>
    <w:aliases w:val="i"/>
    <w:basedOn w:val="OPCParaBase"/>
    <w:next w:val="ItemHead"/>
    <w:rsid w:val="007553B5"/>
    <w:pPr>
      <w:keepLines/>
      <w:spacing w:before="80" w:line="240" w:lineRule="auto"/>
      <w:ind w:left="709"/>
    </w:pPr>
  </w:style>
  <w:style w:type="paragraph" w:customStyle="1" w:styleId="ItemHead">
    <w:name w:val="ItemHead"/>
    <w:aliases w:val="ih"/>
    <w:basedOn w:val="OPCParaBase"/>
    <w:next w:val="Item"/>
    <w:rsid w:val="007553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553B5"/>
    <w:pPr>
      <w:spacing w:line="240" w:lineRule="auto"/>
    </w:pPr>
    <w:rPr>
      <w:b/>
      <w:sz w:val="32"/>
    </w:rPr>
  </w:style>
  <w:style w:type="paragraph" w:customStyle="1" w:styleId="notedraft">
    <w:name w:val="note(draft)"/>
    <w:aliases w:val="nd"/>
    <w:basedOn w:val="OPCParaBase"/>
    <w:rsid w:val="007553B5"/>
    <w:pPr>
      <w:spacing w:before="240" w:line="240" w:lineRule="auto"/>
      <w:ind w:left="284" w:hanging="284"/>
    </w:pPr>
    <w:rPr>
      <w:i/>
      <w:sz w:val="24"/>
    </w:rPr>
  </w:style>
  <w:style w:type="paragraph" w:customStyle="1" w:styleId="notemargin">
    <w:name w:val="note(margin)"/>
    <w:aliases w:val="nm"/>
    <w:basedOn w:val="OPCParaBase"/>
    <w:rsid w:val="007553B5"/>
    <w:pPr>
      <w:tabs>
        <w:tab w:val="left" w:pos="709"/>
      </w:tabs>
      <w:spacing w:before="122" w:line="198" w:lineRule="exact"/>
      <w:ind w:left="709" w:hanging="709"/>
    </w:pPr>
    <w:rPr>
      <w:sz w:val="18"/>
    </w:rPr>
  </w:style>
  <w:style w:type="paragraph" w:customStyle="1" w:styleId="noteToPara">
    <w:name w:val="noteToPara"/>
    <w:aliases w:val="ntp"/>
    <w:basedOn w:val="OPCParaBase"/>
    <w:rsid w:val="007553B5"/>
    <w:pPr>
      <w:spacing w:before="122" w:line="198" w:lineRule="exact"/>
      <w:ind w:left="2353" w:hanging="709"/>
    </w:pPr>
    <w:rPr>
      <w:sz w:val="18"/>
    </w:rPr>
  </w:style>
  <w:style w:type="paragraph" w:customStyle="1" w:styleId="noteParlAmend">
    <w:name w:val="note(ParlAmend)"/>
    <w:aliases w:val="npp"/>
    <w:basedOn w:val="OPCParaBase"/>
    <w:next w:val="ParlAmend"/>
    <w:rsid w:val="007553B5"/>
    <w:pPr>
      <w:spacing w:line="240" w:lineRule="auto"/>
      <w:jc w:val="right"/>
    </w:pPr>
    <w:rPr>
      <w:rFonts w:ascii="Arial" w:hAnsi="Arial"/>
      <w:b/>
      <w:i/>
    </w:rPr>
  </w:style>
  <w:style w:type="paragraph" w:customStyle="1" w:styleId="Page1">
    <w:name w:val="Page1"/>
    <w:basedOn w:val="OPCParaBase"/>
    <w:rsid w:val="007553B5"/>
    <w:pPr>
      <w:spacing w:before="5600" w:line="240" w:lineRule="auto"/>
    </w:pPr>
    <w:rPr>
      <w:b/>
      <w:sz w:val="32"/>
    </w:rPr>
  </w:style>
  <w:style w:type="paragraph" w:customStyle="1" w:styleId="paragraphsub">
    <w:name w:val="paragraph(sub)"/>
    <w:aliases w:val="aa"/>
    <w:basedOn w:val="OPCParaBase"/>
    <w:rsid w:val="007553B5"/>
    <w:pPr>
      <w:tabs>
        <w:tab w:val="right" w:pos="1985"/>
      </w:tabs>
      <w:spacing w:before="40" w:line="240" w:lineRule="auto"/>
      <w:ind w:left="2098" w:hanging="2098"/>
    </w:pPr>
  </w:style>
  <w:style w:type="paragraph" w:customStyle="1" w:styleId="paragraphsub-sub">
    <w:name w:val="paragraph(sub-sub)"/>
    <w:aliases w:val="aaa"/>
    <w:basedOn w:val="OPCParaBase"/>
    <w:rsid w:val="007553B5"/>
    <w:pPr>
      <w:tabs>
        <w:tab w:val="right" w:pos="2722"/>
      </w:tabs>
      <w:spacing w:before="40" w:line="240" w:lineRule="auto"/>
      <w:ind w:left="2835" w:hanging="2835"/>
    </w:pPr>
  </w:style>
  <w:style w:type="paragraph" w:customStyle="1" w:styleId="paragraph">
    <w:name w:val="paragraph"/>
    <w:aliases w:val="a"/>
    <w:basedOn w:val="OPCParaBase"/>
    <w:rsid w:val="007553B5"/>
    <w:pPr>
      <w:tabs>
        <w:tab w:val="right" w:pos="1531"/>
      </w:tabs>
      <w:spacing w:before="40" w:line="240" w:lineRule="auto"/>
      <w:ind w:left="1644" w:hanging="1644"/>
    </w:pPr>
  </w:style>
  <w:style w:type="paragraph" w:customStyle="1" w:styleId="ParlAmend">
    <w:name w:val="ParlAmend"/>
    <w:aliases w:val="pp"/>
    <w:basedOn w:val="OPCParaBase"/>
    <w:rsid w:val="007553B5"/>
    <w:pPr>
      <w:spacing w:before="240" w:line="240" w:lineRule="atLeast"/>
      <w:ind w:hanging="567"/>
    </w:pPr>
    <w:rPr>
      <w:sz w:val="24"/>
    </w:rPr>
  </w:style>
  <w:style w:type="paragraph" w:customStyle="1" w:styleId="Portfolio">
    <w:name w:val="Portfolio"/>
    <w:basedOn w:val="OPCParaBase"/>
    <w:rsid w:val="007553B5"/>
    <w:pPr>
      <w:spacing w:line="240" w:lineRule="auto"/>
    </w:pPr>
    <w:rPr>
      <w:i/>
      <w:sz w:val="20"/>
    </w:rPr>
  </w:style>
  <w:style w:type="paragraph" w:customStyle="1" w:styleId="Preamble">
    <w:name w:val="Preamble"/>
    <w:basedOn w:val="OPCParaBase"/>
    <w:next w:val="Normal"/>
    <w:rsid w:val="007553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53B5"/>
    <w:pPr>
      <w:spacing w:line="240" w:lineRule="auto"/>
    </w:pPr>
    <w:rPr>
      <w:i/>
      <w:sz w:val="20"/>
    </w:rPr>
  </w:style>
  <w:style w:type="paragraph" w:customStyle="1" w:styleId="Session">
    <w:name w:val="Session"/>
    <w:basedOn w:val="OPCParaBase"/>
    <w:rsid w:val="007553B5"/>
    <w:pPr>
      <w:spacing w:line="240" w:lineRule="auto"/>
    </w:pPr>
    <w:rPr>
      <w:sz w:val="28"/>
    </w:rPr>
  </w:style>
  <w:style w:type="paragraph" w:customStyle="1" w:styleId="Sponsor">
    <w:name w:val="Sponsor"/>
    <w:basedOn w:val="OPCParaBase"/>
    <w:rsid w:val="007553B5"/>
    <w:pPr>
      <w:spacing w:line="240" w:lineRule="auto"/>
    </w:pPr>
    <w:rPr>
      <w:i/>
    </w:rPr>
  </w:style>
  <w:style w:type="paragraph" w:customStyle="1" w:styleId="Subitem">
    <w:name w:val="Subitem"/>
    <w:aliases w:val="iss"/>
    <w:basedOn w:val="OPCParaBase"/>
    <w:rsid w:val="007553B5"/>
    <w:pPr>
      <w:spacing w:before="180" w:line="240" w:lineRule="auto"/>
      <w:ind w:left="709" w:hanging="709"/>
    </w:pPr>
  </w:style>
  <w:style w:type="paragraph" w:customStyle="1" w:styleId="SubitemHead">
    <w:name w:val="SubitemHead"/>
    <w:aliases w:val="issh"/>
    <w:basedOn w:val="OPCParaBase"/>
    <w:rsid w:val="007553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53B5"/>
    <w:pPr>
      <w:spacing w:before="40" w:line="240" w:lineRule="auto"/>
      <w:ind w:left="1134"/>
    </w:pPr>
  </w:style>
  <w:style w:type="paragraph" w:customStyle="1" w:styleId="SubsectionHead">
    <w:name w:val="SubsectionHead"/>
    <w:aliases w:val="ssh"/>
    <w:basedOn w:val="OPCParaBase"/>
    <w:next w:val="subsection"/>
    <w:rsid w:val="007553B5"/>
    <w:pPr>
      <w:keepNext/>
      <w:keepLines/>
      <w:spacing w:before="240" w:line="240" w:lineRule="auto"/>
      <w:ind w:left="1134"/>
    </w:pPr>
    <w:rPr>
      <w:i/>
    </w:rPr>
  </w:style>
  <w:style w:type="paragraph" w:customStyle="1" w:styleId="Tablea">
    <w:name w:val="Table(a)"/>
    <w:aliases w:val="ta"/>
    <w:basedOn w:val="OPCParaBase"/>
    <w:rsid w:val="007553B5"/>
    <w:pPr>
      <w:spacing w:before="60" w:line="240" w:lineRule="auto"/>
      <w:ind w:left="284" w:hanging="284"/>
    </w:pPr>
    <w:rPr>
      <w:sz w:val="20"/>
    </w:rPr>
  </w:style>
  <w:style w:type="paragraph" w:customStyle="1" w:styleId="TableAA">
    <w:name w:val="Table(AA)"/>
    <w:aliases w:val="taaa"/>
    <w:basedOn w:val="OPCParaBase"/>
    <w:rsid w:val="007553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553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553B5"/>
    <w:pPr>
      <w:spacing w:before="60" w:line="240" w:lineRule="atLeast"/>
    </w:pPr>
    <w:rPr>
      <w:sz w:val="20"/>
    </w:rPr>
  </w:style>
  <w:style w:type="paragraph" w:customStyle="1" w:styleId="TLPBoxTextnote">
    <w:name w:val="TLPBoxText(note"/>
    <w:aliases w:val="right)"/>
    <w:basedOn w:val="OPCParaBase"/>
    <w:rsid w:val="007553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53B5"/>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53B5"/>
    <w:pPr>
      <w:spacing w:before="122" w:line="198" w:lineRule="exact"/>
      <w:ind w:left="1985" w:hanging="851"/>
      <w:jc w:val="right"/>
    </w:pPr>
    <w:rPr>
      <w:sz w:val="18"/>
    </w:rPr>
  </w:style>
  <w:style w:type="paragraph" w:customStyle="1" w:styleId="TLPTableBullet">
    <w:name w:val="TLPTableBullet"/>
    <w:aliases w:val="ttb"/>
    <w:basedOn w:val="OPCParaBase"/>
    <w:rsid w:val="007553B5"/>
    <w:pPr>
      <w:spacing w:line="240" w:lineRule="exact"/>
      <w:ind w:left="284" w:hanging="284"/>
    </w:pPr>
    <w:rPr>
      <w:sz w:val="20"/>
    </w:rPr>
  </w:style>
  <w:style w:type="paragraph" w:customStyle="1" w:styleId="TofSectsGroupHeading">
    <w:name w:val="TofSects(GroupHeading)"/>
    <w:basedOn w:val="OPCParaBase"/>
    <w:next w:val="TofSectsSection"/>
    <w:rsid w:val="007553B5"/>
    <w:pPr>
      <w:keepLines/>
      <w:spacing w:before="240" w:after="120" w:line="240" w:lineRule="auto"/>
      <w:ind w:left="794"/>
    </w:pPr>
    <w:rPr>
      <w:b/>
      <w:kern w:val="28"/>
      <w:sz w:val="20"/>
    </w:rPr>
  </w:style>
  <w:style w:type="paragraph" w:customStyle="1" w:styleId="TofSectsHeading">
    <w:name w:val="TofSects(Heading)"/>
    <w:basedOn w:val="OPCParaBase"/>
    <w:rsid w:val="007553B5"/>
    <w:pPr>
      <w:spacing w:before="240" w:after="120" w:line="240" w:lineRule="auto"/>
    </w:pPr>
    <w:rPr>
      <w:b/>
      <w:sz w:val="24"/>
    </w:rPr>
  </w:style>
  <w:style w:type="paragraph" w:customStyle="1" w:styleId="TofSectsSection">
    <w:name w:val="TofSects(Section)"/>
    <w:basedOn w:val="OPCParaBase"/>
    <w:rsid w:val="007553B5"/>
    <w:pPr>
      <w:keepLines/>
      <w:spacing w:before="40" w:line="240" w:lineRule="auto"/>
      <w:ind w:left="1588" w:hanging="794"/>
    </w:pPr>
    <w:rPr>
      <w:kern w:val="28"/>
      <w:sz w:val="18"/>
    </w:rPr>
  </w:style>
  <w:style w:type="paragraph" w:customStyle="1" w:styleId="TofSectsSubdiv">
    <w:name w:val="TofSects(Subdiv)"/>
    <w:basedOn w:val="OPCParaBase"/>
    <w:rsid w:val="007553B5"/>
    <w:pPr>
      <w:keepLines/>
      <w:spacing w:before="80" w:line="240" w:lineRule="auto"/>
      <w:ind w:left="1588" w:hanging="794"/>
    </w:pPr>
    <w:rPr>
      <w:kern w:val="28"/>
    </w:rPr>
  </w:style>
  <w:style w:type="paragraph" w:customStyle="1" w:styleId="WRStyle">
    <w:name w:val="WR Style"/>
    <w:aliases w:val="WR"/>
    <w:basedOn w:val="OPCParaBase"/>
    <w:rsid w:val="007553B5"/>
    <w:pPr>
      <w:spacing w:before="240" w:line="240" w:lineRule="auto"/>
      <w:ind w:left="284" w:hanging="284"/>
    </w:pPr>
    <w:rPr>
      <w:b/>
      <w:i/>
      <w:kern w:val="28"/>
      <w:sz w:val="24"/>
    </w:rPr>
  </w:style>
  <w:style w:type="paragraph" w:customStyle="1" w:styleId="notepara">
    <w:name w:val="note(para)"/>
    <w:aliases w:val="na"/>
    <w:basedOn w:val="OPCParaBase"/>
    <w:rsid w:val="007553B5"/>
    <w:pPr>
      <w:spacing w:before="40" w:line="198" w:lineRule="exact"/>
      <w:ind w:left="2354" w:hanging="369"/>
    </w:pPr>
    <w:rPr>
      <w:sz w:val="18"/>
    </w:rPr>
  </w:style>
  <w:style w:type="character" w:customStyle="1" w:styleId="FooterChar">
    <w:name w:val="Footer Char"/>
    <w:basedOn w:val="DefaultParagraphFont"/>
    <w:link w:val="Footer"/>
    <w:rsid w:val="007553B5"/>
    <w:rPr>
      <w:sz w:val="22"/>
      <w:szCs w:val="24"/>
    </w:rPr>
  </w:style>
  <w:style w:type="table" w:customStyle="1" w:styleId="CFlag">
    <w:name w:val="CFlag"/>
    <w:basedOn w:val="TableNormal"/>
    <w:uiPriority w:val="99"/>
    <w:rsid w:val="007553B5"/>
    <w:tblPr/>
  </w:style>
  <w:style w:type="character" w:customStyle="1" w:styleId="BalloonTextChar">
    <w:name w:val="Balloon Text Char"/>
    <w:basedOn w:val="DefaultParagraphFont"/>
    <w:link w:val="BalloonText"/>
    <w:uiPriority w:val="99"/>
    <w:rsid w:val="007553B5"/>
    <w:rPr>
      <w:rFonts w:ascii="Tahoma" w:eastAsiaTheme="minorHAnsi" w:hAnsi="Tahoma" w:cs="Tahoma"/>
      <w:sz w:val="16"/>
      <w:szCs w:val="16"/>
      <w:lang w:eastAsia="en-US"/>
    </w:rPr>
  </w:style>
  <w:style w:type="paragraph" w:customStyle="1" w:styleId="InstNo">
    <w:name w:val="InstNo"/>
    <w:basedOn w:val="OPCParaBase"/>
    <w:next w:val="Normal"/>
    <w:rsid w:val="007553B5"/>
    <w:rPr>
      <w:b/>
      <w:sz w:val="28"/>
      <w:szCs w:val="32"/>
    </w:rPr>
  </w:style>
  <w:style w:type="paragraph" w:customStyle="1" w:styleId="LegislationMadeUnder">
    <w:name w:val="LegislationMadeUnder"/>
    <w:basedOn w:val="OPCParaBase"/>
    <w:next w:val="Normal"/>
    <w:rsid w:val="007553B5"/>
    <w:rPr>
      <w:i/>
      <w:sz w:val="32"/>
      <w:szCs w:val="32"/>
    </w:rPr>
  </w:style>
  <w:style w:type="paragraph" w:customStyle="1" w:styleId="ActHead10">
    <w:name w:val="ActHead 10"/>
    <w:aliases w:val="sp"/>
    <w:basedOn w:val="OPCParaBase"/>
    <w:next w:val="ActHead3"/>
    <w:rsid w:val="007553B5"/>
    <w:pPr>
      <w:keepNext/>
      <w:spacing w:before="280" w:line="240" w:lineRule="auto"/>
      <w:outlineLvl w:val="1"/>
    </w:pPr>
    <w:rPr>
      <w:b/>
      <w:sz w:val="32"/>
      <w:szCs w:val="30"/>
    </w:rPr>
  </w:style>
  <w:style w:type="paragraph" w:customStyle="1" w:styleId="SignCoverPageEnd">
    <w:name w:val="SignCoverPageEnd"/>
    <w:basedOn w:val="OPCParaBase"/>
    <w:next w:val="Normal"/>
    <w:rsid w:val="007553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53B5"/>
    <w:pPr>
      <w:pBdr>
        <w:top w:val="single" w:sz="4" w:space="1" w:color="auto"/>
      </w:pBdr>
      <w:spacing w:before="360"/>
      <w:ind w:right="397"/>
      <w:jc w:val="both"/>
    </w:pPr>
  </w:style>
  <w:style w:type="paragraph" w:customStyle="1" w:styleId="NotesHeading1">
    <w:name w:val="NotesHeading 1"/>
    <w:basedOn w:val="OPCParaBase"/>
    <w:next w:val="Normal"/>
    <w:rsid w:val="007553B5"/>
    <w:pPr>
      <w:outlineLvl w:val="0"/>
    </w:pPr>
    <w:rPr>
      <w:b/>
      <w:sz w:val="28"/>
      <w:szCs w:val="28"/>
    </w:rPr>
  </w:style>
  <w:style w:type="paragraph" w:customStyle="1" w:styleId="NotesHeading2">
    <w:name w:val="NotesHeading 2"/>
    <w:basedOn w:val="OPCParaBase"/>
    <w:next w:val="Normal"/>
    <w:rsid w:val="007553B5"/>
    <w:rPr>
      <w:b/>
      <w:sz w:val="28"/>
      <w:szCs w:val="28"/>
    </w:rPr>
  </w:style>
  <w:style w:type="paragraph" w:customStyle="1" w:styleId="CompiledActNo">
    <w:name w:val="CompiledActNo"/>
    <w:basedOn w:val="OPCParaBase"/>
    <w:next w:val="Normal"/>
    <w:rsid w:val="007553B5"/>
    <w:rPr>
      <w:b/>
      <w:sz w:val="24"/>
      <w:szCs w:val="24"/>
    </w:rPr>
  </w:style>
  <w:style w:type="paragraph" w:customStyle="1" w:styleId="ENotesText">
    <w:name w:val="ENotesText"/>
    <w:aliases w:val="Ent"/>
    <w:basedOn w:val="OPCParaBase"/>
    <w:next w:val="Normal"/>
    <w:rsid w:val="007553B5"/>
    <w:pPr>
      <w:spacing w:before="120"/>
    </w:pPr>
  </w:style>
  <w:style w:type="paragraph" w:customStyle="1" w:styleId="CompiledMadeUnder">
    <w:name w:val="CompiledMadeUnder"/>
    <w:basedOn w:val="OPCParaBase"/>
    <w:next w:val="Normal"/>
    <w:rsid w:val="007553B5"/>
    <w:rPr>
      <w:i/>
      <w:sz w:val="24"/>
      <w:szCs w:val="24"/>
    </w:rPr>
  </w:style>
  <w:style w:type="paragraph" w:customStyle="1" w:styleId="Paragraphsub-sub-sub">
    <w:name w:val="Paragraph(sub-sub-sub)"/>
    <w:aliases w:val="aaaa"/>
    <w:basedOn w:val="OPCParaBase"/>
    <w:rsid w:val="007553B5"/>
    <w:pPr>
      <w:tabs>
        <w:tab w:val="right" w:pos="3402"/>
      </w:tabs>
      <w:spacing w:before="40" w:line="240" w:lineRule="auto"/>
      <w:ind w:left="3402" w:hanging="3402"/>
    </w:pPr>
  </w:style>
  <w:style w:type="paragraph" w:customStyle="1" w:styleId="TableTextEndNotes">
    <w:name w:val="TableTextEndNotes"/>
    <w:aliases w:val="Tten"/>
    <w:basedOn w:val="Normal"/>
    <w:rsid w:val="007553B5"/>
    <w:pPr>
      <w:spacing w:before="60" w:line="240" w:lineRule="auto"/>
    </w:pPr>
    <w:rPr>
      <w:rFonts w:cs="Arial"/>
      <w:sz w:val="20"/>
      <w:szCs w:val="22"/>
    </w:rPr>
  </w:style>
  <w:style w:type="paragraph" w:customStyle="1" w:styleId="TableHeading">
    <w:name w:val="TableHeading"/>
    <w:aliases w:val="th"/>
    <w:basedOn w:val="OPCParaBase"/>
    <w:next w:val="Tabletext"/>
    <w:rsid w:val="007553B5"/>
    <w:pPr>
      <w:keepNext/>
      <w:spacing w:before="60" w:line="240" w:lineRule="atLeast"/>
    </w:pPr>
    <w:rPr>
      <w:b/>
      <w:sz w:val="20"/>
    </w:rPr>
  </w:style>
  <w:style w:type="paragraph" w:customStyle="1" w:styleId="NoteToSubpara">
    <w:name w:val="NoteToSubpara"/>
    <w:aliases w:val="nts"/>
    <w:basedOn w:val="OPCParaBase"/>
    <w:rsid w:val="007553B5"/>
    <w:pPr>
      <w:spacing w:before="40" w:line="198" w:lineRule="exact"/>
      <w:ind w:left="2835" w:hanging="709"/>
    </w:pPr>
    <w:rPr>
      <w:sz w:val="18"/>
    </w:rPr>
  </w:style>
  <w:style w:type="paragraph" w:customStyle="1" w:styleId="ENoteTableHeading">
    <w:name w:val="ENoteTableHeading"/>
    <w:aliases w:val="enth"/>
    <w:basedOn w:val="OPCParaBase"/>
    <w:rsid w:val="007553B5"/>
    <w:pPr>
      <w:keepNext/>
      <w:spacing w:before="60" w:line="240" w:lineRule="atLeast"/>
    </w:pPr>
    <w:rPr>
      <w:rFonts w:ascii="Arial" w:hAnsi="Arial"/>
      <w:b/>
      <w:sz w:val="16"/>
    </w:rPr>
  </w:style>
  <w:style w:type="paragraph" w:customStyle="1" w:styleId="ENoteTableText">
    <w:name w:val="ENoteTableText"/>
    <w:aliases w:val="entt"/>
    <w:basedOn w:val="OPCParaBase"/>
    <w:rsid w:val="007553B5"/>
    <w:pPr>
      <w:spacing w:before="60" w:line="240" w:lineRule="atLeast"/>
    </w:pPr>
    <w:rPr>
      <w:sz w:val="16"/>
    </w:rPr>
  </w:style>
  <w:style w:type="paragraph" w:customStyle="1" w:styleId="ENoteTTi">
    <w:name w:val="ENoteTTi"/>
    <w:aliases w:val="entti"/>
    <w:basedOn w:val="OPCParaBase"/>
    <w:rsid w:val="007553B5"/>
    <w:pPr>
      <w:keepNext/>
      <w:spacing w:before="60" w:line="240" w:lineRule="atLeast"/>
      <w:ind w:left="170"/>
    </w:pPr>
    <w:rPr>
      <w:sz w:val="16"/>
    </w:rPr>
  </w:style>
  <w:style w:type="paragraph" w:customStyle="1" w:styleId="ENoteTTIndentHeading">
    <w:name w:val="ENoteTTIndentHeading"/>
    <w:aliases w:val="enTTHi"/>
    <w:basedOn w:val="OPCParaBase"/>
    <w:rsid w:val="007553B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553B5"/>
    <w:pPr>
      <w:spacing w:before="120"/>
      <w:outlineLvl w:val="1"/>
    </w:pPr>
    <w:rPr>
      <w:b/>
      <w:sz w:val="28"/>
      <w:szCs w:val="28"/>
    </w:rPr>
  </w:style>
  <w:style w:type="paragraph" w:customStyle="1" w:styleId="ENotesHeading2">
    <w:name w:val="ENotesHeading 2"/>
    <w:aliases w:val="Enh2"/>
    <w:basedOn w:val="OPCParaBase"/>
    <w:next w:val="Normal"/>
    <w:rsid w:val="007553B5"/>
    <w:pPr>
      <w:spacing w:before="120" w:after="120"/>
      <w:outlineLvl w:val="2"/>
    </w:pPr>
    <w:rPr>
      <w:b/>
      <w:sz w:val="24"/>
      <w:szCs w:val="28"/>
    </w:rPr>
  </w:style>
  <w:style w:type="paragraph" w:customStyle="1" w:styleId="MadeunderText">
    <w:name w:val="MadeunderText"/>
    <w:basedOn w:val="OPCParaBase"/>
    <w:next w:val="CompiledMadeUnder"/>
    <w:rsid w:val="007553B5"/>
    <w:pPr>
      <w:spacing w:before="240"/>
    </w:pPr>
    <w:rPr>
      <w:sz w:val="24"/>
      <w:szCs w:val="24"/>
    </w:rPr>
  </w:style>
  <w:style w:type="paragraph" w:customStyle="1" w:styleId="ENotesHeading3">
    <w:name w:val="ENotesHeading 3"/>
    <w:aliases w:val="Enh3"/>
    <w:basedOn w:val="OPCParaBase"/>
    <w:next w:val="Normal"/>
    <w:rsid w:val="007553B5"/>
    <w:pPr>
      <w:keepNext/>
      <w:spacing w:before="120" w:line="240" w:lineRule="auto"/>
      <w:outlineLvl w:val="4"/>
    </w:pPr>
    <w:rPr>
      <w:b/>
      <w:szCs w:val="24"/>
    </w:rPr>
  </w:style>
  <w:style w:type="paragraph" w:customStyle="1" w:styleId="SubPartCASA">
    <w:name w:val="SubPart(CASA)"/>
    <w:aliases w:val="csp"/>
    <w:basedOn w:val="OPCParaBase"/>
    <w:next w:val="ActHead3"/>
    <w:rsid w:val="007553B5"/>
    <w:pPr>
      <w:keepNext/>
      <w:keepLines/>
      <w:spacing w:before="280"/>
      <w:outlineLvl w:val="1"/>
    </w:pPr>
    <w:rPr>
      <w:b/>
      <w:kern w:val="28"/>
      <w:sz w:val="32"/>
    </w:rPr>
  </w:style>
  <w:style w:type="paragraph" w:customStyle="1" w:styleId="TableColHead">
    <w:name w:val="TableColHead"/>
    <w:basedOn w:val="Normal"/>
    <w:rsid w:val="00780B03"/>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780B03"/>
    <w:pPr>
      <w:spacing w:before="60" w:after="60" w:line="240" w:lineRule="exact"/>
    </w:pPr>
    <w:rPr>
      <w:rFonts w:eastAsia="Times New Roman" w:cs="Times New Roman"/>
      <w:szCs w:val="24"/>
    </w:rPr>
  </w:style>
  <w:style w:type="paragraph" w:styleId="ListParagraph">
    <w:name w:val="List Paragraph"/>
    <w:basedOn w:val="Normal"/>
    <w:uiPriority w:val="34"/>
    <w:qFormat/>
    <w:rsid w:val="00D629B6"/>
    <w:pPr>
      <w:spacing w:line="240" w:lineRule="auto"/>
      <w:ind w:left="720"/>
      <w:contextualSpacing/>
    </w:pPr>
    <w:rPr>
      <w:rFonts w:eastAsia="Times New Roman" w:cs="Times New Roman"/>
      <w:sz w:val="24"/>
      <w:szCs w:val="24"/>
      <w:lang w:eastAsia="en-AU"/>
    </w:rPr>
  </w:style>
  <w:style w:type="paragraph" w:customStyle="1" w:styleId="SubDivisionMigration">
    <w:name w:val="SubDivisionMigration"/>
    <w:aliases w:val="sdm"/>
    <w:basedOn w:val="OPCParaBase"/>
    <w:rsid w:val="007553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53B5"/>
    <w:pPr>
      <w:keepNext/>
      <w:keepLines/>
      <w:spacing w:before="240" w:line="240" w:lineRule="auto"/>
      <w:ind w:left="1134" w:hanging="1134"/>
    </w:pPr>
    <w:rPr>
      <w:b/>
      <w:sz w:val="28"/>
    </w:rPr>
  </w:style>
  <w:style w:type="paragraph" w:customStyle="1" w:styleId="FreeForm">
    <w:name w:val="FreeForm"/>
    <w:rsid w:val="007553B5"/>
    <w:rPr>
      <w:rFonts w:ascii="Arial" w:eastAsiaTheme="minorHAnsi" w:hAnsi="Arial" w:cstheme="minorBidi"/>
      <w:sz w:val="22"/>
      <w:lang w:eastAsia="en-US"/>
    </w:rPr>
  </w:style>
  <w:style w:type="paragraph" w:customStyle="1" w:styleId="SOText">
    <w:name w:val="SO Text"/>
    <w:aliases w:val="sot"/>
    <w:link w:val="SOTextChar"/>
    <w:rsid w:val="007553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553B5"/>
    <w:rPr>
      <w:rFonts w:eastAsiaTheme="minorHAnsi" w:cstheme="minorBidi"/>
      <w:sz w:val="22"/>
      <w:lang w:eastAsia="en-US"/>
    </w:rPr>
  </w:style>
  <w:style w:type="paragraph" w:customStyle="1" w:styleId="SOTextNote">
    <w:name w:val="SO TextNote"/>
    <w:aliases w:val="sont"/>
    <w:basedOn w:val="SOText"/>
    <w:qFormat/>
    <w:rsid w:val="007553B5"/>
    <w:pPr>
      <w:spacing w:before="122" w:line="198" w:lineRule="exact"/>
      <w:ind w:left="1843" w:hanging="709"/>
    </w:pPr>
    <w:rPr>
      <w:sz w:val="18"/>
    </w:rPr>
  </w:style>
  <w:style w:type="paragraph" w:customStyle="1" w:styleId="SOPara">
    <w:name w:val="SO Para"/>
    <w:aliases w:val="soa"/>
    <w:basedOn w:val="SOText"/>
    <w:link w:val="SOParaChar"/>
    <w:qFormat/>
    <w:rsid w:val="007553B5"/>
    <w:pPr>
      <w:tabs>
        <w:tab w:val="right" w:pos="1786"/>
      </w:tabs>
      <w:spacing w:before="40"/>
      <w:ind w:left="2070" w:hanging="936"/>
    </w:pPr>
  </w:style>
  <w:style w:type="character" w:customStyle="1" w:styleId="SOParaChar">
    <w:name w:val="SO Para Char"/>
    <w:aliases w:val="soa Char"/>
    <w:basedOn w:val="DefaultParagraphFont"/>
    <w:link w:val="SOPara"/>
    <w:rsid w:val="007553B5"/>
    <w:rPr>
      <w:rFonts w:eastAsiaTheme="minorHAnsi" w:cstheme="minorBidi"/>
      <w:sz w:val="22"/>
      <w:lang w:eastAsia="en-US"/>
    </w:rPr>
  </w:style>
  <w:style w:type="paragraph" w:customStyle="1" w:styleId="FileName">
    <w:name w:val="FileName"/>
    <w:basedOn w:val="Normal"/>
    <w:rsid w:val="007553B5"/>
  </w:style>
  <w:style w:type="paragraph" w:customStyle="1" w:styleId="SOHeadBold">
    <w:name w:val="SO HeadBold"/>
    <w:aliases w:val="sohb"/>
    <w:basedOn w:val="SOText"/>
    <w:next w:val="SOText"/>
    <w:link w:val="SOHeadBoldChar"/>
    <w:qFormat/>
    <w:rsid w:val="007553B5"/>
    <w:rPr>
      <w:b/>
    </w:rPr>
  </w:style>
  <w:style w:type="character" w:customStyle="1" w:styleId="SOHeadBoldChar">
    <w:name w:val="SO HeadBold Char"/>
    <w:aliases w:val="sohb Char"/>
    <w:basedOn w:val="DefaultParagraphFont"/>
    <w:link w:val="SOHeadBold"/>
    <w:rsid w:val="007553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553B5"/>
    <w:rPr>
      <w:i/>
    </w:rPr>
  </w:style>
  <w:style w:type="character" w:customStyle="1" w:styleId="SOHeadItalicChar">
    <w:name w:val="SO HeadItalic Char"/>
    <w:aliases w:val="sohi Char"/>
    <w:basedOn w:val="DefaultParagraphFont"/>
    <w:link w:val="SOHeadItalic"/>
    <w:rsid w:val="007553B5"/>
    <w:rPr>
      <w:rFonts w:eastAsiaTheme="minorHAnsi" w:cstheme="minorBidi"/>
      <w:i/>
      <w:sz w:val="22"/>
      <w:lang w:eastAsia="en-US"/>
    </w:rPr>
  </w:style>
  <w:style w:type="paragraph" w:customStyle="1" w:styleId="SOBullet">
    <w:name w:val="SO Bullet"/>
    <w:aliases w:val="sotb"/>
    <w:basedOn w:val="SOText"/>
    <w:link w:val="SOBulletChar"/>
    <w:qFormat/>
    <w:rsid w:val="007553B5"/>
    <w:pPr>
      <w:ind w:left="1559" w:hanging="425"/>
    </w:pPr>
  </w:style>
  <w:style w:type="character" w:customStyle="1" w:styleId="SOBulletChar">
    <w:name w:val="SO Bullet Char"/>
    <w:aliases w:val="sotb Char"/>
    <w:basedOn w:val="DefaultParagraphFont"/>
    <w:link w:val="SOBullet"/>
    <w:rsid w:val="007553B5"/>
    <w:rPr>
      <w:rFonts w:eastAsiaTheme="minorHAnsi" w:cstheme="minorBidi"/>
      <w:sz w:val="22"/>
      <w:lang w:eastAsia="en-US"/>
    </w:rPr>
  </w:style>
  <w:style w:type="paragraph" w:customStyle="1" w:styleId="SOBulletNote">
    <w:name w:val="SO BulletNote"/>
    <w:aliases w:val="sonb"/>
    <w:basedOn w:val="SOTextNote"/>
    <w:link w:val="SOBulletNoteChar"/>
    <w:qFormat/>
    <w:rsid w:val="007553B5"/>
    <w:pPr>
      <w:tabs>
        <w:tab w:val="left" w:pos="1560"/>
      </w:tabs>
      <w:ind w:left="2268" w:hanging="1134"/>
    </w:pPr>
  </w:style>
  <w:style w:type="character" w:customStyle="1" w:styleId="SOBulletNoteChar">
    <w:name w:val="SO BulletNote Char"/>
    <w:aliases w:val="sonb Char"/>
    <w:basedOn w:val="DefaultParagraphFont"/>
    <w:link w:val="SOBulletNote"/>
    <w:rsid w:val="007553B5"/>
    <w:rPr>
      <w:rFonts w:eastAsiaTheme="minorHAnsi" w:cstheme="minorBidi"/>
      <w:sz w:val="18"/>
      <w:lang w:eastAsia="en-US"/>
    </w:rPr>
  </w:style>
  <w:style w:type="paragraph" w:styleId="Revision">
    <w:name w:val="Revision"/>
    <w:hidden/>
    <w:uiPriority w:val="99"/>
    <w:semiHidden/>
    <w:rsid w:val="00FA4A7D"/>
    <w:rPr>
      <w:rFonts w:eastAsiaTheme="minorHAnsi" w:cstheme="minorBidi"/>
      <w:sz w:val="22"/>
      <w:lang w:eastAsia="en-US"/>
    </w:rPr>
  </w:style>
  <w:style w:type="character" w:customStyle="1" w:styleId="TitleChar">
    <w:name w:val="Title Char"/>
    <w:basedOn w:val="DefaultParagraphFont"/>
    <w:link w:val="Title"/>
    <w:rsid w:val="00292124"/>
    <w:rPr>
      <w:rFonts w:ascii="Arial" w:eastAsiaTheme="minorHAnsi" w:hAnsi="Arial" w:cs="Arial"/>
      <w:b/>
      <w:bCs/>
      <w:sz w:val="40"/>
      <w:szCs w:val="40"/>
      <w:lang w:eastAsia="en-US"/>
    </w:rPr>
  </w:style>
  <w:style w:type="paragraph" w:styleId="Bibliography">
    <w:name w:val="Bibliography"/>
    <w:basedOn w:val="Normal"/>
    <w:next w:val="Normal"/>
    <w:uiPriority w:val="37"/>
    <w:semiHidden/>
    <w:unhideWhenUsed/>
    <w:rsid w:val="001571F4"/>
  </w:style>
  <w:style w:type="paragraph" w:styleId="IntenseQuote">
    <w:name w:val="Intense Quote"/>
    <w:basedOn w:val="Normal"/>
    <w:next w:val="Normal"/>
    <w:link w:val="IntenseQuoteChar"/>
    <w:uiPriority w:val="30"/>
    <w:qFormat/>
    <w:rsid w:val="001571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571F4"/>
    <w:rPr>
      <w:rFonts w:eastAsiaTheme="minorHAnsi" w:cstheme="minorBidi"/>
      <w:b/>
      <w:bCs/>
      <w:i/>
      <w:iCs/>
      <w:color w:val="4F81BD" w:themeColor="accent1"/>
      <w:sz w:val="22"/>
      <w:lang w:eastAsia="en-US"/>
    </w:rPr>
  </w:style>
  <w:style w:type="paragraph" w:styleId="NoSpacing">
    <w:name w:val="No Spacing"/>
    <w:uiPriority w:val="1"/>
    <w:qFormat/>
    <w:rsid w:val="001571F4"/>
    <w:rPr>
      <w:rFonts w:eastAsiaTheme="minorHAnsi" w:cstheme="minorBidi"/>
      <w:sz w:val="22"/>
      <w:lang w:eastAsia="en-US"/>
    </w:rPr>
  </w:style>
  <w:style w:type="paragraph" w:styleId="NoteHeading">
    <w:name w:val="Note Heading"/>
    <w:basedOn w:val="Normal"/>
    <w:next w:val="Normal"/>
    <w:link w:val="NoteHeadingChar"/>
    <w:semiHidden/>
    <w:unhideWhenUsed/>
    <w:rsid w:val="001571F4"/>
    <w:pPr>
      <w:spacing w:line="240" w:lineRule="auto"/>
    </w:pPr>
  </w:style>
  <w:style w:type="character" w:customStyle="1" w:styleId="NoteHeadingChar">
    <w:name w:val="Note Heading Char"/>
    <w:basedOn w:val="DefaultParagraphFont"/>
    <w:link w:val="NoteHeading"/>
    <w:semiHidden/>
    <w:rsid w:val="001571F4"/>
    <w:rPr>
      <w:rFonts w:eastAsiaTheme="minorHAnsi" w:cstheme="minorBidi"/>
      <w:sz w:val="22"/>
      <w:lang w:eastAsia="en-US"/>
    </w:rPr>
  </w:style>
  <w:style w:type="paragraph" w:styleId="Quote">
    <w:name w:val="Quote"/>
    <w:basedOn w:val="Normal"/>
    <w:next w:val="Normal"/>
    <w:link w:val="QuoteChar"/>
    <w:uiPriority w:val="29"/>
    <w:qFormat/>
    <w:rsid w:val="001571F4"/>
    <w:rPr>
      <w:i/>
      <w:iCs/>
      <w:color w:val="000000" w:themeColor="text1"/>
    </w:rPr>
  </w:style>
  <w:style w:type="character" w:customStyle="1" w:styleId="QuoteChar">
    <w:name w:val="Quote Char"/>
    <w:basedOn w:val="DefaultParagraphFont"/>
    <w:link w:val="Quote"/>
    <w:uiPriority w:val="29"/>
    <w:rsid w:val="001571F4"/>
    <w:rPr>
      <w:rFonts w:eastAsiaTheme="minorHAnsi" w:cstheme="minorBidi"/>
      <w:i/>
      <w:iCs/>
      <w:color w:val="000000" w:themeColor="text1"/>
      <w:sz w:val="22"/>
      <w:lang w:eastAsia="en-US"/>
    </w:rPr>
  </w:style>
  <w:style w:type="paragraph" w:styleId="TOCHeading">
    <w:name w:val="TOC Heading"/>
    <w:basedOn w:val="Heading1"/>
    <w:next w:val="Normal"/>
    <w:uiPriority w:val="39"/>
    <w:semiHidden/>
    <w:unhideWhenUsed/>
    <w:qFormat/>
    <w:rsid w:val="001571F4"/>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numbering" w:customStyle="1" w:styleId="OPCBodyList">
    <w:name w:val="OPCBodyList"/>
    <w:uiPriority w:val="99"/>
    <w:rsid w:val="00812422"/>
    <w:pPr>
      <w:numPr>
        <w:numId w:val="5"/>
      </w:numPr>
    </w:pPr>
  </w:style>
  <w:style w:type="character" w:styleId="IntenseReference">
    <w:name w:val="Intense Reference"/>
    <w:basedOn w:val="DefaultParagraphFont"/>
    <w:uiPriority w:val="32"/>
    <w:qFormat/>
    <w:rsid w:val="004520C3"/>
    <w:rPr>
      <w:b/>
      <w:bCs/>
      <w:i/>
      <w:smallCaps/>
      <w:color w:val="C0504D" w:themeColor="accent2"/>
      <w:spacing w:val="5"/>
      <w:u w:val="none"/>
    </w:rPr>
  </w:style>
  <w:style w:type="paragraph" w:customStyle="1" w:styleId="EnStatement">
    <w:name w:val="EnStatement"/>
    <w:basedOn w:val="Normal"/>
    <w:rsid w:val="007553B5"/>
    <w:pPr>
      <w:numPr>
        <w:numId w:val="6"/>
      </w:numPr>
    </w:pPr>
    <w:rPr>
      <w:rFonts w:eastAsia="Times New Roman" w:cs="Times New Roman"/>
      <w:lang w:eastAsia="en-AU"/>
    </w:rPr>
  </w:style>
  <w:style w:type="paragraph" w:customStyle="1" w:styleId="EnStatementHeading">
    <w:name w:val="EnStatementHeading"/>
    <w:basedOn w:val="Normal"/>
    <w:rsid w:val="007553B5"/>
    <w:rPr>
      <w:rFonts w:eastAsia="Times New Roman" w:cs="Times New Roman"/>
      <w:b/>
      <w:lang w:eastAsia="en-AU"/>
    </w:rPr>
  </w:style>
  <w:style w:type="character" w:customStyle="1" w:styleId="subsectionChar">
    <w:name w:val="subsection Char"/>
    <w:aliases w:val="ss Char"/>
    <w:basedOn w:val="DefaultParagraphFont"/>
    <w:link w:val="subsection"/>
    <w:locked/>
    <w:rsid w:val="00EC02A7"/>
    <w:rPr>
      <w:sz w:val="22"/>
    </w:rPr>
  </w:style>
  <w:style w:type="character" w:customStyle="1" w:styleId="notetextChar">
    <w:name w:val="note(text) Char"/>
    <w:aliases w:val="n Char"/>
    <w:basedOn w:val="DefaultParagraphFont"/>
    <w:link w:val="notetext"/>
    <w:rsid w:val="00B9006C"/>
    <w:rPr>
      <w:sz w:val="18"/>
    </w:rPr>
  </w:style>
  <w:style w:type="character" w:customStyle="1" w:styleId="ActHead5Char">
    <w:name w:val="ActHead 5 Char"/>
    <w:aliases w:val="s Char"/>
    <w:link w:val="ActHead5"/>
    <w:rsid w:val="00B9006C"/>
    <w:rPr>
      <w:b/>
      <w:kern w:val="28"/>
      <w:sz w:val="24"/>
    </w:rPr>
  </w:style>
  <w:style w:type="paragraph" w:customStyle="1" w:styleId="Transitional">
    <w:name w:val="Transitional"/>
    <w:aliases w:val="tr"/>
    <w:basedOn w:val="Normal"/>
    <w:next w:val="Normal"/>
    <w:rsid w:val="007553B5"/>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0963">
      <w:bodyDiv w:val="1"/>
      <w:marLeft w:val="0"/>
      <w:marRight w:val="0"/>
      <w:marTop w:val="0"/>
      <w:marBottom w:val="0"/>
      <w:divBdr>
        <w:top w:val="none" w:sz="0" w:space="0" w:color="auto"/>
        <w:left w:val="none" w:sz="0" w:space="0" w:color="auto"/>
        <w:bottom w:val="none" w:sz="0" w:space="0" w:color="auto"/>
        <w:right w:val="none" w:sz="0" w:space="0" w:color="auto"/>
      </w:divBdr>
    </w:div>
    <w:div w:id="399137597">
      <w:bodyDiv w:val="1"/>
      <w:marLeft w:val="0"/>
      <w:marRight w:val="0"/>
      <w:marTop w:val="0"/>
      <w:marBottom w:val="0"/>
      <w:divBdr>
        <w:top w:val="none" w:sz="0" w:space="0" w:color="auto"/>
        <w:left w:val="none" w:sz="0" w:space="0" w:color="auto"/>
        <w:bottom w:val="none" w:sz="0" w:space="0" w:color="auto"/>
        <w:right w:val="none" w:sz="0" w:space="0" w:color="auto"/>
      </w:divBdr>
    </w:div>
    <w:div w:id="472255433">
      <w:bodyDiv w:val="1"/>
      <w:marLeft w:val="0"/>
      <w:marRight w:val="0"/>
      <w:marTop w:val="0"/>
      <w:marBottom w:val="0"/>
      <w:divBdr>
        <w:top w:val="none" w:sz="0" w:space="0" w:color="auto"/>
        <w:left w:val="none" w:sz="0" w:space="0" w:color="auto"/>
        <w:bottom w:val="none" w:sz="0" w:space="0" w:color="auto"/>
        <w:right w:val="none" w:sz="0" w:space="0" w:color="auto"/>
      </w:divBdr>
    </w:div>
    <w:div w:id="610357683">
      <w:bodyDiv w:val="1"/>
      <w:marLeft w:val="0"/>
      <w:marRight w:val="0"/>
      <w:marTop w:val="0"/>
      <w:marBottom w:val="0"/>
      <w:divBdr>
        <w:top w:val="none" w:sz="0" w:space="0" w:color="auto"/>
        <w:left w:val="none" w:sz="0" w:space="0" w:color="auto"/>
        <w:bottom w:val="none" w:sz="0" w:space="0" w:color="auto"/>
        <w:right w:val="none" w:sz="0" w:space="0" w:color="auto"/>
      </w:divBdr>
    </w:div>
    <w:div w:id="851069685">
      <w:bodyDiv w:val="1"/>
      <w:marLeft w:val="0"/>
      <w:marRight w:val="0"/>
      <w:marTop w:val="0"/>
      <w:marBottom w:val="0"/>
      <w:divBdr>
        <w:top w:val="none" w:sz="0" w:space="0" w:color="auto"/>
        <w:left w:val="none" w:sz="0" w:space="0" w:color="auto"/>
        <w:bottom w:val="none" w:sz="0" w:space="0" w:color="auto"/>
        <w:right w:val="none" w:sz="0" w:space="0" w:color="auto"/>
      </w:divBdr>
      <w:divsChild>
        <w:div w:id="606232063">
          <w:marLeft w:val="0"/>
          <w:marRight w:val="0"/>
          <w:marTop w:val="0"/>
          <w:marBottom w:val="0"/>
          <w:divBdr>
            <w:top w:val="none" w:sz="0" w:space="0" w:color="auto"/>
            <w:left w:val="none" w:sz="0" w:space="0" w:color="auto"/>
            <w:bottom w:val="none" w:sz="0" w:space="0" w:color="auto"/>
            <w:right w:val="none" w:sz="0" w:space="0" w:color="auto"/>
          </w:divBdr>
          <w:divsChild>
            <w:div w:id="952709478">
              <w:marLeft w:val="0"/>
              <w:marRight w:val="0"/>
              <w:marTop w:val="0"/>
              <w:marBottom w:val="0"/>
              <w:divBdr>
                <w:top w:val="none" w:sz="0" w:space="0" w:color="auto"/>
                <w:left w:val="none" w:sz="0" w:space="0" w:color="auto"/>
                <w:bottom w:val="none" w:sz="0" w:space="0" w:color="auto"/>
                <w:right w:val="none" w:sz="0" w:space="0" w:color="auto"/>
              </w:divBdr>
              <w:divsChild>
                <w:div w:id="1842892890">
                  <w:marLeft w:val="0"/>
                  <w:marRight w:val="0"/>
                  <w:marTop w:val="0"/>
                  <w:marBottom w:val="0"/>
                  <w:divBdr>
                    <w:top w:val="none" w:sz="0" w:space="0" w:color="auto"/>
                    <w:left w:val="none" w:sz="0" w:space="0" w:color="auto"/>
                    <w:bottom w:val="none" w:sz="0" w:space="0" w:color="auto"/>
                    <w:right w:val="none" w:sz="0" w:space="0" w:color="auto"/>
                  </w:divBdr>
                  <w:divsChild>
                    <w:div w:id="147668866">
                      <w:marLeft w:val="0"/>
                      <w:marRight w:val="0"/>
                      <w:marTop w:val="0"/>
                      <w:marBottom w:val="0"/>
                      <w:divBdr>
                        <w:top w:val="none" w:sz="0" w:space="0" w:color="auto"/>
                        <w:left w:val="none" w:sz="0" w:space="0" w:color="auto"/>
                        <w:bottom w:val="none" w:sz="0" w:space="0" w:color="auto"/>
                        <w:right w:val="none" w:sz="0" w:space="0" w:color="auto"/>
                      </w:divBdr>
                      <w:divsChild>
                        <w:div w:id="1013923324">
                          <w:marLeft w:val="0"/>
                          <w:marRight w:val="0"/>
                          <w:marTop w:val="0"/>
                          <w:marBottom w:val="0"/>
                          <w:divBdr>
                            <w:top w:val="single" w:sz="6" w:space="0" w:color="828282"/>
                            <w:left w:val="single" w:sz="6" w:space="0" w:color="828282"/>
                            <w:bottom w:val="single" w:sz="6" w:space="0" w:color="828282"/>
                            <w:right w:val="single" w:sz="6" w:space="0" w:color="828282"/>
                          </w:divBdr>
                          <w:divsChild>
                            <w:div w:id="843478976">
                              <w:marLeft w:val="0"/>
                              <w:marRight w:val="0"/>
                              <w:marTop w:val="0"/>
                              <w:marBottom w:val="0"/>
                              <w:divBdr>
                                <w:top w:val="none" w:sz="0" w:space="0" w:color="auto"/>
                                <w:left w:val="none" w:sz="0" w:space="0" w:color="auto"/>
                                <w:bottom w:val="none" w:sz="0" w:space="0" w:color="auto"/>
                                <w:right w:val="none" w:sz="0" w:space="0" w:color="auto"/>
                              </w:divBdr>
                              <w:divsChild>
                                <w:div w:id="2139108397">
                                  <w:marLeft w:val="0"/>
                                  <w:marRight w:val="0"/>
                                  <w:marTop w:val="0"/>
                                  <w:marBottom w:val="0"/>
                                  <w:divBdr>
                                    <w:top w:val="none" w:sz="0" w:space="0" w:color="auto"/>
                                    <w:left w:val="none" w:sz="0" w:space="0" w:color="auto"/>
                                    <w:bottom w:val="none" w:sz="0" w:space="0" w:color="auto"/>
                                    <w:right w:val="none" w:sz="0" w:space="0" w:color="auto"/>
                                  </w:divBdr>
                                  <w:divsChild>
                                    <w:div w:id="815954438">
                                      <w:marLeft w:val="0"/>
                                      <w:marRight w:val="0"/>
                                      <w:marTop w:val="0"/>
                                      <w:marBottom w:val="0"/>
                                      <w:divBdr>
                                        <w:top w:val="none" w:sz="0" w:space="0" w:color="auto"/>
                                        <w:left w:val="none" w:sz="0" w:space="0" w:color="auto"/>
                                        <w:bottom w:val="none" w:sz="0" w:space="0" w:color="auto"/>
                                        <w:right w:val="none" w:sz="0" w:space="0" w:color="auto"/>
                                      </w:divBdr>
                                      <w:divsChild>
                                        <w:div w:id="1452743997">
                                          <w:marLeft w:val="0"/>
                                          <w:marRight w:val="0"/>
                                          <w:marTop w:val="0"/>
                                          <w:marBottom w:val="0"/>
                                          <w:divBdr>
                                            <w:top w:val="none" w:sz="0" w:space="0" w:color="auto"/>
                                            <w:left w:val="none" w:sz="0" w:space="0" w:color="auto"/>
                                            <w:bottom w:val="none" w:sz="0" w:space="0" w:color="auto"/>
                                            <w:right w:val="none" w:sz="0" w:space="0" w:color="auto"/>
                                          </w:divBdr>
                                          <w:divsChild>
                                            <w:div w:id="1180585748">
                                              <w:marLeft w:val="0"/>
                                              <w:marRight w:val="0"/>
                                              <w:marTop w:val="0"/>
                                              <w:marBottom w:val="0"/>
                                              <w:divBdr>
                                                <w:top w:val="none" w:sz="0" w:space="0" w:color="auto"/>
                                                <w:left w:val="none" w:sz="0" w:space="0" w:color="auto"/>
                                                <w:bottom w:val="none" w:sz="0" w:space="0" w:color="auto"/>
                                                <w:right w:val="none" w:sz="0" w:space="0" w:color="auto"/>
                                              </w:divBdr>
                                              <w:divsChild>
                                                <w:div w:id="13973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738627">
      <w:bodyDiv w:val="1"/>
      <w:marLeft w:val="0"/>
      <w:marRight w:val="0"/>
      <w:marTop w:val="0"/>
      <w:marBottom w:val="0"/>
      <w:divBdr>
        <w:top w:val="none" w:sz="0" w:space="0" w:color="auto"/>
        <w:left w:val="none" w:sz="0" w:space="0" w:color="auto"/>
        <w:bottom w:val="none" w:sz="0" w:space="0" w:color="auto"/>
        <w:right w:val="none" w:sz="0" w:space="0" w:color="auto"/>
      </w:divBdr>
    </w:div>
    <w:div w:id="1040210052">
      <w:bodyDiv w:val="1"/>
      <w:marLeft w:val="0"/>
      <w:marRight w:val="0"/>
      <w:marTop w:val="0"/>
      <w:marBottom w:val="0"/>
      <w:divBdr>
        <w:top w:val="none" w:sz="0" w:space="0" w:color="auto"/>
        <w:left w:val="none" w:sz="0" w:space="0" w:color="auto"/>
        <w:bottom w:val="none" w:sz="0" w:space="0" w:color="auto"/>
        <w:right w:val="none" w:sz="0" w:space="0" w:color="auto"/>
      </w:divBdr>
      <w:divsChild>
        <w:div w:id="1513836725">
          <w:marLeft w:val="0"/>
          <w:marRight w:val="0"/>
          <w:marTop w:val="0"/>
          <w:marBottom w:val="0"/>
          <w:divBdr>
            <w:top w:val="none" w:sz="0" w:space="0" w:color="auto"/>
            <w:left w:val="none" w:sz="0" w:space="0" w:color="auto"/>
            <w:bottom w:val="none" w:sz="0" w:space="0" w:color="auto"/>
            <w:right w:val="none" w:sz="0" w:space="0" w:color="auto"/>
          </w:divBdr>
          <w:divsChild>
            <w:div w:id="549725813">
              <w:marLeft w:val="0"/>
              <w:marRight w:val="0"/>
              <w:marTop w:val="0"/>
              <w:marBottom w:val="0"/>
              <w:divBdr>
                <w:top w:val="none" w:sz="0" w:space="0" w:color="auto"/>
                <w:left w:val="none" w:sz="0" w:space="0" w:color="auto"/>
                <w:bottom w:val="none" w:sz="0" w:space="0" w:color="auto"/>
                <w:right w:val="none" w:sz="0" w:space="0" w:color="auto"/>
              </w:divBdr>
              <w:divsChild>
                <w:div w:id="121459191">
                  <w:marLeft w:val="0"/>
                  <w:marRight w:val="0"/>
                  <w:marTop w:val="0"/>
                  <w:marBottom w:val="0"/>
                  <w:divBdr>
                    <w:top w:val="none" w:sz="0" w:space="0" w:color="auto"/>
                    <w:left w:val="none" w:sz="0" w:space="0" w:color="auto"/>
                    <w:bottom w:val="none" w:sz="0" w:space="0" w:color="auto"/>
                    <w:right w:val="none" w:sz="0" w:space="0" w:color="auto"/>
                  </w:divBdr>
                  <w:divsChild>
                    <w:div w:id="702369117">
                      <w:marLeft w:val="0"/>
                      <w:marRight w:val="0"/>
                      <w:marTop w:val="0"/>
                      <w:marBottom w:val="0"/>
                      <w:divBdr>
                        <w:top w:val="none" w:sz="0" w:space="0" w:color="auto"/>
                        <w:left w:val="none" w:sz="0" w:space="0" w:color="auto"/>
                        <w:bottom w:val="none" w:sz="0" w:space="0" w:color="auto"/>
                        <w:right w:val="none" w:sz="0" w:space="0" w:color="auto"/>
                      </w:divBdr>
                      <w:divsChild>
                        <w:div w:id="922185587">
                          <w:marLeft w:val="0"/>
                          <w:marRight w:val="0"/>
                          <w:marTop w:val="0"/>
                          <w:marBottom w:val="0"/>
                          <w:divBdr>
                            <w:top w:val="single" w:sz="6" w:space="0" w:color="828282"/>
                            <w:left w:val="single" w:sz="6" w:space="0" w:color="828282"/>
                            <w:bottom w:val="single" w:sz="6" w:space="0" w:color="828282"/>
                            <w:right w:val="single" w:sz="6" w:space="0" w:color="828282"/>
                          </w:divBdr>
                          <w:divsChild>
                            <w:div w:id="258802710">
                              <w:marLeft w:val="0"/>
                              <w:marRight w:val="0"/>
                              <w:marTop w:val="0"/>
                              <w:marBottom w:val="0"/>
                              <w:divBdr>
                                <w:top w:val="none" w:sz="0" w:space="0" w:color="auto"/>
                                <w:left w:val="none" w:sz="0" w:space="0" w:color="auto"/>
                                <w:bottom w:val="none" w:sz="0" w:space="0" w:color="auto"/>
                                <w:right w:val="none" w:sz="0" w:space="0" w:color="auto"/>
                              </w:divBdr>
                              <w:divsChild>
                                <w:div w:id="565074527">
                                  <w:marLeft w:val="0"/>
                                  <w:marRight w:val="0"/>
                                  <w:marTop w:val="0"/>
                                  <w:marBottom w:val="0"/>
                                  <w:divBdr>
                                    <w:top w:val="none" w:sz="0" w:space="0" w:color="auto"/>
                                    <w:left w:val="none" w:sz="0" w:space="0" w:color="auto"/>
                                    <w:bottom w:val="none" w:sz="0" w:space="0" w:color="auto"/>
                                    <w:right w:val="none" w:sz="0" w:space="0" w:color="auto"/>
                                  </w:divBdr>
                                  <w:divsChild>
                                    <w:div w:id="441341818">
                                      <w:marLeft w:val="0"/>
                                      <w:marRight w:val="0"/>
                                      <w:marTop w:val="0"/>
                                      <w:marBottom w:val="0"/>
                                      <w:divBdr>
                                        <w:top w:val="none" w:sz="0" w:space="0" w:color="auto"/>
                                        <w:left w:val="none" w:sz="0" w:space="0" w:color="auto"/>
                                        <w:bottom w:val="none" w:sz="0" w:space="0" w:color="auto"/>
                                        <w:right w:val="none" w:sz="0" w:space="0" w:color="auto"/>
                                      </w:divBdr>
                                      <w:divsChild>
                                        <w:div w:id="48042630">
                                          <w:marLeft w:val="0"/>
                                          <w:marRight w:val="0"/>
                                          <w:marTop w:val="0"/>
                                          <w:marBottom w:val="0"/>
                                          <w:divBdr>
                                            <w:top w:val="none" w:sz="0" w:space="0" w:color="auto"/>
                                            <w:left w:val="none" w:sz="0" w:space="0" w:color="auto"/>
                                            <w:bottom w:val="none" w:sz="0" w:space="0" w:color="auto"/>
                                            <w:right w:val="none" w:sz="0" w:space="0" w:color="auto"/>
                                          </w:divBdr>
                                          <w:divsChild>
                                            <w:div w:id="376009276">
                                              <w:marLeft w:val="0"/>
                                              <w:marRight w:val="0"/>
                                              <w:marTop w:val="0"/>
                                              <w:marBottom w:val="0"/>
                                              <w:divBdr>
                                                <w:top w:val="none" w:sz="0" w:space="0" w:color="auto"/>
                                                <w:left w:val="none" w:sz="0" w:space="0" w:color="auto"/>
                                                <w:bottom w:val="none" w:sz="0" w:space="0" w:color="auto"/>
                                                <w:right w:val="none" w:sz="0" w:space="0" w:color="auto"/>
                                              </w:divBdr>
                                              <w:divsChild>
                                                <w:div w:id="8969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63288">
      <w:bodyDiv w:val="1"/>
      <w:marLeft w:val="0"/>
      <w:marRight w:val="0"/>
      <w:marTop w:val="0"/>
      <w:marBottom w:val="0"/>
      <w:divBdr>
        <w:top w:val="none" w:sz="0" w:space="0" w:color="auto"/>
        <w:left w:val="none" w:sz="0" w:space="0" w:color="auto"/>
        <w:bottom w:val="none" w:sz="0" w:space="0" w:color="auto"/>
        <w:right w:val="none" w:sz="0" w:space="0" w:color="auto"/>
      </w:divBdr>
    </w:div>
    <w:div w:id="1205363380">
      <w:bodyDiv w:val="1"/>
      <w:marLeft w:val="0"/>
      <w:marRight w:val="0"/>
      <w:marTop w:val="0"/>
      <w:marBottom w:val="0"/>
      <w:divBdr>
        <w:top w:val="none" w:sz="0" w:space="0" w:color="auto"/>
        <w:left w:val="none" w:sz="0" w:space="0" w:color="auto"/>
        <w:bottom w:val="none" w:sz="0" w:space="0" w:color="auto"/>
        <w:right w:val="none" w:sz="0" w:space="0" w:color="auto"/>
      </w:divBdr>
    </w:div>
    <w:div w:id="1478834528">
      <w:bodyDiv w:val="1"/>
      <w:marLeft w:val="0"/>
      <w:marRight w:val="0"/>
      <w:marTop w:val="0"/>
      <w:marBottom w:val="0"/>
      <w:divBdr>
        <w:top w:val="none" w:sz="0" w:space="0" w:color="auto"/>
        <w:left w:val="none" w:sz="0" w:space="0" w:color="auto"/>
        <w:bottom w:val="none" w:sz="0" w:space="0" w:color="auto"/>
        <w:right w:val="none" w:sz="0" w:space="0" w:color="auto"/>
      </w:divBdr>
    </w:div>
    <w:div w:id="1482234223">
      <w:bodyDiv w:val="1"/>
      <w:marLeft w:val="0"/>
      <w:marRight w:val="0"/>
      <w:marTop w:val="0"/>
      <w:marBottom w:val="0"/>
      <w:divBdr>
        <w:top w:val="none" w:sz="0" w:space="0" w:color="auto"/>
        <w:left w:val="none" w:sz="0" w:space="0" w:color="auto"/>
        <w:bottom w:val="none" w:sz="0" w:space="0" w:color="auto"/>
        <w:right w:val="none" w:sz="0" w:space="0" w:color="auto"/>
      </w:divBdr>
    </w:div>
    <w:div w:id="1488130297">
      <w:bodyDiv w:val="1"/>
      <w:marLeft w:val="0"/>
      <w:marRight w:val="0"/>
      <w:marTop w:val="0"/>
      <w:marBottom w:val="0"/>
      <w:divBdr>
        <w:top w:val="none" w:sz="0" w:space="0" w:color="auto"/>
        <w:left w:val="none" w:sz="0" w:space="0" w:color="auto"/>
        <w:bottom w:val="none" w:sz="0" w:space="0" w:color="auto"/>
        <w:right w:val="none" w:sz="0" w:space="0" w:color="auto"/>
      </w:divBdr>
      <w:divsChild>
        <w:div w:id="1603604460">
          <w:marLeft w:val="0"/>
          <w:marRight w:val="0"/>
          <w:marTop w:val="0"/>
          <w:marBottom w:val="0"/>
          <w:divBdr>
            <w:top w:val="none" w:sz="0" w:space="0" w:color="auto"/>
            <w:left w:val="none" w:sz="0" w:space="0" w:color="auto"/>
            <w:bottom w:val="none" w:sz="0" w:space="0" w:color="auto"/>
            <w:right w:val="none" w:sz="0" w:space="0" w:color="auto"/>
          </w:divBdr>
          <w:divsChild>
            <w:div w:id="2105150901">
              <w:marLeft w:val="0"/>
              <w:marRight w:val="0"/>
              <w:marTop w:val="0"/>
              <w:marBottom w:val="0"/>
              <w:divBdr>
                <w:top w:val="none" w:sz="0" w:space="0" w:color="auto"/>
                <w:left w:val="none" w:sz="0" w:space="0" w:color="auto"/>
                <w:bottom w:val="none" w:sz="0" w:space="0" w:color="auto"/>
                <w:right w:val="none" w:sz="0" w:space="0" w:color="auto"/>
              </w:divBdr>
              <w:divsChild>
                <w:div w:id="1181234199">
                  <w:marLeft w:val="0"/>
                  <w:marRight w:val="0"/>
                  <w:marTop w:val="0"/>
                  <w:marBottom w:val="0"/>
                  <w:divBdr>
                    <w:top w:val="none" w:sz="0" w:space="0" w:color="auto"/>
                    <w:left w:val="none" w:sz="0" w:space="0" w:color="auto"/>
                    <w:bottom w:val="none" w:sz="0" w:space="0" w:color="auto"/>
                    <w:right w:val="none" w:sz="0" w:space="0" w:color="auto"/>
                  </w:divBdr>
                  <w:divsChild>
                    <w:div w:id="858422813">
                      <w:marLeft w:val="0"/>
                      <w:marRight w:val="0"/>
                      <w:marTop w:val="0"/>
                      <w:marBottom w:val="0"/>
                      <w:divBdr>
                        <w:top w:val="none" w:sz="0" w:space="0" w:color="auto"/>
                        <w:left w:val="none" w:sz="0" w:space="0" w:color="auto"/>
                        <w:bottom w:val="none" w:sz="0" w:space="0" w:color="auto"/>
                        <w:right w:val="none" w:sz="0" w:space="0" w:color="auto"/>
                      </w:divBdr>
                      <w:divsChild>
                        <w:div w:id="84694797">
                          <w:marLeft w:val="0"/>
                          <w:marRight w:val="0"/>
                          <w:marTop w:val="0"/>
                          <w:marBottom w:val="0"/>
                          <w:divBdr>
                            <w:top w:val="single" w:sz="6" w:space="0" w:color="828282"/>
                            <w:left w:val="single" w:sz="6" w:space="0" w:color="828282"/>
                            <w:bottom w:val="single" w:sz="6" w:space="0" w:color="828282"/>
                            <w:right w:val="single" w:sz="6" w:space="0" w:color="828282"/>
                          </w:divBdr>
                          <w:divsChild>
                            <w:div w:id="34962934">
                              <w:marLeft w:val="0"/>
                              <w:marRight w:val="0"/>
                              <w:marTop w:val="0"/>
                              <w:marBottom w:val="0"/>
                              <w:divBdr>
                                <w:top w:val="none" w:sz="0" w:space="0" w:color="auto"/>
                                <w:left w:val="none" w:sz="0" w:space="0" w:color="auto"/>
                                <w:bottom w:val="none" w:sz="0" w:space="0" w:color="auto"/>
                                <w:right w:val="none" w:sz="0" w:space="0" w:color="auto"/>
                              </w:divBdr>
                              <w:divsChild>
                                <w:div w:id="1650666606">
                                  <w:marLeft w:val="0"/>
                                  <w:marRight w:val="0"/>
                                  <w:marTop w:val="0"/>
                                  <w:marBottom w:val="0"/>
                                  <w:divBdr>
                                    <w:top w:val="none" w:sz="0" w:space="0" w:color="auto"/>
                                    <w:left w:val="none" w:sz="0" w:space="0" w:color="auto"/>
                                    <w:bottom w:val="none" w:sz="0" w:space="0" w:color="auto"/>
                                    <w:right w:val="none" w:sz="0" w:space="0" w:color="auto"/>
                                  </w:divBdr>
                                  <w:divsChild>
                                    <w:div w:id="691960669">
                                      <w:marLeft w:val="0"/>
                                      <w:marRight w:val="0"/>
                                      <w:marTop w:val="0"/>
                                      <w:marBottom w:val="0"/>
                                      <w:divBdr>
                                        <w:top w:val="none" w:sz="0" w:space="0" w:color="auto"/>
                                        <w:left w:val="none" w:sz="0" w:space="0" w:color="auto"/>
                                        <w:bottom w:val="none" w:sz="0" w:space="0" w:color="auto"/>
                                        <w:right w:val="none" w:sz="0" w:space="0" w:color="auto"/>
                                      </w:divBdr>
                                      <w:divsChild>
                                        <w:div w:id="2129545769">
                                          <w:marLeft w:val="0"/>
                                          <w:marRight w:val="0"/>
                                          <w:marTop w:val="0"/>
                                          <w:marBottom w:val="0"/>
                                          <w:divBdr>
                                            <w:top w:val="none" w:sz="0" w:space="0" w:color="auto"/>
                                            <w:left w:val="none" w:sz="0" w:space="0" w:color="auto"/>
                                            <w:bottom w:val="none" w:sz="0" w:space="0" w:color="auto"/>
                                            <w:right w:val="none" w:sz="0" w:space="0" w:color="auto"/>
                                          </w:divBdr>
                                          <w:divsChild>
                                            <w:div w:id="1608349731">
                                              <w:marLeft w:val="0"/>
                                              <w:marRight w:val="0"/>
                                              <w:marTop w:val="0"/>
                                              <w:marBottom w:val="0"/>
                                              <w:divBdr>
                                                <w:top w:val="none" w:sz="0" w:space="0" w:color="auto"/>
                                                <w:left w:val="none" w:sz="0" w:space="0" w:color="auto"/>
                                                <w:bottom w:val="none" w:sz="0" w:space="0" w:color="auto"/>
                                                <w:right w:val="none" w:sz="0" w:space="0" w:color="auto"/>
                                              </w:divBdr>
                                              <w:divsChild>
                                                <w:div w:id="5229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367181">
      <w:bodyDiv w:val="1"/>
      <w:marLeft w:val="0"/>
      <w:marRight w:val="0"/>
      <w:marTop w:val="0"/>
      <w:marBottom w:val="0"/>
      <w:divBdr>
        <w:top w:val="none" w:sz="0" w:space="0" w:color="auto"/>
        <w:left w:val="none" w:sz="0" w:space="0" w:color="auto"/>
        <w:bottom w:val="none" w:sz="0" w:space="0" w:color="auto"/>
        <w:right w:val="none" w:sz="0" w:space="0" w:color="auto"/>
      </w:divBdr>
    </w:div>
    <w:div w:id="1589653364">
      <w:bodyDiv w:val="1"/>
      <w:marLeft w:val="0"/>
      <w:marRight w:val="0"/>
      <w:marTop w:val="0"/>
      <w:marBottom w:val="0"/>
      <w:divBdr>
        <w:top w:val="none" w:sz="0" w:space="0" w:color="auto"/>
        <w:left w:val="none" w:sz="0" w:space="0" w:color="auto"/>
        <w:bottom w:val="none" w:sz="0" w:space="0" w:color="auto"/>
        <w:right w:val="none" w:sz="0" w:space="0" w:color="auto"/>
      </w:divBdr>
    </w:div>
    <w:div w:id="1930455680">
      <w:bodyDiv w:val="1"/>
      <w:marLeft w:val="0"/>
      <w:marRight w:val="0"/>
      <w:marTop w:val="0"/>
      <w:marBottom w:val="0"/>
      <w:divBdr>
        <w:top w:val="none" w:sz="0" w:space="0" w:color="auto"/>
        <w:left w:val="none" w:sz="0" w:space="0" w:color="auto"/>
        <w:bottom w:val="none" w:sz="0" w:space="0" w:color="auto"/>
        <w:right w:val="none" w:sz="0" w:space="0" w:color="auto"/>
      </w:divBdr>
    </w:div>
    <w:div w:id="1942255575">
      <w:bodyDiv w:val="1"/>
      <w:marLeft w:val="0"/>
      <w:marRight w:val="0"/>
      <w:marTop w:val="0"/>
      <w:marBottom w:val="0"/>
      <w:divBdr>
        <w:top w:val="none" w:sz="0" w:space="0" w:color="auto"/>
        <w:left w:val="none" w:sz="0" w:space="0" w:color="auto"/>
        <w:bottom w:val="none" w:sz="0" w:space="0" w:color="auto"/>
        <w:right w:val="none" w:sz="0" w:space="0" w:color="auto"/>
      </w:divBdr>
    </w:div>
    <w:div w:id="2011060567">
      <w:bodyDiv w:val="1"/>
      <w:marLeft w:val="0"/>
      <w:marRight w:val="0"/>
      <w:marTop w:val="0"/>
      <w:marBottom w:val="0"/>
      <w:divBdr>
        <w:top w:val="none" w:sz="0" w:space="0" w:color="auto"/>
        <w:left w:val="none" w:sz="0" w:space="0" w:color="auto"/>
        <w:bottom w:val="none" w:sz="0" w:space="0" w:color="auto"/>
        <w:right w:val="none" w:sz="0" w:space="0" w:color="auto"/>
      </w:divBdr>
    </w:div>
    <w:div w:id="210279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7FDEB-D7C8-489A-8DED-DB7DC9E6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33</Pages>
  <Words>6776</Words>
  <Characters>35176</Characters>
  <Application>Microsoft Office Word</Application>
  <DocSecurity>0</DocSecurity>
  <PresentationFormat/>
  <Lines>1106</Lines>
  <Paragraphs>638</Paragraphs>
  <ScaleCrop>false</ScaleCrop>
  <HeadingPairs>
    <vt:vector size="2" baseType="variant">
      <vt:variant>
        <vt:lpstr>Title</vt:lpstr>
      </vt:variant>
      <vt:variant>
        <vt:i4>1</vt:i4>
      </vt:variant>
    </vt:vector>
  </HeadingPairs>
  <TitlesOfParts>
    <vt:vector size="1" baseType="lpstr">
      <vt:lpstr>National Health (Growth Hormone Program) Special Arrangement 2015</vt:lpstr>
    </vt:vector>
  </TitlesOfParts>
  <Manager/>
  <Company/>
  <LinksUpToDate>false</LinksUpToDate>
  <CharactersWithSpaces>41504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(Growth Hormone Program) Special Arrangement 2015</dc:title>
  <dc:subject/>
  <dc:creator/>
  <cp:keywords/>
  <dc:description/>
  <cp:lastModifiedBy/>
  <cp:revision>1</cp:revision>
  <cp:lastPrinted>2013-06-07T01:38:00Z</cp:lastPrinted>
  <dcterms:created xsi:type="dcterms:W3CDTF">2021-06-11T03:54:00Z</dcterms:created>
  <dcterms:modified xsi:type="dcterms:W3CDTF">2021-06-11T03:54:00Z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National Health (Growth Hormone Program) Special Arrangement 2015</vt:lpwstr>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DoNotAsk">
    <vt:lpwstr>0</vt:lpwstr>
  </property>
  <property fmtid="{D5CDD505-2E9C-101B-9397-08002B2CF9AE}" pid="13" name="ChangedTitle">
    <vt:lpwstr/>
  </property>
  <property fmtid="{D5CDD505-2E9C-101B-9397-08002B2CF9AE}" pid="14" name="Classification">
    <vt:lpwstr>OFFICIAL</vt:lpwstr>
  </property>
  <property fmtid="{D5CDD505-2E9C-101B-9397-08002B2CF9AE}" pid="15" name="Header">
    <vt:lpwstr>Section</vt:lpwstr>
  </property>
  <property fmtid="{D5CDD505-2E9C-101B-9397-08002B2CF9AE}" pid="16" name="DLM">
    <vt:lpwstr> </vt:lpwstr>
  </property>
  <property fmtid="{D5CDD505-2E9C-101B-9397-08002B2CF9AE}" pid="17" name="DMSDOCTYPE">
    <vt:lpwstr/>
  </property>
  <property fmtid="{D5CDD505-2E9C-101B-9397-08002B2CF9AE}" pid="18" name="DraftType">
    <vt:lpwstr/>
  </property>
  <property fmtid="{D5CDD505-2E9C-101B-9397-08002B2CF9AE}" pid="19" name="WPLUSServerName">
    <vt:lpwstr/>
  </property>
  <property fmtid="{D5CDD505-2E9C-101B-9397-08002B2CF9AE}" pid="20" name="WPLUSDataBaseName">
    <vt:lpwstr/>
  </property>
  <property fmtid="{D5CDD505-2E9C-101B-9397-08002B2CF9AE}" pid="21" name="WPLUSDocumentUNID">
    <vt:lpwstr/>
  </property>
  <property fmtid="{D5CDD505-2E9C-101B-9397-08002B2CF9AE}" pid="22" name="NeverSavedToNT">
    <vt:lpwstr/>
  </property>
  <property fmtid="{D5CDD505-2E9C-101B-9397-08002B2CF9AE}" pid="23" name="CompilationVersion">
    <vt:i4>3</vt:i4>
  </property>
  <property fmtid="{D5CDD505-2E9C-101B-9397-08002B2CF9AE}" pid="24" name="CompilationNumber">
    <vt:lpwstr>15</vt:lpwstr>
  </property>
  <property fmtid="{D5CDD505-2E9C-101B-9397-08002B2CF9AE}" pid="25" name="StartDate">
    <vt:filetime>2021-05-31T14:00:00Z</vt:filetime>
  </property>
  <property fmtid="{D5CDD505-2E9C-101B-9397-08002B2CF9AE}" pid="26" name="PreparedDate">
    <vt:filetime>2015-12-03T13:00:00Z</vt:filetime>
  </property>
  <property fmtid="{D5CDD505-2E9C-101B-9397-08002B2CF9AE}" pid="27" name="RegisteredDate">
    <vt:filetime>2021-06-10T14:00:00Z</vt:filetime>
  </property>
  <property fmtid="{D5CDD505-2E9C-101B-9397-08002B2CF9AE}" pid="28" name="IncludesUpTo">
    <vt:lpwstr>F2021L00664</vt:lpwstr>
  </property>
</Properties>
</file>