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EBE7C" w14:textId="77777777" w:rsidR="00603AB1" w:rsidRPr="00A5425F" w:rsidRDefault="00603AB1" w:rsidP="00E63D8B">
      <w:pPr>
        <w:pStyle w:val="ACMAHeading1"/>
        <w:spacing w:before="360" w:after="240"/>
        <w:jc w:val="center"/>
        <w:rPr>
          <w:rFonts w:cs="Arial"/>
          <w:bCs/>
          <w:sz w:val="24"/>
          <w:szCs w:val="24"/>
        </w:rPr>
      </w:pPr>
      <w:r w:rsidRPr="00181920">
        <w:rPr>
          <w:rFonts w:cs="Arial"/>
          <w:bCs/>
          <w:sz w:val="24"/>
          <w:szCs w:val="24"/>
        </w:rPr>
        <w:t>EXPLANATORY STATEMENT</w:t>
      </w:r>
    </w:p>
    <w:p w14:paraId="082E5186" w14:textId="77777777" w:rsidR="00603AB1" w:rsidRPr="006C0180" w:rsidRDefault="00603AB1" w:rsidP="006C0180">
      <w:pPr>
        <w:pStyle w:val="ACMABodyText"/>
        <w:jc w:val="center"/>
        <w:rPr>
          <w:b/>
        </w:rPr>
      </w:pPr>
      <w:bookmarkStart w:id="0" w:name="OLE_LINK3"/>
      <w:bookmarkStart w:id="1" w:name="OLE_LINK4"/>
      <w:bookmarkStart w:id="2" w:name="OLE_LINK15"/>
      <w:r w:rsidRPr="00174AEE">
        <w:rPr>
          <w:b/>
        </w:rPr>
        <w:t>Issued by the Australian Communications and Media Authority</w:t>
      </w:r>
    </w:p>
    <w:p w14:paraId="73FA372D" w14:textId="77777777" w:rsidR="00603AB1" w:rsidRDefault="00603AB1" w:rsidP="00E63D8B">
      <w:pPr>
        <w:pStyle w:val="ACMABodyText"/>
        <w:jc w:val="center"/>
        <w:rPr>
          <w:b/>
          <w:i/>
          <w:sz w:val="22"/>
          <w:szCs w:val="22"/>
        </w:rPr>
      </w:pPr>
    </w:p>
    <w:p w14:paraId="6123ADB6" w14:textId="77777777" w:rsidR="00EC0E04" w:rsidRPr="00EC0E04" w:rsidRDefault="00EC0E04" w:rsidP="00EC0E04">
      <w:pPr>
        <w:pStyle w:val="ACMABodyText"/>
        <w:jc w:val="center"/>
        <w:rPr>
          <w:b/>
          <w:i/>
        </w:rPr>
      </w:pPr>
      <w:bookmarkStart w:id="3" w:name="Citation"/>
      <w:bookmarkEnd w:id="0"/>
      <w:bookmarkEnd w:id="1"/>
      <w:bookmarkEnd w:id="2"/>
      <w:r w:rsidRPr="00EC0E04">
        <w:rPr>
          <w:b/>
          <w:i/>
        </w:rPr>
        <w:t xml:space="preserve">Radiocommunications (Spectrum Licence Allocation — </w:t>
      </w:r>
      <w:r w:rsidR="00504BA2">
        <w:rPr>
          <w:b/>
          <w:i/>
        </w:rPr>
        <w:t xml:space="preserve">1800 MHz </w:t>
      </w:r>
      <w:r w:rsidR="00EF7973">
        <w:rPr>
          <w:b/>
          <w:i/>
        </w:rPr>
        <w:t>B</w:t>
      </w:r>
      <w:r w:rsidR="00504BA2">
        <w:rPr>
          <w:b/>
          <w:i/>
        </w:rPr>
        <w:t>and</w:t>
      </w:r>
      <w:r w:rsidRPr="00EC0E04">
        <w:rPr>
          <w:b/>
          <w:i/>
        </w:rPr>
        <w:t>) Determination 201</w:t>
      </w:r>
      <w:bookmarkEnd w:id="3"/>
      <w:r w:rsidRPr="00EC0E04">
        <w:rPr>
          <w:b/>
          <w:i/>
        </w:rPr>
        <w:t>5</w:t>
      </w:r>
    </w:p>
    <w:p w14:paraId="30CBFC67" w14:textId="77777777" w:rsidR="00603AB1" w:rsidRPr="00181920" w:rsidRDefault="00603AB1" w:rsidP="00E63D8B">
      <w:pPr>
        <w:pStyle w:val="ACMABodyText"/>
        <w:jc w:val="center"/>
        <w:rPr>
          <w:b/>
        </w:rPr>
      </w:pPr>
      <w:r w:rsidRPr="00181920">
        <w:rPr>
          <w:b/>
          <w:i/>
        </w:rPr>
        <w:t>Radiocommunications Act 1992</w:t>
      </w:r>
    </w:p>
    <w:p w14:paraId="1C9EDABB" w14:textId="77777777" w:rsidR="00603AB1" w:rsidRPr="00181920" w:rsidRDefault="00603AB1" w:rsidP="00E63D8B">
      <w:pPr>
        <w:pStyle w:val="ACMAHeading3"/>
      </w:pPr>
      <w:r w:rsidRPr="00181920">
        <w:t>Purpose</w:t>
      </w:r>
    </w:p>
    <w:p w14:paraId="1539ED36" w14:textId="77777777" w:rsidR="00C56EFC" w:rsidRDefault="00603AB1" w:rsidP="00E63D8B">
      <w:pPr>
        <w:pStyle w:val="ACMABodyText"/>
      </w:pPr>
      <w:r w:rsidRPr="00181920">
        <w:t xml:space="preserve">The </w:t>
      </w:r>
      <w:r w:rsidRPr="00181920">
        <w:rPr>
          <w:i/>
        </w:rPr>
        <w:t>Radiocommunications (Spectrum Licence Allocation</w:t>
      </w:r>
      <w:r w:rsidR="00EF7973">
        <w:rPr>
          <w:i/>
        </w:rPr>
        <w:t xml:space="preserve"> </w:t>
      </w:r>
      <w:r w:rsidRPr="00181920">
        <w:rPr>
          <w:i/>
        </w:rPr>
        <w:t>—</w:t>
      </w:r>
      <w:r w:rsidR="00EC0E04" w:rsidRPr="00EC0E04">
        <w:rPr>
          <w:b/>
          <w:i/>
        </w:rPr>
        <w:t xml:space="preserve"> </w:t>
      </w:r>
      <w:r w:rsidR="00504BA2">
        <w:rPr>
          <w:i/>
        </w:rPr>
        <w:t xml:space="preserve">1800 MHz </w:t>
      </w:r>
      <w:r w:rsidR="00EF7973">
        <w:rPr>
          <w:i/>
        </w:rPr>
        <w:t>B</w:t>
      </w:r>
      <w:r w:rsidR="00504BA2">
        <w:rPr>
          <w:i/>
        </w:rPr>
        <w:t>and</w:t>
      </w:r>
      <w:r>
        <w:rPr>
          <w:i/>
        </w:rPr>
        <w:t>) Determination 201</w:t>
      </w:r>
      <w:r w:rsidR="00EC0E04">
        <w:rPr>
          <w:i/>
        </w:rPr>
        <w:t>5</w:t>
      </w:r>
      <w:r w:rsidRPr="00181920">
        <w:rPr>
          <w:i/>
        </w:rPr>
        <w:t xml:space="preserve"> </w:t>
      </w:r>
      <w:r w:rsidRPr="00181920">
        <w:t>(</w:t>
      </w:r>
      <w:r w:rsidRPr="0053362D">
        <w:t xml:space="preserve">the </w:t>
      </w:r>
      <w:r w:rsidRPr="0039525A">
        <w:rPr>
          <w:b/>
        </w:rPr>
        <w:t>Determination</w:t>
      </w:r>
      <w:r w:rsidRPr="00181920">
        <w:t>) sets out the procedures to be applied in allocating spectrum licences</w:t>
      </w:r>
      <w:r w:rsidR="00EC0E04">
        <w:t xml:space="preserve"> </w:t>
      </w:r>
      <w:r w:rsidR="00BF1183">
        <w:t>in</w:t>
      </w:r>
      <w:r w:rsidR="00EF7973">
        <w:t xml:space="preserve"> parts of</w:t>
      </w:r>
      <w:r w:rsidR="00BF1183">
        <w:t xml:space="preserve"> the 1800 MHz band</w:t>
      </w:r>
      <w:r w:rsidR="001D1BCF">
        <w:t xml:space="preserve">. The procedures include the auction rules </w:t>
      </w:r>
      <w:r w:rsidR="00F12369">
        <w:t xml:space="preserve">in Schedule </w:t>
      </w:r>
      <w:r w:rsidR="001D1BCF">
        <w:t>1</w:t>
      </w:r>
      <w:r w:rsidR="00F12369">
        <w:t xml:space="preserve"> </w:t>
      </w:r>
      <w:r w:rsidR="00D83986">
        <w:t>to</w:t>
      </w:r>
      <w:r w:rsidR="00F12369">
        <w:t xml:space="preserve"> the Determination</w:t>
      </w:r>
      <w:r w:rsidR="00BF1183">
        <w:t>.</w:t>
      </w:r>
    </w:p>
    <w:p w14:paraId="6A4DE9B6" w14:textId="77777777" w:rsidR="00603AB1" w:rsidRPr="00181920" w:rsidRDefault="00603AB1" w:rsidP="00E63D8B">
      <w:pPr>
        <w:pStyle w:val="ACMAHeading3"/>
      </w:pPr>
      <w:r w:rsidRPr="00181920">
        <w:t xml:space="preserve">Legislative </w:t>
      </w:r>
      <w:r w:rsidRPr="00181920">
        <w:rPr>
          <w:szCs w:val="22"/>
        </w:rPr>
        <w:t>Provisions</w:t>
      </w:r>
    </w:p>
    <w:p w14:paraId="4A0BD4B1" w14:textId="77777777" w:rsidR="00603AB1" w:rsidRPr="00181920" w:rsidRDefault="00603AB1" w:rsidP="00E63D8B">
      <w:pPr>
        <w:pStyle w:val="ACMABodyText"/>
      </w:pPr>
      <w:r>
        <w:t>The Determination is made under s</w:t>
      </w:r>
      <w:r w:rsidRPr="00181920">
        <w:t>ection</w:t>
      </w:r>
      <w:r>
        <w:t>s</w:t>
      </w:r>
      <w:r w:rsidRPr="00181920">
        <w:t xml:space="preserve"> 60</w:t>
      </w:r>
      <w:r>
        <w:t xml:space="preserve"> and 294</w:t>
      </w:r>
      <w:r w:rsidRPr="00181920">
        <w:t xml:space="preserve"> of the </w:t>
      </w:r>
      <w:r w:rsidRPr="00181920">
        <w:rPr>
          <w:i/>
        </w:rPr>
        <w:t>Radiocommunications Act 1992</w:t>
      </w:r>
      <w:r w:rsidRPr="00181920">
        <w:t xml:space="preserve"> (</w:t>
      </w:r>
      <w:r w:rsidRPr="0053362D">
        <w:t xml:space="preserve">the </w:t>
      </w:r>
      <w:r w:rsidRPr="0039525A">
        <w:rPr>
          <w:b/>
        </w:rPr>
        <w:t>Act</w:t>
      </w:r>
      <w:r w:rsidRPr="00181920">
        <w:t>)</w:t>
      </w:r>
      <w:r>
        <w:t>. Under section 60,</w:t>
      </w:r>
      <w:r w:rsidRPr="00181920">
        <w:t xml:space="preserve"> the Australian </w:t>
      </w:r>
      <w:r w:rsidRPr="00181920">
        <w:rPr>
          <w:szCs w:val="22"/>
        </w:rPr>
        <w:t>Communications</w:t>
      </w:r>
      <w:r w:rsidRPr="00181920">
        <w:t xml:space="preserve"> and Media Authority (</w:t>
      </w:r>
      <w:r w:rsidRPr="0053362D">
        <w:t xml:space="preserve">the </w:t>
      </w:r>
      <w:r w:rsidRPr="0039525A">
        <w:rPr>
          <w:b/>
        </w:rPr>
        <w:t>ACMA</w:t>
      </w:r>
      <w:r w:rsidRPr="00181920">
        <w:t>) must determine, in writing, the procedures to be applied in allocating spectrum licences by auction</w:t>
      </w:r>
      <w:r w:rsidR="00BF1183">
        <w:t>, by tender or by allocation for a pre-determined or negotiated price</w:t>
      </w:r>
      <w:r w:rsidR="00EF7973">
        <w:t>. U</w:t>
      </w:r>
      <w:r>
        <w:t>nder section 294</w:t>
      </w:r>
      <w:r w:rsidR="003159C2">
        <w:t>,</w:t>
      </w:r>
      <w:r>
        <w:t xml:space="preserve"> the ACMA may make determinations fixing spectrum access charges payable by licensees for issuing spectrum licences, and specifying the times when the charges are payable</w:t>
      </w:r>
      <w:r w:rsidRPr="00181920">
        <w:t>.</w:t>
      </w:r>
    </w:p>
    <w:p w14:paraId="42EB6184" w14:textId="77777777" w:rsidR="00603AB1" w:rsidRPr="00181920" w:rsidRDefault="00603AB1" w:rsidP="00E63D8B">
      <w:pPr>
        <w:pStyle w:val="ACMAHeading3"/>
      </w:pPr>
      <w:r w:rsidRPr="00181920">
        <w:t>Background</w:t>
      </w:r>
      <w:r w:rsidR="00EC0E04">
        <w:t xml:space="preserve">  </w:t>
      </w:r>
    </w:p>
    <w:p w14:paraId="5B08EF46" w14:textId="77777777" w:rsidR="007A4334" w:rsidRPr="003D08D9" w:rsidRDefault="003D0F7F" w:rsidP="00E63D8B">
      <w:pPr>
        <w:pStyle w:val="ACMABodyText"/>
        <w:rPr>
          <w:i/>
          <w:lang w:val="en-US"/>
        </w:rPr>
      </w:pPr>
      <w:r w:rsidRPr="003D08D9">
        <w:rPr>
          <w:i/>
          <w:lang w:val="en-US"/>
        </w:rPr>
        <w:t xml:space="preserve">Previous 1800 MHz </w:t>
      </w:r>
      <w:r w:rsidR="003159C2" w:rsidRPr="003D08D9">
        <w:rPr>
          <w:i/>
          <w:lang w:val="en-US"/>
        </w:rPr>
        <w:t xml:space="preserve">band </w:t>
      </w:r>
      <w:r w:rsidRPr="003D08D9">
        <w:rPr>
          <w:i/>
          <w:lang w:val="en-US"/>
        </w:rPr>
        <w:t>allocations</w:t>
      </w:r>
    </w:p>
    <w:p w14:paraId="00D046F8" w14:textId="77777777" w:rsidR="00146576" w:rsidRDefault="00867A3A" w:rsidP="004969C7">
      <w:pPr>
        <w:pStyle w:val="ACMABodyText"/>
      </w:pPr>
      <w:r w:rsidRPr="003D0F7F">
        <w:t xml:space="preserve">Spectrum licences in </w:t>
      </w:r>
      <w:r w:rsidR="003159C2">
        <w:t xml:space="preserve">parts of </w:t>
      </w:r>
      <w:r w:rsidRPr="003D0F7F">
        <w:t xml:space="preserve">the 1800 MHz band </w:t>
      </w:r>
      <w:r w:rsidR="001D022F">
        <w:t>(1710 MHz</w:t>
      </w:r>
      <w:r w:rsidR="001D1BCF">
        <w:t xml:space="preserve"> – </w:t>
      </w:r>
      <w:r w:rsidR="001D022F">
        <w:t>1785 MHz</w:t>
      </w:r>
      <w:r w:rsidR="001D1BCF">
        <w:t xml:space="preserve"> and </w:t>
      </w:r>
      <w:r w:rsidR="001D022F">
        <w:t>1805</w:t>
      </w:r>
      <w:r w:rsidR="001D1BCF">
        <w:t xml:space="preserve"> MHz – </w:t>
      </w:r>
      <w:r w:rsidR="001D022F">
        <w:t xml:space="preserve">1880 MHz) </w:t>
      </w:r>
      <w:r w:rsidRPr="003D0F7F">
        <w:t xml:space="preserve">were </w:t>
      </w:r>
      <w:r w:rsidR="00DB5138">
        <w:t xml:space="preserve">previously </w:t>
      </w:r>
      <w:r w:rsidR="003D0F7F">
        <w:t xml:space="preserve">auctioned </w:t>
      </w:r>
      <w:r w:rsidR="00DB5138">
        <w:t>for</w:t>
      </w:r>
      <w:r w:rsidRPr="003D0F7F">
        <w:t xml:space="preserve"> the </w:t>
      </w:r>
      <w:r w:rsidR="003D0F7F" w:rsidRPr="003D0F7F">
        <w:t>5</w:t>
      </w:r>
      <w:r w:rsidRPr="003D0F7F">
        <w:t xml:space="preserve"> mainland State capital</w:t>
      </w:r>
      <w:r w:rsidR="003159C2">
        <w:t xml:space="preserve"> cities</w:t>
      </w:r>
      <w:r w:rsidRPr="003D0F7F">
        <w:t xml:space="preserve"> (2 x 75 MHz) and </w:t>
      </w:r>
      <w:r w:rsidR="003D0F7F" w:rsidRPr="003D0F7F">
        <w:t>the other 3 capital</w:t>
      </w:r>
      <w:r w:rsidR="003159C2">
        <w:t xml:space="preserve"> cities</w:t>
      </w:r>
      <w:r w:rsidR="003D0F7F" w:rsidRPr="003D0F7F">
        <w:t xml:space="preserve"> and some regional areas </w:t>
      </w:r>
      <w:r w:rsidR="003D0F7F">
        <w:t>(</w:t>
      </w:r>
      <w:r w:rsidR="003D0F7F" w:rsidRPr="003D0F7F">
        <w:t>2 x 15 MHz</w:t>
      </w:r>
      <w:r w:rsidR="003D0F7F">
        <w:t>)</w:t>
      </w:r>
      <w:r w:rsidR="003D0F7F" w:rsidRPr="003D0F7F">
        <w:t xml:space="preserve"> in</w:t>
      </w:r>
      <w:r w:rsidRPr="003D0F7F">
        <w:t xml:space="preserve"> </w:t>
      </w:r>
      <w:r w:rsidR="0086380A">
        <w:t>2</w:t>
      </w:r>
      <w:r w:rsidRPr="003D0F7F">
        <w:t xml:space="preserve"> tranches. </w:t>
      </w:r>
      <w:r w:rsidR="00146576">
        <w:t>The auctions occurred as follows:</w:t>
      </w:r>
    </w:p>
    <w:p w14:paraId="513F5935" w14:textId="77777777" w:rsidR="00146576" w:rsidRDefault="00867A3A" w:rsidP="007E36D0">
      <w:pPr>
        <w:pStyle w:val="ACMABodyText"/>
        <w:ind w:firstLine="360"/>
      </w:pPr>
      <w:r w:rsidRPr="003D0F7F">
        <w:t xml:space="preserve">Tranche </w:t>
      </w:r>
      <w:r w:rsidRPr="00AE4FF6">
        <w:t>1</w:t>
      </w:r>
      <w:r w:rsidR="00146576">
        <w:t xml:space="preserve"> in 1998 (licences </w:t>
      </w:r>
      <w:r w:rsidR="00146576" w:rsidRPr="003D0F7F">
        <w:t>exp</w:t>
      </w:r>
      <w:r w:rsidR="00146576">
        <w:t>ired</w:t>
      </w:r>
      <w:r w:rsidR="00146576" w:rsidRPr="003D0F7F">
        <w:t xml:space="preserve"> on 17 June 2013)</w:t>
      </w:r>
    </w:p>
    <w:p w14:paraId="064E1A2E" w14:textId="77777777" w:rsidR="00146576" w:rsidRDefault="00FE24C3" w:rsidP="007E36D0">
      <w:pPr>
        <w:pStyle w:val="ACMABodyText"/>
        <w:numPr>
          <w:ilvl w:val="0"/>
          <w:numId w:val="47"/>
        </w:numPr>
      </w:pPr>
      <w:r>
        <w:t xml:space="preserve">1710 MHz – 1755 MHz </w:t>
      </w:r>
      <w:r w:rsidR="00146576">
        <w:t>paired with</w:t>
      </w:r>
      <w:r>
        <w:t xml:space="preserve"> 1805 MHz – 1850 MHz </w:t>
      </w:r>
      <w:r w:rsidR="00146576">
        <w:t xml:space="preserve">for the </w:t>
      </w:r>
      <w:r>
        <w:t>5 mainland State capital cities</w:t>
      </w:r>
      <w:r w:rsidR="00146576">
        <w:t>;</w:t>
      </w:r>
      <w:r>
        <w:t xml:space="preserve"> and </w:t>
      </w:r>
    </w:p>
    <w:p w14:paraId="7D4F0011" w14:textId="77777777" w:rsidR="00146576" w:rsidRDefault="00FE24C3" w:rsidP="007E36D0">
      <w:pPr>
        <w:pStyle w:val="ACMABodyText"/>
        <w:numPr>
          <w:ilvl w:val="0"/>
          <w:numId w:val="47"/>
        </w:numPr>
      </w:pPr>
      <w:r>
        <w:t xml:space="preserve">1710 MHz – 1725 MHz </w:t>
      </w:r>
      <w:r w:rsidR="00146576">
        <w:t xml:space="preserve">paired with </w:t>
      </w:r>
      <w:r>
        <w:t xml:space="preserve">1805 MHz – 1820 MHz </w:t>
      </w:r>
      <w:r w:rsidR="00146576">
        <w:t>for the other 3 capital cities and some regional areas;</w:t>
      </w:r>
    </w:p>
    <w:p w14:paraId="5AC29691" w14:textId="6DB388D6" w:rsidR="00146576" w:rsidRDefault="00867A3A" w:rsidP="007E36D0">
      <w:pPr>
        <w:pStyle w:val="ACMABodyText"/>
        <w:ind w:firstLine="360"/>
      </w:pPr>
      <w:r w:rsidRPr="003D0F7F">
        <w:t xml:space="preserve">Tranche 2 </w:t>
      </w:r>
      <w:r w:rsidR="00146576">
        <w:t>in 200</w:t>
      </w:r>
      <w:r w:rsidR="006F119F">
        <w:t>0</w:t>
      </w:r>
      <w:r w:rsidR="00146576">
        <w:t xml:space="preserve"> </w:t>
      </w:r>
      <w:r w:rsidR="00146576" w:rsidRPr="003D0F7F">
        <w:t>(</w:t>
      </w:r>
      <w:r w:rsidR="00146576">
        <w:t xml:space="preserve">licences </w:t>
      </w:r>
      <w:r w:rsidR="00146576" w:rsidRPr="003D0F7F">
        <w:t>expir</w:t>
      </w:r>
      <w:r w:rsidR="00146576">
        <w:t>ed on 3 May 2015)</w:t>
      </w:r>
    </w:p>
    <w:p w14:paraId="76172565" w14:textId="77777777" w:rsidR="00146576" w:rsidRDefault="00EA2D9A" w:rsidP="007E36D0">
      <w:pPr>
        <w:pStyle w:val="ACMABodyText"/>
        <w:numPr>
          <w:ilvl w:val="0"/>
          <w:numId w:val="48"/>
        </w:numPr>
      </w:pPr>
      <w:r>
        <w:t xml:space="preserve">1755 MHz </w:t>
      </w:r>
      <w:r w:rsidR="00FE24C3">
        <w:t xml:space="preserve">– </w:t>
      </w:r>
      <w:r>
        <w:t>1785 MHz</w:t>
      </w:r>
      <w:r w:rsidR="00FE24C3">
        <w:t xml:space="preserve"> </w:t>
      </w:r>
      <w:r w:rsidR="00146576">
        <w:t>paired with</w:t>
      </w:r>
      <w:r w:rsidR="00FE24C3">
        <w:t xml:space="preserve"> </w:t>
      </w:r>
      <w:r>
        <w:t>1850</w:t>
      </w:r>
      <w:r w:rsidR="00FE24C3">
        <w:t xml:space="preserve"> MHz – </w:t>
      </w:r>
      <w:r>
        <w:t xml:space="preserve">1880 MHz </w:t>
      </w:r>
      <w:r w:rsidR="00146576">
        <w:t>for the</w:t>
      </w:r>
      <w:r>
        <w:t xml:space="preserve"> 5 mainland State capital cities</w:t>
      </w:r>
      <w:r w:rsidR="00146576">
        <w:t>.</w:t>
      </w:r>
    </w:p>
    <w:p w14:paraId="71028308" w14:textId="77777777" w:rsidR="00867A3A" w:rsidRPr="003D0F7F" w:rsidRDefault="00867A3A" w:rsidP="004969C7">
      <w:pPr>
        <w:pStyle w:val="ACMABodyText"/>
      </w:pPr>
      <w:r w:rsidRPr="003D0F7F">
        <w:t>The ACMA</w:t>
      </w:r>
      <w:r w:rsidR="00AE4FF6">
        <w:t>,</w:t>
      </w:r>
      <w:r w:rsidRPr="003D0F7F">
        <w:t xml:space="preserve"> </w:t>
      </w:r>
      <w:r w:rsidR="001D022F">
        <w:t>under s</w:t>
      </w:r>
      <w:r w:rsidR="00AE4FF6">
        <w:t xml:space="preserve">ection </w:t>
      </w:r>
      <w:r w:rsidR="001D022F">
        <w:t>82 of the Act</w:t>
      </w:r>
      <w:r w:rsidR="003A7E6F">
        <w:t>,</w:t>
      </w:r>
      <w:r w:rsidR="003D08D9">
        <w:t xml:space="preserve"> </w:t>
      </w:r>
      <w:r w:rsidRPr="003D0F7F">
        <w:t>re</w:t>
      </w:r>
      <w:r w:rsidR="00146576">
        <w:t>-</w:t>
      </w:r>
      <w:r w:rsidRPr="003D0F7F">
        <w:t>issued the majority of</w:t>
      </w:r>
      <w:r w:rsidR="00BB1590">
        <w:t xml:space="preserve"> spectrum licences issued as part of</w:t>
      </w:r>
      <w:r w:rsidRPr="003D0F7F">
        <w:t xml:space="preserve"> </w:t>
      </w:r>
      <w:r w:rsidR="00BB1590">
        <w:t>t</w:t>
      </w:r>
      <w:r w:rsidRPr="003D0F7F">
        <w:t xml:space="preserve">ranche 1 and </w:t>
      </w:r>
      <w:r w:rsidR="00853902">
        <w:t>as part of tranche 2</w:t>
      </w:r>
      <w:r w:rsidRPr="003D0F7F">
        <w:t xml:space="preserve">. The ACMA has aligned the expiry dates </w:t>
      </w:r>
      <w:r w:rsidR="00F66CC5">
        <w:t xml:space="preserve">of all of the re-issued </w:t>
      </w:r>
      <w:r w:rsidRPr="003D0F7F">
        <w:t xml:space="preserve">spectrum licences </w:t>
      </w:r>
      <w:r w:rsidR="00F66CC5">
        <w:t>such that</w:t>
      </w:r>
      <w:r w:rsidRPr="003D0F7F">
        <w:t xml:space="preserve"> the</w:t>
      </w:r>
      <w:r w:rsidR="00F66CC5">
        <w:t>y have the</w:t>
      </w:r>
      <w:r w:rsidRPr="003D0F7F">
        <w:t xml:space="preserve"> same expiry date of 17 June 2028.</w:t>
      </w:r>
    </w:p>
    <w:p w14:paraId="0869C71D" w14:textId="77777777" w:rsidR="003D08D9" w:rsidRDefault="003D08D9" w:rsidP="004969C7">
      <w:pPr>
        <w:pStyle w:val="ACMABodyText"/>
        <w:rPr>
          <w:i/>
        </w:rPr>
      </w:pPr>
      <w:r>
        <w:rPr>
          <w:i/>
        </w:rPr>
        <w:t xml:space="preserve">Current </w:t>
      </w:r>
      <w:r w:rsidR="005F262C">
        <w:rPr>
          <w:i/>
        </w:rPr>
        <w:t xml:space="preserve">1800 MHz </w:t>
      </w:r>
      <w:r>
        <w:rPr>
          <w:i/>
        </w:rPr>
        <w:t>allocation</w:t>
      </w:r>
    </w:p>
    <w:p w14:paraId="5D086B17" w14:textId="77777777" w:rsidR="005E6583" w:rsidRPr="00BC24A5" w:rsidRDefault="005E6583" w:rsidP="005E6583">
      <w:pPr>
        <w:pStyle w:val="ACMABodyText"/>
        <w:rPr>
          <w:lang w:val="en-US"/>
        </w:rPr>
      </w:pPr>
      <w:r w:rsidRPr="00ED2C15">
        <w:rPr>
          <w:lang w:val="en-US"/>
        </w:rPr>
        <w:t xml:space="preserve">All the parts of the spectrum </w:t>
      </w:r>
      <w:r w:rsidR="00F12369">
        <w:rPr>
          <w:lang w:val="en-US"/>
        </w:rPr>
        <w:t xml:space="preserve">scheduled </w:t>
      </w:r>
      <w:r>
        <w:rPr>
          <w:lang w:val="en-US"/>
        </w:rPr>
        <w:t xml:space="preserve">to be allocated </w:t>
      </w:r>
      <w:r w:rsidRPr="00ED2C15">
        <w:rPr>
          <w:lang w:val="en-US"/>
        </w:rPr>
        <w:t xml:space="preserve">in the 1800 MHz band </w:t>
      </w:r>
      <w:r w:rsidR="00F12369">
        <w:rPr>
          <w:lang w:val="en-US"/>
        </w:rPr>
        <w:t xml:space="preserve">in late 2015 </w:t>
      </w:r>
      <w:r w:rsidR="00A206FF">
        <w:rPr>
          <w:lang w:val="en-US"/>
        </w:rPr>
        <w:t xml:space="preserve">by issuing spectrum licences </w:t>
      </w:r>
      <w:r w:rsidRPr="00ED2C15">
        <w:rPr>
          <w:lang w:val="en-US"/>
        </w:rPr>
        <w:t xml:space="preserve">are </w:t>
      </w:r>
      <w:r w:rsidR="00A206FF">
        <w:rPr>
          <w:lang w:val="en-US"/>
        </w:rPr>
        <w:t>specified</w:t>
      </w:r>
      <w:r w:rsidRPr="00ED2C15">
        <w:rPr>
          <w:lang w:val="en-US"/>
        </w:rPr>
        <w:t xml:space="preserve"> in the </w:t>
      </w:r>
      <w:r w:rsidR="00BC24A5" w:rsidRPr="00ED2C15">
        <w:rPr>
          <w:i/>
          <w:lang w:val="en-US"/>
        </w:rPr>
        <w:t>Radiocommunications (Spectrum Re-allocation</w:t>
      </w:r>
      <w:r w:rsidR="00BC24A5" w:rsidRPr="00ED2C15">
        <w:rPr>
          <w:i/>
        </w:rPr>
        <w:t>―Regional 1800 MHz Band</w:t>
      </w:r>
      <w:r w:rsidR="00BC24A5" w:rsidRPr="00ED2C15">
        <w:rPr>
          <w:i/>
          <w:lang w:val="en-US"/>
        </w:rPr>
        <w:t>) Declaration</w:t>
      </w:r>
      <w:r w:rsidR="00F66CC5">
        <w:rPr>
          <w:i/>
          <w:lang w:val="en-US"/>
        </w:rPr>
        <w:t xml:space="preserve"> </w:t>
      </w:r>
      <w:r w:rsidR="00BC24A5" w:rsidRPr="00ED2C15">
        <w:rPr>
          <w:i/>
          <w:lang w:val="en-US"/>
        </w:rPr>
        <w:t xml:space="preserve">2015 </w:t>
      </w:r>
      <w:r w:rsidR="00BC24A5" w:rsidRPr="00ED2C15">
        <w:rPr>
          <w:lang w:val="en-US"/>
        </w:rPr>
        <w:t xml:space="preserve">(the </w:t>
      </w:r>
      <w:r w:rsidR="00BC24A5" w:rsidRPr="00ED2C15">
        <w:rPr>
          <w:b/>
          <w:lang w:val="en-US"/>
        </w:rPr>
        <w:t>re-allocation</w:t>
      </w:r>
      <w:r w:rsidR="00BC24A5" w:rsidRPr="00ED2C15">
        <w:rPr>
          <w:lang w:val="en-US"/>
        </w:rPr>
        <w:t xml:space="preserve"> </w:t>
      </w:r>
      <w:r w:rsidR="00BC24A5" w:rsidRPr="00ED2C15">
        <w:rPr>
          <w:b/>
          <w:lang w:val="en-US"/>
        </w:rPr>
        <w:t>declaration</w:t>
      </w:r>
      <w:r w:rsidR="00BC24A5" w:rsidRPr="00ED2C15">
        <w:rPr>
          <w:lang w:val="en-US"/>
        </w:rPr>
        <w:t>)</w:t>
      </w:r>
      <w:r w:rsidR="00BC24A5">
        <w:rPr>
          <w:lang w:val="en-US"/>
        </w:rPr>
        <w:t xml:space="preserve"> and the </w:t>
      </w:r>
      <w:r w:rsidRPr="00ED2C15">
        <w:rPr>
          <w:i/>
          <w:lang w:val="en-US"/>
        </w:rPr>
        <w:t xml:space="preserve">Radiocommunications (Spectrum Designation) Notice No. 1 of 2014 </w:t>
      </w:r>
      <w:r w:rsidRPr="00ED2C15">
        <w:rPr>
          <w:lang w:val="en-US"/>
        </w:rPr>
        <w:t xml:space="preserve">(the </w:t>
      </w:r>
      <w:r w:rsidRPr="00ED2C15">
        <w:rPr>
          <w:b/>
          <w:lang w:val="en-US"/>
        </w:rPr>
        <w:t>designation notice</w:t>
      </w:r>
      <w:r w:rsidRPr="00ED2C15">
        <w:rPr>
          <w:lang w:val="en-US"/>
        </w:rPr>
        <w:t>).</w:t>
      </w:r>
      <w:r w:rsidRPr="00ED2C15">
        <w:rPr>
          <w:i/>
          <w:lang w:val="en-US"/>
        </w:rPr>
        <w:t xml:space="preserve"> </w:t>
      </w:r>
      <w:r w:rsidR="00BC24A5">
        <w:rPr>
          <w:i/>
          <w:lang w:val="en-US"/>
        </w:rPr>
        <w:t xml:space="preserve"> </w:t>
      </w:r>
      <w:r w:rsidR="00BC24A5">
        <w:rPr>
          <w:lang w:val="en-US"/>
        </w:rPr>
        <w:t>These</w:t>
      </w:r>
      <w:r w:rsidR="00A206FF">
        <w:rPr>
          <w:lang w:val="en-US"/>
        </w:rPr>
        <w:t xml:space="preserve"> relevant spectrum</w:t>
      </w:r>
      <w:r w:rsidR="00BC24A5">
        <w:rPr>
          <w:lang w:val="en-US"/>
        </w:rPr>
        <w:t xml:space="preserve"> lots are</w:t>
      </w:r>
      <w:r w:rsidR="00A206FF">
        <w:rPr>
          <w:lang w:val="en-US"/>
        </w:rPr>
        <w:t xml:space="preserve"> set out in the </w:t>
      </w:r>
      <w:r w:rsidR="00A206FF" w:rsidRPr="00181920">
        <w:rPr>
          <w:i/>
        </w:rPr>
        <w:t xml:space="preserve">Radiocommunications Spectrum </w:t>
      </w:r>
      <w:r w:rsidR="00A206FF">
        <w:rPr>
          <w:i/>
        </w:rPr>
        <w:t xml:space="preserve">Marketing Plan (1800 MHz Band) 2015 </w:t>
      </w:r>
      <w:r w:rsidR="00A206FF" w:rsidRPr="00181920">
        <w:t>(</w:t>
      </w:r>
      <w:r w:rsidR="00A206FF" w:rsidRPr="0053362D">
        <w:t xml:space="preserve">the </w:t>
      </w:r>
      <w:r w:rsidR="00F165E1" w:rsidRPr="00F165E1">
        <w:rPr>
          <w:b/>
        </w:rPr>
        <w:t>m</w:t>
      </w:r>
      <w:r w:rsidR="00A206FF" w:rsidRPr="007E36D0">
        <w:rPr>
          <w:b/>
        </w:rPr>
        <w:t xml:space="preserve">arketing </w:t>
      </w:r>
      <w:r w:rsidR="00F165E1">
        <w:rPr>
          <w:b/>
        </w:rPr>
        <w:t>p</w:t>
      </w:r>
      <w:r w:rsidR="00A206FF" w:rsidRPr="007E36D0">
        <w:rPr>
          <w:b/>
        </w:rPr>
        <w:t>lan</w:t>
      </w:r>
      <w:r w:rsidR="00A206FF">
        <w:t>).</w:t>
      </w:r>
    </w:p>
    <w:p w14:paraId="27013D1B" w14:textId="77777777" w:rsidR="00BC24A5" w:rsidRDefault="003E48AB" w:rsidP="00BC24A5">
      <w:pPr>
        <w:pStyle w:val="ACMABodyText"/>
        <w:rPr>
          <w:lang w:val="en-US"/>
        </w:rPr>
      </w:pPr>
      <w:r>
        <w:rPr>
          <w:lang w:val="en-US"/>
        </w:rPr>
        <w:lastRenderedPageBreak/>
        <w:t xml:space="preserve">For </w:t>
      </w:r>
      <w:r w:rsidR="00BC24A5">
        <w:rPr>
          <w:lang w:val="en-US"/>
        </w:rPr>
        <w:t xml:space="preserve">the </w:t>
      </w:r>
      <w:r w:rsidR="00BC24A5" w:rsidRPr="007E36D0">
        <w:rPr>
          <w:lang w:val="en-US"/>
        </w:rPr>
        <w:t xml:space="preserve">re-allocation </w:t>
      </w:r>
      <w:r w:rsidR="00A206FF" w:rsidRPr="007E36D0">
        <w:rPr>
          <w:lang w:val="en-US"/>
        </w:rPr>
        <w:t>declaration</w:t>
      </w:r>
      <w:r w:rsidR="00BC24A5" w:rsidRPr="003E48AB">
        <w:rPr>
          <w:lang w:val="en-US"/>
        </w:rPr>
        <w:t>,</w:t>
      </w:r>
      <w:r w:rsidR="00BC24A5">
        <w:rPr>
          <w:lang w:val="en-US"/>
        </w:rPr>
        <w:t xml:space="preserve"> the lots </w:t>
      </w:r>
      <w:r>
        <w:rPr>
          <w:lang w:val="en-US"/>
        </w:rPr>
        <w:t xml:space="preserve">have been determined </w:t>
      </w:r>
      <w:r w:rsidR="00150D85">
        <w:rPr>
          <w:lang w:val="en-US"/>
        </w:rPr>
        <w:t>as follows</w:t>
      </w:r>
      <w:r w:rsidR="00EE2536">
        <w:rPr>
          <w:lang w:val="en-US"/>
        </w:rPr>
        <w:t>:</w:t>
      </w:r>
    </w:p>
    <w:p w14:paraId="7591EFED" w14:textId="77777777" w:rsidR="00BC24A5" w:rsidRPr="00DC61B8" w:rsidRDefault="00BC24A5" w:rsidP="003E48AB">
      <w:pPr>
        <w:pStyle w:val="ACMABodyText"/>
        <w:ind w:left="426"/>
        <w:rPr>
          <w:u w:val="single"/>
          <w:lang w:val="en-US"/>
        </w:rPr>
      </w:pPr>
      <w:r w:rsidRPr="00DC61B8">
        <w:rPr>
          <w:u w:val="single"/>
          <w:lang w:val="en-US"/>
        </w:rPr>
        <w:t xml:space="preserve">Category 1 </w:t>
      </w:r>
    </w:p>
    <w:p w14:paraId="7AAE3CFF" w14:textId="77777777" w:rsidR="003E48AB" w:rsidRPr="005E6583" w:rsidRDefault="00DC61B8" w:rsidP="003E48AB">
      <w:pPr>
        <w:pStyle w:val="ACMABodyText"/>
        <w:ind w:left="426"/>
        <w:rPr>
          <w:lang w:val="en-US"/>
        </w:rPr>
      </w:pPr>
      <w:r>
        <w:rPr>
          <w:lang w:val="en-US"/>
        </w:rPr>
        <w:t>12 lots of (</w:t>
      </w:r>
      <w:r w:rsidR="003E48AB">
        <w:rPr>
          <w:lang w:val="en-US"/>
        </w:rPr>
        <w:t xml:space="preserve">each of </w:t>
      </w:r>
      <w:r>
        <w:rPr>
          <w:lang w:val="en-US"/>
        </w:rPr>
        <w:t>2 x</w:t>
      </w:r>
      <w:r w:rsidR="003E48AB">
        <w:rPr>
          <w:lang w:val="en-US"/>
        </w:rPr>
        <w:t xml:space="preserve"> </w:t>
      </w:r>
      <w:r>
        <w:rPr>
          <w:lang w:val="en-US"/>
        </w:rPr>
        <w:t xml:space="preserve">5 MHz) in the </w:t>
      </w:r>
      <w:r w:rsidR="003E48AB">
        <w:rPr>
          <w:lang w:val="en-US"/>
        </w:rPr>
        <w:t xml:space="preserve">paired bands </w:t>
      </w:r>
      <w:r w:rsidR="00BC24A5" w:rsidRPr="005E6583">
        <w:rPr>
          <w:lang w:val="en-US"/>
        </w:rPr>
        <w:t>1725</w:t>
      </w:r>
      <w:r w:rsidR="003E48AB">
        <w:rPr>
          <w:lang w:val="en-US"/>
        </w:rPr>
        <w:t xml:space="preserve"> MHz – </w:t>
      </w:r>
      <w:r w:rsidR="00BC24A5" w:rsidRPr="005E6583">
        <w:rPr>
          <w:lang w:val="en-US"/>
        </w:rPr>
        <w:t>1785 MHz</w:t>
      </w:r>
      <w:r w:rsidR="003E48AB">
        <w:rPr>
          <w:lang w:val="en-US"/>
        </w:rPr>
        <w:t xml:space="preserve"> and</w:t>
      </w:r>
      <w:r w:rsidR="00BC24A5" w:rsidRPr="005E6583">
        <w:rPr>
          <w:lang w:val="en-US"/>
        </w:rPr>
        <w:t xml:space="preserve"> 182</w:t>
      </w:r>
      <w:r w:rsidR="003E48AB">
        <w:rPr>
          <w:lang w:val="en-US"/>
        </w:rPr>
        <w:t xml:space="preserve">0 MHz – </w:t>
      </w:r>
      <w:r w:rsidR="00BC24A5" w:rsidRPr="005E6583">
        <w:rPr>
          <w:lang w:val="en-US"/>
        </w:rPr>
        <w:t>188</w:t>
      </w:r>
      <w:r w:rsidR="003E48AB">
        <w:rPr>
          <w:lang w:val="en-US"/>
        </w:rPr>
        <w:t>0</w:t>
      </w:r>
      <w:r w:rsidR="00BC24A5" w:rsidRPr="005E6583">
        <w:rPr>
          <w:lang w:val="en-US"/>
        </w:rPr>
        <w:t xml:space="preserve"> MHz</w:t>
      </w:r>
      <w:r>
        <w:rPr>
          <w:lang w:val="en-US"/>
        </w:rPr>
        <w:t xml:space="preserve"> in each of </w:t>
      </w:r>
      <w:r w:rsidR="00BC24A5">
        <w:rPr>
          <w:lang w:val="en-US"/>
        </w:rPr>
        <w:t>12 areas</w:t>
      </w:r>
      <w:r>
        <w:rPr>
          <w:lang w:val="en-US"/>
        </w:rPr>
        <w:t xml:space="preserve"> </w:t>
      </w:r>
      <w:r w:rsidR="003E48AB">
        <w:rPr>
          <w:lang w:val="en-US"/>
        </w:rPr>
        <w:t>comprising</w:t>
      </w:r>
      <w:r w:rsidR="00BC24A5">
        <w:rPr>
          <w:lang w:val="en-US"/>
        </w:rPr>
        <w:t xml:space="preserve"> </w:t>
      </w:r>
      <w:r w:rsidR="00BC24A5" w:rsidRPr="005E6583">
        <w:rPr>
          <w:lang w:val="en-US"/>
        </w:rPr>
        <w:t>Canberra, Darwin and Hobart and 9 other regional areas</w:t>
      </w:r>
      <w:r>
        <w:rPr>
          <w:lang w:val="en-US"/>
        </w:rPr>
        <w:t xml:space="preserve"> (that is</w:t>
      </w:r>
      <w:r w:rsidR="003E48AB">
        <w:rPr>
          <w:lang w:val="en-US"/>
        </w:rPr>
        <w:t>,</w:t>
      </w:r>
      <w:r>
        <w:rPr>
          <w:lang w:val="en-US"/>
        </w:rPr>
        <w:t xml:space="preserve"> 144 lots in total for category 1)</w:t>
      </w:r>
      <w:r w:rsidR="00BC24A5" w:rsidRPr="005E6583">
        <w:rPr>
          <w:lang w:val="en-US"/>
        </w:rPr>
        <w:t xml:space="preserve">.  </w:t>
      </w:r>
    </w:p>
    <w:p w14:paraId="0967040B" w14:textId="77777777" w:rsidR="00BC24A5" w:rsidRPr="00BC24A5" w:rsidRDefault="003E48AB" w:rsidP="005E6583">
      <w:pPr>
        <w:pStyle w:val="ACMABodyText"/>
        <w:rPr>
          <w:lang w:val="en-US"/>
        </w:rPr>
      </w:pPr>
      <w:r>
        <w:rPr>
          <w:lang w:val="en-US"/>
        </w:rPr>
        <w:t xml:space="preserve">For </w:t>
      </w:r>
      <w:r w:rsidR="00BC24A5">
        <w:rPr>
          <w:lang w:val="en-US"/>
        </w:rPr>
        <w:t xml:space="preserve">the </w:t>
      </w:r>
      <w:r w:rsidR="00BC24A5" w:rsidRPr="007E36D0">
        <w:rPr>
          <w:lang w:val="en-US"/>
        </w:rPr>
        <w:t>designation notice</w:t>
      </w:r>
      <w:r w:rsidR="00BC24A5">
        <w:rPr>
          <w:lang w:val="en-US"/>
        </w:rPr>
        <w:t xml:space="preserve">, the lots </w:t>
      </w:r>
      <w:r>
        <w:rPr>
          <w:lang w:val="en-US"/>
        </w:rPr>
        <w:t>have been determined as follows</w:t>
      </w:r>
      <w:r w:rsidR="00BC24A5">
        <w:rPr>
          <w:lang w:val="en-US"/>
        </w:rPr>
        <w:t>:</w:t>
      </w:r>
    </w:p>
    <w:p w14:paraId="5012C1C8" w14:textId="77777777" w:rsidR="00DC61B8" w:rsidRPr="00DC61B8" w:rsidRDefault="00BC24A5" w:rsidP="007E36D0">
      <w:pPr>
        <w:pStyle w:val="ACMABodyText"/>
        <w:ind w:firstLine="426"/>
        <w:rPr>
          <w:u w:val="single"/>
          <w:lang w:val="en-US"/>
        </w:rPr>
      </w:pPr>
      <w:r w:rsidRPr="00DC61B8">
        <w:rPr>
          <w:u w:val="single"/>
          <w:lang w:val="en-US"/>
        </w:rPr>
        <w:t xml:space="preserve">Category 2 </w:t>
      </w:r>
    </w:p>
    <w:p w14:paraId="7AA100CD" w14:textId="77777777" w:rsidR="00BC24A5" w:rsidRPr="005E6583" w:rsidRDefault="00BC24A5" w:rsidP="007E36D0">
      <w:pPr>
        <w:pStyle w:val="ACMABodyText"/>
        <w:ind w:left="426"/>
        <w:rPr>
          <w:lang w:val="en-US"/>
        </w:rPr>
      </w:pPr>
      <w:r w:rsidRPr="005E6583">
        <w:rPr>
          <w:lang w:val="en-US"/>
        </w:rPr>
        <w:t>2 lots</w:t>
      </w:r>
      <w:r w:rsidR="00DC61B8">
        <w:rPr>
          <w:lang w:val="en-US"/>
        </w:rPr>
        <w:t xml:space="preserve"> (each of 2 x 2.5 MHz)</w:t>
      </w:r>
      <w:r w:rsidRPr="005E6583">
        <w:rPr>
          <w:lang w:val="en-US"/>
        </w:rPr>
        <w:t xml:space="preserve"> </w:t>
      </w:r>
      <w:r w:rsidR="003E48AB">
        <w:rPr>
          <w:lang w:val="en-US"/>
        </w:rPr>
        <w:t xml:space="preserve">– </w:t>
      </w:r>
      <w:r w:rsidRPr="005E6583">
        <w:rPr>
          <w:lang w:val="en-US"/>
        </w:rPr>
        <w:t xml:space="preserve">one in each of </w:t>
      </w:r>
      <w:r w:rsidR="003E48AB">
        <w:rPr>
          <w:lang w:val="en-US"/>
        </w:rPr>
        <w:t>r</w:t>
      </w:r>
      <w:r w:rsidRPr="005E6583">
        <w:rPr>
          <w:lang w:val="en-US"/>
        </w:rPr>
        <w:t>egional South Australia and North Queensland (Cairns/Townsville</w:t>
      </w:r>
      <w:r w:rsidR="003E48AB">
        <w:rPr>
          <w:lang w:val="en-US"/>
        </w:rPr>
        <w:t xml:space="preserve">) in the paired bands </w:t>
      </w:r>
      <w:r w:rsidRPr="005E6583">
        <w:rPr>
          <w:lang w:val="en-US"/>
        </w:rPr>
        <w:t>1710</w:t>
      </w:r>
      <w:r w:rsidR="003E48AB">
        <w:rPr>
          <w:lang w:val="en-US"/>
        </w:rPr>
        <w:t xml:space="preserve"> MHz – </w:t>
      </w:r>
      <w:r w:rsidRPr="005E6583">
        <w:rPr>
          <w:lang w:val="en-US"/>
        </w:rPr>
        <w:t xml:space="preserve">1712.5 MHz </w:t>
      </w:r>
      <w:r w:rsidR="003E48AB">
        <w:rPr>
          <w:lang w:val="en-US"/>
        </w:rPr>
        <w:t>and</w:t>
      </w:r>
      <w:r w:rsidRPr="005E6583">
        <w:rPr>
          <w:lang w:val="en-US"/>
        </w:rPr>
        <w:t xml:space="preserve"> 1805</w:t>
      </w:r>
      <w:r w:rsidR="003E48AB">
        <w:rPr>
          <w:lang w:val="en-US"/>
        </w:rPr>
        <w:t xml:space="preserve"> MHz – </w:t>
      </w:r>
      <w:r w:rsidRPr="005E6583">
        <w:rPr>
          <w:lang w:val="en-US"/>
        </w:rPr>
        <w:t>1807.5 MHz</w:t>
      </w:r>
      <w:r w:rsidR="00704EA7">
        <w:rPr>
          <w:lang w:val="en-US"/>
        </w:rPr>
        <w:t>;</w:t>
      </w:r>
      <w:r w:rsidR="00DE165C">
        <w:rPr>
          <w:lang w:val="en-US"/>
        </w:rPr>
        <w:t xml:space="preserve"> and</w:t>
      </w:r>
    </w:p>
    <w:p w14:paraId="0DA8AEF0" w14:textId="77777777" w:rsidR="00DE165C" w:rsidRPr="00DE165C" w:rsidRDefault="00BC24A5" w:rsidP="007E36D0">
      <w:pPr>
        <w:pStyle w:val="ACMABodyText"/>
        <w:ind w:firstLine="360"/>
        <w:rPr>
          <w:lang w:val="en-US"/>
        </w:rPr>
      </w:pPr>
      <w:r w:rsidRPr="00DE165C">
        <w:rPr>
          <w:u w:val="single"/>
          <w:lang w:val="en-US"/>
        </w:rPr>
        <w:t>Category 3</w:t>
      </w:r>
      <w:r w:rsidRPr="00DE165C">
        <w:rPr>
          <w:i/>
          <w:u w:val="single"/>
          <w:lang w:val="en-US"/>
        </w:rPr>
        <w:t xml:space="preserve"> </w:t>
      </w:r>
    </w:p>
    <w:p w14:paraId="1B4BE769" w14:textId="6A9F5908" w:rsidR="00BC24A5" w:rsidRPr="00DE165C" w:rsidRDefault="00DE165C" w:rsidP="00704EA7">
      <w:pPr>
        <w:pStyle w:val="ACMABodyText"/>
        <w:ind w:left="426"/>
        <w:rPr>
          <w:lang w:val="en-US"/>
        </w:rPr>
      </w:pPr>
      <w:r w:rsidRPr="00DE165C">
        <w:rPr>
          <w:lang w:val="en-US"/>
        </w:rPr>
        <w:t xml:space="preserve">1 lot </w:t>
      </w:r>
      <w:r>
        <w:rPr>
          <w:lang w:val="en-US"/>
        </w:rPr>
        <w:t>(</w:t>
      </w:r>
      <w:r w:rsidR="00704EA7">
        <w:rPr>
          <w:lang w:val="en-US"/>
        </w:rPr>
        <w:t xml:space="preserve">of </w:t>
      </w:r>
      <w:r>
        <w:rPr>
          <w:lang w:val="en-US"/>
        </w:rPr>
        <w:t>2 x</w:t>
      </w:r>
      <w:r w:rsidR="00704EA7">
        <w:rPr>
          <w:lang w:val="en-US"/>
        </w:rPr>
        <w:t xml:space="preserve"> </w:t>
      </w:r>
      <w:r>
        <w:rPr>
          <w:lang w:val="en-US"/>
        </w:rPr>
        <w:t xml:space="preserve">5 MHz) in </w:t>
      </w:r>
      <w:r w:rsidRPr="00DE165C">
        <w:rPr>
          <w:lang w:val="en-US"/>
        </w:rPr>
        <w:t>Adelaide</w:t>
      </w:r>
      <w:r>
        <w:rPr>
          <w:lang w:val="en-US"/>
        </w:rPr>
        <w:t xml:space="preserve"> in</w:t>
      </w:r>
      <w:r w:rsidR="00704EA7">
        <w:rPr>
          <w:lang w:val="en-US"/>
        </w:rPr>
        <w:t xml:space="preserve"> the paired bands</w:t>
      </w:r>
      <w:r>
        <w:rPr>
          <w:lang w:val="en-US"/>
        </w:rPr>
        <w:t xml:space="preserve"> </w:t>
      </w:r>
      <w:r w:rsidR="00BC24A5" w:rsidRPr="00DE165C">
        <w:rPr>
          <w:lang w:val="en-US"/>
        </w:rPr>
        <w:t>1770</w:t>
      </w:r>
      <w:r w:rsidR="00704EA7">
        <w:rPr>
          <w:lang w:val="en-US"/>
        </w:rPr>
        <w:t xml:space="preserve"> MHz – </w:t>
      </w:r>
      <w:r w:rsidR="00BC24A5" w:rsidRPr="00DE165C">
        <w:rPr>
          <w:lang w:val="en-US"/>
        </w:rPr>
        <w:t xml:space="preserve">1775 MHz </w:t>
      </w:r>
      <w:r w:rsidR="00704EA7">
        <w:rPr>
          <w:lang w:val="en-US"/>
        </w:rPr>
        <w:t>and</w:t>
      </w:r>
      <w:r w:rsidR="00BC24A5" w:rsidRPr="00DE165C">
        <w:rPr>
          <w:lang w:val="en-US"/>
        </w:rPr>
        <w:t xml:space="preserve"> 1865</w:t>
      </w:r>
      <w:r w:rsidR="00704EA7">
        <w:rPr>
          <w:lang w:val="en-US"/>
        </w:rPr>
        <w:t xml:space="preserve"> MHz – </w:t>
      </w:r>
      <w:r w:rsidR="00BC24A5" w:rsidRPr="00DE165C">
        <w:rPr>
          <w:lang w:val="en-US"/>
        </w:rPr>
        <w:t>1870 MHz</w:t>
      </w:r>
      <w:r w:rsidR="001645F2">
        <w:rPr>
          <w:lang w:val="en-US"/>
        </w:rPr>
        <w:t>.</w:t>
      </w:r>
    </w:p>
    <w:p w14:paraId="49F95FCA" w14:textId="77777777" w:rsidR="00603AB1" w:rsidRPr="00ED2C15" w:rsidRDefault="0020792C" w:rsidP="00E63D8B">
      <w:pPr>
        <w:pStyle w:val="ACMABodyText"/>
        <w:rPr>
          <w:lang w:val="en-US"/>
        </w:rPr>
      </w:pPr>
      <w:r w:rsidRPr="00ED2C15">
        <w:rPr>
          <w:lang w:val="en-US"/>
        </w:rPr>
        <w:t>The s</w:t>
      </w:r>
      <w:r w:rsidR="00603AB1" w:rsidRPr="00ED2C15">
        <w:rPr>
          <w:lang w:val="en-US"/>
        </w:rPr>
        <w:t xml:space="preserve">pectrum in </w:t>
      </w:r>
      <w:r w:rsidR="005E6583">
        <w:rPr>
          <w:lang w:val="en-US"/>
        </w:rPr>
        <w:t>all 3 categories</w:t>
      </w:r>
      <w:r w:rsidR="004F18DE" w:rsidRPr="00ED2C15">
        <w:rPr>
          <w:lang w:val="en-US"/>
        </w:rPr>
        <w:t xml:space="preserve"> of the 1800 MHz </w:t>
      </w:r>
      <w:r w:rsidR="00603AB1" w:rsidRPr="00ED2C15">
        <w:rPr>
          <w:lang w:val="en-US"/>
        </w:rPr>
        <w:t xml:space="preserve">band will be allocated together in a single </w:t>
      </w:r>
      <w:r w:rsidR="00A90D8B">
        <w:rPr>
          <w:lang w:val="en-US"/>
        </w:rPr>
        <w:t xml:space="preserve">allocation (either </w:t>
      </w:r>
      <w:r w:rsidR="00DF3E18">
        <w:rPr>
          <w:lang w:val="en-US"/>
        </w:rPr>
        <w:t xml:space="preserve">an </w:t>
      </w:r>
      <w:r w:rsidR="00603AB1" w:rsidRPr="00ED2C15">
        <w:rPr>
          <w:lang w:val="en-US"/>
        </w:rPr>
        <w:t xml:space="preserve">auction </w:t>
      </w:r>
      <w:r w:rsidR="00A90D8B">
        <w:rPr>
          <w:lang w:val="en-US"/>
        </w:rPr>
        <w:t>and/or pre-determined price</w:t>
      </w:r>
      <w:r w:rsidR="00784C27">
        <w:rPr>
          <w:lang w:val="en-US"/>
        </w:rPr>
        <w:t xml:space="preserve"> allocation</w:t>
      </w:r>
      <w:r w:rsidR="00A90D8B">
        <w:rPr>
          <w:lang w:val="en-US"/>
        </w:rPr>
        <w:t>)</w:t>
      </w:r>
      <w:r w:rsidR="00727CB6">
        <w:rPr>
          <w:lang w:val="en-US"/>
        </w:rPr>
        <w:t xml:space="preserve">. The auction will be conducted </w:t>
      </w:r>
      <w:r w:rsidR="00603AB1" w:rsidRPr="00ED2C15">
        <w:rPr>
          <w:lang w:val="en-US"/>
        </w:rPr>
        <w:t xml:space="preserve">using </w:t>
      </w:r>
      <w:r w:rsidRPr="00ED2C15">
        <w:rPr>
          <w:lang w:val="en-US"/>
        </w:rPr>
        <w:t>a</w:t>
      </w:r>
      <w:r w:rsidR="007E17BD">
        <w:rPr>
          <w:lang w:val="en-US"/>
        </w:rPr>
        <w:t>n</w:t>
      </w:r>
      <w:r w:rsidR="004D4CDD">
        <w:rPr>
          <w:lang w:val="en-US"/>
        </w:rPr>
        <w:t xml:space="preserve"> a</w:t>
      </w:r>
      <w:r w:rsidRPr="00ED2C15">
        <w:rPr>
          <w:lang w:val="en-US"/>
        </w:rPr>
        <w:t>scending bid</w:t>
      </w:r>
      <w:r w:rsidR="00BD31C5" w:rsidRPr="00ED2C15">
        <w:rPr>
          <w:lang w:val="en-US"/>
        </w:rPr>
        <w:t xml:space="preserve"> </w:t>
      </w:r>
      <w:r w:rsidRPr="00ED2C15">
        <w:rPr>
          <w:lang w:val="en-US"/>
        </w:rPr>
        <w:t>simultaneous multiple round auction (</w:t>
      </w:r>
      <w:r w:rsidR="00BD31C5" w:rsidRPr="00ED2C15">
        <w:rPr>
          <w:lang w:val="en-US"/>
        </w:rPr>
        <w:t>SMRA</w:t>
      </w:r>
      <w:r w:rsidRPr="00ED2C15">
        <w:rPr>
          <w:lang w:val="en-US"/>
        </w:rPr>
        <w:t>)</w:t>
      </w:r>
      <w:r w:rsidR="00603AB1" w:rsidRPr="00ED2C15">
        <w:rPr>
          <w:lang w:val="en-US"/>
        </w:rPr>
        <w:t xml:space="preserve"> methodology.</w:t>
      </w:r>
      <w:r w:rsidRPr="00ED2C15">
        <w:rPr>
          <w:lang w:val="en-US"/>
        </w:rPr>
        <w:t xml:space="preserve"> </w:t>
      </w:r>
      <w:r w:rsidR="00ED2C15" w:rsidRPr="00ED2C15">
        <w:rPr>
          <w:lang w:val="en-US"/>
        </w:rPr>
        <w:t xml:space="preserve"> </w:t>
      </w:r>
    </w:p>
    <w:p w14:paraId="7EDCAE82" w14:textId="77777777" w:rsidR="00603AB1" w:rsidRDefault="00603AB1" w:rsidP="00E63D8B">
      <w:pPr>
        <w:pStyle w:val="ACMAHeading3"/>
      </w:pPr>
      <w:r>
        <w:t xml:space="preserve">Allocation Determination </w:t>
      </w:r>
      <w:r w:rsidR="006D68FC">
        <w:t>o</w:t>
      </w:r>
      <w:r>
        <w:t>peration</w:t>
      </w:r>
    </w:p>
    <w:p w14:paraId="731FA12B" w14:textId="77777777" w:rsidR="008D7C05" w:rsidRDefault="00603AB1" w:rsidP="003C56E3">
      <w:pPr>
        <w:pStyle w:val="ACMABodyText"/>
      </w:pPr>
      <w:r>
        <w:rPr>
          <w:lang w:val="en-US"/>
        </w:rPr>
        <w:t>The Determination is one of a set of legislative instruments that gives effect to the spectrum re-allocation declaration</w:t>
      </w:r>
      <w:r w:rsidR="008224EA">
        <w:rPr>
          <w:lang w:val="en-US"/>
        </w:rPr>
        <w:t xml:space="preserve"> and designation notice</w:t>
      </w:r>
      <w:r>
        <w:rPr>
          <w:lang w:val="en-US"/>
        </w:rPr>
        <w:t xml:space="preserve"> </w:t>
      </w:r>
      <w:r w:rsidR="006D68FC">
        <w:rPr>
          <w:lang w:val="en-US"/>
        </w:rPr>
        <w:t>for parts of the</w:t>
      </w:r>
      <w:r>
        <w:rPr>
          <w:lang w:val="en-US"/>
        </w:rPr>
        <w:t xml:space="preserve"> spectrum in the </w:t>
      </w:r>
      <w:r w:rsidR="007A4334">
        <w:rPr>
          <w:lang w:val="en-US"/>
        </w:rPr>
        <w:t>1800 MHz band</w:t>
      </w:r>
      <w:r>
        <w:rPr>
          <w:lang w:val="en-US"/>
        </w:rPr>
        <w:t xml:space="preserve">. </w:t>
      </w:r>
      <w:r w:rsidR="00784C27">
        <w:t>Th</w:t>
      </w:r>
      <w:r w:rsidR="00B95061">
        <w:t>e</w:t>
      </w:r>
      <w:r w:rsidR="00784C27">
        <w:t xml:space="preserve"> Determination is made </w:t>
      </w:r>
      <w:r w:rsidR="00950E01">
        <w:t xml:space="preserve">under </w:t>
      </w:r>
      <w:r w:rsidR="00784C27">
        <w:t xml:space="preserve">both section 60 and section 294 of the Act. </w:t>
      </w:r>
      <w:r>
        <w:rPr>
          <w:lang w:val="en-US"/>
        </w:rPr>
        <w:t xml:space="preserve">Under section 60 of the Act, the Determination makes provision for how this spectrum will be allocated by a price-based method, namely an </w:t>
      </w:r>
      <w:r w:rsidR="00A90D8B">
        <w:rPr>
          <w:lang w:val="en-US"/>
        </w:rPr>
        <w:t xml:space="preserve">allocation </w:t>
      </w:r>
      <w:r w:rsidR="00950E01">
        <w:rPr>
          <w:lang w:val="en-US"/>
        </w:rPr>
        <w:t>by</w:t>
      </w:r>
      <w:r w:rsidR="00A90D8B">
        <w:rPr>
          <w:lang w:val="en-US"/>
        </w:rPr>
        <w:t xml:space="preserve"> </w:t>
      </w:r>
      <w:r>
        <w:rPr>
          <w:lang w:val="en-US"/>
        </w:rPr>
        <w:t>auction</w:t>
      </w:r>
      <w:r w:rsidR="00A90D8B">
        <w:rPr>
          <w:lang w:val="en-US"/>
        </w:rPr>
        <w:t xml:space="preserve"> </w:t>
      </w:r>
      <w:r w:rsidR="00DF3E18">
        <w:rPr>
          <w:lang w:val="en-US"/>
        </w:rPr>
        <w:t>and/</w:t>
      </w:r>
      <w:r w:rsidR="00A90D8B">
        <w:rPr>
          <w:lang w:val="en-US"/>
        </w:rPr>
        <w:t xml:space="preserve">or pre-determined price.  </w:t>
      </w:r>
      <w:r w:rsidR="008224EA">
        <w:rPr>
          <w:lang w:val="en-US"/>
        </w:rPr>
        <w:t xml:space="preserve"> </w:t>
      </w:r>
      <w:r w:rsidR="0068180F">
        <w:rPr>
          <w:lang w:val="en-US"/>
        </w:rPr>
        <w:t xml:space="preserve">Under </w:t>
      </w:r>
      <w:r w:rsidR="0068180F">
        <w:t>section 294</w:t>
      </w:r>
      <w:r w:rsidR="00531AA7">
        <w:t xml:space="preserve"> of the Act</w:t>
      </w:r>
      <w:r w:rsidR="0068180F">
        <w:t xml:space="preserve"> the ACMA may make determinations fixing spectrum access charges payable by licensees for issuing spectrum licences, and specifying the times when the charges are payable</w:t>
      </w:r>
      <w:r w:rsidR="0068180F" w:rsidRPr="00181920">
        <w:t>.</w:t>
      </w:r>
      <w:r w:rsidR="00950E01">
        <w:t xml:space="preserve"> The spectrum access charges are</w:t>
      </w:r>
      <w:r w:rsidR="008D7C05">
        <w:t>:</w:t>
      </w:r>
    </w:p>
    <w:p w14:paraId="1F76D6D9" w14:textId="77777777" w:rsidR="008D7C05" w:rsidRDefault="008D7C05" w:rsidP="007E36D0">
      <w:pPr>
        <w:pStyle w:val="ACMABodyText"/>
        <w:numPr>
          <w:ilvl w:val="0"/>
          <w:numId w:val="48"/>
        </w:numPr>
      </w:pPr>
      <w:r>
        <w:t xml:space="preserve">for an auction – </w:t>
      </w:r>
      <w:r w:rsidR="00950E01">
        <w:t>the</w:t>
      </w:r>
      <w:r>
        <w:t xml:space="preserve"> highest final bid for each lot won by plus the bid withdrawal penalties (if any) for each lot imposed on a winning bidder (a spectrum lot then becomes the subject of a spectrum licence);</w:t>
      </w:r>
    </w:p>
    <w:p w14:paraId="2D1D0FC9" w14:textId="77777777" w:rsidR="0068180F" w:rsidRPr="00181920" w:rsidRDefault="008D7C05" w:rsidP="007E36D0">
      <w:pPr>
        <w:pStyle w:val="ACMABodyText"/>
        <w:numPr>
          <w:ilvl w:val="0"/>
          <w:numId w:val="48"/>
        </w:numPr>
      </w:pPr>
      <w:r>
        <w:t>for a pre-determined price allocation – the pre-determined price for each spectrum licence to be issued.</w:t>
      </w:r>
    </w:p>
    <w:p w14:paraId="4EF35A66" w14:textId="77777777" w:rsidR="003C56E3" w:rsidRDefault="00603AB1" w:rsidP="00EA2D9A">
      <w:pPr>
        <w:pStyle w:val="p10"/>
        <w:spacing w:before="80" w:beforeAutospacing="0" w:after="120" w:afterAutospacing="0" w:line="280" w:lineRule="atLeast"/>
      </w:pPr>
      <w:r w:rsidRPr="00EA2D9A">
        <w:rPr>
          <w:rFonts w:ascii="Arial" w:hAnsi="Arial" w:cs="Arial"/>
          <w:sz w:val="20"/>
          <w:szCs w:val="20"/>
          <w:lang w:val="en-US" w:eastAsia="en-US"/>
        </w:rPr>
        <w:t>Th</w:t>
      </w:r>
      <w:r w:rsidR="00531AA7" w:rsidRPr="00EA2D9A">
        <w:rPr>
          <w:rFonts w:ascii="Arial" w:hAnsi="Arial" w:cs="Arial"/>
          <w:sz w:val="20"/>
          <w:szCs w:val="20"/>
          <w:lang w:val="en-US" w:eastAsia="en-US"/>
        </w:rPr>
        <w:t>e Determination</w:t>
      </w:r>
      <w:r w:rsidRPr="00EA2D9A">
        <w:rPr>
          <w:rFonts w:ascii="Arial" w:hAnsi="Arial" w:cs="Arial"/>
          <w:sz w:val="20"/>
          <w:szCs w:val="20"/>
          <w:lang w:val="en-US" w:eastAsia="en-US"/>
        </w:rPr>
        <w:t xml:space="preserve"> sets out</w:t>
      </w:r>
      <w:r w:rsidR="00CB6BB3" w:rsidRPr="00EA2D9A">
        <w:rPr>
          <w:rFonts w:ascii="Arial" w:hAnsi="Arial" w:cs="Arial"/>
          <w:sz w:val="20"/>
          <w:szCs w:val="20"/>
          <w:lang w:val="en-US" w:eastAsia="en-US"/>
        </w:rPr>
        <w:t>,</w:t>
      </w:r>
      <w:r w:rsidRPr="00EA2D9A">
        <w:rPr>
          <w:rFonts w:ascii="Arial" w:hAnsi="Arial" w:cs="Arial"/>
          <w:sz w:val="20"/>
          <w:szCs w:val="20"/>
          <w:lang w:val="en-US" w:eastAsia="en-US"/>
        </w:rPr>
        <w:t xml:space="preserve"> in detail</w:t>
      </w:r>
      <w:r w:rsidR="00CB6BB3" w:rsidRPr="00EA2D9A">
        <w:rPr>
          <w:rFonts w:ascii="Arial" w:hAnsi="Arial" w:cs="Arial"/>
          <w:sz w:val="20"/>
          <w:szCs w:val="20"/>
          <w:lang w:val="en-US" w:eastAsia="en-US"/>
        </w:rPr>
        <w:t>,</w:t>
      </w:r>
      <w:r w:rsidRPr="00EA2D9A">
        <w:rPr>
          <w:rFonts w:ascii="Arial" w:hAnsi="Arial" w:cs="Arial"/>
          <w:sz w:val="20"/>
          <w:szCs w:val="20"/>
          <w:lang w:val="en-US" w:eastAsia="en-US"/>
        </w:rPr>
        <w:t xml:space="preserve"> the procedures that will be used to conduct the </w:t>
      </w:r>
      <w:r w:rsidR="00DF3E18" w:rsidRPr="00EA2D9A">
        <w:rPr>
          <w:rFonts w:ascii="Arial" w:hAnsi="Arial" w:cs="Arial"/>
          <w:sz w:val="20"/>
          <w:szCs w:val="20"/>
          <w:lang w:val="en-US" w:eastAsia="en-US"/>
        </w:rPr>
        <w:t xml:space="preserve">allocation (either </w:t>
      </w:r>
      <w:r w:rsidRPr="00EA2D9A">
        <w:rPr>
          <w:rFonts w:ascii="Arial" w:hAnsi="Arial" w:cs="Arial"/>
          <w:sz w:val="20"/>
          <w:szCs w:val="20"/>
          <w:lang w:val="en-US" w:eastAsia="en-US"/>
        </w:rPr>
        <w:t>auction</w:t>
      </w:r>
      <w:r w:rsidR="00531AA7" w:rsidRPr="00EA2D9A">
        <w:rPr>
          <w:rFonts w:ascii="Arial" w:hAnsi="Arial" w:cs="Arial"/>
          <w:sz w:val="20"/>
          <w:szCs w:val="20"/>
          <w:lang w:val="en-US" w:eastAsia="en-US"/>
        </w:rPr>
        <w:t xml:space="preserve"> </w:t>
      </w:r>
      <w:r w:rsidR="00DF3E18" w:rsidRPr="00EA2D9A">
        <w:rPr>
          <w:rFonts w:ascii="Arial" w:hAnsi="Arial" w:cs="Arial"/>
          <w:sz w:val="20"/>
          <w:szCs w:val="20"/>
          <w:lang w:val="en-US" w:eastAsia="en-US"/>
        </w:rPr>
        <w:t>and/</w:t>
      </w:r>
      <w:r w:rsidR="00531AA7" w:rsidRPr="00EA2D9A">
        <w:rPr>
          <w:rFonts w:ascii="Arial" w:hAnsi="Arial" w:cs="Arial"/>
          <w:sz w:val="20"/>
          <w:szCs w:val="20"/>
          <w:lang w:val="en-US" w:eastAsia="en-US"/>
        </w:rPr>
        <w:t>or pre-determined price)</w:t>
      </w:r>
      <w:r w:rsidRPr="00EA2D9A">
        <w:rPr>
          <w:rFonts w:ascii="Arial" w:hAnsi="Arial" w:cs="Arial"/>
          <w:sz w:val="20"/>
          <w:szCs w:val="20"/>
          <w:lang w:val="en-US" w:eastAsia="en-US"/>
        </w:rPr>
        <w:t>. These include the requirements and responsibilities of</w:t>
      </w:r>
      <w:r w:rsidR="008D7C05">
        <w:rPr>
          <w:rFonts w:ascii="Arial" w:hAnsi="Arial" w:cs="Arial"/>
          <w:sz w:val="20"/>
          <w:szCs w:val="20"/>
          <w:lang w:val="en-US" w:eastAsia="en-US"/>
        </w:rPr>
        <w:t xml:space="preserve"> </w:t>
      </w:r>
      <w:r w:rsidRPr="00EA2D9A">
        <w:rPr>
          <w:rFonts w:ascii="Arial" w:hAnsi="Arial" w:cs="Arial"/>
          <w:sz w:val="20"/>
          <w:szCs w:val="20"/>
          <w:lang w:val="en-US" w:eastAsia="en-US"/>
        </w:rPr>
        <w:t xml:space="preserve">applicants and the ACMA throughout the allocation process. </w:t>
      </w:r>
      <w:r w:rsidR="00D93C96" w:rsidRPr="00EA2D9A">
        <w:rPr>
          <w:rFonts w:ascii="Arial" w:hAnsi="Arial" w:cs="Arial"/>
          <w:sz w:val="20"/>
          <w:szCs w:val="20"/>
          <w:lang w:val="en-US" w:eastAsia="en-US"/>
        </w:rPr>
        <w:t xml:space="preserve">The Determination </w:t>
      </w:r>
      <w:r w:rsidRPr="00EA2D9A">
        <w:rPr>
          <w:rFonts w:ascii="Arial" w:hAnsi="Arial" w:cs="Arial"/>
          <w:sz w:val="20"/>
          <w:szCs w:val="20"/>
          <w:lang w:val="en-US" w:eastAsia="en-US"/>
        </w:rPr>
        <w:t xml:space="preserve">also sets out rules to deter collusive behaviour and the potential consequences for </w:t>
      </w:r>
      <w:r w:rsidR="003D1748" w:rsidRPr="00EA2D9A">
        <w:rPr>
          <w:rFonts w:ascii="Arial" w:hAnsi="Arial" w:cs="Arial"/>
          <w:sz w:val="20"/>
          <w:szCs w:val="20"/>
          <w:lang w:val="en-US" w:eastAsia="en-US"/>
        </w:rPr>
        <w:t>breaches of these rules</w:t>
      </w:r>
      <w:r>
        <w:t>.</w:t>
      </w:r>
    </w:p>
    <w:p w14:paraId="68DFE6B9" w14:textId="645FB779" w:rsidR="003C56E3" w:rsidRDefault="003C56E3" w:rsidP="00EA2D9A">
      <w:pPr>
        <w:pStyle w:val="p10"/>
        <w:spacing w:before="80" w:beforeAutospacing="0" w:after="120" w:afterAutospacing="0" w:line="280" w:lineRule="atLeast"/>
      </w:pPr>
      <w:r>
        <w:rPr>
          <w:rFonts w:ascii="Arial" w:hAnsi="Arial" w:cs="Arial"/>
          <w:sz w:val="20"/>
          <w:szCs w:val="20"/>
          <w:lang w:val="en-US"/>
        </w:rPr>
        <w:t xml:space="preserve">To the extent that this legislative instrument is a determination under subsection 294(1) of the Act, this legislative instrument is subject to disallowance under section 42 of the </w:t>
      </w:r>
      <w:r w:rsidR="006418A1" w:rsidRPr="006418A1">
        <w:rPr>
          <w:rFonts w:ascii="Arial" w:hAnsi="Arial" w:cs="Arial"/>
          <w:i/>
          <w:sz w:val="20"/>
          <w:szCs w:val="20"/>
          <w:lang w:val="en-US"/>
        </w:rPr>
        <w:t>Legislative Instruments Act 2003</w:t>
      </w:r>
      <w:r w:rsidR="006418A1">
        <w:rPr>
          <w:rFonts w:ascii="Arial" w:hAnsi="Arial" w:cs="Arial"/>
          <w:sz w:val="20"/>
          <w:szCs w:val="20"/>
          <w:lang w:val="en-US"/>
        </w:rPr>
        <w:t xml:space="preserve"> (</w:t>
      </w:r>
      <w:r w:rsidRPr="006418A1">
        <w:rPr>
          <w:rFonts w:ascii="Arial" w:hAnsi="Arial" w:cs="Arial"/>
          <w:b/>
          <w:sz w:val="20"/>
          <w:szCs w:val="20"/>
          <w:lang w:val="en-US"/>
        </w:rPr>
        <w:t>LIA</w:t>
      </w:r>
      <w:r w:rsidR="006418A1">
        <w:rPr>
          <w:rFonts w:ascii="Arial" w:hAnsi="Arial" w:cs="Arial"/>
          <w:sz w:val="20"/>
          <w:szCs w:val="20"/>
          <w:lang w:val="en-US"/>
        </w:rPr>
        <w:t>)</w:t>
      </w:r>
      <w:r>
        <w:rPr>
          <w:rFonts w:ascii="Arial" w:hAnsi="Arial" w:cs="Arial"/>
          <w:sz w:val="20"/>
          <w:szCs w:val="20"/>
          <w:lang w:val="en-US"/>
        </w:rPr>
        <w:t>.</w:t>
      </w:r>
    </w:p>
    <w:p w14:paraId="70A34815" w14:textId="77777777" w:rsidR="00603AB1" w:rsidRDefault="00603AB1" w:rsidP="00E63D8B">
      <w:pPr>
        <w:pStyle w:val="ACMABodyText"/>
      </w:pPr>
      <w:r>
        <w:t xml:space="preserve">The </w:t>
      </w:r>
      <w:r w:rsidR="005748DE">
        <w:t>Determination explains</w:t>
      </w:r>
      <w:r>
        <w:t xml:space="preserve"> the application and registration process</w:t>
      </w:r>
      <w:r w:rsidR="00531AA7">
        <w:t>es</w:t>
      </w:r>
      <w:r>
        <w:t xml:space="preserve"> for p</w:t>
      </w:r>
      <w:r w:rsidR="00531AA7">
        <w:t>ersons</w:t>
      </w:r>
      <w:r>
        <w:t xml:space="preserve"> to become eligible to participate </w:t>
      </w:r>
      <w:r w:rsidR="00531AA7">
        <w:t xml:space="preserve">in the allocation </w:t>
      </w:r>
      <w:r>
        <w:t xml:space="preserve">and </w:t>
      </w:r>
      <w:r w:rsidR="00531AA7">
        <w:t xml:space="preserve">to </w:t>
      </w:r>
      <w:r>
        <w:t xml:space="preserve">bid for spectrum </w:t>
      </w:r>
      <w:r w:rsidR="00F165E1">
        <w:t>lots in the auction</w:t>
      </w:r>
      <w:r>
        <w:t xml:space="preserve">. </w:t>
      </w:r>
      <w:r w:rsidR="005E03B8" w:rsidRPr="005E03B8">
        <w:t xml:space="preserve"> </w:t>
      </w:r>
      <w:r w:rsidR="005E03B8">
        <w:t>Rules governing how applicants who become registered bidders can bid on spectrum lots in the auction are also provided.</w:t>
      </w:r>
    </w:p>
    <w:p w14:paraId="431137A7" w14:textId="77777777" w:rsidR="00F165E1" w:rsidRDefault="00603AB1" w:rsidP="00E63D8B">
      <w:pPr>
        <w:pStyle w:val="ACMABodyText"/>
      </w:pPr>
      <w:r>
        <w:t xml:space="preserve">The ACMA will </w:t>
      </w:r>
      <w:r w:rsidR="00DF3E18">
        <w:t xml:space="preserve">allocate </w:t>
      </w:r>
      <w:r>
        <w:t xml:space="preserve">spectrum divided into lots as described in </w:t>
      </w:r>
      <w:r w:rsidR="007A4334">
        <w:t xml:space="preserve">the </w:t>
      </w:r>
      <w:r w:rsidRPr="007E36D0">
        <w:t>marketing plan</w:t>
      </w:r>
      <w:r>
        <w:t xml:space="preserve">. Each lot is defined by a geographic boundary and frequency bandwidth. </w:t>
      </w:r>
      <w:r w:rsidR="007B3E12">
        <w:t xml:space="preserve">The marketing plan has been prepared </w:t>
      </w:r>
      <w:r w:rsidR="007B3E12">
        <w:lastRenderedPageBreak/>
        <w:t xml:space="preserve">under both </w:t>
      </w:r>
      <w:r w:rsidR="007B3E12" w:rsidRPr="00ED2C15">
        <w:t xml:space="preserve">section 39 and </w:t>
      </w:r>
      <w:r w:rsidR="007B3E12">
        <w:t xml:space="preserve">section </w:t>
      </w:r>
      <w:r w:rsidR="007B3E12" w:rsidRPr="00ED2C15">
        <w:t>39A</w:t>
      </w:r>
      <w:r w:rsidR="007B3E12">
        <w:t xml:space="preserve"> of the Act. The marketing plan specifies the spectrum lots available and the conditions that will </w:t>
      </w:r>
      <w:r w:rsidR="00924DB7">
        <w:t xml:space="preserve">generally </w:t>
      </w:r>
      <w:r w:rsidR="007B3E12">
        <w:t xml:space="preserve">apply to operation of radiocommunications devices under </w:t>
      </w:r>
      <w:r w:rsidR="00924DB7">
        <w:t xml:space="preserve">the </w:t>
      </w:r>
      <w:r w:rsidR="007B3E12">
        <w:t>spectrum licences</w:t>
      </w:r>
      <w:r w:rsidR="00924DB7">
        <w:t xml:space="preserve"> issued</w:t>
      </w:r>
      <w:r w:rsidR="007B3E12">
        <w:t>.</w:t>
      </w:r>
    </w:p>
    <w:p w14:paraId="0690DC69" w14:textId="60D88879" w:rsidR="0050429F" w:rsidRDefault="00603AB1" w:rsidP="00E63D8B">
      <w:pPr>
        <w:pStyle w:val="ACMABodyText"/>
      </w:pPr>
      <w:r>
        <w:t xml:space="preserve">The auction will be </w:t>
      </w:r>
      <w:r w:rsidR="005E03B8">
        <w:t xml:space="preserve">conducted </w:t>
      </w:r>
      <w:r>
        <w:t xml:space="preserve">via a secure online </w:t>
      </w:r>
      <w:r w:rsidR="00ED2C15">
        <w:t xml:space="preserve">system </w:t>
      </w:r>
      <w:r>
        <w:t xml:space="preserve">using </w:t>
      </w:r>
      <w:r w:rsidR="007A4334">
        <w:t xml:space="preserve">SMRA </w:t>
      </w:r>
      <w:r>
        <w:t xml:space="preserve">methodology. </w:t>
      </w:r>
      <w:r w:rsidR="0050429F">
        <w:t xml:space="preserve">In </w:t>
      </w:r>
      <w:r w:rsidR="00841371">
        <w:t xml:space="preserve">this type of </w:t>
      </w:r>
      <w:r w:rsidR="0050429F">
        <w:t xml:space="preserve">auction, all bidders are able to bid on all elements of their preferred aggregations of lots at the </w:t>
      </w:r>
      <w:r w:rsidR="0050429F" w:rsidRPr="0050429F">
        <w:t>same time</w:t>
      </w:r>
      <w:r w:rsidR="0050429F">
        <w:t xml:space="preserve">. All the lots on offer are auctioned simultaneously, rather than in sequence. Bidders can bid on any lot, or any combination of lots, up to their own pre-declared limit and </w:t>
      </w:r>
      <w:r w:rsidR="006418A1">
        <w:t>the</w:t>
      </w:r>
      <w:r w:rsidR="0050429F">
        <w:t xml:space="preserve"> limits imposed </w:t>
      </w:r>
      <w:r w:rsidR="00841371">
        <w:t xml:space="preserve">as a result of </w:t>
      </w:r>
      <w:r w:rsidR="00F165E1">
        <w:t>a</w:t>
      </w:r>
      <w:r w:rsidR="001F4648">
        <w:t xml:space="preserve"> </w:t>
      </w:r>
      <w:r w:rsidR="00841371">
        <w:t xml:space="preserve">direction given by </w:t>
      </w:r>
      <w:r w:rsidR="0050429F">
        <w:t>the Minister</w:t>
      </w:r>
      <w:r w:rsidR="00A80990">
        <w:t xml:space="preserve"> under subsection 60(1</w:t>
      </w:r>
      <w:r w:rsidR="00F165E1">
        <w:t>0</w:t>
      </w:r>
      <w:r w:rsidR="00A80990">
        <w:t>) of the Act</w:t>
      </w:r>
      <w:r w:rsidR="0050429F">
        <w:t xml:space="preserve">. Bidding is conducted over multiple rounds and the auction closes when there are no new bids on any of the lots </w:t>
      </w:r>
      <w:r w:rsidR="00F165E1">
        <w:t xml:space="preserve">for 2 consecutive </w:t>
      </w:r>
      <w:r w:rsidR="0050429F">
        <w:t>round</w:t>
      </w:r>
      <w:r w:rsidR="00F165E1">
        <w:t>s and no waivers to bid are exercised for 2 consecutive rounds</w:t>
      </w:r>
      <w:r w:rsidR="0050429F">
        <w:t xml:space="preserve"> in the final stage of the auction. </w:t>
      </w:r>
    </w:p>
    <w:p w14:paraId="7E645A58" w14:textId="77777777" w:rsidR="00603AB1" w:rsidRDefault="00603AB1" w:rsidP="00E63D8B">
      <w:pPr>
        <w:pStyle w:val="ACMABodyText"/>
      </w:pPr>
      <w:r w:rsidRPr="00C139A4">
        <w:t xml:space="preserve">Spectrum licence </w:t>
      </w:r>
      <w:r w:rsidR="0068180F">
        <w:t xml:space="preserve">allocation </w:t>
      </w:r>
      <w:r w:rsidRPr="00C139A4">
        <w:t xml:space="preserve">limits </w:t>
      </w:r>
      <w:r w:rsidR="00841371">
        <w:t>as directed</w:t>
      </w:r>
      <w:r w:rsidRPr="00C139A4">
        <w:t xml:space="preserve"> by the Minister will apply in the course of this allocation process. These</w:t>
      </w:r>
      <w:r w:rsidR="000F4EDF">
        <w:t xml:space="preserve"> limits</w:t>
      </w:r>
      <w:r w:rsidRPr="00C139A4">
        <w:t xml:space="preserve"> have the effect of capping the total amount of spectrum in </w:t>
      </w:r>
      <w:r w:rsidR="00F165E1">
        <w:t xml:space="preserve">parts of </w:t>
      </w:r>
      <w:r w:rsidR="00DD7E5B">
        <w:t xml:space="preserve">the 1800 MHz </w:t>
      </w:r>
      <w:r w:rsidRPr="00C139A4">
        <w:t xml:space="preserve">band that a single bidder can acquire. </w:t>
      </w:r>
      <w:r w:rsidR="00DD7E5B">
        <w:t xml:space="preserve">The effect of the </w:t>
      </w:r>
      <w:r w:rsidR="00DD7E5B">
        <w:rPr>
          <w:i/>
        </w:rPr>
        <w:t>Radiocommunications (Spectrum Licence Limits</w:t>
      </w:r>
      <w:r w:rsidR="00DD7E5B" w:rsidRPr="00ED2C15">
        <w:rPr>
          <w:i/>
        </w:rPr>
        <w:t>―Regional 1800 MHz Band) Direction 2015</w:t>
      </w:r>
      <w:r w:rsidR="00DD7E5B">
        <w:t xml:space="preserve"> (</w:t>
      </w:r>
      <w:r w:rsidR="007B3E12">
        <w:t xml:space="preserve">the </w:t>
      </w:r>
      <w:r w:rsidR="006F352A" w:rsidRPr="00ED2C15">
        <w:rPr>
          <w:b/>
        </w:rPr>
        <w:t>spectrum licence</w:t>
      </w:r>
      <w:r w:rsidR="006F352A">
        <w:t xml:space="preserve"> </w:t>
      </w:r>
      <w:r w:rsidR="00DD7E5B" w:rsidRPr="00ED2C15">
        <w:rPr>
          <w:b/>
        </w:rPr>
        <w:t>limits direction</w:t>
      </w:r>
      <w:r w:rsidR="00DD7E5B">
        <w:t>) and th</w:t>
      </w:r>
      <w:r w:rsidR="00B95061">
        <w:t>e</w:t>
      </w:r>
      <w:r w:rsidR="00DD7E5B">
        <w:t xml:space="preserve"> Determination is that</w:t>
      </w:r>
      <w:r w:rsidRPr="00C139A4">
        <w:t xml:space="preserve"> a bidder will be limited to a maximum of </w:t>
      </w:r>
      <w:r w:rsidR="0068180F">
        <w:t>25</w:t>
      </w:r>
      <w:r w:rsidR="007A4334">
        <w:t xml:space="preserve"> </w:t>
      </w:r>
      <w:r w:rsidRPr="00C139A4">
        <w:t xml:space="preserve">MHz in </w:t>
      </w:r>
      <w:r w:rsidR="007B3E12">
        <w:t xml:space="preserve">each of </w:t>
      </w:r>
      <w:r w:rsidR="00DD7E5B">
        <w:t xml:space="preserve">the lower part of the 1800 MHz band (1725 MHz to 1785 MHz) and the upper part of the 1800 MHz band (1820 MHz to 1880 MHz) in </w:t>
      </w:r>
      <w:r w:rsidR="007B3E12">
        <w:t xml:space="preserve">each geographic area of </w:t>
      </w:r>
      <w:r w:rsidR="00DD7E5B">
        <w:t>regional Australia</w:t>
      </w:r>
      <w:r w:rsidRPr="00C139A4">
        <w:t>.</w:t>
      </w:r>
    </w:p>
    <w:p w14:paraId="6AEAD6A1" w14:textId="20CD384E" w:rsidR="00603AB1" w:rsidRDefault="00924DB7" w:rsidP="00E63D8B">
      <w:pPr>
        <w:pStyle w:val="ACMABodyText"/>
      </w:pPr>
      <w:r>
        <w:t>In addition, t</w:t>
      </w:r>
      <w:r w:rsidR="00603AB1">
        <w:t>he Determination set</w:t>
      </w:r>
      <w:r w:rsidR="00253F89">
        <w:t>s</w:t>
      </w:r>
      <w:r w:rsidR="00603AB1">
        <w:t xml:space="preserve"> out the financial obligations to be met by successful bidders </w:t>
      </w:r>
      <w:r w:rsidR="00253F89">
        <w:t xml:space="preserve">(or successful applicants at a pre-determined price) </w:t>
      </w:r>
      <w:r w:rsidR="00603AB1">
        <w:t xml:space="preserve">before the ACMA can issue spectrum licences, </w:t>
      </w:r>
      <w:r>
        <w:t xml:space="preserve">as well as </w:t>
      </w:r>
      <w:r w:rsidR="006418A1">
        <w:t>requiring applicants to make</w:t>
      </w:r>
      <w:r>
        <w:t xml:space="preserve"> </w:t>
      </w:r>
      <w:r w:rsidR="006418A1">
        <w:t>an eligibility payment or give</w:t>
      </w:r>
      <w:r>
        <w:t xml:space="preserve"> a deed of financial security, or a combination of both, to be registered as a bidder.  The Determination also sets out</w:t>
      </w:r>
      <w:r w:rsidR="00603AB1">
        <w:t xml:space="preserve"> the procedure</w:t>
      </w:r>
      <w:r w:rsidR="007B3E12">
        <w:t>s</w:t>
      </w:r>
      <w:r w:rsidR="00603AB1">
        <w:t xml:space="preserve"> for the ACMA to return </w:t>
      </w:r>
      <w:r w:rsidR="00253F89">
        <w:t xml:space="preserve">any </w:t>
      </w:r>
      <w:r w:rsidR="00DD7E5B">
        <w:t xml:space="preserve">eligibility </w:t>
      </w:r>
      <w:r w:rsidR="00591CB7">
        <w:t>payments</w:t>
      </w:r>
      <w:r w:rsidR="00253F89">
        <w:t xml:space="preserve"> </w:t>
      </w:r>
      <w:r w:rsidR="00603AB1">
        <w:t>to unsuccessful bidders.</w:t>
      </w:r>
    </w:p>
    <w:p w14:paraId="4E38D7A6" w14:textId="77777777" w:rsidR="00761AC6" w:rsidRDefault="00603AB1" w:rsidP="0050429F">
      <w:pPr>
        <w:pStyle w:val="ACMABodyText"/>
      </w:pPr>
      <w:r>
        <w:t xml:space="preserve">The ACMA has also made </w:t>
      </w:r>
      <w:r w:rsidR="001F2AF6">
        <w:t xml:space="preserve">a </w:t>
      </w:r>
      <w:r>
        <w:t xml:space="preserve">determination </w:t>
      </w:r>
      <w:r w:rsidR="00A00CE1">
        <w:t>regarding unacceptable levels of interference under subsection 145(4)</w:t>
      </w:r>
      <w:r w:rsidR="00924DB7">
        <w:t xml:space="preserve"> </w:t>
      </w:r>
      <w:r w:rsidR="00A00CE1">
        <w:t>of the Act</w:t>
      </w:r>
      <w:r w:rsidR="00924DB7">
        <w:t>, being the:</w:t>
      </w:r>
    </w:p>
    <w:p w14:paraId="75B5CA34" w14:textId="77777777" w:rsidR="00761AC6" w:rsidRDefault="00761AC6" w:rsidP="007E36D0">
      <w:pPr>
        <w:pStyle w:val="ACMABodyText1"/>
        <w:numPr>
          <w:ilvl w:val="0"/>
          <w:numId w:val="49"/>
        </w:numPr>
        <w:spacing w:after="0"/>
        <w:rPr>
          <w:rFonts w:cs="Arial"/>
          <w:snapToGrid/>
        </w:rPr>
      </w:pPr>
      <w:r w:rsidRPr="007E36D0">
        <w:rPr>
          <w:rFonts w:cs="Arial"/>
          <w:i/>
          <w:snapToGrid/>
        </w:rPr>
        <w:t>Radiocommunications (Unacceptable Levels of Interference – 1800 MHz Band) Determination 2012</w:t>
      </w:r>
      <w:r>
        <w:rPr>
          <w:rFonts w:cs="Arial"/>
          <w:snapToGrid/>
        </w:rPr>
        <w:t xml:space="preserve"> (as amended)</w:t>
      </w:r>
      <w:r w:rsidR="001F2AF6">
        <w:rPr>
          <w:rFonts w:cs="Arial"/>
          <w:snapToGrid/>
        </w:rPr>
        <w:t>;</w:t>
      </w:r>
    </w:p>
    <w:p w14:paraId="5A1B10FE" w14:textId="77777777" w:rsidR="00761AC6" w:rsidRDefault="00603AB1" w:rsidP="0050429F">
      <w:pPr>
        <w:pStyle w:val="ACMABodyText"/>
      </w:pPr>
      <w:r>
        <w:t xml:space="preserve">and advisory guidelines for </w:t>
      </w:r>
      <w:r w:rsidR="00A00CE1">
        <w:t>the 1800 MHz</w:t>
      </w:r>
      <w:r>
        <w:t xml:space="preserve"> band under section 262 of the Act</w:t>
      </w:r>
      <w:r w:rsidR="001F2AF6">
        <w:t>, being the</w:t>
      </w:r>
      <w:r w:rsidR="00761AC6">
        <w:t>;</w:t>
      </w:r>
    </w:p>
    <w:p w14:paraId="5B67D3E3" w14:textId="77777777" w:rsidR="00761AC6" w:rsidRPr="007E36D0" w:rsidRDefault="00761AC6" w:rsidP="007E36D0">
      <w:pPr>
        <w:pStyle w:val="ListParagraph"/>
        <w:numPr>
          <w:ilvl w:val="0"/>
          <w:numId w:val="49"/>
        </w:numPr>
        <w:autoSpaceDE w:val="0"/>
        <w:autoSpaceDN w:val="0"/>
        <w:adjustRightInd w:val="0"/>
        <w:rPr>
          <w:rFonts w:ascii="Arial" w:hAnsi="Arial" w:cs="Arial"/>
          <w:sz w:val="20"/>
          <w:szCs w:val="20"/>
        </w:rPr>
      </w:pPr>
      <w:r w:rsidRPr="007E36D0">
        <w:rPr>
          <w:rFonts w:ascii="Arial" w:hAnsi="Arial" w:cs="Arial"/>
          <w:i/>
          <w:sz w:val="20"/>
          <w:szCs w:val="20"/>
        </w:rPr>
        <w:t>Radiocommunications Advisory Guidelines (Additional Device Boundary Criteria – 1800 MHz Lower Band) 2012</w:t>
      </w:r>
      <w:r w:rsidRPr="007E36D0">
        <w:rPr>
          <w:rFonts w:ascii="Arial" w:hAnsi="Arial" w:cs="Arial"/>
          <w:sz w:val="20"/>
          <w:szCs w:val="20"/>
        </w:rPr>
        <w:t xml:space="preserve"> (as amended)</w:t>
      </w:r>
      <w:r w:rsidR="001F2AF6">
        <w:rPr>
          <w:rFonts w:ascii="Arial" w:hAnsi="Arial" w:cs="Arial"/>
          <w:sz w:val="20"/>
          <w:szCs w:val="20"/>
        </w:rPr>
        <w:t>;</w:t>
      </w:r>
    </w:p>
    <w:p w14:paraId="39388FB8" w14:textId="77777777" w:rsidR="00761AC6" w:rsidRDefault="00761AC6" w:rsidP="007E36D0">
      <w:pPr>
        <w:pStyle w:val="ACMABodyText1"/>
        <w:numPr>
          <w:ilvl w:val="0"/>
          <w:numId w:val="49"/>
        </w:numPr>
        <w:spacing w:after="0"/>
        <w:rPr>
          <w:rFonts w:cs="Arial"/>
          <w:snapToGrid/>
        </w:rPr>
      </w:pPr>
      <w:r w:rsidRPr="007E36D0">
        <w:rPr>
          <w:rFonts w:cs="Arial"/>
          <w:i/>
          <w:snapToGrid/>
        </w:rPr>
        <w:t>Radiocommunications Advisory Guidelines (Managing Interference to Spectrum Licensed Receivers – 1800 MHz Band) 2012</w:t>
      </w:r>
      <w:r>
        <w:rPr>
          <w:rFonts w:cs="Arial"/>
          <w:snapToGrid/>
        </w:rPr>
        <w:t xml:space="preserve"> (as amended)</w:t>
      </w:r>
      <w:r w:rsidR="001F2AF6">
        <w:rPr>
          <w:rFonts w:cs="Arial"/>
          <w:snapToGrid/>
        </w:rPr>
        <w:t>; and</w:t>
      </w:r>
    </w:p>
    <w:p w14:paraId="49EE6108" w14:textId="77777777" w:rsidR="00EA2D9A" w:rsidRPr="004571EC" w:rsidRDefault="00EA2D9A" w:rsidP="00761AC6">
      <w:pPr>
        <w:pStyle w:val="ACMABodyText1"/>
        <w:spacing w:after="0"/>
        <w:rPr>
          <w:rFonts w:cs="Arial"/>
          <w:snapToGrid/>
        </w:rPr>
      </w:pPr>
    </w:p>
    <w:p w14:paraId="590D4BEB" w14:textId="77777777" w:rsidR="00761AC6" w:rsidRPr="004571EC" w:rsidRDefault="00761AC6" w:rsidP="007E36D0">
      <w:pPr>
        <w:pStyle w:val="ACMABodyText1"/>
        <w:numPr>
          <w:ilvl w:val="0"/>
          <w:numId w:val="49"/>
        </w:numPr>
        <w:spacing w:after="0"/>
        <w:rPr>
          <w:rFonts w:cs="Arial"/>
          <w:snapToGrid/>
        </w:rPr>
      </w:pPr>
      <w:r w:rsidRPr="007E36D0">
        <w:rPr>
          <w:rFonts w:cs="Arial"/>
          <w:i/>
          <w:snapToGrid/>
        </w:rPr>
        <w:t>Radiocommunications Advisory Guidelines (Managing Interference from Spectrum Licensed Transmitters – 1800 MHz Band) 2012</w:t>
      </w:r>
      <w:r>
        <w:rPr>
          <w:rFonts w:cs="Arial"/>
          <w:snapToGrid/>
        </w:rPr>
        <w:t xml:space="preserve"> (as amended)</w:t>
      </w:r>
      <w:r w:rsidR="001F2AF6">
        <w:rPr>
          <w:rFonts w:cs="Arial"/>
          <w:snapToGrid/>
        </w:rPr>
        <w:t>.</w:t>
      </w:r>
    </w:p>
    <w:p w14:paraId="6E26524E" w14:textId="77777777" w:rsidR="00603AB1" w:rsidRDefault="00603AB1" w:rsidP="0050429F">
      <w:pPr>
        <w:pStyle w:val="ACMABodyText"/>
      </w:pPr>
      <w:r>
        <w:t>Th</w:t>
      </w:r>
      <w:r w:rsidR="00A00CE1">
        <w:t>e</w:t>
      </w:r>
      <w:r>
        <w:t xml:space="preserve"> determination made under </w:t>
      </w:r>
      <w:r w:rsidR="00A00CE1">
        <w:t>sub</w:t>
      </w:r>
      <w:r>
        <w:t>section 145</w:t>
      </w:r>
      <w:r w:rsidR="00A00CE1">
        <w:t>(4)</w:t>
      </w:r>
      <w:r>
        <w:t xml:space="preserve"> </w:t>
      </w:r>
      <w:r w:rsidR="008D7EC1">
        <w:t>sets out</w:t>
      </w:r>
      <w:r>
        <w:t xml:space="preserve"> unacceptable </w:t>
      </w:r>
      <w:r w:rsidR="001F2AF6">
        <w:t xml:space="preserve">levels of </w:t>
      </w:r>
      <w:r>
        <w:t xml:space="preserve">interference that </w:t>
      </w:r>
      <w:r w:rsidR="00A00CE1">
        <w:t xml:space="preserve">radiocommunications </w:t>
      </w:r>
      <w:r>
        <w:t xml:space="preserve">devices used under spectrum licences issued </w:t>
      </w:r>
      <w:r w:rsidR="00A00CE1">
        <w:t>pursuant to</w:t>
      </w:r>
      <w:r>
        <w:t xml:space="preserve"> the Determination</w:t>
      </w:r>
      <w:r w:rsidR="008D7EC1">
        <w:t xml:space="preserve"> and in accordance with the marketing plan</w:t>
      </w:r>
      <w:r>
        <w:t xml:space="preserve"> must comply with. The advisory guidelines provide additional interference management measures and set out requirements for registering </w:t>
      </w:r>
      <w:r w:rsidR="00A00CE1">
        <w:t xml:space="preserve">radiocommunications </w:t>
      </w:r>
      <w:r>
        <w:t xml:space="preserve">devices with the ACMA that will operate under spectrum licences in the </w:t>
      </w:r>
      <w:r w:rsidR="0050429F">
        <w:t>1800 MHz</w:t>
      </w:r>
      <w:r>
        <w:t xml:space="preserve"> band.</w:t>
      </w:r>
    </w:p>
    <w:p w14:paraId="4F3075AB" w14:textId="77777777" w:rsidR="00603AB1" w:rsidRPr="00E00EE3" w:rsidRDefault="00603AB1" w:rsidP="00235BBB">
      <w:pPr>
        <w:pStyle w:val="ACMAHeading3"/>
      </w:pPr>
      <w:r w:rsidRPr="00E00EE3">
        <w:t>Consultation</w:t>
      </w:r>
      <w:r w:rsidR="002C0E67">
        <w:t xml:space="preserve"> </w:t>
      </w:r>
    </w:p>
    <w:p w14:paraId="111EFA5D" w14:textId="77777777" w:rsidR="00DE165C" w:rsidRPr="005E6583" w:rsidRDefault="00DE165C" w:rsidP="00DE165C">
      <w:pPr>
        <w:pStyle w:val="ACMABodyText"/>
        <w:rPr>
          <w:lang w:val="en-US"/>
        </w:rPr>
      </w:pPr>
      <w:bookmarkStart w:id="4" w:name="OLE_LINK34"/>
      <w:bookmarkStart w:id="5" w:name="OLE_LINK35"/>
      <w:r w:rsidRPr="005E6583">
        <w:rPr>
          <w:lang w:val="en-US"/>
        </w:rPr>
        <w:t>The ACMA has been working collaboratively with stakeholders on how best to provide access to the spectrum in the 1800 MH</w:t>
      </w:r>
      <w:r w:rsidR="00B97D36">
        <w:rPr>
          <w:lang w:val="en-US"/>
        </w:rPr>
        <w:t>z</w:t>
      </w:r>
      <w:r w:rsidRPr="005E6583">
        <w:rPr>
          <w:lang w:val="en-US"/>
        </w:rPr>
        <w:t xml:space="preserve"> band.  This has included developing arrangements with appropriate regard to stakeholder views. A summary of the </w:t>
      </w:r>
      <w:r w:rsidR="00A53F23">
        <w:rPr>
          <w:lang w:val="en-US"/>
        </w:rPr>
        <w:t>public</w:t>
      </w:r>
      <w:r w:rsidRPr="005E6583">
        <w:rPr>
          <w:lang w:val="en-US"/>
        </w:rPr>
        <w:t xml:space="preserve"> consultation undertaken, including links to all relevant information and documents, is available on the </w:t>
      </w:r>
      <w:hyperlink r:id="rId12" w:history="1">
        <w:r w:rsidRPr="005E6583">
          <w:rPr>
            <w:lang w:val="en-US"/>
          </w:rPr>
          <w:t>ACMA’s website</w:t>
        </w:r>
      </w:hyperlink>
      <w:r w:rsidR="005E55BB">
        <w:rPr>
          <w:lang w:val="en-US"/>
        </w:rPr>
        <w:t>: www.acma.gov.au</w:t>
      </w:r>
      <w:r w:rsidRPr="005E6583">
        <w:rPr>
          <w:lang w:val="en-US"/>
        </w:rPr>
        <w:t>.</w:t>
      </w:r>
    </w:p>
    <w:p w14:paraId="6C778212" w14:textId="77777777" w:rsidR="008D7EC1" w:rsidRPr="005E6583" w:rsidRDefault="00DE165C" w:rsidP="00DE165C">
      <w:pPr>
        <w:pStyle w:val="ACMABodyText"/>
        <w:rPr>
          <w:lang w:val="en-US"/>
        </w:rPr>
      </w:pPr>
      <w:r w:rsidRPr="005E6583">
        <w:rPr>
          <w:lang w:val="en-US"/>
        </w:rPr>
        <w:lastRenderedPageBreak/>
        <w:t>In 2012</w:t>
      </w:r>
      <w:r w:rsidR="00515CFA">
        <w:rPr>
          <w:lang w:val="en-US"/>
        </w:rPr>
        <w:t>,</w:t>
      </w:r>
      <w:r w:rsidR="005B037B">
        <w:rPr>
          <w:lang w:val="en-US"/>
        </w:rPr>
        <w:t xml:space="preserve"> </w:t>
      </w:r>
      <w:r w:rsidRPr="005E6583">
        <w:rPr>
          <w:lang w:val="en-US"/>
        </w:rPr>
        <w:t xml:space="preserve">the ACMA commenced </w:t>
      </w:r>
      <w:hyperlink r:id="rId13" w:history="1">
        <w:r w:rsidRPr="005E6583">
          <w:rPr>
            <w:lang w:val="en-US"/>
          </w:rPr>
          <w:t>consultation</w:t>
        </w:r>
      </w:hyperlink>
      <w:r w:rsidRPr="005E6583">
        <w:rPr>
          <w:lang w:val="en-US"/>
        </w:rPr>
        <w:t xml:space="preserve"> with stakeholders</w:t>
      </w:r>
      <w:r w:rsidR="00C27AD9">
        <w:rPr>
          <w:lang w:val="en-US"/>
        </w:rPr>
        <w:t xml:space="preserve"> and the public</w:t>
      </w:r>
      <w:r w:rsidRPr="005E6583">
        <w:rPr>
          <w:lang w:val="en-US"/>
        </w:rPr>
        <w:t xml:space="preserve"> to identify appropriate future licensing arrangements in the regional 1800 MHz band that would balance the needs of both existing and prospective licensees.</w:t>
      </w:r>
      <w:r w:rsidR="00C4623D">
        <w:rPr>
          <w:lang w:val="en-US"/>
        </w:rPr>
        <w:t xml:space="preserve">  </w:t>
      </w:r>
      <w:r w:rsidR="00C4623D">
        <w:t>A significant number of apparatus licences ha</w:t>
      </w:r>
      <w:r w:rsidR="0098676A">
        <w:t>d</w:t>
      </w:r>
      <w:r w:rsidR="00C4623D">
        <w:t xml:space="preserve"> been issued authorising the operation of radiocommunications devices in the 1800 MHz band in regional Australia. </w:t>
      </w:r>
      <w:r w:rsidRPr="005E6583">
        <w:rPr>
          <w:lang w:val="en-US"/>
        </w:rPr>
        <w:t xml:space="preserve"> </w:t>
      </w:r>
    </w:p>
    <w:p w14:paraId="3FC5E6E6" w14:textId="53841642" w:rsidR="00096586" w:rsidRPr="00096586" w:rsidRDefault="00096586" w:rsidP="00096586">
      <w:pPr>
        <w:pStyle w:val="ACMABodyText"/>
        <w:rPr>
          <w:lang w:val="en-US"/>
        </w:rPr>
      </w:pPr>
      <w:r w:rsidRPr="00096586">
        <w:rPr>
          <w:lang w:val="en-US"/>
        </w:rPr>
        <w:t>On 30 January 2013 the ACMA released a public consultation paper inviting submissions from interested stakeholders</w:t>
      </w:r>
      <w:r w:rsidR="005E55BB">
        <w:rPr>
          <w:lang w:val="en-US"/>
        </w:rPr>
        <w:t xml:space="preserve"> and the public</w:t>
      </w:r>
      <w:r w:rsidRPr="00096586">
        <w:rPr>
          <w:lang w:val="en-US"/>
        </w:rPr>
        <w:t xml:space="preserve"> on </w:t>
      </w:r>
      <w:r w:rsidR="00C27AD9">
        <w:rPr>
          <w:lang w:val="en-US"/>
        </w:rPr>
        <w:t xml:space="preserve">a </w:t>
      </w:r>
      <w:r w:rsidRPr="00096586">
        <w:rPr>
          <w:lang w:val="en-US"/>
        </w:rPr>
        <w:t>proposed recommendation to the Minister that he designate (under section 36 of the Act) for allocation</w:t>
      </w:r>
      <w:r w:rsidR="000414E7">
        <w:rPr>
          <w:lang w:val="en-US"/>
        </w:rPr>
        <w:t>,</w:t>
      </w:r>
      <w:r w:rsidRPr="00096586">
        <w:rPr>
          <w:lang w:val="en-US"/>
        </w:rPr>
        <w:t xml:space="preserve"> by spectrum licensing</w:t>
      </w:r>
      <w:r w:rsidR="000414E7">
        <w:rPr>
          <w:lang w:val="en-US"/>
        </w:rPr>
        <w:t>,</w:t>
      </w:r>
      <w:r>
        <w:rPr>
          <w:lang w:val="en-US"/>
        </w:rPr>
        <w:t xml:space="preserve"> a number of </w:t>
      </w:r>
      <w:r w:rsidR="000414E7">
        <w:rPr>
          <w:lang w:val="en-US"/>
        </w:rPr>
        <w:t xml:space="preserve">frequency </w:t>
      </w:r>
      <w:r>
        <w:rPr>
          <w:lang w:val="en-US"/>
        </w:rPr>
        <w:t xml:space="preserve">bands </w:t>
      </w:r>
      <w:r w:rsidRPr="00096586">
        <w:rPr>
          <w:lang w:val="en-US"/>
        </w:rPr>
        <w:t xml:space="preserve">in the 1800 MHz band </w:t>
      </w:r>
      <w:r w:rsidR="007069ED">
        <w:rPr>
          <w:lang w:val="en-US"/>
        </w:rPr>
        <w:t xml:space="preserve">in specified areas </w:t>
      </w:r>
      <w:r w:rsidRPr="00096586">
        <w:rPr>
          <w:lang w:val="en-US"/>
        </w:rPr>
        <w:t>that remain</w:t>
      </w:r>
      <w:r w:rsidR="000414E7">
        <w:rPr>
          <w:lang w:val="en-US"/>
        </w:rPr>
        <w:t>ed</w:t>
      </w:r>
      <w:r w:rsidRPr="00096586">
        <w:rPr>
          <w:lang w:val="en-US"/>
        </w:rPr>
        <w:t xml:space="preserve"> vacant after the re-issue of existing spectrum licences that </w:t>
      </w:r>
      <w:r w:rsidR="006418A1">
        <w:rPr>
          <w:lang w:val="en-US"/>
        </w:rPr>
        <w:t xml:space="preserve">had </w:t>
      </w:r>
      <w:r w:rsidRPr="00096586">
        <w:rPr>
          <w:lang w:val="en-US"/>
        </w:rPr>
        <w:t>expire</w:t>
      </w:r>
      <w:r w:rsidR="000414E7">
        <w:rPr>
          <w:lang w:val="en-US"/>
        </w:rPr>
        <w:t>d</w:t>
      </w:r>
      <w:r w:rsidRPr="00096586">
        <w:rPr>
          <w:lang w:val="en-US"/>
        </w:rPr>
        <w:t xml:space="preserve">. The consultation period ended </w:t>
      </w:r>
      <w:r>
        <w:rPr>
          <w:lang w:val="en-US"/>
        </w:rPr>
        <w:t xml:space="preserve">in </w:t>
      </w:r>
      <w:r w:rsidRPr="00096586">
        <w:rPr>
          <w:lang w:val="en-US"/>
        </w:rPr>
        <w:t>March 2013 and submissions were received from the Australian Mobile Telecommunications Association (AMTA), Optus and Telstra. All submissions supported the ACMA’s proposed recommendations.</w:t>
      </w:r>
    </w:p>
    <w:p w14:paraId="2637D0DC" w14:textId="0D56B287" w:rsidR="00DE165C" w:rsidRPr="005E6583" w:rsidRDefault="00F23C05" w:rsidP="00DE165C">
      <w:pPr>
        <w:pStyle w:val="ACMABodyText"/>
        <w:rPr>
          <w:lang w:val="en-US"/>
        </w:rPr>
      </w:pPr>
      <w:r>
        <w:rPr>
          <w:lang w:val="en-US"/>
        </w:rPr>
        <w:t>O</w:t>
      </w:r>
      <w:r w:rsidR="00DE165C" w:rsidRPr="005E6583">
        <w:rPr>
          <w:lang w:val="en-US"/>
        </w:rPr>
        <w:t xml:space="preserve">n </w:t>
      </w:r>
      <w:r>
        <w:rPr>
          <w:lang w:val="en-US"/>
        </w:rPr>
        <w:t xml:space="preserve">4 </w:t>
      </w:r>
      <w:r w:rsidR="00DE165C" w:rsidRPr="005E6583">
        <w:rPr>
          <w:lang w:val="en-US"/>
        </w:rPr>
        <w:t xml:space="preserve">March 2013, the ACMA released for public consultation </w:t>
      </w:r>
      <w:r>
        <w:rPr>
          <w:lang w:val="en-US"/>
        </w:rPr>
        <w:t>‘</w:t>
      </w:r>
      <w:r w:rsidRPr="006418A1">
        <w:rPr>
          <w:i/>
          <w:lang w:val="en-US"/>
        </w:rPr>
        <w:t>Issues paper 2 – Spectrum</w:t>
      </w:r>
      <w:r w:rsidRPr="007E36D0">
        <w:rPr>
          <w:i/>
          <w:lang w:val="en-US"/>
        </w:rPr>
        <w:t xml:space="preserve"> licences in the </w:t>
      </w:r>
      <w:hyperlink r:id="rId14" w:history="1">
        <w:r w:rsidR="00DE165C" w:rsidRPr="007E36D0">
          <w:rPr>
            <w:i/>
            <w:lang w:val="en-US"/>
          </w:rPr>
          <w:t>1800 MHz</w:t>
        </w:r>
        <w:r w:rsidRPr="00F23C05">
          <w:rPr>
            <w:i/>
            <w:lang w:val="en-US"/>
          </w:rPr>
          <w:t xml:space="preserve"> band</w:t>
        </w:r>
      </w:hyperlink>
      <w:r>
        <w:rPr>
          <w:lang w:val="en-US"/>
        </w:rPr>
        <w:t>’</w:t>
      </w:r>
      <w:r w:rsidR="00DE165C" w:rsidRPr="007E36D0">
        <w:rPr>
          <w:i/>
          <w:lang w:val="en-US"/>
        </w:rPr>
        <w:t xml:space="preserve"> </w:t>
      </w:r>
      <w:r w:rsidR="00DE165C" w:rsidRPr="005E6583">
        <w:rPr>
          <w:lang w:val="en-US"/>
        </w:rPr>
        <w:t xml:space="preserve">which sought comment on the issue of spectrum licences, </w:t>
      </w:r>
      <w:r>
        <w:rPr>
          <w:lang w:val="en-US"/>
        </w:rPr>
        <w:t xml:space="preserve">the ACMA’s </w:t>
      </w:r>
      <w:r w:rsidR="00DE165C" w:rsidRPr="005E6583">
        <w:rPr>
          <w:lang w:val="en-US"/>
        </w:rPr>
        <w:t>preferred licence type, for prospective operators in the 1800 MHz band in regional and remote Australia.</w:t>
      </w:r>
    </w:p>
    <w:p w14:paraId="46545074" w14:textId="4DB8EBEF" w:rsidR="00DE165C" w:rsidRPr="005E6583" w:rsidRDefault="00DE165C" w:rsidP="00DE165C">
      <w:pPr>
        <w:pStyle w:val="ACMABodyText"/>
        <w:rPr>
          <w:lang w:val="en-US"/>
        </w:rPr>
      </w:pPr>
      <w:r w:rsidRPr="005E6583">
        <w:rPr>
          <w:lang w:val="en-US"/>
        </w:rPr>
        <w:t>Responses to the consultation paper</w:t>
      </w:r>
      <w:r w:rsidR="00F23C05">
        <w:rPr>
          <w:lang w:val="en-US"/>
        </w:rPr>
        <w:t>s</w:t>
      </w:r>
      <w:r w:rsidRPr="005E6583">
        <w:rPr>
          <w:lang w:val="en-US"/>
        </w:rPr>
        <w:t xml:space="preserve"> did not unanimously support spectrum licensing arrangements in the </w:t>
      </w:r>
      <w:r w:rsidR="00F23C05">
        <w:rPr>
          <w:lang w:val="en-US"/>
        </w:rPr>
        <w:t xml:space="preserve">1800 MHz </w:t>
      </w:r>
      <w:r w:rsidRPr="005E6583">
        <w:rPr>
          <w:lang w:val="en-US"/>
        </w:rPr>
        <w:t>band. For example</w:t>
      </w:r>
      <w:r w:rsidR="00F23C05">
        <w:rPr>
          <w:lang w:val="en-US"/>
        </w:rPr>
        <w:t>:</w:t>
      </w:r>
      <w:r w:rsidRPr="005E6583">
        <w:rPr>
          <w:lang w:val="en-US"/>
        </w:rPr>
        <w:t xml:space="preserve"> </w:t>
      </w:r>
      <w:r w:rsidR="00BC2012">
        <w:rPr>
          <w:lang w:val="en-US"/>
        </w:rPr>
        <w:t>3</w:t>
      </w:r>
      <w:r w:rsidRPr="005E6583">
        <w:rPr>
          <w:lang w:val="en-US"/>
        </w:rPr>
        <w:t xml:space="preserve"> carriers, who hold different amounts of spectrum in metropolitan and regional areas of the band, sought different outcomes</w:t>
      </w:r>
      <w:r w:rsidR="00F23C05">
        <w:rPr>
          <w:lang w:val="en-US"/>
        </w:rPr>
        <w:t>; and</w:t>
      </w:r>
      <w:r w:rsidRPr="005E6583">
        <w:rPr>
          <w:lang w:val="en-US"/>
        </w:rPr>
        <w:t xml:space="preserve"> </w:t>
      </w:r>
      <w:r w:rsidR="0086380A">
        <w:rPr>
          <w:lang w:val="en-US"/>
        </w:rPr>
        <w:t>2</w:t>
      </w:r>
      <w:r w:rsidRPr="005E6583">
        <w:rPr>
          <w:lang w:val="en-US"/>
        </w:rPr>
        <w:t xml:space="preserve"> carriers sought spectrum licensing in the band but with different start dates</w:t>
      </w:r>
      <w:r w:rsidR="00F23C05">
        <w:rPr>
          <w:lang w:val="en-US"/>
        </w:rPr>
        <w:t>,</w:t>
      </w:r>
      <w:r w:rsidRPr="005E6583">
        <w:rPr>
          <w:lang w:val="en-US"/>
        </w:rPr>
        <w:t xml:space="preserve"> whilst </w:t>
      </w:r>
      <w:r w:rsidR="006418A1">
        <w:rPr>
          <w:lang w:val="en-US"/>
        </w:rPr>
        <w:t>an</w:t>
      </w:r>
      <w:r w:rsidRPr="005E6583">
        <w:rPr>
          <w:lang w:val="en-US"/>
        </w:rPr>
        <w:t>other carrier preferred to maintain apparatus licensing in the band.</w:t>
      </w:r>
    </w:p>
    <w:p w14:paraId="2B9F4563" w14:textId="77777777" w:rsidR="00DE165C" w:rsidRPr="00DE165C" w:rsidRDefault="00DE165C" w:rsidP="00DE165C">
      <w:pPr>
        <w:pStyle w:val="ACMABodyText"/>
        <w:rPr>
          <w:u w:val="single"/>
          <w:lang w:val="en-US"/>
        </w:rPr>
      </w:pPr>
      <w:r w:rsidRPr="00DE165C">
        <w:rPr>
          <w:u w:val="single"/>
          <w:lang w:val="en-US"/>
        </w:rPr>
        <w:t>Category 1 lots</w:t>
      </w:r>
    </w:p>
    <w:p w14:paraId="1835B93D" w14:textId="77777777" w:rsidR="00A53F23" w:rsidRDefault="00DE165C" w:rsidP="00DE165C">
      <w:pPr>
        <w:pStyle w:val="ACMABodyText"/>
        <w:rPr>
          <w:lang w:val="en-US"/>
        </w:rPr>
      </w:pPr>
      <w:r w:rsidRPr="005E6583">
        <w:rPr>
          <w:lang w:val="en-US"/>
        </w:rPr>
        <w:t>Given the lack of consensus</w:t>
      </w:r>
      <w:r w:rsidR="00096586">
        <w:rPr>
          <w:lang w:val="en-US"/>
        </w:rPr>
        <w:t xml:space="preserve"> </w:t>
      </w:r>
      <w:r w:rsidR="00C27AD9">
        <w:rPr>
          <w:lang w:val="en-US"/>
        </w:rPr>
        <w:t>for</w:t>
      </w:r>
      <w:r w:rsidR="00096586">
        <w:rPr>
          <w:lang w:val="en-US"/>
        </w:rPr>
        <w:t xml:space="preserve"> </w:t>
      </w:r>
      <w:r w:rsidR="00C27AD9">
        <w:rPr>
          <w:lang w:val="en-US"/>
        </w:rPr>
        <w:t xml:space="preserve">proposals </w:t>
      </w:r>
      <w:r w:rsidR="00096586">
        <w:rPr>
          <w:lang w:val="en-US"/>
        </w:rPr>
        <w:t>to administratively issue apparatus licences</w:t>
      </w:r>
      <w:r w:rsidRPr="005E6583">
        <w:rPr>
          <w:lang w:val="en-US"/>
        </w:rPr>
        <w:t xml:space="preserve">, the ACMA undertook to expedite its preferred long-term plan for spectrum licensing of the 1800 MHz band in regional areas.  </w:t>
      </w:r>
    </w:p>
    <w:p w14:paraId="60101D91" w14:textId="77777777" w:rsidR="00A53F23" w:rsidRDefault="00096586" w:rsidP="00DE165C">
      <w:pPr>
        <w:pStyle w:val="ACMABodyText"/>
        <w:rPr>
          <w:lang w:val="en-US"/>
        </w:rPr>
      </w:pPr>
      <w:r>
        <w:rPr>
          <w:lang w:val="en-US"/>
        </w:rPr>
        <w:t>Accordingly, t</w:t>
      </w:r>
      <w:r w:rsidR="00DE165C" w:rsidRPr="005E6583">
        <w:rPr>
          <w:lang w:val="en-US"/>
        </w:rPr>
        <w:t>he ACMA undertook stakeholder</w:t>
      </w:r>
      <w:r w:rsidR="00A53F23">
        <w:rPr>
          <w:lang w:val="en-US"/>
        </w:rPr>
        <w:t xml:space="preserve"> and public</w:t>
      </w:r>
      <w:r w:rsidR="00DE165C" w:rsidRPr="005E6583">
        <w:rPr>
          <w:lang w:val="en-US"/>
        </w:rPr>
        <w:t xml:space="preserve"> consultation in February/March 2015 </w:t>
      </w:r>
      <w:r>
        <w:rPr>
          <w:lang w:val="en-US"/>
        </w:rPr>
        <w:t>to allocate</w:t>
      </w:r>
      <w:r w:rsidR="0082674D">
        <w:rPr>
          <w:lang w:val="en-US"/>
        </w:rPr>
        <w:t>,</w:t>
      </w:r>
      <w:r>
        <w:rPr>
          <w:lang w:val="en-US"/>
        </w:rPr>
        <w:t xml:space="preserve"> via auction, </w:t>
      </w:r>
      <w:r w:rsidR="00DE165C" w:rsidRPr="005E6583">
        <w:rPr>
          <w:lang w:val="en-US"/>
        </w:rPr>
        <w:t xml:space="preserve">spectrum licences in the 1800 MHz band in regional Australia.  </w:t>
      </w:r>
      <w:r w:rsidR="00C27AD9">
        <w:rPr>
          <w:lang w:val="en-US"/>
        </w:rPr>
        <w:t xml:space="preserve">In this consultation, </w:t>
      </w:r>
      <w:r w:rsidR="00BC2012">
        <w:rPr>
          <w:lang w:val="en-US"/>
        </w:rPr>
        <w:t>8</w:t>
      </w:r>
      <w:r w:rsidR="00244441">
        <w:rPr>
          <w:lang w:val="en-US"/>
        </w:rPr>
        <w:t xml:space="preserve"> written submissions were received addressing the draft terms of </w:t>
      </w:r>
      <w:r w:rsidR="00C27AD9">
        <w:rPr>
          <w:lang w:val="en-US"/>
        </w:rPr>
        <w:t>a</w:t>
      </w:r>
      <w:r w:rsidR="00244441">
        <w:rPr>
          <w:lang w:val="en-US"/>
        </w:rPr>
        <w:t xml:space="preserve"> recommendation relating to parts of the band. </w:t>
      </w:r>
      <w:r w:rsidR="00244441" w:rsidRPr="005E6583">
        <w:rPr>
          <w:lang w:val="en-US"/>
        </w:rPr>
        <w:t xml:space="preserve"> </w:t>
      </w:r>
    </w:p>
    <w:p w14:paraId="654B3DA8" w14:textId="77777777" w:rsidR="00DE165C" w:rsidRPr="005E6583" w:rsidRDefault="00DE165C" w:rsidP="00DE165C">
      <w:pPr>
        <w:pStyle w:val="ACMABodyText"/>
        <w:rPr>
          <w:lang w:val="en-US"/>
        </w:rPr>
      </w:pPr>
      <w:r w:rsidRPr="005E6583">
        <w:rPr>
          <w:lang w:val="en-US"/>
        </w:rPr>
        <w:t xml:space="preserve">On 26 May 2015, following recommendations made by the ACMA, the Minister </w:t>
      </w:r>
      <w:r w:rsidR="00B23A22">
        <w:rPr>
          <w:lang w:val="en-US"/>
        </w:rPr>
        <w:t xml:space="preserve">made the </w:t>
      </w:r>
      <w:r w:rsidR="005459E2">
        <w:rPr>
          <w:sz w:val="19"/>
          <w:szCs w:val="19"/>
        </w:rPr>
        <w:t>re-allocation declaration</w:t>
      </w:r>
      <w:r w:rsidRPr="005E6583">
        <w:rPr>
          <w:lang w:val="en-US"/>
        </w:rPr>
        <w:t xml:space="preserve"> under section 153B of the Act</w:t>
      </w:r>
      <w:r w:rsidR="005459E2">
        <w:rPr>
          <w:lang w:val="en-US"/>
        </w:rPr>
        <w:t>. The effect of the re-allocation declaration is</w:t>
      </w:r>
      <w:r w:rsidRPr="005E6583">
        <w:rPr>
          <w:lang w:val="en-US"/>
        </w:rPr>
        <w:t xml:space="preserve"> that parts of the encumbered spectrum in the 1800 MHz band should be re-allocated by issuing spectrum licences. </w:t>
      </w:r>
    </w:p>
    <w:p w14:paraId="12894B26" w14:textId="4D91EC5C" w:rsidR="00C27AD9" w:rsidRDefault="00C27AD9" w:rsidP="00DE165C">
      <w:pPr>
        <w:pStyle w:val="ACMABodyText"/>
        <w:rPr>
          <w:lang w:val="en-US"/>
        </w:rPr>
      </w:pPr>
      <w:r>
        <w:rPr>
          <w:lang w:val="en-US"/>
        </w:rPr>
        <w:t>Consequently</w:t>
      </w:r>
      <w:r w:rsidR="005459E2">
        <w:rPr>
          <w:lang w:val="en-US"/>
        </w:rPr>
        <w:t>,</w:t>
      </w:r>
      <w:r w:rsidR="00DE165C" w:rsidRPr="005E6583">
        <w:rPr>
          <w:lang w:val="en-US"/>
        </w:rPr>
        <w:t xml:space="preserve"> 2 x 60 MHz of spectrum is available in the 1800 MHz band for allocation in Canberra, Darwin and Hobart and in 9 other regional areas in the frequency bands 1725</w:t>
      </w:r>
      <w:r>
        <w:rPr>
          <w:lang w:val="en-US"/>
        </w:rPr>
        <w:t xml:space="preserve"> MHz – </w:t>
      </w:r>
      <w:r w:rsidR="00DE165C" w:rsidRPr="005E6583">
        <w:rPr>
          <w:lang w:val="en-US"/>
        </w:rPr>
        <w:t>1785 MHz paired with 182</w:t>
      </w:r>
      <w:r>
        <w:rPr>
          <w:lang w:val="en-US"/>
        </w:rPr>
        <w:t xml:space="preserve">0 MHz – </w:t>
      </w:r>
      <w:r w:rsidR="00DE165C" w:rsidRPr="005E6583">
        <w:rPr>
          <w:lang w:val="en-US"/>
        </w:rPr>
        <w:t>188</w:t>
      </w:r>
      <w:r>
        <w:rPr>
          <w:lang w:val="en-US"/>
        </w:rPr>
        <w:t>0</w:t>
      </w:r>
      <w:r w:rsidR="00DE165C" w:rsidRPr="005E6583">
        <w:rPr>
          <w:lang w:val="en-US"/>
        </w:rPr>
        <w:t xml:space="preserve"> MHz</w:t>
      </w:r>
      <w:r w:rsidR="001645F2">
        <w:rPr>
          <w:lang w:val="en-US"/>
        </w:rPr>
        <w:t>.</w:t>
      </w:r>
      <w:r w:rsidR="00DE165C" w:rsidRPr="005E6583">
        <w:rPr>
          <w:lang w:val="en-US"/>
        </w:rPr>
        <w:t xml:space="preserve">  These are the </w:t>
      </w:r>
      <w:r w:rsidR="002B0B13">
        <w:rPr>
          <w:lang w:val="en-US"/>
        </w:rPr>
        <w:t>c</w:t>
      </w:r>
      <w:r w:rsidR="00DE165C" w:rsidRPr="005E6583">
        <w:rPr>
          <w:lang w:val="en-US"/>
        </w:rPr>
        <w:t>ategory 1 licences for this allocation.</w:t>
      </w:r>
      <w:r w:rsidR="005B037B">
        <w:rPr>
          <w:lang w:val="en-US"/>
        </w:rPr>
        <w:t xml:space="preserve"> </w:t>
      </w:r>
    </w:p>
    <w:p w14:paraId="3814A09C" w14:textId="77777777" w:rsidR="00DE165C" w:rsidRPr="007E36D0" w:rsidRDefault="00DE165C" w:rsidP="00DE165C">
      <w:pPr>
        <w:pStyle w:val="ACMABodyText"/>
        <w:rPr>
          <w:u w:val="single"/>
          <w:lang w:val="en-US"/>
        </w:rPr>
      </w:pPr>
      <w:r w:rsidRPr="007E36D0">
        <w:rPr>
          <w:u w:val="single"/>
          <w:lang w:val="en-US"/>
        </w:rPr>
        <w:t>Category 2 and 3 lots</w:t>
      </w:r>
    </w:p>
    <w:p w14:paraId="0A62562B" w14:textId="01430F69" w:rsidR="00DE165C" w:rsidRPr="00783D59" w:rsidRDefault="00C27AD9" w:rsidP="00DE165C">
      <w:pPr>
        <w:pStyle w:val="ACMABodyText"/>
        <w:rPr>
          <w:lang w:val="en-US"/>
        </w:rPr>
      </w:pPr>
      <w:r>
        <w:rPr>
          <w:lang w:val="en-US"/>
        </w:rPr>
        <w:t>As mentioned</w:t>
      </w:r>
      <w:r w:rsidR="006418A1">
        <w:rPr>
          <w:lang w:val="en-US"/>
        </w:rPr>
        <w:t xml:space="preserve"> above</w:t>
      </w:r>
      <w:r>
        <w:rPr>
          <w:lang w:val="en-US"/>
        </w:rPr>
        <w:t>, o</w:t>
      </w:r>
      <w:r w:rsidR="00DE165C" w:rsidRPr="00783D59">
        <w:rPr>
          <w:lang w:val="en-US"/>
        </w:rPr>
        <w:t>n 30 January 2013, the ACMA released a public consultation paper inviting submissions from interested stakeholders</w:t>
      </w:r>
      <w:r>
        <w:rPr>
          <w:lang w:val="en-US"/>
        </w:rPr>
        <w:t xml:space="preserve"> and the public</w:t>
      </w:r>
      <w:r w:rsidR="00DE165C" w:rsidRPr="00783D59">
        <w:rPr>
          <w:lang w:val="en-US"/>
        </w:rPr>
        <w:t xml:space="preserve"> on </w:t>
      </w:r>
      <w:r>
        <w:rPr>
          <w:lang w:val="en-US"/>
        </w:rPr>
        <w:t>a</w:t>
      </w:r>
      <w:r w:rsidR="00DE165C" w:rsidRPr="00783D59">
        <w:rPr>
          <w:lang w:val="en-US"/>
        </w:rPr>
        <w:t xml:space="preserve"> proposed recommendation that the Minister designate for allocation by spectrum licensing:</w:t>
      </w:r>
      <w:r w:rsidR="00A53F23">
        <w:rPr>
          <w:lang w:val="en-US"/>
        </w:rPr>
        <w:t xml:space="preserve"> </w:t>
      </w:r>
      <w:r w:rsidR="00DE165C">
        <w:rPr>
          <w:lang w:val="en-US"/>
        </w:rPr>
        <w:t>“</w:t>
      </w:r>
      <w:r w:rsidR="00DE165C" w:rsidRPr="005E6583">
        <w:rPr>
          <w:lang w:val="en-US"/>
        </w:rPr>
        <w:t>a</w:t>
      </w:r>
      <w:r w:rsidR="00DE165C" w:rsidRPr="00783D59">
        <w:rPr>
          <w:lang w:val="en-US"/>
        </w:rPr>
        <w:t>ny frequency ranges in the 800 MHz and tranche</w:t>
      </w:r>
      <w:r w:rsidR="003753C2">
        <w:rPr>
          <w:lang w:val="en-US"/>
        </w:rPr>
        <w:t xml:space="preserve"> 1</w:t>
      </w:r>
      <w:r w:rsidR="00DE165C" w:rsidRPr="00783D59">
        <w:rPr>
          <w:lang w:val="en-US"/>
        </w:rPr>
        <w:t xml:space="preserve"> of the 1800 MHz bands that remain vacant after the re-issue of existing spectrum licences that expire on 17 June 2013</w:t>
      </w:r>
      <w:r w:rsidR="00A53F23">
        <w:rPr>
          <w:lang w:val="en-US"/>
        </w:rPr>
        <w:t>”.</w:t>
      </w:r>
      <w:r w:rsidR="00DE165C" w:rsidRPr="00783D59">
        <w:rPr>
          <w:lang w:val="en-US"/>
        </w:rPr>
        <w:t xml:space="preserve"> </w:t>
      </w:r>
    </w:p>
    <w:p w14:paraId="79906CC2" w14:textId="58F87663" w:rsidR="00DE165C" w:rsidRPr="005E6583" w:rsidRDefault="00DE165C" w:rsidP="00DE165C">
      <w:pPr>
        <w:pStyle w:val="ACMABodyText"/>
        <w:rPr>
          <w:lang w:val="en-US"/>
        </w:rPr>
      </w:pPr>
      <w:r w:rsidRPr="005E6583">
        <w:rPr>
          <w:lang w:val="en-US"/>
        </w:rPr>
        <w:t>The ACMA received submissions from Telstra, Optus and AMTA all supporting the proposal.</w:t>
      </w:r>
      <w:r w:rsidR="00244441">
        <w:rPr>
          <w:lang w:val="en-US"/>
        </w:rPr>
        <w:t xml:space="preserve"> As a result of the re-issue process</w:t>
      </w:r>
      <w:r w:rsidR="00A53F23">
        <w:rPr>
          <w:lang w:val="en-US"/>
        </w:rPr>
        <w:t>,</w:t>
      </w:r>
      <w:r w:rsidR="00244441">
        <w:rPr>
          <w:lang w:val="en-US"/>
        </w:rPr>
        <w:t xml:space="preserve"> </w:t>
      </w:r>
      <w:r w:rsidRPr="005E6583">
        <w:rPr>
          <w:lang w:val="en-US"/>
        </w:rPr>
        <w:t>3</w:t>
      </w:r>
      <w:r w:rsidR="000C3224">
        <w:rPr>
          <w:lang w:val="en-US"/>
        </w:rPr>
        <w:t xml:space="preserve"> </w:t>
      </w:r>
      <w:r w:rsidRPr="005E6583">
        <w:rPr>
          <w:lang w:val="en-US"/>
        </w:rPr>
        <w:t xml:space="preserve">spectrum licences in the 1800 MHz band </w:t>
      </w:r>
      <w:r w:rsidR="00A53F23">
        <w:rPr>
          <w:lang w:val="en-US"/>
        </w:rPr>
        <w:t xml:space="preserve">were not re-issued and expired, and </w:t>
      </w:r>
      <w:r w:rsidRPr="005E6583">
        <w:rPr>
          <w:lang w:val="en-US"/>
        </w:rPr>
        <w:t>therefore</w:t>
      </w:r>
      <w:r>
        <w:rPr>
          <w:lang w:val="en-US"/>
        </w:rPr>
        <w:t xml:space="preserve"> are</w:t>
      </w:r>
      <w:r w:rsidRPr="005E6583">
        <w:rPr>
          <w:lang w:val="en-US"/>
        </w:rPr>
        <w:t xml:space="preserve"> available for </w:t>
      </w:r>
      <w:r w:rsidR="007069ED">
        <w:rPr>
          <w:lang w:val="en-US"/>
        </w:rPr>
        <w:t>allocation</w:t>
      </w:r>
      <w:r w:rsidR="00244441">
        <w:rPr>
          <w:lang w:val="en-US"/>
        </w:rPr>
        <w:t xml:space="preserve"> </w:t>
      </w:r>
      <w:r w:rsidR="00A53F23">
        <w:rPr>
          <w:lang w:val="en-US"/>
        </w:rPr>
        <w:t xml:space="preserve">– these are </w:t>
      </w:r>
      <w:r w:rsidR="00244441">
        <w:rPr>
          <w:lang w:val="en-US"/>
        </w:rPr>
        <w:t xml:space="preserve">Adelaide, </w:t>
      </w:r>
      <w:r w:rsidR="00A53F23">
        <w:rPr>
          <w:lang w:val="en-US"/>
        </w:rPr>
        <w:t xml:space="preserve">regional South Australia and </w:t>
      </w:r>
      <w:r w:rsidR="00244441">
        <w:rPr>
          <w:lang w:val="en-US"/>
        </w:rPr>
        <w:t xml:space="preserve">North Queensland </w:t>
      </w:r>
      <w:r w:rsidR="00A53F23">
        <w:rPr>
          <w:lang w:val="en-US"/>
        </w:rPr>
        <w:t>(Cairns/Townsville</w:t>
      </w:r>
      <w:r w:rsidR="00244441">
        <w:rPr>
          <w:lang w:val="en-US"/>
        </w:rPr>
        <w:t>)</w:t>
      </w:r>
      <w:r w:rsidRPr="005E6583">
        <w:rPr>
          <w:lang w:val="en-US"/>
        </w:rPr>
        <w:t>. The consultation process</w:t>
      </w:r>
      <w:r w:rsidR="00786501">
        <w:rPr>
          <w:lang w:val="en-US"/>
        </w:rPr>
        <w:t xml:space="preserve"> suggested that there is a</w:t>
      </w:r>
      <w:r w:rsidRPr="005E6583">
        <w:rPr>
          <w:lang w:val="en-US"/>
        </w:rPr>
        <w:t xml:space="preserve"> strong demand for </w:t>
      </w:r>
      <w:r w:rsidR="006418A1">
        <w:rPr>
          <w:lang w:val="en-US"/>
        </w:rPr>
        <w:t>this</w:t>
      </w:r>
      <w:r w:rsidRPr="005E6583">
        <w:rPr>
          <w:lang w:val="en-US"/>
        </w:rPr>
        <w:t xml:space="preserve"> available </w:t>
      </w:r>
      <w:r w:rsidR="00A53F23">
        <w:rPr>
          <w:lang w:val="en-US"/>
        </w:rPr>
        <w:t>spectrum</w:t>
      </w:r>
      <w:r w:rsidRPr="005E6583">
        <w:rPr>
          <w:lang w:val="en-US"/>
        </w:rPr>
        <w:t xml:space="preserve">. On 17 July 2013, the ACMA made a recommendation to the </w:t>
      </w:r>
      <w:r w:rsidRPr="005E6583">
        <w:rPr>
          <w:lang w:val="en-US"/>
        </w:rPr>
        <w:lastRenderedPageBreak/>
        <w:t>Minister</w:t>
      </w:r>
      <w:r w:rsidR="00A53F23">
        <w:rPr>
          <w:lang w:val="en-US"/>
        </w:rPr>
        <w:t>, under subsection 36(3) of the Act,</w:t>
      </w:r>
      <w:r w:rsidRPr="005E6583">
        <w:rPr>
          <w:lang w:val="en-US"/>
        </w:rPr>
        <w:t xml:space="preserve"> to </w:t>
      </w:r>
      <w:r w:rsidRPr="00783D59">
        <w:rPr>
          <w:lang w:val="en-US"/>
        </w:rPr>
        <w:t xml:space="preserve">designate </w:t>
      </w:r>
      <w:r w:rsidR="00A53F23">
        <w:rPr>
          <w:lang w:val="en-US"/>
        </w:rPr>
        <w:t xml:space="preserve">these as </w:t>
      </w:r>
      <w:r w:rsidRPr="00783D59">
        <w:rPr>
          <w:lang w:val="en-US"/>
        </w:rPr>
        <w:t>specified parts of the 1800 MHz band for spectrum licensing</w:t>
      </w:r>
      <w:r w:rsidR="00A53F23">
        <w:rPr>
          <w:lang w:val="en-US"/>
        </w:rPr>
        <w:t>. The Minister made the designation notice on 29 January 2014</w:t>
      </w:r>
      <w:r w:rsidRPr="005E6583">
        <w:rPr>
          <w:lang w:val="en-US"/>
        </w:rPr>
        <w:t>.</w:t>
      </w:r>
    </w:p>
    <w:p w14:paraId="34A95712" w14:textId="77777777" w:rsidR="00DE165C" w:rsidRPr="005E6583" w:rsidRDefault="00C874B5" w:rsidP="00DE165C">
      <w:pPr>
        <w:pStyle w:val="ACMABodyText"/>
        <w:rPr>
          <w:lang w:val="en-US"/>
        </w:rPr>
      </w:pPr>
      <w:r>
        <w:rPr>
          <w:lang w:val="en-US"/>
        </w:rPr>
        <w:t xml:space="preserve">Consequently, </w:t>
      </w:r>
      <w:r w:rsidR="00DE165C" w:rsidRPr="005E6583">
        <w:rPr>
          <w:lang w:val="en-US"/>
        </w:rPr>
        <w:t>3 l</w:t>
      </w:r>
      <w:r w:rsidR="00DE165C">
        <w:rPr>
          <w:lang w:val="en-US"/>
        </w:rPr>
        <w:t>ots</w:t>
      </w:r>
      <w:r w:rsidR="00DE165C" w:rsidRPr="005E6583">
        <w:rPr>
          <w:lang w:val="en-US"/>
        </w:rPr>
        <w:t xml:space="preserve"> </w:t>
      </w:r>
      <w:r>
        <w:rPr>
          <w:lang w:val="en-US"/>
        </w:rPr>
        <w:t xml:space="preserve">are available for spectrum licensing and </w:t>
      </w:r>
      <w:r w:rsidR="00DE165C" w:rsidRPr="005E6583">
        <w:rPr>
          <w:lang w:val="en-US"/>
        </w:rPr>
        <w:t>are</w:t>
      </w:r>
      <w:r w:rsidR="00DE165C">
        <w:rPr>
          <w:lang w:val="en-US"/>
        </w:rPr>
        <w:t xml:space="preserve"> divided into 2 categories</w:t>
      </w:r>
      <w:r>
        <w:rPr>
          <w:lang w:val="en-US"/>
        </w:rPr>
        <w:t>, as follows</w:t>
      </w:r>
      <w:r w:rsidR="00DE165C">
        <w:rPr>
          <w:lang w:val="en-US"/>
        </w:rPr>
        <w:t>:</w:t>
      </w:r>
    </w:p>
    <w:p w14:paraId="5F7E2C79" w14:textId="77777777" w:rsidR="00DE165C" w:rsidRPr="005E6583" w:rsidRDefault="00DE165C" w:rsidP="00C874B5">
      <w:pPr>
        <w:pStyle w:val="ACMABodyText"/>
        <w:ind w:left="426"/>
        <w:rPr>
          <w:lang w:val="en-US"/>
        </w:rPr>
      </w:pPr>
      <w:r w:rsidRPr="00783D59">
        <w:rPr>
          <w:i/>
          <w:u w:val="single"/>
          <w:lang w:val="en-US"/>
        </w:rPr>
        <w:t>Category 2</w:t>
      </w:r>
      <w:r w:rsidRPr="005E6583">
        <w:rPr>
          <w:lang w:val="en-US"/>
        </w:rPr>
        <w:t xml:space="preserve"> </w:t>
      </w:r>
      <w:r w:rsidR="00C874B5">
        <w:rPr>
          <w:lang w:val="en-US"/>
        </w:rPr>
        <w:t xml:space="preserve">with </w:t>
      </w:r>
      <w:r w:rsidRPr="005E6583">
        <w:rPr>
          <w:lang w:val="en-US"/>
        </w:rPr>
        <w:t xml:space="preserve">2 lots </w:t>
      </w:r>
      <w:r w:rsidR="00C874B5">
        <w:rPr>
          <w:lang w:val="en-US"/>
        </w:rPr>
        <w:t xml:space="preserve">– </w:t>
      </w:r>
      <w:r w:rsidRPr="005E6583">
        <w:rPr>
          <w:lang w:val="en-US"/>
        </w:rPr>
        <w:t xml:space="preserve">one in each of </w:t>
      </w:r>
      <w:r w:rsidR="00C874B5">
        <w:rPr>
          <w:lang w:val="en-US"/>
        </w:rPr>
        <w:t>r</w:t>
      </w:r>
      <w:r w:rsidRPr="005E6583">
        <w:rPr>
          <w:lang w:val="en-US"/>
        </w:rPr>
        <w:t>egional South Australia and North Queensland (Cairns/Townsville)</w:t>
      </w:r>
      <w:r w:rsidR="00C874B5">
        <w:rPr>
          <w:lang w:val="en-US"/>
        </w:rPr>
        <w:t xml:space="preserve"> </w:t>
      </w:r>
    </w:p>
    <w:p w14:paraId="067CFD1F" w14:textId="21314314" w:rsidR="00DE165C" w:rsidRDefault="00DE165C" w:rsidP="00C874B5">
      <w:pPr>
        <w:pStyle w:val="ACMABodyText"/>
        <w:ind w:left="426"/>
        <w:rPr>
          <w:lang w:val="en-US"/>
        </w:rPr>
      </w:pPr>
      <w:r>
        <w:rPr>
          <w:lang w:val="en-US"/>
        </w:rPr>
        <w:t xml:space="preserve">2 x 2.5 MHz in </w:t>
      </w:r>
      <w:r w:rsidR="00C874B5">
        <w:rPr>
          <w:lang w:val="en-US"/>
        </w:rPr>
        <w:t xml:space="preserve">the paired bands </w:t>
      </w:r>
      <w:r w:rsidRPr="005E6583">
        <w:rPr>
          <w:lang w:val="en-US"/>
        </w:rPr>
        <w:t>1710</w:t>
      </w:r>
      <w:r w:rsidR="00C874B5">
        <w:rPr>
          <w:lang w:val="en-US"/>
        </w:rPr>
        <w:t xml:space="preserve"> MHz – </w:t>
      </w:r>
      <w:r w:rsidRPr="005E6583">
        <w:rPr>
          <w:lang w:val="en-US"/>
        </w:rPr>
        <w:t xml:space="preserve">1712.5 MHz </w:t>
      </w:r>
      <w:r w:rsidR="00C874B5">
        <w:rPr>
          <w:lang w:val="en-US"/>
        </w:rPr>
        <w:t>and</w:t>
      </w:r>
      <w:r w:rsidRPr="005E6583">
        <w:rPr>
          <w:lang w:val="en-US"/>
        </w:rPr>
        <w:t xml:space="preserve"> 1805</w:t>
      </w:r>
      <w:r w:rsidR="00C874B5">
        <w:rPr>
          <w:lang w:val="en-US"/>
        </w:rPr>
        <w:t xml:space="preserve"> MHz – </w:t>
      </w:r>
      <w:r w:rsidRPr="005E6583">
        <w:rPr>
          <w:lang w:val="en-US"/>
        </w:rPr>
        <w:t>1807.5 MHz</w:t>
      </w:r>
      <w:r w:rsidR="001645F2">
        <w:rPr>
          <w:lang w:val="en-US"/>
        </w:rPr>
        <w:t>.</w:t>
      </w:r>
    </w:p>
    <w:p w14:paraId="0407359A" w14:textId="66C21952" w:rsidR="00DE165C" w:rsidRPr="005E6583" w:rsidRDefault="00DE165C" w:rsidP="00C874B5">
      <w:pPr>
        <w:pStyle w:val="ACMABodyText"/>
        <w:ind w:left="426"/>
        <w:rPr>
          <w:lang w:val="en-US"/>
        </w:rPr>
      </w:pPr>
      <w:r>
        <w:rPr>
          <w:lang w:val="en-US"/>
        </w:rPr>
        <w:t>That is</w:t>
      </w:r>
      <w:r w:rsidR="00FC7BC1">
        <w:rPr>
          <w:lang w:val="en-US"/>
        </w:rPr>
        <w:t>,</w:t>
      </w:r>
      <w:r>
        <w:rPr>
          <w:lang w:val="en-US"/>
        </w:rPr>
        <w:t xml:space="preserve"> a total of 5 MHz in </w:t>
      </w:r>
      <w:r w:rsidR="006418A1">
        <w:rPr>
          <w:lang w:val="en-US"/>
        </w:rPr>
        <w:t>each area</w:t>
      </w:r>
      <w:r>
        <w:rPr>
          <w:lang w:val="en-US"/>
        </w:rPr>
        <w:t>.</w:t>
      </w:r>
    </w:p>
    <w:p w14:paraId="23A01649" w14:textId="77777777" w:rsidR="00DE165C" w:rsidRPr="00BC24A5" w:rsidRDefault="00DE165C" w:rsidP="00C874B5">
      <w:pPr>
        <w:pStyle w:val="ACMABodyText"/>
        <w:ind w:left="426"/>
        <w:rPr>
          <w:u w:val="single"/>
          <w:lang w:val="en-US"/>
        </w:rPr>
      </w:pPr>
      <w:r w:rsidRPr="00783D59">
        <w:rPr>
          <w:i/>
          <w:u w:val="single"/>
          <w:lang w:val="en-US"/>
        </w:rPr>
        <w:t xml:space="preserve">Category </w:t>
      </w:r>
      <w:r w:rsidRPr="00BC24A5">
        <w:rPr>
          <w:i/>
          <w:u w:val="single"/>
          <w:lang w:val="en-US"/>
        </w:rPr>
        <w:t xml:space="preserve">3 </w:t>
      </w:r>
      <w:r w:rsidR="00C874B5">
        <w:rPr>
          <w:i/>
          <w:u w:val="single"/>
          <w:lang w:val="en-US"/>
        </w:rPr>
        <w:t xml:space="preserve">with </w:t>
      </w:r>
      <w:r>
        <w:rPr>
          <w:u w:val="single"/>
          <w:lang w:val="en-US"/>
        </w:rPr>
        <w:t>1 lot – Adelaide</w:t>
      </w:r>
    </w:p>
    <w:p w14:paraId="4F83B0FB" w14:textId="77777777" w:rsidR="00DE165C" w:rsidRDefault="00DE165C" w:rsidP="00C874B5">
      <w:pPr>
        <w:pStyle w:val="ACMABodyText"/>
        <w:ind w:left="426"/>
        <w:rPr>
          <w:lang w:val="en-US"/>
        </w:rPr>
      </w:pPr>
      <w:r>
        <w:rPr>
          <w:lang w:val="en-US"/>
        </w:rPr>
        <w:t xml:space="preserve">2 x 5 MHz in </w:t>
      </w:r>
      <w:r w:rsidR="00FC7BC1">
        <w:rPr>
          <w:lang w:val="en-US"/>
        </w:rPr>
        <w:t xml:space="preserve">the paired bands </w:t>
      </w:r>
      <w:r w:rsidRPr="005E6583">
        <w:rPr>
          <w:lang w:val="en-US"/>
        </w:rPr>
        <w:t>1770</w:t>
      </w:r>
      <w:r w:rsidR="00FC7BC1">
        <w:rPr>
          <w:lang w:val="en-US"/>
        </w:rPr>
        <w:t xml:space="preserve"> MHz – </w:t>
      </w:r>
      <w:r w:rsidRPr="005E6583">
        <w:rPr>
          <w:lang w:val="en-US"/>
        </w:rPr>
        <w:t xml:space="preserve">1775 MHz </w:t>
      </w:r>
      <w:r w:rsidR="00FC7BC1">
        <w:rPr>
          <w:lang w:val="en-US"/>
        </w:rPr>
        <w:t xml:space="preserve">and </w:t>
      </w:r>
      <w:r w:rsidRPr="005E6583">
        <w:rPr>
          <w:lang w:val="en-US"/>
        </w:rPr>
        <w:t>1865</w:t>
      </w:r>
      <w:r w:rsidR="00FC7BC1">
        <w:rPr>
          <w:lang w:val="en-US"/>
        </w:rPr>
        <w:t xml:space="preserve"> MHz – </w:t>
      </w:r>
      <w:r w:rsidRPr="005E6583">
        <w:rPr>
          <w:lang w:val="en-US"/>
        </w:rPr>
        <w:t>1870 MHz</w:t>
      </w:r>
      <w:r w:rsidR="00FC7BC1">
        <w:rPr>
          <w:lang w:val="en-US"/>
        </w:rPr>
        <w:t>.</w:t>
      </w:r>
    </w:p>
    <w:p w14:paraId="0A296B72" w14:textId="77777777" w:rsidR="00FC7BC1" w:rsidRPr="005E6583" w:rsidRDefault="00FC7BC1" w:rsidP="00C874B5">
      <w:pPr>
        <w:pStyle w:val="ACMABodyText"/>
        <w:ind w:left="426"/>
        <w:rPr>
          <w:lang w:val="en-US"/>
        </w:rPr>
      </w:pPr>
      <w:r>
        <w:rPr>
          <w:lang w:val="en-US"/>
        </w:rPr>
        <w:t>That is, a total of 10 MHz in the area.</w:t>
      </w:r>
    </w:p>
    <w:p w14:paraId="720BBB38" w14:textId="7C04FA8A" w:rsidR="00DE165C" w:rsidRPr="005E6583" w:rsidRDefault="006418A1" w:rsidP="00DE165C">
      <w:pPr>
        <w:pStyle w:val="ACMABodyText"/>
        <w:rPr>
          <w:lang w:val="en-US"/>
        </w:rPr>
      </w:pPr>
      <w:r>
        <w:rPr>
          <w:lang w:val="en-US"/>
        </w:rPr>
        <w:t>In preparation for the auction</w:t>
      </w:r>
      <w:r w:rsidR="00DE165C" w:rsidRPr="005E6583">
        <w:rPr>
          <w:lang w:val="en-US"/>
        </w:rPr>
        <w:t xml:space="preserve">, the ACMA has developed the </w:t>
      </w:r>
      <w:r w:rsidR="00FC7BC1">
        <w:rPr>
          <w:lang w:val="en-US"/>
        </w:rPr>
        <w:t>lot configuration</w:t>
      </w:r>
      <w:r w:rsidR="00DE165C" w:rsidRPr="005E6583">
        <w:rPr>
          <w:lang w:val="en-US"/>
        </w:rPr>
        <w:t xml:space="preserve"> and technical instruments for the a</w:t>
      </w:r>
      <w:r w:rsidR="00DF3E18">
        <w:rPr>
          <w:lang w:val="en-US"/>
        </w:rPr>
        <w:t xml:space="preserve">llocation </w:t>
      </w:r>
      <w:r w:rsidR="00DE165C" w:rsidRPr="005E6583">
        <w:rPr>
          <w:lang w:val="en-US"/>
        </w:rPr>
        <w:t xml:space="preserve">in consultation with stakeholders, particularly prospective participants and incumbent licensees. </w:t>
      </w:r>
    </w:p>
    <w:p w14:paraId="471A4622" w14:textId="77777777" w:rsidR="00683CD6" w:rsidRDefault="00683CD6" w:rsidP="00E63D8B">
      <w:pPr>
        <w:pStyle w:val="ACMAHeading3"/>
      </w:pPr>
      <w:r>
        <w:t>Allocation determination</w:t>
      </w:r>
    </w:p>
    <w:p w14:paraId="56016AAE" w14:textId="56A405FD" w:rsidR="00683CD6" w:rsidRDefault="00683CD6" w:rsidP="00683CD6">
      <w:pPr>
        <w:pStyle w:val="ACMABodyText"/>
        <w:rPr>
          <w:lang w:val="en-US"/>
        </w:rPr>
      </w:pPr>
      <w:r>
        <w:rPr>
          <w:lang w:val="en-US"/>
        </w:rPr>
        <w:t xml:space="preserve">Stakeholder views were also taken into account </w:t>
      </w:r>
      <w:r w:rsidR="00E17E1E">
        <w:rPr>
          <w:lang w:val="en-US"/>
        </w:rPr>
        <w:t xml:space="preserve">in the development of the </w:t>
      </w:r>
      <w:r>
        <w:rPr>
          <w:lang w:val="en-US"/>
        </w:rPr>
        <w:t>Determination. During the preparation of a draft version of the Determination, the ACMA held an on-line industry forum on 4 March 2015</w:t>
      </w:r>
      <w:r w:rsidRPr="009E2BF2">
        <w:rPr>
          <w:lang w:val="en-US"/>
        </w:rPr>
        <w:t>,</w:t>
      </w:r>
      <w:r>
        <w:rPr>
          <w:lang w:val="en-US"/>
        </w:rPr>
        <w:t xml:space="preserve"> which presented stakeholders with details on preliminary approaches being considered </w:t>
      </w:r>
      <w:r w:rsidR="00515149">
        <w:rPr>
          <w:lang w:val="en-US"/>
        </w:rPr>
        <w:t>for</w:t>
      </w:r>
      <w:r>
        <w:rPr>
          <w:lang w:val="en-US"/>
        </w:rPr>
        <w:t xml:space="preserve"> key parts of the spectrum </w:t>
      </w:r>
      <w:r w:rsidR="00DF3E18">
        <w:rPr>
          <w:lang w:val="en-US"/>
        </w:rPr>
        <w:t>allocation</w:t>
      </w:r>
      <w:r>
        <w:rPr>
          <w:lang w:val="en-US"/>
        </w:rPr>
        <w:t xml:space="preserve"> planning. </w:t>
      </w:r>
    </w:p>
    <w:p w14:paraId="0F66775F" w14:textId="2131411D" w:rsidR="00645038" w:rsidRDefault="00683CD6" w:rsidP="00683CD6">
      <w:pPr>
        <w:pStyle w:val="ACMABodyText"/>
        <w:rPr>
          <w:i/>
          <w:lang w:val="en-US"/>
        </w:rPr>
      </w:pPr>
      <w:r w:rsidRPr="0052621E">
        <w:rPr>
          <w:lang w:val="en-US"/>
        </w:rPr>
        <w:t xml:space="preserve">Draft versions of </w:t>
      </w:r>
      <w:r w:rsidR="00515149">
        <w:rPr>
          <w:lang w:val="en-US"/>
        </w:rPr>
        <w:t>relevant</w:t>
      </w:r>
      <w:r w:rsidRPr="0052621E">
        <w:rPr>
          <w:lang w:val="en-US"/>
        </w:rPr>
        <w:t xml:space="preserve"> instruments</w:t>
      </w:r>
      <w:r>
        <w:rPr>
          <w:lang w:val="en-US"/>
        </w:rPr>
        <w:t>, including the marketing plan and th</w:t>
      </w:r>
      <w:r w:rsidR="00FC7BC1">
        <w:rPr>
          <w:lang w:val="en-US"/>
        </w:rPr>
        <w:t>e</w:t>
      </w:r>
      <w:r>
        <w:rPr>
          <w:lang w:val="en-US"/>
        </w:rPr>
        <w:t xml:space="preserve"> Determination, </w:t>
      </w:r>
      <w:r w:rsidRPr="0052621E">
        <w:rPr>
          <w:lang w:val="en-US"/>
        </w:rPr>
        <w:t>were</w:t>
      </w:r>
      <w:r>
        <w:rPr>
          <w:lang w:val="en-US"/>
        </w:rPr>
        <w:t xml:space="preserve"> </w:t>
      </w:r>
      <w:r w:rsidRPr="0052621E">
        <w:rPr>
          <w:lang w:val="en-US"/>
        </w:rPr>
        <w:t xml:space="preserve">subsequently released for </w:t>
      </w:r>
      <w:r>
        <w:rPr>
          <w:lang w:val="en-US"/>
        </w:rPr>
        <w:t xml:space="preserve">detailed </w:t>
      </w:r>
      <w:r w:rsidRPr="0052621E">
        <w:rPr>
          <w:lang w:val="en-US"/>
        </w:rPr>
        <w:t>public consultation</w:t>
      </w:r>
      <w:r>
        <w:rPr>
          <w:lang w:val="en-US"/>
        </w:rPr>
        <w:t xml:space="preserve"> </w:t>
      </w:r>
      <w:r w:rsidRPr="0052621E">
        <w:rPr>
          <w:lang w:val="en-US"/>
        </w:rPr>
        <w:t xml:space="preserve">on </w:t>
      </w:r>
      <w:r w:rsidR="004212C8" w:rsidRPr="004212C8">
        <w:rPr>
          <w:lang w:val="en-US"/>
        </w:rPr>
        <w:t>22</w:t>
      </w:r>
      <w:r w:rsidRPr="004212C8">
        <w:rPr>
          <w:lang w:val="en-US"/>
        </w:rPr>
        <w:t xml:space="preserve"> June 2015</w:t>
      </w:r>
      <w:r w:rsidRPr="0052621E">
        <w:rPr>
          <w:lang w:val="en-US"/>
        </w:rPr>
        <w:t xml:space="preserve">, together with </w:t>
      </w:r>
      <w:r w:rsidR="00515149">
        <w:rPr>
          <w:lang w:val="en-US"/>
        </w:rPr>
        <w:t>an</w:t>
      </w:r>
      <w:r>
        <w:rPr>
          <w:lang w:val="en-US"/>
        </w:rPr>
        <w:t xml:space="preserve"> </w:t>
      </w:r>
      <w:r w:rsidRPr="0052621E">
        <w:rPr>
          <w:lang w:val="en-US"/>
        </w:rPr>
        <w:t xml:space="preserve">explanatory </w:t>
      </w:r>
      <w:r>
        <w:rPr>
          <w:lang w:val="en-US"/>
        </w:rPr>
        <w:t xml:space="preserve">consultation </w:t>
      </w:r>
      <w:r w:rsidRPr="0052621E">
        <w:rPr>
          <w:lang w:val="en-US"/>
        </w:rPr>
        <w:t>paper</w:t>
      </w:r>
      <w:r w:rsidR="00F33B49" w:rsidRPr="007E36D0">
        <w:t xml:space="preserve">. </w:t>
      </w:r>
    </w:p>
    <w:p w14:paraId="68FE290A" w14:textId="546AF982" w:rsidR="00683CD6" w:rsidRDefault="00683CD6" w:rsidP="00683CD6">
      <w:pPr>
        <w:pStyle w:val="ACMABodyText"/>
        <w:rPr>
          <w:lang w:val="en-US"/>
        </w:rPr>
      </w:pPr>
      <w:r w:rsidRPr="006E5546">
        <w:rPr>
          <w:lang w:val="en-US"/>
        </w:rPr>
        <w:t xml:space="preserve">The ACMA received </w:t>
      </w:r>
      <w:r w:rsidR="00515149">
        <w:rPr>
          <w:lang w:val="en-US"/>
        </w:rPr>
        <w:t>three</w:t>
      </w:r>
      <w:r w:rsidRPr="006E5546">
        <w:rPr>
          <w:lang w:val="en-US"/>
        </w:rPr>
        <w:t xml:space="preserve"> written submissions in response to the </w:t>
      </w:r>
      <w:r w:rsidR="00645038">
        <w:rPr>
          <w:lang w:val="en-US"/>
        </w:rPr>
        <w:t>consultation</w:t>
      </w:r>
      <w:r w:rsidRPr="006E5546">
        <w:rPr>
          <w:lang w:val="en-US"/>
        </w:rPr>
        <w:t xml:space="preserve"> paper.  Submissions were published on the ACMA’s website (www.acma.gov.au</w:t>
      </w:r>
      <w:r w:rsidRPr="006E5546">
        <w:t>)</w:t>
      </w:r>
      <w:r w:rsidRPr="006E5546">
        <w:rPr>
          <w:lang w:val="en-US"/>
        </w:rPr>
        <w:t xml:space="preserve">. Stakeholder views expressed in these submissions have also been taken into consideration in subsequent </w:t>
      </w:r>
      <w:r w:rsidR="00645038">
        <w:rPr>
          <w:lang w:val="en-US"/>
        </w:rPr>
        <w:t xml:space="preserve">spectrum </w:t>
      </w:r>
      <w:r w:rsidR="00DF3E18">
        <w:rPr>
          <w:lang w:val="en-US"/>
        </w:rPr>
        <w:t>allocation</w:t>
      </w:r>
      <w:r w:rsidRPr="006E5546">
        <w:rPr>
          <w:lang w:val="en-US"/>
        </w:rPr>
        <w:t xml:space="preserve"> planning.</w:t>
      </w:r>
      <w:r>
        <w:rPr>
          <w:lang w:val="en-US"/>
        </w:rPr>
        <w:t xml:space="preserve">  The 3 submitters agreed with the </w:t>
      </w:r>
      <w:r w:rsidR="003578F6">
        <w:rPr>
          <w:lang w:val="en-US"/>
        </w:rPr>
        <w:t xml:space="preserve">SMRA </w:t>
      </w:r>
      <w:r w:rsidR="00DF3E18">
        <w:rPr>
          <w:lang w:val="en-US"/>
        </w:rPr>
        <w:t xml:space="preserve">allocation </w:t>
      </w:r>
      <w:r>
        <w:rPr>
          <w:lang w:val="en-US"/>
        </w:rPr>
        <w:t xml:space="preserve">format that the ACMA had proposed but </w:t>
      </w:r>
      <w:r w:rsidR="00515149">
        <w:rPr>
          <w:lang w:val="en-US"/>
        </w:rPr>
        <w:t>each also</w:t>
      </w:r>
      <w:r>
        <w:rPr>
          <w:lang w:val="en-US"/>
        </w:rPr>
        <w:t xml:space="preserve"> put forward </w:t>
      </w:r>
      <w:r w:rsidR="00515149">
        <w:rPr>
          <w:lang w:val="en-US"/>
        </w:rPr>
        <w:t>various</w:t>
      </w:r>
      <w:r>
        <w:rPr>
          <w:lang w:val="en-US"/>
        </w:rPr>
        <w:t xml:space="preserve"> suggestion</w:t>
      </w:r>
      <w:r w:rsidR="00515149">
        <w:rPr>
          <w:lang w:val="en-US"/>
        </w:rPr>
        <w:t>s</w:t>
      </w:r>
      <w:r>
        <w:rPr>
          <w:lang w:val="en-US"/>
        </w:rPr>
        <w:t xml:space="preserve"> that the ACMA should undertake some form of SMRA </w:t>
      </w:r>
      <w:r w:rsidR="00DF3E18">
        <w:rPr>
          <w:lang w:val="en-US"/>
        </w:rPr>
        <w:t>allocation</w:t>
      </w:r>
      <w:r>
        <w:rPr>
          <w:lang w:val="en-US"/>
        </w:rPr>
        <w:t xml:space="preserve"> for generic lots (rather than specific lots) followed by an assignment round where winning bidders could negotiate on the assignment of </w:t>
      </w:r>
      <w:r w:rsidR="00737F5D">
        <w:rPr>
          <w:lang w:val="en-US"/>
        </w:rPr>
        <w:t>spectrum</w:t>
      </w:r>
      <w:r>
        <w:rPr>
          <w:lang w:val="en-US"/>
        </w:rPr>
        <w:t xml:space="preserve"> </w:t>
      </w:r>
      <w:r w:rsidR="003578F6">
        <w:rPr>
          <w:lang w:val="en-US"/>
        </w:rPr>
        <w:t xml:space="preserve">to </w:t>
      </w:r>
      <w:r w:rsidR="00737F5D">
        <w:rPr>
          <w:lang w:val="en-US"/>
        </w:rPr>
        <w:t xml:space="preserve">the </w:t>
      </w:r>
      <w:r w:rsidR="003578F6">
        <w:rPr>
          <w:lang w:val="en-US"/>
        </w:rPr>
        <w:t xml:space="preserve">winning bidders </w:t>
      </w:r>
      <w:r>
        <w:rPr>
          <w:lang w:val="en-US"/>
        </w:rPr>
        <w:t xml:space="preserve">by frequency and area which, in their opinion, would maximize the outcome for stakeholders. </w:t>
      </w:r>
    </w:p>
    <w:p w14:paraId="797940F1" w14:textId="77777777" w:rsidR="00F33B49" w:rsidRPr="006E5546" w:rsidRDefault="00F33B49" w:rsidP="00683CD6">
      <w:pPr>
        <w:pStyle w:val="ACMABodyText"/>
        <w:rPr>
          <w:lang w:val="en-US"/>
        </w:rPr>
      </w:pPr>
      <w:r>
        <w:rPr>
          <w:lang w:val="en-US"/>
        </w:rPr>
        <w:t>Given the circumstances of this auction, the ACMA considered that the SMRA methodology applied for the specific lots without an assignment round is the most efficient and effective means to identify the highest value users of the parts of the spectrum in the 1800 MHz band.</w:t>
      </w:r>
    </w:p>
    <w:p w14:paraId="3BBD555D" w14:textId="77777777" w:rsidR="00603AB1" w:rsidRPr="00181920" w:rsidRDefault="00603AB1" w:rsidP="00E63D8B">
      <w:pPr>
        <w:pStyle w:val="ACMAHeading3"/>
      </w:pPr>
      <w:r>
        <w:t>Regulation Impact</w:t>
      </w:r>
    </w:p>
    <w:bookmarkEnd w:id="4"/>
    <w:bookmarkEnd w:id="5"/>
    <w:p w14:paraId="69809558" w14:textId="77777777" w:rsidR="00603AB1" w:rsidRPr="0023281A" w:rsidRDefault="00603AB1" w:rsidP="00E63D8B">
      <w:pPr>
        <w:pStyle w:val="ACMABodyText"/>
      </w:pPr>
      <w:r w:rsidRPr="000F4F70">
        <w:rPr>
          <w:lang w:val="en-US"/>
        </w:rPr>
        <w:t xml:space="preserve">Prior to </w:t>
      </w:r>
      <w:r>
        <w:rPr>
          <w:lang w:val="en-US"/>
        </w:rPr>
        <w:t>making</w:t>
      </w:r>
      <w:r w:rsidRPr="000F4F70">
        <w:rPr>
          <w:lang w:val="en-US"/>
        </w:rPr>
        <w:t xml:space="preserve"> the Determination, the ACMA consulted with the Office of Best Practice Regulation (the </w:t>
      </w:r>
      <w:r w:rsidRPr="004B2299">
        <w:rPr>
          <w:b/>
          <w:lang w:val="en-US"/>
        </w:rPr>
        <w:t>OBPR</w:t>
      </w:r>
      <w:r w:rsidRPr="000F4F70">
        <w:rPr>
          <w:lang w:val="en-US"/>
        </w:rPr>
        <w:t>) on the requirement for a Regulation Impact Statement (</w:t>
      </w:r>
      <w:r w:rsidRPr="004B2299">
        <w:rPr>
          <w:b/>
          <w:lang w:val="en-US"/>
        </w:rPr>
        <w:t>RIS</w:t>
      </w:r>
      <w:r w:rsidRPr="000F4F70">
        <w:rPr>
          <w:lang w:val="en-US"/>
        </w:rPr>
        <w:t>) for this legislative instrument.</w:t>
      </w:r>
      <w:r>
        <w:rPr>
          <w:lang w:val="en-US"/>
        </w:rPr>
        <w:t xml:space="preserve"> </w:t>
      </w:r>
      <w:r w:rsidR="0082674D">
        <w:rPr>
          <w:lang w:val="en-US"/>
        </w:rPr>
        <w:t xml:space="preserve">This included providing information on the re-allocation declaration, designation notice and competition limits, as well as lot configuration. Based on preliminary assessments the OBPR has confirmed that these elements do not constitute a regulatory change at this time </w:t>
      </w:r>
      <w:r>
        <w:rPr>
          <w:lang w:val="en-US"/>
        </w:rPr>
        <w:t>(OBPR reference ID</w:t>
      </w:r>
      <w:r w:rsidR="001E025F">
        <w:rPr>
          <w:lang w:val="en-US"/>
        </w:rPr>
        <w:t>s</w:t>
      </w:r>
      <w:r>
        <w:rPr>
          <w:lang w:val="en-US"/>
        </w:rPr>
        <w:t xml:space="preserve"> </w:t>
      </w:r>
      <w:r w:rsidR="0082674D">
        <w:rPr>
          <w:lang w:val="en-US"/>
        </w:rPr>
        <w:t>19077 and 19214</w:t>
      </w:r>
      <w:r>
        <w:rPr>
          <w:lang w:val="en-US"/>
        </w:rPr>
        <w:t>)</w:t>
      </w:r>
      <w:r w:rsidR="0082674D">
        <w:rPr>
          <w:lang w:val="en-US"/>
        </w:rPr>
        <w:t>.  Further engagement with the OBPR has indicated that all of the relevant regulatory assessments for the 1800 MHz band allocation have been acquitted</w:t>
      </w:r>
      <w:r>
        <w:rPr>
          <w:lang w:val="en-US"/>
        </w:rPr>
        <w:t xml:space="preserve">. </w:t>
      </w:r>
    </w:p>
    <w:p w14:paraId="04EE3288" w14:textId="77777777" w:rsidR="00603AB1" w:rsidRDefault="00603AB1" w:rsidP="00E63D8B">
      <w:pPr>
        <w:pStyle w:val="ACMAHeading3"/>
      </w:pPr>
      <w:r>
        <w:lastRenderedPageBreak/>
        <w:t xml:space="preserve">Documents incorporated into the Determination by </w:t>
      </w:r>
      <w:r w:rsidR="006200B8">
        <w:t>r</w:t>
      </w:r>
      <w:r>
        <w:t>eference or otherwise referred to</w:t>
      </w:r>
    </w:p>
    <w:p w14:paraId="41152B8D" w14:textId="480F57A8" w:rsidR="00603AB1" w:rsidRPr="00BC6E46" w:rsidRDefault="00603AB1" w:rsidP="00E63D8B">
      <w:pPr>
        <w:pStyle w:val="ACMABodyText"/>
        <w:rPr>
          <w:lang w:val="en-US"/>
        </w:rPr>
      </w:pPr>
      <w:r w:rsidRPr="00BC6E46">
        <w:rPr>
          <w:lang w:val="en-US"/>
        </w:rPr>
        <w:t>Th</w:t>
      </w:r>
      <w:r>
        <w:rPr>
          <w:lang w:val="en-US"/>
        </w:rPr>
        <w:t>e</w:t>
      </w:r>
      <w:r w:rsidRPr="00BC6E46">
        <w:rPr>
          <w:lang w:val="en-US"/>
        </w:rPr>
        <w:t xml:space="preserve"> </w:t>
      </w:r>
      <w:r>
        <w:rPr>
          <w:lang w:val="en-US"/>
        </w:rPr>
        <w:t>D</w:t>
      </w:r>
      <w:r w:rsidRPr="00BC6E46">
        <w:rPr>
          <w:lang w:val="en-US"/>
        </w:rPr>
        <w:t xml:space="preserve">etermination </w:t>
      </w:r>
      <w:r w:rsidR="00EC3A33">
        <w:rPr>
          <w:lang w:val="en-US"/>
        </w:rPr>
        <w:t xml:space="preserve">refers to Acts and other legislative instruments as in force from time to time (as permitted by section 13 of the </w:t>
      </w:r>
      <w:r w:rsidR="00EC3A33" w:rsidRPr="00515149">
        <w:rPr>
          <w:lang w:val="en-US"/>
        </w:rPr>
        <w:t>LIA</w:t>
      </w:r>
      <w:r w:rsidR="00EC3A33">
        <w:rPr>
          <w:lang w:val="en-US"/>
        </w:rPr>
        <w:t xml:space="preserve"> </w:t>
      </w:r>
      <w:r w:rsidR="005E2F0B" w:rsidRPr="005E2F0B">
        <w:rPr>
          <w:lang w:val="en-US"/>
        </w:rPr>
        <w:t>and subsection</w:t>
      </w:r>
      <w:r w:rsidR="005E2F0B">
        <w:rPr>
          <w:lang w:val="en-US"/>
        </w:rPr>
        <w:t>s</w:t>
      </w:r>
      <w:r w:rsidR="005E2F0B" w:rsidRPr="005E2F0B">
        <w:rPr>
          <w:lang w:val="en-US"/>
        </w:rPr>
        <w:t xml:space="preserve"> 314A</w:t>
      </w:r>
      <w:r w:rsidR="005E2F0B">
        <w:rPr>
          <w:lang w:val="en-US"/>
        </w:rPr>
        <w:t xml:space="preserve">(1) and </w:t>
      </w:r>
      <w:r w:rsidR="005E2F0B" w:rsidRPr="005E2F0B">
        <w:rPr>
          <w:lang w:val="en-US"/>
        </w:rPr>
        <w:t>(2) of the Act</w:t>
      </w:r>
      <w:r w:rsidR="005E2F0B">
        <w:rPr>
          <w:lang w:val="en-US"/>
        </w:rPr>
        <w:t>). These are:</w:t>
      </w:r>
    </w:p>
    <w:p w14:paraId="64349723" w14:textId="77777777" w:rsidR="00887C21" w:rsidRDefault="00887C21" w:rsidP="00887C21">
      <w:pPr>
        <w:pStyle w:val="ACMABodyText"/>
        <w:numPr>
          <w:ilvl w:val="0"/>
          <w:numId w:val="16"/>
        </w:numPr>
        <w:ind w:left="426"/>
      </w:pPr>
      <w:r>
        <w:rPr>
          <w:i/>
        </w:rPr>
        <w:t>A New Tax System (Australian Business Number) Act 1999</w:t>
      </w:r>
    </w:p>
    <w:p w14:paraId="50970E87" w14:textId="77777777" w:rsidR="00887C21" w:rsidRDefault="00887C21" w:rsidP="00887C21">
      <w:pPr>
        <w:pStyle w:val="ACMABodyText"/>
        <w:numPr>
          <w:ilvl w:val="0"/>
          <w:numId w:val="16"/>
        </w:numPr>
        <w:ind w:left="426"/>
        <w:rPr>
          <w:i/>
        </w:rPr>
      </w:pPr>
      <w:r>
        <w:rPr>
          <w:i/>
        </w:rPr>
        <w:t>Acts Interpretation Act 1901</w:t>
      </w:r>
    </w:p>
    <w:p w14:paraId="4E1531B3" w14:textId="77777777" w:rsidR="00887C21" w:rsidRDefault="00887C21" w:rsidP="00887C21">
      <w:pPr>
        <w:pStyle w:val="ACMABodyText"/>
        <w:numPr>
          <w:ilvl w:val="0"/>
          <w:numId w:val="16"/>
        </w:numPr>
        <w:ind w:left="426"/>
        <w:rPr>
          <w:i/>
        </w:rPr>
      </w:pPr>
      <w:r w:rsidRPr="00902F9E">
        <w:rPr>
          <w:i/>
        </w:rPr>
        <w:t>Australian Communications and Media Authority Act 2005</w:t>
      </w:r>
    </w:p>
    <w:p w14:paraId="1E208602" w14:textId="77777777" w:rsidR="00887C21" w:rsidRDefault="00887C21" w:rsidP="00887C21">
      <w:pPr>
        <w:pStyle w:val="ACMABodyText"/>
        <w:numPr>
          <w:ilvl w:val="0"/>
          <w:numId w:val="16"/>
        </w:numPr>
        <w:ind w:left="426"/>
      </w:pPr>
      <w:r>
        <w:rPr>
          <w:i/>
        </w:rPr>
        <w:t>Banking Act 1959</w:t>
      </w:r>
    </w:p>
    <w:p w14:paraId="60C1B65E" w14:textId="77777777" w:rsidR="00887C21" w:rsidRDefault="00887C21" w:rsidP="00887C21">
      <w:pPr>
        <w:pStyle w:val="ACMABodyText"/>
        <w:numPr>
          <w:ilvl w:val="0"/>
          <w:numId w:val="16"/>
        </w:numPr>
        <w:ind w:left="426"/>
      </w:pPr>
      <w:r w:rsidRPr="00EE465B">
        <w:rPr>
          <w:i/>
        </w:rPr>
        <w:t>Competition and Consumer Act 2010</w:t>
      </w:r>
    </w:p>
    <w:p w14:paraId="027E2478" w14:textId="77777777" w:rsidR="00887C21" w:rsidRPr="00402D9D" w:rsidRDefault="00887C21" w:rsidP="00D87D37">
      <w:pPr>
        <w:pStyle w:val="ACMABodyText"/>
        <w:numPr>
          <w:ilvl w:val="0"/>
          <w:numId w:val="16"/>
        </w:numPr>
        <w:ind w:left="426"/>
      </w:pPr>
      <w:r>
        <w:rPr>
          <w:i/>
        </w:rPr>
        <w:t>Corporations Act 2001</w:t>
      </w:r>
    </w:p>
    <w:p w14:paraId="3C49CDC9" w14:textId="77777777" w:rsidR="00887C21" w:rsidRPr="00402D9D" w:rsidRDefault="00887C21" w:rsidP="00887C21">
      <w:pPr>
        <w:pStyle w:val="ACMABodyText"/>
        <w:numPr>
          <w:ilvl w:val="0"/>
          <w:numId w:val="16"/>
        </w:numPr>
        <w:ind w:left="426"/>
      </w:pPr>
      <w:r>
        <w:rPr>
          <w:i/>
        </w:rPr>
        <w:t>Insurance Act 1973</w:t>
      </w:r>
    </w:p>
    <w:p w14:paraId="766868B7" w14:textId="77777777" w:rsidR="00314C45" w:rsidRDefault="00314C45" w:rsidP="00887C21">
      <w:pPr>
        <w:pStyle w:val="ACMABodyText"/>
        <w:numPr>
          <w:ilvl w:val="0"/>
          <w:numId w:val="16"/>
        </w:numPr>
        <w:ind w:left="426"/>
      </w:pPr>
      <w:r>
        <w:rPr>
          <w:i/>
        </w:rPr>
        <w:t>Legislative Instruments Act 2003</w:t>
      </w:r>
    </w:p>
    <w:p w14:paraId="1E863D60" w14:textId="77777777" w:rsidR="0014129B" w:rsidRPr="007A4334" w:rsidRDefault="00603AB1" w:rsidP="00D87D37">
      <w:pPr>
        <w:pStyle w:val="ACMABodyText"/>
        <w:numPr>
          <w:ilvl w:val="0"/>
          <w:numId w:val="16"/>
        </w:numPr>
        <w:ind w:left="426"/>
      </w:pPr>
      <w:r>
        <w:rPr>
          <w:i/>
        </w:rPr>
        <w:t>Radiocommunications Act 1992</w:t>
      </w:r>
    </w:p>
    <w:p w14:paraId="1EED6052" w14:textId="77777777" w:rsidR="00887C21" w:rsidRPr="00402D9D" w:rsidRDefault="00887C21" w:rsidP="00D87D37">
      <w:pPr>
        <w:pStyle w:val="ACMABodyText"/>
        <w:numPr>
          <w:ilvl w:val="0"/>
          <w:numId w:val="16"/>
        </w:numPr>
        <w:ind w:left="426"/>
      </w:pPr>
      <w:r>
        <w:rPr>
          <w:i/>
        </w:rPr>
        <w:t>Radiocommunications (Spectrum Designation) Notice No. 1 of 2014</w:t>
      </w:r>
    </w:p>
    <w:p w14:paraId="1394F878" w14:textId="77777777" w:rsidR="00887C21" w:rsidRDefault="00887C21" w:rsidP="00D87D37">
      <w:pPr>
        <w:pStyle w:val="ACMABodyText"/>
        <w:numPr>
          <w:ilvl w:val="0"/>
          <w:numId w:val="16"/>
        </w:numPr>
        <w:ind w:left="426"/>
        <w:rPr>
          <w:i/>
        </w:rPr>
      </w:pPr>
      <w:r w:rsidRPr="00887C21">
        <w:rPr>
          <w:i/>
        </w:rPr>
        <w:t>Radi</w:t>
      </w:r>
      <w:r w:rsidR="00151246">
        <w:rPr>
          <w:i/>
        </w:rPr>
        <w:t>o</w:t>
      </w:r>
      <w:r w:rsidRPr="00887C21">
        <w:rPr>
          <w:i/>
        </w:rPr>
        <w:t>communications (Spectrum Licence Limits</w:t>
      </w:r>
      <w:r w:rsidRPr="00402D9D">
        <w:rPr>
          <w:i/>
        </w:rPr>
        <w:t>―Regional 1800 MHz Band) Direction</w:t>
      </w:r>
      <w:r>
        <w:rPr>
          <w:i/>
        </w:rPr>
        <w:t xml:space="preserve"> 2015</w:t>
      </w:r>
    </w:p>
    <w:p w14:paraId="550CBC6E" w14:textId="77777777" w:rsidR="00887C21" w:rsidRDefault="00887C21" w:rsidP="00D87D37">
      <w:pPr>
        <w:pStyle w:val="ACMABodyText"/>
        <w:numPr>
          <w:ilvl w:val="0"/>
          <w:numId w:val="16"/>
        </w:numPr>
        <w:ind w:left="426"/>
        <w:rPr>
          <w:i/>
        </w:rPr>
      </w:pPr>
      <w:r>
        <w:rPr>
          <w:i/>
        </w:rPr>
        <w:t>Radiocommunications Spectrum Marketing Plan (1800 MHz Band) 2015</w:t>
      </w:r>
      <w:r w:rsidR="003056BC">
        <w:rPr>
          <w:i/>
        </w:rPr>
        <w:t xml:space="preserve"> </w:t>
      </w:r>
    </w:p>
    <w:p w14:paraId="64A5A193" w14:textId="77777777" w:rsidR="00887C21" w:rsidRPr="00887C21" w:rsidRDefault="00887C21" w:rsidP="00D87D37">
      <w:pPr>
        <w:pStyle w:val="ACMABodyText"/>
        <w:numPr>
          <w:ilvl w:val="0"/>
          <w:numId w:val="16"/>
        </w:numPr>
        <w:ind w:left="426"/>
        <w:rPr>
          <w:i/>
        </w:rPr>
      </w:pPr>
      <w:r w:rsidRPr="00887C21">
        <w:rPr>
          <w:i/>
        </w:rPr>
        <w:t>Radiocommunications (Spectrum Re-allocation</w:t>
      </w:r>
      <w:r w:rsidRPr="00402D9D">
        <w:rPr>
          <w:i/>
        </w:rPr>
        <w:t>―Regional 1800 MHz Band) Declaration 2015</w:t>
      </w:r>
    </w:p>
    <w:p w14:paraId="41346788" w14:textId="77777777" w:rsidR="007A4334" w:rsidRPr="00402D9D" w:rsidRDefault="007A4334" w:rsidP="00D87D37">
      <w:pPr>
        <w:pStyle w:val="ACMABodyText"/>
        <w:numPr>
          <w:ilvl w:val="0"/>
          <w:numId w:val="16"/>
        </w:numPr>
        <w:ind w:left="426"/>
      </w:pPr>
      <w:r>
        <w:rPr>
          <w:i/>
        </w:rPr>
        <w:t>Telecommunications Act 1997</w:t>
      </w:r>
      <w:r w:rsidR="00887C21">
        <w:rPr>
          <w:i/>
        </w:rPr>
        <w:t>.</w:t>
      </w:r>
    </w:p>
    <w:p w14:paraId="1274B229" w14:textId="77777777" w:rsidR="00402D9D" w:rsidRDefault="00402D9D" w:rsidP="00402D9D">
      <w:pPr>
        <w:pStyle w:val="CommentText"/>
        <w:ind w:left="360"/>
        <w:rPr>
          <w:rFonts w:ascii="Arial" w:hAnsi="Arial" w:cs="Arial"/>
          <w:lang w:val="en-US" w:eastAsia="en-US"/>
        </w:rPr>
      </w:pPr>
    </w:p>
    <w:p w14:paraId="21E39BFF" w14:textId="77777777" w:rsidR="00402D9D" w:rsidRPr="00402D9D" w:rsidRDefault="00402D9D" w:rsidP="00402D9D">
      <w:pPr>
        <w:pStyle w:val="CommentText"/>
        <w:rPr>
          <w:rFonts w:ascii="Arial" w:hAnsi="Arial" w:cs="Arial"/>
          <w:lang w:val="en-US" w:eastAsia="en-US"/>
        </w:rPr>
      </w:pPr>
      <w:r w:rsidRPr="00402D9D">
        <w:rPr>
          <w:rFonts w:ascii="Arial" w:hAnsi="Arial" w:cs="Arial"/>
          <w:lang w:val="en-US" w:eastAsia="en-US"/>
        </w:rPr>
        <w:t>In th</w:t>
      </w:r>
      <w:r w:rsidR="00B95061">
        <w:rPr>
          <w:rFonts w:ascii="Arial" w:hAnsi="Arial" w:cs="Arial"/>
          <w:lang w:val="en-US" w:eastAsia="en-US"/>
        </w:rPr>
        <w:t>e</w:t>
      </w:r>
      <w:r w:rsidRPr="00402D9D">
        <w:rPr>
          <w:rFonts w:ascii="Arial" w:hAnsi="Arial" w:cs="Arial"/>
          <w:lang w:val="en-US" w:eastAsia="en-US"/>
        </w:rPr>
        <w:t xml:space="preserve"> Determination, unless the contrary intention appears, a reference to another legislative instrument is a reference to that other legislative instrument as in force from time to time.</w:t>
      </w:r>
      <w:r>
        <w:rPr>
          <w:rStyle w:val="FootnoteReference"/>
          <w:rFonts w:ascii="Arial" w:hAnsi="Arial"/>
          <w:lang w:val="en-US" w:eastAsia="en-US"/>
        </w:rPr>
        <w:footnoteReference w:id="1"/>
      </w:r>
    </w:p>
    <w:p w14:paraId="33E45BF5" w14:textId="77777777" w:rsidR="00603AB1" w:rsidRPr="00E230F2" w:rsidRDefault="00603AB1" w:rsidP="00E63D8B">
      <w:pPr>
        <w:pStyle w:val="ACMAHeading3"/>
      </w:pPr>
      <w:r w:rsidRPr="00E230F2">
        <w:t xml:space="preserve">Detailed Description of the </w:t>
      </w:r>
      <w:r w:rsidR="00936E6B">
        <w:t>Determination</w:t>
      </w:r>
    </w:p>
    <w:p w14:paraId="5AA88312" w14:textId="77777777" w:rsidR="00603AB1" w:rsidRDefault="00603AB1" w:rsidP="00E63D8B">
      <w:pPr>
        <w:pStyle w:val="ACMABodyText"/>
        <w:rPr>
          <w:lang w:val="en-US"/>
        </w:rPr>
      </w:pPr>
      <w:r>
        <w:rPr>
          <w:lang w:val="en-US"/>
        </w:rPr>
        <w:t xml:space="preserve">Details of the </w:t>
      </w:r>
      <w:r w:rsidR="00936E6B">
        <w:rPr>
          <w:lang w:val="en-US"/>
        </w:rPr>
        <w:t>Determination</w:t>
      </w:r>
      <w:r>
        <w:rPr>
          <w:lang w:val="en-US"/>
        </w:rPr>
        <w:t xml:space="preserve"> are in Attachment A.</w:t>
      </w:r>
    </w:p>
    <w:p w14:paraId="0DB924CE" w14:textId="77777777" w:rsidR="00603AB1" w:rsidRDefault="00603AB1" w:rsidP="00636AC3">
      <w:pPr>
        <w:pStyle w:val="ACMAHeading3"/>
      </w:pPr>
      <w:r>
        <w:t>Statement of Compatibility with Human Rights</w:t>
      </w:r>
    </w:p>
    <w:p w14:paraId="12C5AF75" w14:textId="77777777" w:rsidR="00936E6B" w:rsidRDefault="00603AB1" w:rsidP="00636AC3">
      <w:pPr>
        <w:pStyle w:val="ACMABodyText"/>
        <w:rPr>
          <w:lang w:val="en-US"/>
        </w:rPr>
      </w:pPr>
      <w:r>
        <w:rPr>
          <w:lang w:val="en-US"/>
        </w:rPr>
        <w:t xml:space="preserve">In accordance with Part 3 of the </w:t>
      </w:r>
      <w:r>
        <w:rPr>
          <w:i/>
          <w:lang w:val="en-US"/>
        </w:rPr>
        <w:t>Human Rights (Parliamentary Scrutiny) Act 2011</w:t>
      </w:r>
      <w:r>
        <w:rPr>
          <w:lang w:val="en-US"/>
        </w:rPr>
        <w:t>,</w:t>
      </w:r>
      <w:r>
        <w:rPr>
          <w:i/>
          <w:lang w:val="en-US"/>
        </w:rPr>
        <w:t xml:space="preserve"> </w:t>
      </w:r>
      <w:r>
        <w:rPr>
          <w:lang w:val="en-US"/>
        </w:rPr>
        <w:t xml:space="preserve">the ACMA has prepared a Statement of Compatibility with Human Rights (the </w:t>
      </w:r>
      <w:r w:rsidRPr="009168A1">
        <w:rPr>
          <w:b/>
          <w:lang w:val="en-US"/>
        </w:rPr>
        <w:t>Statement of Compatibility</w:t>
      </w:r>
      <w:r>
        <w:rPr>
          <w:lang w:val="en-US"/>
        </w:rPr>
        <w:t xml:space="preserve">) to consider the human rights implications of the Determination. The Statement of Compatibility concludes that the content of this legislative instrument does not raise any human rights issues and is therefore regarded as being compatible with human rights. </w:t>
      </w:r>
    </w:p>
    <w:p w14:paraId="44E8CCF5" w14:textId="77777777" w:rsidR="00603AB1" w:rsidRDefault="00603AB1" w:rsidP="00636AC3">
      <w:pPr>
        <w:pStyle w:val="ACMABodyText"/>
        <w:rPr>
          <w:lang w:val="en-US"/>
        </w:rPr>
        <w:sectPr w:rsidR="00603AB1" w:rsidSect="00636AC3">
          <w:footerReference w:type="default" r:id="rId15"/>
          <w:pgSz w:w="11906" w:h="16838"/>
          <w:pgMar w:top="1440" w:right="1440" w:bottom="1440" w:left="1440" w:header="708" w:footer="708" w:gutter="0"/>
          <w:cols w:space="708"/>
          <w:docGrid w:linePitch="360"/>
        </w:sectPr>
      </w:pPr>
      <w:r>
        <w:rPr>
          <w:lang w:val="en-US"/>
        </w:rPr>
        <w:t xml:space="preserve">The Statement of Compatibility prepared for this instrument is provided in </w:t>
      </w:r>
      <w:r w:rsidRPr="00402D9D">
        <w:rPr>
          <w:lang w:val="en-US"/>
        </w:rPr>
        <w:t>Attachment B.</w:t>
      </w:r>
    </w:p>
    <w:p w14:paraId="320BA859" w14:textId="77777777" w:rsidR="00603AB1" w:rsidRPr="00181920" w:rsidRDefault="00603AB1" w:rsidP="00E63D8B">
      <w:pPr>
        <w:pStyle w:val="ACMAHeading2"/>
        <w:jc w:val="right"/>
        <w:rPr>
          <w:rFonts w:cs="Arial"/>
          <w:sz w:val="22"/>
          <w:szCs w:val="22"/>
        </w:rPr>
      </w:pPr>
      <w:r>
        <w:rPr>
          <w:rFonts w:cs="Arial"/>
          <w:sz w:val="22"/>
          <w:szCs w:val="22"/>
        </w:rPr>
        <w:lastRenderedPageBreak/>
        <w:t>ATTACHMENT A</w:t>
      </w:r>
    </w:p>
    <w:p w14:paraId="044633E7" w14:textId="77777777" w:rsidR="00603AB1" w:rsidRPr="00E63D8B" w:rsidRDefault="00603AB1" w:rsidP="00E63D8B">
      <w:pPr>
        <w:pStyle w:val="ACMAHeading2"/>
        <w:spacing w:after="240"/>
        <w:rPr>
          <w:rFonts w:cs="Arial"/>
          <w:sz w:val="20"/>
          <w:szCs w:val="20"/>
          <w:u w:val="single"/>
        </w:rPr>
      </w:pPr>
      <w:r>
        <w:rPr>
          <w:rFonts w:cs="Arial"/>
          <w:sz w:val="20"/>
          <w:szCs w:val="20"/>
          <w:u w:val="single"/>
        </w:rPr>
        <w:t>detailed description of the instrument</w:t>
      </w:r>
    </w:p>
    <w:p w14:paraId="1441E908" w14:textId="77777777" w:rsidR="00603AB1" w:rsidRPr="00181920" w:rsidRDefault="00603AB1" w:rsidP="00E63D8B">
      <w:pPr>
        <w:pStyle w:val="ACMAHeading3"/>
        <w:spacing w:before="360"/>
      </w:pPr>
      <w:r w:rsidRPr="00A64018">
        <w:t>PART</w:t>
      </w:r>
      <w:r w:rsidRPr="00181920">
        <w:t xml:space="preserve"> 1</w:t>
      </w:r>
      <w:r>
        <w:tab/>
      </w:r>
      <w:r w:rsidRPr="00181920">
        <w:tab/>
      </w:r>
      <w:r>
        <w:t>PRELIMINARY</w:t>
      </w:r>
    </w:p>
    <w:p w14:paraId="3F958FA7" w14:textId="212DAB91" w:rsidR="00603AB1" w:rsidRPr="00181920" w:rsidRDefault="00603AB1" w:rsidP="00A64018">
      <w:pPr>
        <w:pStyle w:val="ACMABodyText"/>
        <w:rPr>
          <w:lang w:val="en-US"/>
        </w:rPr>
      </w:pPr>
      <w:r w:rsidRPr="00181920">
        <w:rPr>
          <w:lang w:val="en-US"/>
        </w:rPr>
        <w:t xml:space="preserve">This Part deals with </w:t>
      </w:r>
      <w:r w:rsidR="00DC7A9D">
        <w:rPr>
          <w:lang w:val="en-US"/>
        </w:rPr>
        <w:t>preliminary matters</w:t>
      </w:r>
      <w:r w:rsidRPr="00181920">
        <w:rPr>
          <w:lang w:val="en-US"/>
        </w:rPr>
        <w:t xml:space="preserve"> </w:t>
      </w:r>
      <w:r w:rsidR="006864EC">
        <w:rPr>
          <w:lang w:val="en-US"/>
        </w:rPr>
        <w:t>for</w:t>
      </w:r>
      <w:r w:rsidRPr="00181920">
        <w:rPr>
          <w:lang w:val="en-US"/>
        </w:rPr>
        <w:t xml:space="preserve"> the </w:t>
      </w:r>
      <w:r w:rsidRPr="00515149">
        <w:t>Determination</w:t>
      </w:r>
      <w:r w:rsidR="006864EC">
        <w:t>,</w:t>
      </w:r>
      <w:r>
        <w:t xml:space="preserve"> </w:t>
      </w:r>
      <w:r>
        <w:rPr>
          <w:lang w:val="en-US"/>
        </w:rPr>
        <w:t xml:space="preserve">such as its purpose and when it will </w:t>
      </w:r>
      <w:r w:rsidR="00314C45">
        <w:rPr>
          <w:lang w:val="en-US"/>
        </w:rPr>
        <w:t>commence</w:t>
      </w:r>
      <w:r w:rsidRPr="00181920">
        <w:rPr>
          <w:lang w:val="en-US"/>
        </w:rPr>
        <w:t xml:space="preserve">. It </w:t>
      </w:r>
      <w:r>
        <w:rPr>
          <w:lang w:val="en-US"/>
        </w:rPr>
        <w:t xml:space="preserve">also </w:t>
      </w:r>
      <w:r w:rsidRPr="00181920">
        <w:rPr>
          <w:lang w:val="en-US"/>
        </w:rPr>
        <w:t>sets out fundam</w:t>
      </w:r>
      <w:r>
        <w:rPr>
          <w:lang w:val="en-US"/>
        </w:rPr>
        <w:t xml:space="preserve">ental concepts for the </w:t>
      </w:r>
      <w:r w:rsidR="00DF3E18">
        <w:rPr>
          <w:lang w:val="en-US"/>
        </w:rPr>
        <w:t>allocation</w:t>
      </w:r>
      <w:r>
        <w:rPr>
          <w:lang w:val="en-US"/>
        </w:rPr>
        <w:t>, including how prospective applicants must submit application documents, and the approved method for making payments to the ACMA. Key terms used throughout the Determination are also defined</w:t>
      </w:r>
      <w:r w:rsidR="00F94B86">
        <w:rPr>
          <w:lang w:val="en-US"/>
        </w:rPr>
        <w:t xml:space="preserve"> in Part 1 of the Determination</w:t>
      </w:r>
      <w:r>
        <w:rPr>
          <w:lang w:val="en-US"/>
        </w:rPr>
        <w:t>.</w:t>
      </w:r>
    </w:p>
    <w:p w14:paraId="67B4D8E6" w14:textId="77777777" w:rsidR="00603AB1" w:rsidRPr="00181920" w:rsidRDefault="00603AB1" w:rsidP="00B842CB">
      <w:pPr>
        <w:pStyle w:val="ACMAHeading3"/>
      </w:pPr>
      <w:r w:rsidRPr="00181920">
        <w:t>Section 1.1</w:t>
      </w:r>
      <w:r w:rsidRPr="00181920">
        <w:tab/>
        <w:t xml:space="preserve">Name of </w:t>
      </w:r>
      <w:r w:rsidR="006864EC">
        <w:t>D</w:t>
      </w:r>
      <w:r w:rsidRPr="00181920">
        <w:t>etermination</w:t>
      </w:r>
    </w:p>
    <w:p w14:paraId="1FF1EA97" w14:textId="77777777" w:rsidR="00603AB1" w:rsidRPr="00314C45" w:rsidRDefault="00603AB1" w:rsidP="00E41024">
      <w:pPr>
        <w:pStyle w:val="ACMABodyText"/>
        <w:rPr>
          <w:lang w:val="en-US"/>
        </w:rPr>
      </w:pPr>
      <w:r>
        <w:rPr>
          <w:lang w:val="en-US"/>
        </w:rPr>
        <w:t xml:space="preserve">This section names the Determination as the </w:t>
      </w:r>
      <w:r w:rsidRPr="009F3F61">
        <w:rPr>
          <w:i/>
          <w:lang w:val="en-US"/>
        </w:rPr>
        <w:t xml:space="preserve">Radiocommunications </w:t>
      </w:r>
      <w:r>
        <w:rPr>
          <w:i/>
          <w:lang w:val="en-US"/>
        </w:rPr>
        <w:t>(</w:t>
      </w:r>
      <w:r w:rsidRPr="009F3F61">
        <w:rPr>
          <w:i/>
          <w:lang w:val="en-US"/>
        </w:rPr>
        <w:t xml:space="preserve">Spectrum </w:t>
      </w:r>
      <w:r>
        <w:rPr>
          <w:i/>
          <w:lang w:val="en-US"/>
        </w:rPr>
        <w:t xml:space="preserve">Licence Allocation </w:t>
      </w:r>
      <w:r w:rsidR="00314C45" w:rsidRPr="00181920">
        <w:rPr>
          <w:i/>
        </w:rPr>
        <w:t>—</w:t>
      </w:r>
      <w:r w:rsidR="00940479" w:rsidRPr="00EC0E04">
        <w:rPr>
          <w:b/>
          <w:i/>
        </w:rPr>
        <w:t xml:space="preserve"> </w:t>
      </w:r>
      <w:r w:rsidR="00504BA2">
        <w:rPr>
          <w:i/>
        </w:rPr>
        <w:t xml:space="preserve">1800 MHz </w:t>
      </w:r>
      <w:r w:rsidR="00314C45">
        <w:rPr>
          <w:i/>
        </w:rPr>
        <w:t>B</w:t>
      </w:r>
      <w:r w:rsidR="00504BA2">
        <w:rPr>
          <w:i/>
        </w:rPr>
        <w:t>and</w:t>
      </w:r>
      <w:r w:rsidR="00940479">
        <w:rPr>
          <w:i/>
        </w:rPr>
        <w:t>) Determination 2015</w:t>
      </w:r>
      <w:r w:rsidR="00314C45">
        <w:t>.</w:t>
      </w:r>
    </w:p>
    <w:p w14:paraId="1EC16013" w14:textId="77777777" w:rsidR="00603AB1" w:rsidRPr="00181920" w:rsidRDefault="00603AB1" w:rsidP="00B842CB">
      <w:pPr>
        <w:pStyle w:val="ACMAHeading3"/>
      </w:pPr>
      <w:r w:rsidRPr="00DA05D9">
        <w:t>Section</w:t>
      </w:r>
      <w:r w:rsidRPr="00181920">
        <w:t xml:space="preserve"> 1.2</w:t>
      </w:r>
      <w:r w:rsidRPr="00181920">
        <w:tab/>
        <w:t>Commencement</w:t>
      </w:r>
    </w:p>
    <w:p w14:paraId="7B8F7BBC" w14:textId="77777777" w:rsidR="00603AB1" w:rsidRPr="00E230F2" w:rsidRDefault="00603AB1" w:rsidP="00E41024">
      <w:pPr>
        <w:pStyle w:val="ACMABodyText"/>
      </w:pPr>
      <w:r>
        <w:rPr>
          <w:lang w:val="en-US"/>
        </w:rPr>
        <w:t>The section provides that the Determination commences on the day after it is registered on the Federal Register of Legislative Instruments.</w:t>
      </w:r>
    </w:p>
    <w:p w14:paraId="4A8ADC66" w14:textId="77777777" w:rsidR="00603AB1" w:rsidRPr="00181920" w:rsidRDefault="00603AB1" w:rsidP="00B842CB">
      <w:pPr>
        <w:pStyle w:val="ACMAHeading3"/>
      </w:pPr>
      <w:r w:rsidRPr="00181920">
        <w:t>Section 1.3</w:t>
      </w:r>
      <w:r w:rsidRPr="00181920">
        <w:tab/>
        <w:t>Purpose</w:t>
      </w:r>
      <w:r>
        <w:t xml:space="preserve"> of </w:t>
      </w:r>
      <w:r w:rsidR="006864EC">
        <w:t>D</w:t>
      </w:r>
      <w:r w:rsidRPr="00181920">
        <w:t>etermination</w:t>
      </w:r>
    </w:p>
    <w:p w14:paraId="4C360DB2" w14:textId="77777777" w:rsidR="00603AB1" w:rsidRPr="00181920" w:rsidRDefault="00603AB1" w:rsidP="00181920">
      <w:pPr>
        <w:pStyle w:val="ACMABodyText"/>
      </w:pPr>
      <w:r>
        <w:t xml:space="preserve">This section states that the purpose of the Determination is to set out the procedures by which spectrum licences for the parts of the spectrum referred to in the Minister’s </w:t>
      </w:r>
      <w:r w:rsidR="00C80D9E">
        <w:t>r</w:t>
      </w:r>
      <w:r>
        <w:t xml:space="preserve">e-allocation </w:t>
      </w:r>
      <w:r w:rsidR="00C80D9E">
        <w:t>d</w:t>
      </w:r>
      <w:r>
        <w:t xml:space="preserve">eclaration </w:t>
      </w:r>
      <w:r w:rsidR="00904ECC">
        <w:t xml:space="preserve">and </w:t>
      </w:r>
      <w:r w:rsidR="00C80D9E">
        <w:t>d</w:t>
      </w:r>
      <w:r w:rsidR="00904ECC">
        <w:t xml:space="preserve">esignation </w:t>
      </w:r>
      <w:r w:rsidR="00C80D9E">
        <w:t>n</w:t>
      </w:r>
      <w:r w:rsidR="00904ECC">
        <w:t xml:space="preserve">otice </w:t>
      </w:r>
      <w:r w:rsidR="00940479">
        <w:t xml:space="preserve">for the 1800 MHz </w:t>
      </w:r>
      <w:r>
        <w:t>band will be allocated</w:t>
      </w:r>
      <w:r w:rsidR="0049250E">
        <w:t>. This will be</w:t>
      </w:r>
      <w:r>
        <w:t xml:space="preserve"> by a</w:t>
      </w:r>
      <w:r w:rsidR="00307286">
        <w:t xml:space="preserve">n ascending bid </w:t>
      </w:r>
      <w:r w:rsidR="0049250E">
        <w:t>s</w:t>
      </w:r>
      <w:r w:rsidR="00940479" w:rsidRPr="00402D9D">
        <w:t xml:space="preserve">imultaneous </w:t>
      </w:r>
      <w:r w:rsidR="0049250E">
        <w:t>m</w:t>
      </w:r>
      <w:r w:rsidR="00940479" w:rsidRPr="00402D9D">
        <w:t xml:space="preserve">ultiple </w:t>
      </w:r>
      <w:r w:rsidR="0049250E">
        <w:t>r</w:t>
      </w:r>
      <w:r w:rsidR="00940479" w:rsidRPr="00402D9D">
        <w:t xml:space="preserve">ound </w:t>
      </w:r>
      <w:r w:rsidR="0049250E">
        <w:t>a</w:t>
      </w:r>
      <w:r w:rsidR="00940479" w:rsidRPr="00402D9D">
        <w:t>uction</w:t>
      </w:r>
      <w:r w:rsidR="00940479" w:rsidRPr="00FA1300">
        <w:t xml:space="preserve"> </w:t>
      </w:r>
      <w:r w:rsidR="00940479">
        <w:t>(SMRA</w:t>
      </w:r>
      <w:r>
        <w:t>)</w:t>
      </w:r>
      <w:r w:rsidR="00940479">
        <w:t xml:space="preserve"> methodology</w:t>
      </w:r>
      <w:r w:rsidR="00FA1300">
        <w:t xml:space="preserve"> </w:t>
      </w:r>
      <w:r w:rsidR="00DF3E18">
        <w:t>and/</w:t>
      </w:r>
      <w:r w:rsidR="00FA1300">
        <w:t xml:space="preserve">or </w:t>
      </w:r>
      <w:r w:rsidR="005F48C0">
        <w:t xml:space="preserve">allocation </w:t>
      </w:r>
      <w:r w:rsidR="00FA1300">
        <w:t>for a pre-determined price</w:t>
      </w:r>
      <w:r>
        <w:t>. The procedures</w:t>
      </w:r>
      <w:r w:rsidR="006864EC">
        <w:t xml:space="preserve"> in the Determination</w:t>
      </w:r>
      <w:r>
        <w:t xml:space="preserve"> cover all parts of the allocation process, including application, registration of bidders, withdrawal of applications, payment of fees and spectrum access charges, rules and requirements for participating in the </w:t>
      </w:r>
      <w:r w:rsidR="00DF3E18">
        <w:t>auction</w:t>
      </w:r>
      <w:r w:rsidR="0049250E">
        <w:t>, pre-determined price procedures</w:t>
      </w:r>
      <w:r>
        <w:t xml:space="preserve"> and other matters.</w:t>
      </w:r>
    </w:p>
    <w:p w14:paraId="50B83AEF" w14:textId="77777777" w:rsidR="00603AB1" w:rsidRPr="00181920" w:rsidRDefault="00603AB1" w:rsidP="00B842CB">
      <w:pPr>
        <w:pStyle w:val="ACMAHeading3"/>
      </w:pPr>
      <w:r w:rsidRPr="00181920">
        <w:t>Section 1.4</w:t>
      </w:r>
      <w:r w:rsidRPr="00181920">
        <w:tab/>
      </w:r>
      <w:r>
        <w:t>Definitions</w:t>
      </w:r>
    </w:p>
    <w:p w14:paraId="46B9B16D" w14:textId="4167E991" w:rsidR="00603AB1" w:rsidRDefault="00603AB1" w:rsidP="003765CC">
      <w:pPr>
        <w:pStyle w:val="ACMABodyText"/>
      </w:pPr>
      <w:r>
        <w:t>This section defines terms used throughout th</w:t>
      </w:r>
      <w:r w:rsidR="00B95061">
        <w:t>e</w:t>
      </w:r>
      <w:r>
        <w:t xml:space="preserve"> Determination</w:t>
      </w:r>
      <w:r w:rsidR="00515149">
        <w:t>.</w:t>
      </w:r>
      <w:r>
        <w:t xml:space="preserve"> These are supplemented </w:t>
      </w:r>
      <w:r w:rsidRPr="00F6270C">
        <w:t xml:space="preserve">by further definitions in sections </w:t>
      </w:r>
      <w:r>
        <w:t xml:space="preserve">1.5, 2.1, 2.2, 2.3, </w:t>
      </w:r>
      <w:r w:rsidRPr="00F6270C">
        <w:t>3.1</w:t>
      </w:r>
      <w:r w:rsidR="006864EC">
        <w:t xml:space="preserve"> and</w:t>
      </w:r>
      <w:r>
        <w:t xml:space="preserve"> 4.4 and </w:t>
      </w:r>
      <w:r w:rsidR="006864EC">
        <w:t xml:space="preserve">in </w:t>
      </w:r>
      <w:r>
        <w:t>clause</w:t>
      </w:r>
      <w:r w:rsidR="00940479">
        <w:t>s</w:t>
      </w:r>
      <w:r>
        <w:t xml:space="preserve"> </w:t>
      </w:r>
      <w:r w:rsidR="00940479">
        <w:t>1,</w:t>
      </w:r>
      <w:r w:rsidR="0049250E">
        <w:t xml:space="preserve"> </w:t>
      </w:r>
      <w:r w:rsidR="006F352A">
        <w:t>5</w:t>
      </w:r>
      <w:r w:rsidR="00940479">
        <w:t>,</w:t>
      </w:r>
      <w:r w:rsidR="0049250E">
        <w:t xml:space="preserve"> </w:t>
      </w:r>
      <w:r w:rsidR="00940479">
        <w:t>1</w:t>
      </w:r>
      <w:r w:rsidR="006F352A">
        <w:t>4</w:t>
      </w:r>
      <w:r w:rsidR="00940479">
        <w:t xml:space="preserve"> and </w:t>
      </w:r>
      <w:r w:rsidR="006F352A">
        <w:t>19</w:t>
      </w:r>
      <w:r>
        <w:t xml:space="preserve"> </w:t>
      </w:r>
      <w:r w:rsidR="006864EC">
        <w:t>of</w:t>
      </w:r>
      <w:r>
        <w:t xml:space="preserve"> Schedule 1</w:t>
      </w:r>
      <w:r w:rsidR="00515149">
        <w:t>,</w:t>
      </w:r>
      <w:r w:rsidR="006F352A">
        <w:t xml:space="preserve"> and </w:t>
      </w:r>
      <w:r w:rsidR="0049250E">
        <w:t xml:space="preserve">in </w:t>
      </w:r>
      <w:r w:rsidR="006F352A">
        <w:t>Schedule 2</w:t>
      </w:r>
      <w:r w:rsidRPr="00F6270C">
        <w:t>.</w:t>
      </w:r>
    </w:p>
    <w:p w14:paraId="5CD86AD4" w14:textId="77777777" w:rsidR="00603AB1" w:rsidRDefault="00603AB1" w:rsidP="003765CC">
      <w:pPr>
        <w:pStyle w:val="ACMABodyText"/>
      </w:pPr>
      <w:r>
        <w:t xml:space="preserve">This section also provides that </w:t>
      </w:r>
      <w:r w:rsidR="00D1431E">
        <w:t xml:space="preserve">the range of numbers that identifies a frequency range includes the higher, but not the lower number, and that </w:t>
      </w:r>
      <w:r>
        <w:t xml:space="preserve">a reference to time in the Determination is a reference to the legal time in </w:t>
      </w:r>
      <w:r w:rsidR="00940479">
        <w:t>the Australian Capital Territory</w:t>
      </w:r>
      <w:r>
        <w:t xml:space="preserve">.  </w:t>
      </w:r>
    </w:p>
    <w:p w14:paraId="5C99BC81" w14:textId="77777777" w:rsidR="00603AB1" w:rsidRDefault="00603AB1" w:rsidP="00B842CB">
      <w:pPr>
        <w:pStyle w:val="ACMAHeading3"/>
      </w:pPr>
      <w:r w:rsidRPr="00181920">
        <w:t>Section 1.5</w:t>
      </w:r>
      <w:r w:rsidRPr="00181920">
        <w:tab/>
      </w:r>
      <w:r w:rsidR="002906A3">
        <w:t>L</w:t>
      </w:r>
      <w:r>
        <w:t>ots</w:t>
      </w:r>
    </w:p>
    <w:p w14:paraId="10E18A4A" w14:textId="606C2A0E" w:rsidR="00603AB1" w:rsidRDefault="00603AB1" w:rsidP="00EA7950">
      <w:pPr>
        <w:pStyle w:val="ACMABodyText"/>
        <w:rPr>
          <w:lang w:val="en-US"/>
        </w:rPr>
      </w:pPr>
      <w:r w:rsidRPr="00260432">
        <w:t>This section defines terms that relate to the description of units of spectrum</w:t>
      </w:r>
      <w:r>
        <w:t xml:space="preserve"> (</w:t>
      </w:r>
      <w:r w:rsidRPr="007F404A">
        <w:rPr>
          <w:b/>
        </w:rPr>
        <w:t>lots</w:t>
      </w:r>
      <w:r>
        <w:t>)</w:t>
      </w:r>
      <w:r w:rsidRPr="00260432">
        <w:t xml:space="preserve"> that are being offered in the a</w:t>
      </w:r>
      <w:r w:rsidR="00DF3E18">
        <w:t>llocation</w:t>
      </w:r>
      <w:r w:rsidRPr="00260432">
        <w:t xml:space="preserve">. The marketing plan referred to in this section </w:t>
      </w:r>
      <w:r w:rsidR="00351E7F">
        <w:t>is</w:t>
      </w:r>
      <w:r>
        <w:t xml:space="preserve"> the</w:t>
      </w:r>
      <w:r w:rsidRPr="00260432">
        <w:t xml:space="preserve"> </w:t>
      </w:r>
      <w:r w:rsidRPr="007F404A">
        <w:rPr>
          <w:i/>
        </w:rPr>
        <w:t xml:space="preserve">Radiocommunications </w:t>
      </w:r>
      <w:r w:rsidRPr="00260432">
        <w:rPr>
          <w:i/>
        </w:rPr>
        <w:t>Spectrum Marketing Plan (</w:t>
      </w:r>
      <w:r w:rsidR="002906A3">
        <w:rPr>
          <w:i/>
        </w:rPr>
        <w:t>18</w:t>
      </w:r>
      <w:r w:rsidRPr="00260432">
        <w:rPr>
          <w:i/>
        </w:rPr>
        <w:t>00 MHz Band) 201</w:t>
      </w:r>
      <w:r w:rsidR="002906A3">
        <w:rPr>
          <w:i/>
        </w:rPr>
        <w:t>5</w:t>
      </w:r>
      <w:r w:rsidR="002906A3">
        <w:t>.</w:t>
      </w:r>
      <w:r>
        <w:t xml:space="preserve"> </w:t>
      </w:r>
    </w:p>
    <w:p w14:paraId="3783022A" w14:textId="77777777" w:rsidR="00351E7F" w:rsidRPr="00351E7F" w:rsidRDefault="00603AB1" w:rsidP="00EA7950">
      <w:pPr>
        <w:pStyle w:val="ACMABodyText"/>
        <w:rPr>
          <w:lang w:val="en-US"/>
        </w:rPr>
      </w:pPr>
      <w:r w:rsidRPr="00351E7F">
        <w:rPr>
          <w:lang w:val="en-US"/>
        </w:rPr>
        <w:t>There are</w:t>
      </w:r>
      <w:r w:rsidR="00504BA2" w:rsidRPr="00351E7F">
        <w:rPr>
          <w:lang w:val="en-US"/>
        </w:rPr>
        <w:t xml:space="preserve"> 14</w:t>
      </w:r>
      <w:r w:rsidR="00312A99" w:rsidRPr="00351E7F">
        <w:rPr>
          <w:lang w:val="en-US"/>
        </w:rPr>
        <w:t>7</w:t>
      </w:r>
      <w:r w:rsidR="002906A3" w:rsidRPr="00351E7F">
        <w:rPr>
          <w:lang w:val="en-US"/>
        </w:rPr>
        <w:t xml:space="preserve"> lots</w:t>
      </w:r>
      <w:r w:rsidRPr="00351E7F">
        <w:rPr>
          <w:lang w:val="en-US"/>
        </w:rPr>
        <w:t xml:space="preserve"> being offered </w:t>
      </w:r>
      <w:r w:rsidR="00D9325E">
        <w:rPr>
          <w:lang w:val="en-US"/>
        </w:rPr>
        <w:t xml:space="preserve">for allocation by auction or pre-determined price divided into </w:t>
      </w:r>
      <w:r w:rsidR="00BC2012">
        <w:rPr>
          <w:lang w:val="en-US"/>
        </w:rPr>
        <w:t xml:space="preserve">3 </w:t>
      </w:r>
      <w:r w:rsidR="00D9325E">
        <w:rPr>
          <w:lang w:val="en-US"/>
        </w:rPr>
        <w:t>categories</w:t>
      </w:r>
      <w:r w:rsidR="00351E7F" w:rsidRPr="00351E7F">
        <w:rPr>
          <w:lang w:val="en-US"/>
        </w:rPr>
        <w:t>:</w:t>
      </w:r>
    </w:p>
    <w:p w14:paraId="37F6D176" w14:textId="77777777" w:rsidR="00351E7F" w:rsidRPr="00351E7F" w:rsidRDefault="00351E7F" w:rsidP="00EA7950">
      <w:pPr>
        <w:pStyle w:val="ACMABodyText"/>
        <w:rPr>
          <w:u w:val="single"/>
          <w:lang w:val="en-US"/>
        </w:rPr>
      </w:pPr>
      <w:r w:rsidRPr="00351E7F">
        <w:rPr>
          <w:u w:val="single"/>
          <w:lang w:val="en-US"/>
        </w:rPr>
        <w:t>Category 1 lots</w:t>
      </w:r>
    </w:p>
    <w:p w14:paraId="12CE6B4B" w14:textId="77777777" w:rsidR="00351E7F" w:rsidRDefault="00DB47BD" w:rsidP="00EA7950">
      <w:pPr>
        <w:pStyle w:val="ACMABodyText"/>
        <w:rPr>
          <w:lang w:val="en-US"/>
        </w:rPr>
      </w:pPr>
      <w:r>
        <w:rPr>
          <w:lang w:val="en-US"/>
        </w:rPr>
        <w:t xml:space="preserve">This category comprises </w:t>
      </w:r>
      <w:r w:rsidR="00351E7F" w:rsidRPr="00351E7F">
        <w:rPr>
          <w:lang w:val="en-US"/>
        </w:rPr>
        <w:t>144 lots</w:t>
      </w:r>
      <w:r>
        <w:rPr>
          <w:lang w:val="en-US"/>
        </w:rPr>
        <w:t>. There are</w:t>
      </w:r>
      <w:r w:rsidR="00351E7F" w:rsidRPr="00351E7F">
        <w:rPr>
          <w:lang w:val="en-US"/>
        </w:rPr>
        <w:t xml:space="preserve"> </w:t>
      </w:r>
      <w:r w:rsidR="00504BA2" w:rsidRPr="00351E7F">
        <w:rPr>
          <w:lang w:val="en-US"/>
        </w:rPr>
        <w:t xml:space="preserve">12 lots </w:t>
      </w:r>
      <w:r w:rsidR="00603AB1" w:rsidRPr="00351E7F">
        <w:rPr>
          <w:lang w:val="en-US"/>
        </w:rPr>
        <w:t>in</w:t>
      </w:r>
      <w:r w:rsidR="00504BA2" w:rsidRPr="00351E7F">
        <w:rPr>
          <w:lang w:val="en-US"/>
        </w:rPr>
        <w:t xml:space="preserve"> </w:t>
      </w:r>
      <w:r w:rsidR="00351E7F" w:rsidRPr="00351E7F">
        <w:rPr>
          <w:lang w:val="en-US"/>
        </w:rPr>
        <w:t xml:space="preserve">each of </w:t>
      </w:r>
      <w:r w:rsidR="00504BA2" w:rsidRPr="00351E7F">
        <w:rPr>
          <w:lang w:val="en-US"/>
        </w:rPr>
        <w:t xml:space="preserve">12 </w:t>
      </w:r>
      <w:r w:rsidR="00D9325E">
        <w:rPr>
          <w:lang w:val="en-US"/>
        </w:rPr>
        <w:t xml:space="preserve">geographic </w:t>
      </w:r>
      <w:r w:rsidR="00504BA2" w:rsidRPr="00351E7F">
        <w:rPr>
          <w:lang w:val="en-US"/>
        </w:rPr>
        <w:t xml:space="preserve">areas </w:t>
      </w:r>
      <w:r w:rsidR="00D9325E">
        <w:rPr>
          <w:lang w:val="en-US"/>
        </w:rPr>
        <w:t xml:space="preserve">with a bandwidth </w:t>
      </w:r>
      <w:r w:rsidR="00312A99" w:rsidRPr="00351E7F">
        <w:rPr>
          <w:lang w:val="en-US"/>
        </w:rPr>
        <w:t xml:space="preserve">of 5 MHz </w:t>
      </w:r>
      <w:r w:rsidR="00504BA2" w:rsidRPr="00351E7F">
        <w:rPr>
          <w:lang w:val="en-US"/>
        </w:rPr>
        <w:t>in</w:t>
      </w:r>
      <w:r w:rsidR="00603AB1" w:rsidRPr="00351E7F">
        <w:rPr>
          <w:lang w:val="en-US"/>
        </w:rPr>
        <w:t xml:space="preserve"> the </w:t>
      </w:r>
      <w:r w:rsidR="00504BA2" w:rsidRPr="00351E7F">
        <w:rPr>
          <w:lang w:val="en-US"/>
        </w:rPr>
        <w:t>1725</w:t>
      </w:r>
      <w:r w:rsidR="007069ED">
        <w:rPr>
          <w:lang w:val="en-US"/>
        </w:rPr>
        <w:t xml:space="preserve"> MHz – </w:t>
      </w:r>
      <w:r w:rsidR="00504BA2" w:rsidRPr="00351E7F">
        <w:rPr>
          <w:lang w:val="en-US"/>
        </w:rPr>
        <w:t xml:space="preserve">1785 MHz </w:t>
      </w:r>
      <w:r>
        <w:rPr>
          <w:lang w:val="en-US"/>
        </w:rPr>
        <w:t xml:space="preserve">frequency range </w:t>
      </w:r>
      <w:r w:rsidR="00504BA2" w:rsidRPr="00351E7F">
        <w:rPr>
          <w:lang w:val="en-US"/>
        </w:rPr>
        <w:t xml:space="preserve">paired with </w:t>
      </w:r>
      <w:r w:rsidR="00D9325E">
        <w:rPr>
          <w:lang w:val="en-US"/>
        </w:rPr>
        <w:t xml:space="preserve">5 MHz in </w:t>
      </w:r>
      <w:r w:rsidR="00504BA2" w:rsidRPr="00351E7F">
        <w:rPr>
          <w:lang w:val="en-US"/>
        </w:rPr>
        <w:t>the 1820</w:t>
      </w:r>
      <w:r w:rsidR="000F7445">
        <w:rPr>
          <w:lang w:val="en-US"/>
        </w:rPr>
        <w:t xml:space="preserve"> MHz – </w:t>
      </w:r>
      <w:r w:rsidR="00504BA2" w:rsidRPr="00351E7F">
        <w:rPr>
          <w:lang w:val="en-US"/>
        </w:rPr>
        <w:t>1880</w:t>
      </w:r>
      <w:r w:rsidR="00603AB1" w:rsidRPr="00351E7F">
        <w:rPr>
          <w:lang w:val="en-US"/>
        </w:rPr>
        <w:t xml:space="preserve"> MHz </w:t>
      </w:r>
      <w:r>
        <w:rPr>
          <w:lang w:val="en-US"/>
        </w:rPr>
        <w:t>frequency range</w:t>
      </w:r>
      <w:r w:rsidR="00603AB1" w:rsidRPr="00351E7F">
        <w:rPr>
          <w:lang w:val="en-US"/>
        </w:rPr>
        <w:t xml:space="preserve">. </w:t>
      </w:r>
      <w:r w:rsidR="00D9325E">
        <w:rPr>
          <w:lang w:val="en-US"/>
        </w:rPr>
        <w:t xml:space="preserve">This </w:t>
      </w:r>
      <w:r>
        <w:rPr>
          <w:lang w:val="en-US"/>
        </w:rPr>
        <w:t>c</w:t>
      </w:r>
      <w:r w:rsidR="00D9325E">
        <w:rPr>
          <w:lang w:val="en-US"/>
        </w:rPr>
        <w:t xml:space="preserve">ategory contains all the </w:t>
      </w:r>
      <w:r>
        <w:rPr>
          <w:lang w:val="en-US"/>
        </w:rPr>
        <w:t xml:space="preserve">encumbered parts of the </w:t>
      </w:r>
      <w:r w:rsidR="00D9325E">
        <w:rPr>
          <w:lang w:val="en-US"/>
        </w:rPr>
        <w:t xml:space="preserve">spectrum </w:t>
      </w:r>
      <w:r>
        <w:rPr>
          <w:lang w:val="en-US"/>
        </w:rPr>
        <w:t xml:space="preserve">in </w:t>
      </w:r>
      <w:r w:rsidR="00D9325E">
        <w:rPr>
          <w:lang w:val="en-US"/>
        </w:rPr>
        <w:t>the Minister</w:t>
      </w:r>
      <w:r>
        <w:rPr>
          <w:lang w:val="en-US"/>
        </w:rPr>
        <w:t>’</w:t>
      </w:r>
      <w:r w:rsidR="00D9325E">
        <w:rPr>
          <w:lang w:val="en-US"/>
        </w:rPr>
        <w:t xml:space="preserve">s </w:t>
      </w:r>
      <w:r>
        <w:rPr>
          <w:lang w:val="en-US"/>
        </w:rPr>
        <w:t>r</w:t>
      </w:r>
      <w:r w:rsidR="00D9325E">
        <w:rPr>
          <w:lang w:val="en-US"/>
        </w:rPr>
        <w:t xml:space="preserve">e-allocation declaration. </w:t>
      </w:r>
      <w:r w:rsidR="00BB331A">
        <w:rPr>
          <w:lang w:val="en-US"/>
        </w:rPr>
        <w:t>These are referred to as the “regional lots”.</w:t>
      </w:r>
    </w:p>
    <w:p w14:paraId="13F6E468" w14:textId="77777777" w:rsidR="00351E7F" w:rsidRDefault="00D9325E" w:rsidP="00EA7950">
      <w:pPr>
        <w:pStyle w:val="ACMABodyText"/>
        <w:rPr>
          <w:lang w:val="en-US"/>
        </w:rPr>
      </w:pPr>
      <w:r>
        <w:rPr>
          <w:lang w:val="en-US"/>
        </w:rPr>
        <w:lastRenderedPageBreak/>
        <w:t xml:space="preserve">Lots in </w:t>
      </w:r>
      <w:r w:rsidR="00DB47BD">
        <w:rPr>
          <w:lang w:val="en-US"/>
        </w:rPr>
        <w:t>c</w:t>
      </w:r>
      <w:r w:rsidR="00351E7F">
        <w:rPr>
          <w:lang w:val="en-US"/>
        </w:rPr>
        <w:t>ategor</w:t>
      </w:r>
      <w:r>
        <w:rPr>
          <w:lang w:val="en-US"/>
        </w:rPr>
        <w:t>ies</w:t>
      </w:r>
      <w:r w:rsidR="00351E7F">
        <w:rPr>
          <w:lang w:val="en-US"/>
        </w:rPr>
        <w:t xml:space="preserve"> 2 </w:t>
      </w:r>
      <w:r w:rsidR="00DB47BD">
        <w:rPr>
          <w:lang w:val="en-US"/>
        </w:rPr>
        <w:t>and</w:t>
      </w:r>
      <w:r w:rsidR="00351E7F">
        <w:rPr>
          <w:lang w:val="en-US"/>
        </w:rPr>
        <w:t xml:space="preserve"> 3 </w:t>
      </w:r>
      <w:r>
        <w:rPr>
          <w:lang w:val="en-US"/>
        </w:rPr>
        <w:t xml:space="preserve">contain the unencumbered </w:t>
      </w:r>
      <w:r w:rsidR="00DB47BD">
        <w:rPr>
          <w:lang w:val="en-US"/>
        </w:rPr>
        <w:t>parts of the spectrum in</w:t>
      </w:r>
      <w:r>
        <w:rPr>
          <w:lang w:val="en-US"/>
        </w:rPr>
        <w:t xml:space="preserve"> the </w:t>
      </w:r>
      <w:r w:rsidR="00DB47BD">
        <w:rPr>
          <w:lang w:val="en-US"/>
        </w:rPr>
        <w:t>Minister’s d</w:t>
      </w:r>
      <w:r>
        <w:rPr>
          <w:lang w:val="en-US"/>
        </w:rPr>
        <w:t xml:space="preserve">esignation notice. These are referred to as the “residual lots”. </w:t>
      </w:r>
    </w:p>
    <w:p w14:paraId="01A51A30" w14:textId="77777777" w:rsidR="00504BA2" w:rsidRPr="00351E7F" w:rsidRDefault="00351E7F" w:rsidP="00EA7950">
      <w:pPr>
        <w:pStyle w:val="ACMABodyText"/>
        <w:rPr>
          <w:u w:val="single"/>
          <w:lang w:val="en-US"/>
        </w:rPr>
      </w:pPr>
      <w:r w:rsidRPr="00351E7F">
        <w:rPr>
          <w:u w:val="single"/>
          <w:lang w:val="en-US"/>
        </w:rPr>
        <w:t>Category 2 lots</w:t>
      </w:r>
      <w:r w:rsidR="00504BA2" w:rsidRPr="00351E7F">
        <w:rPr>
          <w:u w:val="single"/>
          <w:lang w:val="en-US"/>
        </w:rPr>
        <w:t xml:space="preserve"> </w:t>
      </w:r>
      <w:r w:rsidRPr="00351E7F">
        <w:rPr>
          <w:u w:val="single"/>
          <w:lang w:val="en-US"/>
        </w:rPr>
        <w:t xml:space="preserve"> </w:t>
      </w:r>
    </w:p>
    <w:p w14:paraId="35EA63F4" w14:textId="77777777" w:rsidR="00D9325E" w:rsidRDefault="00D9325E" w:rsidP="00EA7950">
      <w:pPr>
        <w:pStyle w:val="ACMABodyText"/>
        <w:rPr>
          <w:lang w:val="en-US"/>
        </w:rPr>
      </w:pPr>
      <w:r>
        <w:rPr>
          <w:lang w:val="en-US"/>
        </w:rPr>
        <w:t>There are 2 lots in category 2 in the following geographic areas and for the following frequency ranges:</w:t>
      </w:r>
    </w:p>
    <w:p w14:paraId="7C094A2D" w14:textId="77777777" w:rsidR="00603AB1" w:rsidRDefault="00D9325E" w:rsidP="001D6510">
      <w:pPr>
        <w:pStyle w:val="ACMABodyText"/>
        <w:numPr>
          <w:ilvl w:val="0"/>
          <w:numId w:val="29"/>
        </w:numPr>
        <w:rPr>
          <w:lang w:val="en-US"/>
        </w:rPr>
      </w:pPr>
      <w:r>
        <w:rPr>
          <w:lang w:val="en-US"/>
        </w:rPr>
        <w:t>North Queensland (Cairns/Townsville)</w:t>
      </w:r>
      <w:r w:rsidR="00C904B4">
        <w:rPr>
          <w:lang w:val="en-US"/>
        </w:rPr>
        <w:t>,</w:t>
      </w:r>
      <w:r>
        <w:rPr>
          <w:lang w:val="en-US"/>
        </w:rPr>
        <w:t xml:space="preserve"> </w:t>
      </w:r>
      <w:r w:rsidR="00312A99">
        <w:rPr>
          <w:lang w:val="en-US"/>
        </w:rPr>
        <w:t>1710</w:t>
      </w:r>
      <w:r w:rsidR="000F7445">
        <w:rPr>
          <w:lang w:val="en-US"/>
        </w:rPr>
        <w:t xml:space="preserve"> MHz – </w:t>
      </w:r>
      <w:r w:rsidR="00312A99">
        <w:rPr>
          <w:lang w:val="en-US"/>
        </w:rPr>
        <w:t>1712.5</w:t>
      </w:r>
      <w:r w:rsidR="00C904B4">
        <w:rPr>
          <w:lang w:val="en-US"/>
        </w:rPr>
        <w:t xml:space="preserve"> MHz and </w:t>
      </w:r>
      <w:r w:rsidR="00312A99">
        <w:rPr>
          <w:lang w:val="en-US"/>
        </w:rPr>
        <w:t>1</w:t>
      </w:r>
      <w:r w:rsidR="00BB331A">
        <w:rPr>
          <w:lang w:val="en-US"/>
        </w:rPr>
        <w:t>8</w:t>
      </w:r>
      <w:r w:rsidR="00312A99">
        <w:rPr>
          <w:lang w:val="en-US"/>
        </w:rPr>
        <w:t>05</w:t>
      </w:r>
      <w:r w:rsidR="000F7445">
        <w:rPr>
          <w:lang w:val="en-US"/>
        </w:rPr>
        <w:t xml:space="preserve"> MHz – </w:t>
      </w:r>
      <w:r w:rsidR="00312A99">
        <w:rPr>
          <w:lang w:val="en-US"/>
        </w:rPr>
        <w:t>1</w:t>
      </w:r>
      <w:r w:rsidR="00BB331A">
        <w:rPr>
          <w:lang w:val="en-US"/>
        </w:rPr>
        <w:t>8</w:t>
      </w:r>
      <w:r w:rsidR="00312A99">
        <w:rPr>
          <w:lang w:val="en-US"/>
        </w:rPr>
        <w:t>07.5 MHz</w:t>
      </w:r>
      <w:r w:rsidR="00DB47BD">
        <w:rPr>
          <w:lang w:val="en-US"/>
        </w:rPr>
        <w:t>;</w:t>
      </w:r>
    </w:p>
    <w:p w14:paraId="0B6F910B" w14:textId="77777777" w:rsidR="00312A99" w:rsidRDefault="00BB331A" w:rsidP="001D6510">
      <w:pPr>
        <w:pStyle w:val="ACMABodyText"/>
        <w:numPr>
          <w:ilvl w:val="0"/>
          <w:numId w:val="29"/>
        </w:numPr>
        <w:rPr>
          <w:lang w:val="en-US"/>
        </w:rPr>
      </w:pPr>
      <w:r>
        <w:rPr>
          <w:lang w:val="en-US"/>
        </w:rPr>
        <w:t>r</w:t>
      </w:r>
      <w:r w:rsidR="00312A99">
        <w:rPr>
          <w:lang w:val="en-US"/>
        </w:rPr>
        <w:t>egional S</w:t>
      </w:r>
      <w:r w:rsidR="00C904B4">
        <w:rPr>
          <w:lang w:val="en-US"/>
        </w:rPr>
        <w:t xml:space="preserve">outh </w:t>
      </w:r>
      <w:r w:rsidR="00312A99">
        <w:rPr>
          <w:lang w:val="en-US"/>
        </w:rPr>
        <w:t>A</w:t>
      </w:r>
      <w:r w:rsidR="00C904B4">
        <w:rPr>
          <w:lang w:val="en-US"/>
        </w:rPr>
        <w:t>ustralia</w:t>
      </w:r>
      <w:r w:rsidR="00DB47BD">
        <w:rPr>
          <w:lang w:val="en-US"/>
        </w:rPr>
        <w:t>,</w:t>
      </w:r>
      <w:r w:rsidR="00312A99">
        <w:rPr>
          <w:lang w:val="en-US"/>
        </w:rPr>
        <w:t xml:space="preserve"> 1710</w:t>
      </w:r>
      <w:r w:rsidR="000F7445">
        <w:rPr>
          <w:lang w:val="en-US"/>
        </w:rPr>
        <w:t xml:space="preserve"> MHz – </w:t>
      </w:r>
      <w:r w:rsidR="00312A99">
        <w:rPr>
          <w:lang w:val="en-US"/>
        </w:rPr>
        <w:t>1712.5</w:t>
      </w:r>
      <w:r w:rsidR="00C904B4">
        <w:rPr>
          <w:lang w:val="en-US"/>
        </w:rPr>
        <w:t xml:space="preserve"> MHz and </w:t>
      </w:r>
      <w:r w:rsidR="00312A99">
        <w:rPr>
          <w:lang w:val="en-US"/>
        </w:rPr>
        <w:t>1</w:t>
      </w:r>
      <w:r>
        <w:rPr>
          <w:lang w:val="en-US"/>
        </w:rPr>
        <w:t>8</w:t>
      </w:r>
      <w:r w:rsidR="00312A99">
        <w:rPr>
          <w:lang w:val="en-US"/>
        </w:rPr>
        <w:t>05</w:t>
      </w:r>
      <w:r w:rsidR="000F7445">
        <w:rPr>
          <w:lang w:val="en-US"/>
        </w:rPr>
        <w:t xml:space="preserve"> MHz – </w:t>
      </w:r>
      <w:r w:rsidR="00312A99">
        <w:rPr>
          <w:lang w:val="en-US"/>
        </w:rPr>
        <w:t>1</w:t>
      </w:r>
      <w:r>
        <w:rPr>
          <w:lang w:val="en-US"/>
        </w:rPr>
        <w:t>8</w:t>
      </w:r>
      <w:r w:rsidR="00312A99">
        <w:rPr>
          <w:lang w:val="en-US"/>
        </w:rPr>
        <w:t>07.5 MHz</w:t>
      </w:r>
      <w:r w:rsidR="00DB47BD">
        <w:rPr>
          <w:lang w:val="en-US"/>
        </w:rPr>
        <w:t>.</w:t>
      </w:r>
    </w:p>
    <w:p w14:paraId="521C0DAA" w14:textId="77777777" w:rsidR="00351E7F" w:rsidRPr="00351E7F" w:rsidRDefault="00351E7F" w:rsidP="00351E7F">
      <w:pPr>
        <w:pStyle w:val="ACMABodyText"/>
        <w:rPr>
          <w:u w:val="single"/>
          <w:lang w:val="en-US"/>
        </w:rPr>
      </w:pPr>
      <w:r w:rsidRPr="00351E7F">
        <w:rPr>
          <w:u w:val="single"/>
          <w:lang w:val="en-US"/>
        </w:rPr>
        <w:t xml:space="preserve">Category </w:t>
      </w:r>
      <w:r>
        <w:rPr>
          <w:u w:val="single"/>
          <w:lang w:val="en-US"/>
        </w:rPr>
        <w:t>3</w:t>
      </w:r>
      <w:r w:rsidRPr="00351E7F">
        <w:rPr>
          <w:u w:val="single"/>
          <w:lang w:val="en-US"/>
        </w:rPr>
        <w:t xml:space="preserve"> lot</w:t>
      </w:r>
    </w:p>
    <w:p w14:paraId="19451537" w14:textId="77777777" w:rsidR="00C904B4" w:rsidRDefault="00C904B4" w:rsidP="00351E7F">
      <w:pPr>
        <w:pStyle w:val="ACMABodyText"/>
        <w:rPr>
          <w:lang w:val="en-US"/>
        </w:rPr>
      </w:pPr>
      <w:r>
        <w:rPr>
          <w:lang w:val="en-US"/>
        </w:rPr>
        <w:t xml:space="preserve">There is </w:t>
      </w:r>
      <w:r w:rsidR="00DB47BD">
        <w:rPr>
          <w:lang w:val="en-US"/>
        </w:rPr>
        <w:t xml:space="preserve">1 </w:t>
      </w:r>
      <w:r>
        <w:rPr>
          <w:lang w:val="en-US"/>
        </w:rPr>
        <w:t xml:space="preserve">lot in </w:t>
      </w:r>
      <w:r w:rsidR="00DB47BD">
        <w:rPr>
          <w:lang w:val="en-US"/>
        </w:rPr>
        <w:t xml:space="preserve">this </w:t>
      </w:r>
      <w:r>
        <w:rPr>
          <w:lang w:val="en-US"/>
        </w:rPr>
        <w:t>category in the following geographic area and for the following frequency range</w:t>
      </w:r>
      <w:r w:rsidR="00DB47BD">
        <w:rPr>
          <w:lang w:val="en-US"/>
        </w:rPr>
        <w:t>:</w:t>
      </w:r>
    </w:p>
    <w:p w14:paraId="0A4BAC63" w14:textId="77777777" w:rsidR="00351E7F" w:rsidRDefault="00351E7F" w:rsidP="001D6510">
      <w:pPr>
        <w:pStyle w:val="ACMABodyText"/>
        <w:numPr>
          <w:ilvl w:val="0"/>
          <w:numId w:val="30"/>
        </w:numPr>
        <w:rPr>
          <w:lang w:val="en-US"/>
        </w:rPr>
      </w:pPr>
      <w:r>
        <w:rPr>
          <w:lang w:val="en-US"/>
        </w:rPr>
        <w:t>Adelaide</w:t>
      </w:r>
      <w:r w:rsidR="00DB47BD">
        <w:rPr>
          <w:lang w:val="en-US"/>
        </w:rPr>
        <w:t>,</w:t>
      </w:r>
      <w:r>
        <w:rPr>
          <w:lang w:val="en-US"/>
        </w:rPr>
        <w:t xml:space="preserve"> 1770</w:t>
      </w:r>
      <w:r w:rsidR="000F7445">
        <w:rPr>
          <w:lang w:val="en-US"/>
        </w:rPr>
        <w:t xml:space="preserve"> MHz – </w:t>
      </w:r>
      <w:r>
        <w:rPr>
          <w:lang w:val="en-US"/>
        </w:rPr>
        <w:t>1775</w:t>
      </w:r>
      <w:r w:rsidR="00C904B4">
        <w:rPr>
          <w:lang w:val="en-US"/>
        </w:rPr>
        <w:t xml:space="preserve"> MHz and </w:t>
      </w:r>
      <w:r>
        <w:rPr>
          <w:lang w:val="en-US"/>
        </w:rPr>
        <w:t>1865</w:t>
      </w:r>
      <w:r w:rsidR="000F7445">
        <w:rPr>
          <w:lang w:val="en-US"/>
        </w:rPr>
        <w:t xml:space="preserve"> MHz – </w:t>
      </w:r>
      <w:r>
        <w:rPr>
          <w:lang w:val="en-US"/>
        </w:rPr>
        <w:t>1870 MHz</w:t>
      </w:r>
      <w:r w:rsidR="00C904B4">
        <w:rPr>
          <w:lang w:val="en-US"/>
        </w:rPr>
        <w:t>.</w:t>
      </w:r>
    </w:p>
    <w:p w14:paraId="1420F76F" w14:textId="0C388A9F" w:rsidR="003056BC" w:rsidRDefault="00BB331A" w:rsidP="00EA2D9A">
      <w:pPr>
        <w:pStyle w:val="ACMABodyText"/>
        <w:rPr>
          <w:lang w:val="en-US"/>
        </w:rPr>
      </w:pPr>
      <w:r>
        <w:rPr>
          <w:lang w:val="en-US"/>
        </w:rPr>
        <w:t xml:space="preserve">Further details can be found in </w:t>
      </w:r>
      <w:r w:rsidR="003056BC">
        <w:rPr>
          <w:lang w:val="en-US"/>
        </w:rPr>
        <w:t xml:space="preserve">section 2.4 of the </w:t>
      </w:r>
      <w:r w:rsidR="00C80D9E">
        <w:rPr>
          <w:lang w:val="en-US"/>
        </w:rPr>
        <w:t>m</w:t>
      </w:r>
      <w:r w:rsidR="003056BC">
        <w:rPr>
          <w:lang w:val="en-US"/>
        </w:rPr>
        <w:t xml:space="preserve">arketing </w:t>
      </w:r>
      <w:r w:rsidR="00C80D9E">
        <w:rPr>
          <w:lang w:val="en-US"/>
        </w:rPr>
        <w:t>p</w:t>
      </w:r>
      <w:r w:rsidR="003056BC">
        <w:rPr>
          <w:lang w:val="en-US"/>
        </w:rPr>
        <w:t>lan</w:t>
      </w:r>
      <w:r w:rsidR="00515149">
        <w:rPr>
          <w:lang w:val="en-US"/>
        </w:rPr>
        <w:t>.</w:t>
      </w:r>
    </w:p>
    <w:p w14:paraId="4FC109E8" w14:textId="77777777" w:rsidR="00603AB1" w:rsidRPr="00181920" w:rsidRDefault="00603AB1" w:rsidP="00EA7950">
      <w:pPr>
        <w:pStyle w:val="ACMAHeading3"/>
      </w:pPr>
      <w:r>
        <w:t>Section 1.6</w:t>
      </w:r>
      <w:r w:rsidRPr="00181920">
        <w:tab/>
      </w:r>
      <w:r>
        <w:t>Lodg</w:t>
      </w:r>
      <w:r w:rsidR="00351E7F">
        <w:t>e</w:t>
      </w:r>
      <w:r>
        <w:t>ment of documents</w:t>
      </w:r>
    </w:p>
    <w:p w14:paraId="3BA5E60B" w14:textId="77777777" w:rsidR="00603AB1" w:rsidRDefault="00603AB1" w:rsidP="000E49A6">
      <w:pPr>
        <w:pStyle w:val="ACMABodyText"/>
      </w:pPr>
      <w:r>
        <w:t>This section sets out instructions for lodging documents with the ACMA, including the alternative means by which documents can be lodged. These instructions apply to any documents being lodged with the ACMA for the purpose of the allocation process under th</w:t>
      </w:r>
      <w:r w:rsidR="00B95061">
        <w:t>e</w:t>
      </w:r>
      <w:r>
        <w:t xml:space="preserve"> Determination. They are intended to supplement section 4.7 (Lodging application), section 4.12 (Requirements for new application), section 4.1</w:t>
      </w:r>
      <w:r w:rsidR="00351E7F">
        <w:t>5</w:t>
      </w:r>
      <w:r>
        <w:t xml:space="preserve"> (Lodging eligibility nomination form) and </w:t>
      </w:r>
      <w:r w:rsidR="00BB331A">
        <w:t xml:space="preserve">section </w:t>
      </w:r>
      <w:r>
        <w:t>4.1</w:t>
      </w:r>
      <w:r w:rsidR="005A3C1F">
        <w:t>6</w:t>
      </w:r>
      <w:r>
        <w:t xml:space="preserve"> (Eligibility payment or deed of financial security required for initial eligibility points).</w:t>
      </w:r>
    </w:p>
    <w:p w14:paraId="667708E3" w14:textId="77777777" w:rsidR="00603AB1" w:rsidRDefault="00603AB1" w:rsidP="00F42DCF">
      <w:pPr>
        <w:pStyle w:val="ACMABodyText"/>
      </w:pPr>
      <w:r>
        <w:t>Applicants may submit documents to the ACMA by email, fax or delivery to a physical address (including delivery by registered mail). Where documents are submitted by email, this section also describes the electronic file format that particular documents being lodged must be in</w:t>
      </w:r>
      <w:r w:rsidR="00DB47BD">
        <w:t>,</w:t>
      </w:r>
      <w:r>
        <w:t xml:space="preserve"> namely, Portable Document Format (PDF) for any document, Rich Text Format (RTF) for any document that is not a statutory declaration or a deed, or any other electronic format approved by the auction manager. </w:t>
      </w:r>
    </w:p>
    <w:p w14:paraId="7F9CE4F2" w14:textId="77777777" w:rsidR="00603AB1" w:rsidRDefault="00603AB1" w:rsidP="00F42DCF">
      <w:pPr>
        <w:pStyle w:val="ACMABodyText"/>
      </w:pPr>
      <w:r>
        <w:t>Where documents are lodged by fax, this section also describes the information that must be provided on a cover sheet to accompany the documents being lodged.</w:t>
      </w:r>
    </w:p>
    <w:p w14:paraId="41081B1D" w14:textId="77777777" w:rsidR="00603AB1" w:rsidRPr="00181920" w:rsidRDefault="00603AB1" w:rsidP="00B842CB">
      <w:pPr>
        <w:pStyle w:val="ACMAHeading3"/>
      </w:pPr>
      <w:r w:rsidRPr="00181920">
        <w:t>Section 1.</w:t>
      </w:r>
      <w:r>
        <w:t>7</w:t>
      </w:r>
      <w:r w:rsidRPr="00181920">
        <w:tab/>
      </w:r>
      <w:r>
        <w:t>Payment of amounts</w:t>
      </w:r>
    </w:p>
    <w:p w14:paraId="6F050378" w14:textId="77777777" w:rsidR="00512C23" w:rsidRDefault="00603AB1" w:rsidP="00181920">
      <w:pPr>
        <w:pStyle w:val="ACMABodyText"/>
      </w:pPr>
      <w:r>
        <w:t xml:space="preserve">This section explains the manner in which payments under the Determination may be made to the ACMA. </w:t>
      </w:r>
    </w:p>
    <w:p w14:paraId="2E630DED" w14:textId="77777777" w:rsidR="00603AB1" w:rsidRDefault="00603AB1" w:rsidP="00181920">
      <w:pPr>
        <w:pStyle w:val="ACMABodyText"/>
      </w:pPr>
      <w:r>
        <w:t xml:space="preserve">Amounts can be paid to the ACMA by bank cheque or by electronic transfer and must be made in Australian currency. </w:t>
      </w:r>
    </w:p>
    <w:p w14:paraId="291A1657" w14:textId="1B4940C7" w:rsidR="00603AB1" w:rsidRDefault="00603AB1" w:rsidP="00181920">
      <w:pPr>
        <w:pStyle w:val="ACMABodyText"/>
      </w:pPr>
      <w:r>
        <w:t xml:space="preserve">Where an applicant pays an amount by bank cheque, the payment </w:t>
      </w:r>
      <w:r w:rsidR="00515149">
        <w:t>must be m</w:t>
      </w:r>
      <w:r>
        <w:t xml:space="preserve">ade by the deadline specified in the Determination. </w:t>
      </w:r>
    </w:p>
    <w:p w14:paraId="68D7C7E4" w14:textId="62DD694C" w:rsidR="00603AB1" w:rsidRDefault="00603AB1" w:rsidP="00181920">
      <w:pPr>
        <w:pStyle w:val="ACMABodyText"/>
      </w:pPr>
      <w:r>
        <w:t xml:space="preserve">Where an electronic transfer is used, the ACMA must receive from the applicant evidence (such as a transfer receipt) that an electronic transfer has been made for the full amount.  An applicant will be taken to have made a payment by the specified deadline, provided the ACMA receives the full amount in the ACMA’s nominated bank account within </w:t>
      </w:r>
      <w:r w:rsidR="00BC2012">
        <w:t>3</w:t>
      </w:r>
      <w:r>
        <w:t xml:space="preserve"> </w:t>
      </w:r>
      <w:r w:rsidR="00515149">
        <w:t xml:space="preserve">working </w:t>
      </w:r>
      <w:r>
        <w:t xml:space="preserve">days of the deadline and the applicant gives the ACMA evidence that the transfer was made before the deadline. Where full payment is not received within </w:t>
      </w:r>
      <w:r w:rsidR="00BC2012">
        <w:t xml:space="preserve">3 </w:t>
      </w:r>
      <w:r w:rsidR="00515149">
        <w:t xml:space="preserve">working </w:t>
      </w:r>
      <w:r>
        <w:t xml:space="preserve">days, the payment will be taken to have been made if the applicant can show that it has taken all reasonable steps to ensure that the amount was </w:t>
      </w:r>
      <w:r w:rsidR="00515149">
        <w:t>paid</w:t>
      </w:r>
      <w:r>
        <w:t xml:space="preserve"> by the due date. </w:t>
      </w:r>
    </w:p>
    <w:p w14:paraId="391C7030" w14:textId="77777777" w:rsidR="00603AB1" w:rsidRDefault="00603AB1" w:rsidP="00181920">
      <w:pPr>
        <w:pStyle w:val="ACMABodyText"/>
      </w:pPr>
      <w:r>
        <w:t xml:space="preserve">This section also </w:t>
      </w:r>
      <w:r w:rsidR="006B003B">
        <w:t>states that</w:t>
      </w:r>
      <w:r>
        <w:t xml:space="preserve"> a payment will not be considered to have been paid in full where bank charges or government duties imposed on the payment reduce the amount to less than the amount </w:t>
      </w:r>
      <w:r>
        <w:lastRenderedPageBreak/>
        <w:t>due. An applicant is responsible for ensuring that any bank charges or government duties imposed on a payment do not reduce the payment received by the ACMA to less than the full amount due.</w:t>
      </w:r>
    </w:p>
    <w:p w14:paraId="1308ACAB" w14:textId="77777777" w:rsidR="00603AB1" w:rsidRPr="008F0CD0" w:rsidRDefault="00603AB1" w:rsidP="00B842CB">
      <w:pPr>
        <w:pStyle w:val="ACMAHeading3"/>
        <w:rPr>
          <w:b w:val="0"/>
        </w:rPr>
      </w:pPr>
      <w:r w:rsidRPr="00181920">
        <w:t>Section 1.</w:t>
      </w:r>
      <w:r>
        <w:t>8</w:t>
      </w:r>
      <w:r w:rsidRPr="00181920">
        <w:tab/>
      </w:r>
      <w:r>
        <w:t>Statutory declaration for body corporate</w:t>
      </w:r>
    </w:p>
    <w:p w14:paraId="4ED4DDAF" w14:textId="77777777" w:rsidR="00603AB1" w:rsidRPr="00952A6F" w:rsidRDefault="00603AB1" w:rsidP="00F73E79">
      <w:pPr>
        <w:pStyle w:val="ACMABodyText"/>
      </w:pPr>
      <w:r>
        <w:t>This section explains that where th</w:t>
      </w:r>
      <w:r w:rsidR="00B95061">
        <w:t>e</w:t>
      </w:r>
      <w:r>
        <w:t xml:space="preserve"> Determination requires an applicant to make a statutory declaration and the applicant is a body corporate, such a declaration must be made by a director or a secretary of that body corporate.</w:t>
      </w:r>
    </w:p>
    <w:p w14:paraId="574959F1" w14:textId="77777777" w:rsidR="00603AB1" w:rsidRPr="00BC3BF8" w:rsidRDefault="00603AB1" w:rsidP="00FE2D99">
      <w:pPr>
        <w:pStyle w:val="ACMAHeading3"/>
      </w:pPr>
      <w:r w:rsidRPr="00BC3BF8">
        <w:t>PART 2</w:t>
      </w:r>
      <w:r w:rsidRPr="00BC3BF8">
        <w:tab/>
        <w:t>LIMITS ON ALLOCATION OF SPECTRUM</w:t>
      </w:r>
      <w:r w:rsidR="008E6D8E" w:rsidRPr="00BC3BF8">
        <w:t xml:space="preserve">  </w:t>
      </w:r>
    </w:p>
    <w:p w14:paraId="340C4473" w14:textId="77777777" w:rsidR="00603AB1" w:rsidRDefault="00603AB1" w:rsidP="00B366CD">
      <w:pPr>
        <w:pStyle w:val="ACMABodyText"/>
      </w:pPr>
      <w:r>
        <w:t>Under the Act, t</w:t>
      </w:r>
      <w:r w:rsidRPr="006336AF">
        <w:t xml:space="preserve">he ACMA </w:t>
      </w:r>
      <w:r>
        <w:t>may</w:t>
      </w:r>
      <w:r w:rsidRPr="006336AF">
        <w:t xml:space="preserve"> determine the procedures to be applied in allocating spectrum licences</w:t>
      </w:r>
      <w:r>
        <w:t>, including imposing limits on the aggregate parts of the spectrum that</w:t>
      </w:r>
      <w:r w:rsidR="00F4027B">
        <w:t xml:space="preserve">, </w:t>
      </w:r>
      <w:r>
        <w:t>as a result of the allocation of spectrum licences</w:t>
      </w:r>
      <w:r w:rsidR="00F4027B">
        <w:t>,</w:t>
      </w:r>
      <w:r>
        <w:t xml:space="preserve"> may be used by any one person, specified persons or any specified group of persons (see subsection 60(5) of the Act). These spectrum licence limits are commonly referred to as allocation limits, competition limits or spectrum caps.</w:t>
      </w:r>
      <w:r w:rsidRPr="006336AF">
        <w:t xml:space="preserve"> </w:t>
      </w:r>
    </w:p>
    <w:p w14:paraId="55AAB7B5" w14:textId="77777777" w:rsidR="006B003B" w:rsidRDefault="00603AB1">
      <w:pPr>
        <w:pStyle w:val="ACMABodyText"/>
      </w:pPr>
      <w:r>
        <w:t xml:space="preserve">Subsection 60(10) of the Act gives the Minister the power to give directions to the ACMA in relation to the exercise of this power to impose such limits on the total amount of spectrum that a person or specified group of persons can be licensed to use. </w:t>
      </w:r>
      <w:r w:rsidR="00307286">
        <w:t>The ACMA may not impose such limits unless the Minister directs it to do so (see subsection 60(9) of the Act).</w:t>
      </w:r>
      <w:r w:rsidR="005A2821">
        <w:t xml:space="preserve"> </w:t>
      </w:r>
    </w:p>
    <w:p w14:paraId="115682FB" w14:textId="77777777" w:rsidR="00603AB1" w:rsidRDefault="005A2821">
      <w:pPr>
        <w:pStyle w:val="ACMABodyText"/>
      </w:pPr>
      <w:r>
        <w:t>The Minister in the spectrum licence limits direction</w:t>
      </w:r>
      <w:r w:rsidR="00603AB1">
        <w:t xml:space="preserve"> has directed the ACMA to impose spectrum licence limits for the allocation of the spectrum declared for re-allocation in the </w:t>
      </w:r>
      <w:r w:rsidR="002906A3">
        <w:t>1800 M</w:t>
      </w:r>
      <w:r w:rsidR="00603AB1">
        <w:t>Hz band</w:t>
      </w:r>
      <w:r w:rsidR="00307286">
        <w:t xml:space="preserve"> (</w:t>
      </w:r>
      <w:r w:rsidR="002B0B13">
        <w:t>c</w:t>
      </w:r>
      <w:r w:rsidR="001D6510">
        <w:t>ategory 1 lots</w:t>
      </w:r>
      <w:r w:rsidR="00307286">
        <w:t>)</w:t>
      </w:r>
      <w:r w:rsidR="00603AB1">
        <w:t xml:space="preserve">. </w:t>
      </w:r>
      <w:r w:rsidR="00603AB1" w:rsidRPr="00C139A4">
        <w:t xml:space="preserve">These limits are set out in the </w:t>
      </w:r>
      <w:r w:rsidR="00603AB1" w:rsidRPr="00C22886">
        <w:t>spectrum licence limits direction</w:t>
      </w:r>
      <w:r w:rsidR="00603AB1">
        <w:t>.</w:t>
      </w:r>
      <w:r w:rsidR="00A01695">
        <w:t xml:space="preserve"> These spectrum licence limits do not apply to the spectrum designated for allocation </w:t>
      </w:r>
      <w:r w:rsidR="001C1347">
        <w:t>under</w:t>
      </w:r>
      <w:r w:rsidR="00A01695">
        <w:t xml:space="preserve"> the designation notice (</w:t>
      </w:r>
      <w:r w:rsidR="002B0B13">
        <w:t>c</w:t>
      </w:r>
      <w:r w:rsidR="001D6510">
        <w:t>ategories 2 and 3</w:t>
      </w:r>
      <w:r w:rsidR="005C41C8">
        <w:t xml:space="preserve"> lots</w:t>
      </w:r>
      <w:r w:rsidR="00A01695">
        <w:t>).</w:t>
      </w:r>
      <w:r w:rsidR="00591D52">
        <w:t xml:space="preserve"> This means a participant </w:t>
      </w:r>
      <w:r w:rsidR="001C1347">
        <w:t>may</w:t>
      </w:r>
      <w:r w:rsidR="00591D52">
        <w:t xml:space="preserve"> obtain the use of </w:t>
      </w:r>
      <w:r w:rsidR="001C1347">
        <w:t xml:space="preserve">up to </w:t>
      </w:r>
      <w:r w:rsidR="00591D52">
        <w:t>2 x 25 MHz in the regional 1800 MHz band</w:t>
      </w:r>
      <w:r w:rsidR="001516D4">
        <w:t xml:space="preserve"> (spectrum in category 1)</w:t>
      </w:r>
      <w:r w:rsidR="00591D52">
        <w:t xml:space="preserve"> and </w:t>
      </w:r>
      <w:r w:rsidR="001C1347">
        <w:t xml:space="preserve">any </w:t>
      </w:r>
      <w:r w:rsidR="00591D52">
        <w:t xml:space="preserve">additional </w:t>
      </w:r>
      <w:r w:rsidR="001C1347">
        <w:t xml:space="preserve">residual </w:t>
      </w:r>
      <w:r w:rsidR="00591D52">
        <w:t>spectrum</w:t>
      </w:r>
      <w:r w:rsidR="001C1347">
        <w:t xml:space="preserve"> in</w:t>
      </w:r>
      <w:r w:rsidR="00591D52">
        <w:t xml:space="preserve"> the 1800 MHz band</w:t>
      </w:r>
      <w:r w:rsidR="001C1347">
        <w:t xml:space="preserve"> for </w:t>
      </w:r>
      <w:r w:rsidR="001C1347" w:rsidRPr="001C1347">
        <w:t xml:space="preserve">North Queensland (Cairns/Townsville), regional South Australia and Adelaide </w:t>
      </w:r>
      <w:r w:rsidR="00591D52">
        <w:t>(spectrum in categor</w:t>
      </w:r>
      <w:r w:rsidR="005C41C8">
        <w:t>ies</w:t>
      </w:r>
      <w:r w:rsidR="00591D52">
        <w:t xml:space="preserve"> 2 and 3).</w:t>
      </w:r>
    </w:p>
    <w:p w14:paraId="3EEBA40F" w14:textId="77777777" w:rsidR="00603AB1" w:rsidRDefault="00603AB1">
      <w:pPr>
        <w:pStyle w:val="ACMABodyText"/>
        <w:rPr>
          <w:iCs/>
        </w:rPr>
      </w:pPr>
      <w:r w:rsidRPr="00C139A4">
        <w:rPr>
          <w:szCs w:val="24"/>
        </w:rPr>
        <w:t>According to the explanatory statement to the spectrum licence limits direction</w:t>
      </w:r>
      <w:r>
        <w:rPr>
          <w:szCs w:val="24"/>
        </w:rPr>
        <w:t xml:space="preserve">, </w:t>
      </w:r>
      <w:r w:rsidRPr="00C139A4">
        <w:rPr>
          <w:szCs w:val="24"/>
        </w:rPr>
        <w:t xml:space="preserve">the spectrum licence limits that the Minister has directed the ACMA to impose in respect of the spectrum in the </w:t>
      </w:r>
      <w:r w:rsidR="00A430BD">
        <w:rPr>
          <w:szCs w:val="24"/>
        </w:rPr>
        <w:t xml:space="preserve">regional </w:t>
      </w:r>
      <w:r w:rsidR="002906A3">
        <w:rPr>
          <w:szCs w:val="24"/>
        </w:rPr>
        <w:t>1800</w:t>
      </w:r>
      <w:r w:rsidRPr="00C139A4">
        <w:rPr>
          <w:szCs w:val="24"/>
        </w:rPr>
        <w:t xml:space="preserve"> MHz band</w:t>
      </w:r>
      <w:r w:rsidR="002906A3">
        <w:rPr>
          <w:szCs w:val="24"/>
        </w:rPr>
        <w:t xml:space="preserve"> </w:t>
      </w:r>
      <w:r w:rsidR="00E03C78">
        <w:rPr>
          <w:szCs w:val="24"/>
        </w:rPr>
        <w:t>are</w:t>
      </w:r>
      <w:r w:rsidR="00E03C78" w:rsidRPr="00C139A4">
        <w:rPr>
          <w:szCs w:val="24"/>
        </w:rPr>
        <w:t xml:space="preserve"> </w:t>
      </w:r>
      <w:r w:rsidR="00A430BD">
        <w:rPr>
          <w:szCs w:val="24"/>
        </w:rPr>
        <w:t xml:space="preserve">intended to prevent monopolisation of the spectrum, provide prospective </w:t>
      </w:r>
      <w:r w:rsidR="00DF3E18">
        <w:rPr>
          <w:szCs w:val="24"/>
        </w:rPr>
        <w:t>allocation</w:t>
      </w:r>
      <w:r w:rsidR="00A430BD">
        <w:rPr>
          <w:szCs w:val="24"/>
        </w:rPr>
        <w:t xml:space="preserve"> participants with flexibility, enhance competitive tension at auction and reduce the possibility of unsold spectrum following the a</w:t>
      </w:r>
      <w:r w:rsidR="00DF3E18">
        <w:rPr>
          <w:szCs w:val="24"/>
        </w:rPr>
        <w:t>llocation</w:t>
      </w:r>
      <w:r w:rsidRPr="00DF3E18">
        <w:rPr>
          <w:iCs/>
        </w:rPr>
        <w:t>.</w:t>
      </w:r>
      <w:r>
        <w:rPr>
          <w:iCs/>
        </w:rPr>
        <w:t xml:space="preserve"> </w:t>
      </w:r>
    </w:p>
    <w:p w14:paraId="7101BB39" w14:textId="77777777" w:rsidR="00603AB1" w:rsidRDefault="00603AB1" w:rsidP="00FE1796">
      <w:pPr>
        <w:pStyle w:val="ACMABodyText"/>
        <w:rPr>
          <w:lang w:val="en-US"/>
        </w:rPr>
      </w:pPr>
      <w:r>
        <w:rPr>
          <w:lang w:val="en-US"/>
        </w:rPr>
        <w:t xml:space="preserve">The provisions in this Part give effect to the spectrum licence limits direction by </w:t>
      </w:r>
      <w:r w:rsidR="001C1347">
        <w:rPr>
          <w:lang w:val="en-US"/>
        </w:rPr>
        <w:t>imposing</w:t>
      </w:r>
      <w:r>
        <w:rPr>
          <w:lang w:val="en-US"/>
        </w:rPr>
        <w:t xml:space="preserve"> allocation limits to ensure that a person or a specified group of persons does not, as a result of the allocation</w:t>
      </w:r>
      <w:r w:rsidR="001C1347" w:rsidRPr="001C1347">
        <w:rPr>
          <w:lang w:val="en-US"/>
        </w:rPr>
        <w:t xml:space="preserve"> </w:t>
      </w:r>
      <w:r w:rsidR="001C1347">
        <w:rPr>
          <w:lang w:val="en-US"/>
        </w:rPr>
        <w:t>under the Determination</w:t>
      </w:r>
      <w:r>
        <w:rPr>
          <w:lang w:val="en-US"/>
        </w:rPr>
        <w:t xml:space="preserve"> and issue of spectrum licen</w:t>
      </w:r>
      <w:r w:rsidR="001C1347">
        <w:rPr>
          <w:lang w:val="en-US"/>
        </w:rPr>
        <w:t>c</w:t>
      </w:r>
      <w:r>
        <w:rPr>
          <w:lang w:val="en-US"/>
        </w:rPr>
        <w:t>es, have permission to use more than the specified amount of the spectrum</w:t>
      </w:r>
      <w:r w:rsidR="006A6F0C">
        <w:rPr>
          <w:lang w:val="en-US"/>
        </w:rPr>
        <w:t xml:space="preserve"> in the regional 1800 MHz band</w:t>
      </w:r>
      <w:r>
        <w:rPr>
          <w:lang w:val="en-US"/>
        </w:rPr>
        <w:t xml:space="preserve">. </w:t>
      </w:r>
    </w:p>
    <w:p w14:paraId="6A78697F" w14:textId="77777777" w:rsidR="00603AB1" w:rsidRDefault="00603AB1" w:rsidP="00FE1796">
      <w:pPr>
        <w:pStyle w:val="ACMABodyText"/>
        <w:rPr>
          <w:lang w:val="en-US"/>
        </w:rPr>
      </w:pPr>
      <w:r>
        <w:rPr>
          <w:lang w:val="en-US"/>
        </w:rPr>
        <w:t>In order to enforce these limits in a fair, balanced and robust allocation process, it is essential that the ACMA is able to identify affiliations between applicants. Applicants who are considered to be affiliated (according to the criteria in section</w:t>
      </w:r>
      <w:r w:rsidR="005C41C8">
        <w:rPr>
          <w:lang w:val="en-US"/>
        </w:rPr>
        <w:t>s 2.2 and</w:t>
      </w:r>
      <w:r>
        <w:rPr>
          <w:lang w:val="en-US"/>
        </w:rPr>
        <w:t xml:space="preserve"> 2.3 </w:t>
      </w:r>
      <w:r w:rsidR="005C41C8">
        <w:rPr>
          <w:lang w:val="en-US"/>
        </w:rPr>
        <w:t>of</w:t>
      </w:r>
      <w:r>
        <w:rPr>
          <w:lang w:val="en-US"/>
        </w:rPr>
        <w:t xml:space="preserve"> the Determination), will be taken to be in a single ‘specified group of persons’ for the purposes of the allocation limits. That is, the allocation limits will apply to the affiliated applicants as if they were a single applicant, rather than separate applicants. </w:t>
      </w:r>
    </w:p>
    <w:p w14:paraId="28742DA4" w14:textId="77777777" w:rsidR="00603AB1" w:rsidRDefault="00603AB1" w:rsidP="00F13105">
      <w:pPr>
        <w:pStyle w:val="ACMABodyText"/>
        <w:keepNext/>
        <w:rPr>
          <w:lang w:val="en-US"/>
        </w:rPr>
      </w:pPr>
      <w:r>
        <w:rPr>
          <w:lang w:val="en-US"/>
        </w:rPr>
        <w:t>Under the Determination, the ACMA intends to prevent affiliated applicants from participating as separate bidders in the same auction (see explanation of the operation of section</w:t>
      </w:r>
      <w:r w:rsidR="001516D4">
        <w:rPr>
          <w:lang w:val="en-US"/>
        </w:rPr>
        <w:t>s</w:t>
      </w:r>
      <w:r>
        <w:rPr>
          <w:lang w:val="en-US"/>
        </w:rPr>
        <w:t xml:space="preserve"> </w:t>
      </w:r>
      <w:r w:rsidRPr="001D6510">
        <w:rPr>
          <w:lang w:val="en-US"/>
        </w:rPr>
        <w:t xml:space="preserve">4.9 </w:t>
      </w:r>
      <w:r w:rsidR="001516D4" w:rsidRPr="001D6510">
        <w:rPr>
          <w:lang w:val="en-US"/>
        </w:rPr>
        <w:t xml:space="preserve">to 4.12 </w:t>
      </w:r>
      <w:r w:rsidRPr="001D6510">
        <w:rPr>
          <w:lang w:val="en-US"/>
        </w:rPr>
        <w:t>below</w:t>
      </w:r>
      <w:r>
        <w:rPr>
          <w:lang w:val="en-US"/>
        </w:rPr>
        <w:t xml:space="preserve">). This will serve </w:t>
      </w:r>
      <w:r w:rsidR="0086380A">
        <w:rPr>
          <w:lang w:val="en-US"/>
        </w:rPr>
        <w:t>2</w:t>
      </w:r>
      <w:r>
        <w:rPr>
          <w:lang w:val="en-US"/>
        </w:rPr>
        <w:t xml:space="preserve"> important purposes:</w:t>
      </w:r>
    </w:p>
    <w:p w14:paraId="0C07B3C3" w14:textId="77777777" w:rsidR="0014129B" w:rsidRDefault="00603AB1" w:rsidP="00D87D37">
      <w:pPr>
        <w:pStyle w:val="ACMABodyText"/>
        <w:numPr>
          <w:ilvl w:val="0"/>
          <w:numId w:val="8"/>
        </w:numPr>
        <w:rPr>
          <w:lang w:val="en-US"/>
        </w:rPr>
      </w:pPr>
      <w:r>
        <w:rPr>
          <w:lang w:val="en-US"/>
        </w:rPr>
        <w:t xml:space="preserve">It will assist the ACMA to comply with the spectrum licence limits direction, by identifying any ‘specified group of persons’ and establishing procedures to prevent them bidding as separate entities. </w:t>
      </w:r>
    </w:p>
    <w:p w14:paraId="1E8808BF" w14:textId="20738108" w:rsidR="0014129B" w:rsidRDefault="00603AB1" w:rsidP="00D87D37">
      <w:pPr>
        <w:pStyle w:val="ACMABodyText"/>
        <w:numPr>
          <w:ilvl w:val="0"/>
          <w:numId w:val="8"/>
        </w:numPr>
        <w:rPr>
          <w:lang w:val="en-US"/>
        </w:rPr>
      </w:pPr>
      <w:r>
        <w:rPr>
          <w:lang w:val="en-US"/>
        </w:rPr>
        <w:lastRenderedPageBreak/>
        <w:t>It will reduce the potential for collusive or strategic gaming behav</w:t>
      </w:r>
      <w:r w:rsidR="001D6510">
        <w:rPr>
          <w:lang w:val="en-US"/>
        </w:rPr>
        <w:t>i</w:t>
      </w:r>
      <w:r>
        <w:rPr>
          <w:lang w:val="en-US"/>
        </w:rPr>
        <w:t>our during the auction. An attempt by affiliated applicants to participate in the auction as separate bidders could be collusive behav</w:t>
      </w:r>
      <w:r w:rsidR="00F90CB9">
        <w:rPr>
          <w:lang w:val="en-US"/>
        </w:rPr>
        <w:t>i</w:t>
      </w:r>
      <w:r>
        <w:rPr>
          <w:lang w:val="en-US"/>
        </w:rPr>
        <w:t>our (that is, arriving at an agreement so as to strategically circumvent the allocation limits). The presence of affiliat</w:t>
      </w:r>
      <w:r w:rsidR="00BC3BF8">
        <w:rPr>
          <w:lang w:val="en-US"/>
        </w:rPr>
        <w:t>ed entities in an auction c</w:t>
      </w:r>
      <w:r>
        <w:rPr>
          <w:lang w:val="en-US"/>
        </w:rPr>
        <w:t>oul</w:t>
      </w:r>
      <w:r w:rsidR="00BC3BF8">
        <w:rPr>
          <w:lang w:val="en-US"/>
        </w:rPr>
        <w:t>d also provide more potential</w:t>
      </w:r>
      <w:r>
        <w:rPr>
          <w:lang w:val="en-US"/>
        </w:rPr>
        <w:t xml:space="preserve"> for collusion (given the connection between </w:t>
      </w:r>
      <w:r w:rsidR="00692E38">
        <w:rPr>
          <w:lang w:val="en-US"/>
        </w:rPr>
        <w:t>2</w:t>
      </w:r>
      <w:r>
        <w:rPr>
          <w:lang w:val="en-US"/>
        </w:rPr>
        <w:t xml:space="preserve"> or more of the bidding entities).</w:t>
      </w:r>
    </w:p>
    <w:p w14:paraId="63C4571C" w14:textId="77777777" w:rsidR="006A6F0C" w:rsidRDefault="006A6F0C" w:rsidP="006D0417">
      <w:pPr>
        <w:pStyle w:val="ACMABodyText"/>
        <w:rPr>
          <w:lang w:val="en-US"/>
        </w:rPr>
      </w:pPr>
      <w:r>
        <w:rPr>
          <w:lang w:val="en-US"/>
        </w:rPr>
        <w:t xml:space="preserve">Although the spectrum licence limits only apply to the regional 1800 MHz band (the spectrum in category 1), the rules around participation of affiliates </w:t>
      </w:r>
      <w:r w:rsidR="00591D52">
        <w:rPr>
          <w:lang w:val="en-US"/>
        </w:rPr>
        <w:t xml:space="preserve">apply to all participants as the ACMA considered it would be impractical to allow affiliates to participate in the auction but only bid on lots </w:t>
      </w:r>
      <w:r w:rsidR="001516D4">
        <w:rPr>
          <w:lang w:val="en-US"/>
        </w:rPr>
        <w:t xml:space="preserve">for spectrum </w:t>
      </w:r>
      <w:r w:rsidR="00591D52">
        <w:rPr>
          <w:lang w:val="en-US"/>
        </w:rPr>
        <w:t>in categories</w:t>
      </w:r>
      <w:r w:rsidR="001516D4">
        <w:rPr>
          <w:lang w:val="en-US"/>
        </w:rPr>
        <w:t xml:space="preserve"> 2 and 3</w:t>
      </w:r>
      <w:r w:rsidR="00591D52">
        <w:rPr>
          <w:lang w:val="en-US"/>
        </w:rPr>
        <w:t xml:space="preserve">. </w:t>
      </w:r>
    </w:p>
    <w:p w14:paraId="7E4EB133" w14:textId="77777777" w:rsidR="00603AB1" w:rsidRDefault="00603AB1" w:rsidP="006D0417">
      <w:pPr>
        <w:pStyle w:val="ACMABodyText"/>
        <w:rPr>
          <w:lang w:val="en-US"/>
        </w:rPr>
      </w:pPr>
      <w:r>
        <w:rPr>
          <w:lang w:val="en-US"/>
        </w:rPr>
        <w:t xml:space="preserve">This Part sets out the </w:t>
      </w:r>
      <w:r w:rsidRPr="00F045D3">
        <w:rPr>
          <w:lang w:val="en-US"/>
        </w:rPr>
        <w:t>allocation limits</w:t>
      </w:r>
      <w:r>
        <w:rPr>
          <w:lang w:val="en-US"/>
        </w:rPr>
        <w:t xml:space="preserve"> and explains the circumstances in which </w:t>
      </w:r>
      <w:r w:rsidR="001516D4">
        <w:rPr>
          <w:lang w:val="en-US"/>
        </w:rPr>
        <w:t>an</w:t>
      </w:r>
      <w:r>
        <w:rPr>
          <w:lang w:val="en-US"/>
        </w:rPr>
        <w:t xml:space="preserve"> applicant will be taken to be ‘affiliated’ with another person. Other parts of the Determination set out the specific procedures for the identification and treatment of affiliated applicants under this allocation process.</w:t>
      </w:r>
    </w:p>
    <w:p w14:paraId="2BF0DE2D" w14:textId="336ED295" w:rsidR="00603AB1" w:rsidRDefault="001516D4" w:rsidP="006D0417">
      <w:pPr>
        <w:pStyle w:val="ACMABodyText"/>
        <w:rPr>
          <w:lang w:val="en-US"/>
        </w:rPr>
      </w:pPr>
      <w:r>
        <w:rPr>
          <w:lang w:val="en-US"/>
        </w:rPr>
        <w:t>In this regard, t</w:t>
      </w:r>
      <w:r w:rsidR="00603AB1">
        <w:rPr>
          <w:lang w:val="en-US"/>
        </w:rPr>
        <w:t xml:space="preserve">he provisions in Part 4 </w:t>
      </w:r>
      <w:r w:rsidR="005C41C8">
        <w:rPr>
          <w:lang w:val="en-US"/>
        </w:rPr>
        <w:t xml:space="preserve">(sections 4.9 to 4.12) </w:t>
      </w:r>
      <w:r w:rsidR="00603AB1">
        <w:rPr>
          <w:lang w:val="en-US"/>
        </w:rPr>
        <w:t xml:space="preserve">include procedures to identify and resolve any affiliations between applicants prior to the auction commencing. </w:t>
      </w:r>
      <w:r w:rsidR="00890D00">
        <w:rPr>
          <w:lang w:val="en-US"/>
        </w:rPr>
        <w:t xml:space="preserve">Division 4 of Part 6 prohibits, and sets out procedures for identifying and dealing with, affiliations that occur during the auction. </w:t>
      </w:r>
      <w:r w:rsidR="00BC3BF8">
        <w:rPr>
          <w:lang w:val="en-US"/>
        </w:rPr>
        <w:t>That Division also</w:t>
      </w:r>
      <w:r w:rsidR="00603AB1">
        <w:rPr>
          <w:lang w:val="en-US"/>
        </w:rPr>
        <w:t xml:space="preserve"> includ</w:t>
      </w:r>
      <w:r w:rsidR="00890D00">
        <w:rPr>
          <w:lang w:val="en-US"/>
        </w:rPr>
        <w:t>es</w:t>
      </w:r>
      <w:r w:rsidR="00603AB1">
        <w:rPr>
          <w:lang w:val="en-US"/>
        </w:rPr>
        <w:t xml:space="preserve"> an ongoing reporting requirement for bidders to report any suspected affiliation with another bidder immediately to the ACMA. </w:t>
      </w:r>
    </w:p>
    <w:p w14:paraId="52882682" w14:textId="77777777" w:rsidR="00603AB1" w:rsidRDefault="00767E8E" w:rsidP="00E65B0D">
      <w:pPr>
        <w:pStyle w:val="ACMABodyText"/>
        <w:rPr>
          <w:lang w:val="en-US"/>
        </w:rPr>
      </w:pPr>
      <w:r>
        <w:rPr>
          <w:lang w:val="en-US"/>
        </w:rPr>
        <w:t xml:space="preserve">In </w:t>
      </w:r>
      <w:r w:rsidR="00603AB1">
        <w:rPr>
          <w:lang w:val="en-US"/>
        </w:rPr>
        <w:t xml:space="preserve">Part </w:t>
      </w:r>
      <w:r w:rsidR="00F90CB9">
        <w:rPr>
          <w:lang w:val="en-US"/>
        </w:rPr>
        <w:t>7</w:t>
      </w:r>
      <w:r>
        <w:rPr>
          <w:lang w:val="en-US"/>
        </w:rPr>
        <w:t>, sections 7.3, 7.4 and 7.5</w:t>
      </w:r>
      <w:r w:rsidR="00603AB1">
        <w:rPr>
          <w:lang w:val="en-US"/>
        </w:rPr>
        <w:t xml:space="preserve"> deal with situation</w:t>
      </w:r>
      <w:r w:rsidR="00854BB8">
        <w:rPr>
          <w:lang w:val="en-US"/>
        </w:rPr>
        <w:t>s</w:t>
      </w:r>
      <w:r w:rsidR="00603AB1">
        <w:rPr>
          <w:lang w:val="en-US"/>
        </w:rPr>
        <w:t xml:space="preserve"> where winning bidders form an affiliation </w:t>
      </w:r>
      <w:r w:rsidR="00603AB1" w:rsidRPr="007F404A">
        <w:rPr>
          <w:i/>
          <w:lang w:val="en-US"/>
        </w:rPr>
        <w:t xml:space="preserve">after </w:t>
      </w:r>
      <w:r w:rsidR="00603AB1">
        <w:rPr>
          <w:lang w:val="en-US"/>
        </w:rPr>
        <w:t xml:space="preserve">the end of the auction but </w:t>
      </w:r>
      <w:r w:rsidR="00603AB1" w:rsidRPr="007F404A">
        <w:rPr>
          <w:i/>
          <w:lang w:val="en-US"/>
        </w:rPr>
        <w:t>before</w:t>
      </w:r>
      <w:r w:rsidR="00603AB1">
        <w:rPr>
          <w:lang w:val="en-US"/>
        </w:rPr>
        <w:t xml:space="preserve"> any spectrum licences are issued. If an affiliation is formed in these circumstances, th</w:t>
      </w:r>
      <w:r>
        <w:rPr>
          <w:lang w:val="en-US"/>
        </w:rPr>
        <w:t>ese provisions</w:t>
      </w:r>
      <w:r w:rsidR="00603AB1">
        <w:rPr>
          <w:lang w:val="en-US"/>
        </w:rPr>
        <w:t xml:space="preserve"> set out how spectrum licences will be issued to ensure that compliance with the spectrum licence limits directions is maintained.</w:t>
      </w:r>
      <w:r w:rsidR="007E5A2F">
        <w:rPr>
          <w:lang w:val="en-US"/>
        </w:rPr>
        <w:t xml:space="preserve">   </w:t>
      </w:r>
    </w:p>
    <w:p w14:paraId="4C3A31FA" w14:textId="77777777" w:rsidR="00603AB1" w:rsidRPr="00181920" w:rsidRDefault="00603AB1" w:rsidP="006D0417">
      <w:pPr>
        <w:pStyle w:val="ACMAHeading3"/>
      </w:pPr>
      <w:bookmarkStart w:id="6" w:name="OLE_LINK30"/>
      <w:bookmarkStart w:id="7" w:name="OLE_LINK31"/>
      <w:r w:rsidRPr="00181920">
        <w:t xml:space="preserve">Section </w:t>
      </w:r>
      <w:r>
        <w:t>2.1</w:t>
      </w:r>
      <w:r w:rsidRPr="00181920">
        <w:tab/>
      </w:r>
      <w:r>
        <w:t xml:space="preserve">Meaning of </w:t>
      </w:r>
      <w:r w:rsidRPr="003B200E">
        <w:rPr>
          <w:i/>
        </w:rPr>
        <w:t>allocation limits</w:t>
      </w:r>
    </w:p>
    <w:p w14:paraId="6F9C1B1C" w14:textId="77777777" w:rsidR="00603AB1" w:rsidRPr="006336AF" w:rsidRDefault="00603AB1" w:rsidP="006D0417">
      <w:pPr>
        <w:pStyle w:val="ACMABodyText"/>
      </w:pPr>
      <w:r>
        <w:t xml:space="preserve">This section defines </w:t>
      </w:r>
      <w:r w:rsidRPr="006336AF">
        <w:t xml:space="preserve">the limits on the aggregate </w:t>
      </w:r>
      <w:r>
        <w:t xml:space="preserve">of the </w:t>
      </w:r>
      <w:r w:rsidRPr="006336AF">
        <w:t>parts of the spectrum that, as a result of the allocation of spectrum licences under th</w:t>
      </w:r>
      <w:r w:rsidR="00B95061">
        <w:t>e</w:t>
      </w:r>
      <w:r w:rsidRPr="006336AF">
        <w:t xml:space="preserve"> Determination, may be used by </w:t>
      </w:r>
      <w:r>
        <w:t>any one person or specified groups of persons</w:t>
      </w:r>
      <w:r w:rsidRPr="006336AF">
        <w:t>.</w:t>
      </w:r>
    </w:p>
    <w:p w14:paraId="52C8F276" w14:textId="77777777" w:rsidR="00603AB1" w:rsidRPr="006336AF" w:rsidRDefault="00603AB1" w:rsidP="006D0417">
      <w:pPr>
        <w:pStyle w:val="ACMABodyText"/>
      </w:pPr>
      <w:r w:rsidRPr="006336AF">
        <w:t>Specifically, this section sets out th</w:t>
      </w:r>
      <w:r>
        <w:t>e</w:t>
      </w:r>
      <w:r w:rsidRPr="006336AF">
        <w:t xml:space="preserve"> allocation limit</w:t>
      </w:r>
      <w:r w:rsidR="000252F9">
        <w:t>s</w:t>
      </w:r>
      <w:r w:rsidRPr="006336AF">
        <w:t xml:space="preserve"> that </w:t>
      </w:r>
      <w:r>
        <w:t>appl</w:t>
      </w:r>
      <w:r w:rsidR="000252F9">
        <w:t>y</w:t>
      </w:r>
      <w:r>
        <w:t xml:space="preserve"> to</w:t>
      </w:r>
      <w:r w:rsidRPr="006336AF">
        <w:t xml:space="preserve"> each applicant</w:t>
      </w:r>
      <w:r>
        <w:t xml:space="preserve"> or bidder</w:t>
      </w:r>
      <w:r w:rsidRPr="006336AF">
        <w:t xml:space="preserve"> and their associates </w:t>
      </w:r>
      <w:r>
        <w:t xml:space="preserve">(and affiliates) </w:t>
      </w:r>
      <w:r w:rsidRPr="006336AF">
        <w:t>under th</w:t>
      </w:r>
      <w:r w:rsidR="00B95061">
        <w:t>e</w:t>
      </w:r>
      <w:r w:rsidRPr="006336AF">
        <w:t xml:space="preserve"> Determination, which </w:t>
      </w:r>
      <w:r w:rsidR="000252F9">
        <w:t>are</w:t>
      </w:r>
      <w:r w:rsidRPr="006336AF">
        <w:t>:</w:t>
      </w:r>
    </w:p>
    <w:p w14:paraId="020A8B49" w14:textId="77777777" w:rsidR="00DF231E" w:rsidRDefault="00E75EFC" w:rsidP="00C63B87">
      <w:pPr>
        <w:pStyle w:val="ZR2"/>
        <w:numPr>
          <w:ilvl w:val="0"/>
          <w:numId w:val="30"/>
        </w:numPr>
        <w:rPr>
          <w:rFonts w:ascii="Arial" w:hAnsi="Arial" w:cs="Arial"/>
          <w:sz w:val="20"/>
          <w:szCs w:val="20"/>
        </w:rPr>
      </w:pPr>
      <w:r w:rsidRPr="00C63B87">
        <w:rPr>
          <w:rFonts w:ascii="Arial" w:hAnsi="Arial" w:cs="Arial"/>
          <w:sz w:val="20"/>
          <w:szCs w:val="20"/>
        </w:rPr>
        <w:t>25</w:t>
      </w:r>
      <w:r w:rsidR="00603AB1" w:rsidRPr="00C63B87">
        <w:rPr>
          <w:rFonts w:ascii="Arial" w:hAnsi="Arial" w:cs="Arial"/>
          <w:sz w:val="20"/>
          <w:szCs w:val="20"/>
        </w:rPr>
        <w:t xml:space="preserve"> MHz of spectrum in the frequency band </w:t>
      </w:r>
      <w:r w:rsidR="00547A82" w:rsidRPr="00110E74">
        <w:rPr>
          <w:rFonts w:ascii="Arial" w:hAnsi="Arial" w:cs="Arial"/>
          <w:sz w:val="20"/>
          <w:szCs w:val="20"/>
        </w:rPr>
        <w:t>1725</w:t>
      </w:r>
      <w:r w:rsidR="00DF231E">
        <w:rPr>
          <w:rFonts w:ascii="Arial" w:hAnsi="Arial" w:cs="Arial"/>
          <w:sz w:val="20"/>
          <w:szCs w:val="20"/>
        </w:rPr>
        <w:t xml:space="preserve"> MHz </w:t>
      </w:r>
      <w:r w:rsidR="00547A82" w:rsidRPr="00110E74">
        <w:rPr>
          <w:rFonts w:ascii="Arial" w:hAnsi="Arial" w:cs="Arial"/>
          <w:sz w:val="20"/>
          <w:szCs w:val="20"/>
        </w:rPr>
        <w:t>– 1785 MHz</w:t>
      </w:r>
      <w:r w:rsidR="00DF231E">
        <w:rPr>
          <w:rFonts w:ascii="Arial" w:hAnsi="Arial" w:cs="Arial"/>
          <w:sz w:val="20"/>
          <w:szCs w:val="20"/>
        </w:rPr>
        <w:t>;</w:t>
      </w:r>
    </w:p>
    <w:p w14:paraId="698E3101" w14:textId="77777777" w:rsidR="00547A82" w:rsidRDefault="00DF231E" w:rsidP="00C63B87">
      <w:pPr>
        <w:pStyle w:val="ZR2"/>
        <w:numPr>
          <w:ilvl w:val="0"/>
          <w:numId w:val="30"/>
        </w:numPr>
        <w:rPr>
          <w:rFonts w:ascii="Arial" w:hAnsi="Arial" w:cs="Arial"/>
          <w:sz w:val="20"/>
          <w:szCs w:val="20"/>
        </w:rPr>
      </w:pPr>
      <w:r>
        <w:rPr>
          <w:rFonts w:ascii="Arial" w:hAnsi="Arial" w:cs="Arial"/>
          <w:sz w:val="20"/>
          <w:szCs w:val="20"/>
        </w:rPr>
        <w:t xml:space="preserve">25 MHz of spectrum in the frequency band </w:t>
      </w:r>
      <w:r w:rsidR="00547A82" w:rsidRPr="00110E74">
        <w:rPr>
          <w:rFonts w:ascii="Arial" w:hAnsi="Arial" w:cs="Arial"/>
          <w:sz w:val="20"/>
          <w:szCs w:val="20"/>
        </w:rPr>
        <w:t>1820</w:t>
      </w:r>
      <w:r>
        <w:rPr>
          <w:rFonts w:ascii="Arial" w:hAnsi="Arial" w:cs="Arial"/>
          <w:sz w:val="20"/>
          <w:szCs w:val="20"/>
        </w:rPr>
        <w:t xml:space="preserve"> MHz </w:t>
      </w:r>
      <w:r w:rsidR="00547A82" w:rsidRPr="00110E74">
        <w:rPr>
          <w:rFonts w:ascii="Arial" w:hAnsi="Arial" w:cs="Arial"/>
          <w:sz w:val="20"/>
          <w:szCs w:val="20"/>
        </w:rPr>
        <w:t>– 1880 MHz</w:t>
      </w:r>
      <w:r w:rsidR="00767E8E">
        <w:rPr>
          <w:rFonts w:ascii="Arial" w:hAnsi="Arial" w:cs="Arial"/>
          <w:sz w:val="20"/>
          <w:szCs w:val="20"/>
        </w:rPr>
        <w:t>;</w:t>
      </w:r>
    </w:p>
    <w:p w14:paraId="0EFAEA21" w14:textId="6CA084D0" w:rsidR="00DF231E" w:rsidRPr="00C63B87" w:rsidRDefault="00DF231E" w:rsidP="00C63B87">
      <w:pPr>
        <w:pStyle w:val="ZR2"/>
        <w:ind w:left="360" w:hanging="360"/>
        <w:rPr>
          <w:rFonts w:ascii="Arial" w:hAnsi="Arial" w:cs="Arial"/>
          <w:i/>
          <w:sz w:val="20"/>
          <w:szCs w:val="20"/>
        </w:rPr>
      </w:pPr>
      <w:r>
        <w:rPr>
          <w:rFonts w:ascii="Arial" w:hAnsi="Arial" w:cs="Arial"/>
          <w:sz w:val="20"/>
          <w:szCs w:val="20"/>
        </w:rPr>
        <w:t xml:space="preserve">in the </w:t>
      </w:r>
      <w:r w:rsidR="00C80D9E">
        <w:rPr>
          <w:rFonts w:ascii="Arial" w:hAnsi="Arial" w:cs="Arial"/>
          <w:sz w:val="20"/>
          <w:szCs w:val="20"/>
        </w:rPr>
        <w:t xml:space="preserve">geographic </w:t>
      </w:r>
      <w:r>
        <w:rPr>
          <w:rFonts w:ascii="Arial" w:hAnsi="Arial" w:cs="Arial"/>
          <w:sz w:val="20"/>
          <w:szCs w:val="20"/>
        </w:rPr>
        <w:t>area</w:t>
      </w:r>
      <w:r w:rsidR="000252F9">
        <w:rPr>
          <w:rFonts w:ascii="Arial" w:hAnsi="Arial" w:cs="Arial"/>
          <w:sz w:val="20"/>
          <w:szCs w:val="20"/>
        </w:rPr>
        <w:t>s</w:t>
      </w:r>
      <w:r>
        <w:rPr>
          <w:rFonts w:ascii="Arial" w:hAnsi="Arial" w:cs="Arial"/>
          <w:sz w:val="20"/>
          <w:szCs w:val="20"/>
        </w:rPr>
        <w:t xml:space="preserve"> specified in </w:t>
      </w:r>
      <w:r w:rsidR="00C80D9E">
        <w:rPr>
          <w:rFonts w:ascii="Arial" w:hAnsi="Arial" w:cs="Arial"/>
          <w:sz w:val="20"/>
          <w:szCs w:val="20"/>
        </w:rPr>
        <w:t xml:space="preserve">the table </w:t>
      </w:r>
      <w:r w:rsidR="00BC3BF8">
        <w:rPr>
          <w:rFonts w:ascii="Arial" w:hAnsi="Arial" w:cs="Arial"/>
          <w:sz w:val="20"/>
          <w:szCs w:val="20"/>
        </w:rPr>
        <w:t>in</w:t>
      </w:r>
      <w:r w:rsidR="00C80D9E">
        <w:rPr>
          <w:rFonts w:ascii="Arial" w:hAnsi="Arial" w:cs="Arial"/>
          <w:sz w:val="20"/>
          <w:szCs w:val="20"/>
        </w:rPr>
        <w:t xml:space="preserve"> </w:t>
      </w:r>
      <w:r w:rsidR="000252F9">
        <w:rPr>
          <w:rFonts w:ascii="Arial" w:hAnsi="Arial" w:cs="Arial"/>
          <w:sz w:val="20"/>
          <w:szCs w:val="20"/>
        </w:rPr>
        <w:t xml:space="preserve">clause 1 of </w:t>
      </w:r>
      <w:r>
        <w:rPr>
          <w:rFonts w:ascii="Arial" w:hAnsi="Arial" w:cs="Arial"/>
          <w:sz w:val="20"/>
          <w:szCs w:val="20"/>
        </w:rPr>
        <w:t xml:space="preserve">Schedule 1 </w:t>
      </w:r>
      <w:r w:rsidR="000252F9">
        <w:rPr>
          <w:rFonts w:ascii="Arial" w:hAnsi="Arial" w:cs="Arial"/>
          <w:sz w:val="20"/>
          <w:szCs w:val="20"/>
        </w:rPr>
        <w:t>to</w:t>
      </w:r>
      <w:r>
        <w:rPr>
          <w:rFonts w:ascii="Arial" w:hAnsi="Arial" w:cs="Arial"/>
          <w:sz w:val="20"/>
          <w:szCs w:val="20"/>
        </w:rPr>
        <w:t xml:space="preserve"> the re-allocation declaration.</w:t>
      </w:r>
    </w:p>
    <w:p w14:paraId="4AF4BAA5" w14:textId="5CFA5D80" w:rsidR="00603AB1" w:rsidRDefault="00603AB1" w:rsidP="006A2224">
      <w:pPr>
        <w:pStyle w:val="ACMABodyText"/>
      </w:pPr>
      <w:r>
        <w:t xml:space="preserve">The ACMA </w:t>
      </w:r>
      <w:r w:rsidR="00BC3BF8">
        <w:t>has divided the spectrum</w:t>
      </w:r>
      <w:r w:rsidR="000F7445">
        <w:t xml:space="preserve"> </w:t>
      </w:r>
      <w:r>
        <w:t xml:space="preserve">into regional lots. This means that </w:t>
      </w:r>
      <w:r w:rsidR="00406D06">
        <w:t>applicants</w:t>
      </w:r>
      <w:r>
        <w:t xml:space="preserve"> will be able to acquire up to </w:t>
      </w:r>
      <w:r w:rsidR="00C86697">
        <w:t xml:space="preserve">2 x </w:t>
      </w:r>
      <w:r w:rsidR="00925D6B">
        <w:t>25 M</w:t>
      </w:r>
      <w:r w:rsidR="00406D06">
        <w:t>H</w:t>
      </w:r>
      <w:r w:rsidR="00925D6B">
        <w:t>z</w:t>
      </w:r>
      <w:r w:rsidR="00DF7CD8">
        <w:t xml:space="preserve"> </w:t>
      </w:r>
      <w:r>
        <w:t xml:space="preserve">of spectrum in </w:t>
      </w:r>
      <w:r w:rsidRPr="007F404A">
        <w:rPr>
          <w:i/>
        </w:rPr>
        <w:t>each</w:t>
      </w:r>
      <w:r>
        <w:t xml:space="preserve"> </w:t>
      </w:r>
      <w:r w:rsidR="00925D6B">
        <w:t>of</w:t>
      </w:r>
      <w:r w:rsidR="000F7445">
        <w:t xml:space="preserve"> the</w:t>
      </w:r>
      <w:r w:rsidR="00925D6B">
        <w:t xml:space="preserve"> 12 </w:t>
      </w:r>
      <w:r>
        <w:t>geographic region</w:t>
      </w:r>
      <w:r w:rsidR="00925D6B">
        <w:t>s</w:t>
      </w:r>
      <w:r w:rsidR="000F7445">
        <w:t xml:space="preserve"> for these bands</w:t>
      </w:r>
      <w:r>
        <w:t>. For more information</w:t>
      </w:r>
      <w:r w:rsidRPr="005E3A8C">
        <w:t xml:space="preserve">, see the </w:t>
      </w:r>
      <w:r w:rsidR="00C80D9E">
        <w:t>m</w:t>
      </w:r>
      <w:r w:rsidRPr="005E3A8C">
        <w:t xml:space="preserve">arketing </w:t>
      </w:r>
      <w:r w:rsidR="00C80D9E">
        <w:t>p</w:t>
      </w:r>
      <w:r w:rsidRPr="005E3A8C">
        <w:t xml:space="preserve">lan, and </w:t>
      </w:r>
      <w:r w:rsidR="00BC3BF8">
        <w:t xml:space="preserve">its </w:t>
      </w:r>
      <w:r w:rsidRPr="005E3A8C">
        <w:t>associated explanatory statement</w:t>
      </w:r>
      <w:r>
        <w:t>.</w:t>
      </w:r>
    </w:p>
    <w:p w14:paraId="29A930CC" w14:textId="77777777" w:rsidR="00603AB1" w:rsidRPr="00181920" w:rsidRDefault="00603AB1" w:rsidP="006D0417">
      <w:pPr>
        <w:pStyle w:val="ACMAHeading3"/>
      </w:pPr>
      <w:r w:rsidRPr="00181920">
        <w:t xml:space="preserve">Section </w:t>
      </w:r>
      <w:r>
        <w:t xml:space="preserve">2.2 </w:t>
      </w:r>
      <w:r>
        <w:tab/>
        <w:t xml:space="preserve">Meaning of </w:t>
      </w:r>
      <w:r w:rsidRPr="00BD7C26">
        <w:rPr>
          <w:i/>
        </w:rPr>
        <w:t>associate</w:t>
      </w:r>
    </w:p>
    <w:p w14:paraId="5AC1C851" w14:textId="77777777" w:rsidR="00603AB1" w:rsidRDefault="00603AB1" w:rsidP="006D0417">
      <w:pPr>
        <w:pStyle w:val="ACMABodyText"/>
      </w:pPr>
      <w:r>
        <w:t xml:space="preserve">The Minister has directed the ACMA to apply allocation limits on the amount of spectrum </w:t>
      </w:r>
      <w:r w:rsidR="009C4ACC">
        <w:t xml:space="preserve">in the regional 1800 MHz band </w:t>
      </w:r>
      <w:r>
        <w:t>that can be used by a person or specified group of persons as a result of the allocation of spectrum licences under th</w:t>
      </w:r>
      <w:r w:rsidR="000252F9">
        <w:t>e</w:t>
      </w:r>
      <w:r>
        <w:t xml:space="preserve"> Determination. S</w:t>
      </w:r>
      <w:r w:rsidR="005D48D7">
        <w:t>ubs</w:t>
      </w:r>
      <w:r>
        <w:t>ection 1.4</w:t>
      </w:r>
      <w:r w:rsidR="005D48D7">
        <w:t>(1)</w:t>
      </w:r>
      <w:r>
        <w:t xml:space="preserve"> of the Determination defines ‘specified group of persons’ as the applicant or bidder and the applicant’s or bidder’s ‘associates’. </w:t>
      </w:r>
      <w:r w:rsidR="00406D06">
        <w:t>S</w:t>
      </w:r>
      <w:r>
        <w:t>ection</w:t>
      </w:r>
      <w:r w:rsidR="00406D06">
        <w:t xml:space="preserve"> 2.2 then</w:t>
      </w:r>
      <w:r>
        <w:t xml:space="preserve"> defines the term </w:t>
      </w:r>
      <w:r w:rsidRPr="00BD7C26">
        <w:rPr>
          <w:i/>
        </w:rPr>
        <w:t>associate</w:t>
      </w:r>
      <w:r>
        <w:t xml:space="preserve"> for the purposes of determining who is within a specified group of persons, for the purpose of complying with the allocation limits. This includes any person that </w:t>
      </w:r>
      <w:r w:rsidR="00406D06">
        <w:t>is a</w:t>
      </w:r>
      <w:r>
        <w:t xml:space="preserve"> party to a ‘relevant agreement’ with the applicant or bidder as defined under subsection 2.2(2).</w:t>
      </w:r>
    </w:p>
    <w:p w14:paraId="572EACD5" w14:textId="57A9ED31" w:rsidR="00603AB1" w:rsidRDefault="00603AB1" w:rsidP="006D0417">
      <w:pPr>
        <w:pStyle w:val="ACMABodyText"/>
      </w:pPr>
      <w:r w:rsidRPr="00C63B87">
        <w:t xml:space="preserve">According to the explanatory statement for the spectrum licence limits direction, the inclusion of a ‘relevant agreement’ is designed to cover situations where there may otherwise be no formal associate </w:t>
      </w:r>
      <w:r w:rsidRPr="00C63B87">
        <w:lastRenderedPageBreak/>
        <w:t xml:space="preserve">relationship existing between </w:t>
      </w:r>
      <w:r w:rsidR="00692E38">
        <w:t>2 p</w:t>
      </w:r>
      <w:r w:rsidRPr="00C63B87">
        <w:t>ersons, but one person (the first person) has agreed that another</w:t>
      </w:r>
      <w:r w:rsidR="007A1051">
        <w:t xml:space="preserve"> person</w:t>
      </w:r>
      <w:r w:rsidRPr="00C63B87">
        <w:t xml:space="preserve"> would acquire spectrum ostensibly in their own right, but in actuality would be for the benefit of the first person. Roaming services agreements between mobile telecommunications carriers, and agreements between carriers provided for under the </w:t>
      </w:r>
      <w:r w:rsidRPr="00C63B87">
        <w:rPr>
          <w:i/>
        </w:rPr>
        <w:t xml:space="preserve">Telecommunications Act 1997 </w:t>
      </w:r>
      <w:r w:rsidRPr="00C63B87">
        <w:t xml:space="preserve">or Part XIC of the </w:t>
      </w:r>
      <w:r w:rsidRPr="00C63B87">
        <w:rPr>
          <w:i/>
        </w:rPr>
        <w:t>Competition and Consumer Act</w:t>
      </w:r>
      <w:r w:rsidR="007A1051">
        <w:rPr>
          <w:i/>
        </w:rPr>
        <w:t xml:space="preserve"> 2010</w:t>
      </w:r>
      <w:r w:rsidRPr="007E36D0">
        <w:t>,</w:t>
      </w:r>
      <w:r w:rsidRPr="007A1051">
        <w:t xml:space="preserve"> </w:t>
      </w:r>
      <w:r w:rsidRPr="00C63B87">
        <w:t>are not included in the meaning of ‘relevant agreement’ for the purposes of defining an ‘associate’. Th</w:t>
      </w:r>
      <w:r w:rsidR="00406D06" w:rsidRPr="00C63B87">
        <w:t>e</w:t>
      </w:r>
      <w:r w:rsidRPr="00C63B87">
        <w:t xml:space="preserve"> definition of the term </w:t>
      </w:r>
      <w:r w:rsidRPr="00C63B87">
        <w:rPr>
          <w:i/>
        </w:rPr>
        <w:t xml:space="preserve">associate </w:t>
      </w:r>
      <w:r w:rsidRPr="00C63B87">
        <w:t>in the Determination is consistent with the definition employed in the spectrum licence limits direction. More information on the definition can be found in the explanatory statement for the spectrum licence limits direction.</w:t>
      </w:r>
    </w:p>
    <w:p w14:paraId="34A94650" w14:textId="77777777" w:rsidR="00603AB1" w:rsidRDefault="00603AB1" w:rsidP="003315FB">
      <w:pPr>
        <w:pStyle w:val="ACMABodyText"/>
        <w:tabs>
          <w:tab w:val="left" w:pos="1701"/>
        </w:tabs>
        <w:rPr>
          <w:b/>
        </w:rPr>
      </w:pPr>
      <w:r w:rsidRPr="006E7456">
        <w:rPr>
          <w:b/>
        </w:rPr>
        <w:t xml:space="preserve">Section 2.3 </w:t>
      </w:r>
      <w:r>
        <w:rPr>
          <w:b/>
        </w:rPr>
        <w:tab/>
      </w:r>
      <w:r w:rsidRPr="006E7456">
        <w:rPr>
          <w:b/>
        </w:rPr>
        <w:t>Affiliation between applicants</w:t>
      </w:r>
      <w:r>
        <w:rPr>
          <w:b/>
        </w:rPr>
        <w:t xml:space="preserve"> or bidders</w:t>
      </w:r>
    </w:p>
    <w:p w14:paraId="5CFB4A38" w14:textId="77777777" w:rsidR="00603AB1" w:rsidRDefault="00603AB1" w:rsidP="006D0417">
      <w:pPr>
        <w:pStyle w:val="ACMABodyText"/>
      </w:pPr>
      <w:r>
        <w:t>Under Part 4 of th</w:t>
      </w:r>
      <w:r w:rsidR="000252F9">
        <w:t>e</w:t>
      </w:r>
      <w:r>
        <w:t xml:space="preserve"> Determination, the ACMA has determined procedures that </w:t>
      </w:r>
      <w:r w:rsidR="0069029C">
        <w:t xml:space="preserve">aim to </w:t>
      </w:r>
      <w:r>
        <w:t xml:space="preserve">ensure </w:t>
      </w:r>
      <w:r w:rsidR="0069029C">
        <w:t xml:space="preserve">that </w:t>
      </w:r>
      <w:r>
        <w:t xml:space="preserve">affiliated applicants or bidders do not participate in the </w:t>
      </w:r>
      <w:r w:rsidR="007A1051">
        <w:t>allocation process</w:t>
      </w:r>
      <w:r>
        <w:t xml:space="preserve"> as separate bidding entities. These procedures have the effect of helping to ensure that the allocation limits set out in th</w:t>
      </w:r>
      <w:r w:rsidR="000252F9">
        <w:t>e</w:t>
      </w:r>
      <w:r>
        <w:t xml:space="preserve"> Determination are not exceeded.</w:t>
      </w:r>
    </w:p>
    <w:p w14:paraId="2F5B3A69" w14:textId="6B67A968" w:rsidR="00603AB1" w:rsidRPr="006336AF" w:rsidRDefault="00603AB1" w:rsidP="006336AF">
      <w:pPr>
        <w:pStyle w:val="ACMABodyText"/>
      </w:pPr>
      <w:r>
        <w:t xml:space="preserve">This section explains when </w:t>
      </w:r>
      <w:r w:rsidR="0086380A">
        <w:t>2</w:t>
      </w:r>
      <w:r>
        <w:t xml:space="preserve"> applicants or bidders will be taken to be affiliated, and that affiliated applicants or bidders will be taken to be a single specified group of persons for the purpose of applying the allocation limits. </w:t>
      </w:r>
      <w:r w:rsidR="007A1051">
        <w:t xml:space="preserve">Under </w:t>
      </w:r>
      <w:r w:rsidR="00BC3BF8">
        <w:t>this</w:t>
      </w:r>
      <w:r w:rsidR="007A1051">
        <w:t xml:space="preserve"> section, </w:t>
      </w:r>
      <w:r w:rsidR="00697B04">
        <w:t>2</w:t>
      </w:r>
      <w:r>
        <w:t xml:space="preserve"> applicants or bidders are affiliated if they are associates of each other or they have an associate in common.  An example would be where </w:t>
      </w:r>
      <w:r w:rsidR="00697B04">
        <w:t>2</w:t>
      </w:r>
      <w:r>
        <w:t xml:space="preserve"> applicants or bid</w:t>
      </w:r>
      <w:r w:rsidR="00BC3BF8">
        <w:t>ders have a director in common</w:t>
      </w:r>
      <w:r>
        <w:t>. This is included in order to comply with subsection 3(3) of the spectrum licence limits direction.</w:t>
      </w:r>
    </w:p>
    <w:p w14:paraId="59DC8F7B" w14:textId="77777777" w:rsidR="00603AB1" w:rsidRPr="002C5D72" w:rsidRDefault="00603AB1" w:rsidP="003315FB">
      <w:pPr>
        <w:pStyle w:val="Divisionheadinglevel"/>
        <w:ind w:left="1701" w:hanging="1701"/>
        <w:rPr>
          <w:sz w:val="20"/>
        </w:rPr>
      </w:pPr>
      <w:r w:rsidRPr="003B200E">
        <w:rPr>
          <w:sz w:val="20"/>
        </w:rPr>
        <w:t xml:space="preserve">Section 2.4 </w:t>
      </w:r>
      <w:r w:rsidRPr="003B200E">
        <w:rPr>
          <w:sz w:val="20"/>
        </w:rPr>
        <w:tab/>
        <w:t>Information relevant to considering whether applicants or bidders are affiliated</w:t>
      </w:r>
    </w:p>
    <w:p w14:paraId="7D794A81" w14:textId="77777777" w:rsidR="00603AB1" w:rsidRDefault="00603AB1" w:rsidP="00194092">
      <w:pPr>
        <w:pStyle w:val="ACMABodyText"/>
      </w:pPr>
      <w:r>
        <w:t xml:space="preserve">This section sets out what matters the ACMA will take into account in considering whether an affiliation exists between </w:t>
      </w:r>
      <w:r w:rsidR="00697B04">
        <w:t>2</w:t>
      </w:r>
      <w:r>
        <w:t xml:space="preserve"> or more applicants or </w:t>
      </w:r>
      <w:r w:rsidRPr="00A21A76">
        <w:t>bidders</w:t>
      </w:r>
      <w:r w:rsidRPr="00143C29">
        <w:t>.</w:t>
      </w:r>
      <w:r>
        <w:rPr>
          <w:b/>
        </w:rPr>
        <w:t xml:space="preserve"> </w:t>
      </w:r>
      <w:r>
        <w:t xml:space="preserve">This section does not limit the matters that the ACMA may take into account in determining whether </w:t>
      </w:r>
      <w:r w:rsidR="00697B04">
        <w:t>2</w:t>
      </w:r>
      <w:r>
        <w:t xml:space="preserve"> or more applicants </w:t>
      </w:r>
      <w:r w:rsidR="0059462D">
        <w:t xml:space="preserve">or bidders </w:t>
      </w:r>
      <w:r>
        <w:t>are affiliated.</w:t>
      </w:r>
      <w:r>
        <w:rPr>
          <w:b/>
        </w:rPr>
        <w:t xml:space="preserve"> </w:t>
      </w:r>
    </w:p>
    <w:p w14:paraId="312C3B7D" w14:textId="52427A34" w:rsidR="00603AB1" w:rsidRPr="00BC3BF8" w:rsidRDefault="00BC3BF8" w:rsidP="00A21A76">
      <w:pPr>
        <w:pStyle w:val="Divisionheadinglevel"/>
        <w:tabs>
          <w:tab w:val="left" w:pos="1843"/>
        </w:tabs>
        <w:ind w:left="1701" w:hanging="1701"/>
        <w:rPr>
          <w:sz w:val="20"/>
        </w:rPr>
      </w:pPr>
      <w:r>
        <w:rPr>
          <w:sz w:val="20"/>
        </w:rPr>
        <w:t>PART</w:t>
      </w:r>
      <w:r w:rsidR="00603AB1" w:rsidRPr="00BC3BF8">
        <w:rPr>
          <w:sz w:val="20"/>
        </w:rPr>
        <w:t xml:space="preserve"> 3 </w:t>
      </w:r>
      <w:r w:rsidR="00603AB1" w:rsidRPr="00BC3BF8">
        <w:rPr>
          <w:sz w:val="20"/>
        </w:rPr>
        <w:tab/>
      </w:r>
      <w:r w:rsidR="00603AB1" w:rsidRPr="00BC3BF8">
        <w:rPr>
          <w:caps/>
          <w:sz w:val="20"/>
        </w:rPr>
        <w:t>Confidentiality</w:t>
      </w:r>
      <w:r w:rsidR="008E6D8E" w:rsidRPr="00BC3BF8">
        <w:rPr>
          <w:caps/>
          <w:sz w:val="20"/>
        </w:rPr>
        <w:t xml:space="preserve"> </w:t>
      </w:r>
    </w:p>
    <w:p w14:paraId="08F2F15F" w14:textId="77777777" w:rsidR="00F06271" w:rsidRDefault="00603AB1" w:rsidP="00A21A76">
      <w:pPr>
        <w:pStyle w:val="Partheadinglevel"/>
        <w:spacing w:before="80" w:after="120" w:line="280" w:lineRule="atLeast"/>
        <w:rPr>
          <w:rFonts w:cs="Arial"/>
          <w:b w:val="0"/>
          <w:bCs w:val="0"/>
          <w:caps w:val="0"/>
          <w:snapToGrid w:val="0"/>
          <w:sz w:val="20"/>
          <w:szCs w:val="20"/>
        </w:rPr>
      </w:pPr>
      <w:r w:rsidRPr="00ED322D">
        <w:rPr>
          <w:rFonts w:cs="Arial"/>
          <w:b w:val="0"/>
          <w:bCs w:val="0"/>
          <w:caps w:val="0"/>
          <w:snapToGrid w:val="0"/>
          <w:sz w:val="20"/>
          <w:szCs w:val="20"/>
        </w:rPr>
        <w:t>T</w:t>
      </w:r>
      <w:r>
        <w:rPr>
          <w:rFonts w:cs="Arial"/>
          <w:b w:val="0"/>
          <w:bCs w:val="0"/>
          <w:caps w:val="0"/>
          <w:snapToGrid w:val="0"/>
          <w:sz w:val="20"/>
          <w:szCs w:val="20"/>
        </w:rPr>
        <w:t xml:space="preserve">o maintain the integrity of the auction process it is vital that the Determination contains appropriate provisions preventing collusive behaviour between applicants and bidders. Collusion in the context of the auction could occur through the communication of information that may have the capacity to affect the outcome of the auction. Accordingly, rules have been set which are aimed at preventing the communication of such information by applicants and bidders. Central to this Part are the concepts of ‘confidential information’ and ‘related person’. </w:t>
      </w:r>
    </w:p>
    <w:p w14:paraId="6B227D82" w14:textId="77777777" w:rsidR="00603AB1" w:rsidRPr="00ED322D" w:rsidRDefault="00603AB1" w:rsidP="00A21A76">
      <w:pPr>
        <w:pStyle w:val="Partheadinglevel"/>
        <w:spacing w:before="80" w:after="120" w:line="280" w:lineRule="atLeast"/>
        <w:rPr>
          <w:rFonts w:cs="Arial"/>
          <w:b w:val="0"/>
          <w:bCs w:val="0"/>
          <w:caps w:val="0"/>
          <w:snapToGrid w:val="0"/>
          <w:sz w:val="20"/>
          <w:szCs w:val="20"/>
        </w:rPr>
      </w:pPr>
      <w:r>
        <w:rPr>
          <w:rFonts w:cs="Arial"/>
          <w:b w:val="0"/>
          <w:bCs w:val="0"/>
          <w:caps w:val="0"/>
          <w:snapToGrid w:val="0"/>
          <w:sz w:val="20"/>
          <w:szCs w:val="20"/>
          <w:lang w:val="en-AU"/>
        </w:rPr>
        <w:t>C</w:t>
      </w:r>
      <w:r w:rsidRPr="004273D1">
        <w:rPr>
          <w:rFonts w:cs="Arial"/>
          <w:b w:val="0"/>
          <w:bCs w:val="0"/>
          <w:caps w:val="0"/>
          <w:snapToGrid w:val="0"/>
          <w:sz w:val="20"/>
          <w:szCs w:val="20"/>
          <w:lang w:val="en-AU"/>
        </w:rPr>
        <w:t>onfidential information</w:t>
      </w:r>
      <w:r>
        <w:rPr>
          <w:rFonts w:cs="Arial"/>
          <w:b w:val="0"/>
          <w:bCs w:val="0"/>
          <w:caps w:val="0"/>
          <w:snapToGrid w:val="0"/>
          <w:sz w:val="20"/>
          <w:szCs w:val="20"/>
          <w:lang w:val="en-AU"/>
        </w:rPr>
        <w:t xml:space="preserve"> is</w:t>
      </w:r>
      <w:r w:rsidR="00BC10C5">
        <w:rPr>
          <w:rFonts w:cs="Arial"/>
          <w:b w:val="0"/>
          <w:bCs w:val="0"/>
          <w:caps w:val="0"/>
          <w:snapToGrid w:val="0"/>
          <w:sz w:val="20"/>
          <w:szCs w:val="20"/>
          <w:lang w:val="en-AU"/>
        </w:rPr>
        <w:t>, broadly,</w:t>
      </w:r>
      <w:r>
        <w:rPr>
          <w:rFonts w:cs="Arial"/>
          <w:b w:val="0"/>
          <w:bCs w:val="0"/>
          <w:caps w:val="0"/>
          <w:snapToGrid w:val="0"/>
          <w:sz w:val="20"/>
          <w:szCs w:val="20"/>
          <w:lang w:val="en-AU"/>
        </w:rPr>
        <w:t xml:space="preserve"> information relating to the auction and, for an applicant or bidder, includes </w:t>
      </w:r>
      <w:r w:rsidRPr="004273D1">
        <w:rPr>
          <w:rFonts w:cs="Arial"/>
          <w:b w:val="0"/>
          <w:bCs w:val="0"/>
          <w:caps w:val="0"/>
          <w:snapToGrid w:val="0"/>
          <w:sz w:val="20"/>
          <w:szCs w:val="20"/>
          <w:lang w:val="en-AU"/>
        </w:rPr>
        <w:t>bid</w:t>
      </w:r>
      <w:r w:rsidR="0059462D">
        <w:rPr>
          <w:rFonts w:cs="Arial"/>
          <w:b w:val="0"/>
          <w:bCs w:val="0"/>
          <w:caps w:val="0"/>
          <w:snapToGrid w:val="0"/>
          <w:sz w:val="20"/>
          <w:szCs w:val="20"/>
          <w:lang w:val="en-AU"/>
        </w:rPr>
        <w:t>ding instructions</w:t>
      </w:r>
      <w:r w:rsidRPr="004273D1">
        <w:rPr>
          <w:rFonts w:cs="Arial"/>
          <w:b w:val="0"/>
          <w:bCs w:val="0"/>
          <w:caps w:val="0"/>
          <w:snapToGrid w:val="0"/>
          <w:sz w:val="20"/>
          <w:szCs w:val="20"/>
          <w:lang w:val="en-AU"/>
        </w:rPr>
        <w:t xml:space="preserve"> </w:t>
      </w:r>
      <w:r w:rsidR="005A40A2">
        <w:rPr>
          <w:rFonts w:cs="Arial"/>
          <w:b w:val="0"/>
          <w:bCs w:val="0"/>
          <w:caps w:val="0"/>
          <w:snapToGrid w:val="0"/>
          <w:sz w:val="20"/>
          <w:szCs w:val="20"/>
          <w:lang w:val="en-AU"/>
        </w:rPr>
        <w:t>and</w:t>
      </w:r>
      <w:r w:rsidRPr="004273D1">
        <w:rPr>
          <w:rFonts w:cs="Arial"/>
          <w:b w:val="0"/>
          <w:bCs w:val="0"/>
          <w:caps w:val="0"/>
          <w:snapToGrid w:val="0"/>
          <w:sz w:val="20"/>
          <w:szCs w:val="20"/>
          <w:lang w:val="en-AU"/>
        </w:rPr>
        <w:t xml:space="preserve"> bidding strategies</w:t>
      </w:r>
      <w:r>
        <w:rPr>
          <w:rFonts w:cs="Arial"/>
          <w:b w:val="0"/>
          <w:bCs w:val="0"/>
          <w:caps w:val="0"/>
          <w:snapToGrid w:val="0"/>
          <w:sz w:val="20"/>
          <w:szCs w:val="20"/>
          <w:lang w:val="en-AU"/>
        </w:rPr>
        <w:t xml:space="preserve">. It also includes the applicant’s application documents. A ‘related person’, in relation to an applicant or bidder, means a director or company secretary, an employee, or an employee of a related body corporate that provides services to the applicant or bidder. </w:t>
      </w:r>
    </w:p>
    <w:p w14:paraId="2535E6AE" w14:textId="4B342274" w:rsidR="00603AB1" w:rsidRDefault="00603AB1" w:rsidP="00A21A76">
      <w:pPr>
        <w:pStyle w:val="ACMABodyText"/>
        <w:rPr>
          <w:lang w:val="en-US"/>
        </w:rPr>
      </w:pPr>
      <w:r>
        <w:rPr>
          <w:lang w:val="en-US"/>
        </w:rPr>
        <w:t>This Part sets out rules prohibiting the disclosure of confidential information by applicants</w:t>
      </w:r>
      <w:r w:rsidR="005A40A2">
        <w:rPr>
          <w:lang w:val="en-US"/>
        </w:rPr>
        <w:t>, or applicants who become bidders,</w:t>
      </w:r>
      <w:r>
        <w:rPr>
          <w:lang w:val="en-US"/>
        </w:rPr>
        <w:t xml:space="preserve"> and </w:t>
      </w:r>
      <w:r w:rsidR="0003615C">
        <w:rPr>
          <w:lang w:val="en-US"/>
        </w:rPr>
        <w:t xml:space="preserve">their </w:t>
      </w:r>
      <w:r>
        <w:rPr>
          <w:lang w:val="en-US"/>
        </w:rPr>
        <w:t>related persons</w:t>
      </w:r>
      <w:r w:rsidR="0003615C">
        <w:rPr>
          <w:lang w:val="en-US"/>
        </w:rPr>
        <w:t>,</w:t>
      </w:r>
      <w:r>
        <w:rPr>
          <w:lang w:val="en-US"/>
        </w:rPr>
        <w:t xml:space="preserve"> both before and during the auction process. It details what information should not be communicated and sets out the duration of the confidentiality obligation upon each applicant or related person. In addition this Part requires each related person of an applicant</w:t>
      </w:r>
      <w:r w:rsidR="005A40A2">
        <w:rPr>
          <w:lang w:val="en-US"/>
        </w:rPr>
        <w:t xml:space="preserve"> or bidder</w:t>
      </w:r>
      <w:r>
        <w:rPr>
          <w:lang w:val="en-US"/>
        </w:rPr>
        <w:t>, other than a director or company secretary of the applicant</w:t>
      </w:r>
      <w:r w:rsidR="005A40A2">
        <w:rPr>
          <w:lang w:val="en-US"/>
        </w:rPr>
        <w:t xml:space="preserve"> or bidder</w:t>
      </w:r>
      <w:r>
        <w:rPr>
          <w:lang w:val="en-US"/>
        </w:rPr>
        <w:t>, to provide a deed of confidentiality to the ACMA.</w:t>
      </w:r>
    </w:p>
    <w:p w14:paraId="1FDF5DD5" w14:textId="77777777" w:rsidR="007B4B6A" w:rsidRDefault="00603AB1" w:rsidP="00A21A76">
      <w:pPr>
        <w:pStyle w:val="ACMABodyText"/>
      </w:pPr>
      <w:r w:rsidRPr="006E5E90">
        <w:t xml:space="preserve">These rules are intended to complement the rules around cartel conduct contained within the </w:t>
      </w:r>
      <w:r w:rsidRPr="006E5E90">
        <w:rPr>
          <w:i/>
        </w:rPr>
        <w:t>Competition and Consumer Act 2010</w:t>
      </w:r>
      <w:r>
        <w:rPr>
          <w:i/>
        </w:rPr>
        <w:t xml:space="preserve"> </w:t>
      </w:r>
      <w:r>
        <w:t xml:space="preserve">(the </w:t>
      </w:r>
      <w:r w:rsidRPr="007F404A">
        <w:rPr>
          <w:b/>
        </w:rPr>
        <w:t>CC Act</w:t>
      </w:r>
      <w:r>
        <w:t>)</w:t>
      </w:r>
      <w:r w:rsidRPr="006E5E90">
        <w:t xml:space="preserve">. </w:t>
      </w:r>
      <w:r>
        <w:t>Division 1</w:t>
      </w:r>
      <w:r w:rsidR="007B4B6A">
        <w:t xml:space="preserve"> of Part IV</w:t>
      </w:r>
      <w:r w:rsidRPr="006E5E90">
        <w:t xml:space="preserve"> of the CC Act deals with ‘Cartel </w:t>
      </w:r>
      <w:r w:rsidR="007B4B6A">
        <w:t>c</w:t>
      </w:r>
      <w:r w:rsidRPr="006E5E90">
        <w:t>onduct’. The simplified outline of th</w:t>
      </w:r>
      <w:r w:rsidR="007B4B6A">
        <w:t>at Division</w:t>
      </w:r>
      <w:r w:rsidRPr="006E5E90">
        <w:t xml:space="preserve">, in section 44ZZRA of the </w:t>
      </w:r>
      <w:r>
        <w:t xml:space="preserve">CC </w:t>
      </w:r>
      <w:r w:rsidRPr="006E5E90">
        <w:t>Act, states that</w:t>
      </w:r>
      <w:r w:rsidR="007B4B6A">
        <w:t>:</w:t>
      </w:r>
    </w:p>
    <w:p w14:paraId="571F65D5" w14:textId="77777777" w:rsidR="00603AB1" w:rsidRPr="008400B8" w:rsidRDefault="00603AB1" w:rsidP="007B4B6A">
      <w:pPr>
        <w:pStyle w:val="ACMABodyText"/>
        <w:ind w:left="709" w:right="283"/>
      </w:pPr>
      <w:r w:rsidRPr="006E5E90">
        <w:lastRenderedPageBreak/>
        <w:t xml:space="preserve"> </w:t>
      </w:r>
      <w:r w:rsidR="005A40A2">
        <w:t>“</w:t>
      </w:r>
      <w:r w:rsidR="007B4B6A">
        <w:t>A</w:t>
      </w:r>
      <w:r w:rsidRPr="006E5E90">
        <w:t xml:space="preserve"> corporation must not make, or give effect to, a contract, arrangement or understanding that contains a cartel provision. A cartel provision is a provision relating to... (d) bid rigging; by parties that are or would otherwise be, in competition with each other’.</w:t>
      </w:r>
      <w:r w:rsidR="007B4B6A">
        <w:t>”</w:t>
      </w:r>
    </w:p>
    <w:p w14:paraId="6A9271B8" w14:textId="77777777" w:rsidR="00603AB1" w:rsidRDefault="00603AB1" w:rsidP="00A21A76">
      <w:pPr>
        <w:pStyle w:val="ACMABodyText"/>
      </w:pPr>
      <w:r w:rsidRPr="006E5E90">
        <w:t xml:space="preserve">The </w:t>
      </w:r>
      <w:r>
        <w:t>ACMA has established separate confidentiality rules in th</w:t>
      </w:r>
      <w:r w:rsidR="000252F9">
        <w:t>e</w:t>
      </w:r>
      <w:r>
        <w:t xml:space="preserve"> Determination for several reasons including the following:</w:t>
      </w:r>
    </w:p>
    <w:p w14:paraId="0F219BC7" w14:textId="77777777" w:rsidR="0014129B" w:rsidRDefault="00603AB1" w:rsidP="00D87D37">
      <w:pPr>
        <w:pStyle w:val="ACMABodyText"/>
        <w:numPr>
          <w:ilvl w:val="0"/>
          <w:numId w:val="10"/>
        </w:numPr>
      </w:pPr>
      <w:r>
        <w:t xml:space="preserve">The </w:t>
      </w:r>
      <w:r w:rsidRPr="006E5E90">
        <w:t xml:space="preserve">cartel provisions of the CC Act (incorporating both criminal and civil provisions) set a high evidentiary burden, and </w:t>
      </w:r>
      <w:r>
        <w:t>s</w:t>
      </w:r>
      <w:r w:rsidRPr="006E5E90">
        <w:t xml:space="preserve">ole reliance on the CC Act would not provide the ACMA with any means to address collusive behaviour administratively during the auction process. This could in turn have flow on effects for the auction process itself. </w:t>
      </w:r>
      <w:r>
        <w:t>Without</w:t>
      </w:r>
      <w:r w:rsidRPr="006E5E90">
        <w:t xml:space="preserve"> the power to exclude </w:t>
      </w:r>
      <w:r>
        <w:t>bidder</w:t>
      </w:r>
      <w:r w:rsidRPr="006E5E90">
        <w:t xml:space="preserve">s for collusive behaviour, </w:t>
      </w:r>
      <w:r>
        <w:t xml:space="preserve">the ACMA </w:t>
      </w:r>
      <w:r w:rsidRPr="006E5E90">
        <w:t xml:space="preserve">would </w:t>
      </w:r>
      <w:r w:rsidR="007B4B6A">
        <w:t xml:space="preserve">have to </w:t>
      </w:r>
      <w:r w:rsidRPr="006E5E90">
        <w:t>rely solely on referring the matter to the</w:t>
      </w:r>
      <w:r>
        <w:t xml:space="preserve"> Australian Competition and Consumer Commission</w:t>
      </w:r>
      <w:r w:rsidRPr="006E5E90">
        <w:t xml:space="preserve"> </w:t>
      </w:r>
      <w:r>
        <w:t xml:space="preserve">(the </w:t>
      </w:r>
      <w:r w:rsidRPr="007F404A">
        <w:rPr>
          <w:b/>
        </w:rPr>
        <w:t>ACCC</w:t>
      </w:r>
      <w:r>
        <w:t>)</w:t>
      </w:r>
      <w:r w:rsidRPr="006E5E90">
        <w:t xml:space="preserve"> for investigation. This </w:t>
      </w:r>
      <w:r>
        <w:t>c</w:t>
      </w:r>
      <w:r w:rsidRPr="006E5E90">
        <w:t xml:space="preserve">ould </w:t>
      </w:r>
      <w:r>
        <w:t xml:space="preserve">place an auction outcome in question for some time, </w:t>
      </w:r>
      <w:r w:rsidRPr="006E5E90">
        <w:t xml:space="preserve">pending the outcome of </w:t>
      </w:r>
      <w:r>
        <w:t>any ACCC</w:t>
      </w:r>
      <w:r w:rsidRPr="006E5E90">
        <w:t xml:space="preserve"> investigation.</w:t>
      </w:r>
    </w:p>
    <w:p w14:paraId="1761E568" w14:textId="4E7A766E" w:rsidR="0014129B" w:rsidRDefault="00603AB1" w:rsidP="00D87D37">
      <w:pPr>
        <w:pStyle w:val="ACMABodyText"/>
        <w:numPr>
          <w:ilvl w:val="0"/>
          <w:numId w:val="10"/>
        </w:numPr>
      </w:pPr>
      <w:r w:rsidRPr="006E5E90">
        <w:t xml:space="preserve">The CC Act provides that </w:t>
      </w:r>
      <w:r w:rsidR="00697B04">
        <w:t>2</w:t>
      </w:r>
      <w:r w:rsidRPr="006E5E90">
        <w:t xml:space="preserve"> parties need to </w:t>
      </w:r>
      <w:r>
        <w:t xml:space="preserve">‘make’ or </w:t>
      </w:r>
      <w:r w:rsidRPr="006E5E90">
        <w:t>‘give effect’ to a cartel provision. The</w:t>
      </w:r>
      <w:r w:rsidR="007B4B6A">
        <w:t xml:space="preserve">se </w:t>
      </w:r>
      <w:r w:rsidRPr="006E5E90">
        <w:t>provisions do not cover ‘one way’ communication, where a would-be colluder contacts another applicant regarding bidding strategies or provides unsolicited information about bidding strategies to someone else.</w:t>
      </w:r>
      <w:r w:rsidR="0003615C">
        <w:t xml:space="preserve"> The confidentiality rules in the Determination are also intended to </w:t>
      </w:r>
      <w:r w:rsidR="00BB314C">
        <w:t>complement</w:t>
      </w:r>
      <w:r w:rsidR="0003615C">
        <w:t xml:space="preserve"> those provis</w:t>
      </w:r>
      <w:r w:rsidR="005A364B">
        <w:t>ions of the CC Act which deal with price signalling.</w:t>
      </w:r>
      <w:r w:rsidRPr="006E5E90">
        <w:t xml:space="preserve">    </w:t>
      </w:r>
    </w:p>
    <w:p w14:paraId="21AA7E88" w14:textId="1C23D895" w:rsidR="00603AB1" w:rsidRPr="008400B8" w:rsidRDefault="00271C34" w:rsidP="00A21A76">
      <w:pPr>
        <w:pStyle w:val="ACMABodyText"/>
        <w:rPr>
          <w:lang w:val="en-US"/>
        </w:rPr>
      </w:pPr>
      <w:r>
        <w:rPr>
          <w:lang w:val="en-US"/>
        </w:rPr>
        <w:t>I</w:t>
      </w:r>
      <w:r w:rsidR="00603AB1">
        <w:rPr>
          <w:lang w:val="en-US"/>
        </w:rPr>
        <w:t xml:space="preserve">f a potential contravention of the confidentiality rules were identified, it </w:t>
      </w:r>
      <w:r>
        <w:rPr>
          <w:lang w:val="en-US"/>
        </w:rPr>
        <w:t>will allow the</w:t>
      </w:r>
      <w:r w:rsidR="00603AB1">
        <w:rPr>
          <w:lang w:val="en-US"/>
        </w:rPr>
        <w:t xml:space="preserve"> ACMA </w:t>
      </w:r>
      <w:r>
        <w:rPr>
          <w:lang w:val="en-US"/>
        </w:rPr>
        <w:t xml:space="preserve">to consider the use of the powers </w:t>
      </w:r>
      <w:r w:rsidR="00BB314C">
        <w:rPr>
          <w:lang w:val="en-US"/>
        </w:rPr>
        <w:t>set</w:t>
      </w:r>
      <w:r>
        <w:rPr>
          <w:lang w:val="en-US"/>
        </w:rPr>
        <w:t xml:space="preserve"> out in</w:t>
      </w:r>
      <w:r w:rsidR="00603AB1">
        <w:rPr>
          <w:lang w:val="en-US"/>
        </w:rPr>
        <w:t xml:space="preserve"> Part </w:t>
      </w:r>
      <w:r w:rsidR="007B4B6A">
        <w:rPr>
          <w:lang w:val="en-US"/>
        </w:rPr>
        <w:t>8</w:t>
      </w:r>
      <w:r w:rsidR="00603AB1">
        <w:rPr>
          <w:lang w:val="en-US"/>
        </w:rPr>
        <w:t xml:space="preserve"> of the Determination.</w:t>
      </w:r>
    </w:p>
    <w:p w14:paraId="24C4E047" w14:textId="77777777" w:rsidR="00603AB1" w:rsidRDefault="00603AB1" w:rsidP="00A21A76">
      <w:pPr>
        <w:pStyle w:val="ACMAHeading3"/>
        <w:ind w:left="1701" w:hanging="1701"/>
      </w:pPr>
      <w:r>
        <w:t xml:space="preserve">Section 3.1 </w:t>
      </w:r>
      <w:r>
        <w:tab/>
        <w:t xml:space="preserve">Meaning of </w:t>
      </w:r>
      <w:r w:rsidRPr="00A21A76">
        <w:rPr>
          <w:i/>
        </w:rPr>
        <w:t>confidential information</w:t>
      </w:r>
    </w:p>
    <w:p w14:paraId="2FDCD877" w14:textId="77777777" w:rsidR="00603AB1" w:rsidRPr="00AB77F1" w:rsidRDefault="00603AB1" w:rsidP="00A21A76">
      <w:pPr>
        <w:pStyle w:val="ACMABodyText"/>
        <w:rPr>
          <w:lang w:val="en-US"/>
        </w:rPr>
      </w:pPr>
      <w:r>
        <w:rPr>
          <w:lang w:val="en-US"/>
        </w:rPr>
        <w:t xml:space="preserve">The definition of the term </w:t>
      </w:r>
      <w:r w:rsidRPr="00A21A76">
        <w:rPr>
          <w:i/>
          <w:lang w:val="en-US"/>
        </w:rPr>
        <w:t>confidential information</w:t>
      </w:r>
      <w:r>
        <w:rPr>
          <w:lang w:val="en-US"/>
        </w:rPr>
        <w:t xml:space="preserve"> forms the basis of the confidentiality rules under this Part. The section sets out what information is classified </w:t>
      </w:r>
      <w:r w:rsidRPr="00C94B63">
        <w:rPr>
          <w:i/>
          <w:lang w:val="en-US"/>
        </w:rPr>
        <w:t>as confidential information</w:t>
      </w:r>
      <w:r>
        <w:rPr>
          <w:lang w:val="en-US"/>
        </w:rPr>
        <w:t xml:space="preserve"> under th</w:t>
      </w:r>
      <w:r w:rsidR="000252F9">
        <w:rPr>
          <w:lang w:val="en-US"/>
        </w:rPr>
        <w:t>e</w:t>
      </w:r>
      <w:r>
        <w:rPr>
          <w:lang w:val="en-US"/>
        </w:rPr>
        <w:t xml:space="preserve"> Determination. The definition includes information that could give rise to collusion if disclosed, such as information about a bid</w:t>
      </w:r>
      <w:r w:rsidR="0003516C">
        <w:rPr>
          <w:lang w:val="en-US"/>
        </w:rPr>
        <w:t>ding instruction</w:t>
      </w:r>
      <w:r>
        <w:rPr>
          <w:lang w:val="en-US"/>
        </w:rPr>
        <w:t xml:space="preserve">, or about </w:t>
      </w:r>
      <w:r w:rsidR="0003516C">
        <w:rPr>
          <w:lang w:val="en-US"/>
        </w:rPr>
        <w:t xml:space="preserve">proposed </w:t>
      </w:r>
      <w:r>
        <w:rPr>
          <w:lang w:val="en-US"/>
        </w:rPr>
        <w:t>bid</w:t>
      </w:r>
      <w:r w:rsidR="0003516C">
        <w:rPr>
          <w:lang w:val="en-US"/>
        </w:rPr>
        <w:t>ding instructions</w:t>
      </w:r>
      <w:r>
        <w:rPr>
          <w:lang w:val="en-US"/>
        </w:rPr>
        <w:t xml:space="preserve"> </w:t>
      </w:r>
      <w:r w:rsidR="0003516C">
        <w:rPr>
          <w:lang w:val="en-US"/>
        </w:rPr>
        <w:t xml:space="preserve">of </w:t>
      </w:r>
      <w:r>
        <w:rPr>
          <w:lang w:val="en-US"/>
        </w:rPr>
        <w:t xml:space="preserve">an applicant or bidder, their bidding strategy, or the amount they are willing to pay for a lot or group of lots. It also includes documents an applicant or bidder has given to the ACMA for the purpose of the auction (e.g., their eligibility nomination form) and information provided to a bidder for the purposes of participating in the auction. More generally, the definition also covers any information that, if disclosed, could be expected to affect or </w:t>
      </w:r>
      <w:r w:rsidR="0099186D">
        <w:rPr>
          <w:lang w:val="en-US"/>
        </w:rPr>
        <w:t>be</w:t>
      </w:r>
      <w:r>
        <w:rPr>
          <w:lang w:val="en-US"/>
        </w:rPr>
        <w:t xml:space="preserve"> capable of affecting another applicant or bidder’s bid</w:t>
      </w:r>
      <w:r w:rsidR="00393782">
        <w:rPr>
          <w:lang w:val="en-US"/>
        </w:rPr>
        <w:t>ding instructions, proposed bidding instructions</w:t>
      </w:r>
      <w:r>
        <w:rPr>
          <w:lang w:val="en-US"/>
        </w:rPr>
        <w:t xml:space="preserve"> or bidding strategy or the outcome of the </w:t>
      </w:r>
      <w:r w:rsidR="00393782">
        <w:rPr>
          <w:lang w:val="en-US"/>
        </w:rPr>
        <w:t>allocation process</w:t>
      </w:r>
      <w:r>
        <w:rPr>
          <w:lang w:val="en-US"/>
        </w:rPr>
        <w:t xml:space="preserve">. </w:t>
      </w:r>
    </w:p>
    <w:p w14:paraId="46690A72" w14:textId="77777777" w:rsidR="00603AB1" w:rsidRDefault="00603AB1" w:rsidP="00F13105">
      <w:pPr>
        <w:pStyle w:val="ACMAHeading3"/>
        <w:keepLines/>
      </w:pPr>
      <w:r w:rsidRPr="00CA3C02">
        <w:t xml:space="preserve">Section 3.2 </w:t>
      </w:r>
      <w:r>
        <w:tab/>
      </w:r>
      <w:r w:rsidRPr="00CA3C02">
        <w:t>Obligation to not disclose confidential information</w:t>
      </w:r>
    </w:p>
    <w:p w14:paraId="46C2A09D" w14:textId="77777777" w:rsidR="00603AB1" w:rsidRDefault="00603AB1" w:rsidP="00F13105">
      <w:pPr>
        <w:pStyle w:val="ACMABodyText"/>
        <w:keepNext/>
        <w:keepLines/>
      </w:pPr>
      <w:r>
        <w:t>This section states that an applicant or bidder who has knowledge of the applicant or bidder’s confidential information as defined in th</w:t>
      </w:r>
      <w:r w:rsidR="000252F9">
        <w:t>e</w:t>
      </w:r>
      <w:r>
        <w:t xml:space="preserve"> Determination must not disclose this information to any person, barring specific exceptions listed in this section. The same non-disclosure obligation also applies to a related person of an applicant or bidder who has knowledge of an applicant or bidder’s confidential information.</w:t>
      </w:r>
    </w:p>
    <w:p w14:paraId="339881C6" w14:textId="33204CD3" w:rsidR="00603AB1" w:rsidRDefault="00603AB1" w:rsidP="00A21A76">
      <w:pPr>
        <w:pStyle w:val="ACMABodyText"/>
      </w:pPr>
      <w:r>
        <w:t xml:space="preserve">Although the disclosure of confidential information is prohibited by this section, </w:t>
      </w:r>
      <w:r w:rsidR="007B4B46">
        <w:t>it is a</w:t>
      </w:r>
      <w:r>
        <w:t>cknowledge</w:t>
      </w:r>
      <w:r w:rsidR="007B4B46">
        <w:t>d</w:t>
      </w:r>
      <w:r>
        <w:t xml:space="preserve"> that in order for an applicant to effectively participate in the </w:t>
      </w:r>
      <w:r w:rsidR="00403951">
        <w:t xml:space="preserve">allocation </w:t>
      </w:r>
      <w:r>
        <w:t xml:space="preserve">process (and comply with other requirements) there are certain limited circumstances in which confidential information may need to be communicated to another person. Subsection 3.2(2) details the exceptions to the prohibition on the disclosure of confidential information. These include where an applicant or bidder discloses confidential information to another related person of the same applicant or bidder, or to an advisor or consultant for the purpose of obtaining advice relating to the </w:t>
      </w:r>
      <w:r w:rsidR="00403951">
        <w:t>allocation process</w:t>
      </w:r>
      <w:r>
        <w:t xml:space="preserve"> or obtaining finance to purchase spectrum licences in the </w:t>
      </w:r>
      <w:r w:rsidR="00403951">
        <w:t>allocation process</w:t>
      </w:r>
      <w:r>
        <w:t xml:space="preserve">. It also includes where an applicant or bidder </w:t>
      </w:r>
      <w:r>
        <w:lastRenderedPageBreak/>
        <w:t xml:space="preserve">discloses confidential information to the ACMA, </w:t>
      </w:r>
      <w:r w:rsidR="007B4B46">
        <w:t xml:space="preserve">or </w:t>
      </w:r>
      <w:r>
        <w:t>as authorised by th</w:t>
      </w:r>
      <w:r w:rsidR="000252F9">
        <w:t>e</w:t>
      </w:r>
      <w:r>
        <w:t xml:space="preserve"> Determination, or as required by law.</w:t>
      </w:r>
    </w:p>
    <w:p w14:paraId="7CB7617E" w14:textId="77777777" w:rsidR="00603AB1" w:rsidRDefault="00603AB1" w:rsidP="00A21A76">
      <w:pPr>
        <w:pStyle w:val="ACMABodyText"/>
      </w:pPr>
      <w:r>
        <w:t>Information that would otherwise fall within the definition of confidential information but is already publicly available (and was not made available because of a breach of this section) will also be exempt from the obligation set out in this section.</w:t>
      </w:r>
    </w:p>
    <w:p w14:paraId="22241370" w14:textId="77777777" w:rsidR="00603AB1" w:rsidRDefault="00603AB1" w:rsidP="00AB5E8F">
      <w:pPr>
        <w:pStyle w:val="ACMABodyText"/>
        <w:tabs>
          <w:tab w:val="left" w:pos="1701"/>
        </w:tabs>
        <w:rPr>
          <w:b/>
        </w:rPr>
      </w:pPr>
      <w:r w:rsidRPr="0088005B">
        <w:rPr>
          <w:b/>
        </w:rPr>
        <w:t xml:space="preserve">Section 3.3 </w:t>
      </w:r>
      <w:r>
        <w:rPr>
          <w:b/>
        </w:rPr>
        <w:tab/>
      </w:r>
      <w:r w:rsidRPr="0088005B">
        <w:rPr>
          <w:b/>
        </w:rPr>
        <w:t>Duration of confidentiality obligation</w:t>
      </w:r>
      <w:r w:rsidR="00586085">
        <w:rPr>
          <w:b/>
        </w:rPr>
        <w:t>s</w:t>
      </w:r>
    </w:p>
    <w:p w14:paraId="5D0A827B" w14:textId="77777777" w:rsidR="00603AB1" w:rsidRDefault="00603AB1" w:rsidP="00A21A76">
      <w:pPr>
        <w:pStyle w:val="ACMABodyText"/>
      </w:pPr>
      <w:r>
        <w:t xml:space="preserve">In order to protect against collusion at all stages of the </w:t>
      </w:r>
      <w:r w:rsidR="00403951">
        <w:t>allocation</w:t>
      </w:r>
      <w:r>
        <w:t xml:space="preserve"> process, the rules on confidential information apply to each applicant, bidder and related person with knowledge of the applicant</w:t>
      </w:r>
      <w:r w:rsidR="00586085">
        <w:t>’s</w:t>
      </w:r>
      <w:r>
        <w:t xml:space="preserve"> or bidder’s confidential information from the date of application until after the </w:t>
      </w:r>
      <w:r w:rsidR="00403951">
        <w:t>allocation process</w:t>
      </w:r>
      <w:r>
        <w:t xml:space="preserve"> has ended. This section sets out the circumstances that will take place after the </w:t>
      </w:r>
      <w:r w:rsidR="00403951">
        <w:t>relevant allocation process (either auction or for a pre-determined price)</w:t>
      </w:r>
      <w:r>
        <w:t xml:space="preserve"> that will end the confidentiality obligation</w:t>
      </w:r>
      <w:r w:rsidR="00586085">
        <w:t>s</w:t>
      </w:r>
      <w:r>
        <w:t xml:space="preserve"> for an applicant or bidder, and a related person. An applicant or bidder and their related persons will not be released from the obligation not to disclose confidential information until one of the circumstances set out in this section takes place (i.e., </w:t>
      </w:r>
      <w:r w:rsidR="005A6C2B">
        <w:t xml:space="preserve">the applicant is notified </w:t>
      </w:r>
      <w:r w:rsidR="003B4879">
        <w:t xml:space="preserve">about </w:t>
      </w:r>
      <w:r w:rsidR="005A6C2B">
        <w:t>the applicant</w:t>
      </w:r>
      <w:r w:rsidR="003B4879">
        <w:t>’s</w:t>
      </w:r>
      <w:r w:rsidR="005A6C2B">
        <w:t xml:space="preserve"> entitle</w:t>
      </w:r>
      <w:r w:rsidR="003B4879">
        <w:t>ment</w:t>
      </w:r>
      <w:r w:rsidR="005A6C2B">
        <w:t xml:space="preserve"> to be allocated a spectrum licence under subsection 5.4(5), </w:t>
      </w:r>
      <w:r w:rsidR="003B4879">
        <w:t xml:space="preserve">the bidder is notified that the bidder is not a winning bidder, the applicant (who has withdrawn) is notified that the applicant’s confidentiality obligation is at an end, or the </w:t>
      </w:r>
      <w:r>
        <w:t>bidder is asked to make a statement as a winning bidder).</w:t>
      </w:r>
    </w:p>
    <w:p w14:paraId="773C9DDE" w14:textId="77777777" w:rsidR="00603AB1" w:rsidRDefault="00603AB1" w:rsidP="00A21A76">
      <w:pPr>
        <w:pStyle w:val="ACMAHeading3"/>
      </w:pPr>
      <w:r>
        <w:t xml:space="preserve">Section 3.4 </w:t>
      </w:r>
      <w:r>
        <w:tab/>
        <w:t>Reporting breach of confidentiality</w:t>
      </w:r>
    </w:p>
    <w:p w14:paraId="6B815125" w14:textId="77777777" w:rsidR="00603AB1" w:rsidRDefault="00603AB1" w:rsidP="00A21A76">
      <w:pPr>
        <w:pStyle w:val="ACMABodyText"/>
      </w:pPr>
      <w:r>
        <w:t xml:space="preserve">Given its potential impact on the outcome of the auction process, and to ensure a fair and robust auction, it is important that the ACMA is made aware of any breach of the rules on confidentiality as soon as possible. This section requires applicants and bidders, and their related persons, to notify the ACMA in writing as soon as possible after becoming aware of a breach of the confidentiality rules, and no later than </w:t>
      </w:r>
      <w:r w:rsidR="00697B04">
        <w:t>2</w:t>
      </w:r>
      <w:r>
        <w:t xml:space="preserve"> working days after becoming aware of the breach.</w:t>
      </w:r>
    </w:p>
    <w:p w14:paraId="5B12F040" w14:textId="77777777" w:rsidR="00603AB1" w:rsidRDefault="00603AB1" w:rsidP="00AB5E8F">
      <w:pPr>
        <w:pStyle w:val="ACMAHeading3"/>
        <w:ind w:left="1134" w:hanging="1134"/>
      </w:pPr>
      <w:r>
        <w:t xml:space="preserve">Section 3.5 </w:t>
      </w:r>
      <w:r>
        <w:tab/>
      </w:r>
      <w:r>
        <w:tab/>
        <w:t xml:space="preserve">Notice of breach of confidentiality </w:t>
      </w:r>
    </w:p>
    <w:p w14:paraId="0097B22D" w14:textId="77777777" w:rsidR="00603AB1" w:rsidRDefault="00603AB1" w:rsidP="00A21A76">
      <w:pPr>
        <w:pStyle w:val="ACMABodyText"/>
        <w:rPr>
          <w:lang w:val="en-US"/>
        </w:rPr>
      </w:pPr>
      <w:r>
        <w:rPr>
          <w:lang w:val="en-US"/>
        </w:rPr>
        <w:t xml:space="preserve">This section states that where the ACMA has reason to believe there has been a breach of the rules regarding the disclosure or receipt of confidential information by an applicant or bidder (or a related person of an applicant or bidder) the ACMA must advise the applicant or bidder of that fact and ask it to make submissions to the ACMA on this matter. The ACMA must also set a deadline for the provision of any submissions of no more than </w:t>
      </w:r>
      <w:r w:rsidR="00BC2012">
        <w:rPr>
          <w:lang w:val="en-US"/>
        </w:rPr>
        <w:t>5</w:t>
      </w:r>
      <w:r>
        <w:rPr>
          <w:lang w:val="en-US"/>
        </w:rPr>
        <w:t xml:space="preserve"> working days after the date of the request.</w:t>
      </w:r>
    </w:p>
    <w:p w14:paraId="569B238A" w14:textId="77777777" w:rsidR="00603AB1" w:rsidRDefault="00603AB1" w:rsidP="00A21A76">
      <w:pPr>
        <w:pStyle w:val="ACMABodyText"/>
        <w:rPr>
          <w:lang w:val="en-US"/>
        </w:rPr>
      </w:pPr>
      <w:r>
        <w:rPr>
          <w:lang w:val="en-US"/>
        </w:rPr>
        <w:t>The ACMA is not obliged to tell the applicant or bidder of its belief until as soon as practicable after the auction period ends</w:t>
      </w:r>
      <w:r w:rsidR="003B4879">
        <w:rPr>
          <w:lang w:val="en-US"/>
        </w:rPr>
        <w:t xml:space="preserve"> or entitlements under a pre-determined price process are notified</w:t>
      </w:r>
      <w:r>
        <w:rPr>
          <w:lang w:val="en-US"/>
        </w:rPr>
        <w:t>.</w:t>
      </w:r>
      <w:r w:rsidR="003B4879">
        <w:rPr>
          <w:lang w:val="en-US"/>
        </w:rPr>
        <w:t xml:space="preserve"> </w:t>
      </w:r>
    </w:p>
    <w:p w14:paraId="18AF5202" w14:textId="77777777" w:rsidR="00603AB1" w:rsidRDefault="00603AB1" w:rsidP="00A21A76">
      <w:pPr>
        <w:pStyle w:val="ACMABodyText"/>
        <w:rPr>
          <w:lang w:val="en-US"/>
        </w:rPr>
      </w:pPr>
      <w:r>
        <w:rPr>
          <w:lang w:val="en-US"/>
        </w:rPr>
        <w:t xml:space="preserve">This section is intended to ensure that applicants and bidders are informed about circumstances in which the ACMA believes they may have breached the confidentiality rules, and have an opportunity to make submissions about the matter. </w:t>
      </w:r>
    </w:p>
    <w:p w14:paraId="18E9D2BF" w14:textId="77777777" w:rsidR="00603AB1" w:rsidRDefault="00603AB1" w:rsidP="00AB5E8F">
      <w:pPr>
        <w:pStyle w:val="ACMABodyText"/>
        <w:tabs>
          <w:tab w:val="left" w:pos="1701"/>
        </w:tabs>
        <w:rPr>
          <w:b/>
          <w:lang w:val="en-US"/>
        </w:rPr>
      </w:pPr>
      <w:r w:rsidRPr="002951F6">
        <w:rPr>
          <w:b/>
          <w:lang w:val="en-US"/>
        </w:rPr>
        <w:t xml:space="preserve">Section 3.6 </w:t>
      </w:r>
      <w:r>
        <w:rPr>
          <w:b/>
          <w:lang w:val="en-US"/>
        </w:rPr>
        <w:tab/>
      </w:r>
      <w:r w:rsidRPr="002951F6">
        <w:rPr>
          <w:b/>
          <w:lang w:val="en-US"/>
        </w:rPr>
        <w:t>Deed of confidentiality required from related persons</w:t>
      </w:r>
    </w:p>
    <w:p w14:paraId="5D46AFD1" w14:textId="165E0EAE" w:rsidR="00586085" w:rsidRDefault="00603AB1" w:rsidP="00A21A76">
      <w:pPr>
        <w:pStyle w:val="ACMABodyText"/>
      </w:pPr>
      <w:r>
        <w:t>A deed of confidentiality represents a</w:t>
      </w:r>
      <w:r w:rsidR="007B4B46">
        <w:t>n explicit</w:t>
      </w:r>
      <w:r>
        <w:t xml:space="preserve"> commitment on the part of each related person of an applicant or bidder that they will comply with these important rules regarding the disclosure of confidential information throughout the </w:t>
      </w:r>
      <w:r w:rsidR="00E33255">
        <w:t>allocation</w:t>
      </w:r>
      <w:r>
        <w:t xml:space="preserve"> process. The ACMA believes it is very important that individual employees of an applicant or bidder (or of a related body corporate that provides services to the applicant or bidder) who have knowledge of their employer’s confidential information (as defined in section 3.1 of the Determination) understand the importance of confidentiality in this process and acknowledge this through signing a confidentiality deed. </w:t>
      </w:r>
    </w:p>
    <w:p w14:paraId="7BD3DB3C" w14:textId="77777777" w:rsidR="00586085" w:rsidRDefault="00603AB1" w:rsidP="00A21A76">
      <w:pPr>
        <w:pStyle w:val="ACMABodyText"/>
      </w:pPr>
      <w:r>
        <w:t xml:space="preserve">The section states that a deed of confidentiality will only be required from </w:t>
      </w:r>
      <w:r w:rsidR="006E14C7">
        <w:t xml:space="preserve">related persons who are also </w:t>
      </w:r>
      <w:r>
        <w:t xml:space="preserve">employees of the applicant or bidder, or employees of a related body corporate of the applicant or bidder that provides services to the applicant or bidder. The obligation to complete a deed of </w:t>
      </w:r>
      <w:r>
        <w:lastRenderedPageBreak/>
        <w:t xml:space="preserve">confidentiality under this section will not extend to a director or company secretary of an applicant or bidder. </w:t>
      </w:r>
    </w:p>
    <w:p w14:paraId="098E85BC" w14:textId="77777777" w:rsidR="00603AB1" w:rsidRPr="0073658D" w:rsidRDefault="00603AB1" w:rsidP="00A21A76">
      <w:pPr>
        <w:pStyle w:val="ACMABodyText"/>
      </w:pPr>
      <w:r>
        <w:t xml:space="preserve">Where a related person of an applicant gains knowledge of the applicant’s confidential information prior to the application deadline, a deed of confidentiality from the related person must be submitted to the ACMA by the application deadline. </w:t>
      </w:r>
    </w:p>
    <w:p w14:paraId="3BAD375E" w14:textId="77777777" w:rsidR="00603AB1" w:rsidRPr="00181920" w:rsidRDefault="00603AB1" w:rsidP="00312A99">
      <w:pPr>
        <w:pStyle w:val="Partheadinglevel"/>
        <w:tabs>
          <w:tab w:val="left" w:pos="1701"/>
        </w:tabs>
        <w:ind w:left="1418" w:hanging="1418"/>
      </w:pPr>
      <w:r>
        <w:t>Part 4</w:t>
      </w:r>
      <w:r w:rsidRPr="00181920">
        <w:tab/>
      </w:r>
      <w:r>
        <w:t>Procedures before auction</w:t>
      </w:r>
      <w:r w:rsidR="00312A99">
        <w:t xml:space="preserve"> OR ALLOCATION FOR A PRE-DETERMINED PRICE</w:t>
      </w:r>
    </w:p>
    <w:p w14:paraId="7F31E238" w14:textId="77777777" w:rsidR="00603AB1" w:rsidRPr="00181920" w:rsidRDefault="00312A99" w:rsidP="00D67611">
      <w:pPr>
        <w:pStyle w:val="ACMABodyText"/>
        <w:rPr>
          <w:lang w:val="en-US"/>
        </w:rPr>
      </w:pPr>
      <w:r>
        <w:rPr>
          <w:lang w:val="en-US"/>
        </w:rPr>
        <w:t xml:space="preserve">This </w:t>
      </w:r>
      <w:r w:rsidR="00E959D4">
        <w:rPr>
          <w:lang w:val="en-US"/>
        </w:rPr>
        <w:t>P</w:t>
      </w:r>
      <w:r>
        <w:rPr>
          <w:lang w:val="en-US"/>
        </w:rPr>
        <w:t xml:space="preserve">art sets out how interested parties can apply to take part in the auction </w:t>
      </w:r>
      <w:r w:rsidRPr="00312A99">
        <w:rPr>
          <w:lang w:val="en-US"/>
        </w:rPr>
        <w:t>or allocation for a pre-determined price</w:t>
      </w:r>
      <w:r>
        <w:rPr>
          <w:lang w:val="en-US"/>
        </w:rPr>
        <w:t xml:space="preserve">. </w:t>
      </w:r>
      <w:r w:rsidR="00603AB1">
        <w:rPr>
          <w:lang w:val="en-US"/>
        </w:rPr>
        <w:t xml:space="preserve">It describes the application and registration processes, including the ACMA’s obligations to make information about the allocation process publicly available. It also sets out the fees and payments required to participate in the auction, </w:t>
      </w:r>
      <w:r w:rsidR="00D4528A">
        <w:rPr>
          <w:lang w:val="en-US"/>
        </w:rPr>
        <w:t>methods of</w:t>
      </w:r>
      <w:r w:rsidR="00603AB1">
        <w:rPr>
          <w:lang w:val="en-US"/>
        </w:rPr>
        <w:t xml:space="preserve"> calculat</w:t>
      </w:r>
      <w:r w:rsidR="00D4528A">
        <w:rPr>
          <w:lang w:val="en-US"/>
        </w:rPr>
        <w:t>ion,</w:t>
      </w:r>
      <w:r w:rsidR="00603AB1">
        <w:rPr>
          <w:lang w:val="en-US"/>
        </w:rPr>
        <w:t xml:space="preserve"> and how the ACMA must set lot ratings and starting prices.</w:t>
      </w:r>
      <w:r>
        <w:rPr>
          <w:lang w:val="en-US"/>
        </w:rPr>
        <w:t xml:space="preserve">  </w:t>
      </w:r>
    </w:p>
    <w:p w14:paraId="37C06CB7" w14:textId="77777777" w:rsidR="00603AB1" w:rsidRDefault="00603AB1" w:rsidP="00D67611">
      <w:pPr>
        <w:pStyle w:val="Divisionheadinglevel"/>
        <w:tabs>
          <w:tab w:val="left" w:pos="1843"/>
        </w:tabs>
        <w:ind w:left="1701" w:hanging="1701"/>
      </w:pPr>
      <w:r>
        <w:t>Division 1</w:t>
      </w:r>
      <w:r w:rsidRPr="00181920">
        <w:tab/>
      </w:r>
      <w:r>
        <w:t>Preliminary</w:t>
      </w:r>
    </w:p>
    <w:p w14:paraId="6C177162" w14:textId="77777777" w:rsidR="00603AB1" w:rsidRPr="00BD63C4" w:rsidRDefault="00603AB1" w:rsidP="00D67611">
      <w:pPr>
        <w:pStyle w:val="ACMAHeading3"/>
        <w:ind w:left="5387" w:hanging="5387"/>
        <w:rPr>
          <w:b w:val="0"/>
        </w:rPr>
      </w:pPr>
      <w:r>
        <w:t>Section 4.1</w:t>
      </w:r>
      <w:r w:rsidRPr="00181920">
        <w:tab/>
      </w:r>
      <w:r>
        <w:t>Auction manager</w:t>
      </w:r>
    </w:p>
    <w:p w14:paraId="5A65B2B0" w14:textId="77777777" w:rsidR="00603AB1" w:rsidRDefault="00603AB1" w:rsidP="00D67611">
      <w:pPr>
        <w:pStyle w:val="ACMABodyText"/>
      </w:pPr>
      <w:r>
        <w:t xml:space="preserve">This section states that the ACMA must appoint a person to manage the auction (the </w:t>
      </w:r>
      <w:r w:rsidRPr="007F404A">
        <w:rPr>
          <w:b/>
        </w:rPr>
        <w:t>auction manager</w:t>
      </w:r>
      <w:r>
        <w:t>). This appointment will be made in writing. The auction manager will facilitate and manage the auction conducted under th</w:t>
      </w:r>
      <w:r w:rsidR="000252F9">
        <w:t>e</w:t>
      </w:r>
      <w:r>
        <w:t xml:space="preserve"> Determination.</w:t>
      </w:r>
    </w:p>
    <w:p w14:paraId="0A84EDF8" w14:textId="77777777" w:rsidR="00603AB1" w:rsidRDefault="00603AB1" w:rsidP="00D67611">
      <w:pPr>
        <w:pStyle w:val="ACMABodyText"/>
      </w:pPr>
      <w:r w:rsidRPr="009E1CB6">
        <w:t>The auction manager will have a number of specific responsibilities to manage</w:t>
      </w:r>
      <w:r>
        <w:t xml:space="preserve"> and facilitate the auction. </w:t>
      </w:r>
      <w:r w:rsidRPr="009E1CB6">
        <w:t xml:space="preserve">These responsibilities </w:t>
      </w:r>
      <w:r>
        <w:t>include decisions about setting</w:t>
      </w:r>
      <w:r w:rsidR="0061313C">
        <w:t xml:space="preserve"> </w:t>
      </w:r>
      <w:r w:rsidR="003D3377">
        <w:t>the number of stages for the auction, the eligibility percentage applied in calculating the activity target during each stage of the auction</w:t>
      </w:r>
      <w:r>
        <w:t xml:space="preserve">, </w:t>
      </w:r>
      <w:r w:rsidR="003D3377">
        <w:t xml:space="preserve">the number of waivers, the start time for rounds of the auction, </w:t>
      </w:r>
      <w:r>
        <w:t>and other auction variables. In some circumstances, the auction manager will exercise the</w:t>
      </w:r>
      <w:r w:rsidR="003D3377">
        <w:t>se</w:t>
      </w:r>
      <w:r>
        <w:t xml:space="preserve"> responsibilities through the auction system. The auction manager will also act as the central point of contact for internal and external auction-related enquiries. </w:t>
      </w:r>
    </w:p>
    <w:p w14:paraId="28AA0961" w14:textId="4E6BE68D" w:rsidR="00603AB1" w:rsidRDefault="00603AB1" w:rsidP="00D67611">
      <w:pPr>
        <w:pStyle w:val="ACMABodyText"/>
      </w:pPr>
      <w:r>
        <w:t>The responsibilities and powers of the auction manager are</w:t>
      </w:r>
      <w:r w:rsidRPr="009E1CB6">
        <w:t xml:space="preserve"> </w:t>
      </w:r>
      <w:r>
        <w:t>specified throughout the Determination.</w:t>
      </w:r>
    </w:p>
    <w:p w14:paraId="1E369041" w14:textId="77777777" w:rsidR="00603AB1" w:rsidRDefault="00603AB1" w:rsidP="00D67611">
      <w:pPr>
        <w:pStyle w:val="ACMABodyText"/>
      </w:pPr>
      <w:r>
        <w:t>The ACMA will publicise the appointment of the auction manager, including the name of the person, on the ACMA’s website</w:t>
      </w:r>
      <w:r w:rsidR="008D3F02">
        <w:t>.</w:t>
      </w:r>
      <w:r>
        <w:t xml:space="preserve"> </w:t>
      </w:r>
      <w:r w:rsidRPr="008D3F02">
        <w:t>I</w:t>
      </w:r>
      <w:r>
        <w:t>nformation about the auction manager will also be provided in the Applicant Information Pack</w:t>
      </w:r>
      <w:r w:rsidR="00725EC1">
        <w:t>age</w:t>
      </w:r>
      <w:r>
        <w:t xml:space="preserve"> (the </w:t>
      </w:r>
      <w:r w:rsidRPr="007F404A">
        <w:rPr>
          <w:b/>
        </w:rPr>
        <w:t>AIP</w:t>
      </w:r>
      <w:r>
        <w:t xml:space="preserve">) (see </w:t>
      </w:r>
      <w:r w:rsidRPr="00D4528A">
        <w:t xml:space="preserve">section </w:t>
      </w:r>
      <w:r w:rsidRPr="007E36D0">
        <w:t>4.5</w:t>
      </w:r>
      <w:r>
        <w:t xml:space="preserve"> below) and in material sent out to registered bidders under </w:t>
      </w:r>
      <w:r w:rsidRPr="00D4528A">
        <w:t xml:space="preserve">section </w:t>
      </w:r>
      <w:r w:rsidR="000F2240" w:rsidRPr="007E36D0">
        <w:t>6.2</w:t>
      </w:r>
      <w:r w:rsidRPr="007E36D0">
        <w:t>.</w:t>
      </w:r>
    </w:p>
    <w:p w14:paraId="2E48C211" w14:textId="77777777" w:rsidR="00603AB1" w:rsidRPr="00181920" w:rsidRDefault="00603AB1" w:rsidP="00D67611">
      <w:pPr>
        <w:pStyle w:val="ACMAHeading3"/>
      </w:pPr>
      <w:r>
        <w:t>Section 4</w:t>
      </w:r>
      <w:r w:rsidRPr="00181920">
        <w:t>.2</w:t>
      </w:r>
      <w:r w:rsidRPr="00181920">
        <w:tab/>
      </w:r>
      <w:r>
        <w:t>Setting application fee</w:t>
      </w:r>
    </w:p>
    <w:p w14:paraId="3849BF59" w14:textId="77777777" w:rsidR="00603AB1" w:rsidRDefault="00603AB1" w:rsidP="00D67611">
      <w:pPr>
        <w:pStyle w:val="ACMABodyText"/>
      </w:pPr>
      <w:r>
        <w:t>This section states that the ACMA must set an application fee amount prior to inviting applications for the auction. This amount set will be included in a notice to advertise the auction and must be paid as part of a valid application.</w:t>
      </w:r>
    </w:p>
    <w:p w14:paraId="003E8384" w14:textId="77777777" w:rsidR="00603AB1" w:rsidRDefault="00603AB1" w:rsidP="00D67611">
      <w:pPr>
        <w:pStyle w:val="ACMAHeading3"/>
      </w:pPr>
      <w:r>
        <w:t>Section 4.3</w:t>
      </w:r>
      <w:r>
        <w:tab/>
        <w:t>Application fee not refundable</w:t>
      </w:r>
    </w:p>
    <w:p w14:paraId="79480BAF" w14:textId="77777777" w:rsidR="00603AB1" w:rsidRPr="00D00937" w:rsidRDefault="00603AB1" w:rsidP="00D67611">
      <w:pPr>
        <w:pStyle w:val="ACMABodyText"/>
        <w:rPr>
          <w:lang w:val="en-US"/>
        </w:rPr>
      </w:pPr>
      <w:r>
        <w:rPr>
          <w:lang w:val="en-US"/>
        </w:rPr>
        <w:t>This section states that the application fee to be paid under th</w:t>
      </w:r>
      <w:r w:rsidR="000252F9">
        <w:rPr>
          <w:lang w:val="en-US"/>
        </w:rPr>
        <w:t>e</w:t>
      </w:r>
      <w:r>
        <w:rPr>
          <w:lang w:val="en-US"/>
        </w:rPr>
        <w:t xml:space="preserve"> Determination as part of the application requirements will not be refunded to an applicant or bidder under any circumstances. The non-refundable nature of this payment is intended to deter applicants who do not genuinely wish to bid in the auction.</w:t>
      </w:r>
    </w:p>
    <w:p w14:paraId="5BF52346" w14:textId="77777777" w:rsidR="00603AB1" w:rsidRDefault="00603AB1" w:rsidP="00D67611">
      <w:pPr>
        <w:pStyle w:val="Divisionheadinglevel"/>
        <w:tabs>
          <w:tab w:val="left" w:pos="1843"/>
        </w:tabs>
        <w:ind w:left="1701" w:hanging="1701"/>
      </w:pPr>
      <w:r>
        <w:t>Division 2</w:t>
      </w:r>
      <w:r>
        <w:tab/>
        <w:t>Advertising auction</w:t>
      </w:r>
    </w:p>
    <w:p w14:paraId="66570F77" w14:textId="77777777" w:rsidR="00603AB1" w:rsidRPr="002F3373" w:rsidRDefault="00603AB1" w:rsidP="002F3373">
      <w:pPr>
        <w:pStyle w:val="ACMABodyText"/>
        <w:rPr>
          <w:lang w:val="en-US"/>
        </w:rPr>
      </w:pPr>
      <w:r w:rsidRPr="002F3373">
        <w:rPr>
          <w:lang w:val="en-US"/>
        </w:rPr>
        <w:t xml:space="preserve">This </w:t>
      </w:r>
      <w:r w:rsidR="00EE611B">
        <w:rPr>
          <w:lang w:val="en-US"/>
        </w:rPr>
        <w:t>D</w:t>
      </w:r>
      <w:r w:rsidRPr="002F3373">
        <w:rPr>
          <w:lang w:val="en-US"/>
        </w:rPr>
        <w:t>ivision</w:t>
      </w:r>
      <w:r>
        <w:rPr>
          <w:lang w:val="en-US"/>
        </w:rPr>
        <w:t xml:space="preserve"> explains the obligations of the ACMA to advertise the auction and make information about the auction available to the public.</w:t>
      </w:r>
    </w:p>
    <w:p w14:paraId="34F93CAC" w14:textId="77777777" w:rsidR="00603AB1" w:rsidRPr="00181920" w:rsidRDefault="00603AB1" w:rsidP="00D67611">
      <w:pPr>
        <w:pStyle w:val="ACMAHeading3"/>
      </w:pPr>
      <w:r>
        <w:lastRenderedPageBreak/>
        <w:t>Section 4</w:t>
      </w:r>
      <w:r w:rsidRPr="00181920">
        <w:t>.</w:t>
      </w:r>
      <w:r>
        <w:t>4</w:t>
      </w:r>
      <w:r w:rsidRPr="00181920">
        <w:tab/>
      </w:r>
      <w:r>
        <w:t>Advertising of auction by ACMA</w:t>
      </w:r>
    </w:p>
    <w:p w14:paraId="5899504D" w14:textId="4DB07A6A" w:rsidR="00603AB1" w:rsidRDefault="00603AB1" w:rsidP="00D67611">
      <w:pPr>
        <w:pStyle w:val="ACMABodyText"/>
        <w:rPr>
          <w:lang w:val="en-US"/>
        </w:rPr>
      </w:pPr>
      <w:r>
        <w:rPr>
          <w:lang w:val="en-US"/>
        </w:rPr>
        <w:t>This section states that the ACMA must publish a notice on its website (</w:t>
      </w:r>
      <w:r w:rsidRPr="00073C2B">
        <w:rPr>
          <w:lang w:val="en-US"/>
        </w:rPr>
        <w:t>www.acma.gov.au</w:t>
      </w:r>
      <w:r>
        <w:rPr>
          <w:lang w:val="en-US"/>
        </w:rPr>
        <w:t xml:space="preserve">) inviting interested persons to apply to the ACMA to participate in the auction. The notice will specify the spectrum to be allocated and will describe in general terms how the allocation will proceed. It will also inform prospective applicants how they may obtain </w:t>
      </w:r>
      <w:r w:rsidR="007B4B46">
        <w:rPr>
          <w:lang w:val="en-US"/>
        </w:rPr>
        <w:t>the AIP</w:t>
      </w:r>
      <w:r>
        <w:rPr>
          <w:lang w:val="en-US"/>
        </w:rPr>
        <w:t xml:space="preserve"> that will explain the </w:t>
      </w:r>
      <w:r w:rsidR="00750412">
        <w:rPr>
          <w:lang w:val="en-US"/>
        </w:rPr>
        <w:t>allocation process</w:t>
      </w:r>
      <w:r>
        <w:rPr>
          <w:lang w:val="en-US"/>
        </w:rPr>
        <w:t xml:space="preserve"> in greater detail.</w:t>
      </w:r>
    </w:p>
    <w:p w14:paraId="0CAA6E32" w14:textId="77777777" w:rsidR="00603AB1" w:rsidRDefault="00603AB1" w:rsidP="00D67611">
      <w:pPr>
        <w:pStyle w:val="ACMABodyText"/>
        <w:rPr>
          <w:lang w:val="en-US"/>
        </w:rPr>
      </w:pPr>
      <w:r>
        <w:rPr>
          <w:lang w:val="en-US"/>
        </w:rPr>
        <w:t xml:space="preserve">The deadlines for lodging the documentation and payments required for </w:t>
      </w:r>
      <w:r w:rsidR="007879B5">
        <w:rPr>
          <w:lang w:val="en-US"/>
        </w:rPr>
        <w:t>an</w:t>
      </w:r>
      <w:r>
        <w:rPr>
          <w:lang w:val="en-US"/>
        </w:rPr>
        <w:t xml:space="preserve"> application and eligibility nomination stages of registration to participate in the </w:t>
      </w:r>
      <w:r w:rsidR="00750412">
        <w:rPr>
          <w:lang w:val="en-US"/>
        </w:rPr>
        <w:t>allocation</w:t>
      </w:r>
      <w:r>
        <w:rPr>
          <w:lang w:val="en-US"/>
        </w:rPr>
        <w:t xml:space="preserve"> </w:t>
      </w:r>
      <w:r w:rsidR="00750412">
        <w:rPr>
          <w:lang w:val="en-US"/>
        </w:rPr>
        <w:t xml:space="preserve">process </w:t>
      </w:r>
      <w:r>
        <w:rPr>
          <w:lang w:val="en-US"/>
        </w:rPr>
        <w:t>will also be included in the notice.</w:t>
      </w:r>
    </w:p>
    <w:p w14:paraId="01522DF0" w14:textId="77777777" w:rsidR="00603AB1" w:rsidRDefault="00603AB1" w:rsidP="00D67611">
      <w:pPr>
        <w:pStyle w:val="ACMABodyText"/>
        <w:rPr>
          <w:lang w:val="en-US"/>
        </w:rPr>
      </w:pPr>
      <w:r>
        <w:rPr>
          <w:lang w:val="en-US"/>
        </w:rPr>
        <w:t>This section also notes that if there are any changes to information in the notice, the ACMA must publish another notice on its website with details of the change. Subsection (3) clarifies that the ACMA may also publish the information provided in the advertisement, and other information about the auction, by other means.</w:t>
      </w:r>
    </w:p>
    <w:p w14:paraId="48B90563" w14:textId="77777777" w:rsidR="00603AB1" w:rsidRPr="00BD63C4" w:rsidRDefault="00603AB1" w:rsidP="00D67611">
      <w:pPr>
        <w:pStyle w:val="ACMAHeading3"/>
      </w:pPr>
      <w:r>
        <w:t>Section 4.5</w:t>
      </w:r>
      <w:r w:rsidRPr="00BD63C4">
        <w:tab/>
        <w:t xml:space="preserve">Applicant </w:t>
      </w:r>
      <w:r w:rsidR="007879B5">
        <w:t>i</w:t>
      </w:r>
      <w:r w:rsidRPr="00BD63C4">
        <w:t xml:space="preserve">nformation </w:t>
      </w:r>
      <w:r w:rsidR="007879B5">
        <w:t>p</w:t>
      </w:r>
      <w:r w:rsidRPr="00BD63C4">
        <w:t>ack</w:t>
      </w:r>
      <w:r>
        <w:t>age</w:t>
      </w:r>
    </w:p>
    <w:p w14:paraId="7D107F74" w14:textId="77777777" w:rsidR="00603AB1" w:rsidRDefault="00603AB1" w:rsidP="00D67611">
      <w:pPr>
        <w:pStyle w:val="ACMABodyText"/>
      </w:pPr>
      <w:r>
        <w:t xml:space="preserve">The </w:t>
      </w:r>
      <w:r w:rsidR="00750412">
        <w:t>applicant information package (</w:t>
      </w:r>
      <w:r>
        <w:t>AIP</w:t>
      </w:r>
      <w:r w:rsidR="00750412">
        <w:t>)</w:t>
      </w:r>
      <w:r>
        <w:t xml:space="preserve"> is intended to give prospective participants the key information they need to decide whether to participate in the </w:t>
      </w:r>
      <w:r w:rsidR="00750412">
        <w:t>allocation process</w:t>
      </w:r>
      <w:r>
        <w:t xml:space="preserve">. </w:t>
      </w:r>
      <w:r w:rsidRPr="00BD63C4">
        <w:t xml:space="preserve">This section specifies the information that the </w:t>
      </w:r>
      <w:r w:rsidRPr="0053362D">
        <w:t>AIP</w:t>
      </w:r>
      <w:r>
        <w:t xml:space="preserve"> will contain. The AIP will</w:t>
      </w:r>
      <w:r w:rsidRPr="00BD63C4">
        <w:t xml:space="preserve"> include the </w:t>
      </w:r>
      <w:r w:rsidR="007879B5">
        <w:t xml:space="preserve">Determination and marketing plan, </w:t>
      </w:r>
      <w:r>
        <w:t xml:space="preserve">and </w:t>
      </w:r>
      <w:r w:rsidR="007879B5">
        <w:t xml:space="preserve">the </w:t>
      </w:r>
      <w:r>
        <w:t>Minister</w:t>
      </w:r>
      <w:r w:rsidR="00C80D9E">
        <w:t>’s</w:t>
      </w:r>
      <w:r>
        <w:t xml:space="preserve"> </w:t>
      </w:r>
      <w:r w:rsidR="000A2C54">
        <w:t xml:space="preserve">re-allocation </w:t>
      </w:r>
      <w:r>
        <w:t>declaration</w:t>
      </w:r>
      <w:r w:rsidR="000A2C54">
        <w:t>, designation notice,</w:t>
      </w:r>
      <w:r>
        <w:t xml:space="preserve"> and </w:t>
      </w:r>
      <w:r w:rsidR="00750412">
        <w:t>spectrum</w:t>
      </w:r>
      <w:r w:rsidR="00C80D9E">
        <w:t xml:space="preserve"> licence</w:t>
      </w:r>
      <w:r w:rsidR="00750412">
        <w:t xml:space="preserve"> limits </w:t>
      </w:r>
      <w:r>
        <w:t>direction</w:t>
      </w:r>
      <w:r w:rsidR="007879B5">
        <w:t>,</w:t>
      </w:r>
      <w:r>
        <w:t xml:space="preserve"> that provide the legal basis for the </w:t>
      </w:r>
      <w:r w:rsidR="000F2240">
        <w:t>1800 MHz</w:t>
      </w:r>
      <w:r>
        <w:t xml:space="preserve"> band</w:t>
      </w:r>
      <w:r w:rsidRPr="00BD63C4">
        <w:t xml:space="preserve"> allocation</w:t>
      </w:r>
      <w:r w:rsidR="000F2240">
        <w:t>.</w:t>
      </w:r>
      <w:r>
        <w:t xml:space="preserve"> </w:t>
      </w:r>
    </w:p>
    <w:p w14:paraId="7CF67E4C" w14:textId="78E76578" w:rsidR="00603AB1" w:rsidRPr="00BD63C4" w:rsidRDefault="00603AB1" w:rsidP="00D67611">
      <w:pPr>
        <w:pStyle w:val="ACMABodyText"/>
      </w:pPr>
      <w:r>
        <w:t>The AIP will provide information needed for a person to apply</w:t>
      </w:r>
      <w:r w:rsidR="007B4B46">
        <w:t xml:space="preserve"> to</w:t>
      </w:r>
      <w:r>
        <w:t xml:space="preserve"> be registered</w:t>
      </w:r>
      <w:r w:rsidR="007B4B46">
        <w:t xml:space="preserve"> as a bidder</w:t>
      </w:r>
      <w:r>
        <w:t xml:space="preserve">, </w:t>
      </w:r>
      <w:r w:rsidRPr="00BD63C4">
        <w:t xml:space="preserve">participate in the auction </w:t>
      </w:r>
      <w:r w:rsidR="000A2C54">
        <w:t>or pre-determined price allocation</w:t>
      </w:r>
      <w:r w:rsidR="00750412">
        <w:t>,</w:t>
      </w:r>
      <w:r w:rsidR="000A2C54">
        <w:t xml:space="preserve"> </w:t>
      </w:r>
      <w:r w:rsidRPr="00BD63C4">
        <w:t>and obtain spectrum licences.</w:t>
      </w:r>
      <w:r>
        <w:t xml:space="preserve"> All forms and documentation required for an applicant to apply and be registered to participate in the </w:t>
      </w:r>
      <w:r w:rsidR="00750412">
        <w:t>allocation</w:t>
      </w:r>
      <w:r>
        <w:t xml:space="preserve"> will be provided, except for the eligibility nomination form</w:t>
      </w:r>
      <w:r w:rsidR="00365496">
        <w:t xml:space="preserve"> (which will be provided later)</w:t>
      </w:r>
      <w:r>
        <w:t xml:space="preserve">. </w:t>
      </w:r>
    </w:p>
    <w:p w14:paraId="17581EE0" w14:textId="602CABF8" w:rsidR="00603AB1" w:rsidRDefault="00603AB1" w:rsidP="00D67611">
      <w:pPr>
        <w:pStyle w:val="ACMABodyText"/>
      </w:pPr>
      <w:r w:rsidRPr="00B0078B">
        <w:t>To assist interested parties to better understand the contents of the AIP, this package will include a covering paper which will set out a concise summary of how the allocation will take place as well as any other relevant information. This document is referred to in the Determination as the ‘guide to the auction’ (</w:t>
      </w:r>
      <w:r w:rsidR="00151246" w:rsidRPr="00B0078B">
        <w:t>paragrap</w:t>
      </w:r>
      <w:r w:rsidR="00750412" w:rsidRPr="00B0078B">
        <w:t>h</w:t>
      </w:r>
      <w:r w:rsidRPr="00B0078B">
        <w:t xml:space="preserve"> 4.5(1)(</w:t>
      </w:r>
      <w:r w:rsidR="000F2240" w:rsidRPr="00B0078B">
        <w:t>f</w:t>
      </w:r>
      <w:r w:rsidRPr="00B0078B">
        <w:t>)).</w:t>
      </w:r>
    </w:p>
    <w:p w14:paraId="2AA53531" w14:textId="77777777" w:rsidR="00603AB1" w:rsidRDefault="00365496" w:rsidP="00D67611">
      <w:pPr>
        <w:pStyle w:val="ACMABodyText"/>
      </w:pPr>
      <w:r>
        <w:t>T</w:t>
      </w:r>
      <w:r w:rsidR="00603AB1">
        <w:t xml:space="preserve">he ACMA must publish </w:t>
      </w:r>
      <w:r>
        <w:t xml:space="preserve">the AIP </w:t>
      </w:r>
      <w:r w:rsidR="00603AB1">
        <w:t>on its website</w:t>
      </w:r>
      <w:r>
        <w:t>. A</w:t>
      </w:r>
      <w:r w:rsidR="00603AB1">
        <w:t xml:space="preserve"> notice </w:t>
      </w:r>
      <w:r>
        <w:t xml:space="preserve">will also be published </w:t>
      </w:r>
      <w:r w:rsidR="00603AB1">
        <w:t>giving detail</w:t>
      </w:r>
      <w:r>
        <w:t>s</w:t>
      </w:r>
      <w:r w:rsidR="00603AB1">
        <w:t xml:space="preserve"> of any changes made to the AIP.</w:t>
      </w:r>
    </w:p>
    <w:p w14:paraId="1EF66D06" w14:textId="77777777" w:rsidR="00603AB1" w:rsidRDefault="00603AB1" w:rsidP="00745BF8">
      <w:pPr>
        <w:pStyle w:val="ACMAHeading3"/>
      </w:pPr>
      <w:r>
        <w:t>Section 4.6</w:t>
      </w:r>
      <w:r>
        <w:tab/>
        <w:t xml:space="preserve">Lot ratings and </w:t>
      </w:r>
      <w:r w:rsidR="000F2240">
        <w:t>starting</w:t>
      </w:r>
      <w:r>
        <w:t xml:space="preserve"> prices</w:t>
      </w:r>
    </w:p>
    <w:p w14:paraId="6EC138F2" w14:textId="77777777" w:rsidR="00603AB1" w:rsidRPr="000A7A16" w:rsidRDefault="00603AB1" w:rsidP="00745BF8">
      <w:pPr>
        <w:pStyle w:val="ACMABodyText"/>
      </w:pPr>
      <w:r w:rsidRPr="000A7A16">
        <w:t xml:space="preserve">This section </w:t>
      </w:r>
      <w:r>
        <w:t>provide</w:t>
      </w:r>
      <w:r w:rsidRPr="000A7A16">
        <w:t>s that the ACMA must set:</w:t>
      </w:r>
    </w:p>
    <w:p w14:paraId="05B29DD8" w14:textId="77777777" w:rsidR="0014129B" w:rsidRDefault="00603AB1" w:rsidP="00D87D37">
      <w:pPr>
        <w:pStyle w:val="ACMABodyText"/>
        <w:numPr>
          <w:ilvl w:val="0"/>
          <w:numId w:val="6"/>
        </w:numPr>
      </w:pPr>
      <w:r>
        <w:t>the lot rating</w:t>
      </w:r>
      <w:r w:rsidRPr="000A7A16">
        <w:t xml:space="preserve"> for </w:t>
      </w:r>
      <w:r>
        <w:t xml:space="preserve">each </w:t>
      </w:r>
      <w:r w:rsidR="006F3561">
        <w:t xml:space="preserve">lot </w:t>
      </w:r>
      <w:r w:rsidR="00750412">
        <w:t>in</w:t>
      </w:r>
      <w:r w:rsidR="006F3561">
        <w:t xml:space="preserve"> the auction</w:t>
      </w:r>
      <w:r w:rsidR="00365496">
        <w:t>;</w:t>
      </w:r>
    </w:p>
    <w:p w14:paraId="305E19BF" w14:textId="77777777" w:rsidR="0014129B" w:rsidRDefault="00603AB1" w:rsidP="00D87D37">
      <w:pPr>
        <w:pStyle w:val="ACMABodyText"/>
        <w:numPr>
          <w:ilvl w:val="0"/>
          <w:numId w:val="6"/>
        </w:numPr>
      </w:pPr>
      <w:r>
        <w:t>the dollar value of each initial eligibility point for the auction</w:t>
      </w:r>
      <w:r w:rsidR="00365496">
        <w:t>;</w:t>
      </w:r>
    </w:p>
    <w:p w14:paraId="250E89A8" w14:textId="77777777" w:rsidR="0014129B" w:rsidRDefault="00603AB1" w:rsidP="00D87D37">
      <w:pPr>
        <w:pStyle w:val="ACMABodyText"/>
        <w:numPr>
          <w:ilvl w:val="0"/>
          <w:numId w:val="6"/>
        </w:numPr>
      </w:pPr>
      <w:r w:rsidRPr="000A7A16">
        <w:t xml:space="preserve">the starting price for </w:t>
      </w:r>
      <w:r w:rsidR="006F3561">
        <w:t xml:space="preserve">the </w:t>
      </w:r>
      <w:r>
        <w:t>lots for</w:t>
      </w:r>
      <w:r w:rsidRPr="000A7A16">
        <w:t xml:space="preserve"> the first round</w:t>
      </w:r>
      <w:r w:rsidR="00EB6F18">
        <w:t>.</w:t>
      </w:r>
    </w:p>
    <w:p w14:paraId="39C3C0A2" w14:textId="77777777" w:rsidR="00603AB1" w:rsidRDefault="00603AB1" w:rsidP="007F404A">
      <w:pPr>
        <w:pStyle w:val="ACMABodyText"/>
      </w:pPr>
      <w:r>
        <w:t xml:space="preserve">After setting the lot ratings and </w:t>
      </w:r>
      <w:r w:rsidR="002D5233">
        <w:t xml:space="preserve">value of </w:t>
      </w:r>
      <w:r>
        <w:t xml:space="preserve">initial </w:t>
      </w:r>
      <w:r w:rsidR="002D5233">
        <w:t>eligibility points</w:t>
      </w:r>
      <w:r>
        <w:t>, the ACMA must approve an eligibility nomination form to be completed by applicants as part of the registration process. The ACMA must publish each amount set under section 4.6, and the approved eligibility nomination form on its website</w:t>
      </w:r>
      <w:r w:rsidR="000F2240">
        <w:t>.</w:t>
      </w:r>
      <w:r>
        <w:t xml:space="preserve">  </w:t>
      </w:r>
    </w:p>
    <w:p w14:paraId="25C1CF16" w14:textId="50D679F3" w:rsidR="00603AB1" w:rsidRDefault="00603AB1" w:rsidP="007F404A">
      <w:pPr>
        <w:pStyle w:val="ACMABodyText"/>
      </w:pPr>
      <w:r>
        <w:t>The eligibility nomination form must be used by applicants to nominate the number of initial eligibility points they wish to hold from the first round of the auction. It will be necessary for applicants to know the value of lot ratings</w:t>
      </w:r>
      <w:r w:rsidR="002D5233">
        <w:t>, value of each initial eligibility point</w:t>
      </w:r>
      <w:r>
        <w:t xml:space="preserve"> and </w:t>
      </w:r>
      <w:r w:rsidR="00774B51">
        <w:t>starting</w:t>
      </w:r>
      <w:r>
        <w:t xml:space="preserve"> prices</w:t>
      </w:r>
      <w:r w:rsidR="002D5233">
        <w:t xml:space="preserve"> for lots</w:t>
      </w:r>
      <w:r>
        <w:t xml:space="preserve"> set in </w:t>
      </w:r>
      <w:r w:rsidR="00774B51">
        <w:t>sub</w:t>
      </w:r>
      <w:r>
        <w:t>section 4.6</w:t>
      </w:r>
      <w:r w:rsidR="00774B51">
        <w:t>(1)</w:t>
      </w:r>
      <w:r>
        <w:t xml:space="preserve"> in order to calculate the number of initial eligibility points they need to bid on spectrum they wish to acquire. The ACMA </w:t>
      </w:r>
      <w:r w:rsidR="007B4B46">
        <w:t>will</w:t>
      </w:r>
      <w:r>
        <w:t xml:space="preserve"> ensure that the approved form includes a guide to calculating the number of initial eligibility points to be nominated by an applicant.</w:t>
      </w:r>
    </w:p>
    <w:p w14:paraId="1732365E" w14:textId="77777777" w:rsidR="00603AB1" w:rsidRPr="00B0078B" w:rsidRDefault="00603AB1">
      <w:pPr>
        <w:pStyle w:val="ACMABodyText"/>
      </w:pPr>
      <w:r w:rsidRPr="00B0078B">
        <w:lastRenderedPageBreak/>
        <w:t>It will also be necessary for applicants to know the value of the amounts</w:t>
      </w:r>
      <w:r w:rsidR="00774B51" w:rsidRPr="00B0078B">
        <w:t xml:space="preserve"> in subsection 4.6(1)</w:t>
      </w:r>
      <w:r w:rsidRPr="00B0078B">
        <w:t xml:space="preserve"> before they </w:t>
      </w:r>
      <w:r w:rsidR="00774B51" w:rsidRPr="00B0078B">
        <w:t>nominate</w:t>
      </w:r>
      <w:r w:rsidRPr="00B0078B">
        <w:t xml:space="preserve"> their initial eligibility </w:t>
      </w:r>
      <w:r w:rsidR="00774B51" w:rsidRPr="00B0078B">
        <w:t xml:space="preserve">points </w:t>
      </w:r>
      <w:r w:rsidRPr="00B0078B">
        <w:t>under section 4.1</w:t>
      </w:r>
      <w:r w:rsidR="000F2240" w:rsidRPr="00B0078B">
        <w:t>5</w:t>
      </w:r>
      <w:r w:rsidRPr="00B0078B">
        <w:t xml:space="preserve">. Applicants should be aware that the value of each initial eligibility point will not necessarily be equal to the </w:t>
      </w:r>
      <w:r w:rsidR="00B57635" w:rsidRPr="00B0078B">
        <w:t xml:space="preserve">starting </w:t>
      </w:r>
      <w:r w:rsidRPr="00B0078B">
        <w:t>price of a lot divided by the lot rating for the same lot. This is because the ACMA has discretion to set a discounted value for initial eligibility points. The effect of this would be to make the eligibility payment</w:t>
      </w:r>
      <w:r w:rsidR="00F40C52">
        <w:t>, or amount to be secured under a deed of financial security,</w:t>
      </w:r>
      <w:r w:rsidRPr="00B0078B">
        <w:t xml:space="preserve"> required from applicants under section 4.1</w:t>
      </w:r>
      <w:r w:rsidR="000F2240" w:rsidRPr="00B0078B">
        <w:t>6</w:t>
      </w:r>
      <w:r w:rsidR="00F40C52">
        <w:t>,</w:t>
      </w:r>
      <w:r w:rsidRPr="00B0078B">
        <w:t xml:space="preserve"> less than the combined</w:t>
      </w:r>
      <w:r w:rsidR="00B57635" w:rsidRPr="00B0078B">
        <w:t xml:space="preserve"> starting </w:t>
      </w:r>
      <w:r w:rsidRPr="00B0078B">
        <w:t>price</w:t>
      </w:r>
      <w:r w:rsidR="00F40C52">
        <w:t>s</w:t>
      </w:r>
      <w:r w:rsidRPr="00B0078B">
        <w:t xml:space="preserve"> for all lots that they wish to be able to bid on from the first round.</w:t>
      </w:r>
    </w:p>
    <w:p w14:paraId="7C5C708A" w14:textId="77777777" w:rsidR="00603AB1" w:rsidRDefault="00603AB1" w:rsidP="00197D79">
      <w:pPr>
        <w:pStyle w:val="ACMABodyText"/>
        <w:jc w:val="both"/>
      </w:pPr>
      <w:r w:rsidRPr="00B0078B">
        <w:t>It will not be possible within the auction system for an applicant to place a bid for an amount below the starting price.</w:t>
      </w:r>
    </w:p>
    <w:p w14:paraId="01564769" w14:textId="0E0FE808" w:rsidR="00B0078B" w:rsidRPr="002B0A00" w:rsidRDefault="00603AB1" w:rsidP="00B0078B">
      <w:pPr>
        <w:pStyle w:val="ACMABodyText"/>
      </w:pPr>
      <w:r w:rsidRPr="00B0078B">
        <w:t>As well as providing the basis for applicants to nominate their initial eligibility</w:t>
      </w:r>
      <w:r w:rsidR="0021556D" w:rsidRPr="00B0078B">
        <w:t xml:space="preserve"> points</w:t>
      </w:r>
      <w:r w:rsidRPr="00B0078B">
        <w:t xml:space="preserve">, lot ratings will also be used to apply the auction activity rules that will enable each bidder to bid flexibly on its </w:t>
      </w:r>
      <w:r w:rsidR="007B4B46">
        <w:t>desired</w:t>
      </w:r>
      <w:r w:rsidRPr="00B0078B">
        <w:t xml:space="preserve"> package</w:t>
      </w:r>
      <w:r w:rsidR="00BF0308" w:rsidRPr="00B0078B">
        <w:t xml:space="preserve"> of lots</w:t>
      </w:r>
      <w:r w:rsidRPr="00B0078B">
        <w:t xml:space="preserve"> in each auction round. Each registered applicant will be able to bid on any package of lots, where the total lot rating</w:t>
      </w:r>
      <w:r w:rsidR="00F40C52">
        <w:t>s</w:t>
      </w:r>
      <w:r w:rsidRPr="00B0078B">
        <w:t xml:space="preserve"> amount for the package is the same as, or smaller than, their initial eligibility</w:t>
      </w:r>
      <w:r w:rsidR="0021556D" w:rsidRPr="00B0078B">
        <w:t xml:space="preserve"> points</w:t>
      </w:r>
      <w:r w:rsidRPr="00B0078B">
        <w:t xml:space="preserve">. </w:t>
      </w:r>
      <w:r w:rsidR="00B0078B" w:rsidRPr="002B0A00">
        <w:t xml:space="preserve">Bidders who lose eligibility </w:t>
      </w:r>
      <w:r w:rsidR="00B0078B">
        <w:t xml:space="preserve">points </w:t>
      </w:r>
      <w:r w:rsidR="00B0078B" w:rsidRPr="002B0A00">
        <w:t>for</w:t>
      </w:r>
      <w:r w:rsidR="00B0078B">
        <w:t xml:space="preserve"> </w:t>
      </w:r>
      <w:r w:rsidR="00B0078B" w:rsidRPr="002B0A00">
        <w:t>under-activity will, in future rounds, only be able to bid in accordance with their</w:t>
      </w:r>
      <w:r w:rsidR="00B0078B">
        <w:t xml:space="preserve"> </w:t>
      </w:r>
      <w:r w:rsidR="00B0078B" w:rsidRPr="002B0A00">
        <w:t xml:space="preserve">reduced eligibility </w:t>
      </w:r>
      <w:r w:rsidR="00B0078B">
        <w:t>points</w:t>
      </w:r>
      <w:r w:rsidR="00B0078B" w:rsidRPr="002B0A00">
        <w:t xml:space="preserve">. </w:t>
      </w:r>
      <w:r w:rsidR="00B0078B" w:rsidRPr="00B0078B">
        <w:t xml:space="preserve">Once lost, eligibility points cannot be recovered.  The </w:t>
      </w:r>
      <w:r w:rsidR="00B0078B" w:rsidRPr="002B0A00">
        <w:t xml:space="preserve">ACMA’s auction </w:t>
      </w:r>
      <w:r w:rsidR="00B0078B">
        <w:t>system i</w:t>
      </w:r>
      <w:r w:rsidR="00B0078B" w:rsidRPr="002B0A00">
        <w:t xml:space="preserve">ncorporates a facility to give </w:t>
      </w:r>
      <w:r w:rsidR="00E37D5B">
        <w:t xml:space="preserve">a </w:t>
      </w:r>
      <w:r w:rsidR="00B0078B" w:rsidRPr="002B0A00">
        <w:t>bidder a running</w:t>
      </w:r>
      <w:r w:rsidR="00B0078B">
        <w:t xml:space="preserve"> </w:t>
      </w:r>
      <w:r w:rsidR="00B0078B" w:rsidRPr="002B0A00">
        <w:t xml:space="preserve">total of </w:t>
      </w:r>
      <w:r w:rsidR="00E37D5B">
        <w:t>its</w:t>
      </w:r>
      <w:r w:rsidR="00B0078B" w:rsidRPr="002B0A00">
        <w:t xml:space="preserve"> activity during the auction</w:t>
      </w:r>
      <w:r w:rsidR="00E37D5B">
        <w:t xml:space="preserve"> and whether a bidder is meeting its activity target</w:t>
      </w:r>
      <w:r w:rsidR="00B0078B" w:rsidRPr="002B0A00">
        <w:t>. The system provides a warning notification if a</w:t>
      </w:r>
      <w:r w:rsidR="00B0078B">
        <w:t xml:space="preserve"> </w:t>
      </w:r>
      <w:r w:rsidR="00B0078B" w:rsidRPr="002B0A00">
        <w:t>bid instruction does not contain enough activity to meet the bidder’s current activity</w:t>
      </w:r>
      <w:r w:rsidR="00B0078B">
        <w:t xml:space="preserve"> </w:t>
      </w:r>
      <w:r w:rsidR="00B0078B" w:rsidRPr="002B0A00">
        <w:t>target.</w:t>
      </w:r>
    </w:p>
    <w:p w14:paraId="65FE4290" w14:textId="285F7D8D" w:rsidR="00603AB1" w:rsidRPr="00197D79" w:rsidRDefault="00603AB1" w:rsidP="00197D79">
      <w:pPr>
        <w:pStyle w:val="ACMABodyText"/>
        <w:jc w:val="both"/>
      </w:pPr>
      <w:r w:rsidRPr="00B57635">
        <w:t xml:space="preserve">Further information about bidding constraints is </w:t>
      </w:r>
      <w:r w:rsidR="007B4B46">
        <w:t>set out</w:t>
      </w:r>
      <w:r w:rsidRPr="00B57635">
        <w:t xml:space="preserve"> in</w:t>
      </w:r>
      <w:r w:rsidR="0021556D">
        <w:t xml:space="preserve"> relation to</w:t>
      </w:r>
      <w:r w:rsidRPr="00B57635">
        <w:t xml:space="preserve"> Schedule 1</w:t>
      </w:r>
      <w:r w:rsidR="0021556D">
        <w:t xml:space="preserve"> of the Determination</w:t>
      </w:r>
      <w:r w:rsidRPr="00B57635">
        <w:t xml:space="preserve"> below</w:t>
      </w:r>
      <w:r w:rsidR="0021556D">
        <w:t>.</w:t>
      </w:r>
    </w:p>
    <w:p w14:paraId="664C69B9" w14:textId="342C15C4" w:rsidR="00603AB1" w:rsidRPr="00197D79" w:rsidRDefault="006F3561" w:rsidP="007B4B46">
      <w:pPr>
        <w:pStyle w:val="ACMABodyText"/>
      </w:pPr>
      <w:r>
        <w:t>S</w:t>
      </w:r>
      <w:r w:rsidR="00603AB1" w:rsidRPr="00197D79">
        <w:t>etting appropriate lot ratings is important to reduce the scope for strategic gaming behaviour by bidders. Lot ratings, and their relationship to an applicant’s eligibility</w:t>
      </w:r>
      <w:r w:rsidR="0021556D">
        <w:t xml:space="preserve"> points</w:t>
      </w:r>
      <w:r w:rsidR="00603AB1" w:rsidRPr="00197D79">
        <w:t xml:space="preserve">, will be used to require applicants to maintain a level of bidding activity </w:t>
      </w:r>
      <w:r w:rsidR="00BF0308">
        <w:t xml:space="preserve">(activity target) </w:t>
      </w:r>
      <w:r w:rsidR="00603AB1" w:rsidRPr="00197D79">
        <w:t xml:space="preserve">throughout the auction if they wish to retain maximum flexibility to bid on desired packages of lots. This activity </w:t>
      </w:r>
      <w:r w:rsidR="00BF0308">
        <w:t xml:space="preserve">target </w:t>
      </w:r>
      <w:r w:rsidR="00603AB1" w:rsidRPr="00197D79">
        <w:t xml:space="preserve">requirement is designed to promote truthful bidding and price discovery during the auction. It will also </w:t>
      </w:r>
      <w:r w:rsidR="007B4B46">
        <w:t>deter</w:t>
      </w:r>
      <w:r w:rsidR="00603AB1" w:rsidRPr="00197D79">
        <w:t xml:space="preserve"> applicants from waiting until the end of the auction before revealing their true bidding preferences in an attempt to keep prices low (</w:t>
      </w:r>
      <w:r w:rsidR="00A07DAB">
        <w:t>a practice sometimes referred to as ‘</w:t>
      </w:r>
      <w:r w:rsidR="00603AB1" w:rsidRPr="00197D79">
        <w:t>bid sniping</w:t>
      </w:r>
      <w:r w:rsidR="00A07DAB">
        <w:t>’</w:t>
      </w:r>
      <w:r w:rsidR="00603AB1" w:rsidRPr="00197D79">
        <w:t>).</w:t>
      </w:r>
    </w:p>
    <w:p w14:paraId="1C80DA97" w14:textId="77777777" w:rsidR="00603AB1" w:rsidRPr="00AF0732" w:rsidRDefault="00603AB1" w:rsidP="00AF0732">
      <w:pPr>
        <w:pStyle w:val="Divisionheadinglevel"/>
        <w:tabs>
          <w:tab w:val="left" w:pos="1843"/>
        </w:tabs>
        <w:ind w:left="1701" w:hanging="1701"/>
        <w:jc w:val="both"/>
        <w:rPr>
          <w:szCs w:val="22"/>
        </w:rPr>
      </w:pPr>
      <w:r w:rsidRPr="00AF0732">
        <w:rPr>
          <w:szCs w:val="22"/>
        </w:rPr>
        <w:t>Division 3</w:t>
      </w:r>
      <w:r w:rsidRPr="00AF0732">
        <w:rPr>
          <w:szCs w:val="22"/>
        </w:rPr>
        <w:tab/>
        <w:t>Application to participate in auction</w:t>
      </w:r>
    </w:p>
    <w:p w14:paraId="164E9A6A" w14:textId="77777777" w:rsidR="00603AB1" w:rsidRDefault="00603AB1" w:rsidP="00AF0732">
      <w:pPr>
        <w:pStyle w:val="ACMABodyText"/>
        <w:jc w:val="both"/>
      </w:pPr>
      <w:r w:rsidRPr="00AF0732">
        <w:t xml:space="preserve">This </w:t>
      </w:r>
      <w:r w:rsidR="0092561A">
        <w:t>D</w:t>
      </w:r>
      <w:r w:rsidRPr="00AF0732">
        <w:t>ivision sets out how a person can apply</w:t>
      </w:r>
      <w:r>
        <w:t xml:space="preserve"> to participate in the auction. It also explains the process for resolving affiliations identified between applicants before applicants are registered.</w:t>
      </w:r>
    </w:p>
    <w:p w14:paraId="608699E4" w14:textId="77777777" w:rsidR="00603AB1" w:rsidRPr="00181920" w:rsidRDefault="00603AB1" w:rsidP="00D67611">
      <w:pPr>
        <w:pStyle w:val="ACMAHeading3"/>
      </w:pPr>
      <w:r>
        <w:t>Section 4</w:t>
      </w:r>
      <w:r w:rsidRPr="00181920">
        <w:t>.</w:t>
      </w:r>
      <w:r>
        <w:t>7</w:t>
      </w:r>
      <w:r w:rsidRPr="00181920">
        <w:tab/>
      </w:r>
      <w:r>
        <w:t>Lodging application</w:t>
      </w:r>
    </w:p>
    <w:p w14:paraId="26CAA150" w14:textId="42BB08C4" w:rsidR="00603AB1" w:rsidRDefault="00603AB1" w:rsidP="00D67611">
      <w:pPr>
        <w:pStyle w:val="ACMABodyText"/>
      </w:pPr>
      <w:r>
        <w:t xml:space="preserve">To take part in the auction, </w:t>
      </w:r>
      <w:r w:rsidR="008212D9">
        <w:t>a person</w:t>
      </w:r>
      <w:r>
        <w:t xml:space="preserve"> must first apply to the ACMA to be registered as </w:t>
      </w:r>
      <w:r w:rsidR="008212D9">
        <w:t>a bidder</w:t>
      </w:r>
      <w:r>
        <w:t>. This section sets out the required documents and forms that a</w:t>
      </w:r>
      <w:r w:rsidR="008212D9">
        <w:t>n</w:t>
      </w:r>
      <w:r>
        <w:t xml:space="preserve"> applicant must submit, and the application fee that the applicant must pay, to the ACMA. For an application to be considered valid, applicants must do the following before the application deadline:</w:t>
      </w:r>
    </w:p>
    <w:p w14:paraId="469B399A" w14:textId="54BE63EC" w:rsidR="0014129B" w:rsidRDefault="00603AB1">
      <w:pPr>
        <w:pStyle w:val="ACMABodyText"/>
        <w:numPr>
          <w:ilvl w:val="0"/>
          <w:numId w:val="4"/>
        </w:numPr>
      </w:pPr>
      <w:r>
        <w:t>lod</w:t>
      </w:r>
      <w:r w:rsidR="008212D9">
        <w:t>ge a completed application form;</w:t>
      </w:r>
    </w:p>
    <w:p w14:paraId="4BFDA3FC" w14:textId="7B2AF418" w:rsidR="0014129B" w:rsidRDefault="00603AB1">
      <w:pPr>
        <w:pStyle w:val="ACMABodyText"/>
        <w:numPr>
          <w:ilvl w:val="0"/>
          <w:numId w:val="4"/>
        </w:numPr>
      </w:pPr>
      <w:r>
        <w:t>lodge a signed Deed of Acknowledgement completed by the applicant, which specifies that the applicant agrees to be bound by</w:t>
      </w:r>
      <w:r w:rsidR="008212D9">
        <w:t xml:space="preserve"> the terms of the Determination;</w:t>
      </w:r>
    </w:p>
    <w:p w14:paraId="5C88C89F" w14:textId="6F7297DE" w:rsidR="006F3561" w:rsidRDefault="006F3561" w:rsidP="006F3561">
      <w:pPr>
        <w:pStyle w:val="ACMABodyText"/>
        <w:numPr>
          <w:ilvl w:val="0"/>
          <w:numId w:val="4"/>
        </w:numPr>
      </w:pPr>
      <w:r>
        <w:t>lodge a signed Deed of Confidentia</w:t>
      </w:r>
      <w:r w:rsidR="008212D9">
        <w:t>lity completed by the applicant;</w:t>
      </w:r>
    </w:p>
    <w:p w14:paraId="06855FF2" w14:textId="77777777" w:rsidR="0014129B" w:rsidRDefault="00603AB1">
      <w:pPr>
        <w:pStyle w:val="ACMABodyText"/>
        <w:numPr>
          <w:ilvl w:val="0"/>
          <w:numId w:val="4"/>
        </w:numPr>
      </w:pPr>
      <w:r>
        <w:t>pay the application fee set by the ACMA under section 4.2, in the manner specified in section 1.7.</w:t>
      </w:r>
    </w:p>
    <w:p w14:paraId="45BE74C5" w14:textId="77777777" w:rsidR="00603AB1" w:rsidRDefault="00603AB1" w:rsidP="00AE0958">
      <w:pPr>
        <w:pStyle w:val="ACMABodyText"/>
      </w:pPr>
      <w:r>
        <w:t xml:space="preserve">Blank copies of the application form and the </w:t>
      </w:r>
      <w:r w:rsidR="00697B04">
        <w:t>2</w:t>
      </w:r>
      <w:r>
        <w:t xml:space="preserve"> deeds will be provided in the AIP.</w:t>
      </w:r>
    </w:p>
    <w:p w14:paraId="369289B3" w14:textId="1397E33A" w:rsidR="00603AB1" w:rsidRDefault="00603AB1" w:rsidP="00AE0958">
      <w:pPr>
        <w:pStyle w:val="ACMABodyText"/>
      </w:pPr>
      <w:r>
        <w:lastRenderedPageBreak/>
        <w:t xml:space="preserve">For any documents lodged by email or fax, original documents must be received by the ACMA within </w:t>
      </w:r>
      <w:r w:rsidR="00BC2012">
        <w:t>3</w:t>
      </w:r>
      <w:r>
        <w:t xml:space="preserve"> working days </w:t>
      </w:r>
      <w:r w:rsidR="008212D9">
        <w:t>after</w:t>
      </w:r>
      <w:r>
        <w:t xml:space="preserve"> the application deadline. That is, the original of such documents must be physically delivered to the ACMA. At its discretion, the ACMA can grant an extension to the date by which an applicant must deliver original documents.</w:t>
      </w:r>
    </w:p>
    <w:p w14:paraId="2EB97397" w14:textId="13927492" w:rsidR="00603AB1" w:rsidRDefault="00603AB1" w:rsidP="00AE0958">
      <w:pPr>
        <w:pStyle w:val="ACMABodyText"/>
      </w:pPr>
      <w:r>
        <w:t xml:space="preserve">The confidentiality provisions in </w:t>
      </w:r>
      <w:r w:rsidRPr="00E37D5B">
        <w:t xml:space="preserve">section </w:t>
      </w:r>
      <w:r w:rsidRPr="007E36D0">
        <w:t>3.6</w:t>
      </w:r>
      <w:r>
        <w:t xml:space="preserve"> also require each applicant to provide a signed deed of confidentiality from each related person </w:t>
      </w:r>
      <w:r w:rsidR="008212D9">
        <w:t>identified in that section</w:t>
      </w:r>
      <w:r>
        <w:t xml:space="preserve">. </w:t>
      </w:r>
    </w:p>
    <w:p w14:paraId="1B944059" w14:textId="77777777" w:rsidR="00603AB1" w:rsidRDefault="00603AB1" w:rsidP="00D67611">
      <w:pPr>
        <w:pStyle w:val="ACMABodyText"/>
      </w:pPr>
      <w:r>
        <w:t xml:space="preserve">Instructions on how to lodge documents are explained in </w:t>
      </w:r>
      <w:r w:rsidRPr="00E37D5B">
        <w:t xml:space="preserve">section </w:t>
      </w:r>
      <w:r w:rsidRPr="007E36D0">
        <w:t>1.6</w:t>
      </w:r>
      <w:r w:rsidRPr="00E37D5B">
        <w:t>.</w:t>
      </w:r>
      <w:r>
        <w:t xml:space="preserve"> An applicant may also lodge an updated document at any time prior to the application deadline, but not afterwards.</w:t>
      </w:r>
    </w:p>
    <w:p w14:paraId="21755DAA" w14:textId="77777777" w:rsidR="00603AB1" w:rsidRDefault="00603AB1" w:rsidP="00D67611">
      <w:pPr>
        <w:pStyle w:val="ACMABodyText"/>
        <w:rPr>
          <w:b/>
        </w:rPr>
      </w:pPr>
      <w:r w:rsidRPr="00DC535C">
        <w:rPr>
          <w:b/>
        </w:rPr>
        <w:t>Section 4.8</w:t>
      </w:r>
      <w:r w:rsidRPr="00DC535C">
        <w:rPr>
          <w:b/>
        </w:rPr>
        <w:tab/>
      </w:r>
      <w:r>
        <w:rPr>
          <w:b/>
        </w:rPr>
        <w:t xml:space="preserve">    Applicants to notify </w:t>
      </w:r>
      <w:r w:rsidRPr="00DC535C">
        <w:rPr>
          <w:b/>
        </w:rPr>
        <w:t>ACMA if application information incorrect</w:t>
      </w:r>
    </w:p>
    <w:p w14:paraId="2E97199A" w14:textId="77777777" w:rsidR="00603AB1" w:rsidRPr="002E1037" w:rsidRDefault="00603AB1" w:rsidP="00D67611">
      <w:pPr>
        <w:pStyle w:val="ACMABodyText"/>
      </w:pPr>
      <w:r>
        <w:t>This section requires an applicant to provide the ACMA with correct information, if it becomes aware that information in its application has changed or is incorrect.</w:t>
      </w:r>
    </w:p>
    <w:p w14:paraId="75BDF06D" w14:textId="77777777" w:rsidR="00603AB1" w:rsidRPr="00BD63C4" w:rsidRDefault="00603AB1" w:rsidP="00D67611">
      <w:pPr>
        <w:pStyle w:val="ACMAHeading3"/>
        <w:rPr>
          <w:b w:val="0"/>
          <w:i/>
        </w:rPr>
      </w:pPr>
      <w:r>
        <w:t>Section 4.9</w:t>
      </w:r>
      <w:r w:rsidRPr="00181920">
        <w:tab/>
      </w:r>
      <w:r>
        <w:t>Applicant to provide statutory declaration</w:t>
      </w:r>
    </w:p>
    <w:p w14:paraId="12BD6A61" w14:textId="748ECBD8" w:rsidR="00603AB1" w:rsidRDefault="00603AB1" w:rsidP="00D67611">
      <w:pPr>
        <w:pStyle w:val="ACMABodyText"/>
      </w:pPr>
      <w:r>
        <w:t xml:space="preserve">To ensure that affiliated applicants do not participate in the auction as separate bidders, </w:t>
      </w:r>
      <w:r w:rsidRPr="008E4CE0">
        <w:t>the AC</w:t>
      </w:r>
      <w:r>
        <w:t>M</w:t>
      </w:r>
      <w:r w:rsidRPr="008E4CE0">
        <w:t xml:space="preserve">A </w:t>
      </w:r>
      <w:r>
        <w:t xml:space="preserve">has included procedures </w:t>
      </w:r>
      <w:r w:rsidRPr="008E4CE0">
        <w:t>to</w:t>
      </w:r>
      <w:r>
        <w:t xml:space="preserve"> identify</w:t>
      </w:r>
      <w:r w:rsidRPr="008E4CE0">
        <w:t xml:space="preserve"> </w:t>
      </w:r>
      <w:r>
        <w:t>affiliated</w:t>
      </w:r>
      <w:r w:rsidRPr="008E4CE0">
        <w:t xml:space="preserve"> applicants</w:t>
      </w:r>
      <w:r>
        <w:t xml:space="preserve"> before the commencement of the auction. This provision </w:t>
      </w:r>
      <w:r w:rsidRPr="008E4CE0">
        <w:t>sets out the requirement</w:t>
      </w:r>
      <w:r>
        <w:t>s</w:t>
      </w:r>
      <w:r w:rsidRPr="008E4CE0">
        <w:t xml:space="preserve"> </w:t>
      </w:r>
      <w:r>
        <w:t>that will assist</w:t>
      </w:r>
      <w:r w:rsidRPr="008E4CE0">
        <w:t xml:space="preserve"> the ACMA to</w:t>
      </w:r>
      <w:r>
        <w:t xml:space="preserve"> identify whether </w:t>
      </w:r>
      <w:r w:rsidR="00697B04">
        <w:t>2</w:t>
      </w:r>
      <w:r>
        <w:t xml:space="preserve"> or more applicants are affiliated. </w:t>
      </w:r>
    </w:p>
    <w:p w14:paraId="07A6CA8E" w14:textId="00625279" w:rsidR="00603AB1" w:rsidRPr="002E0DBC" w:rsidRDefault="00603AB1" w:rsidP="00D67611">
      <w:pPr>
        <w:pStyle w:val="ACMABodyText"/>
      </w:pPr>
      <w:r>
        <w:t>A</w:t>
      </w:r>
      <w:r w:rsidRPr="008E4CE0">
        <w:t>fter the application deadline</w:t>
      </w:r>
      <w:r>
        <w:t>, the ACMA will</w:t>
      </w:r>
      <w:r w:rsidRPr="008E4CE0">
        <w:t xml:space="preserve"> provide </w:t>
      </w:r>
      <w:r>
        <w:t>each applicant</w:t>
      </w:r>
      <w:r w:rsidRPr="008E4CE0">
        <w:t xml:space="preserve"> </w:t>
      </w:r>
      <w:r>
        <w:t>with a list</w:t>
      </w:r>
      <w:r w:rsidRPr="008E4CE0">
        <w:t xml:space="preserve"> </w:t>
      </w:r>
      <w:r>
        <w:t>of</w:t>
      </w:r>
      <w:r w:rsidRPr="008E4CE0">
        <w:t xml:space="preserve"> all other applicants, and the persons those applicants have i</w:t>
      </w:r>
      <w:r>
        <w:t>dentified as their associates. The information distributed will be based on details</w:t>
      </w:r>
      <w:r w:rsidRPr="008E4CE0">
        <w:t xml:space="preserve"> provided as part of </w:t>
      </w:r>
      <w:r>
        <w:t>each person’s</w:t>
      </w:r>
      <w:r w:rsidRPr="008E4CE0">
        <w:t xml:space="preserve"> application.</w:t>
      </w:r>
      <w:r>
        <w:t xml:space="preserve"> The application form </w:t>
      </w:r>
      <w:r w:rsidR="008212D9">
        <w:t xml:space="preserve">will </w:t>
      </w:r>
      <w:r>
        <w:t>include a requirement for applicants to provide information about themselves as well as their associates.</w:t>
      </w:r>
    </w:p>
    <w:p w14:paraId="24B56FB9" w14:textId="77777777" w:rsidR="00603AB1" w:rsidRDefault="00603AB1" w:rsidP="00D67611">
      <w:pPr>
        <w:pStyle w:val="ACMABodyText"/>
      </w:pPr>
      <w:r>
        <w:t xml:space="preserve">The ACMA will ask each </w:t>
      </w:r>
      <w:r w:rsidRPr="008E4CE0">
        <w:t xml:space="preserve">applicant to </w:t>
      </w:r>
      <w:r>
        <w:t xml:space="preserve">identify from </w:t>
      </w:r>
      <w:r w:rsidRPr="008E4CE0">
        <w:t xml:space="preserve">the list provided </w:t>
      </w:r>
      <w:r>
        <w:t xml:space="preserve">by the ACMA whether they are affiliated with any other applicant. Under this section, applicants must then </w:t>
      </w:r>
      <w:r w:rsidRPr="008E4CE0">
        <w:t>make a statutory</w:t>
      </w:r>
      <w:r>
        <w:t xml:space="preserve"> declaration to the ACMA stating whether they are affiliated with another applicant, and if so, giving details of that affiliation. Applicants will have at least </w:t>
      </w:r>
      <w:r w:rsidR="00BC2012">
        <w:t>5</w:t>
      </w:r>
      <w:r>
        <w:t xml:space="preserve"> working days after the date of the ACMA’s request under this section to provide a statutory declaration. This timeframe is intended to give applicants sufficient time to provide accurate information in the statutory declaration, without unduly delaying the </w:t>
      </w:r>
      <w:r w:rsidR="00DC7EF1">
        <w:t>commencement</w:t>
      </w:r>
      <w:r w:rsidR="00971C86">
        <w:t xml:space="preserve"> of the allocation processes under the Determination</w:t>
      </w:r>
      <w:r>
        <w:t>.</w:t>
      </w:r>
    </w:p>
    <w:p w14:paraId="5F8BC048" w14:textId="77777777" w:rsidR="00603AB1" w:rsidRPr="00D67611" w:rsidRDefault="00603AB1" w:rsidP="00D67611">
      <w:pPr>
        <w:pStyle w:val="ACMAHeading3"/>
        <w:spacing w:before="80" w:after="120" w:line="280" w:lineRule="atLeast"/>
        <w:rPr>
          <w:b w:val="0"/>
          <w:snapToGrid w:val="0"/>
          <w:lang w:val="en-AU"/>
        </w:rPr>
      </w:pPr>
      <w:r w:rsidRPr="00F05082">
        <w:rPr>
          <w:b w:val="0"/>
          <w:snapToGrid w:val="0"/>
          <w:lang w:val="en-AU"/>
        </w:rPr>
        <w:t xml:space="preserve">Where </w:t>
      </w:r>
      <w:r>
        <w:rPr>
          <w:b w:val="0"/>
          <w:snapToGrid w:val="0"/>
          <w:lang w:val="en-AU"/>
        </w:rPr>
        <w:t xml:space="preserve">the ACMA is satisfied that </w:t>
      </w:r>
      <w:r w:rsidRPr="00F05082">
        <w:rPr>
          <w:b w:val="0"/>
          <w:snapToGrid w:val="0"/>
          <w:lang w:val="en-AU"/>
        </w:rPr>
        <w:t xml:space="preserve">an </w:t>
      </w:r>
      <w:r>
        <w:rPr>
          <w:b w:val="0"/>
          <w:snapToGrid w:val="0"/>
          <w:lang w:val="en-AU"/>
        </w:rPr>
        <w:t>affiliation</w:t>
      </w:r>
      <w:r w:rsidRPr="00F05082">
        <w:rPr>
          <w:b w:val="0"/>
          <w:snapToGrid w:val="0"/>
          <w:lang w:val="en-AU"/>
        </w:rPr>
        <w:t xml:space="preserve"> </w:t>
      </w:r>
      <w:r>
        <w:rPr>
          <w:b w:val="0"/>
          <w:snapToGrid w:val="0"/>
          <w:lang w:val="en-AU"/>
        </w:rPr>
        <w:t>exists</w:t>
      </w:r>
      <w:r w:rsidRPr="00F05082">
        <w:rPr>
          <w:b w:val="0"/>
          <w:snapToGrid w:val="0"/>
          <w:lang w:val="en-AU"/>
        </w:rPr>
        <w:t xml:space="preserve"> between </w:t>
      </w:r>
      <w:r w:rsidR="00697B04">
        <w:rPr>
          <w:b w:val="0"/>
          <w:snapToGrid w:val="0"/>
          <w:lang w:val="en-AU"/>
        </w:rPr>
        <w:t>2</w:t>
      </w:r>
      <w:r w:rsidRPr="00F05082">
        <w:rPr>
          <w:b w:val="0"/>
          <w:snapToGrid w:val="0"/>
          <w:lang w:val="en-AU"/>
        </w:rPr>
        <w:t xml:space="preserve"> or more applicants, the applicants will be required to choose one of the o</w:t>
      </w:r>
      <w:r>
        <w:rPr>
          <w:b w:val="0"/>
          <w:snapToGrid w:val="0"/>
          <w:lang w:val="en-AU"/>
        </w:rPr>
        <w:t xml:space="preserve">ptions available </w:t>
      </w:r>
      <w:r w:rsidRPr="00971C86">
        <w:rPr>
          <w:b w:val="0"/>
          <w:snapToGrid w:val="0"/>
          <w:lang w:val="en-AU"/>
        </w:rPr>
        <w:t xml:space="preserve">under section </w:t>
      </w:r>
      <w:r w:rsidRPr="007E36D0">
        <w:rPr>
          <w:b w:val="0"/>
          <w:snapToGrid w:val="0"/>
          <w:lang w:val="en-AU"/>
        </w:rPr>
        <w:t>4.11</w:t>
      </w:r>
      <w:r w:rsidRPr="00F05082">
        <w:rPr>
          <w:b w:val="0"/>
          <w:snapToGrid w:val="0"/>
          <w:lang w:val="en-AU"/>
        </w:rPr>
        <w:t xml:space="preserve"> before their application(s) will be considered further</w:t>
      </w:r>
      <w:r>
        <w:rPr>
          <w:b w:val="0"/>
        </w:rPr>
        <w:t>.</w:t>
      </w:r>
    </w:p>
    <w:p w14:paraId="0F5C6D37" w14:textId="77777777" w:rsidR="00603AB1" w:rsidRPr="00BD63C4" w:rsidRDefault="00603AB1" w:rsidP="00D67611">
      <w:pPr>
        <w:pStyle w:val="ACMAHeading3"/>
        <w:rPr>
          <w:b w:val="0"/>
          <w:i/>
        </w:rPr>
      </w:pPr>
      <w:r>
        <w:t>Section 4.10</w:t>
      </w:r>
      <w:r w:rsidRPr="00181920">
        <w:tab/>
      </w:r>
      <w:r>
        <w:t>Failure to provide statutory declaration</w:t>
      </w:r>
    </w:p>
    <w:p w14:paraId="67D68F66" w14:textId="77777777" w:rsidR="00603AB1" w:rsidRPr="00A53C3B" w:rsidRDefault="00603AB1" w:rsidP="00A53C3B">
      <w:pPr>
        <w:pStyle w:val="ACMAHeading3"/>
        <w:spacing w:before="80" w:after="120" w:line="280" w:lineRule="atLeast"/>
        <w:rPr>
          <w:b w:val="0"/>
          <w:snapToGrid w:val="0"/>
          <w:lang w:val="en-AU"/>
        </w:rPr>
      </w:pPr>
      <w:r w:rsidRPr="00A53C3B">
        <w:rPr>
          <w:b w:val="0"/>
          <w:snapToGrid w:val="0"/>
          <w:lang w:val="en-AU"/>
        </w:rPr>
        <w:t xml:space="preserve">This section sets out the consequences of failing to provide a statutory declaration in accordance with </w:t>
      </w:r>
      <w:r w:rsidRPr="00971C86">
        <w:rPr>
          <w:b w:val="0"/>
          <w:snapToGrid w:val="0"/>
          <w:lang w:val="en-AU"/>
        </w:rPr>
        <w:t xml:space="preserve">section </w:t>
      </w:r>
      <w:r w:rsidRPr="007E36D0">
        <w:rPr>
          <w:b w:val="0"/>
          <w:snapToGrid w:val="0"/>
          <w:lang w:val="en-AU"/>
        </w:rPr>
        <w:t>4.9</w:t>
      </w:r>
      <w:r w:rsidRPr="00971C86">
        <w:rPr>
          <w:b w:val="0"/>
          <w:snapToGrid w:val="0"/>
          <w:lang w:val="en-AU"/>
        </w:rPr>
        <w:t xml:space="preserve">. Applicants who do not provide the statutory declaration in the manner set out in section </w:t>
      </w:r>
      <w:r w:rsidRPr="007E36D0">
        <w:rPr>
          <w:b w:val="0"/>
          <w:snapToGrid w:val="0"/>
          <w:lang w:val="en-AU"/>
        </w:rPr>
        <w:t>4.9</w:t>
      </w:r>
      <w:r w:rsidRPr="00A53C3B">
        <w:rPr>
          <w:b w:val="0"/>
          <w:snapToGrid w:val="0"/>
          <w:lang w:val="en-AU"/>
        </w:rPr>
        <w:t xml:space="preserve"> will be considered to have withdrawn from the auction. They will not be entitled to re-apply or take part in the auction, and will not be allocated spectrum under th</w:t>
      </w:r>
      <w:r w:rsidR="000252F9">
        <w:rPr>
          <w:b w:val="0"/>
          <w:snapToGrid w:val="0"/>
          <w:lang w:val="en-AU"/>
        </w:rPr>
        <w:t>e</w:t>
      </w:r>
      <w:r w:rsidRPr="00A53C3B">
        <w:rPr>
          <w:b w:val="0"/>
          <w:snapToGrid w:val="0"/>
          <w:lang w:val="en-AU"/>
        </w:rPr>
        <w:t xml:space="preserve"> Determination</w:t>
      </w:r>
      <w:r>
        <w:rPr>
          <w:b w:val="0"/>
          <w:snapToGrid w:val="0"/>
          <w:lang w:val="en-AU"/>
        </w:rPr>
        <w:t xml:space="preserve"> (see explanation of subsection 4.1</w:t>
      </w:r>
      <w:r w:rsidR="00BE24DD">
        <w:rPr>
          <w:b w:val="0"/>
          <w:snapToGrid w:val="0"/>
          <w:lang w:val="en-AU"/>
        </w:rPr>
        <w:t>7</w:t>
      </w:r>
      <w:r>
        <w:rPr>
          <w:b w:val="0"/>
          <w:snapToGrid w:val="0"/>
          <w:lang w:val="en-AU"/>
        </w:rPr>
        <w:t>(4) of the Determination below)</w:t>
      </w:r>
      <w:r w:rsidRPr="00A53C3B">
        <w:rPr>
          <w:b w:val="0"/>
          <w:snapToGrid w:val="0"/>
          <w:lang w:val="en-AU"/>
        </w:rPr>
        <w:t>.</w:t>
      </w:r>
      <w:r w:rsidR="00EA7FE8">
        <w:rPr>
          <w:b w:val="0"/>
          <w:snapToGrid w:val="0"/>
          <w:lang w:val="en-AU"/>
        </w:rPr>
        <w:t xml:space="preserve"> </w:t>
      </w:r>
    </w:p>
    <w:p w14:paraId="2D4833A4" w14:textId="77777777" w:rsidR="00603AB1" w:rsidRPr="00181920" w:rsidRDefault="00603AB1" w:rsidP="00D67611">
      <w:pPr>
        <w:pStyle w:val="ACMAHeading3"/>
      </w:pPr>
      <w:r>
        <w:t>Section 4.11</w:t>
      </w:r>
      <w:r w:rsidRPr="00181920">
        <w:tab/>
      </w:r>
      <w:r>
        <w:t>Procedure if ACMA satisfied applicants affiliated</w:t>
      </w:r>
    </w:p>
    <w:p w14:paraId="45F1F085" w14:textId="77777777" w:rsidR="00603AB1" w:rsidRDefault="00603AB1" w:rsidP="00D67611">
      <w:pPr>
        <w:pStyle w:val="ACMABodyText"/>
      </w:pPr>
      <w:r>
        <w:t xml:space="preserve">This section sets out the options available to a group of </w:t>
      </w:r>
      <w:r w:rsidR="00697B04">
        <w:t>2</w:t>
      </w:r>
      <w:r>
        <w:t xml:space="preserve"> or more applicants where the ACMA is satisfied that they are affiliated.  The aim of this section is to assist applicants that are affiliated by providing them with a range of options that they may use to resolve any affiliation so as to enable their participation in the auction.   </w:t>
      </w:r>
    </w:p>
    <w:p w14:paraId="6DA50544" w14:textId="77777777" w:rsidR="00603AB1" w:rsidRDefault="00603AB1" w:rsidP="00D67611">
      <w:pPr>
        <w:pStyle w:val="ACMABodyText"/>
      </w:pPr>
      <w:r>
        <w:t xml:space="preserve">Under this section, the ACMA must write to each affiliated applicant and explain the reasons why it considers them to be affiliated. The ACMA must also tell all affiliated applicants </w:t>
      </w:r>
      <w:r w:rsidR="00F040D0">
        <w:t xml:space="preserve">of </w:t>
      </w:r>
      <w:r>
        <w:t xml:space="preserve">the options available to them under this section. Affiliated applicants are required to notify the ACMA in writing </w:t>
      </w:r>
      <w:r>
        <w:lastRenderedPageBreak/>
        <w:t xml:space="preserve">within </w:t>
      </w:r>
      <w:r w:rsidR="00697B04">
        <w:t>8</w:t>
      </w:r>
      <w:r w:rsidR="008A2797">
        <w:t xml:space="preserve"> </w:t>
      </w:r>
      <w:r>
        <w:t>working days of receiving notification from the ACMA of which option they propose to take. The options available to affiliated applicants under this section are:</w:t>
      </w:r>
    </w:p>
    <w:p w14:paraId="6EC7F192" w14:textId="77777777" w:rsidR="0014129B" w:rsidRPr="007E36D0" w:rsidRDefault="00603AB1" w:rsidP="00D87D37">
      <w:pPr>
        <w:pStyle w:val="ACMABodyText"/>
        <w:numPr>
          <w:ilvl w:val="0"/>
          <w:numId w:val="11"/>
        </w:numPr>
      </w:pPr>
      <w:r w:rsidRPr="00971C86">
        <w:t xml:space="preserve">to withdraw the applications of all the affiliated applicants and submit a new application, as a single new applicant, under section </w:t>
      </w:r>
      <w:r w:rsidRPr="007E36D0">
        <w:t>4.12</w:t>
      </w:r>
      <w:r w:rsidR="00971C86">
        <w:t>; or</w:t>
      </w:r>
    </w:p>
    <w:p w14:paraId="078B4F3A" w14:textId="77777777" w:rsidR="0014129B" w:rsidRDefault="00603AB1" w:rsidP="00D87D37">
      <w:pPr>
        <w:pStyle w:val="ACMABodyText"/>
        <w:numPr>
          <w:ilvl w:val="0"/>
          <w:numId w:val="11"/>
        </w:numPr>
      </w:pPr>
      <w:r>
        <w:t xml:space="preserve">to withdraw the applications of all but one of the affiliated applicants. </w:t>
      </w:r>
    </w:p>
    <w:p w14:paraId="066B07D1" w14:textId="77777777" w:rsidR="00603AB1" w:rsidRDefault="00603AB1" w:rsidP="00D67611">
      <w:pPr>
        <w:pStyle w:val="ACMABodyText"/>
      </w:pPr>
      <w:r>
        <w:t xml:space="preserve">Under this section, the ACMA will consider </w:t>
      </w:r>
      <w:r w:rsidRPr="007F5B8D">
        <w:rPr>
          <w:b/>
        </w:rPr>
        <w:t>all</w:t>
      </w:r>
      <w:r>
        <w:rPr>
          <w:b/>
        </w:rPr>
        <w:t xml:space="preserve"> </w:t>
      </w:r>
      <w:r w:rsidRPr="007F5B8D">
        <w:t>of</w:t>
      </w:r>
      <w:r>
        <w:t xml:space="preserve"> the affiliated applicants to have withdrawn their applications if the applicants do not respond to the ACMA within </w:t>
      </w:r>
      <w:r w:rsidR="00697B04">
        <w:t>8</w:t>
      </w:r>
      <w:r>
        <w:t xml:space="preserve"> working days of the notification. An affiliated applicant is also taken to have withdrawn if it is one of a remaining group of </w:t>
      </w:r>
      <w:r w:rsidR="00697B04">
        <w:t>2</w:t>
      </w:r>
      <w:r>
        <w:t xml:space="preserve"> or more affiliated applicants who have not informed the ACMA of their intention to withdraw. </w:t>
      </w:r>
    </w:p>
    <w:p w14:paraId="531782B0" w14:textId="77777777" w:rsidR="00603AB1" w:rsidRDefault="00603AB1" w:rsidP="00D67611">
      <w:pPr>
        <w:pStyle w:val="ACMABodyText"/>
      </w:pPr>
      <w:r>
        <w:t>Where applicants are taken to have withdrawn under this section, the ACMA must notify those applicants and they will not be able to reapply (see subsection 4.1</w:t>
      </w:r>
      <w:r w:rsidR="00BE24DD">
        <w:t>7</w:t>
      </w:r>
      <w:r>
        <w:t>(4) of the Determination).</w:t>
      </w:r>
    </w:p>
    <w:p w14:paraId="47FD88C2" w14:textId="77777777" w:rsidR="00603AB1" w:rsidRPr="00181920" w:rsidRDefault="00603AB1" w:rsidP="00D67611">
      <w:pPr>
        <w:pStyle w:val="ACMAHeading3"/>
      </w:pPr>
      <w:r w:rsidRPr="00181920">
        <w:t>Se</w:t>
      </w:r>
      <w:r>
        <w:t>ction 4.12</w:t>
      </w:r>
      <w:r w:rsidRPr="00181920">
        <w:tab/>
      </w:r>
      <w:r>
        <w:t>Requirements for new application</w:t>
      </w:r>
    </w:p>
    <w:p w14:paraId="647446C0" w14:textId="7EB2250F" w:rsidR="00603AB1" w:rsidRPr="006336AF" w:rsidRDefault="00603AB1" w:rsidP="00D67611">
      <w:pPr>
        <w:pStyle w:val="ACMABodyText"/>
      </w:pPr>
      <w:r>
        <w:t xml:space="preserve">This section allows one or all of a group of affiliated applicants who have withdrawn their applications under subsection 4.11(1) to make a new application as a single applicant. </w:t>
      </w:r>
      <w:r w:rsidR="008212D9">
        <w:t>The new applicant must be a body corporate whose only members are one or more of the affiliated applicants. The section</w:t>
      </w:r>
      <w:r>
        <w:t xml:space="preserve"> sets out the process and timeframe for lodging a new application. A new application made under this section must be accompanied by an additional payment of the application fee.</w:t>
      </w:r>
    </w:p>
    <w:p w14:paraId="5BCB3081" w14:textId="77777777" w:rsidR="00603AB1" w:rsidRDefault="00603AB1" w:rsidP="00D67611">
      <w:pPr>
        <w:pStyle w:val="ACMABodyText"/>
      </w:pPr>
      <w:r>
        <w:t xml:space="preserve">New applicants will have: </w:t>
      </w:r>
    </w:p>
    <w:p w14:paraId="1D10AF44" w14:textId="77777777" w:rsidR="0014129B" w:rsidRDefault="00BC2012" w:rsidP="00D87D37">
      <w:pPr>
        <w:pStyle w:val="ACMABodyText"/>
        <w:numPr>
          <w:ilvl w:val="0"/>
          <w:numId w:val="6"/>
        </w:numPr>
      </w:pPr>
      <w:r w:rsidRPr="007E36D0">
        <w:t>8</w:t>
      </w:r>
      <w:r w:rsidR="00603AB1">
        <w:t xml:space="preserve"> working days from the time that they are notified of being an affiliated applicant to submit a completed application form and pay the application fee to the ACMA</w:t>
      </w:r>
      <w:r w:rsidR="00A204D5">
        <w:t>. A</w:t>
      </w:r>
      <w:r w:rsidR="00603AB1">
        <w:t>fter receiving the application form and fee, the ACMA will give each applicant, including the new applicant, updated details of all other applicants who have not withdrawn, and their identified associates</w:t>
      </w:r>
      <w:r w:rsidR="00A204D5">
        <w:t>.</w:t>
      </w:r>
    </w:p>
    <w:p w14:paraId="2420747C" w14:textId="3220AC96" w:rsidR="0014129B" w:rsidRDefault="00BC2012" w:rsidP="00D87D37">
      <w:pPr>
        <w:pStyle w:val="ACMABodyText"/>
        <w:numPr>
          <w:ilvl w:val="0"/>
          <w:numId w:val="6"/>
        </w:numPr>
      </w:pPr>
      <w:r>
        <w:t>3</w:t>
      </w:r>
      <w:r w:rsidR="00603AB1">
        <w:t xml:space="preserve"> working days from the time they are given updated details of all applicants and their associates (unless the ACMA </w:t>
      </w:r>
      <w:r w:rsidR="008212D9">
        <w:t>agrees to a later time</w:t>
      </w:r>
      <w:r w:rsidR="00603AB1">
        <w:t xml:space="preserve">) to submit: a completed deed of acknowledgement form; a completed deed of confidentiality form; and a statutory declaration that they are not affiliated with any other applicant that has not withdrawn. </w:t>
      </w:r>
      <w:r w:rsidR="00603AB1" w:rsidRPr="00BB28AF">
        <w:t xml:space="preserve">If these documents are given to the ACMA by email or fax, then the original document(s) must also be received by the ACMA within </w:t>
      </w:r>
      <w:r>
        <w:t>3</w:t>
      </w:r>
      <w:r w:rsidR="00603AB1" w:rsidRPr="00BB28AF">
        <w:t xml:space="preserve"> working days </w:t>
      </w:r>
      <w:r w:rsidR="008212D9">
        <w:t>after</w:t>
      </w:r>
      <w:r w:rsidR="00210C92">
        <w:t xml:space="preserve"> the deadline</w:t>
      </w:r>
      <w:r w:rsidR="00603AB1" w:rsidRPr="00BB28AF">
        <w:t xml:space="preserve"> (unless the ACMA </w:t>
      </w:r>
      <w:r w:rsidR="008212D9">
        <w:t>agrees to a later time</w:t>
      </w:r>
      <w:r w:rsidR="00603AB1" w:rsidRPr="00BB28AF">
        <w:t>).</w:t>
      </w:r>
    </w:p>
    <w:p w14:paraId="0C21760B" w14:textId="77777777" w:rsidR="00603AB1" w:rsidRPr="006336AF" w:rsidRDefault="00603AB1" w:rsidP="00D67611">
      <w:pPr>
        <w:pStyle w:val="ACMABodyText"/>
      </w:pPr>
      <w:r>
        <w:t xml:space="preserve">This timing </w:t>
      </w:r>
      <w:r w:rsidRPr="006336AF">
        <w:t>i</w:t>
      </w:r>
      <w:r>
        <w:t xml:space="preserve">s intended to give affiliated applicants </w:t>
      </w:r>
      <w:r w:rsidRPr="006336AF">
        <w:t xml:space="preserve">sufficient </w:t>
      </w:r>
      <w:r>
        <w:t>time to prepare a new applica</w:t>
      </w:r>
      <w:r w:rsidRPr="006336AF">
        <w:t xml:space="preserve">tion in accordance with </w:t>
      </w:r>
      <w:r>
        <w:t>this section</w:t>
      </w:r>
      <w:r w:rsidR="00EA7FE8">
        <w:t xml:space="preserve">, without unduly delaying the commencement of the </w:t>
      </w:r>
      <w:r w:rsidR="00DC7EF1">
        <w:t>allocation processes under the Determination</w:t>
      </w:r>
      <w:r w:rsidRPr="006336AF">
        <w:t>.</w:t>
      </w:r>
    </w:p>
    <w:p w14:paraId="7ABA31ED" w14:textId="77777777" w:rsidR="00603AB1" w:rsidRDefault="00603AB1" w:rsidP="00D67611">
      <w:pPr>
        <w:pStyle w:val="ACMABodyText"/>
      </w:pPr>
      <w:r w:rsidRPr="006336AF">
        <w:t xml:space="preserve">This section is </w:t>
      </w:r>
      <w:r>
        <w:t xml:space="preserve">also </w:t>
      </w:r>
      <w:r w:rsidRPr="006336AF">
        <w:t xml:space="preserve">intended to provide an opportunity for </w:t>
      </w:r>
      <w:r>
        <w:t>affiliated</w:t>
      </w:r>
      <w:r w:rsidRPr="006336AF">
        <w:t xml:space="preserve"> applicants to participate in the auction as a single bidding entity in a manner that will ensure that the allocatio</w:t>
      </w:r>
      <w:r>
        <w:t>n limits expressed in section 2.1</w:t>
      </w:r>
      <w:r w:rsidRPr="006336AF">
        <w:t xml:space="preserve"> are not exceeded</w:t>
      </w:r>
      <w:r>
        <w:t>.</w:t>
      </w:r>
    </w:p>
    <w:p w14:paraId="541A3833" w14:textId="77777777" w:rsidR="00603AB1" w:rsidRDefault="00603AB1" w:rsidP="00D67611">
      <w:pPr>
        <w:pStyle w:val="Divisionheadinglevel"/>
        <w:tabs>
          <w:tab w:val="left" w:pos="1843"/>
        </w:tabs>
        <w:ind w:left="1701" w:hanging="1701"/>
      </w:pPr>
      <w:r>
        <w:t>Division 4</w:t>
      </w:r>
      <w:r>
        <w:tab/>
      </w:r>
      <w:r w:rsidR="00EA7FE8">
        <w:t>Setting other elements of the auction</w:t>
      </w:r>
    </w:p>
    <w:p w14:paraId="0CEAD3F9" w14:textId="196CFCB3" w:rsidR="00603AB1" w:rsidRDefault="00603AB1" w:rsidP="003B77AB">
      <w:pPr>
        <w:pStyle w:val="ACMABodyText"/>
      </w:pPr>
      <w:r>
        <w:t xml:space="preserve">This </w:t>
      </w:r>
      <w:r w:rsidR="0092561A">
        <w:t>D</w:t>
      </w:r>
      <w:r>
        <w:t xml:space="preserve">ivision makes provision for the ACMA </w:t>
      </w:r>
      <w:r w:rsidR="00EA7FE8">
        <w:t xml:space="preserve">and the auction manager </w:t>
      </w:r>
      <w:r>
        <w:t xml:space="preserve">to </w:t>
      </w:r>
      <w:r w:rsidR="00EA7FE8">
        <w:t>set a number of variables relating to the auction process, including the increment of price per lot rating, increment of percentage of high bid, the number of stages for the auction, the eligibility percentage to be applied in calculating the activity target during each stage of the auction and the number of waivers each bidder can utilise during the auction.</w:t>
      </w:r>
    </w:p>
    <w:p w14:paraId="27D2A9F6" w14:textId="77777777" w:rsidR="007B5F38" w:rsidRDefault="00603AB1" w:rsidP="007B5F38">
      <w:pPr>
        <w:pStyle w:val="ACMAHeading3"/>
      </w:pPr>
      <w:r w:rsidRPr="00181920">
        <w:t>Section</w:t>
      </w:r>
      <w:r>
        <w:t xml:space="preserve"> 4.13</w:t>
      </w:r>
      <w:r>
        <w:tab/>
      </w:r>
      <w:r w:rsidR="007B5F38">
        <w:t xml:space="preserve">Increments </w:t>
      </w:r>
    </w:p>
    <w:p w14:paraId="57CF062D" w14:textId="77777777" w:rsidR="00DC7EF1" w:rsidRDefault="007B5F38" w:rsidP="007B5F38">
      <w:pPr>
        <w:pStyle w:val="ACMABodyText"/>
      </w:pPr>
      <w:r>
        <w:t xml:space="preserve">This section states that, after the application deadline, the ACMA must set the increments for the auction.  </w:t>
      </w:r>
      <w:r w:rsidR="00210C92">
        <w:t xml:space="preserve">These are the increment of price per lot rating and the increment of percentage of high bid. </w:t>
      </w:r>
      <w:r>
        <w:t xml:space="preserve">After </w:t>
      </w:r>
      <w:r w:rsidR="00DC7EF1">
        <w:t>a</w:t>
      </w:r>
      <w:r>
        <w:t xml:space="preserve"> starting bid has been made on a lot, new bids on that lot will be subject to a </w:t>
      </w:r>
      <w:r w:rsidRPr="007E36D0">
        <w:t>minimum bid</w:t>
      </w:r>
      <w:r w:rsidRPr="00201BA3">
        <w:t xml:space="preserve">. </w:t>
      </w:r>
      <w:r w:rsidR="00210C92" w:rsidRPr="00201BA3">
        <w:t>A</w:t>
      </w:r>
      <w:r w:rsidRPr="00201BA3">
        <w:t xml:space="preserve"> </w:t>
      </w:r>
      <w:r w:rsidRPr="00201BA3">
        <w:lastRenderedPageBreak/>
        <w:t xml:space="preserve">person wishing to bid on that lot must </w:t>
      </w:r>
      <w:r w:rsidR="00210C92" w:rsidRPr="00201BA3">
        <w:t xml:space="preserve">make at least the minimum </w:t>
      </w:r>
      <w:r w:rsidRPr="00201BA3">
        <w:t>bid in order to m</w:t>
      </w:r>
      <w:r>
        <w:t xml:space="preserve">ake a </w:t>
      </w:r>
      <w:r w:rsidRPr="004F1EF0">
        <w:t xml:space="preserve">valid </w:t>
      </w:r>
      <w:r>
        <w:t xml:space="preserve">bid in that round. </w:t>
      </w:r>
      <w:r w:rsidR="00DC7EF1">
        <w:t xml:space="preserve">The auction system ensures that a bidder cannot make a bid that is less than the minimum bid. </w:t>
      </w:r>
    </w:p>
    <w:p w14:paraId="3C2CD4F3" w14:textId="77777777" w:rsidR="007B5F38" w:rsidRDefault="007B5F38" w:rsidP="007B5F38">
      <w:pPr>
        <w:pStyle w:val="ACMABodyText"/>
      </w:pPr>
      <w:r>
        <w:t>Th</w:t>
      </w:r>
      <w:r w:rsidR="00DC7EF1">
        <w:t>e minimum bid</w:t>
      </w:r>
      <w:r>
        <w:t xml:space="preserve"> is calculated by adding an increment to the current high bid. The minimum bid value is updated for every lot and every </w:t>
      </w:r>
      <w:r w:rsidRPr="00201BA3">
        <w:t>round</w:t>
      </w:r>
      <w:r w:rsidR="0045339C" w:rsidRPr="00201BA3">
        <w:t xml:space="preserve"> </w:t>
      </w:r>
      <w:r w:rsidR="0045339C" w:rsidRPr="007E36D0">
        <w:t>where</w:t>
      </w:r>
      <w:r w:rsidR="00210C92" w:rsidRPr="007E36D0">
        <w:t xml:space="preserve"> there</w:t>
      </w:r>
      <w:r w:rsidR="0045339C" w:rsidRPr="007E36D0">
        <w:t xml:space="preserve"> is a new high bid</w:t>
      </w:r>
      <w:r w:rsidRPr="00201BA3">
        <w:t>,</w:t>
      </w:r>
      <w:r>
        <w:t xml:space="preserve"> based on a formula. The formula for calculating the minimum bid on a lot in the next round </w:t>
      </w:r>
      <w:r w:rsidR="0003395B">
        <w:t>is set out in clause 6 of Schedule 1</w:t>
      </w:r>
      <w:r w:rsidR="00201BA3">
        <w:t xml:space="preserve"> to the Determination</w:t>
      </w:r>
      <w:r w:rsidR="0003395B">
        <w:t xml:space="preserve">. This formula </w:t>
      </w:r>
      <w:r>
        <w:t xml:space="preserve">takes the current high bid and adds the </w:t>
      </w:r>
      <w:r w:rsidRPr="004F1EF0">
        <w:t>higher of:</w:t>
      </w:r>
    </w:p>
    <w:p w14:paraId="1EF237A2" w14:textId="77777777" w:rsidR="007B5F38" w:rsidRDefault="007B5F38" w:rsidP="007E36D0">
      <w:pPr>
        <w:pStyle w:val="ACMABodyText"/>
        <w:numPr>
          <w:ilvl w:val="0"/>
          <w:numId w:val="50"/>
        </w:numPr>
      </w:pPr>
      <w:r>
        <w:t>the increment of price per lot rating</w:t>
      </w:r>
      <w:r w:rsidR="0003395B">
        <w:t xml:space="preserve"> multiplied by the lot rating for the lot</w:t>
      </w:r>
      <w:r>
        <w:t xml:space="preserve">; </w:t>
      </w:r>
      <w:r w:rsidR="002A192A">
        <w:t>and</w:t>
      </w:r>
    </w:p>
    <w:p w14:paraId="4D4D1505" w14:textId="77777777" w:rsidR="007B5F38" w:rsidRDefault="007B5F38" w:rsidP="007E36D0">
      <w:pPr>
        <w:pStyle w:val="ACMABodyText"/>
        <w:numPr>
          <w:ilvl w:val="0"/>
          <w:numId w:val="50"/>
        </w:numPr>
      </w:pPr>
      <w:r>
        <w:t>the increment of percentage of high bid</w:t>
      </w:r>
      <w:r w:rsidR="0003395B">
        <w:t xml:space="preserve"> multiplied by that high bid</w:t>
      </w:r>
      <w:r>
        <w:t>.</w:t>
      </w:r>
    </w:p>
    <w:p w14:paraId="212C527C" w14:textId="77777777" w:rsidR="007B5F38" w:rsidRDefault="007B5F38" w:rsidP="007B5F38">
      <w:pPr>
        <w:pStyle w:val="ACMABodyText"/>
      </w:pPr>
      <w:r>
        <w:t xml:space="preserve">During the auction, the auction manager can vary these </w:t>
      </w:r>
      <w:r w:rsidR="0003395B">
        <w:t xml:space="preserve">increments to vary the minimum bid on a lot </w:t>
      </w:r>
      <w:r>
        <w:t xml:space="preserve">after fulfilling the consultation requirements </w:t>
      </w:r>
      <w:r w:rsidR="00FC0E68">
        <w:t xml:space="preserve">set out in clause 8 </w:t>
      </w:r>
      <w:r>
        <w:t>of Schedule 1</w:t>
      </w:r>
      <w:r w:rsidR="00201BA3">
        <w:t xml:space="preserve"> to the Determination</w:t>
      </w:r>
      <w:r>
        <w:t>.</w:t>
      </w:r>
    </w:p>
    <w:p w14:paraId="3C652794" w14:textId="77777777" w:rsidR="007B5F38" w:rsidRDefault="007B5F38" w:rsidP="007B5F38">
      <w:pPr>
        <w:pStyle w:val="HR"/>
      </w:pPr>
      <w:r w:rsidRPr="00C111AB">
        <w:rPr>
          <w:rFonts w:cs="Arial"/>
          <w:sz w:val="20"/>
          <w:szCs w:val="20"/>
          <w:lang w:val="en-US" w:eastAsia="en-US"/>
        </w:rPr>
        <w:t>Section 4.1</w:t>
      </w:r>
      <w:r w:rsidR="00474559">
        <w:rPr>
          <w:rFonts w:cs="Arial"/>
          <w:sz w:val="20"/>
          <w:szCs w:val="20"/>
          <w:lang w:val="en-US" w:eastAsia="en-US"/>
        </w:rPr>
        <w:t>4</w:t>
      </w:r>
      <w:r>
        <w:tab/>
      </w:r>
      <w:r w:rsidRPr="00C111AB">
        <w:rPr>
          <w:rFonts w:cs="Arial"/>
          <w:sz w:val="20"/>
          <w:szCs w:val="20"/>
          <w:lang w:val="en-US" w:eastAsia="en-US"/>
        </w:rPr>
        <w:t>Stages of auction, eligibility percentage and waivers</w:t>
      </w:r>
      <w:r>
        <w:rPr>
          <w:rFonts w:cs="Arial"/>
          <w:sz w:val="20"/>
          <w:szCs w:val="20"/>
          <w:lang w:val="en-US" w:eastAsia="en-US"/>
        </w:rPr>
        <w:t xml:space="preserve"> </w:t>
      </w:r>
    </w:p>
    <w:p w14:paraId="0FAC2C04" w14:textId="77777777" w:rsidR="007B5F38" w:rsidRPr="009C3F34" w:rsidRDefault="007B5F38" w:rsidP="007B5F38">
      <w:pPr>
        <w:pStyle w:val="ACMABodyText"/>
      </w:pPr>
      <w:r>
        <w:t>This section states that af</w:t>
      </w:r>
      <w:r w:rsidRPr="009C3F34">
        <w:t xml:space="preserve">ter the application </w:t>
      </w:r>
      <w:r>
        <w:t>deadline</w:t>
      </w:r>
      <w:r w:rsidRPr="009C3F34">
        <w:t>, the auction manager must:</w:t>
      </w:r>
    </w:p>
    <w:p w14:paraId="5B21415C" w14:textId="77777777" w:rsidR="007B5F38" w:rsidRPr="00C111AB" w:rsidRDefault="007B5F38" w:rsidP="00732346">
      <w:pPr>
        <w:pStyle w:val="HR"/>
        <w:numPr>
          <w:ilvl w:val="0"/>
          <w:numId w:val="20"/>
        </w:numPr>
        <w:spacing w:before="120"/>
        <w:ind w:left="425" w:hanging="425"/>
        <w:rPr>
          <w:b w:val="0"/>
          <w:sz w:val="20"/>
          <w:szCs w:val="20"/>
        </w:rPr>
      </w:pPr>
      <w:r w:rsidRPr="00C111AB">
        <w:rPr>
          <w:b w:val="0"/>
          <w:sz w:val="20"/>
          <w:szCs w:val="20"/>
        </w:rPr>
        <w:t>fix the number of stages for the auction; and</w:t>
      </w:r>
    </w:p>
    <w:p w14:paraId="25D55132" w14:textId="77777777" w:rsidR="007B5F38" w:rsidRPr="009C3F34" w:rsidRDefault="007B5F38" w:rsidP="007B5F38">
      <w:pPr>
        <w:pStyle w:val="ACMABodyText"/>
        <w:numPr>
          <w:ilvl w:val="0"/>
          <w:numId w:val="20"/>
        </w:numPr>
        <w:ind w:left="426" w:hanging="426"/>
      </w:pPr>
      <w:r w:rsidRPr="0022669A">
        <w:t xml:space="preserve">fix a percentage to be applied in calculating the </w:t>
      </w:r>
      <w:r w:rsidRPr="005D1637">
        <w:t>activity target</w:t>
      </w:r>
      <w:r w:rsidRPr="0022669A">
        <w:t xml:space="preserve"> during each stage of the auction (the </w:t>
      </w:r>
      <w:r w:rsidRPr="00C111AB">
        <w:t>eligibility percentage</w:t>
      </w:r>
      <w:r w:rsidRPr="0022669A">
        <w:t>); and</w:t>
      </w:r>
    </w:p>
    <w:p w14:paraId="0398BECA" w14:textId="77777777" w:rsidR="007B5F38" w:rsidRPr="009C3F34" w:rsidRDefault="007B5F38" w:rsidP="007B5F38">
      <w:pPr>
        <w:pStyle w:val="ACMABodyText"/>
        <w:numPr>
          <w:ilvl w:val="0"/>
          <w:numId w:val="20"/>
        </w:numPr>
        <w:ind w:left="426" w:hanging="426"/>
      </w:pPr>
      <w:r w:rsidRPr="009C3F34">
        <w:t xml:space="preserve">fix the number of waivers for each </w:t>
      </w:r>
      <w:r>
        <w:t>bidder</w:t>
      </w:r>
      <w:r w:rsidRPr="009C3F34">
        <w:t xml:space="preserve">, being the same number for all </w:t>
      </w:r>
      <w:r>
        <w:t>bidders</w:t>
      </w:r>
      <w:r w:rsidRPr="009C3F34">
        <w:t>; and</w:t>
      </w:r>
    </w:p>
    <w:p w14:paraId="15DBF3C6" w14:textId="77777777" w:rsidR="007B5F38" w:rsidRDefault="007B5F38" w:rsidP="007B5F38">
      <w:pPr>
        <w:pStyle w:val="ACMABodyText"/>
        <w:numPr>
          <w:ilvl w:val="0"/>
          <w:numId w:val="20"/>
        </w:numPr>
        <w:ind w:left="426" w:hanging="426"/>
      </w:pPr>
      <w:r w:rsidRPr="009C3F34">
        <w:t xml:space="preserve">tell all </w:t>
      </w:r>
      <w:r>
        <w:t>bidders</w:t>
      </w:r>
      <w:r w:rsidRPr="009C3F34">
        <w:t xml:space="preserve"> of these matters.</w:t>
      </w:r>
    </w:p>
    <w:p w14:paraId="3223A2BC" w14:textId="77777777" w:rsidR="00474559" w:rsidRPr="00BC7D36" w:rsidRDefault="00474559" w:rsidP="00474559">
      <w:pPr>
        <w:pStyle w:val="Divisionheadinglevel"/>
        <w:tabs>
          <w:tab w:val="left" w:pos="1843"/>
        </w:tabs>
      </w:pPr>
      <w:r>
        <w:t>Division 5</w:t>
      </w:r>
      <w:r>
        <w:tab/>
        <w:t>Eligibility nomination and financial security</w:t>
      </w:r>
    </w:p>
    <w:p w14:paraId="1C26DBCB" w14:textId="77777777" w:rsidR="00474559" w:rsidRDefault="00474559" w:rsidP="00474559">
      <w:pPr>
        <w:pStyle w:val="ACMABodyText"/>
      </w:pPr>
      <w:r>
        <w:t xml:space="preserve">This </w:t>
      </w:r>
      <w:r w:rsidR="002A192A">
        <w:t>D</w:t>
      </w:r>
      <w:r>
        <w:t xml:space="preserve">ivision sets out the rules by which an applicant can </w:t>
      </w:r>
      <w:r w:rsidR="002C2245">
        <w:t xml:space="preserve">lodge an eligibility nomination form and calculate the required eligibility payment or </w:t>
      </w:r>
      <w:r w:rsidR="00201BA3">
        <w:t xml:space="preserve">amount under a </w:t>
      </w:r>
      <w:r w:rsidR="002C2245">
        <w:t xml:space="preserve">deed of financial security </w:t>
      </w:r>
      <w:r w:rsidR="00201BA3">
        <w:t xml:space="preserve">to secure </w:t>
      </w:r>
      <w:r w:rsidR="002C2245">
        <w:t xml:space="preserve">their initial eligibility </w:t>
      </w:r>
      <w:r w:rsidR="00201BA3">
        <w:t>points</w:t>
      </w:r>
      <w:r>
        <w:t>.</w:t>
      </w:r>
    </w:p>
    <w:p w14:paraId="19CAB7E4" w14:textId="05271C9F" w:rsidR="00603AB1" w:rsidRPr="00181920" w:rsidRDefault="007B5F38" w:rsidP="00D67611">
      <w:pPr>
        <w:pStyle w:val="ACMAHeading3"/>
      </w:pPr>
      <w:r w:rsidRPr="00181920">
        <w:t>Section</w:t>
      </w:r>
      <w:r>
        <w:t xml:space="preserve"> 4</w:t>
      </w:r>
      <w:r w:rsidRPr="00181920">
        <w:t>.</w:t>
      </w:r>
      <w:r>
        <w:t>15</w:t>
      </w:r>
      <w:r w:rsidR="00474559">
        <w:t xml:space="preserve">  </w:t>
      </w:r>
      <w:r>
        <w:t xml:space="preserve"> </w:t>
      </w:r>
      <w:r w:rsidR="008212D9">
        <w:tab/>
      </w:r>
      <w:r w:rsidR="00603AB1">
        <w:t>Lodging eligibility nomination form</w:t>
      </w:r>
    </w:p>
    <w:p w14:paraId="10FD61B3" w14:textId="77777777" w:rsidR="00603AB1" w:rsidRPr="008A02B1" w:rsidRDefault="00603AB1" w:rsidP="008A02B1">
      <w:pPr>
        <w:pStyle w:val="ACMABodyText"/>
        <w:rPr>
          <w:lang w:val="en-US"/>
        </w:rPr>
      </w:pPr>
      <w:r w:rsidRPr="008A02B1">
        <w:rPr>
          <w:lang w:val="en-US"/>
        </w:rPr>
        <w:t xml:space="preserve">This section explains the requirement for an applicant to nominate its initial eligibility points for the auction </w:t>
      </w:r>
      <w:r>
        <w:rPr>
          <w:lang w:val="en-US"/>
        </w:rPr>
        <w:t>by</w:t>
      </w:r>
      <w:r w:rsidRPr="008A02B1">
        <w:rPr>
          <w:lang w:val="en-US"/>
        </w:rPr>
        <w:t xml:space="preserve"> lodg</w:t>
      </w:r>
      <w:r>
        <w:rPr>
          <w:lang w:val="en-US"/>
        </w:rPr>
        <w:t>ing</w:t>
      </w:r>
      <w:r w:rsidRPr="008A02B1">
        <w:rPr>
          <w:lang w:val="en-US"/>
        </w:rPr>
        <w:t xml:space="preserve"> an eligibility nomination form with the ACMA.  </w:t>
      </w:r>
      <w:r w:rsidR="005D7CD3">
        <w:rPr>
          <w:lang w:val="en-US"/>
        </w:rPr>
        <w:t>Note that a</w:t>
      </w:r>
      <w:r w:rsidRPr="008A02B1">
        <w:rPr>
          <w:lang w:val="en-US"/>
        </w:rPr>
        <w:t xml:space="preserve"> bidder’s use of eligibility points is subject to the allocation limits set out in </w:t>
      </w:r>
      <w:r w:rsidR="00201BA3" w:rsidRPr="00201BA3">
        <w:rPr>
          <w:lang w:val="en-US"/>
        </w:rPr>
        <w:t>s</w:t>
      </w:r>
      <w:r w:rsidR="00474559" w:rsidRPr="00201BA3">
        <w:rPr>
          <w:lang w:val="en-US"/>
        </w:rPr>
        <w:t xml:space="preserve">ection </w:t>
      </w:r>
      <w:r w:rsidR="00474559" w:rsidRPr="007E36D0">
        <w:rPr>
          <w:lang w:val="en-US"/>
        </w:rPr>
        <w:t>2.1</w:t>
      </w:r>
      <w:r w:rsidR="00474559" w:rsidRPr="00201BA3">
        <w:rPr>
          <w:lang w:val="en-US"/>
        </w:rPr>
        <w:t xml:space="preserve"> </w:t>
      </w:r>
      <w:r w:rsidRPr="00201BA3">
        <w:rPr>
          <w:lang w:val="en-US"/>
        </w:rPr>
        <w:t>of the Determination.</w:t>
      </w:r>
    </w:p>
    <w:p w14:paraId="6399C885" w14:textId="77777777" w:rsidR="00603AB1" w:rsidRDefault="00603AB1" w:rsidP="00D67611">
      <w:pPr>
        <w:pStyle w:val="ACMABodyText"/>
        <w:rPr>
          <w:lang w:val="en-US"/>
        </w:rPr>
      </w:pPr>
      <w:r>
        <w:rPr>
          <w:lang w:val="en-US"/>
        </w:rPr>
        <w:t>Before the auction, the ACMA will specify the lot ratings for each lot on offer under th</w:t>
      </w:r>
      <w:r w:rsidR="000252F9">
        <w:rPr>
          <w:lang w:val="en-US"/>
        </w:rPr>
        <w:t>e</w:t>
      </w:r>
      <w:r>
        <w:rPr>
          <w:lang w:val="en-US"/>
        </w:rPr>
        <w:t xml:space="preserve"> Determination</w:t>
      </w:r>
      <w:r w:rsidR="00FC0E68">
        <w:rPr>
          <w:lang w:val="en-US"/>
        </w:rPr>
        <w:t xml:space="preserve"> (see section 4.6)</w:t>
      </w:r>
      <w:r>
        <w:rPr>
          <w:lang w:val="en-US"/>
        </w:rPr>
        <w:t xml:space="preserve">. The lot rating for each lot will be made up of a number of eligibility points. The number of eligibility points given to a lot will reflect the relative value of that lot compared to other lots on offer in the auction. </w:t>
      </w:r>
    </w:p>
    <w:p w14:paraId="1DAE94DF" w14:textId="77777777" w:rsidR="00603AB1" w:rsidRDefault="00603AB1" w:rsidP="00D67611">
      <w:pPr>
        <w:pStyle w:val="ACMABodyText"/>
        <w:rPr>
          <w:lang w:val="en-US"/>
        </w:rPr>
      </w:pPr>
      <w:r>
        <w:rPr>
          <w:lang w:val="en-US"/>
        </w:rPr>
        <w:t xml:space="preserve">Each applicant will be required to set their initial eligibility </w:t>
      </w:r>
      <w:r w:rsidR="005D7CD3">
        <w:rPr>
          <w:lang w:val="en-US"/>
        </w:rPr>
        <w:t xml:space="preserve">points </w:t>
      </w:r>
      <w:r>
        <w:rPr>
          <w:lang w:val="en-US"/>
        </w:rPr>
        <w:t xml:space="preserve">before the auction starts. </w:t>
      </w:r>
      <w:r w:rsidR="005D7CD3">
        <w:rPr>
          <w:lang w:val="en-US"/>
        </w:rPr>
        <w:t>The i</w:t>
      </w:r>
      <w:r>
        <w:rPr>
          <w:lang w:val="en-US"/>
        </w:rPr>
        <w:t xml:space="preserve">nitial eligibility </w:t>
      </w:r>
      <w:r w:rsidR="005D7CD3">
        <w:rPr>
          <w:lang w:val="en-US"/>
        </w:rPr>
        <w:t xml:space="preserve">points </w:t>
      </w:r>
      <w:r>
        <w:rPr>
          <w:lang w:val="en-US"/>
        </w:rPr>
        <w:t xml:space="preserve">will be </w:t>
      </w:r>
      <w:r w:rsidR="005D7CD3">
        <w:rPr>
          <w:lang w:val="en-US"/>
        </w:rPr>
        <w:t>nominated</w:t>
      </w:r>
      <w:r>
        <w:rPr>
          <w:lang w:val="en-US"/>
        </w:rPr>
        <w:t xml:space="preserve"> by </w:t>
      </w:r>
      <w:r w:rsidR="005D7CD3">
        <w:rPr>
          <w:lang w:val="en-US"/>
        </w:rPr>
        <w:t>the</w:t>
      </w:r>
      <w:r>
        <w:rPr>
          <w:lang w:val="en-US"/>
        </w:rPr>
        <w:t xml:space="preserve"> applicant. Applicants can select any number of eligibility points up to the aggregate number of eligibility points for all lots on offer. </w:t>
      </w:r>
    </w:p>
    <w:p w14:paraId="4D9200D5" w14:textId="77777777" w:rsidR="00603AB1" w:rsidRDefault="00603AB1" w:rsidP="00D67611">
      <w:pPr>
        <w:pStyle w:val="ACMABodyText"/>
        <w:rPr>
          <w:lang w:val="en-US"/>
        </w:rPr>
      </w:pPr>
      <w:r>
        <w:rPr>
          <w:lang w:val="en-US"/>
        </w:rPr>
        <w:t xml:space="preserve">The initial eligibility </w:t>
      </w:r>
      <w:r w:rsidR="005D7CD3">
        <w:rPr>
          <w:lang w:val="en-US"/>
        </w:rPr>
        <w:t xml:space="preserve">points </w:t>
      </w:r>
      <w:r>
        <w:rPr>
          <w:lang w:val="en-US"/>
        </w:rPr>
        <w:t xml:space="preserve">nominated by applicants will constrain the total combination of lots that they will be able to bid for and acquire </w:t>
      </w:r>
      <w:r w:rsidR="00201BA3">
        <w:rPr>
          <w:lang w:val="en-US"/>
        </w:rPr>
        <w:t>in</w:t>
      </w:r>
      <w:r>
        <w:rPr>
          <w:lang w:val="en-US"/>
        </w:rPr>
        <w:t xml:space="preserve"> the first round of the auction. </w:t>
      </w:r>
    </w:p>
    <w:p w14:paraId="7536D2B4" w14:textId="77777777" w:rsidR="00603AB1" w:rsidRDefault="00603AB1" w:rsidP="00D67611">
      <w:pPr>
        <w:pStyle w:val="ACMABodyText"/>
        <w:rPr>
          <w:lang w:val="en-US"/>
        </w:rPr>
      </w:pPr>
      <w:r>
        <w:rPr>
          <w:lang w:val="en-US"/>
        </w:rPr>
        <w:t xml:space="preserve">Applicants will select their initial eligibility points by completing an eligibility nomination form. The form will include a guide to calculating initial eligibility points. It will also include details of the number of eligibility points assigned to lots in each </w:t>
      </w:r>
      <w:r w:rsidR="005D7CD3">
        <w:rPr>
          <w:lang w:val="en-US"/>
        </w:rPr>
        <w:t>category</w:t>
      </w:r>
      <w:r>
        <w:rPr>
          <w:lang w:val="en-US"/>
        </w:rPr>
        <w:t>, the dollar value of each eligibility point, and the</w:t>
      </w:r>
      <w:r w:rsidR="007B5F38">
        <w:rPr>
          <w:lang w:val="en-US"/>
        </w:rPr>
        <w:t xml:space="preserve"> </w:t>
      </w:r>
      <w:r w:rsidR="007B5F38" w:rsidRPr="002707B2">
        <w:rPr>
          <w:lang w:val="en-US"/>
        </w:rPr>
        <w:t>starting</w:t>
      </w:r>
      <w:r>
        <w:rPr>
          <w:lang w:val="en-US"/>
        </w:rPr>
        <w:t xml:space="preserve"> price of each </w:t>
      </w:r>
      <w:r w:rsidR="003A4B60">
        <w:rPr>
          <w:lang w:val="en-US"/>
        </w:rPr>
        <w:t>lot</w:t>
      </w:r>
      <w:r>
        <w:rPr>
          <w:lang w:val="en-US"/>
        </w:rPr>
        <w:t xml:space="preserve"> in the first round.</w:t>
      </w:r>
      <w:r w:rsidR="00CD52D8">
        <w:rPr>
          <w:lang w:val="en-US"/>
        </w:rPr>
        <w:t xml:space="preserve"> </w:t>
      </w:r>
    </w:p>
    <w:p w14:paraId="533E2FBC" w14:textId="77777777" w:rsidR="00603AB1" w:rsidRDefault="00603AB1" w:rsidP="00D67611">
      <w:pPr>
        <w:pStyle w:val="ACMABodyText"/>
        <w:rPr>
          <w:lang w:val="en-US"/>
        </w:rPr>
      </w:pPr>
      <w:r>
        <w:t xml:space="preserve">Instructions on how to lodge documents are given in section </w:t>
      </w:r>
      <w:r w:rsidRPr="002707B2">
        <w:t>1.6.</w:t>
      </w:r>
      <w:r>
        <w:t xml:space="preserve"> </w:t>
      </w:r>
      <w:r>
        <w:rPr>
          <w:lang w:val="en-US"/>
        </w:rPr>
        <w:t xml:space="preserve">If an applicant </w:t>
      </w:r>
      <w:r w:rsidR="005D7CD3">
        <w:rPr>
          <w:lang w:val="en-US"/>
        </w:rPr>
        <w:t>gives</w:t>
      </w:r>
      <w:r>
        <w:rPr>
          <w:lang w:val="en-US"/>
        </w:rPr>
        <w:t xml:space="preserve"> </w:t>
      </w:r>
      <w:r w:rsidR="005D7CD3">
        <w:rPr>
          <w:lang w:val="en-US"/>
        </w:rPr>
        <w:t>its</w:t>
      </w:r>
      <w:r>
        <w:rPr>
          <w:lang w:val="en-US"/>
        </w:rPr>
        <w:t xml:space="preserve"> eligibility nomination form to the ACMA by email or fax before the eligibility deadline, the original form must be </w:t>
      </w:r>
      <w:r>
        <w:rPr>
          <w:lang w:val="en-US"/>
        </w:rPr>
        <w:lastRenderedPageBreak/>
        <w:t xml:space="preserve">received by the ACMA no later than </w:t>
      </w:r>
      <w:r w:rsidR="00BC2012">
        <w:rPr>
          <w:lang w:val="en-US"/>
        </w:rPr>
        <w:t>3</w:t>
      </w:r>
      <w:r>
        <w:rPr>
          <w:lang w:val="en-US"/>
        </w:rPr>
        <w:t xml:space="preserve"> working days after the eligibility deadline for the nomination to be valid, or by a later date if approved by the ACMA. </w:t>
      </w:r>
    </w:p>
    <w:p w14:paraId="13BA3251" w14:textId="77777777" w:rsidR="00603AB1" w:rsidRDefault="00603AB1" w:rsidP="00D67611">
      <w:pPr>
        <w:pStyle w:val="ACMABodyText"/>
        <w:rPr>
          <w:b/>
        </w:rPr>
      </w:pPr>
      <w:r>
        <w:rPr>
          <w:lang w:val="en-US"/>
        </w:rPr>
        <w:t xml:space="preserve">Applicants may vary their initial eligibility </w:t>
      </w:r>
      <w:r w:rsidR="00741EA0">
        <w:rPr>
          <w:lang w:val="en-US"/>
        </w:rPr>
        <w:t xml:space="preserve">points </w:t>
      </w:r>
      <w:r>
        <w:rPr>
          <w:lang w:val="en-US"/>
        </w:rPr>
        <w:t>by submitting a new eligibility nomination form; however, this must be lodged before the eligibility deadline. If an applicant changes its initial eligibility</w:t>
      </w:r>
      <w:r w:rsidR="00741EA0">
        <w:rPr>
          <w:lang w:val="en-US"/>
        </w:rPr>
        <w:t xml:space="preserve"> points</w:t>
      </w:r>
      <w:r>
        <w:rPr>
          <w:lang w:val="en-US"/>
        </w:rPr>
        <w:t>, consequential changes to the eligibility payment or</w:t>
      </w:r>
      <w:r w:rsidR="00CD52D8">
        <w:rPr>
          <w:lang w:val="en-US"/>
        </w:rPr>
        <w:t xml:space="preserve"> amount under</w:t>
      </w:r>
      <w:r>
        <w:rPr>
          <w:lang w:val="en-US"/>
        </w:rPr>
        <w:t xml:space="preserve"> the </w:t>
      </w:r>
      <w:r w:rsidR="00CD52D8">
        <w:rPr>
          <w:lang w:val="en-US"/>
        </w:rPr>
        <w:t xml:space="preserve">deed of </w:t>
      </w:r>
      <w:r>
        <w:rPr>
          <w:lang w:val="en-US"/>
        </w:rPr>
        <w:t xml:space="preserve">financial security </w:t>
      </w:r>
      <w:r w:rsidR="00741EA0">
        <w:rPr>
          <w:lang w:val="en-US"/>
        </w:rPr>
        <w:t xml:space="preserve">that </w:t>
      </w:r>
      <w:r>
        <w:rPr>
          <w:lang w:val="en-US"/>
        </w:rPr>
        <w:t xml:space="preserve">the applicant has provided under section </w:t>
      </w:r>
      <w:r w:rsidRPr="002707B2">
        <w:rPr>
          <w:lang w:val="en-US"/>
        </w:rPr>
        <w:t>4.1</w:t>
      </w:r>
      <w:r w:rsidR="00474559" w:rsidRPr="002707B2">
        <w:rPr>
          <w:lang w:val="en-US"/>
        </w:rPr>
        <w:t>6</w:t>
      </w:r>
      <w:r>
        <w:rPr>
          <w:lang w:val="en-US"/>
        </w:rPr>
        <w:t xml:space="preserve"> must be made to match the new eligibility payment amount.</w:t>
      </w:r>
    </w:p>
    <w:p w14:paraId="6928F9EE" w14:textId="77777777" w:rsidR="00603AB1" w:rsidRPr="00181920" w:rsidRDefault="00603AB1" w:rsidP="00D67611">
      <w:pPr>
        <w:pStyle w:val="ACMAHeading3"/>
        <w:ind w:left="1701" w:hanging="1701"/>
      </w:pPr>
      <w:r w:rsidRPr="00181920">
        <w:t>Section</w:t>
      </w:r>
      <w:r>
        <w:t xml:space="preserve"> 4</w:t>
      </w:r>
      <w:r w:rsidRPr="00181920">
        <w:t>.</w:t>
      </w:r>
      <w:r>
        <w:t>1</w:t>
      </w:r>
      <w:r w:rsidR="00474559">
        <w:t>6</w:t>
      </w:r>
      <w:r w:rsidRPr="00181920">
        <w:tab/>
      </w:r>
      <w:r>
        <w:t>Eligibility payment or deed of financial security required for initial eligibility points</w:t>
      </w:r>
    </w:p>
    <w:p w14:paraId="64091B9E" w14:textId="77777777" w:rsidR="00603AB1" w:rsidRPr="00BC7D36" w:rsidRDefault="00603AB1" w:rsidP="00D67611">
      <w:pPr>
        <w:pStyle w:val="ACMABodyText"/>
      </w:pPr>
      <w:r>
        <w:t>An applicant wishing to be registered to participate in the auction must secure initial eligibility points. An applicant can secure initial eligibility points by making an eligibility payment or providing a deed of financial security</w:t>
      </w:r>
      <w:r w:rsidR="00CD52D8">
        <w:t>, or a combination of both,</w:t>
      </w:r>
      <w:r>
        <w:t xml:space="preserve"> to the ACMA by the eligibility deadline. </w:t>
      </w:r>
    </w:p>
    <w:p w14:paraId="4C75556A" w14:textId="77777777" w:rsidR="00603AB1" w:rsidRDefault="00603AB1" w:rsidP="00D67611">
      <w:pPr>
        <w:pStyle w:val="ACMABodyText"/>
      </w:pPr>
      <w:r>
        <w:t>Under this section, the amount required to secure the desired number of initial eligibility points is determined by multiplying the applicant’s initial eligibility points (nominated in its eligibility nomination form) by the amount in Australian dollars that each point is worth, as set by the ACMA under section </w:t>
      </w:r>
      <w:r w:rsidRPr="002707B2">
        <w:t>4.6</w:t>
      </w:r>
      <w:r>
        <w:t xml:space="preserve">. Applicants have the choice of paying this amount upfront in full, paying a portion of the amount upfront and giving the ACMA a deed of financial security for the remaining amount, or giving the ACMA a deed of financial security for the full amount. Details of the requirements that apply to deeds of financial security </w:t>
      </w:r>
      <w:r w:rsidR="00741EA0">
        <w:t>given</w:t>
      </w:r>
      <w:r>
        <w:t xml:space="preserve"> under this section are set out in subsections (4), (5) and (6) of this section.</w:t>
      </w:r>
    </w:p>
    <w:p w14:paraId="4C5A9541" w14:textId="77777777" w:rsidR="00603AB1" w:rsidRDefault="00603AB1" w:rsidP="00D67611">
      <w:pPr>
        <w:pStyle w:val="ACMABodyText"/>
      </w:pPr>
      <w:r>
        <w:t>A situation may arise where the amount provided to the ACMA by an applicant as security is less than the amount that is due based on the number of eligibility points that an applicant has selected in their eligibility nomination form. Applicants can provide the ACMA with additional security to make up the balance prior to the eligibility deadline to secure the number</w:t>
      </w:r>
      <w:r w:rsidR="008B4336">
        <w:t xml:space="preserve"> of</w:t>
      </w:r>
      <w:r>
        <w:t xml:space="preserve"> initial eligibility points they have</w:t>
      </w:r>
      <w:r w:rsidRPr="00357E81">
        <w:t xml:space="preserve"> </w:t>
      </w:r>
      <w:r>
        <w:t xml:space="preserve">nominated. However, if such an underpayment exists after the eligibility deadline, then the number of initial eligibility points that will be secured by the applicant will be equal to the total amount paid or secured by deed </w:t>
      </w:r>
      <w:r w:rsidR="008B4336">
        <w:t xml:space="preserve">divided </w:t>
      </w:r>
      <w:r>
        <w:t xml:space="preserve">by the dollar value of initial eligibility points, rounded </w:t>
      </w:r>
      <w:r w:rsidR="008B4336">
        <w:t>up</w:t>
      </w:r>
      <w:r>
        <w:t xml:space="preserve"> to the nearest whole point.</w:t>
      </w:r>
    </w:p>
    <w:p w14:paraId="4A1CBEF9" w14:textId="77777777" w:rsidR="00732346" w:rsidRPr="001F007E" w:rsidRDefault="00732346" w:rsidP="00732346">
      <w:pPr>
        <w:pStyle w:val="ACMABodyText"/>
      </w:pPr>
      <w:r w:rsidRPr="001F007E">
        <w:t>A deed of financial security must be executed by:</w:t>
      </w:r>
    </w:p>
    <w:p w14:paraId="4BD72090" w14:textId="77777777" w:rsidR="00732346" w:rsidRPr="001F007E" w:rsidRDefault="00732346" w:rsidP="00C55CF9">
      <w:pPr>
        <w:pStyle w:val="ACMABodyText"/>
        <w:ind w:firstLine="709"/>
      </w:pPr>
      <w:r w:rsidRPr="001F007E">
        <w:tab/>
        <w:t>(a)</w:t>
      </w:r>
      <w:r w:rsidRPr="001F007E">
        <w:tab/>
        <w:t xml:space="preserve">an authorised deposit-taking institution within the meaning of the </w:t>
      </w:r>
      <w:r w:rsidRPr="005A2821">
        <w:rPr>
          <w:i/>
        </w:rPr>
        <w:t>Banking Act 1959</w:t>
      </w:r>
      <w:r w:rsidRPr="001F007E">
        <w:t>; or</w:t>
      </w:r>
    </w:p>
    <w:p w14:paraId="17090071" w14:textId="77777777" w:rsidR="00732346" w:rsidRPr="001F007E" w:rsidRDefault="00732346" w:rsidP="00C55CF9">
      <w:pPr>
        <w:pStyle w:val="ACMABodyText"/>
        <w:ind w:left="1418" w:hanging="709"/>
      </w:pPr>
      <w:r w:rsidRPr="001F007E">
        <w:t>(b)</w:t>
      </w:r>
      <w:r w:rsidRPr="001F007E">
        <w:tab/>
        <w:t xml:space="preserve">a person authorised to carry on business in Australia as an insurer under the </w:t>
      </w:r>
      <w:r w:rsidRPr="005A2821">
        <w:rPr>
          <w:i/>
        </w:rPr>
        <w:t>Insurance Act 1973</w:t>
      </w:r>
      <w:r w:rsidRPr="001F007E">
        <w:t>; or</w:t>
      </w:r>
    </w:p>
    <w:p w14:paraId="4F62B781" w14:textId="77777777" w:rsidR="00732346" w:rsidRPr="001F007E" w:rsidRDefault="00732346" w:rsidP="00C55CF9">
      <w:pPr>
        <w:pStyle w:val="ACMABodyText"/>
        <w:ind w:left="1418" w:hanging="709"/>
      </w:pPr>
      <w:r w:rsidRPr="001F007E">
        <w:t>(c)</w:t>
      </w:r>
      <w:r w:rsidRPr="001F007E">
        <w:tab/>
        <w:t xml:space="preserve">a Lloyd’s underwriter authorised to carry on insurance business under Part VII of the </w:t>
      </w:r>
      <w:r w:rsidRPr="005A2821">
        <w:rPr>
          <w:i/>
        </w:rPr>
        <w:t>Insurance Act 1973</w:t>
      </w:r>
      <w:r w:rsidRPr="001F007E">
        <w:t>.</w:t>
      </w:r>
    </w:p>
    <w:p w14:paraId="1926C282" w14:textId="77777777" w:rsidR="00732346" w:rsidRPr="001F007E" w:rsidRDefault="00732346" w:rsidP="00732346">
      <w:pPr>
        <w:pStyle w:val="ACMABodyText"/>
      </w:pPr>
      <w:r w:rsidRPr="001F007E">
        <w:t>If a deed of financial security is executed by a person acting under a power of attorney for a body corporate, the applicant must give the ACMA a copy of the power of attorney with the deed.</w:t>
      </w:r>
    </w:p>
    <w:p w14:paraId="7F00A541" w14:textId="6C4B8AD5" w:rsidR="00603AB1" w:rsidRDefault="00603AB1" w:rsidP="00D67611">
      <w:pPr>
        <w:pStyle w:val="ACMABodyText"/>
      </w:pPr>
      <w:r w:rsidRPr="0095218C">
        <w:t xml:space="preserve">If a deed of financial security is given to the ACMA by email or fax, the original document must also be received by the ACMA within </w:t>
      </w:r>
      <w:r w:rsidR="00BC2012">
        <w:t>3</w:t>
      </w:r>
      <w:r w:rsidRPr="0095218C">
        <w:t xml:space="preserve"> working days </w:t>
      </w:r>
      <w:r w:rsidR="00333609">
        <w:t>after</w:t>
      </w:r>
      <w:r w:rsidRPr="0095218C">
        <w:t xml:space="preserve"> the eligibility deadline for the deed to be considered to have been given to the ACMA. At its discretion, the ACMA can grant an extension to the date by which an applicant must deliver original documents.</w:t>
      </w:r>
    </w:p>
    <w:p w14:paraId="56D09903" w14:textId="77777777" w:rsidR="00603AB1" w:rsidRDefault="00603AB1" w:rsidP="00D67611">
      <w:pPr>
        <w:pStyle w:val="ACMABodyText"/>
      </w:pPr>
      <w:r>
        <w:t xml:space="preserve">Under subsection </w:t>
      </w:r>
      <w:r w:rsidRPr="00EF6D68">
        <w:t>4.1</w:t>
      </w:r>
      <w:r w:rsidR="00E871C9" w:rsidRPr="00EF6D68">
        <w:t>6</w:t>
      </w:r>
      <w:r w:rsidRPr="00EF6D68">
        <w:t>(7)</w:t>
      </w:r>
      <w:r>
        <w:t xml:space="preserve"> of the Determination, an applicant is considered to have withdrawn if it fails to provide payment under this section, or fails to provide a properly executed deed of financial security in accordance with the requirements of this section, or the ACMA is not satisfied that the person executing a deed of financial security is a person mentioned in subsection </w:t>
      </w:r>
      <w:r w:rsidRPr="00EF6D68">
        <w:t>4.1</w:t>
      </w:r>
      <w:r w:rsidR="00E871C9" w:rsidRPr="00EF6D68">
        <w:t>6</w:t>
      </w:r>
      <w:r w:rsidRPr="00EF6D68">
        <w:t>(4).</w:t>
      </w:r>
      <w:r w:rsidRPr="00804D8C">
        <w:t xml:space="preserve"> </w:t>
      </w:r>
    </w:p>
    <w:p w14:paraId="1B8ADF3C" w14:textId="77777777" w:rsidR="00603AB1" w:rsidRPr="00BC7D36" w:rsidRDefault="00603AB1" w:rsidP="00D67611">
      <w:pPr>
        <w:pStyle w:val="Divisionheadinglevel"/>
        <w:tabs>
          <w:tab w:val="left" w:pos="1843"/>
        </w:tabs>
        <w:ind w:left="1701" w:hanging="1701"/>
      </w:pPr>
      <w:r>
        <w:lastRenderedPageBreak/>
        <w:t>Division</w:t>
      </w:r>
      <w:r w:rsidR="00474559">
        <w:t xml:space="preserve"> 6</w:t>
      </w:r>
      <w:r>
        <w:tab/>
        <w:t>Withdrawal</w:t>
      </w:r>
    </w:p>
    <w:p w14:paraId="39A2BDCA" w14:textId="77777777" w:rsidR="00603AB1" w:rsidRDefault="00603AB1" w:rsidP="00403604">
      <w:pPr>
        <w:pStyle w:val="ACMABodyText"/>
      </w:pPr>
      <w:r>
        <w:t xml:space="preserve">This </w:t>
      </w:r>
      <w:r w:rsidR="00CF73CE">
        <w:t>D</w:t>
      </w:r>
      <w:r>
        <w:t>ivision sets out the rules by which an applicant can withdraw and the consequences of withdrawal.</w:t>
      </w:r>
    </w:p>
    <w:p w14:paraId="3357C2AE" w14:textId="77777777" w:rsidR="00603AB1" w:rsidRPr="00181920" w:rsidRDefault="00603AB1" w:rsidP="00D67611">
      <w:pPr>
        <w:pStyle w:val="ACMAHeading3"/>
      </w:pPr>
      <w:r w:rsidRPr="00181920">
        <w:t>Section</w:t>
      </w:r>
      <w:r>
        <w:t xml:space="preserve"> 4.1</w:t>
      </w:r>
      <w:r w:rsidR="002C2245">
        <w:t>7</w:t>
      </w:r>
      <w:r w:rsidRPr="00181920">
        <w:tab/>
      </w:r>
      <w:r>
        <w:t>Withdrawal of applicant</w:t>
      </w:r>
    </w:p>
    <w:p w14:paraId="48D44DF3" w14:textId="77777777" w:rsidR="00603AB1" w:rsidRPr="00B45817" w:rsidRDefault="00603AB1" w:rsidP="00D67611">
      <w:pPr>
        <w:pStyle w:val="ACMABodyText"/>
      </w:pPr>
      <w:r w:rsidRPr="00B45817">
        <w:t xml:space="preserve">This section describes how and when an applicant may withdraw from the </w:t>
      </w:r>
      <w:r w:rsidR="001C1B46">
        <w:t>auction</w:t>
      </w:r>
      <w:r w:rsidRPr="00B45817">
        <w:t xml:space="preserve">. It </w:t>
      </w:r>
      <w:r>
        <w:t xml:space="preserve">also describes the consequences </w:t>
      </w:r>
      <w:r w:rsidRPr="00B45817">
        <w:t>of withdrawing</w:t>
      </w:r>
      <w:r>
        <w:t xml:space="preserve"> an application</w:t>
      </w:r>
      <w:r w:rsidRPr="00B45817">
        <w:t>.</w:t>
      </w:r>
    </w:p>
    <w:p w14:paraId="13BF3AB9" w14:textId="1791937B" w:rsidR="00603AB1" w:rsidRPr="00B45817" w:rsidRDefault="00603AB1" w:rsidP="00D67611">
      <w:pPr>
        <w:pStyle w:val="ACMABodyText"/>
      </w:pPr>
      <w:r>
        <w:t>An</w:t>
      </w:r>
      <w:r w:rsidRPr="00B45817">
        <w:t xml:space="preserve"> applicant can withdraw </w:t>
      </w:r>
      <w:r w:rsidR="001C1B46">
        <w:t>at</w:t>
      </w:r>
      <w:r w:rsidRPr="00B45817">
        <w:t xml:space="preserve"> any time</w:t>
      </w:r>
      <w:r>
        <w:t xml:space="preserve"> before the eligibility deadline;</w:t>
      </w:r>
      <w:r w:rsidRPr="00B45817">
        <w:t xml:space="preserve"> however, it must inform the ACMA of this in writing. An applicant who has withdrawn will not be </w:t>
      </w:r>
      <w:r w:rsidR="00333609">
        <w:t>re-admitted to the auction</w:t>
      </w:r>
      <w:r w:rsidRPr="00B45817">
        <w:t xml:space="preserve">. </w:t>
      </w:r>
    </w:p>
    <w:p w14:paraId="2A3C7DB6" w14:textId="77777777" w:rsidR="00603AB1" w:rsidRDefault="00603AB1" w:rsidP="00D67611">
      <w:pPr>
        <w:pStyle w:val="ACMABodyText"/>
      </w:pPr>
      <w:r>
        <w:t>A</w:t>
      </w:r>
      <w:r w:rsidRPr="00B45817">
        <w:t xml:space="preserve">ny </w:t>
      </w:r>
      <w:r>
        <w:t>eligibility payment amount paid</w:t>
      </w:r>
      <w:r w:rsidRPr="00B45817">
        <w:t xml:space="preserve"> by an applicant </w:t>
      </w:r>
      <w:r>
        <w:t>who</w:t>
      </w:r>
      <w:r w:rsidRPr="00B45817">
        <w:t xml:space="preserve"> </w:t>
      </w:r>
      <w:r>
        <w:t>withdraws</w:t>
      </w:r>
      <w:r w:rsidRPr="00B45817">
        <w:t xml:space="preserve"> </w:t>
      </w:r>
      <w:r>
        <w:t>before the eligibility deadline, or that is taken to have withdrawn under other sections of the Determination,</w:t>
      </w:r>
      <w:r w:rsidRPr="00B45817">
        <w:t xml:space="preserve"> will be refunded.</w:t>
      </w:r>
      <w:r>
        <w:t xml:space="preserve"> Under section </w:t>
      </w:r>
      <w:r w:rsidRPr="00EF6D68">
        <w:t>4.3</w:t>
      </w:r>
      <w:r>
        <w:t xml:space="preserve"> of the Determination, any application fee paid by an applicant who withdraws will </w:t>
      </w:r>
      <w:r w:rsidRPr="00687877">
        <w:rPr>
          <w:i/>
        </w:rPr>
        <w:t>not</w:t>
      </w:r>
      <w:r>
        <w:t xml:space="preserve"> be refunded.</w:t>
      </w:r>
    </w:p>
    <w:p w14:paraId="6DAF72ED" w14:textId="77777777" w:rsidR="00B60A96" w:rsidRPr="00EF6D68" w:rsidRDefault="00603AB1" w:rsidP="00AB1DAC">
      <w:pPr>
        <w:pStyle w:val="Partheadinglevel"/>
      </w:pPr>
      <w:r w:rsidRPr="00EF6D68">
        <w:t xml:space="preserve">PART </w:t>
      </w:r>
      <w:r w:rsidR="002C2245" w:rsidRPr="00EF6D68">
        <w:t>5</w:t>
      </w:r>
      <w:r w:rsidR="00B60A96" w:rsidRPr="00EF6D68">
        <w:t xml:space="preserve"> </w:t>
      </w:r>
      <w:r w:rsidR="00F76979" w:rsidRPr="00EF6D68">
        <w:tab/>
      </w:r>
      <w:r w:rsidR="00B60A96" w:rsidRPr="00EF6D68">
        <w:t>ALLOCATION FOR A PRE-DETERMINED PRICE</w:t>
      </w:r>
    </w:p>
    <w:p w14:paraId="7ED8D6B2" w14:textId="77777777" w:rsidR="002C2245" w:rsidRPr="0036029A" w:rsidRDefault="002C2245" w:rsidP="002C2245">
      <w:pPr>
        <w:pStyle w:val="Boxpara"/>
        <w:spacing w:after="60" w:line="240" w:lineRule="exact"/>
        <w:ind w:left="0" w:right="0"/>
      </w:pPr>
      <w:r w:rsidRPr="0036029A">
        <w:t xml:space="preserve">This Part outlines the pre-determined price procedures for allocation of spectrum licences without an auction. This Part also sets out what happens if an offer for a spectrum licence at a pre-determined price is not accepted, the </w:t>
      </w:r>
      <w:r w:rsidR="00D91F9A" w:rsidRPr="0036029A">
        <w:t xml:space="preserve">pre-determined </w:t>
      </w:r>
      <w:r w:rsidR="00F76979" w:rsidRPr="0036029A">
        <w:t xml:space="preserve">price </w:t>
      </w:r>
      <w:r w:rsidR="00D91F9A" w:rsidRPr="0036029A">
        <w:t>allocation</w:t>
      </w:r>
      <w:r w:rsidRPr="0036029A">
        <w:t xml:space="preserve"> process is terminated or full payment is not made for spectrum licence</w:t>
      </w:r>
      <w:r w:rsidR="00F76979" w:rsidRPr="0036029A">
        <w:t>s</w:t>
      </w:r>
      <w:r w:rsidR="00D91F9A" w:rsidRPr="0036029A">
        <w:t xml:space="preserve"> allocated </w:t>
      </w:r>
      <w:r w:rsidR="00F76979" w:rsidRPr="0036029A">
        <w:t>at</w:t>
      </w:r>
      <w:r w:rsidR="00D91F9A" w:rsidRPr="0036029A">
        <w:t xml:space="preserve"> a pre-determined price.</w:t>
      </w:r>
    </w:p>
    <w:p w14:paraId="41293B1B" w14:textId="1DF3E014" w:rsidR="001932CA" w:rsidRDefault="001932CA" w:rsidP="001932CA">
      <w:pPr>
        <w:pStyle w:val="ACMABodyText"/>
        <w:rPr>
          <w:highlight w:val="yellow"/>
        </w:rPr>
      </w:pPr>
      <w:r w:rsidRPr="00EF6D68">
        <w:t xml:space="preserve">There </w:t>
      </w:r>
      <w:r w:rsidR="00BC570E" w:rsidRPr="00EF6D68">
        <w:t>may be</w:t>
      </w:r>
      <w:r w:rsidRPr="00EF6D68">
        <w:t xml:space="preserve"> circumstances</w:t>
      </w:r>
      <w:r w:rsidR="00A547C4" w:rsidRPr="00EF6D68">
        <w:t xml:space="preserve"> of limited demand</w:t>
      </w:r>
      <w:r w:rsidRPr="00EF6D68">
        <w:t xml:space="preserve"> which could lead to a situation where the</w:t>
      </w:r>
      <w:r w:rsidR="00141273" w:rsidRPr="00EF6D68">
        <w:t xml:space="preserve"> ACMA might decide that it is able to identify the highest value user for the spectrum without conducting an auction, and may therefore decide to allocate spectrum licences for lots for a pre-determined price</w:t>
      </w:r>
      <w:r w:rsidR="00BF17BF" w:rsidRPr="0032195C">
        <w:t>.</w:t>
      </w:r>
      <w:r w:rsidR="00B74EF9" w:rsidRPr="00B74EF9">
        <w:t xml:space="preserve"> </w:t>
      </w:r>
    </w:p>
    <w:p w14:paraId="0DFF1AF8" w14:textId="77777777" w:rsidR="00B60A96" w:rsidRPr="007C43CA" w:rsidRDefault="0036029A" w:rsidP="0036029A">
      <w:pPr>
        <w:pStyle w:val="ACMAHeading3"/>
      </w:pPr>
      <w:r>
        <w:t>S</w:t>
      </w:r>
      <w:r w:rsidR="00B60A96" w:rsidRPr="007C43CA">
        <w:t xml:space="preserve">ection </w:t>
      </w:r>
      <w:r w:rsidR="00D91F9A" w:rsidRPr="007C43CA">
        <w:t>5</w:t>
      </w:r>
      <w:r w:rsidR="00B60A96" w:rsidRPr="007C43CA">
        <w:t>.1</w:t>
      </w:r>
      <w:r w:rsidR="00B60A96" w:rsidRPr="007C43CA">
        <w:tab/>
        <w:t xml:space="preserve">Allocation for a pre-determined price </w:t>
      </w:r>
      <w:r w:rsidR="008002D0">
        <w:t>without an auction</w:t>
      </w:r>
    </w:p>
    <w:p w14:paraId="0EBA447C" w14:textId="77777777" w:rsidR="00F80F17" w:rsidRPr="007C43CA" w:rsidRDefault="002D5DCC" w:rsidP="00F80F17">
      <w:pPr>
        <w:pStyle w:val="ACMABodyText"/>
      </w:pPr>
      <w:r>
        <w:t xml:space="preserve">This section allows the ACMA, </w:t>
      </w:r>
      <w:r w:rsidR="00F80F17" w:rsidRPr="007C43CA">
        <w:t xml:space="preserve">before the auction manager sets the start date and time for the first and second rounds of the auction under section </w:t>
      </w:r>
      <w:r w:rsidR="00F80F17" w:rsidRPr="00EF6D68">
        <w:t>6.7</w:t>
      </w:r>
      <w:r w:rsidR="00F80F17" w:rsidRPr="007C43CA">
        <w:t xml:space="preserve">, </w:t>
      </w:r>
      <w:r>
        <w:t xml:space="preserve">to determine that </w:t>
      </w:r>
      <w:r w:rsidR="00F76979">
        <w:t xml:space="preserve">it </w:t>
      </w:r>
      <w:r>
        <w:t xml:space="preserve">will offer </w:t>
      </w:r>
      <w:r w:rsidR="00F80F17" w:rsidRPr="007C43CA">
        <w:t xml:space="preserve">to allocate spectrum licences for </w:t>
      </w:r>
      <w:r w:rsidR="00FE59FD">
        <w:t xml:space="preserve">lots for </w:t>
      </w:r>
      <w:r w:rsidR="00F80F17" w:rsidRPr="007C43CA">
        <w:t>a pre</w:t>
      </w:r>
      <w:r w:rsidR="00F80F17" w:rsidRPr="007C43CA">
        <w:noBreakHyphen/>
        <w:t>determined price</w:t>
      </w:r>
      <w:r>
        <w:t xml:space="preserve"> if it considers</w:t>
      </w:r>
      <w:r w:rsidR="00C63684">
        <w:t xml:space="preserve"> </w:t>
      </w:r>
      <w:r>
        <w:t>that it is able to identify the highest value user of the spectrum without conducting an auction.</w:t>
      </w:r>
    </w:p>
    <w:p w14:paraId="1AE1F8DB" w14:textId="77777777" w:rsidR="00F80F17" w:rsidRPr="007C43CA" w:rsidRDefault="002D5DCC" w:rsidP="00F80F17">
      <w:pPr>
        <w:pStyle w:val="ACMABodyText"/>
      </w:pPr>
      <w:r>
        <w:t xml:space="preserve">Any </w:t>
      </w:r>
      <w:r w:rsidR="00F80F17" w:rsidRPr="007C43CA">
        <w:t xml:space="preserve">offer of a spectrum licence </w:t>
      </w:r>
      <w:r>
        <w:t xml:space="preserve">made under this Part </w:t>
      </w:r>
      <w:r w:rsidR="00F80F17" w:rsidRPr="007C43CA">
        <w:t>will be conditional on payment of the pre</w:t>
      </w:r>
      <w:r w:rsidR="00F80F17" w:rsidRPr="007C43CA">
        <w:noBreakHyphen/>
        <w:t>determined price.</w:t>
      </w:r>
    </w:p>
    <w:p w14:paraId="6A1498B0" w14:textId="1BBB2FC2" w:rsidR="007C43CA" w:rsidRDefault="007C43CA" w:rsidP="007C43CA">
      <w:pPr>
        <w:pStyle w:val="ACMAHeading3"/>
      </w:pPr>
      <w:r w:rsidRPr="007C43CA">
        <w:t>Section 5.</w:t>
      </w:r>
      <w:r>
        <w:t>2</w:t>
      </w:r>
      <w:r w:rsidRPr="007C43CA">
        <w:tab/>
      </w:r>
      <w:r w:rsidR="008002D0">
        <w:t>ACM</w:t>
      </w:r>
      <w:r w:rsidR="00333609">
        <w:t>A must have regard to applicant</w:t>
      </w:r>
      <w:r w:rsidR="008002D0">
        <w:t>s</w:t>
      </w:r>
      <w:r w:rsidR="00333609">
        <w:t>’</w:t>
      </w:r>
      <w:r w:rsidR="008002D0">
        <w:t xml:space="preserve"> requirements</w:t>
      </w:r>
    </w:p>
    <w:p w14:paraId="33327B72" w14:textId="77777777" w:rsidR="007C43CA" w:rsidRPr="007C43CA" w:rsidRDefault="002D5DCC" w:rsidP="007C43CA">
      <w:pPr>
        <w:pStyle w:val="ACMABodyText"/>
        <w:rPr>
          <w:lang w:val="en-US"/>
        </w:rPr>
      </w:pPr>
      <w:r>
        <w:rPr>
          <w:lang w:val="en-US"/>
        </w:rPr>
        <w:t xml:space="preserve">In deciding whether it may </w:t>
      </w:r>
      <w:r w:rsidR="00934DBB">
        <w:rPr>
          <w:lang w:val="en-US"/>
        </w:rPr>
        <w:t xml:space="preserve">be able to </w:t>
      </w:r>
      <w:r>
        <w:rPr>
          <w:lang w:val="en-US"/>
        </w:rPr>
        <w:t xml:space="preserve">allocate spectrum </w:t>
      </w:r>
      <w:r w:rsidR="00934DBB">
        <w:rPr>
          <w:lang w:val="en-US"/>
        </w:rPr>
        <w:t xml:space="preserve">licences </w:t>
      </w:r>
      <w:r w:rsidR="0067647D">
        <w:rPr>
          <w:lang w:val="en-US"/>
        </w:rPr>
        <w:t xml:space="preserve">for certain lots </w:t>
      </w:r>
      <w:r>
        <w:rPr>
          <w:lang w:val="en-US"/>
        </w:rPr>
        <w:t>without an auction, t</w:t>
      </w:r>
      <w:r w:rsidR="007C43CA" w:rsidRPr="007C43CA">
        <w:rPr>
          <w:lang w:val="en-US"/>
        </w:rPr>
        <w:t>he ACMA m</w:t>
      </w:r>
      <w:r w:rsidR="00934DBB">
        <w:rPr>
          <w:lang w:val="en-US"/>
        </w:rPr>
        <w:t>ust</w:t>
      </w:r>
      <w:r>
        <w:rPr>
          <w:lang w:val="en-US"/>
        </w:rPr>
        <w:t xml:space="preserve"> only </w:t>
      </w:r>
      <w:r w:rsidR="007C43CA" w:rsidRPr="007C43CA">
        <w:rPr>
          <w:lang w:val="en-US"/>
        </w:rPr>
        <w:t xml:space="preserve">have regard to applicants’ </w:t>
      </w:r>
      <w:r>
        <w:rPr>
          <w:lang w:val="en-US"/>
        </w:rPr>
        <w:t xml:space="preserve">indications of lot requirements provided through their eligibility nomination forms or through other information </w:t>
      </w:r>
      <w:r w:rsidR="00934DBB">
        <w:rPr>
          <w:lang w:val="en-US"/>
        </w:rPr>
        <w:t xml:space="preserve">about lot requirements </w:t>
      </w:r>
      <w:r>
        <w:rPr>
          <w:lang w:val="en-US"/>
        </w:rPr>
        <w:t>provided by applicant</w:t>
      </w:r>
      <w:r w:rsidR="00934DBB">
        <w:rPr>
          <w:lang w:val="en-US"/>
        </w:rPr>
        <w:t>s</w:t>
      </w:r>
      <w:r>
        <w:rPr>
          <w:lang w:val="en-US"/>
        </w:rPr>
        <w:t xml:space="preserve"> to the ACMA.</w:t>
      </w:r>
    </w:p>
    <w:p w14:paraId="32B68048" w14:textId="77777777" w:rsidR="007C43CA" w:rsidRPr="009C3F34" w:rsidRDefault="007C43CA" w:rsidP="007C43CA">
      <w:pPr>
        <w:pStyle w:val="ACMAHeading3"/>
      </w:pPr>
      <w:r w:rsidRPr="007C43CA">
        <w:t>Section 5.</w:t>
      </w:r>
      <w:r>
        <w:t>3</w:t>
      </w:r>
      <w:r w:rsidRPr="009C3F34">
        <w:tab/>
        <w:t>The pre</w:t>
      </w:r>
      <w:r>
        <w:noBreakHyphen/>
      </w:r>
      <w:r w:rsidRPr="009C3F34">
        <w:t>determined price</w:t>
      </w:r>
    </w:p>
    <w:p w14:paraId="1E642905" w14:textId="42ABDAF0" w:rsidR="007C43CA" w:rsidRPr="007C43CA" w:rsidRDefault="00824D5D" w:rsidP="007C43CA">
      <w:pPr>
        <w:pStyle w:val="ACMABodyText"/>
      </w:pPr>
      <w:r>
        <w:t>This section sets out how the pre-determined price is calculated</w:t>
      </w:r>
      <w:r w:rsidR="001B43ED">
        <w:t xml:space="preserve"> </w:t>
      </w:r>
      <w:r w:rsidR="007C43CA" w:rsidRPr="007C43CA">
        <w:t>for a spectrum licence</w:t>
      </w:r>
      <w:r w:rsidR="001B43ED">
        <w:t>.</w:t>
      </w:r>
      <w:r w:rsidR="007C43CA" w:rsidRPr="007C43CA">
        <w:t xml:space="preserve"> The ACMA will identify each lot to be included in the spectrum licence and will add up the starting prices for each lot</w:t>
      </w:r>
      <w:r w:rsidR="00333609" w:rsidRPr="00333609">
        <w:t xml:space="preserve"> </w:t>
      </w:r>
      <w:r w:rsidR="00333609">
        <w:t>(t</w:t>
      </w:r>
      <w:r w:rsidR="00333609" w:rsidRPr="007C43CA">
        <w:t>he starting price for each lot is set by the ACMA under section </w:t>
      </w:r>
      <w:r w:rsidR="00333609" w:rsidRPr="00EF6D68">
        <w:t>4.6</w:t>
      </w:r>
      <w:r w:rsidR="00333609">
        <w:t>)</w:t>
      </w:r>
      <w:r w:rsidR="007C43CA" w:rsidRPr="007C43CA">
        <w:t>. The balance of the pre</w:t>
      </w:r>
      <w:r w:rsidR="007C43CA" w:rsidRPr="007C43CA">
        <w:noBreakHyphen/>
        <w:t xml:space="preserve">determined price </w:t>
      </w:r>
      <w:r w:rsidR="00941D50">
        <w:t xml:space="preserve">for a spectrum licence </w:t>
      </w:r>
      <w:r w:rsidR="007C43CA" w:rsidRPr="007C43CA">
        <w:t>payable by an applicant is the pre</w:t>
      </w:r>
      <w:r w:rsidR="007C43CA" w:rsidRPr="007C43CA">
        <w:noBreakHyphen/>
        <w:t>determined price less the amount of any eligibility</w:t>
      </w:r>
      <w:r w:rsidR="00333609">
        <w:t xml:space="preserve"> payment made by the applicant.</w:t>
      </w:r>
    </w:p>
    <w:p w14:paraId="038656A6" w14:textId="78A78C37" w:rsidR="007C43CA" w:rsidRDefault="007C43CA" w:rsidP="007C43CA">
      <w:pPr>
        <w:pStyle w:val="ACMAHeading3"/>
      </w:pPr>
      <w:r w:rsidRPr="007C43CA">
        <w:t>Section 5.</w:t>
      </w:r>
      <w:r>
        <w:t>4</w:t>
      </w:r>
      <w:r w:rsidRPr="009C3F34">
        <w:tab/>
      </w:r>
      <w:r>
        <w:t>Offer of spectrum licence</w:t>
      </w:r>
    </w:p>
    <w:p w14:paraId="53B6C9C3" w14:textId="77777777" w:rsidR="007C43CA" w:rsidRPr="009C3F34" w:rsidRDefault="00824D5D" w:rsidP="00B95DEE">
      <w:pPr>
        <w:pStyle w:val="ACMABodyText"/>
      </w:pPr>
      <w:r>
        <w:t xml:space="preserve">This section sets out the procedures that the ACMA will undertake when offering spectrum licences at a pre-determined price. </w:t>
      </w:r>
      <w:r w:rsidR="007C43CA">
        <w:t xml:space="preserve">The </w:t>
      </w:r>
      <w:r w:rsidR="007C43CA" w:rsidRPr="009C3F34">
        <w:t>ACMA will</w:t>
      </w:r>
      <w:r w:rsidR="007C43CA" w:rsidRPr="00B95DEE">
        <w:t xml:space="preserve"> </w:t>
      </w:r>
      <w:r w:rsidR="007C43CA" w:rsidRPr="009C3F34">
        <w:t xml:space="preserve">offer each applicant a </w:t>
      </w:r>
      <w:r w:rsidR="007C43CA">
        <w:t xml:space="preserve">spectrum </w:t>
      </w:r>
      <w:r w:rsidR="007C43CA" w:rsidRPr="009C3F34">
        <w:t xml:space="preserve">licence or licences for the lots identified under paragraph </w:t>
      </w:r>
      <w:r w:rsidR="007C43CA" w:rsidRPr="00EF6D68">
        <w:t>5.3(1)(a)</w:t>
      </w:r>
      <w:r w:rsidR="00B95DEE">
        <w:t xml:space="preserve"> in the following manner. </w:t>
      </w:r>
      <w:r w:rsidR="007C43CA">
        <w:t xml:space="preserve">The </w:t>
      </w:r>
      <w:r w:rsidR="007C43CA" w:rsidRPr="009C3F34">
        <w:t>ACMA will send each applicant, by re</w:t>
      </w:r>
      <w:r w:rsidR="002D5DCC">
        <w:t>gistered</w:t>
      </w:r>
      <w:r w:rsidR="007C43CA" w:rsidRPr="009C3F34">
        <w:t xml:space="preserve"> mail</w:t>
      </w:r>
      <w:r w:rsidR="00D553FA">
        <w:t>,</w:t>
      </w:r>
      <w:r w:rsidR="00B95DEE">
        <w:t xml:space="preserve"> </w:t>
      </w:r>
      <w:r w:rsidR="007C43CA" w:rsidRPr="009C3F34">
        <w:t xml:space="preserve">a draft of the </w:t>
      </w:r>
      <w:r w:rsidR="007C43CA">
        <w:t xml:space="preserve">spectrum </w:t>
      </w:r>
      <w:r w:rsidR="007C43CA" w:rsidRPr="009C3F34">
        <w:t>licence or licences and</w:t>
      </w:r>
      <w:r w:rsidR="00B95DEE">
        <w:t xml:space="preserve"> </w:t>
      </w:r>
      <w:r w:rsidR="007C43CA" w:rsidRPr="009C3F34">
        <w:t>a notice stating:</w:t>
      </w:r>
    </w:p>
    <w:p w14:paraId="2667252B" w14:textId="55FB1190" w:rsidR="007C43CA" w:rsidRPr="009C3F34" w:rsidRDefault="007C43CA" w:rsidP="00BC4E75">
      <w:pPr>
        <w:pStyle w:val="ACMABodyText"/>
        <w:numPr>
          <w:ilvl w:val="0"/>
          <w:numId w:val="22"/>
        </w:numPr>
        <w:ind w:left="709" w:hanging="709"/>
      </w:pPr>
      <w:r w:rsidRPr="009C3F34">
        <w:lastRenderedPageBreak/>
        <w:t xml:space="preserve">that the applicant is offered a </w:t>
      </w:r>
      <w:r>
        <w:t xml:space="preserve">spectrum </w:t>
      </w:r>
      <w:r w:rsidRPr="009C3F34">
        <w:t xml:space="preserve">licence or licences for the </w:t>
      </w:r>
      <w:r w:rsidR="002D5DCC">
        <w:t xml:space="preserve">relevant </w:t>
      </w:r>
      <w:r w:rsidRPr="009C3F34">
        <w:t xml:space="preserve">lots; </w:t>
      </w:r>
    </w:p>
    <w:p w14:paraId="5E09A89A" w14:textId="710B8A12" w:rsidR="007C43CA" w:rsidRPr="009C3F34" w:rsidRDefault="007C43CA" w:rsidP="00B95DEE">
      <w:pPr>
        <w:pStyle w:val="ACMABodyText"/>
        <w:ind w:left="709" w:hanging="709"/>
      </w:pPr>
      <w:r w:rsidRPr="009C3F34">
        <w:t>(ii)</w:t>
      </w:r>
      <w:r w:rsidRPr="009C3F34">
        <w:tab/>
        <w:t>the amount of the pre</w:t>
      </w:r>
      <w:r>
        <w:noBreakHyphen/>
      </w:r>
      <w:r w:rsidRPr="009C3F34">
        <w:t xml:space="preserve">determined price payable for each </w:t>
      </w:r>
      <w:r>
        <w:t xml:space="preserve">spectrum </w:t>
      </w:r>
      <w:r w:rsidRPr="009C3F34">
        <w:t xml:space="preserve">licence and the total </w:t>
      </w:r>
      <w:r w:rsidR="00934DBB">
        <w:t xml:space="preserve">of the </w:t>
      </w:r>
      <w:r w:rsidRPr="009C3F34">
        <w:t>pre</w:t>
      </w:r>
      <w:r>
        <w:noBreakHyphen/>
      </w:r>
      <w:r w:rsidRPr="009C3F34">
        <w:t>determined price</w:t>
      </w:r>
      <w:r w:rsidR="00934DBB">
        <w:t>s</w:t>
      </w:r>
      <w:r w:rsidRPr="009C3F34">
        <w:t xml:space="preserve">; </w:t>
      </w:r>
    </w:p>
    <w:p w14:paraId="33960ED0" w14:textId="702B81C3" w:rsidR="007C43CA" w:rsidRPr="009C3F34" w:rsidRDefault="007C43CA" w:rsidP="00B95DEE">
      <w:pPr>
        <w:pStyle w:val="ACMABodyText"/>
      </w:pPr>
      <w:r w:rsidRPr="009C3F34">
        <w:t>(iii)</w:t>
      </w:r>
      <w:r w:rsidRPr="009C3F34">
        <w:tab/>
        <w:t xml:space="preserve">the amount of </w:t>
      </w:r>
      <w:r>
        <w:t>any</w:t>
      </w:r>
      <w:r w:rsidRPr="009C3F34">
        <w:t xml:space="preserve"> eligibility payment made by the applicant and held by </w:t>
      </w:r>
      <w:r>
        <w:t xml:space="preserve">the </w:t>
      </w:r>
      <w:r w:rsidRPr="009C3F34">
        <w:t xml:space="preserve">ACMA; </w:t>
      </w:r>
    </w:p>
    <w:p w14:paraId="1EC30680" w14:textId="77777777" w:rsidR="007C43CA" w:rsidRPr="009C3F34" w:rsidRDefault="007C43CA" w:rsidP="00B95DEE">
      <w:pPr>
        <w:pStyle w:val="ACMABodyText"/>
      </w:pPr>
      <w:r w:rsidRPr="009C3F34">
        <w:t>(iv)</w:t>
      </w:r>
      <w:r w:rsidRPr="009C3F34">
        <w:tab/>
        <w:t xml:space="preserve">the </w:t>
      </w:r>
      <w:r w:rsidR="00934DBB">
        <w:t xml:space="preserve">full </w:t>
      </w:r>
      <w:r w:rsidRPr="009C3F34">
        <w:t>balance of the pre</w:t>
      </w:r>
      <w:r>
        <w:noBreakHyphen/>
      </w:r>
      <w:r w:rsidRPr="009C3F34">
        <w:t>determined price payable for the</w:t>
      </w:r>
      <w:r>
        <w:t xml:space="preserve"> spectrum</w:t>
      </w:r>
      <w:r w:rsidRPr="009C3F34">
        <w:t xml:space="preserve"> licence or licences; and</w:t>
      </w:r>
    </w:p>
    <w:p w14:paraId="3ADD142C" w14:textId="77777777" w:rsidR="007C43CA" w:rsidRPr="009C3F34" w:rsidRDefault="007C43CA" w:rsidP="00B95DEE">
      <w:pPr>
        <w:pStyle w:val="ACMABodyText"/>
        <w:ind w:left="709" w:hanging="709"/>
      </w:pPr>
      <w:r w:rsidRPr="009C3F34">
        <w:t>(v)</w:t>
      </w:r>
      <w:r w:rsidRPr="009C3F34">
        <w:tab/>
        <w:t xml:space="preserve">that the offer is conditional on each other applicant accepting the </w:t>
      </w:r>
      <w:r>
        <w:t xml:space="preserve">spectrum </w:t>
      </w:r>
      <w:r w:rsidRPr="009C3F34">
        <w:t>licence or licences offered</w:t>
      </w:r>
      <w:r w:rsidR="00941D50">
        <w:t xml:space="preserve"> to it</w:t>
      </w:r>
      <w:r w:rsidRPr="009C3F34">
        <w:t>.</w:t>
      </w:r>
    </w:p>
    <w:p w14:paraId="4E5BB440" w14:textId="77777777" w:rsidR="007C43CA" w:rsidRPr="009C3F34" w:rsidRDefault="007C43CA" w:rsidP="00B95DEE">
      <w:pPr>
        <w:pStyle w:val="ACMABodyText"/>
      </w:pPr>
      <w:r w:rsidRPr="009C3F34">
        <w:t>A</w:t>
      </w:r>
      <w:r>
        <w:t>n</w:t>
      </w:r>
      <w:r w:rsidRPr="009C3F34">
        <w:t xml:space="preserve"> applicant who wishes to accept </w:t>
      </w:r>
      <w:r>
        <w:t xml:space="preserve">the </w:t>
      </w:r>
      <w:r w:rsidRPr="009C3F34">
        <w:t xml:space="preserve">ACMA’s offer must do so by notifying </w:t>
      </w:r>
      <w:r>
        <w:t xml:space="preserve">the </w:t>
      </w:r>
      <w:r w:rsidRPr="009C3F34">
        <w:t>ACMA in writing within</w:t>
      </w:r>
      <w:r w:rsidR="00BC2012">
        <w:t xml:space="preserve"> 7</w:t>
      </w:r>
      <w:r w:rsidRPr="009C3F34">
        <w:t xml:space="preserve"> working days of receiving the offer and agreeing, in writing, to pay the </w:t>
      </w:r>
      <w:r w:rsidR="00934DBB">
        <w:t xml:space="preserve">full </w:t>
      </w:r>
      <w:r w:rsidRPr="009C3F34">
        <w:t>balance of the pre</w:t>
      </w:r>
      <w:r>
        <w:noBreakHyphen/>
      </w:r>
      <w:r w:rsidRPr="009C3F34">
        <w:t>determined price</w:t>
      </w:r>
      <w:r w:rsidR="00934DBB">
        <w:t xml:space="preserve"> for all spectrum licences</w:t>
      </w:r>
      <w:r w:rsidR="00D81F0C">
        <w:t xml:space="preserve"> offered</w:t>
      </w:r>
      <w:r w:rsidRPr="009C3F34">
        <w:t>.</w:t>
      </w:r>
    </w:p>
    <w:p w14:paraId="2F1ED40B" w14:textId="4EBB01D5" w:rsidR="007C43CA" w:rsidRDefault="007C43CA">
      <w:pPr>
        <w:pStyle w:val="ACMABodyText"/>
      </w:pPr>
      <w:r w:rsidRPr="009C3F34">
        <w:t xml:space="preserve">If every applicant accepts the </w:t>
      </w:r>
      <w:r>
        <w:t xml:space="preserve">spectrum </w:t>
      </w:r>
      <w:r w:rsidRPr="009C3F34">
        <w:t>licence</w:t>
      </w:r>
      <w:r w:rsidR="00D81F0C">
        <w:t xml:space="preserve"> or licences</w:t>
      </w:r>
      <w:r w:rsidRPr="009C3F34">
        <w:t xml:space="preserve"> offered to it, each applicant is entitled to be </w:t>
      </w:r>
      <w:r>
        <w:t>issued</w:t>
      </w:r>
      <w:r w:rsidRPr="009C3F34">
        <w:t xml:space="preserve"> the </w:t>
      </w:r>
      <w:r>
        <w:t xml:space="preserve">spectrum </w:t>
      </w:r>
      <w:r w:rsidRPr="009C3F34">
        <w:t>licence</w:t>
      </w:r>
      <w:r w:rsidR="00D81F0C">
        <w:t xml:space="preserve"> or licences</w:t>
      </w:r>
      <w:r w:rsidRPr="009C3F34">
        <w:t xml:space="preserve"> offered to it on payment of the </w:t>
      </w:r>
      <w:r w:rsidR="00D81F0C">
        <w:t xml:space="preserve">full </w:t>
      </w:r>
      <w:r w:rsidRPr="009C3F34">
        <w:t>balance of the pre</w:t>
      </w:r>
      <w:r>
        <w:noBreakHyphen/>
      </w:r>
      <w:r w:rsidRPr="009C3F34">
        <w:t xml:space="preserve">determined price </w:t>
      </w:r>
      <w:r w:rsidR="00D81F0C">
        <w:t>for all spectrum licences</w:t>
      </w:r>
      <w:r w:rsidRPr="009C3F34">
        <w:t>.</w:t>
      </w:r>
      <w:r w:rsidR="00B95DEE">
        <w:t xml:space="preserve"> </w:t>
      </w:r>
      <w:r w:rsidR="002D5DCC">
        <w:t>The ACMA will notify each applicant of their entitlement in writing.</w:t>
      </w:r>
      <w:r w:rsidR="00D81F0C">
        <w:t xml:space="preserve"> Payment is to be made in accordance with section 1</w:t>
      </w:r>
      <w:r w:rsidR="001E651E">
        <w:t>.</w:t>
      </w:r>
      <w:r w:rsidR="00D81F0C">
        <w:t>7.</w:t>
      </w:r>
    </w:p>
    <w:p w14:paraId="4CB966D6" w14:textId="774218EC" w:rsidR="00B95DEE" w:rsidRDefault="00B95DEE" w:rsidP="008002D0">
      <w:pPr>
        <w:pStyle w:val="ACMABodyText"/>
        <w:keepNext/>
        <w:tabs>
          <w:tab w:val="left" w:pos="1701"/>
        </w:tabs>
        <w:rPr>
          <w:b/>
        </w:rPr>
      </w:pPr>
      <w:r w:rsidRPr="00B95DEE">
        <w:rPr>
          <w:b/>
        </w:rPr>
        <w:t>Section 5.5</w:t>
      </w:r>
      <w:r>
        <w:tab/>
      </w:r>
      <w:r>
        <w:rPr>
          <w:b/>
        </w:rPr>
        <w:t xml:space="preserve">Payment of </w:t>
      </w:r>
      <w:r w:rsidR="008002D0">
        <w:rPr>
          <w:b/>
        </w:rPr>
        <w:t xml:space="preserve">full </w:t>
      </w:r>
      <w:r>
        <w:rPr>
          <w:b/>
        </w:rPr>
        <w:t>balance of pre-determined price</w:t>
      </w:r>
    </w:p>
    <w:p w14:paraId="79D0C075" w14:textId="05E3D8F2" w:rsidR="00B95DEE" w:rsidRPr="004659EE" w:rsidRDefault="00B95DEE" w:rsidP="00141AF1">
      <w:pPr>
        <w:pStyle w:val="ACMABodyText"/>
      </w:pPr>
      <w:r w:rsidRPr="004659EE">
        <w:t>This section sets out the arrangements</w:t>
      </w:r>
      <w:r w:rsidR="00824D5D" w:rsidRPr="004659EE">
        <w:t xml:space="preserve"> where all </w:t>
      </w:r>
      <w:r w:rsidR="006A110D" w:rsidRPr="004659EE">
        <w:t>applicants</w:t>
      </w:r>
      <w:r w:rsidR="00824D5D" w:rsidRPr="004659EE">
        <w:t xml:space="preserve"> have accepted the offer of a licence or licences at a pre-determined price. The ACMA </w:t>
      </w:r>
      <w:r w:rsidR="00333609">
        <w:t>must</w:t>
      </w:r>
      <w:r w:rsidR="00824D5D" w:rsidRPr="004659EE">
        <w:t xml:space="preserve"> </w:t>
      </w:r>
      <w:r w:rsidRPr="004659EE">
        <w:t xml:space="preserve">notify </w:t>
      </w:r>
      <w:r w:rsidR="00824D5D" w:rsidRPr="004659EE">
        <w:t>th</w:t>
      </w:r>
      <w:r w:rsidR="00D81F0C">
        <w:t>e</w:t>
      </w:r>
      <w:r w:rsidR="00824D5D" w:rsidRPr="004659EE">
        <w:t xml:space="preserve"> accepting </w:t>
      </w:r>
      <w:r w:rsidR="006A110D" w:rsidRPr="004659EE">
        <w:t xml:space="preserve">applicants </w:t>
      </w:r>
      <w:r w:rsidR="00C9050D">
        <w:t xml:space="preserve">by </w:t>
      </w:r>
      <w:r w:rsidR="00C9050D" w:rsidRPr="00EF6D68">
        <w:t>registered</w:t>
      </w:r>
      <w:r w:rsidR="00C9050D">
        <w:t xml:space="preserve"> mail </w:t>
      </w:r>
      <w:r w:rsidRPr="004659EE">
        <w:t xml:space="preserve">of the </w:t>
      </w:r>
      <w:r w:rsidR="00D81F0C">
        <w:t xml:space="preserve">full </w:t>
      </w:r>
      <w:r w:rsidRPr="004659EE">
        <w:t xml:space="preserve">balance of the pre-determined price </w:t>
      </w:r>
      <w:r w:rsidR="00C51E1B">
        <w:t xml:space="preserve">payable for all spectrum licences that the applicant is entitled to.  This occurs </w:t>
      </w:r>
      <w:r w:rsidRPr="004659EE">
        <w:t xml:space="preserve">where the amount is more than the </w:t>
      </w:r>
      <w:r w:rsidR="006A110D" w:rsidRPr="004659EE">
        <w:t>applicant</w:t>
      </w:r>
      <w:r w:rsidR="002D5DCC">
        <w:t>’</w:t>
      </w:r>
      <w:r w:rsidR="006A110D" w:rsidRPr="004659EE">
        <w:t>s</w:t>
      </w:r>
      <w:r w:rsidRPr="004659EE">
        <w:t xml:space="preserve"> eligibility payment. </w:t>
      </w:r>
      <w:r w:rsidR="00C51E1B">
        <w:t xml:space="preserve">This section </w:t>
      </w:r>
      <w:r w:rsidRPr="004659EE">
        <w:t xml:space="preserve">also </w:t>
      </w:r>
      <w:r w:rsidR="003723D6">
        <w:t>sets out</w:t>
      </w:r>
      <w:r w:rsidRPr="004659EE">
        <w:t xml:space="preserve"> the timing </w:t>
      </w:r>
      <w:r w:rsidR="00824D5D" w:rsidRPr="004659EE">
        <w:t>and payment arrangements</w:t>
      </w:r>
      <w:r w:rsidR="003723D6">
        <w:t xml:space="preserve">, and states that payment must be made within 10 </w:t>
      </w:r>
      <w:r w:rsidR="00870F0A">
        <w:t xml:space="preserve">working </w:t>
      </w:r>
      <w:r w:rsidR="003723D6">
        <w:t xml:space="preserve">days of </w:t>
      </w:r>
      <w:r w:rsidR="00333609">
        <w:t>the date of the</w:t>
      </w:r>
      <w:r w:rsidR="003723D6">
        <w:t xml:space="preserve"> notice sent by the AC</w:t>
      </w:r>
      <w:r w:rsidR="00870F0A">
        <w:t>M</w:t>
      </w:r>
      <w:r w:rsidR="003723D6">
        <w:t>A</w:t>
      </w:r>
      <w:r w:rsidR="00870F0A">
        <w:t>.</w:t>
      </w:r>
      <w:r w:rsidR="001A4ACC">
        <w:t xml:space="preserve"> </w:t>
      </w:r>
    </w:p>
    <w:p w14:paraId="58743659" w14:textId="4CF74E83" w:rsidR="00824D5D" w:rsidRPr="00824D5D" w:rsidRDefault="00824D5D" w:rsidP="00941D50">
      <w:pPr>
        <w:pStyle w:val="ACMABodyText"/>
        <w:keepNext/>
        <w:tabs>
          <w:tab w:val="left" w:pos="1701"/>
        </w:tabs>
        <w:rPr>
          <w:b/>
        </w:rPr>
      </w:pPr>
      <w:r>
        <w:rPr>
          <w:b/>
        </w:rPr>
        <w:t xml:space="preserve">Section </w:t>
      </w:r>
      <w:r w:rsidRPr="00824D5D">
        <w:rPr>
          <w:b/>
        </w:rPr>
        <w:t>5.6</w:t>
      </w:r>
      <w:r>
        <w:rPr>
          <w:b/>
        </w:rPr>
        <w:tab/>
      </w:r>
      <w:r w:rsidRPr="00824D5D">
        <w:rPr>
          <w:b/>
        </w:rPr>
        <w:t>Allocation if some offers refused</w:t>
      </w:r>
    </w:p>
    <w:p w14:paraId="7D55D942" w14:textId="77777777" w:rsidR="00824D5D" w:rsidRPr="00824D5D" w:rsidRDefault="00824D5D" w:rsidP="00824D5D">
      <w:pPr>
        <w:pStyle w:val="ACMABodyText"/>
        <w:rPr>
          <w:lang w:val="en-US"/>
        </w:rPr>
      </w:pPr>
      <w:r>
        <w:rPr>
          <w:lang w:val="en-US"/>
        </w:rPr>
        <w:t xml:space="preserve">This section sets out the procedures that will apply if </w:t>
      </w:r>
      <w:r w:rsidRPr="00824D5D">
        <w:rPr>
          <w:lang w:val="en-US"/>
        </w:rPr>
        <w:t xml:space="preserve">an applicant does not accept, in accordance with subsection </w:t>
      </w:r>
      <w:r w:rsidRPr="00EF6D68">
        <w:rPr>
          <w:lang w:val="en-US"/>
        </w:rPr>
        <w:t>5.4(3),</w:t>
      </w:r>
      <w:r w:rsidRPr="00824D5D">
        <w:rPr>
          <w:lang w:val="en-US"/>
        </w:rPr>
        <w:t xml:space="preserve"> a spectrum licence that has been offered to it</w:t>
      </w:r>
      <w:r w:rsidR="002D5DCC">
        <w:rPr>
          <w:lang w:val="en-US"/>
        </w:rPr>
        <w:t xml:space="preserve"> through the pre-determined price allocation</w:t>
      </w:r>
      <w:r w:rsidR="006A110D">
        <w:rPr>
          <w:lang w:val="en-US"/>
        </w:rPr>
        <w:t>.  In this case,</w:t>
      </w:r>
      <w:r w:rsidRPr="00824D5D">
        <w:rPr>
          <w:lang w:val="en-US"/>
        </w:rPr>
        <w:t xml:space="preserve"> the ACMA may:</w:t>
      </w:r>
    </w:p>
    <w:p w14:paraId="617CAC84" w14:textId="468BCF7B" w:rsidR="00824D5D" w:rsidRPr="00824D5D" w:rsidRDefault="00824D5D" w:rsidP="002707B2">
      <w:pPr>
        <w:pStyle w:val="ACMABodyText"/>
        <w:numPr>
          <w:ilvl w:val="0"/>
          <w:numId w:val="51"/>
        </w:numPr>
        <w:ind w:left="709" w:hanging="709"/>
        <w:rPr>
          <w:lang w:val="en-US"/>
        </w:rPr>
      </w:pPr>
      <w:r w:rsidRPr="00824D5D">
        <w:rPr>
          <w:lang w:val="en-US"/>
        </w:rPr>
        <w:t xml:space="preserve">withdraw offers for spectrum licences for all lots covered by the licences offered and terminate the </w:t>
      </w:r>
      <w:r w:rsidR="002D5DCC">
        <w:rPr>
          <w:lang w:val="en-US"/>
        </w:rPr>
        <w:t xml:space="preserve">pre-determined </w:t>
      </w:r>
      <w:r w:rsidR="00EA1236">
        <w:rPr>
          <w:lang w:val="en-US"/>
        </w:rPr>
        <w:t xml:space="preserve">price </w:t>
      </w:r>
      <w:r w:rsidRPr="00824D5D">
        <w:rPr>
          <w:lang w:val="en-US"/>
        </w:rPr>
        <w:t>allocation process; or</w:t>
      </w:r>
    </w:p>
    <w:p w14:paraId="06F32164" w14:textId="77777777" w:rsidR="00824D5D" w:rsidRPr="00824D5D" w:rsidRDefault="00824D5D" w:rsidP="002707B2">
      <w:pPr>
        <w:pStyle w:val="ACMABodyText"/>
        <w:numPr>
          <w:ilvl w:val="0"/>
          <w:numId w:val="51"/>
        </w:numPr>
        <w:ind w:left="709" w:hanging="709"/>
        <w:rPr>
          <w:lang w:val="en-US"/>
        </w:rPr>
      </w:pPr>
      <w:r w:rsidRPr="00824D5D">
        <w:rPr>
          <w:lang w:val="en-US"/>
        </w:rPr>
        <w:t>allocate all those lots by auction or otherwise</w:t>
      </w:r>
      <w:r w:rsidR="00EA1236">
        <w:rPr>
          <w:lang w:val="en-US"/>
        </w:rPr>
        <w:t xml:space="preserve"> </w:t>
      </w:r>
      <w:r w:rsidRPr="00824D5D">
        <w:rPr>
          <w:lang w:val="en-US"/>
        </w:rPr>
        <w:t>under th</w:t>
      </w:r>
      <w:r w:rsidR="000252F9">
        <w:rPr>
          <w:lang w:val="en-US"/>
        </w:rPr>
        <w:t>e</w:t>
      </w:r>
      <w:r w:rsidRPr="00824D5D">
        <w:rPr>
          <w:lang w:val="en-US"/>
        </w:rPr>
        <w:t xml:space="preserve"> Determination; or</w:t>
      </w:r>
    </w:p>
    <w:p w14:paraId="3854C036" w14:textId="77777777" w:rsidR="00824D5D" w:rsidRPr="00824D5D" w:rsidRDefault="00824D5D" w:rsidP="002707B2">
      <w:pPr>
        <w:pStyle w:val="ACMABodyText"/>
        <w:numPr>
          <w:ilvl w:val="0"/>
          <w:numId w:val="51"/>
        </w:numPr>
        <w:ind w:left="709" w:hanging="709"/>
        <w:rPr>
          <w:lang w:val="en-US"/>
        </w:rPr>
      </w:pPr>
      <w:r w:rsidRPr="00824D5D">
        <w:rPr>
          <w:lang w:val="en-US"/>
        </w:rPr>
        <w:t xml:space="preserve">allocate spectrum licences under subsection </w:t>
      </w:r>
      <w:r w:rsidRPr="00EF6D68">
        <w:rPr>
          <w:lang w:val="en-US"/>
        </w:rPr>
        <w:t>5.4(4)</w:t>
      </w:r>
      <w:r w:rsidRPr="00824D5D">
        <w:rPr>
          <w:lang w:val="en-US"/>
        </w:rPr>
        <w:t xml:space="preserve"> to the applicants who have accepted the offered licences and, for lots covered by licences that were not accepted:</w:t>
      </w:r>
    </w:p>
    <w:p w14:paraId="265EAB04" w14:textId="77777777" w:rsidR="00824D5D" w:rsidRPr="00824D5D" w:rsidRDefault="00824D5D" w:rsidP="002707B2">
      <w:pPr>
        <w:pStyle w:val="ACMABodyText"/>
        <w:numPr>
          <w:ilvl w:val="0"/>
          <w:numId w:val="52"/>
        </w:numPr>
        <w:ind w:left="1276" w:hanging="567"/>
        <w:rPr>
          <w:lang w:val="en-US"/>
        </w:rPr>
      </w:pPr>
      <w:r w:rsidRPr="00824D5D">
        <w:rPr>
          <w:lang w:val="en-US"/>
        </w:rPr>
        <w:t>allocate those lots by auction or otherwise, in accordance with th</w:t>
      </w:r>
      <w:r w:rsidR="000252F9">
        <w:rPr>
          <w:lang w:val="en-US"/>
        </w:rPr>
        <w:t>e</w:t>
      </w:r>
      <w:r w:rsidRPr="00824D5D">
        <w:rPr>
          <w:lang w:val="en-US"/>
        </w:rPr>
        <w:t xml:space="preserve"> Determination; or</w:t>
      </w:r>
    </w:p>
    <w:p w14:paraId="18D3724D" w14:textId="77777777" w:rsidR="00824D5D" w:rsidRDefault="00824D5D" w:rsidP="002707B2">
      <w:pPr>
        <w:pStyle w:val="ACMABodyText"/>
        <w:numPr>
          <w:ilvl w:val="0"/>
          <w:numId w:val="52"/>
        </w:numPr>
        <w:tabs>
          <w:tab w:val="left" w:pos="709"/>
        </w:tabs>
        <w:ind w:left="1276" w:hanging="567"/>
        <w:rPr>
          <w:lang w:val="en-US"/>
        </w:rPr>
      </w:pPr>
      <w:r w:rsidRPr="00824D5D">
        <w:rPr>
          <w:lang w:val="en-US"/>
        </w:rPr>
        <w:t>withdraw those lots from allocation and allocate the spectrum covered by those lots at a later date.</w:t>
      </w:r>
    </w:p>
    <w:p w14:paraId="34762973" w14:textId="7CA37DFE" w:rsidR="006A110D" w:rsidRPr="006A110D" w:rsidRDefault="006A110D" w:rsidP="00941D50">
      <w:pPr>
        <w:pStyle w:val="ACMABodyText"/>
        <w:keepNext/>
        <w:tabs>
          <w:tab w:val="left" w:pos="1701"/>
        </w:tabs>
        <w:rPr>
          <w:b/>
        </w:rPr>
      </w:pPr>
      <w:r>
        <w:rPr>
          <w:b/>
        </w:rPr>
        <w:t>Section 5.</w:t>
      </w:r>
      <w:r w:rsidR="004659EE">
        <w:rPr>
          <w:b/>
        </w:rPr>
        <w:t>7</w:t>
      </w:r>
      <w:r>
        <w:rPr>
          <w:b/>
        </w:rPr>
        <w:t xml:space="preserve"> </w:t>
      </w:r>
      <w:r>
        <w:rPr>
          <w:b/>
        </w:rPr>
        <w:tab/>
      </w:r>
      <w:r w:rsidRPr="006A110D">
        <w:rPr>
          <w:b/>
        </w:rPr>
        <w:t>Refunds if allocation process terminated</w:t>
      </w:r>
    </w:p>
    <w:p w14:paraId="3420E87D" w14:textId="77777777" w:rsidR="00B95DEE" w:rsidRPr="006A110D" w:rsidRDefault="006A110D" w:rsidP="006A110D">
      <w:pPr>
        <w:pStyle w:val="ACMABodyText"/>
        <w:keepNext/>
      </w:pPr>
      <w:r w:rsidRPr="006A110D">
        <w:t xml:space="preserve">If the ACMA terminates the allocation process under </w:t>
      </w:r>
      <w:r w:rsidR="00BE38BB">
        <w:t>paragraph</w:t>
      </w:r>
      <w:r w:rsidRPr="006A110D">
        <w:t> </w:t>
      </w:r>
      <w:r w:rsidRPr="00EF6D68">
        <w:t>5.6</w:t>
      </w:r>
      <w:r w:rsidR="00BE38BB">
        <w:t>(a)</w:t>
      </w:r>
      <w:r w:rsidRPr="006A110D">
        <w:t>, the eligibility payments of all applicants are refundable</w:t>
      </w:r>
    </w:p>
    <w:p w14:paraId="6D83C75E" w14:textId="27257116" w:rsidR="00F80F17" w:rsidRDefault="004659EE" w:rsidP="00941D50">
      <w:pPr>
        <w:pStyle w:val="ACMABodyText"/>
        <w:keepNext/>
        <w:tabs>
          <w:tab w:val="left" w:pos="1701"/>
        </w:tabs>
        <w:rPr>
          <w:b/>
        </w:rPr>
      </w:pPr>
      <w:r>
        <w:rPr>
          <w:b/>
        </w:rPr>
        <w:t xml:space="preserve">Section 5.8 </w:t>
      </w:r>
      <w:r>
        <w:rPr>
          <w:b/>
        </w:rPr>
        <w:tab/>
        <w:t>Default</w:t>
      </w:r>
    </w:p>
    <w:p w14:paraId="738457AF" w14:textId="77777777" w:rsidR="004659EE" w:rsidRDefault="004659EE" w:rsidP="004659EE">
      <w:pPr>
        <w:pStyle w:val="ACMABodyText"/>
        <w:keepNext/>
      </w:pPr>
      <w:r w:rsidRPr="00141AF1">
        <w:t xml:space="preserve">This section outlines the procedure if an applicant does not pay the </w:t>
      </w:r>
      <w:r w:rsidR="00BE38BB">
        <w:t xml:space="preserve">full </w:t>
      </w:r>
      <w:r w:rsidRPr="00141AF1">
        <w:t>balance of the pre-determined price for a spectrum licence</w:t>
      </w:r>
      <w:r w:rsidR="00BE38BB">
        <w:t xml:space="preserve"> or licences</w:t>
      </w:r>
      <w:r w:rsidRPr="00141AF1">
        <w:t xml:space="preserve"> in accordance with </w:t>
      </w:r>
      <w:r w:rsidR="00BE38BB">
        <w:t>sub</w:t>
      </w:r>
      <w:r w:rsidRPr="00141AF1">
        <w:t xml:space="preserve">section </w:t>
      </w:r>
      <w:r w:rsidRPr="00EF6D68">
        <w:t>5.5</w:t>
      </w:r>
      <w:r w:rsidR="00BE38BB" w:rsidRPr="00EF6D68">
        <w:t>(2)</w:t>
      </w:r>
      <w:r w:rsidRPr="00EF6D68">
        <w:t>.</w:t>
      </w:r>
      <w:r w:rsidRPr="00141AF1">
        <w:t xml:space="preserve">  In this case</w:t>
      </w:r>
      <w:r w:rsidR="009F4CF1">
        <w:t xml:space="preserve"> </w:t>
      </w:r>
      <w:r w:rsidRPr="00141AF1">
        <w:t>the applicant ceases to be entitled to be allocated the spectrum licence</w:t>
      </w:r>
      <w:r w:rsidR="00BE38BB">
        <w:t xml:space="preserve"> or licences,</w:t>
      </w:r>
      <w:r w:rsidR="009F4CF1">
        <w:t xml:space="preserve"> but </w:t>
      </w:r>
      <w:r w:rsidRPr="00141AF1">
        <w:t>the allocation of spectrum licences to other applicants is not affected</w:t>
      </w:r>
      <w:r w:rsidR="009F4CF1">
        <w:t xml:space="preserve">. The </w:t>
      </w:r>
      <w:r w:rsidRPr="00141AF1">
        <w:t>lots included in the spectrum licence</w:t>
      </w:r>
      <w:r w:rsidR="00BE38BB">
        <w:t xml:space="preserve"> or licences</w:t>
      </w:r>
      <w:r w:rsidRPr="00141AF1">
        <w:t xml:space="preserve"> </w:t>
      </w:r>
      <w:r w:rsidR="009F4CF1">
        <w:t xml:space="preserve">that the applicant has not paid the </w:t>
      </w:r>
      <w:r w:rsidR="00BE38BB">
        <w:t xml:space="preserve">full </w:t>
      </w:r>
      <w:r w:rsidR="009F4CF1">
        <w:t xml:space="preserve">balance of the pre-determined price for </w:t>
      </w:r>
      <w:r w:rsidRPr="00141AF1">
        <w:t xml:space="preserve">are taken to be </w:t>
      </w:r>
      <w:r w:rsidRPr="00141AF1">
        <w:lastRenderedPageBreak/>
        <w:t>unallocated spectrum under section 8.1</w:t>
      </w:r>
      <w:r w:rsidR="009F4CF1">
        <w:t xml:space="preserve"> of the Determination</w:t>
      </w:r>
      <w:r w:rsidRPr="00141AF1">
        <w:t>.</w:t>
      </w:r>
      <w:r w:rsidR="009F4CF1">
        <w:t xml:space="preserve"> Where this occurs the ACMA may retain any eligibility payment made by the applicant or enforce a deed of financial security given by the applicant, in accordance with section 8.6.</w:t>
      </w:r>
    </w:p>
    <w:p w14:paraId="3724BC33" w14:textId="62701D8D" w:rsidR="004659EE" w:rsidRDefault="004659EE" w:rsidP="00941D50">
      <w:pPr>
        <w:pStyle w:val="ACMABodyText"/>
        <w:tabs>
          <w:tab w:val="left" w:pos="1701"/>
        </w:tabs>
        <w:rPr>
          <w:b/>
        </w:rPr>
      </w:pPr>
      <w:r>
        <w:rPr>
          <w:b/>
        </w:rPr>
        <w:t>Section 5.9</w:t>
      </w:r>
      <w:r>
        <w:rPr>
          <w:b/>
        </w:rPr>
        <w:tab/>
        <w:t>Publication of results</w:t>
      </w:r>
    </w:p>
    <w:p w14:paraId="1754D276" w14:textId="77777777" w:rsidR="004659EE" w:rsidRPr="00370697" w:rsidRDefault="004659EE" w:rsidP="00333609">
      <w:pPr>
        <w:pStyle w:val="P1"/>
        <w:ind w:left="0" w:firstLine="0"/>
        <w:jc w:val="left"/>
      </w:pPr>
      <w:r w:rsidRPr="00141AF1">
        <w:rPr>
          <w:rFonts w:ascii="Arial" w:hAnsi="Arial" w:cs="Arial"/>
          <w:sz w:val="20"/>
        </w:rPr>
        <w:t xml:space="preserve">The ACMA will release the pre-determined price allocation results to the public. This section sets out </w:t>
      </w:r>
      <w:r w:rsidR="009F4CF1">
        <w:rPr>
          <w:rFonts w:ascii="Arial" w:hAnsi="Arial" w:cs="Arial"/>
          <w:sz w:val="20"/>
        </w:rPr>
        <w:t xml:space="preserve">the </w:t>
      </w:r>
      <w:r w:rsidRPr="00141AF1">
        <w:rPr>
          <w:rFonts w:ascii="Arial" w:hAnsi="Arial" w:cs="Arial"/>
          <w:sz w:val="20"/>
        </w:rPr>
        <w:t xml:space="preserve">information </w:t>
      </w:r>
      <w:r w:rsidR="009F4CF1">
        <w:rPr>
          <w:rFonts w:ascii="Arial" w:hAnsi="Arial" w:cs="Arial"/>
          <w:sz w:val="20"/>
        </w:rPr>
        <w:t xml:space="preserve">that </w:t>
      </w:r>
      <w:r w:rsidRPr="00141AF1">
        <w:rPr>
          <w:rFonts w:ascii="Arial" w:hAnsi="Arial" w:cs="Arial"/>
          <w:sz w:val="20"/>
        </w:rPr>
        <w:t xml:space="preserve">the ACMA must announce or publish. The information released will include the names of the persons to whom spectrum licences are to be issued, the spectrum </w:t>
      </w:r>
      <w:r w:rsidR="009F4CF1">
        <w:rPr>
          <w:rFonts w:ascii="Arial" w:hAnsi="Arial" w:cs="Arial"/>
          <w:sz w:val="20"/>
        </w:rPr>
        <w:t>allocated</w:t>
      </w:r>
      <w:r w:rsidRPr="00141AF1">
        <w:rPr>
          <w:rFonts w:ascii="Arial" w:hAnsi="Arial" w:cs="Arial"/>
          <w:sz w:val="20"/>
        </w:rPr>
        <w:t xml:space="preserve"> to each person, the pre-determined price for each spectrum licence to be issued to that person</w:t>
      </w:r>
      <w:r w:rsidR="00BC4E75" w:rsidRPr="00141AF1">
        <w:rPr>
          <w:rFonts w:ascii="Arial" w:hAnsi="Arial" w:cs="Arial"/>
          <w:sz w:val="20"/>
        </w:rPr>
        <w:t xml:space="preserve"> and t</w:t>
      </w:r>
      <w:r w:rsidRPr="00141AF1">
        <w:rPr>
          <w:rFonts w:ascii="Arial" w:hAnsi="Arial" w:cs="Arial"/>
          <w:sz w:val="20"/>
        </w:rPr>
        <w:t>he total sum paid by each person (being the total of the pre-determined prices for the spectrum licences to be issued to the person</w:t>
      </w:r>
      <w:r w:rsidR="00BE38BB">
        <w:rPr>
          <w:rFonts w:ascii="Arial" w:hAnsi="Arial" w:cs="Arial"/>
          <w:sz w:val="20"/>
        </w:rPr>
        <w:t>)</w:t>
      </w:r>
      <w:r w:rsidRPr="00141AF1">
        <w:t>.</w:t>
      </w:r>
      <w:r>
        <w:rPr>
          <w:lang w:val="en-US"/>
        </w:rPr>
        <w:t xml:space="preserve"> </w:t>
      </w:r>
    </w:p>
    <w:p w14:paraId="2C1ABBDB" w14:textId="77777777" w:rsidR="00603AB1" w:rsidRPr="0020671B" w:rsidRDefault="00BC4E75" w:rsidP="00AB1DAC">
      <w:pPr>
        <w:pStyle w:val="Partheadinglevel"/>
        <w:rPr>
          <w:b w:val="0"/>
        </w:rPr>
      </w:pPr>
      <w:r>
        <w:t>P</w:t>
      </w:r>
      <w:r w:rsidR="00D91F9A">
        <w:t xml:space="preserve">ART 6 </w:t>
      </w:r>
      <w:r w:rsidR="00603AB1" w:rsidRPr="00181920">
        <w:tab/>
      </w:r>
      <w:r w:rsidR="00603AB1" w:rsidRPr="00E672D3">
        <w:rPr>
          <w:szCs w:val="22"/>
        </w:rPr>
        <w:t>auction</w:t>
      </w:r>
      <w:r w:rsidR="00603AB1">
        <w:rPr>
          <w:szCs w:val="22"/>
        </w:rPr>
        <w:t xml:space="preserve"> procedures</w:t>
      </w:r>
    </w:p>
    <w:p w14:paraId="18A582DF" w14:textId="77777777" w:rsidR="00603AB1" w:rsidRDefault="00603AB1" w:rsidP="00AB1DAC">
      <w:pPr>
        <w:pStyle w:val="ACMABodyText"/>
        <w:rPr>
          <w:lang w:val="en-US"/>
        </w:rPr>
      </w:pPr>
      <w:r w:rsidRPr="00181920">
        <w:rPr>
          <w:lang w:val="en-US"/>
        </w:rPr>
        <w:t>This Part describes the structure, proce</w:t>
      </w:r>
      <w:r w:rsidR="00807ED5">
        <w:rPr>
          <w:lang w:val="en-US"/>
        </w:rPr>
        <w:t>dures</w:t>
      </w:r>
      <w:r w:rsidRPr="00181920">
        <w:rPr>
          <w:lang w:val="en-US"/>
        </w:rPr>
        <w:t xml:space="preserve"> and rules of </w:t>
      </w:r>
      <w:r>
        <w:rPr>
          <w:lang w:val="en-US"/>
        </w:rPr>
        <w:t xml:space="preserve">the </w:t>
      </w:r>
      <w:r w:rsidR="004B6F37">
        <w:rPr>
          <w:lang w:val="en-US"/>
        </w:rPr>
        <w:t xml:space="preserve">auction </w:t>
      </w:r>
      <w:r>
        <w:rPr>
          <w:lang w:val="en-US"/>
        </w:rPr>
        <w:t>to be held under th</w:t>
      </w:r>
      <w:r w:rsidR="000252F9">
        <w:rPr>
          <w:lang w:val="en-US"/>
        </w:rPr>
        <w:t>e</w:t>
      </w:r>
      <w:r>
        <w:rPr>
          <w:lang w:val="en-US"/>
        </w:rPr>
        <w:t xml:space="preserve"> Determination</w:t>
      </w:r>
      <w:r w:rsidRPr="00181920">
        <w:rPr>
          <w:lang w:val="en-US"/>
        </w:rPr>
        <w:t>.</w:t>
      </w:r>
    </w:p>
    <w:p w14:paraId="209A7556" w14:textId="27C804B6" w:rsidR="00603AB1" w:rsidRDefault="00603AB1" w:rsidP="00E95B94">
      <w:pPr>
        <w:pStyle w:val="ACMABodyText"/>
        <w:rPr>
          <w:lang w:val="en-US"/>
        </w:rPr>
      </w:pPr>
      <w:r>
        <w:rPr>
          <w:lang w:val="en-US"/>
        </w:rPr>
        <w:t xml:space="preserve">The ACMA has chosen the </w:t>
      </w:r>
      <w:r w:rsidR="00B60A96">
        <w:rPr>
          <w:lang w:val="en-US"/>
        </w:rPr>
        <w:t>SMRA</w:t>
      </w:r>
      <w:r>
        <w:rPr>
          <w:lang w:val="en-US"/>
        </w:rPr>
        <w:t xml:space="preserve"> as the auction methodology that is most likely to deliver an efficient outcome and enable spectrum to be allocated to persons who value it the </w:t>
      </w:r>
      <w:r w:rsidR="00333609">
        <w:rPr>
          <w:lang w:val="en-US"/>
        </w:rPr>
        <w:t>most</w:t>
      </w:r>
      <w:r>
        <w:rPr>
          <w:lang w:val="en-US"/>
        </w:rPr>
        <w:t xml:space="preserve">. This decision took into account the fact that </w:t>
      </w:r>
      <w:r w:rsidR="00B60A96">
        <w:rPr>
          <w:lang w:val="en-US"/>
        </w:rPr>
        <w:t xml:space="preserve">the 1800 </w:t>
      </w:r>
      <w:r>
        <w:rPr>
          <w:lang w:val="en-US"/>
        </w:rPr>
        <w:t xml:space="preserve">MHz band </w:t>
      </w:r>
      <w:r w:rsidR="00B60A96">
        <w:rPr>
          <w:lang w:val="en-US"/>
        </w:rPr>
        <w:t>has already been allocated in the major capital cities</w:t>
      </w:r>
      <w:r w:rsidR="00A2669F">
        <w:rPr>
          <w:lang w:val="en-US"/>
        </w:rPr>
        <w:t>.</w:t>
      </w:r>
      <w:r w:rsidR="00B60A96">
        <w:rPr>
          <w:lang w:val="en-US"/>
        </w:rPr>
        <w:t xml:space="preserve"> </w:t>
      </w:r>
      <w:r>
        <w:rPr>
          <w:lang w:val="en-US"/>
        </w:rPr>
        <w:t xml:space="preserve"> The</w:t>
      </w:r>
      <w:r w:rsidR="00A2669F">
        <w:rPr>
          <w:lang w:val="en-US"/>
        </w:rPr>
        <w:t xml:space="preserve"> </w:t>
      </w:r>
      <w:r w:rsidR="00B60A96">
        <w:rPr>
          <w:lang w:val="en-US"/>
        </w:rPr>
        <w:t>1800 MHz band</w:t>
      </w:r>
      <w:r>
        <w:rPr>
          <w:lang w:val="en-US"/>
        </w:rPr>
        <w:t xml:space="preserve"> can offer signal propagation characteristics </w:t>
      </w:r>
      <w:r w:rsidR="004D3F0C">
        <w:rPr>
          <w:lang w:val="en-US"/>
        </w:rPr>
        <w:t xml:space="preserve">complementary to other bands </w:t>
      </w:r>
      <w:r>
        <w:rPr>
          <w:lang w:val="en-US"/>
        </w:rPr>
        <w:t>when used to deliver mobile communication service</w:t>
      </w:r>
      <w:r w:rsidR="00807ED5">
        <w:rPr>
          <w:lang w:val="en-US"/>
        </w:rPr>
        <w:t>s</w:t>
      </w:r>
      <w:r>
        <w:rPr>
          <w:lang w:val="en-US"/>
        </w:rPr>
        <w:t xml:space="preserve"> over a wide-scale network</w:t>
      </w:r>
      <w:r w:rsidR="00B60A96">
        <w:rPr>
          <w:lang w:val="en-US"/>
        </w:rPr>
        <w:t xml:space="preserve"> including in regional areas</w:t>
      </w:r>
      <w:r>
        <w:rPr>
          <w:lang w:val="en-US"/>
        </w:rPr>
        <w:t>.</w:t>
      </w:r>
    </w:p>
    <w:p w14:paraId="6094334A" w14:textId="77777777" w:rsidR="00D91F9A" w:rsidRDefault="00D91F9A" w:rsidP="00D91F9A">
      <w:pPr>
        <w:pStyle w:val="Divisionheadinglevel"/>
        <w:tabs>
          <w:tab w:val="left" w:pos="1843"/>
        </w:tabs>
        <w:ind w:left="1701" w:hanging="1701"/>
      </w:pPr>
      <w:r>
        <w:t>Division 1</w:t>
      </w:r>
      <w:r>
        <w:tab/>
        <w:t>Registration of bidders</w:t>
      </w:r>
    </w:p>
    <w:p w14:paraId="30808FED" w14:textId="39C566ED" w:rsidR="00D91F9A" w:rsidRPr="00403604" w:rsidRDefault="00D91F9A" w:rsidP="00D91F9A">
      <w:pPr>
        <w:pStyle w:val="ACMABodyText"/>
        <w:rPr>
          <w:lang w:val="en-US"/>
        </w:rPr>
      </w:pPr>
      <w:r w:rsidRPr="00403604">
        <w:rPr>
          <w:lang w:val="en-US"/>
        </w:rPr>
        <w:t xml:space="preserve">This </w:t>
      </w:r>
      <w:r w:rsidR="0092561A">
        <w:rPr>
          <w:lang w:val="en-US"/>
        </w:rPr>
        <w:t>D</w:t>
      </w:r>
      <w:r w:rsidRPr="00403604">
        <w:rPr>
          <w:lang w:val="en-US"/>
        </w:rPr>
        <w:t>ivision</w:t>
      </w:r>
      <w:r>
        <w:rPr>
          <w:lang w:val="en-US"/>
        </w:rPr>
        <w:t xml:space="preserve"> sets out the obligations on the ACMA for maintaining a register of bidders and explains the procedure for bidders to be registered. It also describes the information that bidders will be provided with about the auction system once they are registered and explains that the ACMA will give registered bidders an opportunity to familiarise themselves with us</w:t>
      </w:r>
      <w:r w:rsidR="00333609">
        <w:rPr>
          <w:lang w:val="en-US"/>
        </w:rPr>
        <w:t>e of</w:t>
      </w:r>
      <w:r>
        <w:rPr>
          <w:lang w:val="en-US"/>
        </w:rPr>
        <w:t xml:space="preserve"> the auction system as a bidder prior to the auction.</w:t>
      </w:r>
    </w:p>
    <w:p w14:paraId="4F1E3C1B" w14:textId="77777777" w:rsidR="00D91F9A" w:rsidRPr="00B45817" w:rsidRDefault="00D91F9A" w:rsidP="00D91F9A">
      <w:pPr>
        <w:pStyle w:val="ACMAHeading3"/>
      </w:pPr>
      <w:r w:rsidRPr="00B45817">
        <w:t>Section</w:t>
      </w:r>
      <w:r>
        <w:t xml:space="preserve"> 6.1</w:t>
      </w:r>
      <w:r w:rsidRPr="00B45817">
        <w:tab/>
      </w:r>
      <w:r>
        <w:t>Register of bidders</w:t>
      </w:r>
    </w:p>
    <w:p w14:paraId="55F4BCD0" w14:textId="77777777" w:rsidR="00D91F9A" w:rsidRPr="00336F51" w:rsidRDefault="00D91F9A" w:rsidP="00D91F9A">
      <w:pPr>
        <w:pStyle w:val="ACMABodyText"/>
      </w:pPr>
      <w:r w:rsidRPr="00336F51">
        <w:t xml:space="preserve">This section specifies that the ACMA must maintain an electronic register of </w:t>
      </w:r>
      <w:r>
        <w:t>bidders</w:t>
      </w:r>
      <w:r w:rsidRPr="00336F51">
        <w:t xml:space="preserve"> and sets out the obligations on </w:t>
      </w:r>
      <w:r>
        <w:t>bidders</w:t>
      </w:r>
      <w:r w:rsidRPr="00336F51">
        <w:t xml:space="preserve"> and the ACMA to keep details on the register up-to-date. It also provides a list of details that the register must contain.</w:t>
      </w:r>
    </w:p>
    <w:p w14:paraId="28FC4BB5" w14:textId="77777777" w:rsidR="00D91F9A" w:rsidRPr="00336F51" w:rsidRDefault="00D91F9A" w:rsidP="00D91F9A">
      <w:pPr>
        <w:pStyle w:val="ACMABodyText"/>
      </w:pPr>
      <w:r>
        <w:t>Bidders</w:t>
      </w:r>
      <w:r w:rsidRPr="00336F51">
        <w:t xml:space="preserve"> will be not</w:t>
      </w:r>
      <w:r>
        <w:t>ified of the information relating</w:t>
      </w:r>
      <w:r w:rsidRPr="00336F51">
        <w:t xml:space="preserve"> to their application that will be included in the register and must, under this provision, inform the ACMA if the</w:t>
      </w:r>
      <w:r>
        <w:t xml:space="preserve">y become aware of any </w:t>
      </w:r>
      <w:r w:rsidRPr="00336F51">
        <w:t>change</w:t>
      </w:r>
      <w:r>
        <w:t xml:space="preserve"> to these details and provide updated information</w:t>
      </w:r>
      <w:r w:rsidRPr="00336F51">
        <w:t>. The ACMA must update the register accordingly.</w:t>
      </w:r>
    </w:p>
    <w:p w14:paraId="71F137EA" w14:textId="77777777" w:rsidR="00D91F9A" w:rsidRPr="00181920" w:rsidRDefault="00D91F9A" w:rsidP="00D91F9A">
      <w:pPr>
        <w:pStyle w:val="ACMAHeading3"/>
      </w:pPr>
      <w:r w:rsidRPr="00181920">
        <w:t>Section</w:t>
      </w:r>
      <w:r>
        <w:t xml:space="preserve"> </w:t>
      </w:r>
      <w:r w:rsidR="007B1BD6">
        <w:t>6.2</w:t>
      </w:r>
      <w:r w:rsidRPr="00181920">
        <w:tab/>
      </w:r>
      <w:r>
        <w:t>Registration process</w:t>
      </w:r>
    </w:p>
    <w:p w14:paraId="4DFB120E" w14:textId="77777777" w:rsidR="00D91F9A" w:rsidRDefault="00D91F9A" w:rsidP="00D91F9A">
      <w:pPr>
        <w:pStyle w:val="ACMABodyText"/>
      </w:pPr>
      <w:r w:rsidRPr="00336F51">
        <w:t xml:space="preserve">This section sets out the requirements that must be satisfied </w:t>
      </w:r>
      <w:r>
        <w:t xml:space="preserve">in order for a person to be </w:t>
      </w:r>
      <w:r w:rsidRPr="00336F51">
        <w:t>register</w:t>
      </w:r>
      <w:r>
        <w:t>ed as</w:t>
      </w:r>
      <w:r w:rsidRPr="00336F51">
        <w:t xml:space="preserve"> a </w:t>
      </w:r>
      <w:r>
        <w:t>bidder</w:t>
      </w:r>
      <w:r w:rsidRPr="00336F51">
        <w:t xml:space="preserve">. </w:t>
      </w:r>
      <w:r>
        <w:t>In order for an applicant to be registered as a bidder it must have:</w:t>
      </w:r>
    </w:p>
    <w:p w14:paraId="33F07B47" w14:textId="77777777" w:rsidR="00D91F9A" w:rsidRDefault="00D91F9A" w:rsidP="00D91F9A">
      <w:pPr>
        <w:pStyle w:val="ACMABodyText"/>
        <w:numPr>
          <w:ilvl w:val="0"/>
          <w:numId w:val="7"/>
        </w:numPr>
      </w:pPr>
      <w:r>
        <w:t>submitted a valid application</w:t>
      </w:r>
      <w:r w:rsidR="008E64DE">
        <w:t>;</w:t>
      </w:r>
    </w:p>
    <w:p w14:paraId="2BB6249E" w14:textId="77777777" w:rsidR="00D91F9A" w:rsidRDefault="00D91F9A" w:rsidP="00D91F9A">
      <w:pPr>
        <w:pStyle w:val="ACMABodyText"/>
        <w:numPr>
          <w:ilvl w:val="0"/>
          <w:numId w:val="7"/>
        </w:numPr>
      </w:pPr>
      <w:r>
        <w:t>lodged a completed eligibility nomination form</w:t>
      </w:r>
      <w:r w:rsidR="008E64DE">
        <w:t>; and</w:t>
      </w:r>
    </w:p>
    <w:p w14:paraId="05A7825D" w14:textId="650A5C5A" w:rsidR="00D91F9A" w:rsidRDefault="00D91F9A" w:rsidP="00D91F9A">
      <w:pPr>
        <w:pStyle w:val="ACMABodyText"/>
        <w:numPr>
          <w:ilvl w:val="0"/>
          <w:numId w:val="7"/>
        </w:numPr>
      </w:pPr>
      <w:r>
        <w:t>paid the applicable eligibility payment</w:t>
      </w:r>
      <w:r w:rsidR="008E64DE">
        <w:t xml:space="preserve"> or</w:t>
      </w:r>
      <w:r>
        <w:t xml:space="preserve"> provided a deed of financial security or a combination of the two, in accordance with the requirement</w:t>
      </w:r>
      <w:r w:rsidR="00333609">
        <w:t>s</w:t>
      </w:r>
      <w:r>
        <w:t xml:space="preserve"> in section </w:t>
      </w:r>
      <w:r w:rsidRPr="00EF6D68">
        <w:t>4.1</w:t>
      </w:r>
      <w:r w:rsidR="00807ED5" w:rsidRPr="00EF6D68">
        <w:t>6</w:t>
      </w:r>
      <w:r w:rsidRPr="00EF6D68">
        <w:t>.</w:t>
      </w:r>
    </w:p>
    <w:p w14:paraId="0640EFC6" w14:textId="037E883E" w:rsidR="00D91F9A" w:rsidRDefault="00D91F9A" w:rsidP="00D91F9A">
      <w:pPr>
        <w:pStyle w:val="ACMABodyText"/>
      </w:pPr>
      <w:r>
        <w:t>A</w:t>
      </w:r>
      <w:r w:rsidR="008E64DE">
        <w:t>n a</w:t>
      </w:r>
      <w:r>
        <w:t xml:space="preserve">pplicant will only become a ‘bidder’ when </w:t>
      </w:r>
      <w:r w:rsidR="008E64DE">
        <w:t>its</w:t>
      </w:r>
      <w:r>
        <w:t xml:space="preserve"> details are entered in the register. </w:t>
      </w:r>
      <w:r w:rsidR="00333609">
        <w:t>T</w:t>
      </w:r>
      <w:r>
        <w:t>he ACMA must not register a bidder until after the eligibility deadline has passed.</w:t>
      </w:r>
    </w:p>
    <w:p w14:paraId="043B2512" w14:textId="77777777" w:rsidR="00D91F9A" w:rsidRDefault="00D91F9A" w:rsidP="00D91F9A">
      <w:pPr>
        <w:pStyle w:val="ACMABodyText"/>
      </w:pPr>
      <w:r w:rsidRPr="00336F51">
        <w:t xml:space="preserve">This section </w:t>
      </w:r>
      <w:r>
        <w:t xml:space="preserve">also explains that </w:t>
      </w:r>
      <w:r w:rsidRPr="00336F51">
        <w:t>the ACMA must</w:t>
      </w:r>
      <w:r w:rsidR="00807ED5">
        <w:t>, after the eligibility deadline,</w:t>
      </w:r>
      <w:r w:rsidRPr="00336F51">
        <w:t xml:space="preserve"> notify </w:t>
      </w:r>
      <w:r>
        <w:t xml:space="preserve">an </w:t>
      </w:r>
      <w:r w:rsidRPr="00336F51">
        <w:t xml:space="preserve">applicant that </w:t>
      </w:r>
      <w:r>
        <w:t>it is</w:t>
      </w:r>
      <w:r w:rsidRPr="00336F51">
        <w:t xml:space="preserve"> registered</w:t>
      </w:r>
      <w:r>
        <w:t xml:space="preserve"> as a bidder</w:t>
      </w:r>
      <w:r w:rsidRPr="00336F51">
        <w:t>. At that time</w:t>
      </w:r>
      <w:r>
        <w:t>,</w:t>
      </w:r>
      <w:r w:rsidRPr="00336F51">
        <w:t xml:space="preserve"> the ACMA will </w:t>
      </w:r>
      <w:r>
        <w:t>provide</w:t>
      </w:r>
      <w:r w:rsidRPr="00336F51">
        <w:t xml:space="preserve"> </w:t>
      </w:r>
      <w:r>
        <w:t>bidders with the</w:t>
      </w:r>
      <w:r w:rsidRPr="00336F51">
        <w:t xml:space="preserve"> contact details for the ACMA</w:t>
      </w:r>
      <w:r>
        <w:t>, and a copy of the</w:t>
      </w:r>
      <w:r w:rsidR="00807ED5">
        <w:t xml:space="preserve"> bidder’s</w:t>
      </w:r>
      <w:r>
        <w:t xml:space="preserve"> information recorded in the register for th</w:t>
      </w:r>
      <w:r w:rsidR="00807ED5">
        <w:t>at</w:t>
      </w:r>
      <w:r>
        <w:t xml:space="preserve"> bidder. Bidders will also </w:t>
      </w:r>
      <w:r>
        <w:lastRenderedPageBreak/>
        <w:t>receive information and tools to access and use the auction system, as well as</w:t>
      </w:r>
      <w:r w:rsidRPr="00336F51">
        <w:t xml:space="preserve"> information </w:t>
      </w:r>
      <w:r>
        <w:t>explaining</w:t>
      </w:r>
      <w:r w:rsidRPr="00336F51">
        <w:t xml:space="preserve"> how to submit an offline bid</w:t>
      </w:r>
      <w:r>
        <w:t xml:space="preserve"> if they are unable to use the auction system during the auction.</w:t>
      </w:r>
    </w:p>
    <w:p w14:paraId="6C09E879" w14:textId="77777777" w:rsidR="00D91F9A" w:rsidRPr="00336F51" w:rsidRDefault="00D91F9A" w:rsidP="00D91F9A">
      <w:pPr>
        <w:pStyle w:val="ACMABodyText"/>
      </w:pPr>
      <w:r>
        <w:t xml:space="preserve">The information provided to a bidder under this section for the purpose of participating in the auction is classed as </w:t>
      </w:r>
      <w:r w:rsidRPr="005564F0">
        <w:rPr>
          <w:i/>
        </w:rPr>
        <w:t>confidential information</w:t>
      </w:r>
      <w:r>
        <w:t xml:space="preserve"> under section </w:t>
      </w:r>
      <w:r w:rsidRPr="00EF6D68">
        <w:t>3.1.</w:t>
      </w:r>
    </w:p>
    <w:p w14:paraId="532847FE" w14:textId="77777777" w:rsidR="00D91F9A" w:rsidRPr="0020671B" w:rsidRDefault="00D91F9A" w:rsidP="00D91F9A">
      <w:pPr>
        <w:pStyle w:val="ACMAHeading3"/>
        <w:rPr>
          <w:b w:val="0"/>
        </w:rPr>
      </w:pPr>
      <w:r w:rsidRPr="00181920">
        <w:t>Section</w:t>
      </w:r>
      <w:r w:rsidR="00A31965">
        <w:t xml:space="preserve"> 6.3</w:t>
      </w:r>
      <w:r w:rsidRPr="00181920">
        <w:tab/>
      </w:r>
      <w:r>
        <w:t>Bidders to notify ACMA if register incorrect</w:t>
      </w:r>
      <w:r>
        <w:rPr>
          <w:b w:val="0"/>
        </w:rPr>
        <w:t xml:space="preserve"> </w:t>
      </w:r>
    </w:p>
    <w:p w14:paraId="4B5EB39D" w14:textId="77777777" w:rsidR="00D91F9A" w:rsidRPr="00067237" w:rsidRDefault="00D91F9A" w:rsidP="00D91F9A">
      <w:pPr>
        <w:pStyle w:val="ACMABodyText"/>
      </w:pPr>
      <w:r>
        <w:t>The section explains that a bidder has an ongoing responsibility to tell the ACMA if any of the information about the bidder or its associates on the register of bidders is incorrect</w:t>
      </w:r>
      <w:r w:rsidRPr="00067237">
        <w:t>.</w:t>
      </w:r>
      <w:r>
        <w:t xml:space="preserve"> If information is incorrect, the bidder must immediately give the ACMA the correct information. </w:t>
      </w:r>
    </w:p>
    <w:p w14:paraId="0B1D6DCC" w14:textId="77777777" w:rsidR="00D91F9A" w:rsidRPr="00181920" w:rsidRDefault="00D91F9A" w:rsidP="00D91F9A">
      <w:pPr>
        <w:pStyle w:val="ACMAHeading3"/>
      </w:pPr>
      <w:r w:rsidRPr="00181920">
        <w:t>Section</w:t>
      </w:r>
      <w:r>
        <w:t xml:space="preserve"> </w:t>
      </w:r>
      <w:r w:rsidR="00A31965">
        <w:t>6.4</w:t>
      </w:r>
      <w:r w:rsidRPr="00181920">
        <w:tab/>
      </w:r>
      <w:r>
        <w:t>Preparation for bidding</w:t>
      </w:r>
    </w:p>
    <w:p w14:paraId="0309E3D6" w14:textId="6FF46A07" w:rsidR="00D91F9A" w:rsidRDefault="00D91F9A" w:rsidP="00D91F9A">
      <w:pPr>
        <w:pStyle w:val="ACMABodyText"/>
      </w:pPr>
      <w:r w:rsidRPr="00067237">
        <w:t xml:space="preserve">This section provides that the ACMA will give each applicant </w:t>
      </w:r>
      <w:r>
        <w:t xml:space="preserve">an opportunity to </w:t>
      </w:r>
      <w:r w:rsidR="00333609">
        <w:t>try out</w:t>
      </w:r>
      <w:r>
        <w:t xml:space="preserve"> the</w:t>
      </w:r>
      <w:r w:rsidRPr="00067237">
        <w:t xml:space="preserve"> auction system</w:t>
      </w:r>
      <w:r>
        <w:t xml:space="preserve"> prior to the start of the auction</w:t>
      </w:r>
      <w:r w:rsidRPr="00067237">
        <w:t>.</w:t>
      </w:r>
      <w:r>
        <w:t xml:space="preserve"> Bidders will also receive a user guide to accessing and using the auction system.  </w:t>
      </w:r>
    </w:p>
    <w:p w14:paraId="2D76291D" w14:textId="77777777" w:rsidR="00D91F9A" w:rsidRDefault="00D91F9A" w:rsidP="00D91F9A">
      <w:pPr>
        <w:pStyle w:val="ACMABodyText"/>
        <w:rPr>
          <w:b/>
        </w:rPr>
      </w:pPr>
      <w:r>
        <w:rPr>
          <w:b/>
        </w:rPr>
        <w:t xml:space="preserve">Section </w:t>
      </w:r>
      <w:r w:rsidR="00A31965">
        <w:rPr>
          <w:b/>
        </w:rPr>
        <w:t>6.5</w:t>
      </w:r>
      <w:r w:rsidRPr="00CA3C02">
        <w:rPr>
          <w:b/>
        </w:rPr>
        <w:tab/>
        <w:t xml:space="preserve">Security of auction </w:t>
      </w:r>
    </w:p>
    <w:p w14:paraId="291402FF" w14:textId="77777777" w:rsidR="00D91F9A" w:rsidRDefault="00D91F9A" w:rsidP="00D91F9A">
      <w:pPr>
        <w:pStyle w:val="ACMABodyText"/>
      </w:pPr>
      <w:r>
        <w:t xml:space="preserve">This section sets out obligations </w:t>
      </w:r>
      <w:r w:rsidR="004746D5">
        <w:t>on</w:t>
      </w:r>
      <w:r>
        <w:t xml:space="preserve"> bidder</w:t>
      </w:r>
      <w:r w:rsidR="004746D5">
        <w:t>s</w:t>
      </w:r>
      <w:r>
        <w:t xml:space="preserve"> to ensure </w:t>
      </w:r>
      <w:r w:rsidR="004746D5">
        <w:t xml:space="preserve">that </w:t>
      </w:r>
      <w:r>
        <w:t>the security of the auction system</w:t>
      </w:r>
      <w:r w:rsidR="004746D5">
        <w:t xml:space="preserve"> is maintained</w:t>
      </w:r>
      <w:r>
        <w:t xml:space="preserve">. </w:t>
      </w:r>
      <w:r w:rsidR="004746D5">
        <w:t>A bidder must keep secure any items used to access the auction system. If such items are lost or stolen, a bidder must immediately notify the ACMA.</w:t>
      </w:r>
    </w:p>
    <w:p w14:paraId="7FC3C9B9" w14:textId="77777777" w:rsidR="0053004D" w:rsidRDefault="0053004D" w:rsidP="00C9050D">
      <w:pPr>
        <w:pStyle w:val="Divisionheadinglevel"/>
        <w:tabs>
          <w:tab w:val="left" w:pos="1843"/>
        </w:tabs>
        <w:ind w:left="1701" w:hanging="1701"/>
      </w:pPr>
      <w:r>
        <w:t>Division 2</w:t>
      </w:r>
      <w:r>
        <w:tab/>
        <w:t>Setting elements of the auction</w:t>
      </w:r>
    </w:p>
    <w:p w14:paraId="151EBD4A" w14:textId="0E94701A" w:rsidR="00603AB1" w:rsidRDefault="00A31965" w:rsidP="00D91F9A">
      <w:pPr>
        <w:pStyle w:val="ACMAHeading3"/>
      </w:pPr>
      <w:r w:rsidRPr="00A31965">
        <w:t>Section 6.</w:t>
      </w:r>
      <w:r>
        <w:t>6</w:t>
      </w:r>
      <w:r>
        <w:rPr>
          <w:b w:val="0"/>
        </w:rPr>
        <w:t xml:space="preserve">   </w:t>
      </w:r>
      <w:r w:rsidR="00333609">
        <w:rPr>
          <w:b w:val="0"/>
        </w:rPr>
        <w:tab/>
      </w:r>
      <w:r w:rsidR="00603AB1">
        <w:t xml:space="preserve">Auction </w:t>
      </w:r>
      <w:r w:rsidR="00A948BD">
        <w:t>procedures</w:t>
      </w:r>
    </w:p>
    <w:p w14:paraId="575075C1" w14:textId="3855AF11" w:rsidR="00603AB1" w:rsidRDefault="00603AB1" w:rsidP="00AB1DAC">
      <w:pPr>
        <w:pStyle w:val="ACMABodyText"/>
      </w:pPr>
      <w:r>
        <w:t xml:space="preserve">This section sets out that the auction will consist of </w:t>
      </w:r>
      <w:r w:rsidR="00A948BD">
        <w:t xml:space="preserve">a number of </w:t>
      </w:r>
      <w:r>
        <w:t>stage</w:t>
      </w:r>
      <w:r w:rsidR="00A948BD">
        <w:t>s</w:t>
      </w:r>
      <w:r>
        <w:t xml:space="preserve"> </w:t>
      </w:r>
      <w:r w:rsidR="00A948BD">
        <w:t xml:space="preserve">each of which contains a number of rounds.  </w:t>
      </w:r>
      <w:r>
        <w:t xml:space="preserve">The </w:t>
      </w:r>
      <w:r w:rsidR="00A948BD">
        <w:t xml:space="preserve">first round of the auction starts on the date and time for that round set under </w:t>
      </w:r>
      <w:r w:rsidR="002E6009">
        <w:t xml:space="preserve">subsection </w:t>
      </w:r>
      <w:r w:rsidR="00563223" w:rsidRPr="00EF6D68">
        <w:t>6</w:t>
      </w:r>
      <w:r w:rsidR="00A948BD" w:rsidRPr="00EF6D68">
        <w:t>.</w:t>
      </w:r>
      <w:r w:rsidR="00563223" w:rsidRPr="00EF6D68">
        <w:t>7</w:t>
      </w:r>
      <w:r w:rsidR="00A948BD" w:rsidRPr="00EF6D68">
        <w:t>(1)</w:t>
      </w:r>
      <w:r w:rsidR="008E64DE" w:rsidRPr="00EF6D68">
        <w:t>. T</w:t>
      </w:r>
      <w:r w:rsidR="0053004D" w:rsidRPr="00EF6D68">
        <w:t xml:space="preserve">he rounds </w:t>
      </w:r>
      <w:r w:rsidR="001932CA">
        <w:t xml:space="preserve">of the auction </w:t>
      </w:r>
      <w:r w:rsidR="0053004D">
        <w:t xml:space="preserve">will </w:t>
      </w:r>
      <w:r w:rsidR="001932CA">
        <w:t>be conducted in accordance with the rules in Schedule 1</w:t>
      </w:r>
      <w:r w:rsidR="008E64DE">
        <w:t xml:space="preserve"> to the Determination</w:t>
      </w:r>
      <w:r w:rsidR="001932CA">
        <w:t>.</w:t>
      </w:r>
    </w:p>
    <w:p w14:paraId="44C25DF5" w14:textId="77777777" w:rsidR="00A31965" w:rsidRPr="00181920" w:rsidRDefault="00A31965" w:rsidP="00A31965">
      <w:pPr>
        <w:pStyle w:val="ACMAHeading3"/>
      </w:pPr>
      <w:r w:rsidRPr="00181920">
        <w:t>Section</w:t>
      </w:r>
      <w:r>
        <w:t xml:space="preserve"> 6.7</w:t>
      </w:r>
      <w:r w:rsidRPr="00181920">
        <w:tab/>
      </w:r>
      <w:r>
        <w:t xml:space="preserve">First </w:t>
      </w:r>
      <w:r w:rsidR="0053004D">
        <w:t xml:space="preserve">and second </w:t>
      </w:r>
      <w:r>
        <w:t>round</w:t>
      </w:r>
      <w:r w:rsidR="0053004D">
        <w:t>s</w:t>
      </w:r>
    </w:p>
    <w:p w14:paraId="6F9B489B" w14:textId="77777777" w:rsidR="00A31965" w:rsidRPr="002273C3" w:rsidRDefault="00A31965" w:rsidP="00A31965">
      <w:pPr>
        <w:pStyle w:val="ACMABodyText"/>
        <w:rPr>
          <w:lang w:val="en-US"/>
        </w:rPr>
      </w:pPr>
      <w:r w:rsidRPr="00563223">
        <w:rPr>
          <w:lang w:val="en-US"/>
        </w:rPr>
        <w:t xml:space="preserve">This section specifies that the auction manager must set the start date and time of the first and second rounds of the auction following the eligibility deadline. </w:t>
      </w:r>
      <w:r w:rsidR="00BD1E74" w:rsidRPr="00563223">
        <w:rPr>
          <w:lang w:val="en-US"/>
        </w:rPr>
        <w:t>T</w:t>
      </w:r>
      <w:r w:rsidRPr="00563223">
        <w:rPr>
          <w:lang w:val="en-US"/>
        </w:rPr>
        <w:t xml:space="preserve">he auction manager must notify bidders of the </w:t>
      </w:r>
      <w:r w:rsidR="002E6009">
        <w:rPr>
          <w:lang w:val="en-US"/>
        </w:rPr>
        <w:t xml:space="preserve">start </w:t>
      </w:r>
      <w:r w:rsidRPr="00563223">
        <w:rPr>
          <w:lang w:val="en-US"/>
        </w:rPr>
        <w:t xml:space="preserve">date and time </w:t>
      </w:r>
      <w:r w:rsidR="002E6009">
        <w:rPr>
          <w:lang w:val="en-US"/>
        </w:rPr>
        <w:t xml:space="preserve">of the first and second rounds </w:t>
      </w:r>
      <w:r w:rsidRPr="00563223">
        <w:rPr>
          <w:lang w:val="en-US"/>
        </w:rPr>
        <w:t xml:space="preserve">at least </w:t>
      </w:r>
      <w:r w:rsidR="00BC2012">
        <w:rPr>
          <w:lang w:val="en-US"/>
        </w:rPr>
        <w:t>10</w:t>
      </w:r>
      <w:r w:rsidRPr="00563223">
        <w:rPr>
          <w:lang w:val="en-US"/>
        </w:rPr>
        <w:t xml:space="preserve"> working days before the first round starts.</w:t>
      </w:r>
      <w:r>
        <w:rPr>
          <w:lang w:val="en-US"/>
        </w:rPr>
        <w:t xml:space="preserve"> </w:t>
      </w:r>
    </w:p>
    <w:p w14:paraId="333D62E3" w14:textId="77777777" w:rsidR="0053004D" w:rsidRDefault="0053004D" w:rsidP="004D7174">
      <w:pPr>
        <w:pStyle w:val="Divisionheadinglevel"/>
        <w:tabs>
          <w:tab w:val="left" w:pos="1843"/>
        </w:tabs>
        <w:ind w:left="1701" w:hanging="1701"/>
      </w:pPr>
      <w:r>
        <w:t>Division 3</w:t>
      </w:r>
      <w:r>
        <w:tab/>
        <w:t>Procedures for bid</w:t>
      </w:r>
      <w:r w:rsidR="003578F6">
        <w:t>ding instructions</w:t>
      </w:r>
      <w:r>
        <w:t xml:space="preserve"> not using the auction system and for exceptional circumstances</w:t>
      </w:r>
    </w:p>
    <w:p w14:paraId="55076C9D" w14:textId="77777777" w:rsidR="00603AB1" w:rsidRDefault="00603AB1" w:rsidP="00AB1DAC">
      <w:pPr>
        <w:pStyle w:val="ACMAHeading3"/>
      </w:pPr>
      <w:r>
        <w:t>Section</w:t>
      </w:r>
      <w:r w:rsidR="00A31965">
        <w:t xml:space="preserve"> 6.8</w:t>
      </w:r>
      <w:r>
        <w:tab/>
      </w:r>
      <w:r w:rsidR="001932CA">
        <w:t>Auction manager’s discretion to accept bid</w:t>
      </w:r>
      <w:r w:rsidR="004E35BC">
        <w:t>ding instructions</w:t>
      </w:r>
    </w:p>
    <w:p w14:paraId="18DEAE2F" w14:textId="77777777" w:rsidR="00406C5D" w:rsidRDefault="002E6009" w:rsidP="00406C5D">
      <w:pPr>
        <w:pStyle w:val="ACMABodyText"/>
      </w:pPr>
      <w:r>
        <w:t>Subsection 6.8(1) recognises that d</w:t>
      </w:r>
      <w:r w:rsidR="00406C5D">
        <w:t>uring the auction, unanticipated circumstances may arise that prevent a bidder from being able to use the auction system to submit a bid</w:t>
      </w:r>
      <w:r w:rsidR="00926840">
        <w:t xml:space="preserve">ding instruction </w:t>
      </w:r>
      <w:r w:rsidR="00472811" w:rsidRPr="00524F9A">
        <w:t>for</w:t>
      </w:r>
      <w:r w:rsidR="00406C5D" w:rsidRPr="00524F9A">
        <w:t xml:space="preserve"> a round</w:t>
      </w:r>
      <w:r w:rsidR="00406C5D" w:rsidRPr="009077AD">
        <w:t xml:space="preserve">. </w:t>
      </w:r>
      <w:r w:rsidR="00406C5D">
        <w:t>For example, a sudden power blackout may cut a bidder’s computer access to the auction system. This section gives the auction manager the discretion to permit a bid</w:t>
      </w:r>
      <w:r w:rsidR="00926840">
        <w:t>ding instruction</w:t>
      </w:r>
      <w:r w:rsidR="00406C5D">
        <w:t xml:space="preserve"> </w:t>
      </w:r>
      <w:r w:rsidR="001E651E">
        <w:t xml:space="preserve">during the bidding period </w:t>
      </w:r>
      <w:r w:rsidR="002745C6">
        <w:t xml:space="preserve">for a round </w:t>
      </w:r>
      <w:r w:rsidR="00406C5D">
        <w:t>to be submitted by an alternative method. Bidders will receive information about how they can submit a bid</w:t>
      </w:r>
      <w:r w:rsidR="003056BC">
        <w:t>ding instruction</w:t>
      </w:r>
      <w:r w:rsidR="00406C5D">
        <w:t xml:space="preserve"> if they are unable to use the auction system once they are registered under section </w:t>
      </w:r>
      <w:r w:rsidR="00BD1E74" w:rsidRPr="00EF6D68">
        <w:t>6.2</w:t>
      </w:r>
      <w:r w:rsidR="00406C5D" w:rsidRPr="00EF6D68">
        <w:t>.</w:t>
      </w:r>
    </w:p>
    <w:p w14:paraId="31CD112C" w14:textId="1B002591" w:rsidR="00406C5D" w:rsidRDefault="00406C5D" w:rsidP="00406C5D">
      <w:pPr>
        <w:pStyle w:val="ACMABodyText"/>
      </w:pPr>
      <w:r>
        <w:t xml:space="preserve">Under </w:t>
      </w:r>
      <w:r w:rsidR="002E6009">
        <w:t>sub</w:t>
      </w:r>
      <w:r>
        <w:t>section</w:t>
      </w:r>
      <w:r w:rsidR="002E6009">
        <w:t xml:space="preserve"> 6.8(2)</w:t>
      </w:r>
      <w:r>
        <w:t>, the auction manager also has discretion to permit a bidder to submit a bid</w:t>
      </w:r>
      <w:r w:rsidR="004E35BC">
        <w:t>ding instruction</w:t>
      </w:r>
      <w:r>
        <w:t xml:space="preserve"> </w:t>
      </w:r>
      <w:r w:rsidRPr="00143C29">
        <w:rPr>
          <w:i/>
        </w:rPr>
        <w:t xml:space="preserve">after </w:t>
      </w:r>
      <w:r w:rsidR="00472811">
        <w:rPr>
          <w:i/>
        </w:rPr>
        <w:t xml:space="preserve">the bidding period for </w:t>
      </w:r>
      <w:r w:rsidRPr="00143C29">
        <w:rPr>
          <w:i/>
        </w:rPr>
        <w:t>a round has ended</w:t>
      </w:r>
      <w:r>
        <w:t>, but only if satisfied that technical or communication problems have prevented the bidder from submitting a bid</w:t>
      </w:r>
      <w:r w:rsidR="00926840">
        <w:t xml:space="preserve">ding instruction </w:t>
      </w:r>
      <w:r>
        <w:t>during the</w:t>
      </w:r>
      <w:r w:rsidR="00472811">
        <w:t xml:space="preserve"> bidding period</w:t>
      </w:r>
      <w:r>
        <w:t xml:space="preserve">. </w:t>
      </w:r>
      <w:r w:rsidR="004E35BC">
        <w:t>Bidding instructions</w:t>
      </w:r>
      <w:r>
        <w:t xml:space="preserve"> that have been submitted in this way will be regarded as </w:t>
      </w:r>
      <w:r w:rsidR="00BD1E74">
        <w:t>valid bid</w:t>
      </w:r>
      <w:r w:rsidR="004E35BC">
        <w:t>ding instructions</w:t>
      </w:r>
      <w:r w:rsidR="00472811">
        <w:t xml:space="preserve"> made</w:t>
      </w:r>
      <w:r>
        <w:t xml:space="preserve"> during the </w:t>
      </w:r>
      <w:r w:rsidR="00472811">
        <w:t xml:space="preserve">bidding period for the </w:t>
      </w:r>
      <w:r>
        <w:t xml:space="preserve">round for the purposes of calculating the </w:t>
      </w:r>
      <w:r>
        <w:lastRenderedPageBreak/>
        <w:t>results of a round just ended. A bid</w:t>
      </w:r>
      <w:r w:rsidR="004E35BC">
        <w:t>ding instruction</w:t>
      </w:r>
      <w:r>
        <w:t xml:space="preserve"> cannot be submitted after the </w:t>
      </w:r>
      <w:r w:rsidR="002745C6">
        <w:t xml:space="preserve">results for </w:t>
      </w:r>
      <w:r>
        <w:t>a round ha</w:t>
      </w:r>
      <w:r w:rsidR="002745C6">
        <w:t>ve</w:t>
      </w:r>
      <w:r>
        <w:t xml:space="preserve"> been </w:t>
      </w:r>
      <w:r w:rsidR="002745C6">
        <w:t>provided</w:t>
      </w:r>
      <w:r>
        <w:t xml:space="preserve"> to bidders</w:t>
      </w:r>
      <w:r w:rsidR="00472811">
        <w:t>.</w:t>
      </w:r>
    </w:p>
    <w:p w14:paraId="2318A57E" w14:textId="77777777" w:rsidR="00603AB1" w:rsidRPr="00181920" w:rsidRDefault="00603AB1" w:rsidP="00AB1DAC">
      <w:pPr>
        <w:pStyle w:val="ACMAHeading3"/>
      </w:pPr>
      <w:r>
        <w:t xml:space="preserve">Section </w:t>
      </w:r>
      <w:r w:rsidR="00BD1E74">
        <w:t>6.9</w:t>
      </w:r>
      <w:r w:rsidRPr="00181920">
        <w:tab/>
      </w:r>
      <w:r w:rsidR="00406C5D">
        <w:t>Action that auction manager may take in exceptional circumstances</w:t>
      </w:r>
    </w:p>
    <w:p w14:paraId="0391AAD1" w14:textId="314D680D" w:rsidR="00406C5D" w:rsidRDefault="00406C5D" w:rsidP="00406C5D">
      <w:pPr>
        <w:pStyle w:val="ACMABodyText"/>
      </w:pPr>
      <w:r>
        <w:t xml:space="preserve">Exceptional circumstances may arise that affect the auction. If the auction manager is satisfied that this has occurred, </w:t>
      </w:r>
      <w:r w:rsidR="00472811">
        <w:t>sub</w:t>
      </w:r>
      <w:r>
        <w:t>section</w:t>
      </w:r>
      <w:r w:rsidR="00472811">
        <w:t xml:space="preserve"> 6.9(1)</w:t>
      </w:r>
      <w:r>
        <w:t xml:space="preserve"> gives the auction manager permission to take a range of actions to overcome these circumstances. These actions can include </w:t>
      </w:r>
      <w:r w:rsidR="001E651E">
        <w:t xml:space="preserve">making corrections to the results of the current round of the auction and information received by a bidder during the results period </w:t>
      </w:r>
      <w:r w:rsidR="00333609">
        <w:t>for</w:t>
      </w:r>
      <w:r w:rsidR="001E651E">
        <w:t xml:space="preserve"> the round, </w:t>
      </w:r>
      <w:r w:rsidR="00BD1E74">
        <w:t xml:space="preserve">stopping the current round of the auction and </w:t>
      </w:r>
      <w:r>
        <w:t>restarting a round, cancelling the results of one or more rounds and restarting the auction from the point before those rounds, restarting the auction from the first round, or stopping the auction.</w:t>
      </w:r>
    </w:p>
    <w:p w14:paraId="0652D7D1" w14:textId="77777777" w:rsidR="00406C5D" w:rsidRDefault="00472811" w:rsidP="00406C5D">
      <w:pPr>
        <w:pStyle w:val="ACMABodyText"/>
      </w:pPr>
      <w:r>
        <w:t>Subs</w:t>
      </w:r>
      <w:r w:rsidR="00406C5D">
        <w:t xml:space="preserve">ection </w:t>
      </w:r>
      <w:r>
        <w:t xml:space="preserve">6.9(2) </w:t>
      </w:r>
      <w:r w:rsidR="00406C5D">
        <w:t>also sets out examples of exceptional circumstances that could permit the auction manager to take discretionary action under this provision</w:t>
      </w:r>
      <w:r w:rsidR="00FD57BB">
        <w:t>, including significant technical difficulty with the auction system</w:t>
      </w:r>
      <w:r w:rsidR="00406C5D">
        <w:t>. However, the examples given are not exhaustive and do not preclude other circumstances from being regarded as exceptional.</w:t>
      </w:r>
    </w:p>
    <w:p w14:paraId="332E0FC5" w14:textId="77777777" w:rsidR="00406C5D" w:rsidRDefault="00406C5D" w:rsidP="004D7174">
      <w:pPr>
        <w:pStyle w:val="Divisionheadinglevel"/>
        <w:tabs>
          <w:tab w:val="left" w:pos="1843"/>
        </w:tabs>
        <w:ind w:left="1701" w:hanging="1701"/>
      </w:pPr>
      <w:r>
        <w:t xml:space="preserve">Division </w:t>
      </w:r>
      <w:r w:rsidR="00FD57BB">
        <w:t>4</w:t>
      </w:r>
      <w:r w:rsidR="00FD57BB">
        <w:tab/>
      </w:r>
      <w:r>
        <w:t xml:space="preserve">Affiliations during </w:t>
      </w:r>
      <w:r w:rsidR="002745C6">
        <w:t xml:space="preserve">the </w:t>
      </w:r>
      <w:r>
        <w:t>auction</w:t>
      </w:r>
    </w:p>
    <w:p w14:paraId="091FBDCE" w14:textId="3E63D46D" w:rsidR="00406C5D" w:rsidRDefault="00406C5D" w:rsidP="00406C5D">
      <w:pPr>
        <w:pStyle w:val="ACMABodyText"/>
      </w:pPr>
      <w:r>
        <w:t xml:space="preserve">This </w:t>
      </w:r>
      <w:r w:rsidR="000238FA">
        <w:t>D</w:t>
      </w:r>
      <w:r>
        <w:t xml:space="preserve">ivision </w:t>
      </w:r>
      <w:r w:rsidR="002745C6">
        <w:t>states</w:t>
      </w:r>
      <w:r>
        <w:t xml:space="preserve"> the </w:t>
      </w:r>
      <w:r w:rsidRPr="00BB28AF">
        <w:t>obligation on a bidder not to be affiliated with another bidder during the</w:t>
      </w:r>
      <w:r>
        <w:t xml:space="preserve"> auction period, and describes the responsibilities of bidders to inform the ACMA of any affiliations with any other bidder. It also explains the consequences for bidders who are affiliated during the auction period.</w:t>
      </w:r>
    </w:p>
    <w:p w14:paraId="21C13505" w14:textId="77777777" w:rsidR="00406C5D" w:rsidRPr="00DC7307" w:rsidRDefault="00406C5D" w:rsidP="00406C5D">
      <w:pPr>
        <w:pStyle w:val="ACMAHeading3"/>
      </w:pPr>
      <w:r w:rsidRPr="00406C5D">
        <w:t xml:space="preserve">Section </w:t>
      </w:r>
      <w:r w:rsidR="00BD1E74">
        <w:t>6.10</w:t>
      </w:r>
      <w:r w:rsidRPr="00406C5D">
        <w:tab/>
      </w:r>
      <w:r>
        <w:t>Affiliation during auction period not permitted</w:t>
      </w:r>
    </w:p>
    <w:p w14:paraId="0C1BC89A" w14:textId="019D8C06" w:rsidR="00406C5D" w:rsidRDefault="00406C5D" w:rsidP="00406C5D">
      <w:pPr>
        <w:pStyle w:val="ACMABodyText"/>
      </w:pPr>
      <w:r>
        <w:t xml:space="preserve">This section provides that a bidder must not be affiliated with another bidder during the auction period (defined in </w:t>
      </w:r>
      <w:r w:rsidR="005D48D7">
        <w:t>sub</w:t>
      </w:r>
      <w:r>
        <w:t>section 1.4</w:t>
      </w:r>
      <w:r w:rsidR="005D48D7">
        <w:t>(1)</w:t>
      </w:r>
      <w:r>
        <w:t xml:space="preserve">). If the ACMA is satisfied that a breach of this provision has occurred, the ACMA may take action under the provisions in section </w:t>
      </w:r>
      <w:r w:rsidR="001B2376" w:rsidRPr="00EF6D68">
        <w:t>8.</w:t>
      </w:r>
      <w:r w:rsidRPr="00EF6D68">
        <w:t>6</w:t>
      </w:r>
      <w:r>
        <w:t>.</w:t>
      </w:r>
    </w:p>
    <w:p w14:paraId="20EB6FDF" w14:textId="77777777" w:rsidR="00406C5D" w:rsidRPr="00DC7307" w:rsidRDefault="00406C5D" w:rsidP="00406C5D">
      <w:pPr>
        <w:pStyle w:val="ACMAHeading3"/>
      </w:pPr>
      <w:r w:rsidRPr="00DC7307">
        <w:t xml:space="preserve">Section </w:t>
      </w:r>
      <w:r w:rsidR="00BD1E74">
        <w:t>6.11</w:t>
      </w:r>
      <w:r>
        <w:tab/>
        <w:t>Requirement to report affiliation</w:t>
      </w:r>
    </w:p>
    <w:p w14:paraId="032F9322" w14:textId="03C3E7CF" w:rsidR="00406C5D" w:rsidRDefault="00406C5D" w:rsidP="00406C5D">
      <w:pPr>
        <w:pStyle w:val="ACMABodyText"/>
      </w:pPr>
      <w:r>
        <w:t xml:space="preserve">Under this provision, a bidder is obliged to immediately tell the ACMA in writing if it (the bidder) believes that it may be affiliated with another bidder during the auction period, noting the identity of the other bidder and </w:t>
      </w:r>
      <w:r w:rsidR="00333609">
        <w:t>giving details</w:t>
      </w:r>
      <w:r>
        <w:t xml:space="preserve"> of the affiliation.</w:t>
      </w:r>
    </w:p>
    <w:p w14:paraId="532C4004" w14:textId="77777777" w:rsidR="00406C5D" w:rsidRPr="00DC7307" w:rsidRDefault="00406C5D" w:rsidP="00406C5D">
      <w:pPr>
        <w:pStyle w:val="ACMAHeading3"/>
      </w:pPr>
      <w:r w:rsidRPr="00DC7307">
        <w:t>Section</w:t>
      </w:r>
      <w:r w:rsidR="00BD1E74">
        <w:t xml:space="preserve"> 6.12</w:t>
      </w:r>
      <w:r>
        <w:tab/>
        <w:t>Auction continues despite possible affiliation</w:t>
      </w:r>
    </w:p>
    <w:p w14:paraId="63A0A9ED" w14:textId="77777777" w:rsidR="00406C5D" w:rsidRDefault="00406C5D" w:rsidP="00406C5D">
      <w:pPr>
        <w:pStyle w:val="ACMABodyText"/>
      </w:pPr>
      <w:r>
        <w:t xml:space="preserve">This section states </w:t>
      </w:r>
      <w:r w:rsidR="000238FA">
        <w:t xml:space="preserve">what happens </w:t>
      </w:r>
      <w:r>
        <w:t xml:space="preserve">if the ACMA becomes aware during the auction period that </w:t>
      </w:r>
      <w:r w:rsidR="00697B04">
        <w:t>2</w:t>
      </w:r>
      <w:r>
        <w:t xml:space="preserve"> or more bidders may be affiliated. The auction will proceed normally and any bidders who may be affiliated are permitted to continue to participate.</w:t>
      </w:r>
    </w:p>
    <w:p w14:paraId="25A3DD17" w14:textId="77777777" w:rsidR="00406C5D" w:rsidRDefault="00406C5D" w:rsidP="00406C5D">
      <w:pPr>
        <w:pStyle w:val="ACMABodyText"/>
      </w:pPr>
      <w:r>
        <w:t xml:space="preserve">However, the ACMA will consider any potential affiliations between bidders occurring during the auction period once the auction period has ended. This process is set out in section </w:t>
      </w:r>
      <w:r w:rsidR="001B2376">
        <w:t>7.5</w:t>
      </w:r>
      <w:r>
        <w:t>.</w:t>
      </w:r>
    </w:p>
    <w:p w14:paraId="1A6575BA" w14:textId="77777777" w:rsidR="00406C5D" w:rsidRPr="00DC7307" w:rsidRDefault="00406C5D" w:rsidP="00406C5D">
      <w:pPr>
        <w:pStyle w:val="ACMAHeading3"/>
      </w:pPr>
      <w:r w:rsidRPr="00DC7307">
        <w:t xml:space="preserve">Section </w:t>
      </w:r>
      <w:r w:rsidR="00BD1E74">
        <w:t>6.13</w:t>
      </w:r>
      <w:r>
        <w:tab/>
        <w:t xml:space="preserve">ACMA consideration of affiliation </w:t>
      </w:r>
    </w:p>
    <w:p w14:paraId="41622727" w14:textId="77777777" w:rsidR="00406C5D" w:rsidRDefault="00406C5D" w:rsidP="00406C5D">
      <w:pPr>
        <w:pStyle w:val="ACMABodyText"/>
      </w:pPr>
      <w:r>
        <w:t xml:space="preserve">This section explains what steps the ACMA will take if it becomes aware that </w:t>
      </w:r>
      <w:r w:rsidR="00697B04">
        <w:t>2</w:t>
      </w:r>
      <w:r>
        <w:t xml:space="preserve"> or more bidders are affiliated during the auction period.</w:t>
      </w:r>
    </w:p>
    <w:p w14:paraId="6D84E10D" w14:textId="77777777" w:rsidR="00CA19B0" w:rsidRDefault="00406C5D" w:rsidP="00406C5D">
      <w:pPr>
        <w:pStyle w:val="ACMABodyText"/>
      </w:pPr>
      <w:r>
        <w:t xml:space="preserve">During or after the auction period, the ACMA will consider whether it has reason to believe that the bidders were actually affiliated </w:t>
      </w:r>
      <w:r w:rsidRPr="00CA3C02">
        <w:rPr>
          <w:i/>
        </w:rPr>
        <w:t>during</w:t>
      </w:r>
      <w:r>
        <w:t xml:space="preserve"> the auction period. If the ACMA forms the belief that an affiliation existed during the auction period, it must write to the affiliated bidders, notifying them of this fact and informing them of the basis on which it considers them to be affiliated.  </w:t>
      </w:r>
    </w:p>
    <w:p w14:paraId="1DBAA06B" w14:textId="16D92547" w:rsidR="00406C5D" w:rsidRDefault="00CA19B0" w:rsidP="00406C5D">
      <w:pPr>
        <w:pStyle w:val="ACMABodyText"/>
      </w:pPr>
      <w:r>
        <w:t>If bidders are affiliated, t</w:t>
      </w:r>
      <w:r w:rsidR="00406C5D">
        <w:t xml:space="preserve">he ACMA may then proceed to make a decision </w:t>
      </w:r>
      <w:r w:rsidR="00406C5D" w:rsidRPr="007371DF">
        <w:t xml:space="preserve">under section </w:t>
      </w:r>
      <w:r w:rsidR="00BD1E74" w:rsidRPr="007371DF">
        <w:t>8</w:t>
      </w:r>
      <w:r w:rsidR="00406C5D" w:rsidRPr="007371DF">
        <w:t>.6 of the Determination.</w:t>
      </w:r>
    </w:p>
    <w:p w14:paraId="1BA8E38B" w14:textId="54313C6A" w:rsidR="00E467AC" w:rsidRDefault="00E467AC" w:rsidP="00E467AC">
      <w:pPr>
        <w:pStyle w:val="ACMABodyText"/>
      </w:pPr>
      <w:r>
        <w:lastRenderedPageBreak/>
        <w:t>If the ACMA does not consider that these bidders were affiliated during the auction</w:t>
      </w:r>
      <w:r w:rsidR="00BD1E74">
        <w:t xml:space="preserve"> </w:t>
      </w:r>
      <w:r w:rsidR="000238FA">
        <w:t xml:space="preserve">period </w:t>
      </w:r>
      <w:r w:rsidR="00BD1E74">
        <w:t xml:space="preserve">after the bidders gave the ACMA information under </w:t>
      </w:r>
      <w:r w:rsidR="00BD1E74" w:rsidRPr="001B2376">
        <w:t>s</w:t>
      </w:r>
      <w:r w:rsidR="001B2376" w:rsidRPr="001B2376">
        <w:t>ection</w:t>
      </w:r>
      <w:r w:rsidR="001B2376" w:rsidRPr="007371DF">
        <w:t xml:space="preserve"> </w:t>
      </w:r>
      <w:r w:rsidR="00BD1E74" w:rsidRPr="007371DF">
        <w:t>6.11</w:t>
      </w:r>
      <w:r>
        <w:t xml:space="preserve">, then the ACMA must notify the bidders of that </w:t>
      </w:r>
      <w:r w:rsidR="00333609">
        <w:t>view</w:t>
      </w:r>
      <w:r>
        <w:t xml:space="preserve">. </w:t>
      </w:r>
    </w:p>
    <w:p w14:paraId="392E0797" w14:textId="77777777" w:rsidR="00603AB1" w:rsidRPr="00126CB3" w:rsidRDefault="00603AB1" w:rsidP="00172817">
      <w:pPr>
        <w:pStyle w:val="Partheadinglevel"/>
      </w:pPr>
      <w:r w:rsidRPr="00181920">
        <w:t xml:space="preserve">Part </w:t>
      </w:r>
      <w:r w:rsidR="00BD1E74">
        <w:t>7</w:t>
      </w:r>
      <w:r w:rsidRPr="00181920">
        <w:tab/>
      </w:r>
      <w:r>
        <w:t>pROCEDURES AFTER aUCTION</w:t>
      </w:r>
    </w:p>
    <w:p w14:paraId="35E5F942" w14:textId="77777777" w:rsidR="00603AB1" w:rsidRDefault="00603AB1" w:rsidP="00172817">
      <w:pPr>
        <w:pStyle w:val="ACMABodyText"/>
      </w:pPr>
      <w:r>
        <w:t xml:space="preserve">This Part describes the procedures and processes that will apply after the close of the auction. It includes details of how auction results will be confirmed, as well as outlining licence payment </w:t>
      </w:r>
      <w:r w:rsidRPr="00BB28AF">
        <w:t>procedures</w:t>
      </w:r>
      <w:r>
        <w:t xml:space="preserve"> </w:t>
      </w:r>
      <w:r w:rsidR="000238FA">
        <w:t>be</w:t>
      </w:r>
      <w:r w:rsidRPr="00BB28AF">
        <w:t>for</w:t>
      </w:r>
      <w:r w:rsidR="000238FA">
        <w:t>e</w:t>
      </w:r>
      <w:r w:rsidRPr="00BB28AF">
        <w:t xml:space="preserve"> issuing spectrum licences.</w:t>
      </w:r>
    </w:p>
    <w:p w14:paraId="529824CE" w14:textId="77777777" w:rsidR="00603AB1" w:rsidRPr="00FC7D7B" w:rsidRDefault="00603AB1" w:rsidP="00172817">
      <w:pPr>
        <w:pStyle w:val="ACMABodyText"/>
        <w:rPr>
          <w:b/>
          <w:sz w:val="22"/>
          <w:szCs w:val="22"/>
        </w:rPr>
      </w:pPr>
      <w:r w:rsidRPr="003B200E">
        <w:rPr>
          <w:b/>
          <w:sz w:val="22"/>
          <w:szCs w:val="22"/>
        </w:rPr>
        <w:t>Division 1</w:t>
      </w:r>
      <w:r w:rsidRPr="003B200E">
        <w:rPr>
          <w:b/>
          <w:sz w:val="22"/>
          <w:szCs w:val="22"/>
        </w:rPr>
        <w:tab/>
        <w:t>Confirmation of auction results</w:t>
      </w:r>
    </w:p>
    <w:p w14:paraId="31C8C5C8" w14:textId="77777777" w:rsidR="00603AB1" w:rsidRPr="0004556D" w:rsidRDefault="00603AB1" w:rsidP="00172817">
      <w:pPr>
        <w:pStyle w:val="ACMABodyText"/>
      </w:pPr>
      <w:r>
        <w:t xml:space="preserve">This </w:t>
      </w:r>
      <w:r w:rsidR="000238FA">
        <w:t>D</w:t>
      </w:r>
      <w:r>
        <w:t xml:space="preserve">ivision outlines the procedures to be followed by the ACMA and bidders to enable the confirmation of auction results.  </w:t>
      </w:r>
    </w:p>
    <w:p w14:paraId="7E58666A" w14:textId="77777777" w:rsidR="00603AB1" w:rsidRDefault="00603AB1" w:rsidP="00172817">
      <w:pPr>
        <w:pStyle w:val="ACMABodyText"/>
        <w:rPr>
          <w:b/>
        </w:rPr>
      </w:pPr>
      <w:r>
        <w:rPr>
          <w:b/>
        </w:rPr>
        <w:t xml:space="preserve">Section </w:t>
      </w:r>
      <w:r w:rsidR="001B2376">
        <w:rPr>
          <w:b/>
        </w:rPr>
        <w:t>7</w:t>
      </w:r>
      <w:r>
        <w:rPr>
          <w:b/>
        </w:rPr>
        <w:t>.1</w:t>
      </w:r>
      <w:r>
        <w:rPr>
          <w:b/>
        </w:rPr>
        <w:tab/>
        <w:t>Notice and refunds to unsuccessful bidders</w:t>
      </w:r>
    </w:p>
    <w:p w14:paraId="205DEBC4" w14:textId="3F855BE1" w:rsidR="00603AB1" w:rsidRDefault="00603AB1" w:rsidP="00172817">
      <w:pPr>
        <w:pStyle w:val="ACMABodyText"/>
        <w:rPr>
          <w:lang w:val="en-US"/>
        </w:rPr>
      </w:pPr>
      <w:r w:rsidRPr="00131E7E">
        <w:t xml:space="preserve">This section </w:t>
      </w:r>
      <w:r w:rsidRPr="00131E7E">
        <w:rPr>
          <w:lang w:val="en-US"/>
        </w:rPr>
        <w:t xml:space="preserve">sets out the </w:t>
      </w:r>
      <w:r>
        <w:rPr>
          <w:lang w:val="en-US"/>
        </w:rPr>
        <w:t xml:space="preserve">procedure that the ACMA must follow for unsuccessful bidders who have not withdrawn or been excluded. Unsuccessful bidders will be notified as soon as practicable after the auction that they have not won any spectrum and that their confidentiality obligations under section </w:t>
      </w:r>
      <w:r w:rsidRPr="007371DF">
        <w:rPr>
          <w:lang w:val="en-US"/>
        </w:rPr>
        <w:t>3.2</w:t>
      </w:r>
      <w:r>
        <w:rPr>
          <w:lang w:val="en-US"/>
        </w:rPr>
        <w:t xml:space="preserve"> </w:t>
      </w:r>
      <w:r w:rsidR="000238FA">
        <w:rPr>
          <w:lang w:val="en-US"/>
        </w:rPr>
        <w:t>have ended</w:t>
      </w:r>
      <w:r>
        <w:rPr>
          <w:lang w:val="en-US"/>
        </w:rPr>
        <w:t xml:space="preserve">. The ACMA must refund any eligibility payment made by </w:t>
      </w:r>
      <w:r w:rsidR="00642BE5">
        <w:rPr>
          <w:lang w:val="en-US"/>
        </w:rPr>
        <w:t>an</w:t>
      </w:r>
      <w:r>
        <w:rPr>
          <w:lang w:val="en-US"/>
        </w:rPr>
        <w:t xml:space="preserve"> unsuccessful bidder</w:t>
      </w:r>
      <w:r w:rsidR="003B6D09">
        <w:rPr>
          <w:lang w:val="en-US"/>
        </w:rPr>
        <w:t xml:space="preserve">, </w:t>
      </w:r>
      <w:r w:rsidR="003B6D09" w:rsidRPr="007371DF">
        <w:rPr>
          <w:lang w:val="en-US"/>
        </w:rPr>
        <w:t>less any withdrawal penalties</w:t>
      </w:r>
      <w:r w:rsidR="003B6D09">
        <w:rPr>
          <w:lang w:val="en-US"/>
        </w:rPr>
        <w:t>,</w:t>
      </w:r>
      <w:r>
        <w:rPr>
          <w:lang w:val="en-US"/>
        </w:rPr>
        <w:t xml:space="preserve"> within a maximum period of 6 months </w:t>
      </w:r>
      <w:r w:rsidR="00333609">
        <w:rPr>
          <w:lang w:val="en-US"/>
        </w:rPr>
        <w:t>after</w:t>
      </w:r>
      <w:r>
        <w:rPr>
          <w:lang w:val="en-US"/>
        </w:rPr>
        <w:t xml:space="preserve"> notifying the bidder that they are unsuccessful, except where the ACMA has decided to </w:t>
      </w:r>
      <w:r w:rsidR="000238FA">
        <w:rPr>
          <w:lang w:val="en-US"/>
        </w:rPr>
        <w:t xml:space="preserve">retain </w:t>
      </w:r>
      <w:r>
        <w:rPr>
          <w:lang w:val="en-US"/>
        </w:rPr>
        <w:t xml:space="preserve">the eligibility payment under section </w:t>
      </w:r>
      <w:r w:rsidR="004B5788" w:rsidRPr="007371DF">
        <w:rPr>
          <w:lang w:val="en-US"/>
        </w:rPr>
        <w:t>8</w:t>
      </w:r>
      <w:r w:rsidRPr="007371DF">
        <w:rPr>
          <w:lang w:val="en-US"/>
        </w:rPr>
        <w:t>.6</w:t>
      </w:r>
      <w:r>
        <w:rPr>
          <w:lang w:val="en-US"/>
        </w:rPr>
        <w:t xml:space="preserve"> due to a breach of the </w:t>
      </w:r>
      <w:r w:rsidR="00642BE5">
        <w:rPr>
          <w:lang w:val="en-US"/>
        </w:rPr>
        <w:t>Determination</w:t>
      </w:r>
      <w:r>
        <w:rPr>
          <w:lang w:val="en-US"/>
        </w:rPr>
        <w:t>.</w:t>
      </w:r>
    </w:p>
    <w:p w14:paraId="4E2A9066" w14:textId="77777777" w:rsidR="00603AB1" w:rsidRDefault="00603AB1" w:rsidP="0097018E">
      <w:pPr>
        <w:pStyle w:val="ACMABodyText"/>
        <w:rPr>
          <w:b/>
        </w:rPr>
      </w:pPr>
      <w:r>
        <w:rPr>
          <w:b/>
        </w:rPr>
        <w:t xml:space="preserve">Section </w:t>
      </w:r>
      <w:r w:rsidR="004B5788">
        <w:rPr>
          <w:b/>
        </w:rPr>
        <w:t>7</w:t>
      </w:r>
      <w:r>
        <w:rPr>
          <w:b/>
        </w:rPr>
        <w:t>.2</w:t>
      </w:r>
      <w:r>
        <w:rPr>
          <w:b/>
        </w:rPr>
        <w:tab/>
        <w:t>Notice to withdrawn applicants</w:t>
      </w:r>
    </w:p>
    <w:p w14:paraId="51F27CDC" w14:textId="2994137A" w:rsidR="00603AB1" w:rsidRPr="00687799" w:rsidRDefault="00603AB1" w:rsidP="0097018E">
      <w:pPr>
        <w:pStyle w:val="ACMABodyText"/>
      </w:pPr>
      <w:r>
        <w:t xml:space="preserve">This section states that the ACMA must advise withdrawn applicants that they are no longer bound by the confidentiality obligations under section </w:t>
      </w:r>
      <w:r w:rsidRPr="007371DF">
        <w:t>3.2</w:t>
      </w:r>
      <w:r>
        <w:t xml:space="preserve"> as soon as practicable after the end of the auction period.</w:t>
      </w:r>
      <w:r>
        <w:rPr>
          <w:lang w:val="en-US"/>
        </w:rPr>
        <w:t xml:space="preserve"> </w:t>
      </w:r>
      <w:r w:rsidR="00333609">
        <w:rPr>
          <w:lang w:val="en-US"/>
        </w:rPr>
        <w:t>A note to this section records</w:t>
      </w:r>
      <w:r>
        <w:rPr>
          <w:lang w:val="en-US"/>
        </w:rPr>
        <w:t xml:space="preserve"> that withdrawn applicants who have made eligibility payments will have these payments refunded.</w:t>
      </w:r>
    </w:p>
    <w:p w14:paraId="5EACDBA9" w14:textId="77777777" w:rsidR="00603AB1" w:rsidRDefault="00603AB1" w:rsidP="00172817">
      <w:pPr>
        <w:pStyle w:val="ACMABodyText"/>
        <w:rPr>
          <w:b/>
        </w:rPr>
      </w:pPr>
      <w:r>
        <w:rPr>
          <w:b/>
        </w:rPr>
        <w:t xml:space="preserve">Section </w:t>
      </w:r>
      <w:r w:rsidR="004B5788">
        <w:rPr>
          <w:b/>
        </w:rPr>
        <w:t>7</w:t>
      </w:r>
      <w:r>
        <w:rPr>
          <w:b/>
        </w:rPr>
        <w:t>.3</w:t>
      </w:r>
      <w:r>
        <w:rPr>
          <w:b/>
        </w:rPr>
        <w:tab/>
        <w:t>Winning bidder to make statement about affiliations</w:t>
      </w:r>
    </w:p>
    <w:p w14:paraId="2873D722" w14:textId="309DFD09" w:rsidR="00603AB1" w:rsidRPr="00FA24D0" w:rsidRDefault="00603AB1" w:rsidP="00172817">
      <w:pPr>
        <w:pStyle w:val="ACMABodyText"/>
      </w:pPr>
      <w:r>
        <w:t xml:space="preserve">The ACMA is required to notify each winning bidder </w:t>
      </w:r>
      <w:r w:rsidR="00047024">
        <w:t>of</w:t>
      </w:r>
      <w:r>
        <w:t xml:space="preserve"> the identification of all other winning bidders as soon as practicable after the end of the auction period. E</w:t>
      </w:r>
      <w:r w:rsidRPr="00034003">
        <w:t xml:space="preserve">ach </w:t>
      </w:r>
      <w:r>
        <w:t>winning bidder is then required to</w:t>
      </w:r>
      <w:r w:rsidRPr="00034003">
        <w:t xml:space="preserve"> provide the ACMA with a </w:t>
      </w:r>
      <w:r>
        <w:t>statement</w:t>
      </w:r>
      <w:r w:rsidRPr="00034003">
        <w:t xml:space="preserve"> </w:t>
      </w:r>
      <w:r>
        <w:t xml:space="preserve">to </w:t>
      </w:r>
      <w:r w:rsidRPr="00034003">
        <w:t xml:space="preserve">say whether they are </w:t>
      </w:r>
      <w:r>
        <w:t>affiliated</w:t>
      </w:r>
      <w:r w:rsidRPr="00034003">
        <w:t xml:space="preserve"> with any other </w:t>
      </w:r>
      <w:r>
        <w:t>winning bidder and if so, to provide details of that affiliation</w:t>
      </w:r>
      <w:r w:rsidRPr="00034003">
        <w:t xml:space="preserve">. The ACMA will not issue a spectrum licence to a </w:t>
      </w:r>
      <w:r>
        <w:t>winning bidder until this</w:t>
      </w:r>
      <w:r w:rsidRPr="00034003">
        <w:t xml:space="preserve"> </w:t>
      </w:r>
      <w:r>
        <w:t>statement has been received</w:t>
      </w:r>
      <w:r w:rsidRPr="00034003">
        <w:t>. This section</w:t>
      </w:r>
      <w:r>
        <w:t xml:space="preserve"> also</w:t>
      </w:r>
      <w:r w:rsidRPr="00034003">
        <w:t xml:space="preserve"> sets out </w:t>
      </w:r>
      <w:r>
        <w:t xml:space="preserve">that the ACMA must state a deadline for the receipt of the statement </w:t>
      </w:r>
      <w:r w:rsidR="00F07703">
        <w:t>not</w:t>
      </w:r>
      <w:r>
        <w:t xml:space="preserve"> less than </w:t>
      </w:r>
      <w:r w:rsidR="00091BC2">
        <w:t>8</w:t>
      </w:r>
      <w:r>
        <w:t xml:space="preserve"> working days after the date of request. </w:t>
      </w:r>
      <w:r w:rsidR="00F07703">
        <w:rPr>
          <w:lang w:val="en-US"/>
        </w:rPr>
        <w:t>Notes to the section also highlight</w:t>
      </w:r>
      <w:r>
        <w:rPr>
          <w:lang w:val="en-US"/>
        </w:rPr>
        <w:t xml:space="preserve"> the importance of winning bidders submitting a truthful statement. </w:t>
      </w:r>
      <w:r w:rsidR="00F07703">
        <w:rPr>
          <w:lang w:val="en-US"/>
        </w:rPr>
        <w:t>In particular they note</w:t>
      </w:r>
      <w:r>
        <w:rPr>
          <w:lang w:val="en-US"/>
        </w:rPr>
        <w:t xml:space="preserve"> that giving false or misleading information to the ACMA </w:t>
      </w:r>
      <w:r w:rsidR="00F07703">
        <w:rPr>
          <w:lang w:val="en-US"/>
        </w:rPr>
        <w:t>may</w:t>
      </w:r>
      <w:r>
        <w:rPr>
          <w:lang w:val="en-US"/>
        </w:rPr>
        <w:t xml:space="preserve"> constitute a serious offence under the </w:t>
      </w:r>
      <w:r>
        <w:rPr>
          <w:i/>
          <w:lang w:val="en-US"/>
        </w:rPr>
        <w:t>Criminal Code</w:t>
      </w:r>
      <w:r>
        <w:rPr>
          <w:lang w:val="en-US"/>
        </w:rPr>
        <w:t>.</w:t>
      </w:r>
    </w:p>
    <w:p w14:paraId="7F110D0A" w14:textId="7BB23110" w:rsidR="00603AB1" w:rsidRDefault="00603AB1" w:rsidP="00172817">
      <w:pPr>
        <w:pStyle w:val="ACMABodyText"/>
      </w:pPr>
      <w:r w:rsidRPr="00034003">
        <w:t xml:space="preserve">The </w:t>
      </w:r>
      <w:r>
        <w:t>intention of this</w:t>
      </w:r>
      <w:r w:rsidRPr="00034003">
        <w:t xml:space="preserve"> section is to </w:t>
      </w:r>
      <w:r>
        <w:t xml:space="preserve">enable </w:t>
      </w:r>
      <w:r w:rsidRPr="00034003">
        <w:t xml:space="preserve">the ACMA </w:t>
      </w:r>
      <w:r>
        <w:t xml:space="preserve">to obtain information to ensure that </w:t>
      </w:r>
      <w:r w:rsidR="00D930AE">
        <w:t>spectrum</w:t>
      </w:r>
      <w:r>
        <w:t xml:space="preserve"> licences issued under th</w:t>
      </w:r>
      <w:r w:rsidR="000252F9">
        <w:t>e</w:t>
      </w:r>
      <w:r>
        <w:t xml:space="preserve"> Determination comply with the allocation limits set by the Minister (a</w:t>
      </w:r>
      <w:r w:rsidR="00D930AE">
        <w:t>s</w:t>
      </w:r>
      <w:r>
        <w:t xml:space="preserve"> defined in section </w:t>
      </w:r>
      <w:r w:rsidRPr="007371DF">
        <w:t>2.1</w:t>
      </w:r>
      <w:r>
        <w:t xml:space="preserve">). </w:t>
      </w:r>
    </w:p>
    <w:p w14:paraId="4C2E22BB" w14:textId="77777777" w:rsidR="00603AB1" w:rsidRDefault="00603AB1" w:rsidP="00172817">
      <w:pPr>
        <w:pStyle w:val="ACMABodyText"/>
        <w:rPr>
          <w:b/>
        </w:rPr>
      </w:pPr>
      <w:r w:rsidRPr="00CA3C02">
        <w:rPr>
          <w:b/>
        </w:rPr>
        <w:t>Section</w:t>
      </w:r>
      <w:r w:rsidR="004B5788">
        <w:rPr>
          <w:b/>
        </w:rPr>
        <w:t xml:space="preserve"> 7</w:t>
      </w:r>
      <w:r w:rsidRPr="00CA3C02">
        <w:rPr>
          <w:b/>
        </w:rPr>
        <w:t>.4</w:t>
      </w:r>
      <w:r w:rsidRPr="00CA3C02">
        <w:rPr>
          <w:b/>
        </w:rPr>
        <w:tab/>
        <w:t>Notification that winning bidders are affiliated</w:t>
      </w:r>
    </w:p>
    <w:p w14:paraId="20F74191" w14:textId="77777777" w:rsidR="00603AB1" w:rsidRDefault="00603AB1" w:rsidP="00172817">
      <w:pPr>
        <w:pStyle w:val="ACMABodyText"/>
      </w:pPr>
      <w:r>
        <w:t>This section states that the ACMA must notify winning bidders if it is satisfied that they became affiliated after (but not during) the auction period. This notification will provide details of the basis on which that decision has been made.</w:t>
      </w:r>
    </w:p>
    <w:p w14:paraId="489B2527" w14:textId="77777777" w:rsidR="00603AB1" w:rsidRDefault="00603AB1" w:rsidP="00172817">
      <w:pPr>
        <w:pStyle w:val="ACMABodyText"/>
        <w:rPr>
          <w:b/>
        </w:rPr>
      </w:pPr>
      <w:r>
        <w:rPr>
          <w:b/>
        </w:rPr>
        <w:t xml:space="preserve">Section </w:t>
      </w:r>
      <w:r w:rsidR="004B5788">
        <w:rPr>
          <w:b/>
        </w:rPr>
        <w:t>7</w:t>
      </w:r>
      <w:r>
        <w:rPr>
          <w:b/>
        </w:rPr>
        <w:t>.5</w:t>
      </w:r>
      <w:r>
        <w:rPr>
          <w:b/>
        </w:rPr>
        <w:tab/>
        <w:t>Consequences of affiliation</w:t>
      </w:r>
    </w:p>
    <w:p w14:paraId="02ED1BF8" w14:textId="7E112B12" w:rsidR="00603AB1" w:rsidRDefault="00603AB1" w:rsidP="00172817">
      <w:pPr>
        <w:pStyle w:val="ACMABodyText"/>
      </w:pPr>
      <w:r>
        <w:t xml:space="preserve">Winning bidders who have been notified that the ACMA is satisfied that they formed an affiliation after the auction period remain subject to the allocation limits set out in section </w:t>
      </w:r>
      <w:r w:rsidRPr="007371DF">
        <w:t>2.1.</w:t>
      </w:r>
      <w:r>
        <w:t xml:space="preserve"> This means that the ACMA may only issue licences to those affiliated winning bidders up to the allocation limits. For the </w:t>
      </w:r>
      <w:r>
        <w:lastRenderedPageBreak/>
        <w:t xml:space="preserve">avoidance of doubt, this section applies only to </w:t>
      </w:r>
      <w:r w:rsidR="00697B04">
        <w:t>2</w:t>
      </w:r>
      <w:r>
        <w:t xml:space="preserve"> or more winning bidders whose affiliation first occurred after the end of the auction period. It does not apply to affiliations </w:t>
      </w:r>
      <w:r w:rsidR="00642BE5">
        <w:t>occur</w:t>
      </w:r>
      <w:r w:rsidR="006E140B">
        <w:t>r</w:t>
      </w:r>
      <w:r w:rsidR="00642BE5">
        <w:t>ing</w:t>
      </w:r>
      <w:r>
        <w:t xml:space="preserve"> during the auction period</w:t>
      </w:r>
      <w:r w:rsidR="00642BE5">
        <w:t xml:space="preserve"> (which are covered by Division 4 of Part 6 of the Determination)</w:t>
      </w:r>
      <w:r>
        <w:t>.</w:t>
      </w:r>
    </w:p>
    <w:p w14:paraId="5D56A18E" w14:textId="77777777" w:rsidR="00603AB1" w:rsidRDefault="00603AB1" w:rsidP="00172817">
      <w:pPr>
        <w:pStyle w:val="ACMABodyText"/>
      </w:pPr>
      <w:r>
        <w:t xml:space="preserve">This section sets out that the ACMA will combine the total spectrum won by affiliated winning bidders. Where the issue of a spectrum licence for that combined spectrum would exceed the allocation limits, licences may only be issued up the specified </w:t>
      </w:r>
      <w:r w:rsidR="00D930AE">
        <w:t xml:space="preserve">allocation </w:t>
      </w:r>
      <w:r>
        <w:t>limits.</w:t>
      </w:r>
    </w:p>
    <w:p w14:paraId="5F80A1B9" w14:textId="37FF86F3" w:rsidR="00603AB1" w:rsidRDefault="00603AB1" w:rsidP="00172817">
      <w:pPr>
        <w:pStyle w:val="ACMABodyText"/>
        <w:rPr>
          <w:b/>
        </w:rPr>
      </w:pPr>
      <w:r>
        <w:t xml:space="preserve">In these circumstances, affiliated bidders may provide a direction to the ACMA specifying how the spectrum is to be allocated between them within the allocation limits. If no direction is provided within </w:t>
      </w:r>
      <w:r w:rsidR="00BC2012">
        <w:t>5</w:t>
      </w:r>
      <w:r>
        <w:t xml:space="preserve"> working days, the ACMA may, for any part of the spectrum where the lots won by the bidders exceed the allocation limits, choose at its discretion how to allocate spectrum to each bidder up to the allocation limits. Any spectrum not allocated, because allocating it would be in excess of the allocation limits, will be treated as unallocated</w:t>
      </w:r>
      <w:r w:rsidR="00F07703">
        <w:t xml:space="preserve"> under section 8.1</w:t>
      </w:r>
      <w:r>
        <w:t xml:space="preserve">.  The winning bidders must pay the balance of the winning price for all the lots </w:t>
      </w:r>
      <w:r w:rsidR="00EB6F18">
        <w:t>‘</w:t>
      </w:r>
      <w:r>
        <w:t>won</w:t>
      </w:r>
      <w:r w:rsidR="00EB6F18">
        <w:t>’</w:t>
      </w:r>
      <w:r>
        <w:t xml:space="preserve">, even though </w:t>
      </w:r>
      <w:r w:rsidR="00D930AE">
        <w:t>the bidders</w:t>
      </w:r>
      <w:r>
        <w:t xml:space="preserve"> may not be allocated licences representing all of those lots.  That is, the winning bidders must pay the full balance of the winning price for all lots </w:t>
      </w:r>
      <w:r w:rsidR="00EB6F18">
        <w:t>‘</w:t>
      </w:r>
      <w:r>
        <w:t>won</w:t>
      </w:r>
      <w:r w:rsidR="00EB6F18">
        <w:t>’</w:t>
      </w:r>
      <w:r>
        <w:t xml:space="preserve"> despite receiving a smaller allocation as a result of this section.</w:t>
      </w:r>
    </w:p>
    <w:p w14:paraId="64C91E95" w14:textId="77777777" w:rsidR="00603AB1" w:rsidRPr="00FC7D7B" w:rsidRDefault="00603AB1" w:rsidP="00172817">
      <w:pPr>
        <w:pStyle w:val="ACMABodyText"/>
        <w:rPr>
          <w:b/>
          <w:sz w:val="22"/>
          <w:szCs w:val="22"/>
        </w:rPr>
      </w:pPr>
      <w:r w:rsidRPr="003B200E">
        <w:rPr>
          <w:b/>
          <w:sz w:val="22"/>
          <w:szCs w:val="22"/>
        </w:rPr>
        <w:t>Division 2</w:t>
      </w:r>
      <w:r w:rsidRPr="003B200E">
        <w:rPr>
          <w:b/>
          <w:sz w:val="22"/>
          <w:szCs w:val="22"/>
        </w:rPr>
        <w:tab/>
        <w:t xml:space="preserve">Payment and issue of </w:t>
      </w:r>
      <w:r w:rsidR="00047024">
        <w:rPr>
          <w:b/>
          <w:sz w:val="22"/>
          <w:szCs w:val="22"/>
        </w:rPr>
        <w:t xml:space="preserve">spectrum </w:t>
      </w:r>
      <w:r w:rsidRPr="003B200E">
        <w:rPr>
          <w:b/>
          <w:sz w:val="22"/>
          <w:szCs w:val="22"/>
        </w:rPr>
        <w:t>licences</w:t>
      </w:r>
    </w:p>
    <w:p w14:paraId="12A714F2" w14:textId="77777777" w:rsidR="00603AB1" w:rsidRPr="007F3EBF" w:rsidRDefault="00603AB1" w:rsidP="00172817">
      <w:pPr>
        <w:pStyle w:val="ACMABodyText"/>
      </w:pPr>
      <w:r>
        <w:t xml:space="preserve">This </w:t>
      </w:r>
      <w:r w:rsidR="00D930AE">
        <w:t>D</w:t>
      </w:r>
      <w:r>
        <w:t xml:space="preserve">ivision outlines procedures for determining final payment amounts, the conditions of payment, and the issue of refunds. The </w:t>
      </w:r>
      <w:r w:rsidR="00D930AE">
        <w:t>D</w:t>
      </w:r>
      <w:r>
        <w:t xml:space="preserve">ivision also details the </w:t>
      </w:r>
      <w:r w:rsidR="005E3A6D">
        <w:t>timing</w:t>
      </w:r>
      <w:r>
        <w:t xml:space="preserve"> for issuing of</w:t>
      </w:r>
      <w:r w:rsidR="00D930AE">
        <w:t xml:space="preserve"> spectrum</w:t>
      </w:r>
      <w:r>
        <w:t xml:space="preserve"> licences, when licences will commence, and the publication of auction results. </w:t>
      </w:r>
    </w:p>
    <w:p w14:paraId="2EDB4116" w14:textId="77777777" w:rsidR="00603AB1" w:rsidRDefault="00603AB1" w:rsidP="00172817">
      <w:pPr>
        <w:pStyle w:val="ACMABodyText"/>
        <w:rPr>
          <w:b/>
        </w:rPr>
      </w:pPr>
      <w:r>
        <w:rPr>
          <w:b/>
        </w:rPr>
        <w:t xml:space="preserve">Section </w:t>
      </w:r>
      <w:r w:rsidR="004B5788">
        <w:rPr>
          <w:b/>
        </w:rPr>
        <w:t>7</w:t>
      </w:r>
      <w:r>
        <w:rPr>
          <w:b/>
        </w:rPr>
        <w:t>.6</w:t>
      </w:r>
      <w:r>
        <w:rPr>
          <w:b/>
        </w:rPr>
        <w:tab/>
        <w:t xml:space="preserve">Balance of winning price </w:t>
      </w:r>
    </w:p>
    <w:p w14:paraId="619B2787" w14:textId="191E3481" w:rsidR="00B739F2" w:rsidRPr="004659EE" w:rsidRDefault="00603AB1" w:rsidP="00B739F2">
      <w:pPr>
        <w:pStyle w:val="ACMABodyText"/>
      </w:pPr>
      <w:r w:rsidRPr="001E23B0">
        <w:t xml:space="preserve">This section </w:t>
      </w:r>
      <w:r w:rsidRPr="001E23B0">
        <w:rPr>
          <w:lang w:val="en-US"/>
        </w:rPr>
        <w:t xml:space="preserve">describes how the balance of the winning price will be calculated for each winning bidder. After the auction, the ACMA will total the </w:t>
      </w:r>
      <w:r w:rsidR="00760A87" w:rsidRPr="001E23B0">
        <w:rPr>
          <w:lang w:val="en-US"/>
        </w:rPr>
        <w:t>highest final bids made</w:t>
      </w:r>
      <w:r w:rsidRPr="001E23B0">
        <w:rPr>
          <w:lang w:val="en-US"/>
        </w:rPr>
        <w:t xml:space="preserve"> by the winning bidder and </w:t>
      </w:r>
      <w:r w:rsidR="00760A87" w:rsidRPr="001E23B0">
        <w:rPr>
          <w:lang w:val="en-US"/>
        </w:rPr>
        <w:t xml:space="preserve">the total of </w:t>
      </w:r>
      <w:r w:rsidRPr="001E23B0">
        <w:rPr>
          <w:lang w:val="en-US"/>
        </w:rPr>
        <w:t xml:space="preserve">any </w:t>
      </w:r>
      <w:r w:rsidR="00760A87" w:rsidRPr="001E23B0">
        <w:rPr>
          <w:lang w:val="en-US"/>
        </w:rPr>
        <w:t xml:space="preserve">bid withdrawal penalties imposed on the bidder and </w:t>
      </w:r>
      <w:r w:rsidR="001E23B0" w:rsidRPr="001E23B0">
        <w:rPr>
          <w:lang w:val="en-US"/>
        </w:rPr>
        <w:t>then</w:t>
      </w:r>
      <w:r w:rsidR="00760A87" w:rsidRPr="001E23B0">
        <w:rPr>
          <w:lang w:val="en-US"/>
        </w:rPr>
        <w:t xml:space="preserve"> deduct the </w:t>
      </w:r>
      <w:r w:rsidRPr="001E23B0">
        <w:rPr>
          <w:lang w:val="en-US"/>
        </w:rPr>
        <w:t>eligibility payment</w:t>
      </w:r>
      <w:r w:rsidR="002250B5">
        <w:rPr>
          <w:lang w:val="en-US"/>
        </w:rPr>
        <w:t xml:space="preserve"> that</w:t>
      </w:r>
      <w:r w:rsidRPr="001E23B0">
        <w:rPr>
          <w:lang w:val="en-US"/>
        </w:rPr>
        <w:t xml:space="preserve"> the bidder has paid. The </w:t>
      </w:r>
      <w:r w:rsidR="00F07703">
        <w:rPr>
          <w:lang w:val="en-US"/>
        </w:rPr>
        <w:t>result of</w:t>
      </w:r>
      <w:r w:rsidRPr="001E23B0">
        <w:rPr>
          <w:lang w:val="en-US"/>
        </w:rPr>
        <w:t xml:space="preserve"> this </w:t>
      </w:r>
      <w:r w:rsidR="00805134" w:rsidRPr="001E23B0">
        <w:rPr>
          <w:lang w:val="en-US"/>
        </w:rPr>
        <w:t xml:space="preserve">calculation </w:t>
      </w:r>
      <w:r w:rsidRPr="001E23B0">
        <w:rPr>
          <w:lang w:val="en-US"/>
        </w:rPr>
        <w:t>will be the balance of the winning price payable by the bidder.</w:t>
      </w:r>
      <w:r w:rsidR="00B739F2">
        <w:rPr>
          <w:lang w:val="en-US"/>
        </w:rPr>
        <w:t xml:space="preserve"> </w:t>
      </w:r>
    </w:p>
    <w:p w14:paraId="7B527214" w14:textId="77777777" w:rsidR="00603AB1" w:rsidRPr="001E23B0" w:rsidRDefault="00603AB1">
      <w:pPr>
        <w:pStyle w:val="ACMABodyText"/>
        <w:ind w:left="1440" w:hanging="1440"/>
        <w:rPr>
          <w:b/>
        </w:rPr>
      </w:pPr>
      <w:r w:rsidRPr="001E23B0">
        <w:rPr>
          <w:b/>
        </w:rPr>
        <w:t xml:space="preserve">Section </w:t>
      </w:r>
      <w:r w:rsidR="004B5788" w:rsidRPr="001E23B0">
        <w:rPr>
          <w:b/>
        </w:rPr>
        <w:t>7</w:t>
      </w:r>
      <w:r w:rsidRPr="001E23B0">
        <w:rPr>
          <w:b/>
        </w:rPr>
        <w:t>.7</w:t>
      </w:r>
      <w:r w:rsidRPr="001E23B0">
        <w:rPr>
          <w:b/>
        </w:rPr>
        <w:tab/>
        <w:t xml:space="preserve">Sufficient eligibility payment—issue of </w:t>
      </w:r>
      <w:r w:rsidR="005E3A6D">
        <w:rPr>
          <w:b/>
        </w:rPr>
        <w:t xml:space="preserve">spectrum </w:t>
      </w:r>
      <w:r w:rsidRPr="001E23B0">
        <w:rPr>
          <w:b/>
        </w:rPr>
        <w:t>licence without further payment</w:t>
      </w:r>
    </w:p>
    <w:p w14:paraId="24EF53F7" w14:textId="40B06DA2" w:rsidR="00E062DE" w:rsidRPr="001E23B0" w:rsidRDefault="00603AB1" w:rsidP="00172817">
      <w:pPr>
        <w:pStyle w:val="ACMABodyText"/>
      </w:pPr>
      <w:r w:rsidRPr="001E23B0">
        <w:t>This section outlines refund</w:t>
      </w:r>
      <w:r w:rsidR="005E3A6D">
        <w:t>s</w:t>
      </w:r>
      <w:r w:rsidRPr="001E23B0">
        <w:t xml:space="preserve"> and </w:t>
      </w:r>
      <w:r w:rsidR="00F07703">
        <w:t xml:space="preserve">the </w:t>
      </w:r>
      <w:r w:rsidR="005E3A6D">
        <w:t xml:space="preserve">entitlement to be issued spectrum </w:t>
      </w:r>
      <w:r w:rsidRPr="001E23B0">
        <w:t>licence</w:t>
      </w:r>
      <w:r w:rsidR="005E3A6D">
        <w:t>s</w:t>
      </w:r>
      <w:r w:rsidRPr="001E23B0">
        <w:t xml:space="preserve"> where the</w:t>
      </w:r>
      <w:r w:rsidR="004B5788" w:rsidRPr="001E23B0">
        <w:t xml:space="preserve"> </w:t>
      </w:r>
      <w:r w:rsidR="005E3A6D">
        <w:t xml:space="preserve">balance of the </w:t>
      </w:r>
      <w:r w:rsidR="00047024">
        <w:t xml:space="preserve">winning price as worked out under section 7.6 </w:t>
      </w:r>
      <w:r w:rsidRPr="001E23B0">
        <w:t xml:space="preserve">is less than </w:t>
      </w:r>
      <w:r w:rsidR="00E062DE" w:rsidRPr="001E23B0">
        <w:t>zero</w:t>
      </w:r>
      <w:r w:rsidRPr="001E23B0">
        <w:t xml:space="preserve">. </w:t>
      </w:r>
    </w:p>
    <w:p w14:paraId="0C74F763" w14:textId="77777777" w:rsidR="00603AB1" w:rsidRPr="001E23B0" w:rsidRDefault="00E062DE" w:rsidP="00172817">
      <w:pPr>
        <w:pStyle w:val="ACMABodyText"/>
      </w:pPr>
      <w:r w:rsidRPr="001E23B0">
        <w:t xml:space="preserve">If the balance of the winning price is less than zero, the ACMA </w:t>
      </w:r>
      <w:r w:rsidR="008049C5" w:rsidRPr="001E23B0">
        <w:t xml:space="preserve">must refund </w:t>
      </w:r>
      <w:r w:rsidR="005E3A6D">
        <w:t xml:space="preserve">that part of </w:t>
      </w:r>
      <w:r w:rsidR="008049C5" w:rsidRPr="001E23B0">
        <w:t xml:space="preserve">the eligibility payment </w:t>
      </w:r>
      <w:r w:rsidR="005E3A6D">
        <w:t xml:space="preserve">that is </w:t>
      </w:r>
      <w:r w:rsidR="008049C5" w:rsidRPr="001E23B0">
        <w:t>in excess of the total of the highest final bids for lots won by the bidder at auction</w:t>
      </w:r>
      <w:r w:rsidR="001E23B0" w:rsidRPr="001E23B0">
        <w:t xml:space="preserve"> plus t</w:t>
      </w:r>
      <w:r w:rsidR="008049C5" w:rsidRPr="001E23B0">
        <w:t xml:space="preserve">he total of </w:t>
      </w:r>
      <w:r w:rsidR="005E3A6D">
        <w:t xml:space="preserve">the </w:t>
      </w:r>
      <w:r w:rsidR="008049C5" w:rsidRPr="001E23B0">
        <w:t xml:space="preserve">bid withdrawal penalties </w:t>
      </w:r>
      <w:r w:rsidR="005E3A6D">
        <w:t xml:space="preserve">that </w:t>
      </w:r>
      <w:r w:rsidR="008049C5" w:rsidRPr="001E23B0">
        <w:t xml:space="preserve">bidders </w:t>
      </w:r>
      <w:r w:rsidR="005E3A6D">
        <w:t xml:space="preserve">have </w:t>
      </w:r>
      <w:r w:rsidR="008049C5" w:rsidRPr="001E23B0">
        <w:t xml:space="preserve">incurred. The bidder is entitled to be issued a spectrum licence for each part of </w:t>
      </w:r>
      <w:r w:rsidR="005E3A6D">
        <w:t xml:space="preserve">the </w:t>
      </w:r>
      <w:r w:rsidR="008049C5" w:rsidRPr="001E23B0">
        <w:t>spectrum allocated to the bidder without further payment.</w:t>
      </w:r>
    </w:p>
    <w:p w14:paraId="7E433D78" w14:textId="77777777" w:rsidR="00603AB1" w:rsidRPr="004F21F4" w:rsidRDefault="00603AB1" w:rsidP="00432524">
      <w:pPr>
        <w:pStyle w:val="ACMABodyText"/>
      </w:pPr>
      <w:r w:rsidRPr="001E23B0">
        <w:t xml:space="preserve">If the </w:t>
      </w:r>
      <w:r w:rsidR="008049C5" w:rsidRPr="001E23B0">
        <w:t>balance of the winning price for any winning bidder is equal to zero</w:t>
      </w:r>
      <w:r w:rsidR="00432524" w:rsidRPr="001E23B0">
        <w:t xml:space="preserve">, the bidder is </w:t>
      </w:r>
      <w:r w:rsidR="005E3A6D">
        <w:t xml:space="preserve">also </w:t>
      </w:r>
      <w:r w:rsidR="00432524" w:rsidRPr="001E23B0">
        <w:t xml:space="preserve">entitled to be issued a spectrum licence for each part of </w:t>
      </w:r>
      <w:r w:rsidR="005E3A6D">
        <w:t xml:space="preserve">the </w:t>
      </w:r>
      <w:r w:rsidR="00432524" w:rsidRPr="001E23B0">
        <w:t>spectrum allocated to the bidder without further payment.</w:t>
      </w:r>
      <w:r w:rsidR="00432524">
        <w:rPr>
          <w:lang w:val="en-US"/>
        </w:rPr>
        <w:t xml:space="preserve"> </w:t>
      </w:r>
    </w:p>
    <w:p w14:paraId="749A20BF" w14:textId="77777777" w:rsidR="00603AB1" w:rsidRDefault="00603AB1" w:rsidP="00F13105">
      <w:pPr>
        <w:pStyle w:val="ACMABodyText"/>
        <w:keepNext/>
        <w:rPr>
          <w:b/>
        </w:rPr>
      </w:pPr>
      <w:r>
        <w:rPr>
          <w:b/>
        </w:rPr>
        <w:t>Section</w:t>
      </w:r>
      <w:r w:rsidR="000420C7">
        <w:rPr>
          <w:b/>
        </w:rPr>
        <w:t xml:space="preserve"> 7</w:t>
      </w:r>
      <w:r>
        <w:rPr>
          <w:b/>
        </w:rPr>
        <w:t>.8</w:t>
      </w:r>
      <w:r>
        <w:rPr>
          <w:b/>
        </w:rPr>
        <w:tab/>
        <w:t>Payment of balance of winning price</w:t>
      </w:r>
    </w:p>
    <w:p w14:paraId="57E73ED7" w14:textId="4B6AA7EF" w:rsidR="00603AB1" w:rsidRPr="00534D9C" w:rsidRDefault="00603AB1" w:rsidP="00172817">
      <w:pPr>
        <w:pStyle w:val="ACMABodyText"/>
        <w:rPr>
          <w:lang w:val="en-US"/>
        </w:rPr>
      </w:pPr>
      <w:r w:rsidRPr="00534D9C">
        <w:rPr>
          <w:lang w:val="en-US"/>
        </w:rPr>
        <w:t xml:space="preserve">This section sets out the arrangements for notifying </w:t>
      </w:r>
      <w:r>
        <w:rPr>
          <w:lang w:val="en-US"/>
        </w:rPr>
        <w:t>winning bidders</w:t>
      </w:r>
      <w:r w:rsidRPr="00534D9C">
        <w:rPr>
          <w:lang w:val="en-US"/>
        </w:rPr>
        <w:t xml:space="preserve"> of the balance of the </w:t>
      </w:r>
      <w:r>
        <w:rPr>
          <w:lang w:val="en-US"/>
        </w:rPr>
        <w:t xml:space="preserve">winning price, where the amount is </w:t>
      </w:r>
      <w:r w:rsidR="002250B5">
        <w:rPr>
          <w:lang w:val="en-US"/>
        </w:rPr>
        <w:t xml:space="preserve">greater than zero (i.e. </w:t>
      </w:r>
      <w:r>
        <w:rPr>
          <w:lang w:val="en-US"/>
        </w:rPr>
        <w:t>more than the bidder’s eligibility payment</w:t>
      </w:r>
      <w:r w:rsidR="002250B5">
        <w:rPr>
          <w:lang w:val="en-US"/>
        </w:rPr>
        <w:t>, if one was made)</w:t>
      </w:r>
      <w:r>
        <w:rPr>
          <w:lang w:val="en-US"/>
        </w:rPr>
        <w:t xml:space="preserve">. It also </w:t>
      </w:r>
      <w:r w:rsidR="005E3A6D">
        <w:rPr>
          <w:lang w:val="en-US"/>
        </w:rPr>
        <w:t>sets out</w:t>
      </w:r>
      <w:r w:rsidRPr="00534D9C">
        <w:rPr>
          <w:lang w:val="en-US"/>
        </w:rPr>
        <w:t xml:space="preserve"> the timing </w:t>
      </w:r>
      <w:r>
        <w:rPr>
          <w:lang w:val="en-US"/>
        </w:rPr>
        <w:t>by</w:t>
      </w:r>
      <w:r w:rsidRPr="00534D9C">
        <w:rPr>
          <w:lang w:val="en-US"/>
        </w:rPr>
        <w:t xml:space="preserve"> which th</w:t>
      </w:r>
      <w:r w:rsidR="002250B5">
        <w:rPr>
          <w:lang w:val="en-US"/>
        </w:rPr>
        <w:t>e balance of the win</w:t>
      </w:r>
      <w:r w:rsidR="00F07703">
        <w:rPr>
          <w:lang w:val="en-US"/>
        </w:rPr>
        <w:t>n</w:t>
      </w:r>
      <w:r w:rsidR="002250B5">
        <w:rPr>
          <w:lang w:val="en-US"/>
        </w:rPr>
        <w:t>ing price</w:t>
      </w:r>
      <w:r w:rsidRPr="00534D9C">
        <w:rPr>
          <w:lang w:val="en-US"/>
        </w:rPr>
        <w:t xml:space="preserve"> must be </w:t>
      </w:r>
      <w:r w:rsidR="002250B5">
        <w:rPr>
          <w:lang w:val="en-US"/>
        </w:rPr>
        <w:t>paid</w:t>
      </w:r>
      <w:r w:rsidRPr="00534D9C">
        <w:rPr>
          <w:lang w:val="en-US"/>
        </w:rPr>
        <w:t>.</w:t>
      </w:r>
    </w:p>
    <w:p w14:paraId="5D6296E5" w14:textId="77777777" w:rsidR="00603AB1" w:rsidRPr="00534D9C" w:rsidRDefault="00603AB1" w:rsidP="00172817">
      <w:pPr>
        <w:pStyle w:val="ACMABodyText"/>
      </w:pPr>
      <w:r>
        <w:rPr>
          <w:lang w:val="en-US"/>
        </w:rPr>
        <w:t xml:space="preserve">If the </w:t>
      </w:r>
      <w:r w:rsidRPr="00534D9C">
        <w:rPr>
          <w:lang w:val="en-US"/>
        </w:rPr>
        <w:t xml:space="preserve">balance of the </w:t>
      </w:r>
      <w:r>
        <w:rPr>
          <w:lang w:val="en-US"/>
        </w:rPr>
        <w:t>winning price</w:t>
      </w:r>
      <w:r w:rsidRPr="00534D9C">
        <w:rPr>
          <w:lang w:val="en-US"/>
        </w:rPr>
        <w:t xml:space="preserve"> </w:t>
      </w:r>
      <w:r>
        <w:rPr>
          <w:lang w:val="en-US"/>
        </w:rPr>
        <w:t xml:space="preserve">that </w:t>
      </w:r>
      <w:r w:rsidRPr="00534D9C">
        <w:rPr>
          <w:lang w:val="en-US"/>
        </w:rPr>
        <w:t xml:space="preserve">has been calculated under section </w:t>
      </w:r>
      <w:r w:rsidR="00C52D7F" w:rsidRPr="007371DF">
        <w:rPr>
          <w:lang w:val="en-US"/>
        </w:rPr>
        <w:t>7</w:t>
      </w:r>
      <w:r w:rsidRPr="007371DF">
        <w:rPr>
          <w:lang w:val="en-US"/>
        </w:rPr>
        <w:t>.6</w:t>
      </w:r>
      <w:r>
        <w:rPr>
          <w:lang w:val="en-US"/>
        </w:rPr>
        <w:t xml:space="preserve"> is greater than zero,</w:t>
      </w:r>
      <w:r w:rsidRPr="00534D9C">
        <w:rPr>
          <w:lang w:val="en-US"/>
        </w:rPr>
        <w:t xml:space="preserve"> the ACMA must notify each </w:t>
      </w:r>
      <w:r>
        <w:rPr>
          <w:lang w:val="en-US"/>
        </w:rPr>
        <w:t>winning bidder</w:t>
      </w:r>
      <w:r w:rsidRPr="00534D9C">
        <w:rPr>
          <w:lang w:val="en-US"/>
        </w:rPr>
        <w:t xml:space="preserve"> by registered mail of the balance owing. Any balance owing must be paid to the ACMA no later than 20 working days after the date</w:t>
      </w:r>
      <w:r w:rsidRPr="00534D9C">
        <w:t xml:space="preserve"> of the notice. </w:t>
      </w:r>
    </w:p>
    <w:p w14:paraId="42CA33D0" w14:textId="4471BBEF" w:rsidR="00B739F2" w:rsidRDefault="00603AB1" w:rsidP="00B739F2">
      <w:pPr>
        <w:pStyle w:val="ACMABodyText"/>
      </w:pPr>
      <w:r w:rsidRPr="00534D9C">
        <w:rPr>
          <w:lang w:val="en-US"/>
        </w:rPr>
        <w:lastRenderedPageBreak/>
        <w:t xml:space="preserve">Where the ACMA gives a revised notice to a </w:t>
      </w:r>
      <w:r>
        <w:rPr>
          <w:lang w:val="en-US"/>
        </w:rPr>
        <w:t>winning bidder</w:t>
      </w:r>
      <w:r w:rsidRPr="00534D9C">
        <w:rPr>
          <w:lang w:val="en-US"/>
        </w:rPr>
        <w:t xml:space="preserve"> </w:t>
      </w:r>
      <w:r w:rsidRPr="004D7174">
        <w:rPr>
          <w:i/>
          <w:lang w:val="en-US"/>
        </w:rPr>
        <w:t>on or before</w:t>
      </w:r>
      <w:r w:rsidRPr="00534D9C">
        <w:rPr>
          <w:lang w:val="en-US"/>
        </w:rPr>
        <w:t xml:space="preserve"> the expiry of the 20 working days </w:t>
      </w:r>
      <w:r w:rsidR="00FE7F54">
        <w:rPr>
          <w:lang w:val="en-US"/>
        </w:rPr>
        <w:t xml:space="preserve">after the date of </w:t>
      </w:r>
      <w:r w:rsidRPr="00534D9C">
        <w:rPr>
          <w:lang w:val="en-US"/>
        </w:rPr>
        <w:t xml:space="preserve">the </w:t>
      </w:r>
      <w:r w:rsidR="005E3A6D">
        <w:rPr>
          <w:lang w:val="en-US"/>
        </w:rPr>
        <w:t>original</w:t>
      </w:r>
      <w:r w:rsidRPr="00534D9C">
        <w:rPr>
          <w:lang w:val="en-US"/>
        </w:rPr>
        <w:t xml:space="preserve"> notice, the balance owing will be due no later than </w:t>
      </w:r>
      <w:r w:rsidR="00FE7F54">
        <w:rPr>
          <w:lang w:val="en-US"/>
        </w:rPr>
        <w:t xml:space="preserve">30 </w:t>
      </w:r>
      <w:r w:rsidRPr="00534D9C">
        <w:rPr>
          <w:lang w:val="en-US"/>
        </w:rPr>
        <w:t xml:space="preserve">working days after </w:t>
      </w:r>
      <w:r w:rsidR="00FE7F54">
        <w:rPr>
          <w:lang w:val="en-US"/>
        </w:rPr>
        <w:t>the date of the original notice</w:t>
      </w:r>
      <w:r w:rsidRPr="00534D9C">
        <w:rPr>
          <w:lang w:val="en-US"/>
        </w:rPr>
        <w:t xml:space="preserve">. If the revised notice is provided </w:t>
      </w:r>
      <w:r w:rsidRPr="00534D9C">
        <w:rPr>
          <w:i/>
          <w:lang w:val="en-US"/>
        </w:rPr>
        <w:t>after</w:t>
      </w:r>
      <w:r w:rsidRPr="00534D9C">
        <w:rPr>
          <w:lang w:val="en-US"/>
        </w:rPr>
        <w:t xml:space="preserve"> 20 working days </w:t>
      </w:r>
      <w:r w:rsidR="00FE7F54">
        <w:rPr>
          <w:lang w:val="en-US"/>
        </w:rPr>
        <w:t xml:space="preserve">after the date of </w:t>
      </w:r>
      <w:r w:rsidRPr="00534D9C">
        <w:rPr>
          <w:lang w:val="en-US"/>
        </w:rPr>
        <w:t xml:space="preserve">the </w:t>
      </w:r>
      <w:r w:rsidR="005E3A6D">
        <w:rPr>
          <w:lang w:val="en-US"/>
        </w:rPr>
        <w:t>original</w:t>
      </w:r>
      <w:r w:rsidRPr="00534D9C">
        <w:rPr>
          <w:lang w:val="en-US"/>
        </w:rPr>
        <w:t xml:space="preserve"> notice, the due date for payment will be no later than 10 working days after the date of the revised notice.</w:t>
      </w:r>
      <w:r w:rsidR="00B739F2">
        <w:rPr>
          <w:lang w:val="en-US"/>
        </w:rPr>
        <w:t xml:space="preserve"> </w:t>
      </w:r>
    </w:p>
    <w:p w14:paraId="021FB96B" w14:textId="77777777" w:rsidR="00603AB1" w:rsidRDefault="00603AB1" w:rsidP="00172817">
      <w:pPr>
        <w:pStyle w:val="ACMABodyText"/>
        <w:rPr>
          <w:b/>
        </w:rPr>
      </w:pPr>
      <w:r>
        <w:rPr>
          <w:b/>
        </w:rPr>
        <w:t xml:space="preserve">Section </w:t>
      </w:r>
      <w:r w:rsidR="009A51BF">
        <w:rPr>
          <w:b/>
        </w:rPr>
        <w:t>7</w:t>
      </w:r>
      <w:r>
        <w:rPr>
          <w:b/>
        </w:rPr>
        <w:t>.9</w:t>
      </w:r>
      <w:r>
        <w:rPr>
          <w:b/>
        </w:rPr>
        <w:tab/>
        <w:t xml:space="preserve">Issue of </w:t>
      </w:r>
      <w:r w:rsidR="005E3A6D">
        <w:rPr>
          <w:b/>
        </w:rPr>
        <w:t xml:space="preserve">spectrum </w:t>
      </w:r>
      <w:r>
        <w:rPr>
          <w:b/>
        </w:rPr>
        <w:t>licence after payment of balance of winning price</w:t>
      </w:r>
    </w:p>
    <w:p w14:paraId="1618E07E" w14:textId="0931FA2C" w:rsidR="00603AB1" w:rsidRDefault="00603AB1" w:rsidP="00172817">
      <w:pPr>
        <w:pStyle w:val="ACMABodyText"/>
        <w:rPr>
          <w:lang w:val="en-US"/>
        </w:rPr>
      </w:pPr>
      <w:r w:rsidRPr="00181920">
        <w:t xml:space="preserve">This section </w:t>
      </w:r>
      <w:r>
        <w:rPr>
          <w:lang w:val="en-US"/>
        </w:rPr>
        <w:t>provides that a winning bidder is entitled to be issued a</w:t>
      </w:r>
      <w:r w:rsidR="005E3A6D">
        <w:rPr>
          <w:lang w:val="en-US"/>
        </w:rPr>
        <w:t xml:space="preserve"> spectrum</w:t>
      </w:r>
      <w:r>
        <w:rPr>
          <w:lang w:val="en-US"/>
        </w:rPr>
        <w:t xml:space="preserve"> licence for the spectrum allocated to it </w:t>
      </w:r>
      <w:r w:rsidR="00BF6BE4">
        <w:rPr>
          <w:lang w:val="en-US"/>
        </w:rPr>
        <w:t xml:space="preserve">as a result of </w:t>
      </w:r>
      <w:r>
        <w:rPr>
          <w:lang w:val="en-US"/>
        </w:rPr>
        <w:t xml:space="preserve">the auction process </w:t>
      </w:r>
      <w:r w:rsidR="00F07703">
        <w:rPr>
          <w:lang w:val="en-US"/>
        </w:rPr>
        <w:t>if</w:t>
      </w:r>
      <w:r>
        <w:rPr>
          <w:lang w:val="en-US"/>
        </w:rPr>
        <w:t xml:space="preserve"> the balance of the winning price has been paid by the winning bidder according to the procedure set out in section </w:t>
      </w:r>
      <w:r w:rsidR="009A51BF" w:rsidRPr="007371DF">
        <w:rPr>
          <w:lang w:val="en-US"/>
        </w:rPr>
        <w:t>7</w:t>
      </w:r>
      <w:r w:rsidRPr="007371DF">
        <w:rPr>
          <w:lang w:val="en-US"/>
        </w:rPr>
        <w:t>.8</w:t>
      </w:r>
      <w:r>
        <w:rPr>
          <w:lang w:val="en-US"/>
        </w:rPr>
        <w:t>.</w:t>
      </w:r>
    </w:p>
    <w:p w14:paraId="5368F21B" w14:textId="77777777" w:rsidR="00603AB1" w:rsidRDefault="00603AB1" w:rsidP="00172817">
      <w:pPr>
        <w:pStyle w:val="ACMABodyText"/>
        <w:rPr>
          <w:b/>
        </w:rPr>
      </w:pPr>
      <w:r>
        <w:rPr>
          <w:b/>
        </w:rPr>
        <w:t>Section</w:t>
      </w:r>
      <w:r w:rsidR="000420C7">
        <w:rPr>
          <w:b/>
        </w:rPr>
        <w:t xml:space="preserve"> 7</w:t>
      </w:r>
      <w:r>
        <w:rPr>
          <w:b/>
        </w:rPr>
        <w:t>.10</w:t>
      </w:r>
      <w:r>
        <w:rPr>
          <w:b/>
        </w:rPr>
        <w:tab/>
        <w:t>Publication of auction results</w:t>
      </w:r>
    </w:p>
    <w:p w14:paraId="7C1CC65A" w14:textId="77777777" w:rsidR="00603AB1" w:rsidRPr="005302F1" w:rsidRDefault="00603AB1" w:rsidP="00172817">
      <w:pPr>
        <w:pStyle w:val="ACMABodyText"/>
      </w:pPr>
      <w:r>
        <w:t>The ACMA will release the auction results</w:t>
      </w:r>
      <w:r w:rsidRPr="005302F1">
        <w:t xml:space="preserve"> </w:t>
      </w:r>
      <w:r>
        <w:t xml:space="preserve">to the public. </w:t>
      </w:r>
      <w:r w:rsidRPr="00F21ECB">
        <w:t xml:space="preserve">This section </w:t>
      </w:r>
      <w:r>
        <w:rPr>
          <w:lang w:val="en-US"/>
        </w:rPr>
        <w:t xml:space="preserve">sets out what information the ACMA must announce or publish. The information released will include the names of the winning bidders, the spectrum </w:t>
      </w:r>
      <w:r w:rsidR="005E3A6D">
        <w:rPr>
          <w:lang w:val="en-US"/>
        </w:rPr>
        <w:t>allocated</w:t>
      </w:r>
      <w:r>
        <w:rPr>
          <w:lang w:val="en-US"/>
        </w:rPr>
        <w:t xml:space="preserve"> to each winning bidder, </w:t>
      </w:r>
      <w:r w:rsidR="00432524">
        <w:rPr>
          <w:lang w:val="en-US"/>
        </w:rPr>
        <w:t>the highest final bid for each lot by each winning bidder,</w:t>
      </w:r>
      <w:r w:rsidR="001530CB">
        <w:rPr>
          <w:lang w:val="en-US"/>
        </w:rPr>
        <w:t xml:space="preserve"> the bid withdrawal penalties for each lot imposed on each winning bidder</w:t>
      </w:r>
      <w:r w:rsidR="00BF6BE4">
        <w:rPr>
          <w:lang w:val="en-US"/>
        </w:rPr>
        <w:t>,</w:t>
      </w:r>
      <w:r w:rsidR="001530CB">
        <w:rPr>
          <w:lang w:val="en-US"/>
        </w:rPr>
        <w:t xml:space="preserve"> </w:t>
      </w:r>
      <w:r>
        <w:rPr>
          <w:lang w:val="en-US"/>
        </w:rPr>
        <w:t xml:space="preserve">and the </w:t>
      </w:r>
      <w:r w:rsidR="00D33C40">
        <w:rPr>
          <w:lang w:val="en-US"/>
        </w:rPr>
        <w:t xml:space="preserve">total final sum </w:t>
      </w:r>
      <w:r w:rsidR="00FE7F54">
        <w:rPr>
          <w:lang w:val="en-US"/>
        </w:rPr>
        <w:t xml:space="preserve">paid or </w:t>
      </w:r>
      <w:r w:rsidR="00D33C40">
        <w:rPr>
          <w:lang w:val="en-US"/>
        </w:rPr>
        <w:t xml:space="preserve">to </w:t>
      </w:r>
      <w:r>
        <w:rPr>
          <w:lang w:val="en-US"/>
        </w:rPr>
        <w:t>be paid by each winning bidder.</w:t>
      </w:r>
    </w:p>
    <w:p w14:paraId="76F27503" w14:textId="77777777" w:rsidR="00603AB1" w:rsidRPr="00126CB3" w:rsidRDefault="00603AB1" w:rsidP="00AB1DAC">
      <w:pPr>
        <w:pStyle w:val="Partheadinglevel"/>
      </w:pPr>
      <w:r w:rsidRPr="00181920">
        <w:t xml:space="preserve">Part </w:t>
      </w:r>
      <w:r w:rsidR="00D33C40">
        <w:t>8</w:t>
      </w:r>
      <w:r w:rsidRPr="00181920">
        <w:tab/>
        <w:t>Miscellaneous</w:t>
      </w:r>
    </w:p>
    <w:p w14:paraId="4E7FD9EB" w14:textId="3FF9845A" w:rsidR="00603AB1" w:rsidRDefault="00603AB1" w:rsidP="00AB1DAC">
      <w:pPr>
        <w:pStyle w:val="ACMABodyText"/>
      </w:pPr>
      <w:r>
        <w:t xml:space="preserve">This Part describes various miscellaneous matters that apply to the </w:t>
      </w:r>
      <w:r w:rsidR="00FE7F54">
        <w:t xml:space="preserve">allocation by </w:t>
      </w:r>
      <w:r>
        <w:t xml:space="preserve">auction </w:t>
      </w:r>
      <w:r w:rsidR="00FE7F54">
        <w:t>or pre</w:t>
      </w:r>
      <w:r w:rsidR="00D836F6">
        <w:t>-</w:t>
      </w:r>
      <w:r w:rsidR="00FE7F54">
        <w:t xml:space="preserve">determined price </w:t>
      </w:r>
      <w:r>
        <w:t>process,</w:t>
      </w:r>
      <w:r w:rsidRPr="00BD107D">
        <w:t xml:space="preserve"> </w:t>
      </w:r>
      <w:r>
        <w:t>including the treatment of unallocated spectrum, enforcement procedures, and</w:t>
      </w:r>
      <w:r w:rsidR="00F07703">
        <w:t xml:space="preserve"> a right for the ACCC to request certain information about the allocation process.</w:t>
      </w:r>
      <w:r>
        <w:t xml:space="preserve"> </w:t>
      </w:r>
    </w:p>
    <w:p w14:paraId="19D7E085" w14:textId="77777777" w:rsidR="00603AB1" w:rsidRPr="00181920" w:rsidRDefault="00603AB1" w:rsidP="00AB1DAC">
      <w:pPr>
        <w:pStyle w:val="ACMABodyText"/>
      </w:pPr>
      <w:r>
        <w:t>It also sets out information that the ACMA may obtain from applicants and bidders, as well as the treatment of information provided to the ACMA by applicants and bidders.</w:t>
      </w:r>
    </w:p>
    <w:p w14:paraId="09CD011F" w14:textId="77777777" w:rsidR="00603AB1" w:rsidRPr="00181920" w:rsidRDefault="00603AB1" w:rsidP="00AB1DAC">
      <w:pPr>
        <w:pStyle w:val="ACMAHeading3"/>
      </w:pPr>
      <w:r w:rsidRPr="00181920">
        <w:t xml:space="preserve">Section </w:t>
      </w:r>
      <w:r w:rsidR="000420C7">
        <w:t>8</w:t>
      </w:r>
      <w:r w:rsidRPr="00181920">
        <w:t>.1</w:t>
      </w:r>
      <w:r w:rsidRPr="00181920">
        <w:tab/>
        <w:t xml:space="preserve">Unallocated </w:t>
      </w:r>
      <w:r>
        <w:t>spectrum</w:t>
      </w:r>
    </w:p>
    <w:p w14:paraId="18B0BB96" w14:textId="77777777" w:rsidR="00603AB1" w:rsidRDefault="00603AB1" w:rsidP="00AB1DAC">
      <w:pPr>
        <w:pStyle w:val="ACMABodyText"/>
      </w:pPr>
      <w:r>
        <w:t xml:space="preserve">There </w:t>
      </w:r>
      <w:r w:rsidR="000A7238">
        <w:t>may be</w:t>
      </w:r>
      <w:r>
        <w:t xml:space="preserve"> circumstances</w:t>
      </w:r>
      <w:r w:rsidR="00D836F6">
        <w:t xml:space="preserve"> </w:t>
      </w:r>
      <w:r>
        <w:t>in which spectrum lots offered at auction are</w:t>
      </w:r>
      <w:r w:rsidR="000A7238">
        <w:t xml:space="preserve"> not </w:t>
      </w:r>
      <w:r>
        <w:t xml:space="preserve">allocated.  For example, unallocated lots could arise where a winning bidder does not pay the balance of the winning price in accordance with section </w:t>
      </w:r>
      <w:r w:rsidR="00660919">
        <w:t>7</w:t>
      </w:r>
      <w:r>
        <w:t xml:space="preserve">.8, or where the ACMA is satisfied that </w:t>
      </w:r>
      <w:r w:rsidR="00697B04">
        <w:t>2</w:t>
      </w:r>
      <w:r>
        <w:t xml:space="preserve"> or more winning bidders are affiliated and the spectrum won at auction by the affiliated winning bidders exceed</w:t>
      </w:r>
      <w:r w:rsidR="00D836F6">
        <w:t>s</w:t>
      </w:r>
      <w:r>
        <w:t xml:space="preserve"> the allocation limits.</w:t>
      </w:r>
    </w:p>
    <w:p w14:paraId="4F191B3E" w14:textId="77777777" w:rsidR="00603AB1" w:rsidRDefault="00603AB1" w:rsidP="00AB1DAC">
      <w:pPr>
        <w:pStyle w:val="ACMABodyText"/>
        <w:rPr>
          <w:bCs/>
        </w:rPr>
      </w:pPr>
      <w:r w:rsidRPr="008C2C69">
        <w:t xml:space="preserve">This section </w:t>
      </w:r>
      <w:r>
        <w:rPr>
          <w:lang w:val="en-US"/>
        </w:rPr>
        <w:t>provides that</w:t>
      </w:r>
      <w:r w:rsidRPr="008C2C69">
        <w:rPr>
          <w:lang w:val="en-US"/>
        </w:rPr>
        <w:t xml:space="preserve"> </w:t>
      </w:r>
      <w:r>
        <w:rPr>
          <w:lang w:val="en-US"/>
        </w:rPr>
        <w:t xml:space="preserve">any parts of the spectrum that are offered at the auction </w:t>
      </w:r>
      <w:r w:rsidR="00766E38">
        <w:rPr>
          <w:lang w:val="en-US"/>
        </w:rPr>
        <w:t xml:space="preserve">or for a pre-determined price </w:t>
      </w:r>
      <w:r>
        <w:rPr>
          <w:lang w:val="en-US"/>
        </w:rPr>
        <w:t xml:space="preserve">but are not allocated may be allocated at a later date by the ACMA via </w:t>
      </w:r>
      <w:r>
        <w:rPr>
          <w:bCs/>
        </w:rPr>
        <w:t xml:space="preserve">procedures determined by the ACMA. The note to this section </w:t>
      </w:r>
      <w:r w:rsidR="00766E38">
        <w:rPr>
          <w:bCs/>
        </w:rPr>
        <w:t xml:space="preserve">explains </w:t>
      </w:r>
      <w:r>
        <w:rPr>
          <w:bCs/>
        </w:rPr>
        <w:t xml:space="preserve">that the ACMA is able to make determinations regarding allocation procedures under section 60 of the Act. </w:t>
      </w:r>
    </w:p>
    <w:p w14:paraId="11370ABE" w14:textId="77777777" w:rsidR="00603AB1" w:rsidRDefault="00603AB1" w:rsidP="00AB1DAC">
      <w:pPr>
        <w:pStyle w:val="ACMABodyText"/>
        <w:rPr>
          <w:b/>
          <w:lang w:val="en-US"/>
        </w:rPr>
      </w:pPr>
      <w:r>
        <w:rPr>
          <w:b/>
          <w:lang w:val="en-US"/>
        </w:rPr>
        <w:t>Section</w:t>
      </w:r>
      <w:r w:rsidR="000420C7">
        <w:rPr>
          <w:b/>
          <w:lang w:val="en-US"/>
        </w:rPr>
        <w:t xml:space="preserve"> 8</w:t>
      </w:r>
      <w:r>
        <w:rPr>
          <w:b/>
          <w:lang w:val="en-US"/>
        </w:rPr>
        <w:t>.2</w:t>
      </w:r>
      <w:r w:rsidRPr="00CA3C02">
        <w:rPr>
          <w:b/>
          <w:lang w:val="en-US"/>
        </w:rPr>
        <w:tab/>
      </w:r>
      <w:r>
        <w:rPr>
          <w:b/>
          <w:lang w:val="en-US"/>
        </w:rPr>
        <w:t xml:space="preserve">    </w:t>
      </w:r>
      <w:r w:rsidRPr="00CA3C02">
        <w:rPr>
          <w:b/>
          <w:lang w:val="en-US"/>
        </w:rPr>
        <w:t>Bidders must not misuse auction system</w:t>
      </w:r>
    </w:p>
    <w:p w14:paraId="07A3E01C" w14:textId="77777777" w:rsidR="00603AB1" w:rsidRPr="000C5646" w:rsidRDefault="00603AB1" w:rsidP="00AB1DAC">
      <w:pPr>
        <w:pStyle w:val="ACMABodyText"/>
        <w:rPr>
          <w:bCs/>
        </w:rPr>
      </w:pPr>
      <w:r>
        <w:rPr>
          <w:bCs/>
        </w:rPr>
        <w:t xml:space="preserve">This section provides that a bidder must only access and use the auction system using the information provided by the ACMA under section </w:t>
      </w:r>
      <w:r w:rsidR="00596367" w:rsidRPr="007371DF">
        <w:rPr>
          <w:bCs/>
        </w:rPr>
        <w:t>6.2</w:t>
      </w:r>
      <w:r w:rsidRPr="007371DF">
        <w:rPr>
          <w:bCs/>
        </w:rPr>
        <w:t>,</w:t>
      </w:r>
      <w:r>
        <w:rPr>
          <w:bCs/>
        </w:rPr>
        <w:t xml:space="preserve"> which requires the ACMA to give the bidder certain information once they are registered to participate in the auction. A bidder must not attempt to interfere</w:t>
      </w:r>
      <w:r w:rsidR="00766E38">
        <w:rPr>
          <w:bCs/>
        </w:rPr>
        <w:t xml:space="preserve"> with, disrupt or damage</w:t>
      </w:r>
      <w:r>
        <w:rPr>
          <w:bCs/>
        </w:rPr>
        <w:t xml:space="preserve"> the auction system, or use it to breach a law of the Commonwealth.</w:t>
      </w:r>
    </w:p>
    <w:p w14:paraId="34D957C8" w14:textId="77777777" w:rsidR="00603AB1" w:rsidRPr="00181920" w:rsidRDefault="00603AB1" w:rsidP="00AB1DAC">
      <w:pPr>
        <w:pStyle w:val="ACMAHeading3"/>
      </w:pPr>
      <w:r w:rsidRPr="00181920">
        <w:t xml:space="preserve">Section </w:t>
      </w:r>
      <w:r w:rsidR="000420C7">
        <w:t>8</w:t>
      </w:r>
      <w:r w:rsidRPr="00181920">
        <w:t>.</w:t>
      </w:r>
      <w:r>
        <w:t>3</w:t>
      </w:r>
      <w:r w:rsidRPr="00181920">
        <w:tab/>
        <w:t>ACMA may obtain information from applicants</w:t>
      </w:r>
      <w:r>
        <w:t xml:space="preserve"> and bidders</w:t>
      </w:r>
    </w:p>
    <w:p w14:paraId="110963AF" w14:textId="77777777" w:rsidR="00603AB1" w:rsidRDefault="00603AB1" w:rsidP="00AB1DAC">
      <w:pPr>
        <w:pStyle w:val="ACMABodyText"/>
        <w:rPr>
          <w:lang w:val="en-US"/>
        </w:rPr>
      </w:pPr>
      <w:r>
        <w:rPr>
          <w:lang w:val="en-US"/>
        </w:rPr>
        <w:t xml:space="preserve">The ACMA may wish to obtain information or documents from an applicant </w:t>
      </w:r>
      <w:r w:rsidR="00D836F6">
        <w:rPr>
          <w:lang w:val="en-US"/>
        </w:rPr>
        <w:t xml:space="preserve">or an applicant who becomes a bidder </w:t>
      </w:r>
      <w:r>
        <w:rPr>
          <w:lang w:val="en-US"/>
        </w:rPr>
        <w:t xml:space="preserve">for a number of reasons, including for the purposes of determining whether any contravention of the Determination has occurred.  </w:t>
      </w:r>
    </w:p>
    <w:p w14:paraId="3041E3C0" w14:textId="77777777" w:rsidR="00603AB1" w:rsidRDefault="00603AB1" w:rsidP="00AB1DAC">
      <w:pPr>
        <w:pStyle w:val="ACMABodyText"/>
        <w:rPr>
          <w:lang w:val="en-US"/>
        </w:rPr>
      </w:pPr>
      <w:r w:rsidRPr="00181920">
        <w:t xml:space="preserve">This section </w:t>
      </w:r>
      <w:r>
        <w:rPr>
          <w:lang w:val="en-US"/>
        </w:rPr>
        <w:t xml:space="preserve">sets out </w:t>
      </w:r>
      <w:r w:rsidR="00766E38">
        <w:rPr>
          <w:lang w:val="en-US"/>
        </w:rPr>
        <w:t xml:space="preserve">that the </w:t>
      </w:r>
      <w:r>
        <w:rPr>
          <w:lang w:val="en-US"/>
        </w:rPr>
        <w:t>ACMA may require an applicant or a bidder to provide information or documents</w:t>
      </w:r>
      <w:r w:rsidR="00766E38">
        <w:rPr>
          <w:lang w:val="en-US"/>
        </w:rPr>
        <w:t xml:space="preserve"> by giving </w:t>
      </w:r>
      <w:r w:rsidR="00721B60">
        <w:rPr>
          <w:lang w:val="en-US"/>
        </w:rPr>
        <w:t>an applicant or bidder</w:t>
      </w:r>
      <w:r w:rsidR="00766E38">
        <w:rPr>
          <w:lang w:val="en-US"/>
        </w:rPr>
        <w:t xml:space="preserve"> a written notice</w:t>
      </w:r>
      <w:r>
        <w:rPr>
          <w:lang w:val="en-US"/>
        </w:rPr>
        <w:t xml:space="preserve">. </w:t>
      </w:r>
    </w:p>
    <w:p w14:paraId="6ACB18E9" w14:textId="35456E90" w:rsidR="00603AB1" w:rsidRDefault="00603AB1" w:rsidP="00AB1DAC">
      <w:pPr>
        <w:pStyle w:val="ACMABodyText"/>
        <w:rPr>
          <w:lang w:val="en-US"/>
        </w:rPr>
      </w:pPr>
      <w:r>
        <w:rPr>
          <w:lang w:val="en-US"/>
        </w:rPr>
        <w:lastRenderedPageBreak/>
        <w:t xml:space="preserve">This section also makes provision for the ACMA to vary a notice previously provided to an applicant or bidder under this section, for example by widening </w:t>
      </w:r>
      <w:r w:rsidR="00F07703">
        <w:rPr>
          <w:lang w:val="en-US"/>
        </w:rPr>
        <w:t xml:space="preserve">or narrowing </w:t>
      </w:r>
      <w:r>
        <w:rPr>
          <w:lang w:val="en-US"/>
        </w:rPr>
        <w:t>the scope of the information sought, or changing the due date for providing the information.</w:t>
      </w:r>
    </w:p>
    <w:p w14:paraId="0C878C86" w14:textId="77777777" w:rsidR="00603AB1" w:rsidRDefault="00603AB1" w:rsidP="00AB1DAC">
      <w:pPr>
        <w:pStyle w:val="ACMABodyText"/>
        <w:rPr>
          <w:lang w:val="en-US"/>
        </w:rPr>
      </w:pPr>
      <w:r>
        <w:rPr>
          <w:lang w:val="en-US"/>
        </w:rPr>
        <w:t xml:space="preserve">The ACMA may require the information or documents requested of an applicant or bidder under this section to make decisions which could have a significant impact on their participation in the auction. This provision therefore notes that if a requirement in a notice given under section </w:t>
      </w:r>
      <w:r w:rsidR="00766E38" w:rsidRPr="007371DF">
        <w:rPr>
          <w:lang w:val="en-US"/>
        </w:rPr>
        <w:t>8</w:t>
      </w:r>
      <w:r w:rsidRPr="007371DF">
        <w:rPr>
          <w:lang w:val="en-US"/>
        </w:rPr>
        <w:t xml:space="preserve">.3 is breached, including failure to provide available information or documentation when requested, the ACMA may take action under section </w:t>
      </w:r>
      <w:r w:rsidR="00596367" w:rsidRPr="007371DF">
        <w:rPr>
          <w:lang w:val="en-US"/>
        </w:rPr>
        <w:t>8</w:t>
      </w:r>
      <w:r w:rsidRPr="007371DF">
        <w:rPr>
          <w:lang w:val="en-US"/>
        </w:rPr>
        <w:t xml:space="preserve">.6 of the Determination. Section </w:t>
      </w:r>
      <w:r w:rsidR="00596367" w:rsidRPr="007371DF">
        <w:rPr>
          <w:lang w:val="en-US"/>
        </w:rPr>
        <w:t>8</w:t>
      </w:r>
      <w:r w:rsidRPr="007371DF">
        <w:rPr>
          <w:lang w:val="en-US"/>
        </w:rPr>
        <w:t>.6 permits the ACMA to</w:t>
      </w:r>
      <w:r>
        <w:rPr>
          <w:lang w:val="en-US"/>
        </w:rPr>
        <w:t xml:space="preserve"> retain an eligibility payment or enforce a deed of financial security. </w:t>
      </w:r>
    </w:p>
    <w:p w14:paraId="4726971E" w14:textId="77777777" w:rsidR="00603AB1" w:rsidRDefault="00603AB1" w:rsidP="00AB1DAC">
      <w:pPr>
        <w:pStyle w:val="ACMAHeading3"/>
      </w:pPr>
      <w:r>
        <w:t xml:space="preserve">Section </w:t>
      </w:r>
      <w:r w:rsidR="000420C7">
        <w:t>8</w:t>
      </w:r>
      <w:r>
        <w:t>.4</w:t>
      </w:r>
      <w:r>
        <w:tab/>
        <w:t>Use of information and documents by ACMA</w:t>
      </w:r>
    </w:p>
    <w:p w14:paraId="2E803AB5" w14:textId="59AEFC32" w:rsidR="00603AB1" w:rsidRDefault="00603AB1" w:rsidP="005B1EC3">
      <w:pPr>
        <w:pStyle w:val="ACMABodyText"/>
        <w:rPr>
          <w:lang w:val="en-US"/>
        </w:rPr>
      </w:pPr>
      <w:r>
        <w:t>Under this</w:t>
      </w:r>
      <w:r w:rsidRPr="00131E7E">
        <w:t xml:space="preserve"> section</w:t>
      </w:r>
      <w:r>
        <w:t>,</w:t>
      </w:r>
      <w:r w:rsidRPr="00131E7E">
        <w:t xml:space="preserve"> </w:t>
      </w:r>
      <w:r w:rsidRPr="00131E7E">
        <w:rPr>
          <w:lang w:val="en-US"/>
        </w:rPr>
        <w:t>the ACMA may use</w:t>
      </w:r>
      <w:r>
        <w:rPr>
          <w:lang w:val="en-US"/>
        </w:rPr>
        <w:t xml:space="preserve"> any </w:t>
      </w:r>
      <w:r w:rsidRPr="00131E7E">
        <w:rPr>
          <w:lang w:val="en-US"/>
        </w:rPr>
        <w:t xml:space="preserve">information </w:t>
      </w:r>
      <w:r>
        <w:rPr>
          <w:lang w:val="en-US"/>
        </w:rPr>
        <w:t xml:space="preserve">or documents </w:t>
      </w:r>
      <w:r w:rsidR="00F07703">
        <w:rPr>
          <w:lang w:val="en-US"/>
        </w:rPr>
        <w:t>it obtains</w:t>
      </w:r>
      <w:r>
        <w:rPr>
          <w:lang w:val="en-US"/>
        </w:rPr>
        <w:t xml:space="preserve"> </w:t>
      </w:r>
      <w:r w:rsidR="00721B60">
        <w:rPr>
          <w:lang w:val="en-US"/>
        </w:rPr>
        <w:t xml:space="preserve">in the performance </w:t>
      </w:r>
      <w:r>
        <w:rPr>
          <w:lang w:val="en-US"/>
        </w:rPr>
        <w:t xml:space="preserve">of </w:t>
      </w:r>
      <w:r w:rsidR="00E11632">
        <w:rPr>
          <w:lang w:val="en-US"/>
        </w:rPr>
        <w:t>the ACMA’s</w:t>
      </w:r>
      <w:r>
        <w:rPr>
          <w:lang w:val="en-US"/>
        </w:rPr>
        <w:t xml:space="preserve"> functions under the Determination</w:t>
      </w:r>
      <w:r w:rsidR="00E11632">
        <w:rPr>
          <w:lang w:val="en-US"/>
        </w:rPr>
        <w:t xml:space="preserve">. This can be </w:t>
      </w:r>
      <w:r w:rsidRPr="00131E7E">
        <w:rPr>
          <w:lang w:val="en-US"/>
        </w:rPr>
        <w:t>for the purposes</w:t>
      </w:r>
      <w:r>
        <w:rPr>
          <w:lang w:val="en-US"/>
        </w:rPr>
        <w:t xml:space="preserve"> </w:t>
      </w:r>
      <w:r w:rsidR="00E11632">
        <w:rPr>
          <w:lang w:val="en-US"/>
        </w:rPr>
        <w:t>of</w:t>
      </w:r>
      <w:r>
        <w:rPr>
          <w:lang w:val="en-US"/>
        </w:rPr>
        <w:t xml:space="preserve"> the Determination</w:t>
      </w:r>
      <w:r w:rsidR="00E11632">
        <w:rPr>
          <w:lang w:val="en-US"/>
        </w:rPr>
        <w:t>, and t</w:t>
      </w:r>
      <w:r>
        <w:rPr>
          <w:lang w:val="en-US"/>
        </w:rPr>
        <w:t xml:space="preserve">he ACMA’s use of such information or documents extends to disclosure and/or publication in the manner stated in the Determination. The ACMA may also use </w:t>
      </w:r>
      <w:r w:rsidR="00E11632">
        <w:rPr>
          <w:lang w:val="en-US"/>
        </w:rPr>
        <w:t xml:space="preserve">the </w:t>
      </w:r>
      <w:r>
        <w:rPr>
          <w:lang w:val="en-US"/>
        </w:rPr>
        <w:t xml:space="preserve">information </w:t>
      </w:r>
      <w:r w:rsidR="00E11632">
        <w:rPr>
          <w:lang w:val="en-US"/>
        </w:rPr>
        <w:t xml:space="preserve">or documents </w:t>
      </w:r>
      <w:r>
        <w:rPr>
          <w:lang w:val="en-US"/>
        </w:rPr>
        <w:t xml:space="preserve">to perform its functions in relation to a spectrum licence issued as a result of the </w:t>
      </w:r>
      <w:r w:rsidR="00E11632">
        <w:rPr>
          <w:lang w:val="en-US"/>
        </w:rPr>
        <w:t>allocation process under the Determination</w:t>
      </w:r>
      <w:r>
        <w:rPr>
          <w:lang w:val="en-US"/>
        </w:rPr>
        <w:t xml:space="preserve">. The ACMA may keep a document obtained under this section for as long as necessary </w:t>
      </w:r>
      <w:r w:rsidRPr="00D424D9">
        <w:rPr>
          <w:lang w:val="en-US"/>
        </w:rPr>
        <w:t>for the performance of any of the ACMA's functions or exe</w:t>
      </w:r>
      <w:r>
        <w:rPr>
          <w:lang w:val="en-US"/>
        </w:rPr>
        <w:t>rcise of its powers under the D</w:t>
      </w:r>
      <w:r w:rsidRPr="00D424D9">
        <w:rPr>
          <w:lang w:val="en-US"/>
        </w:rPr>
        <w:t>etermination</w:t>
      </w:r>
      <w:r>
        <w:rPr>
          <w:lang w:val="en-US"/>
        </w:rPr>
        <w:t xml:space="preserve"> or the Act.</w:t>
      </w:r>
    </w:p>
    <w:p w14:paraId="0858FF4F" w14:textId="77777777" w:rsidR="00603AB1" w:rsidRDefault="00603AB1" w:rsidP="005B1EC3">
      <w:pPr>
        <w:pStyle w:val="ACMABodyText"/>
        <w:rPr>
          <w:lang w:val="en-US"/>
        </w:rPr>
      </w:pPr>
      <w:r>
        <w:rPr>
          <w:lang w:val="en-US"/>
        </w:rPr>
        <w:t xml:space="preserve">The ACMA may also disclose information or documents as permitted by Part 7A of </w:t>
      </w:r>
      <w:r w:rsidRPr="006E1346">
        <w:rPr>
          <w:lang w:val="en-US"/>
        </w:rPr>
        <w:t>the</w:t>
      </w:r>
      <w:r w:rsidRPr="00404F68">
        <w:rPr>
          <w:i/>
          <w:lang w:val="en-US"/>
        </w:rPr>
        <w:t xml:space="preserve"> Australian Commun</w:t>
      </w:r>
      <w:r>
        <w:rPr>
          <w:i/>
          <w:lang w:val="en-US"/>
        </w:rPr>
        <w:t>i</w:t>
      </w:r>
      <w:r w:rsidRPr="00404F68">
        <w:rPr>
          <w:i/>
          <w:lang w:val="en-US"/>
        </w:rPr>
        <w:t>cations and Media Authority Act 2005</w:t>
      </w:r>
      <w:r>
        <w:rPr>
          <w:i/>
          <w:lang w:val="en-US"/>
        </w:rPr>
        <w:t>,</w:t>
      </w:r>
      <w:r>
        <w:rPr>
          <w:lang w:val="en-US"/>
        </w:rPr>
        <w:t xml:space="preserve"> or any other law.</w:t>
      </w:r>
    </w:p>
    <w:p w14:paraId="59472D19" w14:textId="77777777" w:rsidR="00603AB1" w:rsidRPr="00AF0CE1" w:rsidRDefault="00603AB1" w:rsidP="00AB1DAC">
      <w:pPr>
        <w:pStyle w:val="ACMABodyText"/>
        <w:rPr>
          <w:b/>
          <w:lang w:val="en-US"/>
        </w:rPr>
      </w:pPr>
      <w:r w:rsidRPr="0048232F">
        <w:rPr>
          <w:b/>
          <w:lang w:val="en-US"/>
        </w:rPr>
        <w:t xml:space="preserve">Section </w:t>
      </w:r>
      <w:r w:rsidR="000420C7">
        <w:rPr>
          <w:b/>
          <w:lang w:val="en-US"/>
        </w:rPr>
        <w:t>8</w:t>
      </w:r>
      <w:r w:rsidRPr="0048232F">
        <w:rPr>
          <w:b/>
          <w:lang w:val="en-US"/>
        </w:rPr>
        <w:t>.</w:t>
      </w:r>
      <w:r>
        <w:rPr>
          <w:b/>
          <w:lang w:val="en-US"/>
        </w:rPr>
        <w:t>5</w:t>
      </w:r>
      <w:r w:rsidRPr="0048232F">
        <w:rPr>
          <w:b/>
          <w:lang w:val="en-US"/>
        </w:rPr>
        <w:tab/>
        <w:t xml:space="preserve">     ACMA </w:t>
      </w:r>
      <w:r w:rsidR="006A6635">
        <w:rPr>
          <w:b/>
          <w:lang w:val="en-US"/>
        </w:rPr>
        <w:t>to</w:t>
      </w:r>
      <w:r w:rsidR="006A6635" w:rsidRPr="0048232F">
        <w:rPr>
          <w:b/>
          <w:lang w:val="en-US"/>
        </w:rPr>
        <w:t xml:space="preserve"> </w:t>
      </w:r>
      <w:r w:rsidRPr="0048232F">
        <w:rPr>
          <w:b/>
          <w:lang w:val="en-US"/>
        </w:rPr>
        <w:t>provide information to ACCC</w:t>
      </w:r>
      <w:r>
        <w:rPr>
          <w:b/>
          <w:lang w:val="en-US"/>
        </w:rPr>
        <w:t xml:space="preserve"> on request</w:t>
      </w:r>
    </w:p>
    <w:p w14:paraId="1A9A0927" w14:textId="77777777" w:rsidR="00603AB1" w:rsidRDefault="00603AB1" w:rsidP="00AB1DAC">
      <w:pPr>
        <w:pStyle w:val="ACMABodyText"/>
      </w:pPr>
      <w:r w:rsidRPr="001A0995">
        <w:rPr>
          <w:lang w:val="en-US"/>
        </w:rPr>
        <w:t xml:space="preserve">This section </w:t>
      </w:r>
      <w:r>
        <w:rPr>
          <w:lang w:val="en-US"/>
        </w:rPr>
        <w:t>requires the ACMA to provide specified information to the ACCC, where the ACCC has requested the information in relation to any applicant</w:t>
      </w:r>
      <w:r w:rsidR="00BA2074">
        <w:rPr>
          <w:lang w:val="en-US"/>
        </w:rPr>
        <w:t xml:space="preserve"> or bidder</w:t>
      </w:r>
      <w:r>
        <w:rPr>
          <w:lang w:val="en-US"/>
        </w:rPr>
        <w:t xml:space="preserve">. Information that may be requested includes forms and deeds submitted by an applicant </w:t>
      </w:r>
      <w:r w:rsidR="00E72BFC">
        <w:rPr>
          <w:lang w:val="en-US"/>
        </w:rPr>
        <w:t>to participate in or during the allocation</w:t>
      </w:r>
      <w:r>
        <w:rPr>
          <w:lang w:val="en-US"/>
        </w:rPr>
        <w:t xml:space="preserve"> process, information about an applicant’s affiliations, and information about any breach of confidentiality obligations. It also includes information about bidding during the auction and information about the outcome of procedures set out in Part</w:t>
      </w:r>
      <w:r w:rsidR="00E72BFC">
        <w:rPr>
          <w:lang w:val="en-US"/>
        </w:rPr>
        <w:t>s 5 and</w:t>
      </w:r>
      <w:r>
        <w:rPr>
          <w:lang w:val="en-US"/>
        </w:rPr>
        <w:t xml:space="preserve"> </w:t>
      </w:r>
      <w:r w:rsidR="00766E38">
        <w:rPr>
          <w:lang w:val="en-US"/>
        </w:rPr>
        <w:t>7</w:t>
      </w:r>
      <w:r>
        <w:rPr>
          <w:lang w:val="en-US"/>
        </w:rPr>
        <w:t>.</w:t>
      </w:r>
    </w:p>
    <w:p w14:paraId="225DD451" w14:textId="290E02CD" w:rsidR="00603AB1" w:rsidRDefault="00603AB1">
      <w:pPr>
        <w:pStyle w:val="ACMAHeading3"/>
        <w:ind w:left="1701" w:hanging="1701"/>
      </w:pPr>
      <w:r w:rsidRPr="00181920">
        <w:t xml:space="preserve">Section </w:t>
      </w:r>
      <w:r w:rsidR="000420C7">
        <w:t>8</w:t>
      </w:r>
      <w:r w:rsidRPr="00181920">
        <w:t>.</w:t>
      </w:r>
      <w:r>
        <w:t>6</w:t>
      </w:r>
      <w:r w:rsidRPr="00181920">
        <w:tab/>
      </w:r>
      <w:r>
        <w:t>Retention of eligibility payment or enforcement of deed for breach of procedures</w:t>
      </w:r>
    </w:p>
    <w:p w14:paraId="04A6F548" w14:textId="77777777" w:rsidR="00FC01D5" w:rsidRPr="004D7174" w:rsidRDefault="00603AB1" w:rsidP="00D822D1">
      <w:pPr>
        <w:pStyle w:val="ACMABodyText"/>
        <w:rPr>
          <w:lang w:val="en-US"/>
        </w:rPr>
      </w:pPr>
      <w:r w:rsidRPr="004D7174">
        <w:rPr>
          <w:lang w:val="en-US"/>
        </w:rPr>
        <w:t xml:space="preserve">This section sets out the action that the ACMA may take </w:t>
      </w:r>
      <w:r w:rsidR="00E72BFC" w:rsidRPr="004D7174">
        <w:rPr>
          <w:lang w:val="en-US"/>
        </w:rPr>
        <w:t xml:space="preserve">for </w:t>
      </w:r>
      <w:r w:rsidRPr="004D7174">
        <w:rPr>
          <w:lang w:val="en-US"/>
        </w:rPr>
        <w:t xml:space="preserve">a breach of </w:t>
      </w:r>
      <w:r w:rsidR="00E72BFC" w:rsidRPr="004D7174">
        <w:rPr>
          <w:lang w:val="en-US"/>
        </w:rPr>
        <w:t xml:space="preserve">provisions of the Determination, such as </w:t>
      </w:r>
      <w:r w:rsidRPr="004D7174">
        <w:rPr>
          <w:lang w:val="en-US"/>
        </w:rPr>
        <w:t xml:space="preserve">the auction rules or related procedures. The ACMA may take action where it is satisfied that an applicant or bidder, or a related person, breached a provision of the Determination, and that the breach affected or could have affected the outcome of the </w:t>
      </w:r>
      <w:r w:rsidR="00766E38" w:rsidRPr="004D7174">
        <w:rPr>
          <w:lang w:val="en-US"/>
        </w:rPr>
        <w:t>allocation process</w:t>
      </w:r>
      <w:r w:rsidRPr="004D7174">
        <w:rPr>
          <w:lang w:val="en-US"/>
        </w:rPr>
        <w:t xml:space="preserve">. </w:t>
      </w:r>
    </w:p>
    <w:p w14:paraId="141C7412" w14:textId="77777777" w:rsidR="00603AB1" w:rsidRPr="004D7174" w:rsidRDefault="00603AB1" w:rsidP="00D822D1">
      <w:pPr>
        <w:pStyle w:val="ACMABodyText"/>
        <w:rPr>
          <w:lang w:val="en-US"/>
        </w:rPr>
      </w:pPr>
      <w:r w:rsidRPr="004D7174">
        <w:rPr>
          <w:lang w:val="en-US"/>
        </w:rPr>
        <w:t>The ACMA may also take action where:</w:t>
      </w:r>
    </w:p>
    <w:p w14:paraId="11C7417D" w14:textId="77777777" w:rsidR="00E72BFC" w:rsidRPr="004D7174" w:rsidRDefault="00E72BFC" w:rsidP="005858DF">
      <w:pPr>
        <w:pStyle w:val="ACMABodyText"/>
        <w:numPr>
          <w:ilvl w:val="0"/>
          <w:numId w:val="13"/>
        </w:numPr>
        <w:ind w:left="851" w:hanging="450"/>
        <w:rPr>
          <w:lang w:val="en-US"/>
        </w:rPr>
      </w:pPr>
      <w:r w:rsidRPr="004D7174">
        <w:rPr>
          <w:lang w:val="en-US"/>
        </w:rPr>
        <w:t xml:space="preserve">an applicant fails to pay the full balance of the pre-determined price for all spectrum licences </w:t>
      </w:r>
      <w:r w:rsidR="00FC01D5" w:rsidRPr="004D7174">
        <w:rPr>
          <w:lang w:val="en-US"/>
        </w:rPr>
        <w:t>as required by subsection 5.5(2);</w:t>
      </w:r>
    </w:p>
    <w:p w14:paraId="2428182D" w14:textId="6355DCF5" w:rsidR="00FC01D5" w:rsidRPr="004D7174" w:rsidRDefault="00FC01D5" w:rsidP="005858DF">
      <w:pPr>
        <w:pStyle w:val="ACMABodyText"/>
        <w:numPr>
          <w:ilvl w:val="0"/>
          <w:numId w:val="13"/>
        </w:numPr>
        <w:ind w:left="851" w:hanging="450"/>
        <w:rPr>
          <w:lang w:val="en-US"/>
        </w:rPr>
      </w:pPr>
      <w:r w:rsidRPr="004D7174">
        <w:rPr>
          <w:lang w:val="en-US"/>
        </w:rPr>
        <w:t xml:space="preserve">the ACMA is satisfied </w:t>
      </w:r>
      <w:r w:rsidR="002A643B">
        <w:rPr>
          <w:lang w:val="en-US"/>
        </w:rPr>
        <w:t>a</w:t>
      </w:r>
      <w:r w:rsidRPr="004D7174">
        <w:rPr>
          <w:lang w:val="en-US"/>
        </w:rPr>
        <w:t xml:space="preserve"> bidder breached section 6.10 of the Determination, which prohibits affiliations during the auction period;</w:t>
      </w:r>
    </w:p>
    <w:p w14:paraId="31343FEE" w14:textId="77777777" w:rsidR="001530CB" w:rsidRPr="004D7174" w:rsidRDefault="001530CB" w:rsidP="005858DF">
      <w:pPr>
        <w:pStyle w:val="ACMABodyText"/>
        <w:numPr>
          <w:ilvl w:val="0"/>
          <w:numId w:val="13"/>
        </w:numPr>
        <w:ind w:left="851" w:hanging="450"/>
        <w:rPr>
          <w:lang w:val="en-US"/>
        </w:rPr>
      </w:pPr>
      <w:r w:rsidRPr="004D7174">
        <w:rPr>
          <w:lang w:val="en-US"/>
        </w:rPr>
        <w:t xml:space="preserve">a winning bidder fails to give a statement about affiliates under section </w:t>
      </w:r>
      <w:r w:rsidR="00A86208" w:rsidRPr="004D7174">
        <w:rPr>
          <w:lang w:val="en-US"/>
        </w:rPr>
        <w:t>7</w:t>
      </w:r>
      <w:r w:rsidRPr="004D7174">
        <w:rPr>
          <w:lang w:val="en-US"/>
        </w:rPr>
        <w:t>.3;</w:t>
      </w:r>
    </w:p>
    <w:p w14:paraId="3C854F2C" w14:textId="77777777" w:rsidR="0014129B" w:rsidRPr="004D7174" w:rsidRDefault="00603AB1" w:rsidP="005858DF">
      <w:pPr>
        <w:pStyle w:val="ACMABodyText"/>
        <w:numPr>
          <w:ilvl w:val="0"/>
          <w:numId w:val="13"/>
        </w:numPr>
        <w:ind w:left="851" w:hanging="450"/>
        <w:rPr>
          <w:lang w:val="en-US"/>
        </w:rPr>
      </w:pPr>
      <w:r w:rsidRPr="004D7174">
        <w:rPr>
          <w:lang w:val="en-US"/>
        </w:rPr>
        <w:t xml:space="preserve">a winning bidder fails to pay the balance of the winning price required under section </w:t>
      </w:r>
      <w:r w:rsidR="00A86208" w:rsidRPr="004D7174">
        <w:rPr>
          <w:lang w:val="en-US"/>
        </w:rPr>
        <w:t>7</w:t>
      </w:r>
      <w:r w:rsidRPr="004D7174">
        <w:rPr>
          <w:lang w:val="en-US"/>
        </w:rPr>
        <w:t>.8;</w:t>
      </w:r>
    </w:p>
    <w:p w14:paraId="613B3049" w14:textId="28094799" w:rsidR="00A86208" w:rsidRPr="004D7174" w:rsidRDefault="002A643B" w:rsidP="005858DF">
      <w:pPr>
        <w:pStyle w:val="ACMABodyText"/>
        <w:numPr>
          <w:ilvl w:val="0"/>
          <w:numId w:val="13"/>
        </w:numPr>
        <w:ind w:left="851" w:hanging="450"/>
        <w:rPr>
          <w:lang w:val="en-US"/>
        </w:rPr>
      </w:pPr>
      <w:r>
        <w:t>a</w:t>
      </w:r>
      <w:r w:rsidR="00F07703">
        <w:t xml:space="preserve"> bidder fails</w:t>
      </w:r>
      <w:r w:rsidR="00A86208" w:rsidRPr="004D7174">
        <w:t xml:space="preserve"> to pay the amount of all bid withdrawal penalties as required under clause 18 in Schedule 1; </w:t>
      </w:r>
    </w:p>
    <w:p w14:paraId="36B8508A" w14:textId="77777777" w:rsidR="0014129B" w:rsidRPr="004D7174" w:rsidRDefault="00603AB1" w:rsidP="005858DF">
      <w:pPr>
        <w:pStyle w:val="ACMABodyText"/>
        <w:numPr>
          <w:ilvl w:val="0"/>
          <w:numId w:val="13"/>
        </w:numPr>
        <w:ind w:left="851" w:hanging="450"/>
        <w:rPr>
          <w:lang w:val="en-US"/>
        </w:rPr>
      </w:pPr>
      <w:r w:rsidRPr="004D7174">
        <w:rPr>
          <w:lang w:val="en-US"/>
        </w:rPr>
        <w:lastRenderedPageBreak/>
        <w:t xml:space="preserve">the ACMA is satisfied that there has been a breach of the confidentiality obligations under section 3.2 </w:t>
      </w:r>
      <w:r w:rsidR="002A643B">
        <w:rPr>
          <w:lang w:val="en-US"/>
        </w:rPr>
        <w:t xml:space="preserve">by an applicant or a bidder </w:t>
      </w:r>
      <w:r w:rsidR="005858DF">
        <w:rPr>
          <w:lang w:val="en-US"/>
        </w:rPr>
        <w:t xml:space="preserve">(or related persons) </w:t>
      </w:r>
      <w:r w:rsidRPr="004D7174">
        <w:rPr>
          <w:lang w:val="en-US"/>
        </w:rPr>
        <w:t xml:space="preserve">after the </w:t>
      </w:r>
      <w:r w:rsidR="00E72BFC" w:rsidRPr="004D7174">
        <w:rPr>
          <w:lang w:val="en-US"/>
        </w:rPr>
        <w:t xml:space="preserve">end of the </w:t>
      </w:r>
      <w:r w:rsidRPr="004D7174">
        <w:rPr>
          <w:lang w:val="en-US"/>
        </w:rPr>
        <w:t xml:space="preserve">auction period, but while the confidentiality obligations remain in force; </w:t>
      </w:r>
    </w:p>
    <w:p w14:paraId="279EBABF" w14:textId="77777777" w:rsidR="0014129B" w:rsidRPr="004D7174" w:rsidRDefault="00603AB1" w:rsidP="005858DF">
      <w:pPr>
        <w:pStyle w:val="ACMABodyText"/>
        <w:numPr>
          <w:ilvl w:val="0"/>
          <w:numId w:val="13"/>
        </w:numPr>
        <w:ind w:left="851" w:hanging="450"/>
        <w:rPr>
          <w:lang w:val="en-US"/>
        </w:rPr>
      </w:pPr>
      <w:r w:rsidRPr="004D7174">
        <w:rPr>
          <w:lang w:val="en-US"/>
        </w:rPr>
        <w:t xml:space="preserve">an applicant or </w:t>
      </w:r>
      <w:r w:rsidR="005858DF">
        <w:rPr>
          <w:lang w:val="en-US"/>
        </w:rPr>
        <w:t xml:space="preserve">a </w:t>
      </w:r>
      <w:r w:rsidRPr="004D7174">
        <w:rPr>
          <w:lang w:val="en-US"/>
        </w:rPr>
        <w:t xml:space="preserve">bidder fails to comply with a requirement in a notice given under subsection </w:t>
      </w:r>
      <w:r w:rsidR="00A86208" w:rsidRPr="004D7174">
        <w:rPr>
          <w:lang w:val="en-US"/>
        </w:rPr>
        <w:t>8</w:t>
      </w:r>
      <w:r w:rsidRPr="004D7174">
        <w:rPr>
          <w:lang w:val="en-US"/>
        </w:rPr>
        <w:t>.3(1).</w:t>
      </w:r>
    </w:p>
    <w:p w14:paraId="0F6EFB6B" w14:textId="22673E58" w:rsidR="00603AB1" w:rsidRPr="004D7174" w:rsidRDefault="00603AB1" w:rsidP="00D822D1">
      <w:pPr>
        <w:pStyle w:val="ACMABodyText"/>
        <w:rPr>
          <w:lang w:val="en-US"/>
        </w:rPr>
      </w:pPr>
      <w:r w:rsidRPr="004D7174">
        <w:rPr>
          <w:lang w:val="en-US"/>
        </w:rPr>
        <w:t>In these circumstances, the ACMA may retain an eligibility payment or enforce a deed of financial security given by an applicant or bidder under section 4.1</w:t>
      </w:r>
      <w:r w:rsidR="00A86208" w:rsidRPr="004D7174">
        <w:rPr>
          <w:lang w:val="en-US"/>
        </w:rPr>
        <w:t>6</w:t>
      </w:r>
      <w:r w:rsidRPr="004D7174">
        <w:rPr>
          <w:lang w:val="en-US"/>
        </w:rPr>
        <w:t>. If the ACMA decides to take action under this section, it must notify the applicant or bidder of this decision in writing</w:t>
      </w:r>
      <w:r w:rsidR="00766E38" w:rsidRPr="004D7174">
        <w:rPr>
          <w:lang w:val="en-US"/>
        </w:rPr>
        <w:t xml:space="preserve"> </w:t>
      </w:r>
      <w:r w:rsidR="005858DF">
        <w:rPr>
          <w:lang w:val="en-US"/>
        </w:rPr>
        <w:t>before the later of: (a)</w:t>
      </w:r>
      <w:r w:rsidR="00766E38" w:rsidRPr="004D7174">
        <w:rPr>
          <w:lang w:val="en-US"/>
        </w:rPr>
        <w:t xml:space="preserve"> 6 months </w:t>
      </w:r>
      <w:r w:rsidR="005858DF">
        <w:rPr>
          <w:lang w:val="en-US"/>
        </w:rPr>
        <w:t>after</w:t>
      </w:r>
      <w:r w:rsidR="00C81B37" w:rsidRPr="004D7174">
        <w:rPr>
          <w:lang w:val="en-US"/>
        </w:rPr>
        <w:t xml:space="preserve"> </w:t>
      </w:r>
      <w:r w:rsidR="00FC01D5" w:rsidRPr="004D7174">
        <w:rPr>
          <w:lang w:val="en-US"/>
        </w:rPr>
        <w:t xml:space="preserve">the </w:t>
      </w:r>
      <w:r w:rsidR="00C81B37" w:rsidRPr="004D7174">
        <w:rPr>
          <w:lang w:val="en-US"/>
        </w:rPr>
        <w:t>end of the auction period</w:t>
      </w:r>
      <w:r w:rsidR="00FC01D5" w:rsidRPr="004D7174">
        <w:rPr>
          <w:lang w:val="en-US"/>
        </w:rPr>
        <w:t xml:space="preserve"> or notification of entitlements for spectrum licences for a pre-determined price</w:t>
      </w:r>
      <w:r w:rsidR="005858DF">
        <w:rPr>
          <w:lang w:val="en-US"/>
        </w:rPr>
        <w:t>;</w:t>
      </w:r>
      <w:r w:rsidR="00FC01D5" w:rsidRPr="004D7174">
        <w:rPr>
          <w:lang w:val="en-US"/>
        </w:rPr>
        <w:t xml:space="preserve"> and </w:t>
      </w:r>
      <w:r w:rsidR="005858DF">
        <w:rPr>
          <w:lang w:val="en-US"/>
        </w:rPr>
        <w:t xml:space="preserve">(b) </w:t>
      </w:r>
      <w:r w:rsidR="00724312" w:rsidRPr="004D7174">
        <w:rPr>
          <w:lang w:val="en-US"/>
        </w:rPr>
        <w:t xml:space="preserve">6 months after </w:t>
      </w:r>
      <w:r w:rsidR="00C81B37" w:rsidRPr="004D7174">
        <w:rPr>
          <w:lang w:val="en-US"/>
        </w:rPr>
        <w:t>the day on which the breach or failure occur</w:t>
      </w:r>
      <w:r w:rsidR="00724312" w:rsidRPr="004D7174">
        <w:rPr>
          <w:lang w:val="en-US"/>
        </w:rPr>
        <w:t>r</w:t>
      </w:r>
      <w:r w:rsidR="00C81B37" w:rsidRPr="004D7174">
        <w:rPr>
          <w:lang w:val="en-US"/>
        </w:rPr>
        <w:t>ed</w:t>
      </w:r>
      <w:r w:rsidR="005858DF">
        <w:rPr>
          <w:lang w:val="en-US"/>
        </w:rPr>
        <w:t>. T</w:t>
      </w:r>
      <w:r w:rsidR="00724312" w:rsidRPr="004D7174">
        <w:rPr>
          <w:lang w:val="en-US"/>
        </w:rPr>
        <w:t>he ACMA must</w:t>
      </w:r>
      <w:r w:rsidRPr="004D7174">
        <w:rPr>
          <w:lang w:val="en-US"/>
        </w:rPr>
        <w:t xml:space="preserve"> provid</w:t>
      </w:r>
      <w:r w:rsidR="00724312" w:rsidRPr="004D7174">
        <w:rPr>
          <w:lang w:val="en-US"/>
        </w:rPr>
        <w:t>e</w:t>
      </w:r>
      <w:r w:rsidRPr="004D7174">
        <w:rPr>
          <w:lang w:val="en-US"/>
        </w:rPr>
        <w:t xml:space="preserve"> information about the nature of the breach</w:t>
      </w:r>
      <w:r w:rsidR="00724312" w:rsidRPr="004D7174">
        <w:rPr>
          <w:lang w:val="en-US"/>
        </w:rPr>
        <w:t xml:space="preserve"> or failure</w:t>
      </w:r>
      <w:r w:rsidRPr="004D7174">
        <w:rPr>
          <w:lang w:val="en-US"/>
        </w:rPr>
        <w:t>.</w:t>
      </w:r>
    </w:p>
    <w:p w14:paraId="2FAFFD08" w14:textId="77777777" w:rsidR="00603AB1" w:rsidRDefault="00603AB1" w:rsidP="00D822D1">
      <w:pPr>
        <w:pStyle w:val="ACMABodyText"/>
        <w:rPr>
          <w:lang w:val="en-US"/>
        </w:rPr>
      </w:pPr>
      <w:r w:rsidRPr="004D7174">
        <w:rPr>
          <w:lang w:val="en-US"/>
        </w:rPr>
        <w:t xml:space="preserve">Any amount retained or obtained by the ACMA under this section is forfeited to the Commonwealth unless the Federal Court orders its return under section </w:t>
      </w:r>
      <w:r w:rsidR="00A86208" w:rsidRPr="004D7174">
        <w:rPr>
          <w:lang w:val="en-US"/>
        </w:rPr>
        <w:t>8.9</w:t>
      </w:r>
      <w:r w:rsidRPr="004D7174">
        <w:rPr>
          <w:lang w:val="en-US"/>
        </w:rPr>
        <w:t>.</w:t>
      </w:r>
    </w:p>
    <w:p w14:paraId="0D8AE87D" w14:textId="77777777" w:rsidR="000420C7" w:rsidRDefault="000420C7" w:rsidP="000420C7">
      <w:pPr>
        <w:pStyle w:val="ACMABodyText"/>
        <w:rPr>
          <w:b/>
          <w:lang w:val="en-US"/>
        </w:rPr>
      </w:pPr>
      <w:r>
        <w:rPr>
          <w:b/>
          <w:lang w:val="en-US"/>
        </w:rPr>
        <w:t>Section 8.7</w:t>
      </w:r>
      <w:r w:rsidRPr="00CA3C02">
        <w:rPr>
          <w:b/>
          <w:lang w:val="en-US"/>
        </w:rPr>
        <w:tab/>
        <w:t xml:space="preserve">    Effect of retention on </w:t>
      </w:r>
      <w:r>
        <w:rPr>
          <w:b/>
          <w:lang w:val="en-US"/>
        </w:rPr>
        <w:t>allocation to applicants for pre-determined price</w:t>
      </w:r>
    </w:p>
    <w:p w14:paraId="2505A8F4" w14:textId="77777777" w:rsidR="000420C7" w:rsidRPr="000420C7" w:rsidRDefault="000420C7" w:rsidP="000420C7">
      <w:pPr>
        <w:pStyle w:val="ACMABodyText"/>
        <w:rPr>
          <w:lang w:val="en-US"/>
        </w:rPr>
      </w:pPr>
      <w:r>
        <w:rPr>
          <w:lang w:val="en-US"/>
        </w:rPr>
        <w:t>This section provides that if the ACMA makes a decision under subsection 8.6(1) to retain an eligibility payment or enforce a deed of financial security provided by a</w:t>
      </w:r>
      <w:r w:rsidR="00371F8D">
        <w:rPr>
          <w:lang w:val="en-US"/>
        </w:rPr>
        <w:t>n applicant</w:t>
      </w:r>
      <w:r w:rsidR="004B498D">
        <w:rPr>
          <w:lang w:val="en-US"/>
        </w:rPr>
        <w:t xml:space="preserve"> then</w:t>
      </w:r>
      <w:r w:rsidR="00724312">
        <w:rPr>
          <w:lang w:val="en-US"/>
        </w:rPr>
        <w:t>, despite the applicant</w:t>
      </w:r>
      <w:r w:rsidR="004B498D">
        <w:rPr>
          <w:lang w:val="en-US"/>
        </w:rPr>
        <w:t xml:space="preserve"> having accepted an offer of spectrum licences for a pre-determined price and</w:t>
      </w:r>
      <w:r w:rsidR="00724312">
        <w:rPr>
          <w:lang w:val="en-US"/>
        </w:rPr>
        <w:t xml:space="preserve"> being notified of its entitlements to spectrum licences</w:t>
      </w:r>
      <w:r>
        <w:rPr>
          <w:lang w:val="en-US"/>
        </w:rPr>
        <w:t xml:space="preserve">, </w:t>
      </w:r>
      <w:r w:rsidR="00724312">
        <w:rPr>
          <w:lang w:val="en-US"/>
        </w:rPr>
        <w:t>the ACMA</w:t>
      </w:r>
      <w:r>
        <w:rPr>
          <w:lang w:val="en-US"/>
        </w:rPr>
        <w:t xml:space="preserve"> must not issue a spectrum licence to the</w:t>
      </w:r>
      <w:r w:rsidR="00371F8D">
        <w:rPr>
          <w:lang w:val="en-US"/>
        </w:rPr>
        <w:t xml:space="preserve"> applicant</w:t>
      </w:r>
      <w:r>
        <w:rPr>
          <w:lang w:val="en-US"/>
        </w:rPr>
        <w:t>, and the spectrum will be taken to be unallocated</w:t>
      </w:r>
      <w:r w:rsidR="004B498D">
        <w:rPr>
          <w:lang w:val="en-US"/>
        </w:rPr>
        <w:t>.</w:t>
      </w:r>
    </w:p>
    <w:p w14:paraId="652F4C30" w14:textId="77777777" w:rsidR="00603AB1" w:rsidRDefault="00603AB1" w:rsidP="00D822D1">
      <w:pPr>
        <w:pStyle w:val="ACMABodyText"/>
        <w:rPr>
          <w:b/>
          <w:lang w:val="en-US"/>
        </w:rPr>
      </w:pPr>
      <w:r>
        <w:rPr>
          <w:b/>
          <w:lang w:val="en-US"/>
        </w:rPr>
        <w:t>Section</w:t>
      </w:r>
      <w:r w:rsidR="000420C7">
        <w:rPr>
          <w:b/>
          <w:lang w:val="en-US"/>
        </w:rPr>
        <w:t xml:space="preserve"> 8</w:t>
      </w:r>
      <w:r>
        <w:rPr>
          <w:b/>
          <w:lang w:val="en-US"/>
        </w:rPr>
        <w:t>.</w:t>
      </w:r>
      <w:r w:rsidR="000420C7">
        <w:rPr>
          <w:b/>
          <w:lang w:val="en-US"/>
        </w:rPr>
        <w:t>8</w:t>
      </w:r>
      <w:r w:rsidRPr="00CA3C02">
        <w:rPr>
          <w:b/>
          <w:lang w:val="en-US"/>
        </w:rPr>
        <w:tab/>
        <w:t xml:space="preserve">    Effect of retention on winning bidders</w:t>
      </w:r>
    </w:p>
    <w:p w14:paraId="628ACC70" w14:textId="77777777" w:rsidR="00603AB1" w:rsidRDefault="00603AB1" w:rsidP="00D822D1">
      <w:pPr>
        <w:pStyle w:val="ACMABodyText"/>
        <w:rPr>
          <w:lang w:val="en-US"/>
        </w:rPr>
      </w:pPr>
      <w:r>
        <w:rPr>
          <w:lang w:val="en-US"/>
        </w:rPr>
        <w:t xml:space="preserve">This section provides that if the ACMA makes a decision under subsection </w:t>
      </w:r>
      <w:r w:rsidR="000420C7">
        <w:rPr>
          <w:lang w:val="en-US"/>
        </w:rPr>
        <w:t>8</w:t>
      </w:r>
      <w:r>
        <w:rPr>
          <w:lang w:val="en-US"/>
        </w:rPr>
        <w:t>.6(1) to retain an eligibility payment or enforce a deed of financial security provided by a winning bidder</w:t>
      </w:r>
      <w:r w:rsidR="004B498D">
        <w:rPr>
          <w:lang w:val="en-US"/>
        </w:rPr>
        <w:t xml:space="preserve"> then</w:t>
      </w:r>
      <w:r>
        <w:rPr>
          <w:lang w:val="en-US"/>
        </w:rPr>
        <w:t>,</w:t>
      </w:r>
      <w:r w:rsidR="004B498D">
        <w:rPr>
          <w:lang w:val="en-US"/>
        </w:rPr>
        <w:t xml:space="preserve"> despite the applicant having paid the winning price in full,</w:t>
      </w:r>
      <w:r>
        <w:rPr>
          <w:lang w:val="en-US"/>
        </w:rPr>
        <w:t xml:space="preserve"> </w:t>
      </w:r>
      <w:r w:rsidR="004B498D">
        <w:rPr>
          <w:lang w:val="en-US"/>
        </w:rPr>
        <w:t>the ACMA</w:t>
      </w:r>
      <w:r>
        <w:rPr>
          <w:lang w:val="en-US"/>
        </w:rPr>
        <w:t xml:space="preserve"> must not issue a spectrum licence to the bidder, and the spectrum won by the bidder will be taken to be unallocated.</w:t>
      </w:r>
    </w:p>
    <w:p w14:paraId="01D1E053" w14:textId="77777777" w:rsidR="00603AB1" w:rsidRDefault="00603AB1" w:rsidP="00D822D1">
      <w:pPr>
        <w:pStyle w:val="ACMABodyText"/>
        <w:rPr>
          <w:b/>
          <w:lang w:val="en-US"/>
        </w:rPr>
      </w:pPr>
      <w:r>
        <w:rPr>
          <w:b/>
          <w:lang w:val="en-US"/>
        </w:rPr>
        <w:t xml:space="preserve">Section </w:t>
      </w:r>
      <w:r w:rsidR="00371F8D">
        <w:rPr>
          <w:b/>
          <w:lang w:val="en-US"/>
        </w:rPr>
        <w:t>8.9</w:t>
      </w:r>
      <w:r w:rsidRPr="00CA3C02">
        <w:rPr>
          <w:b/>
          <w:lang w:val="en-US"/>
        </w:rPr>
        <w:tab/>
        <w:t xml:space="preserve">   Application to Federal Court for return of retained amount</w:t>
      </w:r>
    </w:p>
    <w:p w14:paraId="6B977863" w14:textId="13A8F687" w:rsidR="00603AB1" w:rsidRPr="007371DF" w:rsidRDefault="00603AB1" w:rsidP="00D822D1">
      <w:pPr>
        <w:pStyle w:val="ACMABodyText"/>
        <w:rPr>
          <w:lang w:val="en-US"/>
        </w:rPr>
      </w:pPr>
      <w:r w:rsidRPr="00CA3C02">
        <w:rPr>
          <w:lang w:val="en-US"/>
        </w:rPr>
        <w:t xml:space="preserve">This section explains that </w:t>
      </w:r>
      <w:r>
        <w:rPr>
          <w:lang w:val="en-US"/>
        </w:rPr>
        <w:t xml:space="preserve">where an applicant or bidder is notified by the ACMA of its </w:t>
      </w:r>
      <w:r w:rsidR="00F07703">
        <w:rPr>
          <w:lang w:val="en-US"/>
        </w:rPr>
        <w:t>decision</w:t>
      </w:r>
      <w:r w:rsidR="004B498D">
        <w:rPr>
          <w:lang w:val="en-US"/>
        </w:rPr>
        <w:t xml:space="preserve"> under subsection 8.6(2)</w:t>
      </w:r>
      <w:r>
        <w:rPr>
          <w:lang w:val="en-US"/>
        </w:rPr>
        <w:t xml:space="preserve"> to retain an eligibility payment or enforce a deed of financial </w:t>
      </w:r>
      <w:r w:rsidRPr="007371DF">
        <w:rPr>
          <w:lang w:val="en-US"/>
        </w:rPr>
        <w:t>security,</w:t>
      </w:r>
      <w:r>
        <w:rPr>
          <w:lang w:val="en-US"/>
        </w:rPr>
        <w:t xml:space="preserve"> </w:t>
      </w:r>
      <w:r w:rsidR="004B498D">
        <w:rPr>
          <w:lang w:val="en-US"/>
        </w:rPr>
        <w:t>the applicant or bidder</w:t>
      </w:r>
      <w:r>
        <w:rPr>
          <w:lang w:val="en-US"/>
        </w:rPr>
        <w:t xml:space="preserve"> may apply to the Federal Court for return of the amount. The Court may order the return of all or part of the amount, if not satisfied that the breach alleged by the ACMA has occurred, or if it considers that retaining the full amount of the payment would be disproportionate. Section </w:t>
      </w:r>
      <w:r w:rsidR="00D236AA" w:rsidRPr="007371DF">
        <w:rPr>
          <w:lang w:val="en-US"/>
        </w:rPr>
        <w:t>8.9</w:t>
      </w:r>
      <w:r w:rsidRPr="007371DF">
        <w:rPr>
          <w:lang w:val="en-US"/>
        </w:rPr>
        <w:t xml:space="preserve"> cannot be used as a basis for an order that a spectrum licence be issued to an applicant or bidder.</w:t>
      </w:r>
    </w:p>
    <w:p w14:paraId="2CF25C90" w14:textId="77777777" w:rsidR="00603AB1" w:rsidRPr="007371DF" w:rsidRDefault="00603AB1" w:rsidP="00D822D1">
      <w:pPr>
        <w:pStyle w:val="ACMABodyText"/>
        <w:rPr>
          <w:lang w:val="en-US"/>
        </w:rPr>
      </w:pPr>
      <w:r w:rsidRPr="007371DF">
        <w:rPr>
          <w:lang w:val="en-US"/>
        </w:rPr>
        <w:t xml:space="preserve">An applicant or bidder who has been notified by the ACMA under subsection </w:t>
      </w:r>
      <w:r w:rsidR="009A6048" w:rsidRPr="007371DF">
        <w:rPr>
          <w:lang w:val="en-US"/>
        </w:rPr>
        <w:t>8</w:t>
      </w:r>
      <w:r w:rsidRPr="007371DF">
        <w:rPr>
          <w:lang w:val="en-US"/>
        </w:rPr>
        <w:t>.6(2) may apply to the Federal Court within 1 year of receiving the notice.</w:t>
      </w:r>
    </w:p>
    <w:p w14:paraId="68D5CEC3" w14:textId="77777777" w:rsidR="00603AB1" w:rsidRDefault="00603AB1" w:rsidP="00D822D1">
      <w:pPr>
        <w:pStyle w:val="ACMABodyText"/>
        <w:rPr>
          <w:lang w:val="en-US"/>
        </w:rPr>
      </w:pPr>
      <w:r w:rsidRPr="007371DF">
        <w:rPr>
          <w:lang w:val="en-US"/>
        </w:rPr>
        <w:t xml:space="preserve">Section </w:t>
      </w:r>
      <w:r w:rsidR="00D236AA" w:rsidRPr="007371DF">
        <w:rPr>
          <w:lang w:val="en-US"/>
        </w:rPr>
        <w:t>8.9</w:t>
      </w:r>
      <w:r w:rsidRPr="007371DF">
        <w:rPr>
          <w:lang w:val="en-US"/>
        </w:rPr>
        <w:t xml:space="preserve"> does not remove any existing jurisdiction of a court and is not intended to abrogat</w:t>
      </w:r>
      <w:r>
        <w:rPr>
          <w:lang w:val="en-US"/>
        </w:rPr>
        <w:t>e or affect the operation of any of the ordinary rules of administrative law.</w:t>
      </w:r>
    </w:p>
    <w:p w14:paraId="6D69EF7F" w14:textId="77777777" w:rsidR="00603AB1" w:rsidRDefault="00603AB1" w:rsidP="00AB1DAC">
      <w:pPr>
        <w:pStyle w:val="ACMABodyText"/>
        <w:rPr>
          <w:b/>
          <w:lang w:val="en-US"/>
        </w:rPr>
      </w:pPr>
      <w:r w:rsidRPr="0048232F">
        <w:rPr>
          <w:b/>
          <w:lang w:val="en-US"/>
        </w:rPr>
        <w:t xml:space="preserve">Section </w:t>
      </w:r>
      <w:r w:rsidR="00371F8D">
        <w:rPr>
          <w:b/>
          <w:lang w:val="en-US"/>
        </w:rPr>
        <w:t>8.10</w:t>
      </w:r>
      <w:r w:rsidRPr="0048232F">
        <w:rPr>
          <w:b/>
          <w:lang w:val="en-US"/>
        </w:rPr>
        <w:tab/>
        <w:t xml:space="preserve">    Liability of</w:t>
      </w:r>
      <w:r>
        <w:rPr>
          <w:b/>
          <w:lang w:val="en-US"/>
        </w:rPr>
        <w:t xml:space="preserve"> </w:t>
      </w:r>
      <w:r w:rsidRPr="0048232F">
        <w:rPr>
          <w:b/>
          <w:lang w:val="en-US"/>
        </w:rPr>
        <w:t>ACMA</w:t>
      </w:r>
    </w:p>
    <w:p w14:paraId="1415C11E" w14:textId="422552D3" w:rsidR="00603AB1" w:rsidRPr="00AB1DAC" w:rsidRDefault="00603AB1" w:rsidP="00AB1DAC">
      <w:pPr>
        <w:pStyle w:val="ACMABodyText"/>
        <w:rPr>
          <w:b/>
          <w:lang w:val="en-US"/>
        </w:rPr>
      </w:pPr>
      <w:r w:rsidRPr="00131E7E">
        <w:t xml:space="preserve">This section </w:t>
      </w:r>
      <w:r w:rsidR="00B50DE3">
        <w:rPr>
          <w:lang w:val="en-US"/>
        </w:rPr>
        <w:t>provides that</w:t>
      </w:r>
      <w:r w:rsidR="00B50DE3" w:rsidRPr="00131E7E">
        <w:rPr>
          <w:lang w:val="en-US"/>
        </w:rPr>
        <w:t xml:space="preserve"> </w:t>
      </w:r>
      <w:r w:rsidR="00F07703">
        <w:rPr>
          <w:lang w:val="en-US"/>
        </w:rPr>
        <w:t xml:space="preserve">none of </w:t>
      </w:r>
      <w:r w:rsidRPr="00131E7E">
        <w:rPr>
          <w:lang w:val="en-US"/>
        </w:rPr>
        <w:t xml:space="preserve">the </w:t>
      </w:r>
      <w:r>
        <w:rPr>
          <w:lang w:val="en-US"/>
        </w:rPr>
        <w:t xml:space="preserve">ACMA, the auction </w:t>
      </w:r>
      <w:r w:rsidR="00B50DE3">
        <w:rPr>
          <w:lang w:val="en-US"/>
        </w:rPr>
        <w:t>manager n</w:t>
      </w:r>
      <w:r>
        <w:rPr>
          <w:lang w:val="en-US"/>
        </w:rPr>
        <w:t xml:space="preserve">or the </w:t>
      </w:r>
      <w:r w:rsidR="00B50DE3">
        <w:rPr>
          <w:lang w:val="en-US"/>
        </w:rPr>
        <w:t>Commonwealth, is</w:t>
      </w:r>
      <w:r w:rsidR="00B50DE3" w:rsidRPr="00131E7E">
        <w:rPr>
          <w:lang w:val="en-US"/>
        </w:rPr>
        <w:t xml:space="preserve"> </w:t>
      </w:r>
      <w:r w:rsidRPr="00131E7E">
        <w:rPr>
          <w:lang w:val="en-US"/>
        </w:rPr>
        <w:t>liabl</w:t>
      </w:r>
      <w:r w:rsidR="00B50DE3">
        <w:rPr>
          <w:lang w:val="en-US"/>
        </w:rPr>
        <w:t>e</w:t>
      </w:r>
      <w:r w:rsidRPr="00131E7E">
        <w:rPr>
          <w:lang w:val="en-US"/>
        </w:rPr>
        <w:t xml:space="preserve"> </w:t>
      </w:r>
      <w:r w:rsidR="00B50DE3">
        <w:rPr>
          <w:lang w:val="en-US"/>
        </w:rPr>
        <w:t>to pay</w:t>
      </w:r>
      <w:r>
        <w:rPr>
          <w:lang w:val="en-US"/>
        </w:rPr>
        <w:t xml:space="preserve"> damages or costs arising from any act or omission of any person in relation to the </w:t>
      </w:r>
      <w:r w:rsidR="004B498D">
        <w:rPr>
          <w:lang w:val="en-US"/>
        </w:rPr>
        <w:t>allocation</w:t>
      </w:r>
      <w:r>
        <w:rPr>
          <w:lang w:val="en-US"/>
        </w:rPr>
        <w:t xml:space="preserve"> procedures </w:t>
      </w:r>
      <w:r w:rsidRPr="00131E7E">
        <w:rPr>
          <w:lang w:val="en-US"/>
        </w:rPr>
        <w:t xml:space="preserve">set out </w:t>
      </w:r>
      <w:r>
        <w:rPr>
          <w:lang w:val="en-US"/>
        </w:rPr>
        <w:t>in</w:t>
      </w:r>
      <w:r w:rsidRPr="00131E7E">
        <w:rPr>
          <w:lang w:val="en-US"/>
        </w:rPr>
        <w:t xml:space="preserve"> </w:t>
      </w:r>
      <w:r w:rsidR="00B50DE3" w:rsidRPr="00131E7E">
        <w:rPr>
          <w:lang w:val="en-US"/>
        </w:rPr>
        <w:t>th</w:t>
      </w:r>
      <w:r w:rsidR="00B50DE3">
        <w:rPr>
          <w:lang w:val="en-US"/>
        </w:rPr>
        <w:t>e</w:t>
      </w:r>
      <w:r w:rsidR="00B50DE3" w:rsidRPr="00131E7E">
        <w:rPr>
          <w:lang w:val="en-US"/>
        </w:rPr>
        <w:t xml:space="preserve"> </w:t>
      </w:r>
      <w:r w:rsidRPr="00131E7E">
        <w:rPr>
          <w:lang w:val="en-US"/>
        </w:rPr>
        <w:t>Determination.</w:t>
      </w:r>
    </w:p>
    <w:p w14:paraId="219E579E" w14:textId="77777777" w:rsidR="00603AB1" w:rsidRPr="00AF0CE1" w:rsidRDefault="00603AB1" w:rsidP="00AB1DAC">
      <w:pPr>
        <w:pStyle w:val="ACMABodyText"/>
        <w:rPr>
          <w:b/>
        </w:rPr>
      </w:pPr>
      <w:r w:rsidRPr="0048232F">
        <w:rPr>
          <w:b/>
        </w:rPr>
        <w:t>Section</w:t>
      </w:r>
      <w:r w:rsidR="00371F8D">
        <w:rPr>
          <w:b/>
        </w:rPr>
        <w:t xml:space="preserve"> 8.11</w:t>
      </w:r>
      <w:r w:rsidRPr="0048232F">
        <w:rPr>
          <w:b/>
        </w:rPr>
        <w:tab/>
        <w:t xml:space="preserve">     </w:t>
      </w:r>
      <w:r>
        <w:rPr>
          <w:b/>
        </w:rPr>
        <w:t>Other rights not affected</w:t>
      </w:r>
    </w:p>
    <w:p w14:paraId="52941952" w14:textId="77777777" w:rsidR="00603AB1" w:rsidRDefault="00603AB1" w:rsidP="00C91D23">
      <w:pPr>
        <w:pStyle w:val="ACMABodyText"/>
        <w:rPr>
          <w:lang w:val="en-US"/>
        </w:rPr>
      </w:pPr>
      <w:r w:rsidRPr="00C91D23">
        <w:rPr>
          <w:lang w:val="en-US"/>
        </w:rPr>
        <w:t>This section makes it clear that the Determination does not limit any right of action or remedy that the ACMA or the Commonwealth may have against any person.</w:t>
      </w:r>
    </w:p>
    <w:p w14:paraId="2735C4EB" w14:textId="77777777" w:rsidR="004949CB" w:rsidRDefault="004949CB" w:rsidP="00C91D23">
      <w:pPr>
        <w:pStyle w:val="ACMABodyText"/>
        <w:rPr>
          <w:lang w:val="en-US"/>
        </w:rPr>
      </w:pPr>
    </w:p>
    <w:p w14:paraId="169C3F3A" w14:textId="77777777" w:rsidR="00603AB1" w:rsidRDefault="00603AB1" w:rsidP="00C91D23">
      <w:pPr>
        <w:pStyle w:val="ACMABodyText"/>
        <w:rPr>
          <w:b/>
          <w:lang w:val="en-US"/>
        </w:rPr>
      </w:pPr>
      <w:r>
        <w:rPr>
          <w:b/>
          <w:lang w:val="en-US"/>
        </w:rPr>
        <w:lastRenderedPageBreak/>
        <w:t xml:space="preserve">Section </w:t>
      </w:r>
      <w:r w:rsidR="00371F8D">
        <w:rPr>
          <w:b/>
          <w:lang w:val="en-US"/>
        </w:rPr>
        <w:t>8.12</w:t>
      </w:r>
      <w:r w:rsidRPr="00CA3C02">
        <w:rPr>
          <w:b/>
          <w:lang w:val="en-US"/>
        </w:rPr>
        <w:tab/>
        <w:t xml:space="preserve">    Auction manager may delegate functions and powers</w:t>
      </w:r>
    </w:p>
    <w:p w14:paraId="03323EC9" w14:textId="77777777" w:rsidR="00603AB1" w:rsidRDefault="00603AB1" w:rsidP="007F404A">
      <w:pPr>
        <w:pStyle w:val="ACMABodyText"/>
      </w:pPr>
      <w:r w:rsidRPr="00CA3C02">
        <w:rPr>
          <w:lang w:val="en-US"/>
        </w:rPr>
        <w:t xml:space="preserve">This section </w:t>
      </w:r>
      <w:r>
        <w:rPr>
          <w:lang w:val="en-US"/>
        </w:rPr>
        <w:t xml:space="preserve">provides that the auction manager may delegate any of </w:t>
      </w:r>
      <w:r w:rsidR="00936E6B">
        <w:rPr>
          <w:lang w:val="en-US"/>
        </w:rPr>
        <w:t xml:space="preserve">his or </w:t>
      </w:r>
      <w:r w:rsidR="00524F9A">
        <w:rPr>
          <w:lang w:val="en-US"/>
        </w:rPr>
        <w:t>her</w:t>
      </w:r>
      <w:r w:rsidR="00936E6B">
        <w:rPr>
          <w:lang w:val="en-US"/>
        </w:rPr>
        <w:t xml:space="preserve"> </w:t>
      </w:r>
      <w:r>
        <w:rPr>
          <w:lang w:val="en-US"/>
        </w:rPr>
        <w:t xml:space="preserve">functions and powers under the Determination to another person. Any such delegation must be made in writing. </w:t>
      </w:r>
      <w:bookmarkEnd w:id="6"/>
      <w:bookmarkEnd w:id="7"/>
    </w:p>
    <w:p w14:paraId="399F46AA" w14:textId="77777777" w:rsidR="00603AB1" w:rsidRDefault="00603AB1" w:rsidP="007A15FE">
      <w:pPr>
        <w:pStyle w:val="Partheadinglevel"/>
        <w:sectPr w:rsidR="00603AB1" w:rsidSect="00A56B1A">
          <w:footerReference w:type="default" r:id="rId16"/>
          <w:pgSz w:w="11899" w:h="16838"/>
          <w:pgMar w:top="1134" w:right="1409" w:bottom="1440" w:left="1418" w:header="720" w:footer="720" w:gutter="0"/>
          <w:cols w:space="720"/>
          <w:docGrid w:linePitch="360"/>
        </w:sectPr>
      </w:pPr>
    </w:p>
    <w:p w14:paraId="2E66B098" w14:textId="16619685" w:rsidR="00603AB1" w:rsidRPr="00C32CC9" w:rsidRDefault="00603AB1" w:rsidP="00726EB3">
      <w:pPr>
        <w:pStyle w:val="ACMABodyText"/>
        <w:jc w:val="right"/>
        <w:rPr>
          <w:b/>
          <w:lang w:val="en-US"/>
        </w:rPr>
      </w:pPr>
    </w:p>
    <w:p w14:paraId="3491709D" w14:textId="77777777" w:rsidR="00603AB1" w:rsidRDefault="00603AB1" w:rsidP="00726EB3">
      <w:pPr>
        <w:pStyle w:val="Partheadinglevel"/>
      </w:pPr>
    </w:p>
    <w:p w14:paraId="4A9A161E" w14:textId="77777777" w:rsidR="00603AB1" w:rsidRDefault="00603AB1" w:rsidP="00726EB3">
      <w:pPr>
        <w:pStyle w:val="Partheadinglevel"/>
      </w:pPr>
      <w:r>
        <w:t>SCHEDULE 1     AUCTION RULES</w:t>
      </w:r>
    </w:p>
    <w:p w14:paraId="144F69FF" w14:textId="77777777" w:rsidR="00603AB1" w:rsidRDefault="00603AB1" w:rsidP="00726EB3">
      <w:pPr>
        <w:pStyle w:val="ACMABodyText"/>
        <w:spacing w:before="240"/>
      </w:pPr>
      <w:r>
        <w:t>This Schedule describes the detailed rules for conducting the auction, including</w:t>
      </w:r>
      <w:r w:rsidR="00CF5D75">
        <w:t xml:space="preserve"> any related</w:t>
      </w:r>
      <w:r>
        <w:t xml:space="preserve"> procedures that are referred to in </w:t>
      </w:r>
      <w:r w:rsidR="002534AC" w:rsidRPr="007371DF">
        <w:t xml:space="preserve">Part </w:t>
      </w:r>
      <w:r w:rsidR="00371F8D" w:rsidRPr="007371DF">
        <w:t>6</w:t>
      </w:r>
      <w:r>
        <w:t xml:space="preserve"> of the Determination. </w:t>
      </w:r>
    </w:p>
    <w:p w14:paraId="45A22118" w14:textId="36465BC0" w:rsidR="00603AB1" w:rsidRDefault="00603AB1" w:rsidP="00726EB3">
      <w:pPr>
        <w:pStyle w:val="ACMABodyText"/>
      </w:pPr>
      <w:r>
        <w:t>The Schedule is comprised of</w:t>
      </w:r>
      <w:r w:rsidR="00BC2012">
        <w:t xml:space="preserve"> 3</w:t>
      </w:r>
      <w:r>
        <w:t xml:space="preserve"> Parts which deal separately with the rules applicable to:</w:t>
      </w:r>
    </w:p>
    <w:p w14:paraId="77DC7E2A" w14:textId="77777777" w:rsidR="0014129B" w:rsidRDefault="002534AC" w:rsidP="00D87D37">
      <w:pPr>
        <w:pStyle w:val="ACMABodyText"/>
        <w:numPr>
          <w:ilvl w:val="0"/>
          <w:numId w:val="9"/>
        </w:numPr>
      </w:pPr>
      <w:r>
        <w:t xml:space="preserve">Auction arrangements </w:t>
      </w:r>
      <w:r w:rsidR="00603AB1">
        <w:t>(Part 1)</w:t>
      </w:r>
      <w:r w:rsidR="00CF5D75">
        <w:t>;</w:t>
      </w:r>
    </w:p>
    <w:p w14:paraId="60E11967" w14:textId="77777777" w:rsidR="0014129B" w:rsidRDefault="002534AC" w:rsidP="00D87D37">
      <w:pPr>
        <w:pStyle w:val="ACMABodyText"/>
        <w:numPr>
          <w:ilvl w:val="0"/>
          <w:numId w:val="9"/>
        </w:numPr>
      </w:pPr>
      <w:r>
        <w:t xml:space="preserve">Bidding </w:t>
      </w:r>
      <w:r w:rsidR="007B3439">
        <w:t>i</w:t>
      </w:r>
      <w:r>
        <w:t>n the auction</w:t>
      </w:r>
      <w:r w:rsidR="00603AB1">
        <w:t xml:space="preserve"> (Part 2)</w:t>
      </w:r>
      <w:r w:rsidR="00CF5D75">
        <w:t>;</w:t>
      </w:r>
    </w:p>
    <w:p w14:paraId="36985FE8" w14:textId="77777777" w:rsidR="0014129B" w:rsidRDefault="002534AC" w:rsidP="00D87D37">
      <w:pPr>
        <w:pStyle w:val="ACMABodyText"/>
        <w:numPr>
          <w:ilvl w:val="0"/>
          <w:numId w:val="9"/>
        </w:numPr>
      </w:pPr>
      <w:r>
        <w:t xml:space="preserve">Bringing the auction to a close </w:t>
      </w:r>
      <w:r w:rsidR="00603AB1">
        <w:t>(Part 3)</w:t>
      </w:r>
      <w:r w:rsidR="00CF5D75">
        <w:t>.</w:t>
      </w:r>
    </w:p>
    <w:p w14:paraId="0EA418CE" w14:textId="77777777" w:rsidR="00F257C5" w:rsidRDefault="00603AB1" w:rsidP="00AF74AA">
      <w:pPr>
        <w:pStyle w:val="ACMABodyText"/>
        <w:spacing w:before="360"/>
        <w:ind w:left="709" w:hanging="709"/>
        <w:rPr>
          <w:b/>
          <w:sz w:val="22"/>
          <w:szCs w:val="22"/>
        </w:rPr>
      </w:pPr>
      <w:r w:rsidRPr="003B200E">
        <w:rPr>
          <w:b/>
          <w:sz w:val="22"/>
          <w:szCs w:val="22"/>
        </w:rPr>
        <w:t>Part 1</w:t>
      </w:r>
      <w:r w:rsidRPr="003B200E">
        <w:rPr>
          <w:b/>
          <w:sz w:val="22"/>
          <w:szCs w:val="22"/>
        </w:rPr>
        <w:tab/>
      </w:r>
      <w:r w:rsidR="00AF74AA">
        <w:rPr>
          <w:b/>
          <w:sz w:val="22"/>
          <w:szCs w:val="22"/>
        </w:rPr>
        <w:tab/>
      </w:r>
      <w:r w:rsidR="00AF74AA">
        <w:rPr>
          <w:b/>
          <w:sz w:val="22"/>
          <w:szCs w:val="22"/>
        </w:rPr>
        <w:tab/>
      </w:r>
      <w:r w:rsidR="00F257C5">
        <w:rPr>
          <w:b/>
          <w:sz w:val="22"/>
          <w:szCs w:val="22"/>
        </w:rPr>
        <w:t xml:space="preserve">Auction arrangements </w:t>
      </w:r>
    </w:p>
    <w:p w14:paraId="4858624A" w14:textId="77777777" w:rsidR="00F257C5" w:rsidRPr="007E5363" w:rsidRDefault="00F257C5" w:rsidP="00F257C5">
      <w:pPr>
        <w:pStyle w:val="ACMABodyText"/>
        <w:rPr>
          <w:lang w:val="en-US"/>
        </w:rPr>
      </w:pPr>
      <w:r>
        <w:rPr>
          <w:lang w:val="en-US"/>
        </w:rPr>
        <w:t xml:space="preserve">Part 1 of Schedule 1 describes in detail the rules that will apply during the rounds and stages in the auction. </w:t>
      </w:r>
    </w:p>
    <w:p w14:paraId="01BF875B" w14:textId="77777777" w:rsidR="00603AB1" w:rsidRPr="008410CC" w:rsidRDefault="00F257C5" w:rsidP="00726EB3">
      <w:pPr>
        <w:pStyle w:val="ACMABodyText"/>
        <w:spacing w:before="360"/>
        <w:rPr>
          <w:b/>
        </w:rPr>
      </w:pPr>
      <w:r w:rsidRPr="008410CC">
        <w:rPr>
          <w:b/>
        </w:rPr>
        <w:t xml:space="preserve">Clause 1 </w:t>
      </w:r>
      <w:r w:rsidR="00693C1C">
        <w:rPr>
          <w:b/>
        </w:rPr>
        <w:tab/>
      </w:r>
      <w:r w:rsidR="002534AC" w:rsidRPr="008410CC">
        <w:rPr>
          <w:b/>
        </w:rPr>
        <w:t>Rounds of the auction</w:t>
      </w:r>
    </w:p>
    <w:p w14:paraId="2BB852B3" w14:textId="443AB149" w:rsidR="001E54A3" w:rsidRDefault="001E54A3" w:rsidP="00726EB3">
      <w:pPr>
        <w:pStyle w:val="ACMABodyText"/>
        <w:rPr>
          <w:lang w:val="en-US"/>
        </w:rPr>
      </w:pPr>
      <w:r>
        <w:rPr>
          <w:lang w:val="en-US"/>
        </w:rPr>
        <w:t xml:space="preserve">Clause 1 </w:t>
      </w:r>
      <w:r w:rsidR="00603AB1">
        <w:rPr>
          <w:lang w:val="en-US"/>
        </w:rPr>
        <w:t>set</w:t>
      </w:r>
      <w:r>
        <w:rPr>
          <w:lang w:val="en-US"/>
        </w:rPr>
        <w:t>s</w:t>
      </w:r>
      <w:r w:rsidR="00603AB1">
        <w:rPr>
          <w:lang w:val="en-US"/>
        </w:rPr>
        <w:t xml:space="preserve"> out </w:t>
      </w:r>
      <w:r>
        <w:rPr>
          <w:lang w:val="en-US"/>
        </w:rPr>
        <w:t xml:space="preserve">that each round is made up of a bidding period and results period.  The bidding period is when bidders make their bidding instructions and the results period is when the auction manager, using the auction system, works out the high bids for the round on each lot offered and then </w:t>
      </w:r>
      <w:r w:rsidR="005C48A6">
        <w:rPr>
          <w:lang w:val="en-US"/>
        </w:rPr>
        <w:t>provides</w:t>
      </w:r>
      <w:r>
        <w:rPr>
          <w:lang w:val="en-US"/>
        </w:rPr>
        <w:t xml:space="preserve"> the results </w:t>
      </w:r>
      <w:r w:rsidR="005C48A6">
        <w:rPr>
          <w:lang w:val="en-US"/>
        </w:rPr>
        <w:t xml:space="preserve">to bidders </w:t>
      </w:r>
      <w:r>
        <w:rPr>
          <w:lang w:val="en-US"/>
        </w:rPr>
        <w:t xml:space="preserve">using the auction system. </w:t>
      </w:r>
      <w:r w:rsidR="00650B47">
        <w:rPr>
          <w:lang w:val="en-US"/>
        </w:rPr>
        <w:t>A bid is taken to have been made when the bidder’s bid for a round of the auction has passed data validation checks that are performed by the auction system</w:t>
      </w:r>
      <w:r w:rsidR="005C48A6">
        <w:rPr>
          <w:lang w:val="en-US"/>
        </w:rPr>
        <w:t xml:space="preserve"> (see subclause 10(3))</w:t>
      </w:r>
      <w:r w:rsidR="00650B47">
        <w:rPr>
          <w:lang w:val="en-US"/>
        </w:rPr>
        <w:t xml:space="preserve">. </w:t>
      </w:r>
    </w:p>
    <w:p w14:paraId="5949700D" w14:textId="725D007E" w:rsidR="00DB3355" w:rsidRDefault="00650B47" w:rsidP="00DB3355">
      <w:pPr>
        <w:pStyle w:val="ACMABodyText"/>
        <w:rPr>
          <w:lang w:val="en-US"/>
        </w:rPr>
      </w:pPr>
      <w:r>
        <w:rPr>
          <w:lang w:val="en-US"/>
        </w:rPr>
        <w:t>The results for a round</w:t>
      </w:r>
      <w:r w:rsidR="00973131">
        <w:rPr>
          <w:lang w:val="en-US"/>
        </w:rPr>
        <w:t>, which will be provided to all bidders,</w:t>
      </w:r>
      <w:r>
        <w:rPr>
          <w:lang w:val="en-US"/>
        </w:rPr>
        <w:t xml:space="preserve"> will </w:t>
      </w:r>
      <w:r w:rsidR="00DB3355">
        <w:rPr>
          <w:lang w:val="en-US"/>
        </w:rPr>
        <w:t>contain</w:t>
      </w:r>
      <w:r w:rsidR="005C48A6">
        <w:rPr>
          <w:lang w:val="en-US"/>
        </w:rPr>
        <w:t>:</w:t>
      </w:r>
      <w:r w:rsidR="00DB3355">
        <w:rPr>
          <w:lang w:val="en-US"/>
        </w:rPr>
        <w:t xml:space="preserve"> </w:t>
      </w:r>
      <w:r w:rsidR="00DB3355" w:rsidRPr="00DB3355">
        <w:rPr>
          <w:lang w:val="en-US"/>
        </w:rPr>
        <w:t>the amount of the high bid on each lot at the end of the round</w:t>
      </w:r>
      <w:r w:rsidR="007B3439">
        <w:rPr>
          <w:lang w:val="en-US"/>
        </w:rPr>
        <w:t>; an indicator that signal</w:t>
      </w:r>
      <w:r w:rsidR="00CF5D75">
        <w:rPr>
          <w:lang w:val="en-US"/>
        </w:rPr>
        <w:t>s</w:t>
      </w:r>
      <w:r w:rsidR="007B3439">
        <w:rPr>
          <w:lang w:val="en-US"/>
        </w:rPr>
        <w:t xml:space="preserve"> </w:t>
      </w:r>
      <w:r w:rsidR="007B3439" w:rsidRPr="001F007E">
        <w:t xml:space="preserve">if the bidder with the high bid </w:t>
      </w:r>
      <w:r w:rsidR="00CF5D75">
        <w:t xml:space="preserve">on a lot </w:t>
      </w:r>
      <w:r w:rsidR="007B3439" w:rsidRPr="001F007E">
        <w:t xml:space="preserve">for the round is the same bidder with the high bid </w:t>
      </w:r>
      <w:r w:rsidR="00CF5D75">
        <w:t xml:space="preserve">on that lot </w:t>
      </w:r>
      <w:r w:rsidR="007B3439" w:rsidRPr="001F007E">
        <w:t>from the previous round</w:t>
      </w:r>
      <w:r w:rsidR="00DB3355" w:rsidRPr="00DB3355">
        <w:rPr>
          <w:lang w:val="en-US"/>
        </w:rPr>
        <w:t>;</w:t>
      </w:r>
      <w:r w:rsidR="00DB3355">
        <w:rPr>
          <w:lang w:val="en-US"/>
        </w:rPr>
        <w:t xml:space="preserve"> </w:t>
      </w:r>
      <w:r w:rsidR="005353A7">
        <w:rPr>
          <w:lang w:val="en-US"/>
        </w:rPr>
        <w:t>the number of bids made on a lot for the round,</w:t>
      </w:r>
      <w:r w:rsidR="005353A7" w:rsidRPr="00DB3355">
        <w:rPr>
          <w:lang w:val="en-US"/>
        </w:rPr>
        <w:t xml:space="preserve"> </w:t>
      </w:r>
      <w:r w:rsidR="00DB3355" w:rsidRPr="00DB3355">
        <w:rPr>
          <w:lang w:val="en-US"/>
        </w:rPr>
        <w:t>the minimum bid on each lot for the next round</w:t>
      </w:r>
      <w:r w:rsidR="005353A7">
        <w:rPr>
          <w:lang w:val="en-US"/>
        </w:rPr>
        <w:t xml:space="preserve">, </w:t>
      </w:r>
      <w:r w:rsidR="005353A7">
        <w:t>a list of specified bids that may be made on each lot for the next round;</w:t>
      </w:r>
      <w:r w:rsidR="00DB3355">
        <w:rPr>
          <w:lang w:val="en-US"/>
        </w:rPr>
        <w:t xml:space="preserve"> and any</w:t>
      </w:r>
      <w:r w:rsidR="00DB3355" w:rsidRPr="00DB3355">
        <w:rPr>
          <w:lang w:val="en-US"/>
        </w:rPr>
        <w:t xml:space="preserve"> other information necessary for the smooth running of the auction. </w:t>
      </w:r>
    </w:p>
    <w:p w14:paraId="715C7717" w14:textId="2A353362" w:rsidR="00CF5D75" w:rsidRPr="00DB3355" w:rsidRDefault="00CF5D75" w:rsidP="00DB3355">
      <w:pPr>
        <w:pStyle w:val="ACMABodyText"/>
        <w:rPr>
          <w:lang w:val="en-US"/>
        </w:rPr>
      </w:pPr>
      <w:r>
        <w:rPr>
          <w:lang w:val="en-US"/>
        </w:rPr>
        <w:t xml:space="preserve">The specified bids that may be made on </w:t>
      </w:r>
      <w:r w:rsidR="00973131">
        <w:rPr>
          <w:lang w:val="en-US"/>
        </w:rPr>
        <w:t>a</w:t>
      </w:r>
      <w:r>
        <w:rPr>
          <w:lang w:val="en-US"/>
        </w:rPr>
        <w:t xml:space="preserve"> lot for the next round will be </w:t>
      </w:r>
      <w:r w:rsidR="00973131">
        <w:rPr>
          <w:lang w:val="en-US"/>
        </w:rPr>
        <w:t xml:space="preserve">the minimum bid and </w:t>
      </w:r>
      <w:r>
        <w:rPr>
          <w:lang w:val="en-US"/>
        </w:rPr>
        <w:t>increments of the minimum bid</w:t>
      </w:r>
      <w:r w:rsidR="00973131">
        <w:rPr>
          <w:lang w:val="en-US"/>
        </w:rPr>
        <w:t xml:space="preserve"> for the lot</w:t>
      </w:r>
      <w:r>
        <w:rPr>
          <w:lang w:val="en-US"/>
        </w:rPr>
        <w:t xml:space="preserve">.  </w:t>
      </w:r>
      <w:r w:rsidR="00E124C2">
        <w:rPr>
          <w:lang w:val="en-US"/>
        </w:rPr>
        <w:t>These</w:t>
      </w:r>
      <w:r w:rsidR="00973131">
        <w:rPr>
          <w:lang w:val="en-US"/>
        </w:rPr>
        <w:t xml:space="preserve"> </w:t>
      </w:r>
      <w:r>
        <w:rPr>
          <w:lang w:val="en-US"/>
        </w:rPr>
        <w:t>s</w:t>
      </w:r>
      <w:r w:rsidR="00973131">
        <w:rPr>
          <w:lang w:val="en-US"/>
        </w:rPr>
        <w:t xml:space="preserve">pecified bids </w:t>
      </w:r>
      <w:r w:rsidR="00E124C2">
        <w:rPr>
          <w:lang w:val="en-US"/>
        </w:rPr>
        <w:t>are</w:t>
      </w:r>
      <w:r w:rsidR="00973131">
        <w:rPr>
          <w:lang w:val="en-US"/>
        </w:rPr>
        <w:t xml:space="preserve"> known as ‘jump bids’. Only specified bids may be made for the round.</w:t>
      </w:r>
    </w:p>
    <w:p w14:paraId="03519B6E" w14:textId="399427C9" w:rsidR="009A603B" w:rsidRDefault="00371F8D" w:rsidP="009A603B">
      <w:pPr>
        <w:pStyle w:val="ACMABodyText"/>
      </w:pPr>
      <w:r w:rsidRPr="005300DE">
        <w:rPr>
          <w:lang w:val="en-US"/>
        </w:rPr>
        <w:t>During the results period for a round, the bidder will receive</w:t>
      </w:r>
      <w:r w:rsidR="009A603B" w:rsidRPr="005300DE">
        <w:rPr>
          <w:lang w:val="en-US"/>
        </w:rPr>
        <w:t xml:space="preserve">, </w:t>
      </w:r>
      <w:r w:rsidR="00DB3DA8" w:rsidRPr="005300DE">
        <w:rPr>
          <w:lang w:val="en-US"/>
        </w:rPr>
        <w:t xml:space="preserve">through </w:t>
      </w:r>
      <w:r w:rsidR="009A603B" w:rsidRPr="005300DE">
        <w:rPr>
          <w:lang w:val="en-US"/>
        </w:rPr>
        <w:t xml:space="preserve">the auction system, </w:t>
      </w:r>
      <w:r w:rsidR="00973131">
        <w:rPr>
          <w:lang w:val="en-US"/>
        </w:rPr>
        <w:t xml:space="preserve">information relevant to that bidder, being </w:t>
      </w:r>
      <w:r w:rsidR="009A603B" w:rsidRPr="005300DE">
        <w:rPr>
          <w:lang w:val="en-US"/>
        </w:rPr>
        <w:t>the bidding instructions made by the bidder during the bidding period for the round; the amount of any high bid held on a lot by the bidder at the end of the round</w:t>
      </w:r>
      <w:r w:rsidR="005C48A6" w:rsidRPr="005300DE">
        <w:rPr>
          <w:lang w:val="en-US"/>
        </w:rPr>
        <w:t>;</w:t>
      </w:r>
      <w:r w:rsidR="00DB3DA8" w:rsidRPr="005300DE">
        <w:rPr>
          <w:lang w:val="en-US"/>
        </w:rPr>
        <w:t xml:space="preserve"> the total amount of high bids held by the bidder at the end of the round</w:t>
      </w:r>
      <w:r w:rsidR="009A603B" w:rsidRPr="005300DE">
        <w:rPr>
          <w:lang w:val="en-US"/>
        </w:rPr>
        <w:t xml:space="preserve">; </w:t>
      </w:r>
      <w:r w:rsidR="007B3439" w:rsidRPr="005300DE">
        <w:rPr>
          <w:lang w:val="en-US"/>
        </w:rPr>
        <w:t>the bid withdrawal penalt</w:t>
      </w:r>
      <w:r w:rsidR="005353A7">
        <w:rPr>
          <w:lang w:val="en-US"/>
        </w:rPr>
        <w:t>y</w:t>
      </w:r>
      <w:r w:rsidR="007B3439" w:rsidRPr="005300DE">
        <w:rPr>
          <w:lang w:val="en-US"/>
        </w:rPr>
        <w:t xml:space="preserve"> for each lot that </w:t>
      </w:r>
      <w:r w:rsidR="005D48D7">
        <w:rPr>
          <w:lang w:val="en-US"/>
        </w:rPr>
        <w:t>the</w:t>
      </w:r>
      <w:r w:rsidR="007B3439" w:rsidRPr="005300DE">
        <w:rPr>
          <w:lang w:val="en-US"/>
        </w:rPr>
        <w:t xml:space="preserve"> bidder is liable for under </w:t>
      </w:r>
      <w:r w:rsidR="005C48A6" w:rsidRPr="005300DE">
        <w:rPr>
          <w:lang w:val="en-US"/>
        </w:rPr>
        <w:t>c</w:t>
      </w:r>
      <w:r w:rsidR="007B3439" w:rsidRPr="005300DE">
        <w:rPr>
          <w:lang w:val="en-US"/>
        </w:rPr>
        <w:t xml:space="preserve">lause 18 </w:t>
      </w:r>
      <w:r w:rsidR="005353A7">
        <w:rPr>
          <w:lang w:val="en-US"/>
        </w:rPr>
        <w:t xml:space="preserve">for </w:t>
      </w:r>
      <w:r w:rsidR="007B3439" w:rsidRPr="005300DE">
        <w:rPr>
          <w:lang w:val="en-US"/>
        </w:rPr>
        <w:t xml:space="preserve"> the round</w:t>
      </w:r>
      <w:r w:rsidR="007B3439" w:rsidRPr="00462C0B">
        <w:rPr>
          <w:lang w:val="en-US"/>
        </w:rPr>
        <w:t xml:space="preserve">; </w:t>
      </w:r>
      <w:r w:rsidR="009A603B" w:rsidRPr="00462C0B">
        <w:rPr>
          <w:lang w:val="en-US"/>
        </w:rPr>
        <w:t>the bidder’s eligibility points</w:t>
      </w:r>
      <w:r w:rsidR="005D48D7">
        <w:rPr>
          <w:lang w:val="en-US"/>
        </w:rPr>
        <w:t xml:space="preserve"> at the beginning of the next round,</w:t>
      </w:r>
      <w:r w:rsidR="009A603B" w:rsidRPr="00462C0B">
        <w:rPr>
          <w:lang w:val="en-US"/>
        </w:rPr>
        <w:t xml:space="preserve"> </w:t>
      </w:r>
      <w:r w:rsidR="00926840" w:rsidRPr="00462C0B">
        <w:rPr>
          <w:lang w:val="en-US"/>
        </w:rPr>
        <w:t xml:space="preserve">the number of </w:t>
      </w:r>
      <w:r w:rsidR="00E07282">
        <w:rPr>
          <w:lang w:val="en-US"/>
        </w:rPr>
        <w:t>bidder’s w</w:t>
      </w:r>
      <w:r w:rsidR="00926840" w:rsidRPr="00462C0B">
        <w:rPr>
          <w:lang w:val="en-US"/>
        </w:rPr>
        <w:t xml:space="preserve">aivers remaining </w:t>
      </w:r>
      <w:r w:rsidR="009A603B" w:rsidRPr="00462C0B">
        <w:rPr>
          <w:lang w:val="en-US"/>
        </w:rPr>
        <w:t>at the beginning of the next round</w:t>
      </w:r>
      <w:r w:rsidR="005300DE" w:rsidRPr="00462C0B">
        <w:rPr>
          <w:lang w:val="en-US"/>
        </w:rPr>
        <w:t>,</w:t>
      </w:r>
      <w:r w:rsidR="005D48D7">
        <w:rPr>
          <w:lang w:val="en-US"/>
        </w:rPr>
        <w:t xml:space="preserve"> and </w:t>
      </w:r>
      <w:r w:rsidR="005D48D7" w:rsidRPr="005D48D7">
        <w:rPr>
          <w:lang w:val="en-US"/>
        </w:rPr>
        <w:t>any other details necessary for the smooth running of the auction</w:t>
      </w:r>
      <w:r w:rsidR="005D48D7">
        <w:rPr>
          <w:lang w:val="en-US"/>
        </w:rPr>
        <w:t>.</w:t>
      </w:r>
      <w:r w:rsidR="005300DE" w:rsidRPr="00462C0B">
        <w:rPr>
          <w:lang w:val="en-US"/>
        </w:rPr>
        <w:t xml:space="preserve"> </w:t>
      </w:r>
      <w:r w:rsidR="005300DE">
        <w:t xml:space="preserve"> </w:t>
      </w:r>
      <w:r w:rsidR="005D48D7">
        <w:t>Other details can include the total withdrawal penalties on all lots for the round and the accumulated withdrawal penalties up to that round</w:t>
      </w:r>
      <w:r w:rsidR="00B76EA6">
        <w:t xml:space="preserve"> for that bidder</w:t>
      </w:r>
      <w:r w:rsidR="005D48D7">
        <w:t>.</w:t>
      </w:r>
      <w:r w:rsidR="005300DE">
        <w:t xml:space="preserve">  Providing this information </w:t>
      </w:r>
      <w:r w:rsidR="00E124C2">
        <w:t>assists bidders</w:t>
      </w:r>
      <w:r w:rsidR="005300DE">
        <w:t xml:space="preserve"> to make decisions on any bidding instructions they wish to give in the following round(s).</w:t>
      </w:r>
    </w:p>
    <w:p w14:paraId="17CC028A" w14:textId="77777777" w:rsidR="00E124C2" w:rsidRDefault="00E124C2" w:rsidP="009A603B">
      <w:pPr>
        <w:pStyle w:val="ACMABodyText"/>
      </w:pPr>
    </w:p>
    <w:p w14:paraId="22F5895C" w14:textId="77777777" w:rsidR="00E124C2" w:rsidRPr="009C3F34" w:rsidRDefault="00E124C2" w:rsidP="009A603B">
      <w:pPr>
        <w:pStyle w:val="ACMABodyText"/>
      </w:pPr>
    </w:p>
    <w:p w14:paraId="6CC477FE" w14:textId="77777777" w:rsidR="00F257C5" w:rsidRDefault="00F257C5" w:rsidP="00726EB3">
      <w:pPr>
        <w:pStyle w:val="ACMABodyText"/>
        <w:rPr>
          <w:b/>
          <w:lang w:val="en-US"/>
        </w:rPr>
      </w:pPr>
      <w:r>
        <w:rPr>
          <w:b/>
          <w:lang w:val="en-US"/>
        </w:rPr>
        <w:lastRenderedPageBreak/>
        <w:t xml:space="preserve">Clause 2 </w:t>
      </w:r>
      <w:r w:rsidR="00693C1C">
        <w:rPr>
          <w:b/>
          <w:lang w:val="en-US"/>
        </w:rPr>
        <w:tab/>
      </w:r>
      <w:r>
        <w:rPr>
          <w:b/>
          <w:lang w:val="en-US"/>
        </w:rPr>
        <w:t>Schedule for rounds of the auction</w:t>
      </w:r>
    </w:p>
    <w:p w14:paraId="483C2B7C" w14:textId="059BD3EB" w:rsidR="00603AB1" w:rsidRDefault="00236FA7" w:rsidP="00726EB3">
      <w:pPr>
        <w:pStyle w:val="ACMABodyText"/>
        <w:rPr>
          <w:lang w:val="en-US"/>
        </w:rPr>
      </w:pPr>
      <w:r>
        <w:rPr>
          <w:lang w:val="en-US"/>
        </w:rPr>
        <w:t>This clause states that r</w:t>
      </w:r>
      <w:r w:rsidR="00603AB1">
        <w:rPr>
          <w:lang w:val="en-US"/>
        </w:rPr>
        <w:t xml:space="preserve">ounds must only occur on a working day (as defined in </w:t>
      </w:r>
      <w:r w:rsidR="005D48D7">
        <w:rPr>
          <w:lang w:val="en-US"/>
        </w:rPr>
        <w:t xml:space="preserve">subsection 1.4(1) of </w:t>
      </w:r>
      <w:r w:rsidR="00603AB1">
        <w:rPr>
          <w:lang w:val="en-US"/>
        </w:rPr>
        <w:t xml:space="preserve">the Determination) and will start and finish between 9 am and 5 pm based on the time in </w:t>
      </w:r>
      <w:r w:rsidR="001F0755">
        <w:rPr>
          <w:lang w:val="en-US"/>
        </w:rPr>
        <w:t>the A</w:t>
      </w:r>
      <w:r w:rsidR="005C48A6">
        <w:rPr>
          <w:lang w:val="en-US"/>
        </w:rPr>
        <w:t xml:space="preserve">ustralian </w:t>
      </w:r>
      <w:r w:rsidR="001F0755">
        <w:rPr>
          <w:lang w:val="en-US"/>
        </w:rPr>
        <w:t>C</w:t>
      </w:r>
      <w:r w:rsidR="005C48A6">
        <w:rPr>
          <w:lang w:val="en-US"/>
        </w:rPr>
        <w:t xml:space="preserve">apital </w:t>
      </w:r>
      <w:r w:rsidR="001F0755">
        <w:rPr>
          <w:lang w:val="en-US"/>
        </w:rPr>
        <w:t>T</w:t>
      </w:r>
      <w:r w:rsidR="005C48A6">
        <w:rPr>
          <w:lang w:val="en-US"/>
        </w:rPr>
        <w:t>erritory</w:t>
      </w:r>
      <w:r w:rsidR="001F0755">
        <w:rPr>
          <w:lang w:val="en-US"/>
        </w:rPr>
        <w:t>.</w:t>
      </w:r>
      <w:r w:rsidR="00603AB1">
        <w:rPr>
          <w:lang w:val="en-US"/>
        </w:rPr>
        <w:t xml:space="preserve"> It also states that there is no minimum or maximum duration f</w:t>
      </w:r>
      <w:r w:rsidR="005C48A6">
        <w:rPr>
          <w:lang w:val="en-US"/>
        </w:rPr>
        <w:t>or</w:t>
      </w:r>
      <w:r w:rsidR="00603AB1">
        <w:rPr>
          <w:lang w:val="en-US"/>
        </w:rPr>
        <w:t xml:space="preserve"> each round</w:t>
      </w:r>
      <w:r w:rsidR="005C48A6">
        <w:rPr>
          <w:lang w:val="en-US"/>
        </w:rPr>
        <w:t xml:space="preserve"> (either for the bidding period or the results period)</w:t>
      </w:r>
      <w:r w:rsidR="00603AB1">
        <w:rPr>
          <w:lang w:val="en-US"/>
        </w:rPr>
        <w:t xml:space="preserve">, or the interval between rounds. The auction manager will have the discretion to schedule rounds according to this </w:t>
      </w:r>
      <w:r w:rsidR="005D48D7">
        <w:rPr>
          <w:lang w:val="en-US"/>
        </w:rPr>
        <w:t>clause</w:t>
      </w:r>
      <w:r w:rsidR="00603AB1">
        <w:rPr>
          <w:lang w:val="en-US"/>
        </w:rPr>
        <w:t>.</w:t>
      </w:r>
      <w:r w:rsidR="001F0755">
        <w:rPr>
          <w:lang w:val="en-US"/>
        </w:rPr>
        <w:t xml:space="preserve"> This </w:t>
      </w:r>
      <w:r w:rsidR="005D48D7">
        <w:rPr>
          <w:lang w:val="en-US"/>
        </w:rPr>
        <w:t>clause</w:t>
      </w:r>
      <w:r w:rsidR="001F0755">
        <w:rPr>
          <w:lang w:val="en-US"/>
        </w:rPr>
        <w:t xml:space="preserve"> does not limit the number of rounds that can be held on any day.</w:t>
      </w:r>
    </w:p>
    <w:p w14:paraId="475D074B" w14:textId="708314D1" w:rsidR="00603AB1" w:rsidRDefault="00603AB1" w:rsidP="00726EB3">
      <w:pPr>
        <w:pStyle w:val="ACMABodyText"/>
        <w:rPr>
          <w:lang w:val="en-US"/>
        </w:rPr>
      </w:pPr>
      <w:r>
        <w:rPr>
          <w:lang w:val="en-US"/>
        </w:rPr>
        <w:t xml:space="preserve">All bidders will be notified via the auction system of the anticipated schedule of rounds for a given day a minimum of </w:t>
      </w:r>
      <w:r w:rsidR="003753C2">
        <w:rPr>
          <w:lang w:val="en-US"/>
        </w:rPr>
        <w:t>1</w:t>
      </w:r>
      <w:r>
        <w:rPr>
          <w:lang w:val="en-US"/>
        </w:rPr>
        <w:t xml:space="preserve"> hour before the first round of the day</w:t>
      </w:r>
      <w:r w:rsidR="007D7CE4">
        <w:rPr>
          <w:lang w:val="en-US"/>
        </w:rPr>
        <w:t xml:space="preserve"> in accordance with subclause 2(5)</w:t>
      </w:r>
      <w:r>
        <w:rPr>
          <w:lang w:val="en-US"/>
        </w:rPr>
        <w:t xml:space="preserve">. </w:t>
      </w:r>
      <w:r w:rsidR="001F0755">
        <w:rPr>
          <w:lang w:val="en-US"/>
        </w:rPr>
        <w:t>Subc</w:t>
      </w:r>
      <w:r>
        <w:rPr>
          <w:lang w:val="en-US"/>
        </w:rPr>
        <w:t xml:space="preserve">lause </w:t>
      </w:r>
      <w:r w:rsidR="001F0755">
        <w:rPr>
          <w:lang w:val="en-US"/>
        </w:rPr>
        <w:t>2(</w:t>
      </w:r>
      <w:r>
        <w:rPr>
          <w:lang w:val="en-US"/>
        </w:rPr>
        <w:t>5</w:t>
      </w:r>
      <w:r w:rsidR="001F0755">
        <w:rPr>
          <w:lang w:val="en-US"/>
        </w:rPr>
        <w:t>)</w:t>
      </w:r>
      <w:r>
        <w:rPr>
          <w:lang w:val="en-US"/>
        </w:rPr>
        <w:t xml:space="preserve"> </w:t>
      </w:r>
      <w:r w:rsidR="007D7CE4">
        <w:rPr>
          <w:lang w:val="en-US"/>
        </w:rPr>
        <w:t>also</w:t>
      </w:r>
      <w:r>
        <w:rPr>
          <w:lang w:val="en-US"/>
        </w:rPr>
        <w:t xml:space="preserve"> allows the auction manager to alter the daily schedule of rounds. However, if this occurs, the auction manager must inform bidders as soon as practicable.</w:t>
      </w:r>
    </w:p>
    <w:p w14:paraId="56ED9A84" w14:textId="77777777" w:rsidR="00603AB1" w:rsidRDefault="00603AB1" w:rsidP="00726EB3">
      <w:pPr>
        <w:pStyle w:val="ACMABodyText"/>
        <w:rPr>
          <w:lang w:val="en-US"/>
        </w:rPr>
      </w:pPr>
      <w:r>
        <w:rPr>
          <w:lang w:val="en-US"/>
        </w:rPr>
        <w:t xml:space="preserve">Before each round starts, the auction manager must use the auction system to inform each bidder of the start and end time of the </w:t>
      </w:r>
      <w:r w:rsidR="001F0755">
        <w:rPr>
          <w:lang w:val="en-US"/>
        </w:rPr>
        <w:t>bidding and results periods</w:t>
      </w:r>
      <w:r>
        <w:rPr>
          <w:lang w:val="en-US"/>
        </w:rPr>
        <w:t xml:space="preserve">. </w:t>
      </w:r>
    </w:p>
    <w:p w14:paraId="744DA4B9" w14:textId="77777777" w:rsidR="00603AB1" w:rsidRDefault="00F060A2" w:rsidP="00726EB3">
      <w:pPr>
        <w:pStyle w:val="ACMABodyText"/>
        <w:keepNext/>
        <w:spacing w:before="240"/>
        <w:rPr>
          <w:b/>
          <w:lang w:val="en-US"/>
        </w:rPr>
      </w:pPr>
      <w:r>
        <w:rPr>
          <w:b/>
          <w:lang w:val="en-US"/>
        </w:rPr>
        <w:t xml:space="preserve">Clause </w:t>
      </w:r>
      <w:r w:rsidR="00DB3355">
        <w:rPr>
          <w:b/>
          <w:lang w:val="en-US"/>
        </w:rPr>
        <w:t>3</w:t>
      </w:r>
      <w:r w:rsidR="00DB6571">
        <w:rPr>
          <w:b/>
          <w:lang w:val="en-US"/>
        </w:rPr>
        <w:t xml:space="preserve"> </w:t>
      </w:r>
      <w:r w:rsidR="00693C1C">
        <w:rPr>
          <w:b/>
          <w:lang w:val="en-US"/>
        </w:rPr>
        <w:tab/>
      </w:r>
      <w:r w:rsidR="00DB6571">
        <w:rPr>
          <w:b/>
          <w:lang w:val="en-US"/>
        </w:rPr>
        <w:t>Recess days</w:t>
      </w:r>
    </w:p>
    <w:p w14:paraId="61B54730" w14:textId="77777777" w:rsidR="00DB6571" w:rsidRDefault="00603AB1" w:rsidP="00726EB3">
      <w:pPr>
        <w:pStyle w:val="ACMABodyText"/>
        <w:rPr>
          <w:lang w:val="en-US"/>
        </w:rPr>
      </w:pPr>
      <w:r>
        <w:rPr>
          <w:lang w:val="en-US"/>
        </w:rPr>
        <w:t xml:space="preserve">This </w:t>
      </w:r>
      <w:r w:rsidR="00236FA7">
        <w:rPr>
          <w:lang w:val="en-US"/>
        </w:rPr>
        <w:t>clause</w:t>
      </w:r>
      <w:r>
        <w:rPr>
          <w:lang w:val="en-US"/>
        </w:rPr>
        <w:t xml:space="preserve"> </w:t>
      </w:r>
      <w:r w:rsidR="00DB6571">
        <w:rPr>
          <w:lang w:val="en-US"/>
        </w:rPr>
        <w:t>states that the auction manager may declare a day to be a recess day (whether or not the day is a working day)</w:t>
      </w:r>
      <w:r w:rsidR="00F060A2">
        <w:rPr>
          <w:lang w:val="en-US"/>
        </w:rPr>
        <w:t xml:space="preserve">. Before the auction manager declares a recess day, </w:t>
      </w:r>
      <w:r w:rsidR="00693C1C">
        <w:rPr>
          <w:lang w:val="en-US"/>
        </w:rPr>
        <w:t>he or she</w:t>
      </w:r>
      <w:r w:rsidR="00F060A2">
        <w:rPr>
          <w:lang w:val="en-US"/>
        </w:rPr>
        <w:t xml:space="preserve"> must give bidders an opportunity to comment on the </w:t>
      </w:r>
      <w:r w:rsidR="00693C1C">
        <w:rPr>
          <w:lang w:val="en-US"/>
        </w:rPr>
        <w:t xml:space="preserve">proposed </w:t>
      </w:r>
      <w:r w:rsidR="00F060A2">
        <w:rPr>
          <w:lang w:val="en-US"/>
        </w:rPr>
        <w:t>declaration and take into account any comments received.</w:t>
      </w:r>
      <w:r w:rsidR="00320172">
        <w:rPr>
          <w:lang w:val="en-US"/>
        </w:rPr>
        <w:t xml:space="preserve"> If the auction manager declares a recess day he</w:t>
      </w:r>
      <w:r w:rsidR="00C80A9D">
        <w:rPr>
          <w:lang w:val="en-US"/>
        </w:rPr>
        <w:t xml:space="preserve"> or she</w:t>
      </w:r>
      <w:r w:rsidR="00320172">
        <w:rPr>
          <w:lang w:val="en-US"/>
        </w:rPr>
        <w:t xml:space="preserve"> must </w:t>
      </w:r>
      <w:r w:rsidR="00B535F0">
        <w:rPr>
          <w:lang w:val="en-US"/>
        </w:rPr>
        <w:t xml:space="preserve">inform </w:t>
      </w:r>
      <w:r w:rsidR="00320172">
        <w:rPr>
          <w:lang w:val="en-US"/>
        </w:rPr>
        <w:t>all bidders of this</w:t>
      </w:r>
      <w:r w:rsidR="00B535F0">
        <w:rPr>
          <w:lang w:val="en-US"/>
        </w:rPr>
        <w:t xml:space="preserve"> decision</w:t>
      </w:r>
      <w:r w:rsidR="00320172">
        <w:rPr>
          <w:lang w:val="en-US"/>
        </w:rPr>
        <w:t>.</w:t>
      </w:r>
      <w:r w:rsidR="00F060A2">
        <w:rPr>
          <w:lang w:val="en-US"/>
        </w:rPr>
        <w:t xml:space="preserve"> </w:t>
      </w:r>
    </w:p>
    <w:p w14:paraId="0278F18E" w14:textId="3F3F5C60" w:rsidR="002858D8" w:rsidRPr="002858D8" w:rsidRDefault="002858D8" w:rsidP="00726EB3">
      <w:pPr>
        <w:pStyle w:val="ACMABodyText"/>
        <w:rPr>
          <w:b/>
          <w:lang w:val="en-US"/>
        </w:rPr>
      </w:pPr>
      <w:r w:rsidRPr="002858D8">
        <w:rPr>
          <w:b/>
          <w:lang w:val="en-US"/>
        </w:rPr>
        <w:t>Clause</w:t>
      </w:r>
      <w:r w:rsidR="00DB3355">
        <w:rPr>
          <w:b/>
          <w:lang w:val="en-US"/>
        </w:rPr>
        <w:t xml:space="preserve"> 4</w:t>
      </w:r>
      <w:r w:rsidRPr="002858D8">
        <w:rPr>
          <w:b/>
          <w:lang w:val="en-US"/>
        </w:rPr>
        <w:t xml:space="preserve"> </w:t>
      </w:r>
      <w:r w:rsidR="00693C1C">
        <w:rPr>
          <w:b/>
          <w:lang w:val="en-US"/>
        </w:rPr>
        <w:tab/>
      </w:r>
      <w:r w:rsidRPr="002858D8">
        <w:rPr>
          <w:b/>
          <w:lang w:val="en-US"/>
        </w:rPr>
        <w:t xml:space="preserve">Movement to next stage of </w:t>
      </w:r>
      <w:r w:rsidR="00E155EA">
        <w:rPr>
          <w:b/>
          <w:lang w:val="en-US"/>
        </w:rPr>
        <w:t xml:space="preserve">the </w:t>
      </w:r>
      <w:r w:rsidRPr="002858D8">
        <w:rPr>
          <w:b/>
          <w:lang w:val="en-US"/>
        </w:rPr>
        <w:t>auction</w:t>
      </w:r>
    </w:p>
    <w:p w14:paraId="74D78463" w14:textId="77777777" w:rsidR="006B2B8C" w:rsidRDefault="002858D8" w:rsidP="002858D8">
      <w:pPr>
        <w:pStyle w:val="ACMABodyText"/>
        <w:rPr>
          <w:lang w:val="en-US"/>
        </w:rPr>
      </w:pPr>
      <w:r>
        <w:rPr>
          <w:lang w:val="en-US"/>
        </w:rPr>
        <w:t xml:space="preserve">This </w:t>
      </w:r>
      <w:r w:rsidR="00236FA7">
        <w:rPr>
          <w:lang w:val="en-US"/>
        </w:rPr>
        <w:t>clause</w:t>
      </w:r>
      <w:r>
        <w:rPr>
          <w:lang w:val="en-US"/>
        </w:rPr>
        <w:t xml:space="preserve"> states that the auction manager may </w:t>
      </w:r>
      <w:r w:rsidR="00320172">
        <w:rPr>
          <w:lang w:val="en-US"/>
        </w:rPr>
        <w:t xml:space="preserve">move the auction to the next stage. </w:t>
      </w:r>
    </w:p>
    <w:p w14:paraId="0AFEC5D4" w14:textId="4B080464" w:rsidR="002858D8" w:rsidRDefault="006B2B8C" w:rsidP="002858D8">
      <w:pPr>
        <w:pStyle w:val="ACMABodyText"/>
        <w:rPr>
          <w:lang w:val="en-US"/>
        </w:rPr>
      </w:pPr>
      <w:r w:rsidRPr="006B2B8C">
        <w:t xml:space="preserve">To </w:t>
      </w:r>
      <w:r w:rsidR="00B76EA6">
        <w:t>ensure efficient running of the auction,</w:t>
      </w:r>
      <w:r w:rsidRPr="006B2B8C">
        <w:t xml:space="preserve"> bidders will have to be active on lots with a total </w:t>
      </w:r>
      <w:r w:rsidR="007D7CE4">
        <w:t xml:space="preserve">of </w:t>
      </w:r>
      <w:r w:rsidRPr="006B2B8C">
        <w:t>lot</w:t>
      </w:r>
      <w:r>
        <w:t xml:space="preserve"> </w:t>
      </w:r>
      <w:r w:rsidRPr="006B2B8C">
        <w:t>rating</w:t>
      </w:r>
      <w:r w:rsidR="007D7CE4">
        <w:t>s</w:t>
      </w:r>
      <w:r w:rsidRPr="006B2B8C">
        <w:t xml:space="preserve"> that </w:t>
      </w:r>
      <w:r w:rsidR="00B76EA6">
        <w:t>meets</w:t>
      </w:r>
      <w:r w:rsidRPr="006B2B8C">
        <w:t xml:space="preserve"> the relevant activity target set by the auction manager for the stage in</w:t>
      </w:r>
      <w:r>
        <w:t xml:space="preserve"> </w:t>
      </w:r>
      <w:r w:rsidRPr="006B2B8C">
        <w:t>which they are bidding</w:t>
      </w:r>
      <w:r>
        <w:t xml:space="preserve">. </w:t>
      </w:r>
      <w:r w:rsidRPr="0034372A">
        <w:t xml:space="preserve">When the number of new bids at </w:t>
      </w:r>
      <w:r w:rsidR="007D7CE4">
        <w:t>one</w:t>
      </w:r>
      <w:r w:rsidRPr="0034372A">
        <w:t xml:space="preserve"> level of activity declines, the</w:t>
      </w:r>
      <w:r>
        <w:t xml:space="preserve"> </w:t>
      </w:r>
      <w:r w:rsidRPr="0034372A">
        <w:t>auction manager may decide to move to the next stage of the auction with a higher</w:t>
      </w:r>
      <w:r>
        <w:t xml:space="preserve"> </w:t>
      </w:r>
      <w:r w:rsidRPr="0034372A">
        <w:t>activity level</w:t>
      </w:r>
      <w:r>
        <w:t xml:space="preserve">. </w:t>
      </w:r>
      <w:r w:rsidR="002858D8">
        <w:rPr>
          <w:lang w:val="en-US"/>
        </w:rPr>
        <w:t xml:space="preserve">Before the auction manager </w:t>
      </w:r>
      <w:r w:rsidR="00320172">
        <w:rPr>
          <w:lang w:val="en-US"/>
        </w:rPr>
        <w:t xml:space="preserve">decides to move the auction to the next stage, the auction manager must tell bidders of the proposal, </w:t>
      </w:r>
      <w:r w:rsidR="00B535F0">
        <w:rPr>
          <w:lang w:val="en-US"/>
        </w:rPr>
        <w:t>give</w:t>
      </w:r>
      <w:r w:rsidR="00320172">
        <w:rPr>
          <w:lang w:val="en-US"/>
        </w:rPr>
        <w:t xml:space="preserve"> the bidders </w:t>
      </w:r>
      <w:r w:rsidR="002858D8">
        <w:rPr>
          <w:lang w:val="en-US"/>
        </w:rPr>
        <w:t xml:space="preserve">an opportunity to comment on the </w:t>
      </w:r>
      <w:r w:rsidR="00693C1C">
        <w:rPr>
          <w:lang w:val="en-US"/>
        </w:rPr>
        <w:t>proposal</w:t>
      </w:r>
      <w:r w:rsidR="007D7CE4">
        <w:rPr>
          <w:lang w:val="en-US"/>
        </w:rPr>
        <w:t>,</w:t>
      </w:r>
      <w:r w:rsidR="002858D8">
        <w:rPr>
          <w:lang w:val="en-US"/>
        </w:rPr>
        <w:t xml:space="preserve"> and take into account any comments received. </w:t>
      </w:r>
      <w:r w:rsidR="00B535F0">
        <w:rPr>
          <w:lang w:val="en-US"/>
        </w:rPr>
        <w:t>If a decision is taken to move to the next stage, the auction manager must inform all bidders of this decision.</w:t>
      </w:r>
    </w:p>
    <w:p w14:paraId="6AF803CB" w14:textId="77777777" w:rsidR="001C76E4" w:rsidRDefault="001C76E4" w:rsidP="001C76E4">
      <w:pPr>
        <w:pStyle w:val="ACMABodyText"/>
        <w:spacing w:before="360"/>
        <w:rPr>
          <w:b/>
          <w:sz w:val="22"/>
          <w:szCs w:val="22"/>
        </w:rPr>
      </w:pPr>
      <w:r>
        <w:rPr>
          <w:b/>
          <w:sz w:val="22"/>
          <w:szCs w:val="22"/>
        </w:rPr>
        <w:t>P</w:t>
      </w:r>
      <w:r w:rsidRPr="003B200E">
        <w:rPr>
          <w:b/>
          <w:sz w:val="22"/>
          <w:szCs w:val="22"/>
        </w:rPr>
        <w:t xml:space="preserve">art </w:t>
      </w:r>
      <w:r>
        <w:rPr>
          <w:b/>
          <w:sz w:val="22"/>
          <w:szCs w:val="22"/>
        </w:rPr>
        <w:t>2</w:t>
      </w:r>
      <w:r w:rsidRPr="003B200E">
        <w:rPr>
          <w:b/>
          <w:sz w:val="22"/>
          <w:szCs w:val="22"/>
        </w:rPr>
        <w:tab/>
        <w:t xml:space="preserve">            </w:t>
      </w:r>
      <w:r>
        <w:rPr>
          <w:b/>
          <w:sz w:val="22"/>
          <w:szCs w:val="22"/>
        </w:rPr>
        <w:t xml:space="preserve">Bidding in the </w:t>
      </w:r>
      <w:r w:rsidR="00C80A9D">
        <w:rPr>
          <w:b/>
          <w:sz w:val="22"/>
          <w:szCs w:val="22"/>
        </w:rPr>
        <w:t>a</w:t>
      </w:r>
      <w:r>
        <w:rPr>
          <w:b/>
          <w:sz w:val="22"/>
          <w:szCs w:val="22"/>
        </w:rPr>
        <w:t xml:space="preserve">uction </w:t>
      </w:r>
    </w:p>
    <w:p w14:paraId="47B68246" w14:textId="77777777" w:rsidR="00320172" w:rsidRPr="00874F10" w:rsidRDefault="00874F10" w:rsidP="002858D8">
      <w:pPr>
        <w:pStyle w:val="ACMABodyText"/>
        <w:rPr>
          <w:b/>
          <w:lang w:val="en-US"/>
        </w:rPr>
      </w:pPr>
      <w:r w:rsidRPr="00874F10">
        <w:rPr>
          <w:b/>
          <w:lang w:val="en-US"/>
        </w:rPr>
        <w:t>Clause</w:t>
      </w:r>
      <w:r w:rsidR="00DB3355">
        <w:rPr>
          <w:b/>
          <w:lang w:val="en-US"/>
        </w:rPr>
        <w:t xml:space="preserve"> 5</w:t>
      </w:r>
      <w:r w:rsidRPr="00874F10">
        <w:rPr>
          <w:b/>
          <w:lang w:val="en-US"/>
        </w:rPr>
        <w:t xml:space="preserve"> </w:t>
      </w:r>
      <w:r w:rsidR="00693C1C">
        <w:rPr>
          <w:b/>
          <w:lang w:val="en-US"/>
        </w:rPr>
        <w:tab/>
      </w:r>
      <w:r w:rsidRPr="00874F10">
        <w:rPr>
          <w:b/>
          <w:lang w:val="en-US"/>
        </w:rPr>
        <w:t>Definitions</w:t>
      </w:r>
    </w:p>
    <w:p w14:paraId="3FB09743" w14:textId="77777777" w:rsidR="00236FA7" w:rsidRDefault="00236FA7" w:rsidP="00726EB3">
      <w:pPr>
        <w:pStyle w:val="ACMABodyText"/>
        <w:rPr>
          <w:lang w:val="en-US"/>
        </w:rPr>
      </w:pPr>
      <w:r>
        <w:rPr>
          <w:lang w:val="en-US"/>
        </w:rPr>
        <w:t xml:space="preserve">This clause defines the </w:t>
      </w:r>
      <w:r w:rsidRPr="002707B2">
        <w:rPr>
          <w:i/>
          <w:lang w:val="en-US"/>
        </w:rPr>
        <w:t>activity target</w:t>
      </w:r>
      <w:r>
        <w:rPr>
          <w:lang w:val="en-US"/>
        </w:rPr>
        <w:t xml:space="preserve"> and when a bidder is </w:t>
      </w:r>
      <w:r w:rsidRPr="002707B2">
        <w:rPr>
          <w:i/>
          <w:lang w:val="en-US"/>
        </w:rPr>
        <w:t>active</w:t>
      </w:r>
      <w:r>
        <w:rPr>
          <w:lang w:val="en-US"/>
        </w:rPr>
        <w:t xml:space="preserve"> on a lot.</w:t>
      </w:r>
    </w:p>
    <w:p w14:paraId="74A7CB64" w14:textId="0A0892FC" w:rsidR="00236FA7" w:rsidRPr="009C3F34" w:rsidRDefault="00B535F0" w:rsidP="00236FA7">
      <w:pPr>
        <w:pStyle w:val="ACMABodyText"/>
      </w:pPr>
      <w:r>
        <w:rPr>
          <w:lang w:val="en-US"/>
        </w:rPr>
        <w:t xml:space="preserve">The definition of </w:t>
      </w:r>
      <w:r w:rsidR="00236FA7">
        <w:rPr>
          <w:lang w:val="en-US"/>
        </w:rPr>
        <w:t xml:space="preserve">activity target for a bidder, during </w:t>
      </w:r>
      <w:r w:rsidR="007D7CE4">
        <w:rPr>
          <w:lang w:val="en-US"/>
        </w:rPr>
        <w:t>a</w:t>
      </w:r>
      <w:r w:rsidR="00236FA7">
        <w:rPr>
          <w:lang w:val="en-US"/>
        </w:rPr>
        <w:t xml:space="preserve"> round in a stage, means </w:t>
      </w:r>
      <w:r w:rsidR="00236FA7" w:rsidRPr="009C3F34">
        <w:t xml:space="preserve">the figure </w:t>
      </w:r>
      <w:r w:rsidR="00E07282">
        <w:t xml:space="preserve">(rounded down to </w:t>
      </w:r>
      <w:r w:rsidR="005353A7">
        <w:t>an</w:t>
      </w:r>
      <w:r w:rsidR="00E07282">
        <w:t xml:space="preserve"> integer) </w:t>
      </w:r>
      <w:r w:rsidR="00236FA7" w:rsidRPr="009C3F34">
        <w:t xml:space="preserve">obtained by multiplying the amount of the </w:t>
      </w:r>
      <w:r w:rsidR="00236FA7">
        <w:t>bidder’s</w:t>
      </w:r>
      <w:r w:rsidR="00236FA7" w:rsidRPr="009C3F34">
        <w:t xml:space="preserve"> eligibility </w:t>
      </w:r>
      <w:r w:rsidR="00236FA7">
        <w:t xml:space="preserve">points </w:t>
      </w:r>
      <w:r w:rsidR="00236FA7" w:rsidRPr="009C3F34">
        <w:t>for that round by the eligibility percentage fixed by the auction manager for that stage.</w:t>
      </w:r>
    </w:p>
    <w:p w14:paraId="6432A44D" w14:textId="77777777" w:rsidR="00236FA7" w:rsidRPr="009542B0" w:rsidRDefault="00236FA7" w:rsidP="00FC449E">
      <w:pPr>
        <w:pStyle w:val="ZR2"/>
        <w:ind w:left="0" w:firstLine="0"/>
        <w:rPr>
          <w:rFonts w:ascii="Arial" w:hAnsi="Arial" w:cs="Arial"/>
          <w:sz w:val="20"/>
          <w:szCs w:val="20"/>
        </w:rPr>
      </w:pPr>
      <w:r w:rsidRPr="009C3F34">
        <w:tab/>
      </w:r>
      <w:r w:rsidRPr="009542B0">
        <w:rPr>
          <w:rFonts w:ascii="Arial" w:hAnsi="Arial" w:cs="Arial"/>
          <w:sz w:val="20"/>
          <w:szCs w:val="20"/>
        </w:rPr>
        <w:t xml:space="preserve">A bidder is </w:t>
      </w:r>
      <w:r w:rsidRPr="00E155EA">
        <w:rPr>
          <w:rFonts w:ascii="Arial" w:hAnsi="Arial" w:cs="Arial"/>
          <w:i/>
          <w:sz w:val="20"/>
          <w:szCs w:val="20"/>
        </w:rPr>
        <w:t>active</w:t>
      </w:r>
      <w:r w:rsidRPr="009542B0">
        <w:rPr>
          <w:rFonts w:ascii="Arial" w:hAnsi="Arial" w:cs="Arial"/>
          <w:sz w:val="20"/>
          <w:szCs w:val="20"/>
        </w:rPr>
        <w:t xml:space="preserve"> on a lot in a round if</w:t>
      </w:r>
      <w:r w:rsidR="00B535F0">
        <w:rPr>
          <w:rFonts w:ascii="Arial" w:hAnsi="Arial" w:cs="Arial"/>
          <w:sz w:val="20"/>
          <w:szCs w:val="20"/>
        </w:rPr>
        <w:t>,</w:t>
      </w:r>
      <w:r w:rsidR="00FC449E">
        <w:rPr>
          <w:rFonts w:ascii="Arial" w:hAnsi="Arial" w:cs="Arial"/>
          <w:sz w:val="20"/>
          <w:szCs w:val="20"/>
        </w:rPr>
        <w:t xml:space="preserve"> </w:t>
      </w:r>
      <w:r w:rsidRPr="009542B0">
        <w:rPr>
          <w:rFonts w:ascii="Arial" w:hAnsi="Arial" w:cs="Arial"/>
          <w:sz w:val="20"/>
          <w:szCs w:val="20"/>
        </w:rPr>
        <w:t>for a round to which the starting price applies</w:t>
      </w:r>
      <w:r w:rsidR="00FC449E">
        <w:rPr>
          <w:rFonts w:ascii="Arial" w:hAnsi="Arial" w:cs="Arial"/>
          <w:sz w:val="20"/>
          <w:szCs w:val="20"/>
        </w:rPr>
        <w:t xml:space="preserve">, </w:t>
      </w:r>
      <w:r w:rsidRPr="009542B0">
        <w:rPr>
          <w:rFonts w:ascii="Arial" w:hAnsi="Arial" w:cs="Arial"/>
          <w:sz w:val="20"/>
          <w:szCs w:val="20"/>
        </w:rPr>
        <w:t>the bidder makes a bid that equals or exceeds the starting price</w:t>
      </w:r>
      <w:r w:rsidR="00FC449E">
        <w:rPr>
          <w:rFonts w:ascii="Arial" w:hAnsi="Arial" w:cs="Arial"/>
          <w:sz w:val="20"/>
          <w:szCs w:val="20"/>
        </w:rPr>
        <w:t>.  F</w:t>
      </w:r>
      <w:r w:rsidRPr="009542B0">
        <w:rPr>
          <w:rFonts w:ascii="Arial" w:hAnsi="Arial" w:cs="Arial"/>
          <w:sz w:val="20"/>
          <w:szCs w:val="20"/>
        </w:rPr>
        <w:t>or any other round</w:t>
      </w:r>
      <w:r w:rsidR="00FC449E">
        <w:rPr>
          <w:rFonts w:ascii="Arial" w:hAnsi="Arial" w:cs="Arial"/>
          <w:sz w:val="20"/>
          <w:szCs w:val="20"/>
        </w:rPr>
        <w:t xml:space="preserve">, the bidder is </w:t>
      </w:r>
      <w:r w:rsidR="00FC449E" w:rsidRPr="00E155EA">
        <w:rPr>
          <w:rFonts w:ascii="Arial" w:hAnsi="Arial" w:cs="Arial"/>
          <w:i/>
          <w:sz w:val="20"/>
          <w:szCs w:val="20"/>
        </w:rPr>
        <w:t>active</w:t>
      </w:r>
      <w:r w:rsidR="00FC449E">
        <w:rPr>
          <w:rFonts w:ascii="Arial" w:hAnsi="Arial" w:cs="Arial"/>
          <w:sz w:val="20"/>
          <w:szCs w:val="20"/>
        </w:rPr>
        <w:t xml:space="preserve"> if </w:t>
      </w:r>
      <w:r w:rsidRPr="009542B0">
        <w:rPr>
          <w:rFonts w:ascii="Arial" w:hAnsi="Arial" w:cs="Arial"/>
          <w:sz w:val="20"/>
          <w:szCs w:val="20"/>
        </w:rPr>
        <w:t xml:space="preserve">the bidder makes a bid that equals or exceeds the minimum bid on the lot worked out in accordance with </w:t>
      </w:r>
      <w:r w:rsidRPr="0032195C">
        <w:rPr>
          <w:rFonts w:ascii="Arial" w:hAnsi="Arial" w:cs="Arial"/>
          <w:sz w:val="20"/>
          <w:szCs w:val="20"/>
        </w:rPr>
        <w:t xml:space="preserve">clause </w:t>
      </w:r>
      <w:r w:rsidR="00B535F0" w:rsidRPr="0032195C">
        <w:rPr>
          <w:rFonts w:ascii="Arial" w:hAnsi="Arial" w:cs="Arial"/>
          <w:sz w:val="20"/>
          <w:szCs w:val="20"/>
        </w:rPr>
        <w:t>6</w:t>
      </w:r>
      <w:r w:rsidRPr="009542B0">
        <w:rPr>
          <w:rFonts w:ascii="Arial" w:hAnsi="Arial" w:cs="Arial"/>
          <w:sz w:val="20"/>
          <w:szCs w:val="20"/>
        </w:rPr>
        <w:t xml:space="preserve"> or</w:t>
      </w:r>
      <w:r w:rsidR="00FC449E">
        <w:rPr>
          <w:rFonts w:ascii="Arial" w:hAnsi="Arial" w:cs="Arial"/>
          <w:sz w:val="20"/>
          <w:szCs w:val="20"/>
        </w:rPr>
        <w:t xml:space="preserve"> </w:t>
      </w:r>
      <w:r w:rsidRPr="009542B0">
        <w:rPr>
          <w:rFonts w:ascii="Arial" w:hAnsi="Arial" w:cs="Arial"/>
          <w:sz w:val="20"/>
          <w:szCs w:val="20"/>
        </w:rPr>
        <w:tab/>
        <w:t xml:space="preserve">the bidder holds the </w:t>
      </w:r>
      <w:r w:rsidR="00FC449E">
        <w:rPr>
          <w:rFonts w:ascii="Arial" w:hAnsi="Arial" w:cs="Arial"/>
          <w:sz w:val="20"/>
          <w:szCs w:val="20"/>
        </w:rPr>
        <w:t xml:space="preserve">standing </w:t>
      </w:r>
      <w:r w:rsidRPr="009542B0">
        <w:rPr>
          <w:rFonts w:ascii="Arial" w:hAnsi="Arial" w:cs="Arial"/>
          <w:sz w:val="20"/>
          <w:szCs w:val="20"/>
        </w:rPr>
        <w:t>high bid on the lot from the previous round and does not withdraw that high bid in the current round.</w:t>
      </w:r>
    </w:p>
    <w:p w14:paraId="05D60A3F" w14:textId="05FB7231" w:rsidR="00236FA7" w:rsidRPr="009542B0" w:rsidRDefault="00D87D37" w:rsidP="00D87D37">
      <w:pPr>
        <w:pStyle w:val="HR"/>
        <w:ind w:left="426" w:hanging="426"/>
        <w:rPr>
          <w:rFonts w:cs="Arial"/>
          <w:sz w:val="20"/>
          <w:szCs w:val="20"/>
        </w:rPr>
      </w:pPr>
      <w:r>
        <w:rPr>
          <w:rStyle w:val="CharSectno"/>
          <w:rFonts w:cs="Arial"/>
          <w:sz w:val="20"/>
          <w:szCs w:val="20"/>
        </w:rPr>
        <w:t xml:space="preserve">Clause </w:t>
      </w:r>
      <w:r w:rsidR="00DB3355">
        <w:rPr>
          <w:rStyle w:val="CharSectno"/>
          <w:rFonts w:cs="Arial"/>
          <w:sz w:val="20"/>
          <w:szCs w:val="20"/>
        </w:rPr>
        <w:t>6</w:t>
      </w:r>
      <w:r>
        <w:rPr>
          <w:rStyle w:val="CharSectno"/>
          <w:rFonts w:cs="Arial"/>
          <w:sz w:val="20"/>
          <w:szCs w:val="20"/>
        </w:rPr>
        <w:t xml:space="preserve"> </w:t>
      </w:r>
      <w:r w:rsidR="00693C1C">
        <w:rPr>
          <w:rStyle w:val="CharSectno"/>
          <w:rFonts w:cs="Arial"/>
          <w:sz w:val="20"/>
          <w:szCs w:val="20"/>
        </w:rPr>
        <w:tab/>
      </w:r>
      <w:r w:rsidR="00236FA7" w:rsidRPr="009542B0">
        <w:rPr>
          <w:rFonts w:cs="Arial"/>
          <w:sz w:val="20"/>
          <w:szCs w:val="20"/>
        </w:rPr>
        <w:t>Starting price and minimum bid</w:t>
      </w:r>
    </w:p>
    <w:p w14:paraId="7F53D86B" w14:textId="77777777" w:rsidR="00904BF1" w:rsidRDefault="00904BF1" w:rsidP="00214C1D">
      <w:pPr>
        <w:pStyle w:val="R1"/>
        <w:ind w:left="0" w:firstLine="0"/>
        <w:rPr>
          <w:rFonts w:ascii="Arial" w:hAnsi="Arial" w:cs="Arial"/>
          <w:sz w:val="20"/>
          <w:szCs w:val="20"/>
        </w:rPr>
      </w:pPr>
      <w:r>
        <w:rPr>
          <w:rFonts w:ascii="Arial" w:hAnsi="Arial" w:cs="Arial"/>
          <w:sz w:val="20"/>
          <w:szCs w:val="20"/>
        </w:rPr>
        <w:t>This clause sets out the requirements for a starting price and the minimum bid on a lot.</w:t>
      </w:r>
    </w:p>
    <w:p w14:paraId="4EA2704A" w14:textId="1A586E76" w:rsidR="00904BF1" w:rsidRPr="007371DF" w:rsidRDefault="00904BF1" w:rsidP="00214C1D">
      <w:pPr>
        <w:pStyle w:val="R1"/>
        <w:ind w:left="0" w:firstLine="0"/>
        <w:rPr>
          <w:rFonts w:ascii="Arial" w:hAnsi="Arial" w:cs="Arial"/>
          <w:sz w:val="20"/>
          <w:szCs w:val="20"/>
        </w:rPr>
      </w:pPr>
      <w:r w:rsidRPr="007371DF">
        <w:rPr>
          <w:rFonts w:ascii="Arial" w:hAnsi="Arial" w:cs="Arial"/>
          <w:sz w:val="20"/>
          <w:szCs w:val="20"/>
        </w:rPr>
        <w:lastRenderedPageBreak/>
        <w:t xml:space="preserve">A bid below the starting price on a lot will not be accepted.  </w:t>
      </w:r>
      <w:r w:rsidR="00214C1D" w:rsidRPr="007371DF">
        <w:rPr>
          <w:rFonts w:ascii="Arial" w:hAnsi="Arial" w:cs="Arial"/>
          <w:sz w:val="20"/>
          <w:szCs w:val="20"/>
        </w:rPr>
        <w:t>Similarly, a</w:t>
      </w:r>
      <w:r w:rsidRPr="007371DF">
        <w:rPr>
          <w:rFonts w:ascii="Arial" w:hAnsi="Arial" w:cs="Arial"/>
          <w:sz w:val="20"/>
          <w:szCs w:val="20"/>
        </w:rPr>
        <w:t xml:space="preserve">fter a bid </w:t>
      </w:r>
      <w:r w:rsidR="00214C1D" w:rsidRPr="007371DF">
        <w:rPr>
          <w:rFonts w:ascii="Arial" w:hAnsi="Arial" w:cs="Arial"/>
          <w:sz w:val="20"/>
          <w:szCs w:val="20"/>
        </w:rPr>
        <w:t xml:space="preserve">has been made </w:t>
      </w:r>
      <w:r w:rsidR="00B7538D" w:rsidRPr="007371DF">
        <w:rPr>
          <w:rFonts w:ascii="Arial" w:hAnsi="Arial" w:cs="Arial"/>
          <w:sz w:val="20"/>
          <w:szCs w:val="20"/>
        </w:rPr>
        <w:t xml:space="preserve">for </w:t>
      </w:r>
      <w:r w:rsidRPr="007371DF">
        <w:rPr>
          <w:rFonts w:ascii="Arial" w:hAnsi="Arial" w:cs="Arial"/>
          <w:sz w:val="20"/>
          <w:szCs w:val="20"/>
        </w:rPr>
        <w:t xml:space="preserve">at </w:t>
      </w:r>
      <w:r w:rsidR="00822EE4" w:rsidRPr="007371DF">
        <w:rPr>
          <w:rFonts w:ascii="Arial" w:hAnsi="Arial" w:cs="Arial"/>
          <w:sz w:val="20"/>
          <w:szCs w:val="20"/>
        </w:rPr>
        <w:t xml:space="preserve">least </w:t>
      </w:r>
      <w:r w:rsidRPr="007371DF">
        <w:rPr>
          <w:rFonts w:ascii="Arial" w:hAnsi="Arial" w:cs="Arial"/>
          <w:sz w:val="20"/>
          <w:szCs w:val="20"/>
        </w:rPr>
        <w:t xml:space="preserve">the starting price </w:t>
      </w:r>
      <w:r w:rsidR="00822EE4" w:rsidRPr="007371DF">
        <w:rPr>
          <w:rFonts w:ascii="Arial" w:hAnsi="Arial" w:cs="Arial"/>
          <w:sz w:val="20"/>
          <w:szCs w:val="20"/>
        </w:rPr>
        <w:t xml:space="preserve">or above </w:t>
      </w:r>
      <w:r w:rsidRPr="007371DF">
        <w:rPr>
          <w:rFonts w:ascii="Arial" w:hAnsi="Arial" w:cs="Arial"/>
          <w:sz w:val="20"/>
          <w:szCs w:val="20"/>
        </w:rPr>
        <w:t xml:space="preserve">on a lot in a round, in any subsequent round a bid below the minimum bid for that lot will not be accepted. </w:t>
      </w:r>
    </w:p>
    <w:p w14:paraId="48BAA49E" w14:textId="77777777" w:rsidR="00693C1C" w:rsidRPr="007371DF" w:rsidRDefault="00214C1D" w:rsidP="00214C1D">
      <w:pPr>
        <w:pStyle w:val="R1"/>
        <w:ind w:left="0" w:firstLine="0"/>
        <w:rPr>
          <w:rFonts w:ascii="Arial" w:hAnsi="Arial" w:cs="Arial"/>
          <w:sz w:val="20"/>
          <w:szCs w:val="20"/>
        </w:rPr>
      </w:pPr>
      <w:r w:rsidRPr="007371DF">
        <w:rPr>
          <w:rFonts w:ascii="Arial" w:hAnsi="Arial" w:cs="Arial"/>
          <w:sz w:val="20"/>
          <w:szCs w:val="20"/>
        </w:rPr>
        <w:t xml:space="preserve">The minimum bid for a lot is the sum </w:t>
      </w:r>
      <w:r w:rsidR="00236FA7" w:rsidRPr="007371DF">
        <w:rPr>
          <w:rFonts w:ascii="Arial" w:hAnsi="Arial" w:cs="Arial"/>
          <w:sz w:val="20"/>
          <w:szCs w:val="20"/>
        </w:rPr>
        <w:t>of the high bid on that lot from the previous round, as published in the results and information for the round, and the higher of</w:t>
      </w:r>
      <w:r w:rsidR="00693C1C" w:rsidRPr="007371DF">
        <w:rPr>
          <w:rFonts w:ascii="Arial" w:hAnsi="Arial" w:cs="Arial"/>
          <w:sz w:val="20"/>
          <w:szCs w:val="20"/>
        </w:rPr>
        <w:t>:</w:t>
      </w:r>
    </w:p>
    <w:p w14:paraId="3B4A2428" w14:textId="77777777" w:rsidR="00693C1C" w:rsidRPr="007371DF" w:rsidRDefault="00236FA7" w:rsidP="005300DE">
      <w:pPr>
        <w:pStyle w:val="R1"/>
        <w:numPr>
          <w:ilvl w:val="0"/>
          <w:numId w:val="32"/>
        </w:numPr>
        <w:rPr>
          <w:rFonts w:ascii="Arial" w:hAnsi="Arial" w:cs="Arial"/>
          <w:sz w:val="20"/>
          <w:szCs w:val="20"/>
        </w:rPr>
      </w:pPr>
      <w:r w:rsidRPr="007371DF">
        <w:rPr>
          <w:rFonts w:ascii="Arial" w:hAnsi="Arial" w:cs="Arial"/>
          <w:sz w:val="20"/>
          <w:szCs w:val="20"/>
        </w:rPr>
        <w:t>the increment of price per lot rating set under section 4.1</w:t>
      </w:r>
      <w:r w:rsidR="00B535F0" w:rsidRPr="007371DF">
        <w:rPr>
          <w:rFonts w:ascii="Arial" w:hAnsi="Arial" w:cs="Arial"/>
          <w:sz w:val="20"/>
          <w:szCs w:val="20"/>
        </w:rPr>
        <w:t>3</w:t>
      </w:r>
      <w:r w:rsidRPr="007371DF">
        <w:rPr>
          <w:rFonts w:ascii="Arial" w:hAnsi="Arial" w:cs="Arial"/>
          <w:sz w:val="20"/>
          <w:szCs w:val="20"/>
        </w:rPr>
        <w:t>, multiplied by the lot rating for the lot</w:t>
      </w:r>
      <w:r w:rsidR="00693C1C" w:rsidRPr="007371DF">
        <w:rPr>
          <w:rFonts w:ascii="Arial" w:hAnsi="Arial" w:cs="Arial"/>
          <w:sz w:val="20"/>
          <w:szCs w:val="20"/>
        </w:rPr>
        <w:t>;</w:t>
      </w:r>
      <w:r w:rsidRPr="007371DF">
        <w:rPr>
          <w:rFonts w:ascii="Arial" w:hAnsi="Arial" w:cs="Arial"/>
          <w:sz w:val="20"/>
          <w:szCs w:val="20"/>
        </w:rPr>
        <w:t xml:space="preserve"> and</w:t>
      </w:r>
      <w:r w:rsidR="00214C1D" w:rsidRPr="007371DF">
        <w:rPr>
          <w:rFonts w:ascii="Arial" w:hAnsi="Arial" w:cs="Arial"/>
          <w:sz w:val="20"/>
          <w:szCs w:val="20"/>
        </w:rPr>
        <w:t xml:space="preserve"> </w:t>
      </w:r>
    </w:p>
    <w:p w14:paraId="2659D572" w14:textId="3EE369AE" w:rsidR="00236FA7" w:rsidRPr="007371DF" w:rsidRDefault="00236FA7" w:rsidP="005300DE">
      <w:pPr>
        <w:pStyle w:val="R1"/>
        <w:numPr>
          <w:ilvl w:val="0"/>
          <w:numId w:val="32"/>
        </w:numPr>
        <w:rPr>
          <w:rFonts w:ascii="Arial" w:hAnsi="Arial" w:cs="Arial"/>
          <w:sz w:val="20"/>
          <w:szCs w:val="20"/>
        </w:rPr>
      </w:pPr>
      <w:r w:rsidRPr="007371DF">
        <w:rPr>
          <w:rFonts w:ascii="Arial" w:hAnsi="Arial" w:cs="Arial"/>
          <w:sz w:val="20"/>
          <w:szCs w:val="20"/>
        </w:rPr>
        <w:t>the increment of percentage of high bid set under section 4.1</w:t>
      </w:r>
      <w:r w:rsidR="00B535F0" w:rsidRPr="007371DF">
        <w:rPr>
          <w:rFonts w:ascii="Arial" w:hAnsi="Arial" w:cs="Arial"/>
          <w:sz w:val="20"/>
          <w:szCs w:val="20"/>
        </w:rPr>
        <w:t>3</w:t>
      </w:r>
      <w:r w:rsidR="00E155EA">
        <w:rPr>
          <w:rFonts w:ascii="Arial" w:hAnsi="Arial" w:cs="Arial"/>
          <w:sz w:val="20"/>
          <w:szCs w:val="20"/>
        </w:rPr>
        <w:t>, multiplied by that high bid;</w:t>
      </w:r>
    </w:p>
    <w:p w14:paraId="3BA7B3EC" w14:textId="77777777" w:rsidR="00E07282" w:rsidRPr="007371DF" w:rsidRDefault="00E07282" w:rsidP="006418A1">
      <w:pPr>
        <w:spacing w:before="120"/>
        <w:rPr>
          <w:rFonts w:ascii="Arial" w:hAnsi="Arial" w:cs="Arial"/>
          <w:sz w:val="20"/>
          <w:szCs w:val="20"/>
        </w:rPr>
      </w:pPr>
      <w:r w:rsidRPr="007371DF">
        <w:rPr>
          <w:rFonts w:ascii="Arial" w:hAnsi="Arial" w:cs="Arial"/>
          <w:sz w:val="20"/>
          <w:szCs w:val="20"/>
        </w:rPr>
        <w:t>rounded up to the ne</w:t>
      </w:r>
      <w:r w:rsidR="005353A7" w:rsidRPr="007371DF">
        <w:rPr>
          <w:rFonts w:ascii="Arial" w:hAnsi="Arial" w:cs="Arial"/>
          <w:sz w:val="20"/>
          <w:szCs w:val="20"/>
        </w:rPr>
        <w:t>xt</w:t>
      </w:r>
      <w:r w:rsidRPr="007371DF">
        <w:rPr>
          <w:rFonts w:ascii="Arial" w:hAnsi="Arial" w:cs="Arial"/>
          <w:sz w:val="20"/>
          <w:szCs w:val="20"/>
        </w:rPr>
        <w:t xml:space="preserve"> thousand</w:t>
      </w:r>
      <w:r w:rsidR="005353A7" w:rsidRPr="007371DF">
        <w:rPr>
          <w:rFonts w:ascii="Arial" w:hAnsi="Arial" w:cs="Arial"/>
          <w:sz w:val="20"/>
          <w:szCs w:val="20"/>
        </w:rPr>
        <w:t>.</w:t>
      </w:r>
      <w:r w:rsidRPr="007371DF">
        <w:rPr>
          <w:rFonts w:ascii="Arial" w:hAnsi="Arial" w:cs="Arial"/>
          <w:sz w:val="20"/>
          <w:szCs w:val="20"/>
        </w:rPr>
        <w:t xml:space="preserve"> </w:t>
      </w:r>
    </w:p>
    <w:p w14:paraId="2BAE3369" w14:textId="77777777" w:rsidR="00236FA7" w:rsidRPr="007371DF" w:rsidRDefault="00236FA7" w:rsidP="00214C1D">
      <w:pPr>
        <w:pStyle w:val="R2"/>
        <w:ind w:left="0" w:firstLine="0"/>
        <w:rPr>
          <w:rFonts w:ascii="Arial" w:hAnsi="Arial" w:cs="Arial"/>
          <w:sz w:val="20"/>
        </w:rPr>
      </w:pPr>
      <w:r w:rsidRPr="007371DF">
        <w:rPr>
          <w:rFonts w:ascii="Arial" w:hAnsi="Arial" w:cs="Arial"/>
          <w:sz w:val="20"/>
        </w:rPr>
        <w:tab/>
      </w:r>
      <w:r w:rsidR="00B535F0" w:rsidRPr="007371DF">
        <w:rPr>
          <w:rFonts w:ascii="Arial" w:hAnsi="Arial" w:cs="Arial"/>
          <w:sz w:val="20"/>
        </w:rPr>
        <w:t>I</w:t>
      </w:r>
      <w:r w:rsidRPr="007371DF">
        <w:rPr>
          <w:rFonts w:ascii="Arial" w:hAnsi="Arial" w:cs="Arial"/>
          <w:sz w:val="20"/>
        </w:rPr>
        <w:t>f a bid on a lot is withdrawn, the minimum bid on that lot is worked out in accordance with clause 1</w:t>
      </w:r>
      <w:r w:rsidR="00B535F0" w:rsidRPr="007371DF">
        <w:rPr>
          <w:rFonts w:ascii="Arial" w:hAnsi="Arial" w:cs="Arial"/>
          <w:sz w:val="20"/>
        </w:rPr>
        <w:t>6</w:t>
      </w:r>
      <w:r w:rsidRPr="007371DF">
        <w:rPr>
          <w:rFonts w:ascii="Arial" w:hAnsi="Arial" w:cs="Arial"/>
          <w:sz w:val="20"/>
        </w:rPr>
        <w:t>.</w:t>
      </w:r>
    </w:p>
    <w:p w14:paraId="54F71258" w14:textId="77777777" w:rsidR="00236FA7" w:rsidRPr="007371DF" w:rsidRDefault="00236FA7" w:rsidP="00214C1D">
      <w:pPr>
        <w:pStyle w:val="R2"/>
        <w:ind w:left="0" w:firstLine="0"/>
        <w:rPr>
          <w:rFonts w:ascii="Arial" w:hAnsi="Arial" w:cs="Arial"/>
          <w:sz w:val="20"/>
        </w:rPr>
      </w:pPr>
      <w:r w:rsidRPr="007371DF">
        <w:rPr>
          <w:rFonts w:ascii="Arial" w:hAnsi="Arial" w:cs="Arial"/>
          <w:sz w:val="20"/>
        </w:rPr>
        <w:tab/>
        <w:t>A bidder who holds the high bid on a lot from a previous round is not required by subclause</w:t>
      </w:r>
      <w:r w:rsidR="00822EE4" w:rsidRPr="007371DF">
        <w:rPr>
          <w:rFonts w:ascii="Arial" w:hAnsi="Arial" w:cs="Arial"/>
          <w:sz w:val="20"/>
        </w:rPr>
        <w:t xml:space="preserve"> </w:t>
      </w:r>
      <w:r w:rsidR="00693C1C" w:rsidRPr="007371DF">
        <w:rPr>
          <w:rFonts w:ascii="Arial" w:hAnsi="Arial" w:cs="Arial"/>
          <w:sz w:val="20"/>
        </w:rPr>
        <w:t>6</w:t>
      </w:r>
      <w:r w:rsidR="00822EE4" w:rsidRPr="007371DF">
        <w:rPr>
          <w:rFonts w:ascii="Arial" w:hAnsi="Arial" w:cs="Arial"/>
          <w:sz w:val="20"/>
        </w:rPr>
        <w:t>(2)</w:t>
      </w:r>
      <w:r w:rsidRPr="007371DF">
        <w:rPr>
          <w:rFonts w:ascii="Arial" w:hAnsi="Arial" w:cs="Arial"/>
          <w:sz w:val="20"/>
        </w:rPr>
        <w:t> to raise its own high bid, but may do so.</w:t>
      </w:r>
    </w:p>
    <w:p w14:paraId="25879396" w14:textId="77777777" w:rsidR="00236FA7" w:rsidRPr="007371DF" w:rsidRDefault="00DB3355" w:rsidP="00524F9A">
      <w:pPr>
        <w:pStyle w:val="HR"/>
        <w:ind w:left="851" w:hanging="851"/>
        <w:rPr>
          <w:rFonts w:cs="Arial"/>
          <w:sz w:val="20"/>
          <w:szCs w:val="20"/>
        </w:rPr>
      </w:pPr>
      <w:r w:rsidRPr="007371DF">
        <w:rPr>
          <w:rStyle w:val="CharSectno"/>
          <w:rFonts w:cs="Arial"/>
          <w:sz w:val="20"/>
          <w:szCs w:val="20"/>
        </w:rPr>
        <w:t>Clause 7</w:t>
      </w:r>
      <w:r w:rsidR="00524F9A" w:rsidRPr="007371DF">
        <w:rPr>
          <w:rStyle w:val="CharSectno"/>
          <w:rFonts w:cs="Arial"/>
          <w:sz w:val="20"/>
          <w:szCs w:val="20"/>
        </w:rPr>
        <w:t xml:space="preserve"> </w:t>
      </w:r>
      <w:r w:rsidR="00524F9A" w:rsidRPr="007371DF">
        <w:rPr>
          <w:rStyle w:val="CharSectno"/>
          <w:rFonts w:cs="Arial"/>
          <w:sz w:val="20"/>
          <w:szCs w:val="20"/>
        </w:rPr>
        <w:tab/>
      </w:r>
      <w:r w:rsidR="00236FA7" w:rsidRPr="007371DF">
        <w:rPr>
          <w:rFonts w:cs="Arial"/>
          <w:sz w:val="20"/>
          <w:szCs w:val="20"/>
        </w:rPr>
        <w:t>Changing starting prices</w:t>
      </w:r>
    </w:p>
    <w:p w14:paraId="5D359E42" w14:textId="4D92623C" w:rsidR="00236FA7" w:rsidRPr="007371DF" w:rsidRDefault="00A56D3E" w:rsidP="00693C1C">
      <w:pPr>
        <w:pStyle w:val="R1"/>
        <w:tabs>
          <w:tab w:val="clear" w:pos="794"/>
          <w:tab w:val="right" w:pos="0"/>
        </w:tabs>
        <w:ind w:left="0" w:firstLine="0"/>
        <w:rPr>
          <w:rFonts w:ascii="Arial" w:hAnsi="Arial" w:cs="Arial"/>
          <w:sz w:val="20"/>
          <w:szCs w:val="20"/>
        </w:rPr>
      </w:pPr>
      <w:r w:rsidRPr="007371DF">
        <w:rPr>
          <w:rFonts w:ascii="Arial" w:hAnsi="Arial" w:cs="Arial"/>
          <w:sz w:val="20"/>
          <w:szCs w:val="20"/>
        </w:rPr>
        <w:t xml:space="preserve">This clause sets out </w:t>
      </w:r>
      <w:r w:rsidR="00C80A9D" w:rsidRPr="007371DF">
        <w:rPr>
          <w:rFonts w:ascii="Arial" w:hAnsi="Arial" w:cs="Arial"/>
          <w:sz w:val="20"/>
          <w:szCs w:val="20"/>
        </w:rPr>
        <w:t>that d</w:t>
      </w:r>
      <w:r w:rsidR="00236FA7" w:rsidRPr="007371DF">
        <w:rPr>
          <w:rFonts w:ascii="Arial" w:hAnsi="Arial" w:cs="Arial"/>
          <w:sz w:val="20"/>
          <w:szCs w:val="20"/>
        </w:rPr>
        <w:t xml:space="preserve">espite clause </w:t>
      </w:r>
      <w:r w:rsidR="00B535F0" w:rsidRPr="007371DF">
        <w:rPr>
          <w:rFonts w:ascii="Arial" w:hAnsi="Arial" w:cs="Arial"/>
          <w:sz w:val="20"/>
          <w:szCs w:val="20"/>
        </w:rPr>
        <w:t>6</w:t>
      </w:r>
      <w:r w:rsidR="00236FA7" w:rsidRPr="007371DF">
        <w:rPr>
          <w:rFonts w:ascii="Arial" w:hAnsi="Arial" w:cs="Arial"/>
          <w:sz w:val="20"/>
          <w:szCs w:val="20"/>
        </w:rPr>
        <w:t xml:space="preserve">, the Chair </w:t>
      </w:r>
      <w:r w:rsidR="00693C1C" w:rsidRPr="007371DF">
        <w:rPr>
          <w:rFonts w:ascii="Arial" w:hAnsi="Arial" w:cs="Arial"/>
          <w:sz w:val="20"/>
          <w:szCs w:val="20"/>
        </w:rPr>
        <w:t xml:space="preserve">of the ACMA </w:t>
      </w:r>
      <w:r w:rsidR="00236FA7" w:rsidRPr="007371DF">
        <w:rPr>
          <w:rFonts w:ascii="Arial" w:hAnsi="Arial" w:cs="Arial"/>
          <w:sz w:val="20"/>
          <w:szCs w:val="20"/>
        </w:rPr>
        <w:t>may, at any time, vary the amount of the starting price on a lot.</w:t>
      </w:r>
      <w:r w:rsidRPr="007371DF">
        <w:rPr>
          <w:rFonts w:ascii="Arial" w:hAnsi="Arial" w:cs="Arial"/>
          <w:sz w:val="20"/>
          <w:szCs w:val="20"/>
        </w:rPr>
        <w:t xml:space="preserve"> </w:t>
      </w:r>
      <w:r w:rsidR="00B55351" w:rsidRPr="007371DF">
        <w:rPr>
          <w:rFonts w:ascii="Arial" w:hAnsi="Arial" w:cs="Arial"/>
          <w:sz w:val="20"/>
          <w:szCs w:val="20"/>
        </w:rPr>
        <w:t xml:space="preserve">The </w:t>
      </w:r>
      <w:r w:rsidR="00B7538D" w:rsidRPr="007371DF">
        <w:rPr>
          <w:rFonts w:ascii="Arial" w:hAnsi="Arial" w:cs="Arial"/>
          <w:sz w:val="20"/>
          <w:szCs w:val="20"/>
        </w:rPr>
        <w:t>Chair</w:t>
      </w:r>
      <w:r w:rsidR="00B55351" w:rsidRPr="007371DF">
        <w:rPr>
          <w:rFonts w:ascii="Arial" w:hAnsi="Arial" w:cs="Arial"/>
          <w:sz w:val="20"/>
          <w:szCs w:val="20"/>
        </w:rPr>
        <w:t xml:space="preserve"> may do this in order to move the spectrum to its highest valued use.</w:t>
      </w:r>
    </w:p>
    <w:p w14:paraId="6D052FBA" w14:textId="03CF6893" w:rsidR="00236FA7" w:rsidRPr="007371DF" w:rsidRDefault="00236FA7" w:rsidP="00A56D3E">
      <w:pPr>
        <w:pStyle w:val="ZR2"/>
        <w:ind w:left="0" w:firstLine="0"/>
        <w:rPr>
          <w:rFonts w:ascii="Arial" w:hAnsi="Arial" w:cs="Arial"/>
          <w:sz w:val="20"/>
        </w:rPr>
      </w:pPr>
      <w:r w:rsidRPr="0032195C">
        <w:rPr>
          <w:rFonts w:ascii="Arial" w:hAnsi="Arial" w:cs="Arial"/>
          <w:sz w:val="20"/>
          <w:szCs w:val="20"/>
        </w:rPr>
        <w:t xml:space="preserve">Before </w:t>
      </w:r>
      <w:r w:rsidR="00A56D3E" w:rsidRPr="0032195C">
        <w:rPr>
          <w:rFonts w:ascii="Arial" w:hAnsi="Arial" w:cs="Arial"/>
          <w:sz w:val="20"/>
          <w:szCs w:val="20"/>
        </w:rPr>
        <w:t xml:space="preserve">varying starting prices, </w:t>
      </w:r>
      <w:r w:rsidRPr="0032195C">
        <w:rPr>
          <w:rFonts w:ascii="Arial" w:hAnsi="Arial" w:cs="Arial"/>
          <w:sz w:val="20"/>
          <w:szCs w:val="20"/>
        </w:rPr>
        <w:t>the Chair must</w:t>
      </w:r>
      <w:r w:rsidR="00A56D3E" w:rsidRPr="0032195C">
        <w:rPr>
          <w:rFonts w:ascii="Arial" w:hAnsi="Arial" w:cs="Arial"/>
          <w:sz w:val="20"/>
          <w:szCs w:val="20"/>
        </w:rPr>
        <w:t xml:space="preserve"> </w:t>
      </w:r>
      <w:r w:rsidRPr="0032195C">
        <w:rPr>
          <w:rFonts w:ascii="Arial" w:hAnsi="Arial" w:cs="Arial"/>
          <w:sz w:val="20"/>
        </w:rPr>
        <w:t>tell bidders of the proposed change</w:t>
      </w:r>
      <w:r w:rsidR="00A56D3E" w:rsidRPr="0032195C">
        <w:rPr>
          <w:rFonts w:ascii="Arial" w:hAnsi="Arial" w:cs="Arial"/>
          <w:sz w:val="20"/>
        </w:rPr>
        <w:t xml:space="preserve">, </w:t>
      </w:r>
      <w:r w:rsidRPr="0032195C">
        <w:rPr>
          <w:rFonts w:ascii="Arial" w:hAnsi="Arial" w:cs="Arial"/>
          <w:sz w:val="20"/>
        </w:rPr>
        <w:t>ask bidders for their comments on the proposal within the time (being not less than 1</w:t>
      </w:r>
      <w:r w:rsidR="00926840" w:rsidRPr="0032195C">
        <w:rPr>
          <w:rFonts w:ascii="Arial" w:hAnsi="Arial" w:cs="Arial"/>
          <w:sz w:val="20"/>
        </w:rPr>
        <w:t xml:space="preserve"> day</w:t>
      </w:r>
      <w:r w:rsidRPr="0032195C">
        <w:rPr>
          <w:rFonts w:ascii="Arial" w:hAnsi="Arial" w:cs="Arial"/>
          <w:sz w:val="20"/>
        </w:rPr>
        <w:t>) set by the auction manager and</w:t>
      </w:r>
      <w:r w:rsidR="00A56D3E" w:rsidRPr="0032195C">
        <w:rPr>
          <w:rFonts w:ascii="Arial" w:hAnsi="Arial" w:cs="Arial"/>
          <w:sz w:val="20"/>
        </w:rPr>
        <w:t xml:space="preserve"> </w:t>
      </w:r>
      <w:r w:rsidRPr="0032195C">
        <w:rPr>
          <w:rFonts w:ascii="Arial" w:hAnsi="Arial" w:cs="Arial"/>
          <w:sz w:val="20"/>
        </w:rPr>
        <w:t>take into account any comments received on the proposal.</w:t>
      </w:r>
      <w:r w:rsidR="00A56D3E" w:rsidRPr="0032195C">
        <w:rPr>
          <w:rFonts w:ascii="Arial" w:hAnsi="Arial" w:cs="Arial"/>
          <w:sz w:val="20"/>
        </w:rPr>
        <w:t xml:space="preserve"> T</w:t>
      </w:r>
      <w:r w:rsidRPr="0032195C">
        <w:rPr>
          <w:rFonts w:ascii="Arial" w:hAnsi="Arial" w:cs="Arial"/>
          <w:sz w:val="20"/>
        </w:rPr>
        <w:t xml:space="preserve">he auction manager must notify all bidders of the change before the round </w:t>
      </w:r>
      <w:r w:rsidR="00986EFE" w:rsidRPr="0032195C">
        <w:rPr>
          <w:rFonts w:ascii="Arial" w:hAnsi="Arial" w:cs="Arial"/>
          <w:sz w:val="20"/>
        </w:rPr>
        <w:t>when</w:t>
      </w:r>
      <w:r w:rsidRPr="0032195C">
        <w:rPr>
          <w:rFonts w:ascii="Arial" w:hAnsi="Arial" w:cs="Arial"/>
          <w:sz w:val="20"/>
        </w:rPr>
        <w:t xml:space="preserve"> the change takes effect.</w:t>
      </w:r>
    </w:p>
    <w:p w14:paraId="05F9BDAA" w14:textId="5C183148" w:rsidR="00B7538D" w:rsidRPr="007371DF" w:rsidRDefault="00660DFA" w:rsidP="0032195C">
      <w:pPr>
        <w:pStyle w:val="HR"/>
        <w:rPr>
          <w:rFonts w:cs="Arial"/>
          <w:sz w:val="20"/>
          <w:szCs w:val="20"/>
        </w:rPr>
      </w:pPr>
      <w:r w:rsidRPr="007371DF">
        <w:rPr>
          <w:rStyle w:val="CharSectno"/>
          <w:rFonts w:cs="Arial"/>
          <w:sz w:val="20"/>
          <w:szCs w:val="20"/>
        </w:rPr>
        <w:t>Clause 8</w:t>
      </w:r>
      <w:r w:rsidR="00087E8D" w:rsidRPr="007371DF">
        <w:rPr>
          <w:rStyle w:val="CharSectno"/>
          <w:rFonts w:cs="Arial"/>
          <w:sz w:val="20"/>
          <w:szCs w:val="20"/>
        </w:rPr>
        <w:tab/>
      </w:r>
      <w:r w:rsidR="00087E8D" w:rsidRPr="007371DF">
        <w:rPr>
          <w:rFonts w:cs="Arial"/>
          <w:sz w:val="20"/>
          <w:szCs w:val="20"/>
        </w:rPr>
        <w:tab/>
      </w:r>
      <w:r w:rsidR="00236FA7" w:rsidRPr="007371DF">
        <w:rPr>
          <w:rFonts w:cs="Arial"/>
          <w:sz w:val="20"/>
          <w:szCs w:val="20"/>
        </w:rPr>
        <w:t>Changing minimum bids</w:t>
      </w:r>
    </w:p>
    <w:p w14:paraId="58EDE6DE" w14:textId="46EB7B89" w:rsidR="00236FA7" w:rsidRPr="009542B0" w:rsidRDefault="00A56D3E" w:rsidP="0032195C">
      <w:pPr>
        <w:autoSpaceDE w:val="0"/>
        <w:autoSpaceDN w:val="0"/>
        <w:adjustRightInd w:val="0"/>
        <w:spacing w:before="180" w:line="260" w:lineRule="exact"/>
        <w:rPr>
          <w:rFonts w:ascii="Arial" w:hAnsi="Arial" w:cs="Arial"/>
          <w:sz w:val="20"/>
          <w:szCs w:val="20"/>
        </w:rPr>
      </w:pPr>
      <w:r w:rsidRPr="0032195C">
        <w:rPr>
          <w:rFonts w:ascii="Arial" w:hAnsi="Arial" w:cs="Arial"/>
          <w:sz w:val="20"/>
          <w:szCs w:val="20"/>
        </w:rPr>
        <w:t>This clause sets out th</w:t>
      </w:r>
      <w:r w:rsidR="00C80A9D" w:rsidRPr="0032195C">
        <w:rPr>
          <w:rFonts w:ascii="Arial" w:hAnsi="Arial" w:cs="Arial"/>
          <w:sz w:val="20"/>
          <w:szCs w:val="20"/>
        </w:rPr>
        <w:t>at d</w:t>
      </w:r>
      <w:r w:rsidR="00236FA7" w:rsidRPr="0032195C">
        <w:rPr>
          <w:rFonts w:ascii="Arial" w:hAnsi="Arial" w:cs="Arial"/>
          <w:sz w:val="20"/>
          <w:szCs w:val="20"/>
        </w:rPr>
        <w:t xml:space="preserve">espite clause </w:t>
      </w:r>
      <w:r w:rsidR="00F648D9" w:rsidRPr="0032195C">
        <w:rPr>
          <w:rFonts w:ascii="Arial" w:hAnsi="Arial" w:cs="Arial"/>
          <w:sz w:val="20"/>
          <w:szCs w:val="20"/>
        </w:rPr>
        <w:t>6</w:t>
      </w:r>
      <w:r w:rsidR="00236FA7" w:rsidRPr="0032195C">
        <w:rPr>
          <w:rFonts w:ascii="Arial" w:hAnsi="Arial" w:cs="Arial"/>
          <w:sz w:val="20"/>
          <w:szCs w:val="20"/>
        </w:rPr>
        <w:t>, the auction manager may, at any time during the auction, change the amounts fixed under paragraphs 4.1</w:t>
      </w:r>
      <w:r w:rsidR="00F648D9" w:rsidRPr="0032195C">
        <w:rPr>
          <w:rFonts w:ascii="Arial" w:hAnsi="Arial" w:cs="Arial"/>
          <w:sz w:val="20"/>
          <w:szCs w:val="20"/>
        </w:rPr>
        <w:t>3</w:t>
      </w:r>
      <w:r w:rsidR="00236FA7" w:rsidRPr="0032195C">
        <w:rPr>
          <w:rFonts w:ascii="Arial" w:hAnsi="Arial" w:cs="Arial"/>
          <w:sz w:val="20"/>
          <w:szCs w:val="20"/>
        </w:rPr>
        <w:t xml:space="preserve">(a) and (b) </w:t>
      </w:r>
      <w:r w:rsidR="00B7538D" w:rsidRPr="0032195C">
        <w:rPr>
          <w:rFonts w:ascii="Arial" w:hAnsi="Arial" w:cs="Arial"/>
          <w:sz w:val="20"/>
          <w:szCs w:val="20"/>
        </w:rPr>
        <w:t xml:space="preserve">of the Determination </w:t>
      </w:r>
      <w:r w:rsidR="00236FA7" w:rsidRPr="0032195C">
        <w:rPr>
          <w:rFonts w:ascii="Arial" w:hAnsi="Arial" w:cs="Arial"/>
          <w:sz w:val="20"/>
          <w:szCs w:val="20"/>
        </w:rPr>
        <w:t>to vary the minimum bid on a lot.</w:t>
      </w:r>
      <w:r w:rsidR="00B55351" w:rsidRPr="0032195C">
        <w:rPr>
          <w:rFonts w:ascii="Arial" w:hAnsi="Arial" w:cs="Arial"/>
          <w:sz w:val="20"/>
          <w:szCs w:val="20"/>
        </w:rPr>
        <w:t xml:space="preserve"> During the auction, the auction manager may vary these amounts after consulting with bidders. Adjusting the level of the</w:t>
      </w:r>
      <w:r w:rsidR="005A04CF" w:rsidRPr="0032195C">
        <w:rPr>
          <w:rFonts w:ascii="Arial" w:hAnsi="Arial" w:cs="Arial"/>
          <w:sz w:val="20"/>
          <w:szCs w:val="20"/>
        </w:rPr>
        <w:t>se</w:t>
      </w:r>
      <w:r w:rsidR="00B55351" w:rsidRPr="0032195C">
        <w:rPr>
          <w:rFonts w:ascii="Arial" w:hAnsi="Arial" w:cs="Arial"/>
          <w:sz w:val="20"/>
          <w:szCs w:val="20"/>
        </w:rPr>
        <w:t xml:space="preserve"> minimum bid increment</w:t>
      </w:r>
      <w:r w:rsidR="00B7538D" w:rsidRPr="0032195C">
        <w:rPr>
          <w:rFonts w:ascii="Arial" w:hAnsi="Arial" w:cs="Arial"/>
          <w:sz w:val="20"/>
          <w:szCs w:val="20"/>
        </w:rPr>
        <w:t>s</w:t>
      </w:r>
      <w:r w:rsidR="00B55351" w:rsidRPr="0032195C">
        <w:rPr>
          <w:rFonts w:ascii="Arial" w:hAnsi="Arial" w:cs="Arial"/>
          <w:sz w:val="20"/>
          <w:szCs w:val="20"/>
        </w:rPr>
        <w:t xml:space="preserve"> may be used to influence the speed at which the auction progresses.</w:t>
      </w:r>
    </w:p>
    <w:p w14:paraId="39BEB0C2" w14:textId="77777777" w:rsidR="00236FA7" w:rsidRDefault="00236FA7" w:rsidP="00EA2350">
      <w:pPr>
        <w:pStyle w:val="ZR2"/>
        <w:ind w:left="0" w:firstLine="0"/>
        <w:rPr>
          <w:rFonts w:ascii="Arial" w:hAnsi="Arial" w:cs="Arial"/>
          <w:sz w:val="20"/>
          <w:szCs w:val="20"/>
        </w:rPr>
      </w:pPr>
      <w:r w:rsidRPr="009542B0">
        <w:rPr>
          <w:rFonts w:ascii="Arial" w:hAnsi="Arial" w:cs="Arial"/>
          <w:sz w:val="20"/>
          <w:szCs w:val="20"/>
        </w:rPr>
        <w:t>Before doing this, the auction manager must</w:t>
      </w:r>
      <w:r w:rsidR="00A56D3E">
        <w:rPr>
          <w:rFonts w:ascii="Arial" w:hAnsi="Arial" w:cs="Arial"/>
          <w:sz w:val="20"/>
          <w:szCs w:val="20"/>
        </w:rPr>
        <w:t xml:space="preserve"> </w:t>
      </w:r>
      <w:r w:rsidRPr="00EA2350">
        <w:rPr>
          <w:rFonts w:ascii="Arial" w:hAnsi="Arial" w:cs="Arial"/>
          <w:sz w:val="20"/>
          <w:szCs w:val="20"/>
        </w:rPr>
        <w:t>tell bidders of the proposed change</w:t>
      </w:r>
      <w:r w:rsidR="00A56D3E" w:rsidRPr="00EA2350">
        <w:rPr>
          <w:rFonts w:ascii="Arial" w:hAnsi="Arial" w:cs="Arial"/>
          <w:sz w:val="20"/>
          <w:szCs w:val="20"/>
        </w:rPr>
        <w:t xml:space="preserve">, </w:t>
      </w:r>
      <w:r w:rsidRPr="00EA2350">
        <w:rPr>
          <w:rFonts w:ascii="Arial" w:hAnsi="Arial" w:cs="Arial"/>
          <w:sz w:val="20"/>
          <w:szCs w:val="20"/>
        </w:rPr>
        <w:t>ask bidders for their comments on the proposal within the time (being not less than 1 hour) set by the auction manager</w:t>
      </w:r>
      <w:r w:rsidR="005A04CF">
        <w:rPr>
          <w:rFonts w:ascii="Arial" w:hAnsi="Arial" w:cs="Arial"/>
          <w:sz w:val="20"/>
          <w:szCs w:val="20"/>
        </w:rPr>
        <w:t>,</w:t>
      </w:r>
      <w:r w:rsidRPr="00EA2350">
        <w:rPr>
          <w:rFonts w:ascii="Arial" w:hAnsi="Arial" w:cs="Arial"/>
          <w:sz w:val="20"/>
          <w:szCs w:val="20"/>
        </w:rPr>
        <w:t xml:space="preserve"> and</w:t>
      </w:r>
      <w:r w:rsidR="00EA2350">
        <w:rPr>
          <w:rFonts w:ascii="Arial" w:hAnsi="Arial" w:cs="Arial"/>
          <w:sz w:val="20"/>
          <w:szCs w:val="20"/>
        </w:rPr>
        <w:t xml:space="preserve"> </w:t>
      </w:r>
      <w:r w:rsidRPr="00EA2350">
        <w:rPr>
          <w:rFonts w:ascii="Arial" w:hAnsi="Arial" w:cs="Arial"/>
          <w:sz w:val="20"/>
          <w:szCs w:val="20"/>
        </w:rPr>
        <w:t>take into account any comments received on the proposal.</w:t>
      </w:r>
      <w:r w:rsidR="00EA2350">
        <w:rPr>
          <w:rFonts w:ascii="Arial" w:hAnsi="Arial" w:cs="Arial"/>
          <w:sz w:val="20"/>
          <w:szCs w:val="20"/>
        </w:rPr>
        <w:t xml:space="preserve"> </w:t>
      </w:r>
      <w:r w:rsidRPr="00EA2350">
        <w:rPr>
          <w:rFonts w:ascii="Arial" w:hAnsi="Arial" w:cs="Arial"/>
          <w:sz w:val="20"/>
          <w:szCs w:val="20"/>
        </w:rPr>
        <w:t>The auction manager must notify all bidders of the change before the round when the change takes effect.</w:t>
      </w:r>
    </w:p>
    <w:p w14:paraId="30AD1D9A" w14:textId="77777777" w:rsidR="00236FA7" w:rsidRPr="009542B0" w:rsidRDefault="00660DFA" w:rsidP="00236FA7">
      <w:pPr>
        <w:pStyle w:val="HR"/>
        <w:rPr>
          <w:rFonts w:cs="Arial"/>
          <w:sz w:val="20"/>
          <w:szCs w:val="20"/>
        </w:rPr>
      </w:pPr>
      <w:r>
        <w:rPr>
          <w:rStyle w:val="CharSectno"/>
          <w:rFonts w:cs="Arial"/>
          <w:sz w:val="20"/>
          <w:szCs w:val="20"/>
        </w:rPr>
        <w:t>Clause 9</w:t>
      </w:r>
      <w:r w:rsidR="00236FA7" w:rsidRPr="009542B0">
        <w:rPr>
          <w:rFonts w:cs="Arial"/>
          <w:sz w:val="20"/>
          <w:szCs w:val="20"/>
        </w:rPr>
        <w:tab/>
      </w:r>
      <w:r w:rsidR="00087E8D">
        <w:rPr>
          <w:rFonts w:cs="Arial"/>
          <w:sz w:val="20"/>
          <w:szCs w:val="20"/>
        </w:rPr>
        <w:tab/>
      </w:r>
      <w:r w:rsidR="00236FA7" w:rsidRPr="009542B0">
        <w:rPr>
          <w:rFonts w:cs="Arial"/>
          <w:sz w:val="20"/>
          <w:szCs w:val="20"/>
        </w:rPr>
        <w:t>All lots on offer simultaneously</w:t>
      </w:r>
    </w:p>
    <w:p w14:paraId="7C555FC7" w14:textId="77777777" w:rsidR="00236FA7" w:rsidRPr="009542B0" w:rsidRDefault="00236FA7" w:rsidP="00EA2350">
      <w:pPr>
        <w:pStyle w:val="R1"/>
        <w:tabs>
          <w:tab w:val="clear" w:pos="794"/>
          <w:tab w:val="right" w:pos="993"/>
        </w:tabs>
        <w:ind w:left="0" w:firstLine="0"/>
        <w:rPr>
          <w:rFonts w:ascii="Arial" w:hAnsi="Arial" w:cs="Arial"/>
          <w:sz w:val="20"/>
          <w:szCs w:val="20"/>
        </w:rPr>
      </w:pPr>
      <w:r w:rsidRPr="009542B0">
        <w:rPr>
          <w:rFonts w:ascii="Arial" w:hAnsi="Arial" w:cs="Arial"/>
          <w:b/>
          <w:sz w:val="20"/>
          <w:szCs w:val="20"/>
        </w:rPr>
        <w:tab/>
      </w:r>
      <w:r w:rsidR="003A7EE1" w:rsidRPr="00564806">
        <w:rPr>
          <w:rFonts w:ascii="Arial" w:hAnsi="Arial" w:cs="Arial"/>
          <w:sz w:val="20"/>
          <w:szCs w:val="20"/>
        </w:rPr>
        <w:t xml:space="preserve">Clause 9 provides that </w:t>
      </w:r>
      <w:r w:rsidR="00564806">
        <w:rPr>
          <w:rFonts w:ascii="Arial" w:hAnsi="Arial" w:cs="Arial"/>
          <w:sz w:val="20"/>
          <w:szCs w:val="20"/>
        </w:rPr>
        <w:t>a</w:t>
      </w:r>
      <w:r w:rsidRPr="009542B0">
        <w:rPr>
          <w:rFonts w:ascii="Arial" w:hAnsi="Arial" w:cs="Arial"/>
          <w:sz w:val="20"/>
          <w:szCs w:val="20"/>
        </w:rPr>
        <w:t xml:space="preserve">ll of the lots on offer at </w:t>
      </w:r>
      <w:r w:rsidR="00564806">
        <w:rPr>
          <w:rFonts w:ascii="Arial" w:hAnsi="Arial" w:cs="Arial"/>
          <w:sz w:val="20"/>
          <w:szCs w:val="20"/>
        </w:rPr>
        <w:t>the</w:t>
      </w:r>
      <w:r w:rsidR="00564806" w:rsidRPr="009542B0">
        <w:rPr>
          <w:rFonts w:ascii="Arial" w:hAnsi="Arial" w:cs="Arial"/>
          <w:sz w:val="20"/>
          <w:szCs w:val="20"/>
        </w:rPr>
        <w:t xml:space="preserve"> </w:t>
      </w:r>
      <w:r w:rsidRPr="009542B0">
        <w:rPr>
          <w:rFonts w:ascii="Arial" w:hAnsi="Arial" w:cs="Arial"/>
          <w:sz w:val="20"/>
          <w:szCs w:val="20"/>
        </w:rPr>
        <w:t>auction will be open for bidding in each round of the auction.</w:t>
      </w:r>
      <w:r w:rsidR="00EA2350">
        <w:rPr>
          <w:rFonts w:ascii="Arial" w:hAnsi="Arial" w:cs="Arial"/>
          <w:sz w:val="20"/>
          <w:szCs w:val="20"/>
        </w:rPr>
        <w:t xml:space="preserve">  This is </w:t>
      </w:r>
      <w:r w:rsidR="00524F9A">
        <w:rPr>
          <w:rFonts w:ascii="Arial" w:hAnsi="Arial" w:cs="Arial"/>
          <w:sz w:val="20"/>
          <w:szCs w:val="20"/>
        </w:rPr>
        <w:t>a characteristic</w:t>
      </w:r>
      <w:r w:rsidR="00452B38">
        <w:rPr>
          <w:rFonts w:ascii="Arial" w:hAnsi="Arial" w:cs="Arial"/>
          <w:sz w:val="20"/>
          <w:szCs w:val="20"/>
        </w:rPr>
        <w:t xml:space="preserve"> </w:t>
      </w:r>
      <w:r w:rsidR="00EA2350">
        <w:rPr>
          <w:rFonts w:ascii="Arial" w:hAnsi="Arial" w:cs="Arial"/>
          <w:sz w:val="20"/>
          <w:szCs w:val="20"/>
        </w:rPr>
        <w:t xml:space="preserve">of a </w:t>
      </w:r>
      <w:r w:rsidR="00C80A9D">
        <w:rPr>
          <w:rFonts w:ascii="Arial" w:hAnsi="Arial" w:cs="Arial"/>
          <w:sz w:val="20"/>
          <w:szCs w:val="20"/>
        </w:rPr>
        <w:t>SMRA</w:t>
      </w:r>
      <w:r w:rsidR="00986EFE">
        <w:rPr>
          <w:rFonts w:ascii="Arial" w:hAnsi="Arial" w:cs="Arial"/>
          <w:sz w:val="20"/>
          <w:szCs w:val="20"/>
        </w:rPr>
        <w:t xml:space="preserve"> methodology</w:t>
      </w:r>
      <w:r w:rsidR="00EA2350">
        <w:rPr>
          <w:rFonts w:ascii="Arial" w:hAnsi="Arial" w:cs="Arial"/>
          <w:sz w:val="20"/>
          <w:szCs w:val="20"/>
        </w:rPr>
        <w:t>.</w:t>
      </w:r>
    </w:p>
    <w:p w14:paraId="72485664" w14:textId="77777777" w:rsidR="00236FA7" w:rsidRPr="009542B0" w:rsidRDefault="00660DFA" w:rsidP="00236FA7">
      <w:pPr>
        <w:pStyle w:val="HR"/>
        <w:rPr>
          <w:rFonts w:cs="Arial"/>
          <w:sz w:val="20"/>
          <w:szCs w:val="20"/>
        </w:rPr>
      </w:pPr>
      <w:r>
        <w:rPr>
          <w:rStyle w:val="CharSectno"/>
          <w:rFonts w:cs="Arial"/>
          <w:sz w:val="20"/>
          <w:szCs w:val="20"/>
        </w:rPr>
        <w:t xml:space="preserve">Clause 10 </w:t>
      </w:r>
      <w:r w:rsidR="00236FA7" w:rsidRPr="009542B0">
        <w:rPr>
          <w:rFonts w:cs="Arial"/>
          <w:sz w:val="20"/>
          <w:szCs w:val="20"/>
        </w:rPr>
        <w:tab/>
        <w:t>General rules about bidding</w:t>
      </w:r>
      <w:r w:rsidR="005353A7">
        <w:rPr>
          <w:rFonts w:cs="Arial"/>
          <w:sz w:val="20"/>
          <w:szCs w:val="20"/>
        </w:rPr>
        <w:t xml:space="preserve"> and bidding instructions</w:t>
      </w:r>
    </w:p>
    <w:p w14:paraId="5C273955" w14:textId="77777777" w:rsidR="00EA2350" w:rsidRPr="005300DE" w:rsidRDefault="00EA2350" w:rsidP="00112A7A">
      <w:pPr>
        <w:pStyle w:val="R1"/>
        <w:tabs>
          <w:tab w:val="clear" w:pos="794"/>
          <w:tab w:val="left" w:pos="0"/>
        </w:tabs>
        <w:ind w:left="0" w:firstLine="0"/>
        <w:rPr>
          <w:rFonts w:ascii="Arial" w:hAnsi="Arial" w:cs="Arial"/>
          <w:sz w:val="20"/>
          <w:szCs w:val="20"/>
        </w:rPr>
      </w:pPr>
      <w:r w:rsidRPr="005300DE">
        <w:rPr>
          <w:rFonts w:ascii="Arial" w:hAnsi="Arial" w:cs="Arial"/>
          <w:sz w:val="20"/>
          <w:szCs w:val="20"/>
        </w:rPr>
        <w:t xml:space="preserve">This clause outlines </w:t>
      </w:r>
      <w:r w:rsidR="00112A7A" w:rsidRPr="005300DE">
        <w:rPr>
          <w:rFonts w:ascii="Arial" w:hAnsi="Arial" w:cs="Arial"/>
          <w:sz w:val="20"/>
          <w:szCs w:val="20"/>
        </w:rPr>
        <w:t>general rules about bidding including allowable bids, tied bids</w:t>
      </w:r>
      <w:r w:rsidR="00986EFE" w:rsidRPr="005300DE">
        <w:rPr>
          <w:rFonts w:ascii="Arial" w:hAnsi="Arial" w:cs="Arial"/>
          <w:sz w:val="20"/>
          <w:szCs w:val="20"/>
        </w:rPr>
        <w:t xml:space="preserve"> and</w:t>
      </w:r>
      <w:r w:rsidR="00112A7A" w:rsidRPr="005300DE">
        <w:rPr>
          <w:rFonts w:ascii="Arial" w:hAnsi="Arial" w:cs="Arial"/>
          <w:sz w:val="20"/>
          <w:szCs w:val="20"/>
        </w:rPr>
        <w:t xml:space="preserve"> </w:t>
      </w:r>
      <w:r w:rsidR="00986EFE" w:rsidRPr="005300DE">
        <w:rPr>
          <w:rFonts w:ascii="Arial" w:hAnsi="Arial" w:cs="Arial"/>
          <w:sz w:val="20"/>
          <w:szCs w:val="20"/>
        </w:rPr>
        <w:t xml:space="preserve">validation of </w:t>
      </w:r>
      <w:r w:rsidR="00112A7A" w:rsidRPr="005300DE">
        <w:rPr>
          <w:rFonts w:ascii="Arial" w:hAnsi="Arial" w:cs="Arial"/>
          <w:sz w:val="20"/>
          <w:szCs w:val="20"/>
        </w:rPr>
        <w:t>bid</w:t>
      </w:r>
      <w:r w:rsidR="00986EFE" w:rsidRPr="005300DE">
        <w:rPr>
          <w:rFonts w:ascii="Arial" w:hAnsi="Arial" w:cs="Arial"/>
          <w:sz w:val="20"/>
          <w:szCs w:val="20"/>
        </w:rPr>
        <w:t>s.</w:t>
      </w:r>
    </w:p>
    <w:p w14:paraId="67CF4738" w14:textId="791129A5" w:rsidR="00236FA7" w:rsidRPr="009542B0" w:rsidRDefault="00236FA7" w:rsidP="00CD2171">
      <w:pPr>
        <w:pStyle w:val="R1"/>
        <w:tabs>
          <w:tab w:val="clear" w:pos="794"/>
          <w:tab w:val="left" w:pos="0"/>
        </w:tabs>
        <w:ind w:left="0" w:firstLine="0"/>
        <w:rPr>
          <w:rFonts w:ascii="Arial" w:hAnsi="Arial" w:cs="Arial"/>
          <w:sz w:val="20"/>
        </w:rPr>
      </w:pPr>
      <w:r w:rsidRPr="005300DE">
        <w:rPr>
          <w:rFonts w:ascii="Arial" w:hAnsi="Arial" w:cs="Arial"/>
          <w:sz w:val="20"/>
          <w:szCs w:val="20"/>
        </w:rPr>
        <w:t>Subject to clauses 1</w:t>
      </w:r>
      <w:r w:rsidR="00BE1497" w:rsidRPr="005300DE">
        <w:rPr>
          <w:rFonts w:ascii="Arial" w:hAnsi="Arial" w:cs="Arial"/>
          <w:sz w:val="20"/>
          <w:szCs w:val="20"/>
        </w:rPr>
        <w:t>1, 12 and 13</w:t>
      </w:r>
      <w:r w:rsidRPr="005300DE">
        <w:rPr>
          <w:rFonts w:ascii="Arial" w:hAnsi="Arial" w:cs="Arial"/>
          <w:sz w:val="20"/>
          <w:szCs w:val="20"/>
        </w:rPr>
        <w:t>, a bidder may bid on any combination of lots.</w:t>
      </w:r>
      <w:r w:rsidR="00CD2171" w:rsidRPr="005300DE">
        <w:rPr>
          <w:rFonts w:ascii="Arial" w:hAnsi="Arial" w:cs="Arial"/>
          <w:sz w:val="20"/>
          <w:szCs w:val="20"/>
        </w:rPr>
        <w:t xml:space="preserve">  A</w:t>
      </w:r>
      <w:r w:rsidRPr="005300DE">
        <w:rPr>
          <w:rFonts w:ascii="Arial" w:hAnsi="Arial" w:cs="Arial"/>
          <w:sz w:val="20"/>
        </w:rPr>
        <w:t xml:space="preserve"> bidder is not restricted to bidding only on the lots that relate to the areas the bidder nominated in its </w:t>
      </w:r>
      <w:r w:rsidR="00E155EA">
        <w:rPr>
          <w:rFonts w:ascii="Arial" w:hAnsi="Arial" w:cs="Arial"/>
          <w:sz w:val="20"/>
        </w:rPr>
        <w:t>eligibility nomination</w:t>
      </w:r>
      <w:r w:rsidRPr="005300DE">
        <w:rPr>
          <w:rFonts w:ascii="Arial" w:hAnsi="Arial" w:cs="Arial"/>
          <w:sz w:val="20"/>
        </w:rPr>
        <w:t xml:space="preserve"> form.</w:t>
      </w:r>
      <w:r w:rsidR="00112A7A" w:rsidRPr="005300DE">
        <w:rPr>
          <w:rFonts w:ascii="Arial" w:hAnsi="Arial" w:cs="Arial"/>
          <w:sz w:val="20"/>
        </w:rPr>
        <w:t xml:space="preserve"> </w:t>
      </w:r>
      <w:r w:rsidR="00CD2171" w:rsidRPr="005300DE">
        <w:rPr>
          <w:rFonts w:ascii="Arial" w:hAnsi="Arial" w:cs="Arial"/>
          <w:sz w:val="20"/>
        </w:rPr>
        <w:t>Th</w:t>
      </w:r>
      <w:r w:rsidR="005A04CF">
        <w:rPr>
          <w:rFonts w:ascii="Arial" w:hAnsi="Arial" w:cs="Arial"/>
          <w:sz w:val="20"/>
        </w:rPr>
        <w:t>is means</w:t>
      </w:r>
      <w:r w:rsidR="00CD2171" w:rsidRPr="005300DE">
        <w:rPr>
          <w:rFonts w:ascii="Arial" w:hAnsi="Arial" w:cs="Arial"/>
          <w:sz w:val="20"/>
        </w:rPr>
        <w:t xml:space="preserve"> a bidder, within the auction, is not bound by their </w:t>
      </w:r>
      <w:r w:rsidR="002D77C5" w:rsidRPr="005300DE">
        <w:rPr>
          <w:rFonts w:ascii="Arial" w:hAnsi="Arial" w:cs="Arial"/>
          <w:sz w:val="20"/>
        </w:rPr>
        <w:t xml:space="preserve">nominated </w:t>
      </w:r>
      <w:r w:rsidR="00CD2171" w:rsidRPr="005300DE">
        <w:rPr>
          <w:rFonts w:ascii="Arial" w:hAnsi="Arial" w:cs="Arial"/>
          <w:sz w:val="20"/>
        </w:rPr>
        <w:t>pre-auction strategy.  This is a</w:t>
      </w:r>
      <w:r w:rsidR="00986EFE" w:rsidRPr="005300DE">
        <w:rPr>
          <w:rFonts w:ascii="Arial" w:hAnsi="Arial" w:cs="Arial"/>
          <w:sz w:val="20"/>
        </w:rPr>
        <w:t xml:space="preserve"> feature</w:t>
      </w:r>
      <w:r w:rsidR="002D77C5" w:rsidRPr="005300DE">
        <w:rPr>
          <w:rFonts w:ascii="Arial" w:hAnsi="Arial" w:cs="Arial"/>
          <w:sz w:val="20"/>
        </w:rPr>
        <w:t xml:space="preserve"> </w:t>
      </w:r>
      <w:r w:rsidR="00CD2171" w:rsidRPr="005300DE">
        <w:rPr>
          <w:rFonts w:ascii="Arial" w:hAnsi="Arial" w:cs="Arial"/>
          <w:sz w:val="20"/>
        </w:rPr>
        <w:t xml:space="preserve">of the </w:t>
      </w:r>
      <w:r w:rsidR="002D77C5" w:rsidRPr="005300DE">
        <w:rPr>
          <w:rFonts w:ascii="Arial" w:hAnsi="Arial" w:cs="Arial"/>
          <w:sz w:val="20"/>
        </w:rPr>
        <w:t xml:space="preserve">SMRA </w:t>
      </w:r>
      <w:r w:rsidR="00986EFE" w:rsidRPr="005300DE">
        <w:rPr>
          <w:rFonts w:ascii="Arial" w:hAnsi="Arial" w:cs="Arial"/>
          <w:sz w:val="20"/>
        </w:rPr>
        <w:t xml:space="preserve">methodology in this </w:t>
      </w:r>
      <w:r w:rsidR="002D77C5" w:rsidRPr="005300DE">
        <w:rPr>
          <w:rFonts w:ascii="Arial" w:hAnsi="Arial" w:cs="Arial"/>
          <w:sz w:val="20"/>
        </w:rPr>
        <w:t>auction that allows bidders to change bidding strategies at any time.</w:t>
      </w:r>
    </w:p>
    <w:p w14:paraId="15EC2B47" w14:textId="77777777" w:rsidR="00BE1497" w:rsidRDefault="00BE1497" w:rsidP="00BE1497">
      <w:pPr>
        <w:pStyle w:val="R2"/>
        <w:tabs>
          <w:tab w:val="clear" w:pos="794"/>
          <w:tab w:val="clear" w:pos="964"/>
          <w:tab w:val="left" w:pos="0"/>
        </w:tabs>
        <w:ind w:left="0" w:firstLine="0"/>
        <w:rPr>
          <w:rFonts w:ascii="Arial" w:hAnsi="Arial" w:cs="Arial"/>
          <w:sz w:val="20"/>
        </w:rPr>
      </w:pPr>
      <w:r w:rsidRPr="00BE1497">
        <w:rPr>
          <w:rFonts w:ascii="Arial" w:hAnsi="Arial" w:cs="Arial"/>
          <w:sz w:val="20"/>
        </w:rPr>
        <w:t>A bid is taken to have been made when the bidder’s bid for a round of the auction has passed data validation checks that are performed by the auction system.</w:t>
      </w:r>
    </w:p>
    <w:p w14:paraId="204506E8" w14:textId="77777777" w:rsidR="005A04CF" w:rsidRPr="00320C94" w:rsidRDefault="005A04CF" w:rsidP="005A04CF">
      <w:pPr>
        <w:pStyle w:val="R2"/>
        <w:tabs>
          <w:tab w:val="clear" w:pos="794"/>
          <w:tab w:val="left" w:pos="0"/>
        </w:tabs>
        <w:ind w:left="0" w:firstLine="0"/>
        <w:rPr>
          <w:rFonts w:ascii="Arial" w:hAnsi="Arial" w:cs="Arial"/>
          <w:sz w:val="20"/>
        </w:rPr>
      </w:pPr>
      <w:r w:rsidRPr="00320C94">
        <w:rPr>
          <w:rFonts w:ascii="Arial" w:hAnsi="Arial" w:cs="Arial"/>
          <w:sz w:val="20"/>
        </w:rPr>
        <w:lastRenderedPageBreak/>
        <w:t>If 2 or more bidders make identical bids on the same lot and the bids are the high bids for the round, the bid selected by pseudorandom selection will be taken to be the high bid on that lot for the round</w:t>
      </w:r>
      <w:r>
        <w:rPr>
          <w:rFonts w:ascii="Arial" w:hAnsi="Arial" w:cs="Arial"/>
          <w:sz w:val="20"/>
        </w:rPr>
        <w:t>.</w:t>
      </w:r>
      <w:r w:rsidRPr="00320C94">
        <w:rPr>
          <w:rFonts w:ascii="Arial" w:hAnsi="Arial" w:cs="Arial"/>
          <w:sz w:val="20"/>
        </w:rPr>
        <w:t xml:space="preserve"> </w:t>
      </w:r>
    </w:p>
    <w:p w14:paraId="4D55ADC7" w14:textId="77777777" w:rsidR="00BE1497" w:rsidRPr="00BE1497" w:rsidRDefault="00BE1497" w:rsidP="00BE1497">
      <w:pPr>
        <w:pStyle w:val="R2"/>
        <w:tabs>
          <w:tab w:val="clear" w:pos="794"/>
          <w:tab w:val="clear" w:pos="964"/>
          <w:tab w:val="left" w:pos="0"/>
        </w:tabs>
        <w:ind w:left="0" w:firstLine="0"/>
        <w:rPr>
          <w:rFonts w:ascii="Arial" w:hAnsi="Arial" w:cs="Arial"/>
          <w:sz w:val="20"/>
        </w:rPr>
      </w:pPr>
      <w:r w:rsidRPr="00BE1497">
        <w:rPr>
          <w:rFonts w:ascii="Arial" w:hAnsi="Arial" w:cs="Arial"/>
          <w:sz w:val="20"/>
        </w:rPr>
        <w:t>A bidder may change, delete or replace a bid</w:t>
      </w:r>
      <w:r w:rsidR="00E07282">
        <w:rPr>
          <w:rFonts w:ascii="Arial" w:hAnsi="Arial" w:cs="Arial"/>
          <w:sz w:val="20"/>
        </w:rPr>
        <w:t>ding instruction</w:t>
      </w:r>
      <w:r w:rsidRPr="00BE1497">
        <w:rPr>
          <w:rFonts w:ascii="Arial" w:hAnsi="Arial" w:cs="Arial"/>
          <w:sz w:val="20"/>
        </w:rPr>
        <w:t xml:space="preserve"> in the auction system as often as desired during the bidding period of a round.  The bid</w:t>
      </w:r>
      <w:r w:rsidR="005353A7">
        <w:rPr>
          <w:rFonts w:ascii="Arial" w:hAnsi="Arial" w:cs="Arial"/>
          <w:sz w:val="20"/>
        </w:rPr>
        <w:t xml:space="preserve">ding instruction </w:t>
      </w:r>
      <w:r w:rsidRPr="00BE1497">
        <w:rPr>
          <w:rFonts w:ascii="Arial" w:hAnsi="Arial" w:cs="Arial"/>
          <w:sz w:val="20"/>
        </w:rPr>
        <w:t>that will be treated as binding for a bidder is the bid</w:t>
      </w:r>
      <w:r w:rsidR="005353A7">
        <w:rPr>
          <w:rFonts w:ascii="Arial" w:hAnsi="Arial" w:cs="Arial"/>
          <w:sz w:val="20"/>
        </w:rPr>
        <w:t>ding instruction</w:t>
      </w:r>
      <w:r w:rsidRPr="00BE1497">
        <w:rPr>
          <w:rFonts w:ascii="Arial" w:hAnsi="Arial" w:cs="Arial"/>
          <w:sz w:val="20"/>
        </w:rPr>
        <w:t xml:space="preserve"> in the auction system at the end time of the bidding period of a round. </w:t>
      </w:r>
    </w:p>
    <w:p w14:paraId="5A51E3F2" w14:textId="77777777" w:rsidR="00862BBD" w:rsidRPr="00660DFA" w:rsidRDefault="00660DFA" w:rsidP="00862BBD">
      <w:pPr>
        <w:pStyle w:val="HR"/>
        <w:rPr>
          <w:rStyle w:val="CharSectno"/>
          <w:rFonts w:cs="Arial"/>
          <w:sz w:val="20"/>
          <w:szCs w:val="20"/>
        </w:rPr>
      </w:pPr>
      <w:r>
        <w:rPr>
          <w:rStyle w:val="CharSectno"/>
          <w:rFonts w:cs="Arial"/>
          <w:sz w:val="20"/>
          <w:szCs w:val="20"/>
        </w:rPr>
        <w:t xml:space="preserve">Clause 11 </w:t>
      </w:r>
      <w:r w:rsidR="00862BBD" w:rsidRPr="00660DFA">
        <w:rPr>
          <w:rStyle w:val="CharSectno"/>
          <w:rFonts w:cs="Arial"/>
          <w:sz w:val="20"/>
          <w:szCs w:val="20"/>
        </w:rPr>
        <w:tab/>
        <w:t>Validity of bids</w:t>
      </w:r>
    </w:p>
    <w:p w14:paraId="12A2A431" w14:textId="6A230FA1" w:rsidR="003C4918" w:rsidRDefault="003C4918" w:rsidP="005F47A2">
      <w:pPr>
        <w:pStyle w:val="ZR2"/>
        <w:ind w:left="0" w:firstLine="0"/>
        <w:rPr>
          <w:rFonts w:ascii="Arial" w:hAnsi="Arial" w:cs="Arial"/>
          <w:sz w:val="20"/>
          <w:szCs w:val="20"/>
        </w:rPr>
      </w:pPr>
      <w:r>
        <w:rPr>
          <w:rFonts w:ascii="Arial" w:hAnsi="Arial" w:cs="Arial"/>
          <w:sz w:val="20"/>
          <w:szCs w:val="20"/>
        </w:rPr>
        <w:t xml:space="preserve">This clause outlines the </w:t>
      </w:r>
      <w:r w:rsidR="005A04CF">
        <w:rPr>
          <w:rFonts w:ascii="Arial" w:hAnsi="Arial" w:cs="Arial"/>
          <w:sz w:val="20"/>
          <w:szCs w:val="20"/>
        </w:rPr>
        <w:t>4</w:t>
      </w:r>
      <w:r>
        <w:rPr>
          <w:rFonts w:ascii="Arial" w:hAnsi="Arial" w:cs="Arial"/>
          <w:sz w:val="20"/>
          <w:szCs w:val="20"/>
        </w:rPr>
        <w:t xml:space="preserve"> requirements for a bid to be valid. </w:t>
      </w:r>
    </w:p>
    <w:p w14:paraId="0481A726" w14:textId="0ADBA0DB" w:rsidR="00862BBD" w:rsidRPr="001C730F" w:rsidRDefault="00862BBD" w:rsidP="005F47A2">
      <w:pPr>
        <w:pStyle w:val="ZR2"/>
        <w:ind w:left="0" w:firstLine="0"/>
        <w:rPr>
          <w:rFonts w:ascii="Arial" w:hAnsi="Arial" w:cs="Arial"/>
          <w:sz w:val="20"/>
          <w:szCs w:val="20"/>
        </w:rPr>
      </w:pPr>
      <w:r w:rsidRPr="001C730F">
        <w:rPr>
          <w:rFonts w:ascii="Arial" w:hAnsi="Arial" w:cs="Arial"/>
          <w:sz w:val="20"/>
          <w:szCs w:val="20"/>
        </w:rPr>
        <w:t>A bid in a round is valid if</w:t>
      </w:r>
      <w:r w:rsidR="00CC161B">
        <w:rPr>
          <w:rFonts w:ascii="Arial" w:hAnsi="Arial" w:cs="Arial"/>
          <w:sz w:val="20"/>
          <w:szCs w:val="20"/>
        </w:rPr>
        <w:t>:</w:t>
      </w:r>
      <w:r w:rsidR="005353A7">
        <w:rPr>
          <w:rFonts w:ascii="Arial" w:hAnsi="Arial" w:cs="Arial"/>
          <w:sz w:val="20"/>
          <w:szCs w:val="20"/>
        </w:rPr>
        <w:t xml:space="preserve"> </w:t>
      </w:r>
      <w:r w:rsidR="005353A7" w:rsidRPr="00B74EF9">
        <w:rPr>
          <w:rFonts w:ascii="Arial" w:hAnsi="Arial" w:cs="Arial"/>
          <w:sz w:val="20"/>
          <w:szCs w:val="20"/>
          <w:lang w:eastAsia="en-US"/>
        </w:rPr>
        <w:t>it is from a list of specified bids that may be made on a lot for the round referred to in paragraph (e) of the definition of results in subclause 1(2)</w:t>
      </w:r>
      <w:r w:rsidR="00CC161B">
        <w:rPr>
          <w:rFonts w:ascii="Arial" w:hAnsi="Arial" w:cs="Arial"/>
          <w:sz w:val="20"/>
          <w:szCs w:val="20"/>
          <w:lang w:eastAsia="en-US"/>
        </w:rPr>
        <w:t>;</w:t>
      </w:r>
      <w:r w:rsidRPr="001C730F">
        <w:rPr>
          <w:rFonts w:ascii="Arial" w:hAnsi="Arial" w:cs="Arial"/>
          <w:sz w:val="20"/>
          <w:szCs w:val="20"/>
        </w:rPr>
        <w:t xml:space="preserve"> it is received between the start time and end time of the bidding period</w:t>
      </w:r>
      <w:r w:rsidR="00986EFE">
        <w:rPr>
          <w:rFonts w:ascii="Arial" w:hAnsi="Arial" w:cs="Arial"/>
          <w:sz w:val="20"/>
          <w:szCs w:val="20"/>
        </w:rPr>
        <w:t xml:space="preserve"> </w:t>
      </w:r>
      <w:r w:rsidR="003056BC">
        <w:rPr>
          <w:rFonts w:ascii="Arial" w:hAnsi="Arial" w:cs="Arial"/>
          <w:sz w:val="20"/>
          <w:szCs w:val="20"/>
        </w:rPr>
        <w:t xml:space="preserve">for the round </w:t>
      </w:r>
      <w:r w:rsidR="00986EFE">
        <w:rPr>
          <w:rFonts w:ascii="Arial" w:hAnsi="Arial" w:cs="Arial"/>
          <w:sz w:val="20"/>
          <w:szCs w:val="20"/>
        </w:rPr>
        <w:t>(subject to subsection 6.8(2) of the Determination)</w:t>
      </w:r>
      <w:r w:rsidR="00CC161B">
        <w:rPr>
          <w:rFonts w:ascii="Arial" w:hAnsi="Arial" w:cs="Arial"/>
          <w:sz w:val="20"/>
          <w:szCs w:val="20"/>
        </w:rPr>
        <w:t>;</w:t>
      </w:r>
      <w:r w:rsidR="005F47A2" w:rsidRPr="001C730F">
        <w:rPr>
          <w:rFonts w:ascii="Arial" w:hAnsi="Arial" w:cs="Arial"/>
          <w:sz w:val="20"/>
          <w:szCs w:val="20"/>
        </w:rPr>
        <w:t xml:space="preserve"> </w:t>
      </w:r>
      <w:r w:rsidRPr="001C730F">
        <w:rPr>
          <w:rFonts w:ascii="Arial" w:hAnsi="Arial" w:cs="Arial"/>
          <w:sz w:val="20"/>
          <w:szCs w:val="20"/>
        </w:rPr>
        <w:t xml:space="preserve">the </w:t>
      </w:r>
      <w:r w:rsidR="00E155EA">
        <w:rPr>
          <w:rFonts w:ascii="Arial" w:hAnsi="Arial" w:cs="Arial"/>
          <w:sz w:val="20"/>
          <w:szCs w:val="20"/>
        </w:rPr>
        <w:t>size</w:t>
      </w:r>
      <w:r w:rsidRPr="001C730F">
        <w:rPr>
          <w:rFonts w:ascii="Arial" w:hAnsi="Arial" w:cs="Arial"/>
          <w:sz w:val="20"/>
          <w:szCs w:val="20"/>
        </w:rPr>
        <w:t xml:space="preserve"> of lots bid</w:t>
      </w:r>
      <w:r w:rsidR="003C4918">
        <w:rPr>
          <w:rFonts w:ascii="Arial" w:hAnsi="Arial" w:cs="Arial"/>
          <w:sz w:val="20"/>
          <w:szCs w:val="20"/>
        </w:rPr>
        <w:t xml:space="preserve"> for</w:t>
      </w:r>
      <w:r w:rsidR="001C730F" w:rsidRPr="001C730F">
        <w:rPr>
          <w:rFonts w:ascii="Arial" w:hAnsi="Arial" w:cs="Arial"/>
          <w:sz w:val="20"/>
          <w:szCs w:val="20"/>
        </w:rPr>
        <w:t xml:space="preserve"> in </w:t>
      </w:r>
      <w:r w:rsidR="001C730F" w:rsidRPr="007371DF">
        <w:rPr>
          <w:rFonts w:ascii="Arial" w:hAnsi="Arial" w:cs="Arial"/>
          <w:sz w:val="20"/>
          <w:szCs w:val="20"/>
        </w:rPr>
        <w:t xml:space="preserve">category 1 of </w:t>
      </w:r>
      <w:r w:rsidR="00CC161B" w:rsidRPr="007371DF">
        <w:rPr>
          <w:rFonts w:ascii="Arial" w:hAnsi="Arial" w:cs="Arial"/>
          <w:sz w:val="20"/>
          <w:szCs w:val="20"/>
        </w:rPr>
        <w:t>t</w:t>
      </w:r>
      <w:r w:rsidR="001C730F" w:rsidRPr="007371DF">
        <w:rPr>
          <w:rFonts w:ascii="Arial" w:hAnsi="Arial" w:cs="Arial"/>
          <w:sz w:val="20"/>
          <w:szCs w:val="20"/>
        </w:rPr>
        <w:t xml:space="preserve">able 1 of Schedule 1 </w:t>
      </w:r>
      <w:r w:rsidR="00986EFE" w:rsidRPr="007371DF">
        <w:rPr>
          <w:rFonts w:ascii="Arial" w:hAnsi="Arial" w:cs="Arial"/>
          <w:sz w:val="20"/>
          <w:szCs w:val="20"/>
        </w:rPr>
        <w:t>t</w:t>
      </w:r>
      <w:r w:rsidR="001C730F" w:rsidRPr="007371DF">
        <w:rPr>
          <w:rFonts w:ascii="Arial" w:hAnsi="Arial" w:cs="Arial"/>
          <w:sz w:val="20"/>
          <w:szCs w:val="20"/>
        </w:rPr>
        <w:t xml:space="preserve">o the </w:t>
      </w:r>
      <w:r w:rsidR="00C80D9E" w:rsidRPr="007371DF">
        <w:rPr>
          <w:rFonts w:ascii="Arial" w:hAnsi="Arial" w:cs="Arial"/>
          <w:sz w:val="20"/>
          <w:szCs w:val="20"/>
        </w:rPr>
        <w:t>m</w:t>
      </w:r>
      <w:r w:rsidR="001C730F" w:rsidRPr="007371DF">
        <w:rPr>
          <w:rFonts w:ascii="Arial" w:hAnsi="Arial" w:cs="Arial"/>
          <w:sz w:val="20"/>
          <w:szCs w:val="20"/>
        </w:rPr>
        <w:t xml:space="preserve">arketing </w:t>
      </w:r>
      <w:r w:rsidR="00C80D9E" w:rsidRPr="007371DF">
        <w:rPr>
          <w:rFonts w:ascii="Arial" w:hAnsi="Arial" w:cs="Arial"/>
          <w:sz w:val="20"/>
          <w:szCs w:val="20"/>
        </w:rPr>
        <w:t>p</w:t>
      </w:r>
      <w:r w:rsidR="001C730F" w:rsidRPr="007371DF">
        <w:rPr>
          <w:rFonts w:ascii="Arial" w:hAnsi="Arial" w:cs="Arial"/>
          <w:sz w:val="20"/>
          <w:szCs w:val="20"/>
        </w:rPr>
        <w:t xml:space="preserve">lan </w:t>
      </w:r>
      <w:r w:rsidRPr="007371DF">
        <w:rPr>
          <w:rFonts w:ascii="Arial" w:hAnsi="Arial" w:cs="Arial"/>
          <w:sz w:val="20"/>
          <w:szCs w:val="20"/>
        </w:rPr>
        <w:t xml:space="preserve">does not exceed the </w:t>
      </w:r>
      <w:r w:rsidR="001C730F" w:rsidRPr="007371DF">
        <w:rPr>
          <w:rFonts w:ascii="Arial" w:hAnsi="Arial" w:cs="Arial"/>
          <w:sz w:val="20"/>
          <w:szCs w:val="20"/>
        </w:rPr>
        <w:t>allocation limits</w:t>
      </w:r>
      <w:r w:rsidR="00CC161B" w:rsidRPr="007371DF">
        <w:rPr>
          <w:rFonts w:ascii="Arial" w:hAnsi="Arial" w:cs="Arial"/>
          <w:sz w:val="20"/>
          <w:szCs w:val="20"/>
        </w:rPr>
        <w:t>;</w:t>
      </w:r>
      <w:r w:rsidR="001C730F" w:rsidRPr="007371DF">
        <w:rPr>
          <w:rFonts w:ascii="Arial" w:hAnsi="Arial" w:cs="Arial"/>
          <w:sz w:val="20"/>
          <w:szCs w:val="20"/>
        </w:rPr>
        <w:t xml:space="preserve"> </w:t>
      </w:r>
      <w:r w:rsidR="005F47A2" w:rsidRPr="007371DF">
        <w:rPr>
          <w:rFonts w:ascii="Arial" w:hAnsi="Arial" w:cs="Arial"/>
          <w:sz w:val="20"/>
          <w:szCs w:val="20"/>
        </w:rPr>
        <w:t xml:space="preserve">and </w:t>
      </w:r>
      <w:r w:rsidRPr="007371DF">
        <w:rPr>
          <w:rFonts w:ascii="Arial" w:hAnsi="Arial" w:cs="Arial"/>
          <w:sz w:val="20"/>
          <w:szCs w:val="20"/>
        </w:rPr>
        <w:t>the total of the lot ratings of the lots on which the bidder</w:t>
      </w:r>
      <w:r w:rsidRPr="001C730F">
        <w:rPr>
          <w:rFonts w:ascii="Arial" w:hAnsi="Arial" w:cs="Arial"/>
          <w:sz w:val="20"/>
          <w:szCs w:val="20"/>
        </w:rPr>
        <w:t xml:space="preserve"> is active does not exceed the bidder’s eligibility points for the round.</w:t>
      </w:r>
    </w:p>
    <w:p w14:paraId="7CF60AE2" w14:textId="77777777" w:rsidR="00236FA7" w:rsidRPr="009542B0" w:rsidRDefault="00660DFA" w:rsidP="00236FA7">
      <w:pPr>
        <w:pStyle w:val="HR"/>
        <w:rPr>
          <w:rFonts w:cs="Arial"/>
          <w:sz w:val="20"/>
          <w:szCs w:val="20"/>
        </w:rPr>
      </w:pPr>
      <w:r>
        <w:rPr>
          <w:rStyle w:val="CharSectno"/>
          <w:rFonts w:cs="Arial"/>
          <w:sz w:val="20"/>
          <w:szCs w:val="20"/>
        </w:rPr>
        <w:t xml:space="preserve">Clause 12 </w:t>
      </w:r>
      <w:r w:rsidR="00236FA7" w:rsidRPr="009542B0">
        <w:rPr>
          <w:rFonts w:cs="Arial"/>
          <w:sz w:val="20"/>
          <w:szCs w:val="20"/>
        </w:rPr>
        <w:tab/>
        <w:t>Eligibility points bidding cap</w:t>
      </w:r>
    </w:p>
    <w:p w14:paraId="060C7525" w14:textId="3B3CDFDA" w:rsidR="00CD2171" w:rsidRDefault="00CD2171" w:rsidP="00B76EA6">
      <w:pPr>
        <w:pStyle w:val="R1"/>
        <w:tabs>
          <w:tab w:val="clear" w:pos="794"/>
          <w:tab w:val="right" w:pos="142"/>
        </w:tabs>
        <w:ind w:left="0" w:firstLine="0"/>
        <w:jc w:val="left"/>
        <w:rPr>
          <w:rFonts w:ascii="Arial" w:hAnsi="Arial" w:cs="Arial"/>
          <w:sz w:val="20"/>
          <w:szCs w:val="20"/>
        </w:rPr>
      </w:pPr>
      <w:r>
        <w:rPr>
          <w:rFonts w:ascii="Arial" w:hAnsi="Arial" w:cs="Arial"/>
          <w:sz w:val="20"/>
          <w:szCs w:val="20"/>
        </w:rPr>
        <w:t>This clause outlines</w:t>
      </w:r>
      <w:r w:rsidR="002D77C5">
        <w:rPr>
          <w:rFonts w:ascii="Arial" w:hAnsi="Arial" w:cs="Arial"/>
          <w:sz w:val="20"/>
          <w:szCs w:val="20"/>
        </w:rPr>
        <w:t xml:space="preserve"> how</w:t>
      </w:r>
      <w:r>
        <w:rPr>
          <w:rFonts w:ascii="Arial" w:hAnsi="Arial" w:cs="Arial"/>
          <w:sz w:val="20"/>
          <w:szCs w:val="20"/>
        </w:rPr>
        <w:t xml:space="preserve"> the </w:t>
      </w:r>
      <w:r w:rsidR="002D77C5">
        <w:rPr>
          <w:rFonts w:ascii="Arial" w:hAnsi="Arial" w:cs="Arial"/>
          <w:sz w:val="20"/>
          <w:szCs w:val="20"/>
        </w:rPr>
        <w:t xml:space="preserve">ACMA’s </w:t>
      </w:r>
      <w:r w:rsidR="00B76EA6">
        <w:rPr>
          <w:rFonts w:ascii="Arial" w:hAnsi="Arial" w:cs="Arial"/>
          <w:sz w:val="20"/>
          <w:szCs w:val="20"/>
        </w:rPr>
        <w:t xml:space="preserve">will </w:t>
      </w:r>
      <w:r w:rsidR="002D77C5">
        <w:rPr>
          <w:rFonts w:ascii="Arial" w:hAnsi="Arial" w:cs="Arial"/>
          <w:sz w:val="20"/>
          <w:szCs w:val="20"/>
        </w:rPr>
        <w:t xml:space="preserve">process bidder’s bids so that the </w:t>
      </w:r>
      <w:r w:rsidR="002D77C5" w:rsidRPr="009542B0">
        <w:rPr>
          <w:rFonts w:ascii="Arial" w:hAnsi="Arial" w:cs="Arial"/>
          <w:sz w:val="20"/>
          <w:szCs w:val="20"/>
        </w:rPr>
        <w:t>bidder’s eligibility points are not exceeded</w:t>
      </w:r>
      <w:r w:rsidR="002D77C5">
        <w:rPr>
          <w:rFonts w:ascii="Arial" w:hAnsi="Arial" w:cs="Arial"/>
          <w:sz w:val="20"/>
          <w:szCs w:val="20"/>
        </w:rPr>
        <w:t>.</w:t>
      </w:r>
    </w:p>
    <w:p w14:paraId="26F6B56E" w14:textId="7C543103" w:rsidR="005353A7" w:rsidRDefault="005353A7" w:rsidP="00CD2171">
      <w:pPr>
        <w:pStyle w:val="R1"/>
        <w:tabs>
          <w:tab w:val="clear" w:pos="794"/>
          <w:tab w:val="right" w:pos="142"/>
        </w:tabs>
        <w:ind w:left="0" w:firstLine="0"/>
        <w:rPr>
          <w:rFonts w:ascii="Arial" w:hAnsi="Arial" w:cs="Arial"/>
          <w:sz w:val="20"/>
          <w:szCs w:val="20"/>
        </w:rPr>
      </w:pPr>
      <w:r w:rsidRPr="00B74EF9">
        <w:rPr>
          <w:rFonts w:ascii="Arial" w:hAnsi="Arial" w:cs="Arial"/>
          <w:sz w:val="20"/>
          <w:szCs w:val="20"/>
        </w:rPr>
        <w:t>For the first round, the eligibility points of a bidder will be the initial eligibility points recorded on the register for the bidder under paragraph 6.1(2)(f)</w:t>
      </w:r>
      <w:r w:rsidR="00CC161B">
        <w:rPr>
          <w:rFonts w:ascii="Arial" w:hAnsi="Arial" w:cs="Arial"/>
          <w:sz w:val="20"/>
          <w:szCs w:val="20"/>
        </w:rPr>
        <w:t xml:space="preserve"> of the Determination</w:t>
      </w:r>
      <w:r w:rsidRPr="00B74EF9">
        <w:rPr>
          <w:rFonts w:ascii="Arial" w:hAnsi="Arial" w:cs="Arial"/>
          <w:sz w:val="20"/>
          <w:szCs w:val="20"/>
        </w:rPr>
        <w:t>.</w:t>
      </w:r>
      <w:r w:rsidR="00E155EA">
        <w:rPr>
          <w:rFonts w:ascii="Arial" w:hAnsi="Arial" w:cs="Arial"/>
          <w:sz w:val="20"/>
          <w:szCs w:val="20"/>
        </w:rPr>
        <w:t xml:space="preserve"> For any other round</w:t>
      </w:r>
      <w:r w:rsidR="00D60FB5">
        <w:rPr>
          <w:rFonts w:ascii="Arial" w:hAnsi="Arial" w:cs="Arial"/>
          <w:sz w:val="20"/>
          <w:szCs w:val="20"/>
        </w:rPr>
        <w:t>,</w:t>
      </w:r>
      <w:r w:rsidR="00E155EA">
        <w:rPr>
          <w:rFonts w:ascii="Arial" w:hAnsi="Arial" w:cs="Arial"/>
          <w:sz w:val="20"/>
          <w:szCs w:val="20"/>
        </w:rPr>
        <w:t xml:space="preserve"> the bidder’s eligibility points will be the lesser of:</w:t>
      </w:r>
    </w:p>
    <w:p w14:paraId="21E23165" w14:textId="67AC2C60" w:rsidR="00E155EA" w:rsidRPr="00E155EA" w:rsidRDefault="00D60FB5" w:rsidP="00E155EA">
      <w:pPr>
        <w:pStyle w:val="ACMABodyText"/>
        <w:numPr>
          <w:ilvl w:val="0"/>
          <w:numId w:val="55"/>
        </w:numPr>
        <w:ind w:left="851"/>
        <w:rPr>
          <w:lang w:val="en-US"/>
        </w:rPr>
      </w:pPr>
      <w:r>
        <w:rPr>
          <w:lang w:val="en-US"/>
        </w:rPr>
        <w:t>t</w:t>
      </w:r>
      <w:r w:rsidR="00E155EA" w:rsidRPr="00E155EA">
        <w:rPr>
          <w:lang w:val="en-US"/>
        </w:rPr>
        <w:t>he bidder’s eligibility points in the previous round; and</w:t>
      </w:r>
    </w:p>
    <w:p w14:paraId="396C7615" w14:textId="512E5014" w:rsidR="00E155EA" w:rsidRPr="00E155EA" w:rsidRDefault="00D60FB5" w:rsidP="00E155EA">
      <w:pPr>
        <w:pStyle w:val="ACMABodyText"/>
        <w:numPr>
          <w:ilvl w:val="0"/>
          <w:numId w:val="55"/>
        </w:numPr>
        <w:ind w:left="851"/>
        <w:rPr>
          <w:lang w:val="en-US"/>
        </w:rPr>
      </w:pPr>
      <w:r>
        <w:rPr>
          <w:lang w:val="en-US"/>
        </w:rPr>
        <w:t>t</w:t>
      </w:r>
      <w:r w:rsidR="00E155EA" w:rsidRPr="00E155EA">
        <w:rPr>
          <w:lang w:val="en-US"/>
        </w:rPr>
        <w:t>he points worked in accordance with clause 14.</w:t>
      </w:r>
    </w:p>
    <w:p w14:paraId="619AFE26" w14:textId="77777777" w:rsidR="00236FA7" w:rsidRPr="009542B0" w:rsidRDefault="00236FA7" w:rsidP="00CD2171">
      <w:pPr>
        <w:pStyle w:val="R1"/>
        <w:tabs>
          <w:tab w:val="clear" w:pos="794"/>
          <w:tab w:val="right" w:pos="142"/>
        </w:tabs>
        <w:ind w:left="0" w:firstLine="0"/>
        <w:rPr>
          <w:rFonts w:ascii="Arial" w:hAnsi="Arial" w:cs="Arial"/>
          <w:sz w:val="20"/>
          <w:szCs w:val="20"/>
        </w:rPr>
      </w:pPr>
      <w:r w:rsidRPr="009542B0">
        <w:rPr>
          <w:rFonts w:ascii="Arial" w:hAnsi="Arial" w:cs="Arial"/>
          <w:sz w:val="20"/>
          <w:szCs w:val="20"/>
        </w:rPr>
        <w:t xml:space="preserve">A bidder is not entitled to bid in such a way that the total of the lot ratings of the lots on which the bidder is active in any </w:t>
      </w:r>
      <w:r w:rsidR="003753C2">
        <w:rPr>
          <w:rFonts w:ascii="Arial" w:hAnsi="Arial" w:cs="Arial"/>
          <w:sz w:val="20"/>
          <w:szCs w:val="20"/>
        </w:rPr>
        <w:t>1</w:t>
      </w:r>
      <w:r w:rsidRPr="009542B0">
        <w:rPr>
          <w:rFonts w:ascii="Arial" w:hAnsi="Arial" w:cs="Arial"/>
          <w:sz w:val="20"/>
          <w:szCs w:val="20"/>
        </w:rPr>
        <w:t> round exceeds the bidder’s eligibility points at the time of the bid.</w:t>
      </w:r>
      <w:r w:rsidR="002D77C5">
        <w:rPr>
          <w:rFonts w:ascii="Arial" w:hAnsi="Arial" w:cs="Arial"/>
          <w:sz w:val="20"/>
          <w:szCs w:val="20"/>
        </w:rPr>
        <w:t xml:space="preserve"> </w:t>
      </w:r>
      <w:r w:rsidR="0034372A">
        <w:rPr>
          <w:rFonts w:ascii="Arial" w:hAnsi="Arial" w:cs="Arial"/>
          <w:sz w:val="20"/>
          <w:szCs w:val="20"/>
        </w:rPr>
        <w:t>Subc</w:t>
      </w:r>
      <w:r w:rsidR="002D77C5">
        <w:rPr>
          <w:rFonts w:ascii="Arial" w:hAnsi="Arial" w:cs="Arial"/>
          <w:sz w:val="20"/>
          <w:szCs w:val="20"/>
        </w:rPr>
        <w:t xml:space="preserve">lause </w:t>
      </w:r>
      <w:r w:rsidR="003C4918" w:rsidRPr="007371DF">
        <w:rPr>
          <w:rFonts w:ascii="Arial" w:hAnsi="Arial" w:cs="Arial"/>
          <w:sz w:val="20"/>
          <w:szCs w:val="20"/>
        </w:rPr>
        <w:t>5</w:t>
      </w:r>
      <w:r w:rsidR="0034372A" w:rsidRPr="007371DF">
        <w:rPr>
          <w:rFonts w:ascii="Arial" w:hAnsi="Arial" w:cs="Arial"/>
          <w:sz w:val="20"/>
          <w:szCs w:val="20"/>
        </w:rPr>
        <w:t>(2)</w:t>
      </w:r>
      <w:r w:rsidR="0034372A">
        <w:rPr>
          <w:rFonts w:ascii="Arial" w:hAnsi="Arial" w:cs="Arial"/>
          <w:sz w:val="20"/>
          <w:szCs w:val="20"/>
        </w:rPr>
        <w:t xml:space="preserve"> </w:t>
      </w:r>
      <w:r w:rsidR="002D77C5">
        <w:rPr>
          <w:rFonts w:ascii="Arial" w:hAnsi="Arial" w:cs="Arial"/>
          <w:sz w:val="20"/>
          <w:szCs w:val="20"/>
        </w:rPr>
        <w:t xml:space="preserve">outlines </w:t>
      </w:r>
      <w:r w:rsidR="00F76080">
        <w:rPr>
          <w:rFonts w:ascii="Arial" w:hAnsi="Arial" w:cs="Arial"/>
          <w:sz w:val="20"/>
          <w:szCs w:val="20"/>
        </w:rPr>
        <w:t xml:space="preserve">when </w:t>
      </w:r>
      <w:r w:rsidR="002D77C5">
        <w:rPr>
          <w:rFonts w:ascii="Arial" w:hAnsi="Arial" w:cs="Arial"/>
          <w:sz w:val="20"/>
          <w:szCs w:val="20"/>
        </w:rPr>
        <w:t>a bidder is active in a round.</w:t>
      </w:r>
    </w:p>
    <w:p w14:paraId="1214D2B2" w14:textId="78A1AA89" w:rsidR="00236FA7" w:rsidRPr="009542B0" w:rsidRDefault="00236FA7" w:rsidP="0034372A">
      <w:pPr>
        <w:pStyle w:val="ZR2"/>
        <w:tabs>
          <w:tab w:val="clear" w:pos="794"/>
          <w:tab w:val="right" w:pos="142"/>
        </w:tabs>
        <w:ind w:left="0" w:firstLine="0"/>
        <w:rPr>
          <w:rFonts w:ascii="Arial" w:hAnsi="Arial" w:cs="Arial"/>
          <w:sz w:val="20"/>
        </w:rPr>
      </w:pPr>
      <w:r w:rsidRPr="009542B0">
        <w:rPr>
          <w:rFonts w:ascii="Arial" w:hAnsi="Arial" w:cs="Arial"/>
          <w:sz w:val="20"/>
          <w:szCs w:val="20"/>
        </w:rPr>
        <w:t xml:space="preserve">To ensure that a bidder’s eligibility points are not exceeded, the ACMA </w:t>
      </w:r>
      <w:r w:rsidR="00E155EA">
        <w:rPr>
          <w:rFonts w:ascii="Arial" w:hAnsi="Arial" w:cs="Arial"/>
          <w:sz w:val="20"/>
          <w:szCs w:val="20"/>
        </w:rPr>
        <w:t>must</w:t>
      </w:r>
      <w:r w:rsidRPr="009542B0">
        <w:rPr>
          <w:rFonts w:ascii="Arial" w:hAnsi="Arial" w:cs="Arial"/>
          <w:sz w:val="20"/>
          <w:szCs w:val="20"/>
        </w:rPr>
        <w:t xml:space="preserve"> process the bidder’s bids </w:t>
      </w:r>
      <w:r w:rsidR="003C4918">
        <w:rPr>
          <w:rFonts w:ascii="Arial" w:hAnsi="Arial" w:cs="Arial"/>
          <w:sz w:val="20"/>
        </w:rPr>
        <w:t>in order of lot number starting from</w:t>
      </w:r>
      <w:r w:rsidR="005F47A2">
        <w:rPr>
          <w:rFonts w:ascii="Arial" w:hAnsi="Arial" w:cs="Arial"/>
          <w:sz w:val="20"/>
        </w:rPr>
        <w:t xml:space="preserve"> the </w:t>
      </w:r>
      <w:r w:rsidRPr="009542B0">
        <w:rPr>
          <w:rFonts w:ascii="Arial" w:hAnsi="Arial" w:cs="Arial"/>
          <w:sz w:val="20"/>
        </w:rPr>
        <w:t>lowest number</w:t>
      </w:r>
      <w:r w:rsidR="002D77C5">
        <w:rPr>
          <w:rFonts w:ascii="Arial" w:hAnsi="Arial" w:cs="Arial"/>
          <w:sz w:val="20"/>
        </w:rPr>
        <w:t xml:space="preserve">.  </w:t>
      </w:r>
      <w:r w:rsidR="0034372A">
        <w:rPr>
          <w:rFonts w:ascii="Arial" w:hAnsi="Arial" w:cs="Arial"/>
          <w:sz w:val="20"/>
        </w:rPr>
        <w:t>Then the b</w:t>
      </w:r>
      <w:r w:rsidRPr="009542B0">
        <w:rPr>
          <w:rFonts w:ascii="Arial" w:hAnsi="Arial" w:cs="Arial"/>
          <w:sz w:val="20"/>
        </w:rPr>
        <w:t>id</w:t>
      </w:r>
      <w:r w:rsidR="00E07282">
        <w:rPr>
          <w:rFonts w:ascii="Arial" w:hAnsi="Arial" w:cs="Arial"/>
          <w:sz w:val="20"/>
        </w:rPr>
        <w:t>s</w:t>
      </w:r>
      <w:r w:rsidRPr="009542B0">
        <w:rPr>
          <w:rFonts w:ascii="Arial" w:hAnsi="Arial" w:cs="Arial"/>
          <w:sz w:val="20"/>
        </w:rPr>
        <w:t xml:space="preserve"> will be processed so that the total of the lot ratings for those bids does not exceed the bidder’s eligibility points</w:t>
      </w:r>
      <w:r w:rsidR="0034372A">
        <w:rPr>
          <w:rFonts w:ascii="Arial" w:hAnsi="Arial" w:cs="Arial"/>
          <w:sz w:val="20"/>
        </w:rPr>
        <w:t>. I</w:t>
      </w:r>
      <w:r w:rsidRPr="009542B0">
        <w:rPr>
          <w:rFonts w:ascii="Arial" w:hAnsi="Arial" w:cs="Arial"/>
          <w:sz w:val="20"/>
        </w:rPr>
        <w:t>f the lot rating for a bid to be processed would result in the progressive total of lot ratings exceeding the bidder’s eligibility points</w:t>
      </w:r>
      <w:r w:rsidR="006479A6">
        <w:rPr>
          <w:rFonts w:ascii="Arial" w:hAnsi="Arial" w:cs="Arial"/>
          <w:sz w:val="20"/>
        </w:rPr>
        <w:t xml:space="preserve">, </w:t>
      </w:r>
      <w:r w:rsidRPr="009542B0">
        <w:rPr>
          <w:rFonts w:ascii="Arial" w:hAnsi="Arial" w:cs="Arial"/>
          <w:sz w:val="20"/>
        </w:rPr>
        <w:t>the ACMA will not process that bid or any further bids of the bidder and will treat the bid and those further bids as if they had not been made.</w:t>
      </w:r>
    </w:p>
    <w:p w14:paraId="43E3B6CE" w14:textId="77777777" w:rsidR="00236FA7" w:rsidRDefault="00660DFA" w:rsidP="00236FA7">
      <w:pPr>
        <w:pStyle w:val="HR"/>
        <w:rPr>
          <w:rFonts w:cs="Arial"/>
          <w:sz w:val="20"/>
          <w:szCs w:val="20"/>
        </w:rPr>
      </w:pPr>
      <w:r>
        <w:rPr>
          <w:rStyle w:val="CharSectno"/>
          <w:rFonts w:cs="Arial"/>
          <w:sz w:val="20"/>
          <w:szCs w:val="20"/>
        </w:rPr>
        <w:t xml:space="preserve">Clause 13 </w:t>
      </w:r>
      <w:r>
        <w:rPr>
          <w:rStyle w:val="CharSectno"/>
          <w:rFonts w:cs="Arial"/>
          <w:sz w:val="20"/>
          <w:szCs w:val="20"/>
        </w:rPr>
        <w:tab/>
        <w:t xml:space="preserve">  </w:t>
      </w:r>
      <w:r w:rsidR="00236FA7" w:rsidRPr="009542B0">
        <w:rPr>
          <w:rFonts w:cs="Arial"/>
          <w:sz w:val="20"/>
          <w:szCs w:val="20"/>
        </w:rPr>
        <w:t>Bidding activity targets</w:t>
      </w:r>
    </w:p>
    <w:p w14:paraId="11E8C2E6" w14:textId="77777777" w:rsidR="006479A6" w:rsidRDefault="006B2B8C" w:rsidP="006B2B8C">
      <w:pPr>
        <w:pStyle w:val="ZR2"/>
        <w:tabs>
          <w:tab w:val="clear" w:pos="794"/>
          <w:tab w:val="right" w:pos="142"/>
        </w:tabs>
        <w:ind w:left="0" w:firstLine="0"/>
        <w:rPr>
          <w:rFonts w:ascii="Arial" w:hAnsi="Arial" w:cs="Arial"/>
          <w:sz w:val="20"/>
          <w:szCs w:val="20"/>
        </w:rPr>
      </w:pPr>
      <w:r>
        <w:rPr>
          <w:rFonts w:ascii="Arial" w:hAnsi="Arial" w:cs="Arial"/>
          <w:sz w:val="20"/>
          <w:szCs w:val="20"/>
        </w:rPr>
        <w:t xml:space="preserve">This clause outlines how a bidder must bid in order to maintain the bidder’s eligibility points.  </w:t>
      </w:r>
      <w:r w:rsidR="006479A6">
        <w:rPr>
          <w:rFonts w:ascii="Arial" w:hAnsi="Arial" w:cs="Arial"/>
          <w:sz w:val="20"/>
          <w:szCs w:val="20"/>
        </w:rPr>
        <w:t xml:space="preserve"> </w:t>
      </w:r>
    </w:p>
    <w:p w14:paraId="29899EAA" w14:textId="77777777" w:rsidR="00236FA7" w:rsidRPr="009542B0" w:rsidRDefault="006B2B8C" w:rsidP="006B2B8C">
      <w:pPr>
        <w:pStyle w:val="ZR2"/>
        <w:tabs>
          <w:tab w:val="clear" w:pos="794"/>
          <w:tab w:val="right" w:pos="142"/>
        </w:tabs>
        <w:ind w:left="0" w:firstLine="0"/>
        <w:rPr>
          <w:rFonts w:ascii="Arial" w:hAnsi="Arial" w:cs="Arial"/>
          <w:sz w:val="20"/>
          <w:szCs w:val="20"/>
        </w:rPr>
      </w:pPr>
      <w:r>
        <w:rPr>
          <w:rFonts w:ascii="Arial" w:hAnsi="Arial" w:cs="Arial"/>
          <w:sz w:val="20"/>
          <w:szCs w:val="20"/>
        </w:rPr>
        <w:t>A</w:t>
      </w:r>
      <w:r w:rsidR="00236FA7" w:rsidRPr="009542B0">
        <w:rPr>
          <w:rFonts w:ascii="Arial" w:hAnsi="Arial" w:cs="Arial"/>
          <w:sz w:val="20"/>
          <w:szCs w:val="20"/>
        </w:rPr>
        <w:t xml:space="preserve"> bidder must bid in such a way during a round that the total of the lot ratings on the lots on which the bidder is active in that round is equal to or greater than the bidder’s activity target for the round.</w:t>
      </w:r>
    </w:p>
    <w:p w14:paraId="1F98A093" w14:textId="058371FA" w:rsidR="00236FA7" w:rsidRPr="007371DF" w:rsidRDefault="006B2B8C" w:rsidP="0034372A">
      <w:pPr>
        <w:pStyle w:val="Note"/>
        <w:ind w:left="0"/>
        <w:rPr>
          <w:rFonts w:ascii="Arial" w:hAnsi="Arial" w:cs="Arial"/>
          <w:szCs w:val="20"/>
        </w:rPr>
      </w:pPr>
      <w:r>
        <w:rPr>
          <w:rFonts w:ascii="Arial" w:hAnsi="Arial" w:cs="Arial"/>
          <w:szCs w:val="20"/>
        </w:rPr>
        <w:t xml:space="preserve">The </w:t>
      </w:r>
      <w:r w:rsidR="005F47A2">
        <w:rPr>
          <w:rFonts w:ascii="Arial" w:hAnsi="Arial" w:cs="Arial"/>
          <w:szCs w:val="20"/>
        </w:rPr>
        <w:t xml:space="preserve">definition of </w:t>
      </w:r>
      <w:r w:rsidR="006479A6">
        <w:rPr>
          <w:rFonts w:ascii="Arial" w:hAnsi="Arial" w:cs="Arial"/>
          <w:szCs w:val="20"/>
        </w:rPr>
        <w:t>‘</w:t>
      </w:r>
      <w:r w:rsidR="00236FA7" w:rsidRPr="009542B0">
        <w:rPr>
          <w:rFonts w:ascii="Arial" w:hAnsi="Arial" w:cs="Arial"/>
          <w:szCs w:val="20"/>
        </w:rPr>
        <w:t>activity target</w:t>
      </w:r>
      <w:r w:rsidR="006479A6">
        <w:rPr>
          <w:rFonts w:ascii="Arial" w:hAnsi="Arial" w:cs="Arial"/>
          <w:szCs w:val="20"/>
        </w:rPr>
        <w:t>’</w:t>
      </w:r>
      <w:r>
        <w:rPr>
          <w:rFonts w:ascii="Arial" w:hAnsi="Arial" w:cs="Arial"/>
          <w:szCs w:val="20"/>
        </w:rPr>
        <w:t xml:space="preserve"> is </w:t>
      </w:r>
      <w:r w:rsidR="006479A6">
        <w:rPr>
          <w:rFonts w:ascii="Arial" w:hAnsi="Arial" w:cs="Arial"/>
          <w:szCs w:val="20"/>
        </w:rPr>
        <w:t>given</w:t>
      </w:r>
      <w:r>
        <w:rPr>
          <w:rFonts w:ascii="Arial" w:hAnsi="Arial" w:cs="Arial"/>
          <w:szCs w:val="20"/>
        </w:rPr>
        <w:t xml:space="preserve"> in </w:t>
      </w:r>
      <w:r w:rsidR="00236FA7" w:rsidRPr="009542B0">
        <w:rPr>
          <w:rFonts w:ascii="Arial" w:hAnsi="Arial" w:cs="Arial"/>
          <w:szCs w:val="20"/>
        </w:rPr>
        <w:t xml:space="preserve">subclause </w:t>
      </w:r>
      <w:r w:rsidR="003C4918" w:rsidRPr="007371DF">
        <w:rPr>
          <w:rFonts w:ascii="Arial" w:hAnsi="Arial" w:cs="Arial"/>
          <w:szCs w:val="20"/>
        </w:rPr>
        <w:t>5</w:t>
      </w:r>
      <w:r w:rsidR="00236FA7" w:rsidRPr="007371DF">
        <w:rPr>
          <w:rFonts w:ascii="Arial" w:hAnsi="Arial" w:cs="Arial"/>
          <w:szCs w:val="20"/>
        </w:rPr>
        <w:t>(</w:t>
      </w:r>
      <w:r w:rsidR="003C4918" w:rsidRPr="007371DF">
        <w:rPr>
          <w:rFonts w:ascii="Arial" w:hAnsi="Arial" w:cs="Arial"/>
          <w:szCs w:val="20"/>
        </w:rPr>
        <w:t>2</w:t>
      </w:r>
      <w:r w:rsidR="00236FA7" w:rsidRPr="007371DF">
        <w:rPr>
          <w:rFonts w:ascii="Arial" w:hAnsi="Arial" w:cs="Arial"/>
          <w:szCs w:val="20"/>
        </w:rPr>
        <w:t>).</w:t>
      </w:r>
      <w:r w:rsidRPr="007371DF">
        <w:rPr>
          <w:rFonts w:ascii="Arial" w:hAnsi="Arial" w:cs="Arial"/>
          <w:szCs w:val="20"/>
        </w:rPr>
        <w:t xml:space="preserve"> </w:t>
      </w:r>
      <w:r w:rsidR="005F47A2" w:rsidRPr="007371DF">
        <w:rPr>
          <w:rFonts w:ascii="Arial" w:hAnsi="Arial" w:cs="Arial"/>
          <w:szCs w:val="20"/>
        </w:rPr>
        <w:t xml:space="preserve"> </w:t>
      </w:r>
      <w:r w:rsidR="00236FA7" w:rsidRPr="007371DF">
        <w:rPr>
          <w:rFonts w:ascii="Arial" w:hAnsi="Arial" w:cs="Arial"/>
          <w:szCs w:val="20"/>
        </w:rPr>
        <w:t>A bidder who does not bid in the way mentioned may lose eligibility points, in accordance with clause 1</w:t>
      </w:r>
      <w:r w:rsidR="00095DEA" w:rsidRPr="007371DF">
        <w:rPr>
          <w:rFonts w:ascii="Arial" w:hAnsi="Arial" w:cs="Arial"/>
          <w:szCs w:val="20"/>
        </w:rPr>
        <w:t>4</w:t>
      </w:r>
      <w:r w:rsidR="00236FA7" w:rsidRPr="007371DF">
        <w:rPr>
          <w:rFonts w:ascii="Arial" w:hAnsi="Arial" w:cs="Arial"/>
          <w:szCs w:val="20"/>
        </w:rPr>
        <w:t>.</w:t>
      </w:r>
    </w:p>
    <w:p w14:paraId="3D54DF73" w14:textId="1EB833DA" w:rsidR="006479A6" w:rsidRDefault="006479A6" w:rsidP="006479A6">
      <w:pPr>
        <w:pStyle w:val="ZR2"/>
        <w:tabs>
          <w:tab w:val="clear" w:pos="794"/>
          <w:tab w:val="right" w:pos="142"/>
        </w:tabs>
        <w:ind w:left="0" w:firstLine="0"/>
        <w:rPr>
          <w:rFonts w:ascii="Arial" w:hAnsi="Arial" w:cs="Arial"/>
          <w:sz w:val="20"/>
          <w:szCs w:val="20"/>
        </w:rPr>
      </w:pPr>
      <w:r w:rsidRPr="007371DF">
        <w:rPr>
          <w:rFonts w:ascii="Arial" w:hAnsi="Arial" w:cs="Arial"/>
          <w:sz w:val="20"/>
          <w:szCs w:val="20"/>
        </w:rPr>
        <w:t xml:space="preserve">A bidder may exercise a waiver under clause 15 </w:t>
      </w:r>
      <w:r w:rsidR="005F5A34" w:rsidRPr="007371DF">
        <w:rPr>
          <w:rFonts w:ascii="Arial" w:hAnsi="Arial" w:cs="Arial"/>
          <w:sz w:val="20"/>
          <w:szCs w:val="20"/>
        </w:rPr>
        <w:t>if deciding not to bid</w:t>
      </w:r>
      <w:r w:rsidR="005F5A34">
        <w:rPr>
          <w:rFonts w:ascii="Arial" w:hAnsi="Arial" w:cs="Arial"/>
          <w:sz w:val="20"/>
          <w:szCs w:val="20"/>
        </w:rPr>
        <w:t xml:space="preserve"> in a round</w:t>
      </w:r>
      <w:r>
        <w:rPr>
          <w:rFonts w:ascii="Arial" w:hAnsi="Arial" w:cs="Arial"/>
          <w:sz w:val="20"/>
          <w:szCs w:val="20"/>
        </w:rPr>
        <w:t xml:space="preserve">, but each bidder will be given the same limited number of waivers that they may exercise. </w:t>
      </w:r>
    </w:p>
    <w:p w14:paraId="7C0D1385" w14:textId="77777777" w:rsidR="00236FA7" w:rsidRDefault="00660DFA" w:rsidP="00236FA7">
      <w:pPr>
        <w:pStyle w:val="HR"/>
        <w:rPr>
          <w:rFonts w:cs="Arial"/>
          <w:sz w:val="20"/>
          <w:szCs w:val="20"/>
        </w:rPr>
      </w:pPr>
      <w:r>
        <w:rPr>
          <w:rStyle w:val="CharSectno"/>
          <w:rFonts w:cs="Arial"/>
          <w:sz w:val="20"/>
          <w:szCs w:val="20"/>
        </w:rPr>
        <w:t>Clause 14</w:t>
      </w:r>
      <w:r>
        <w:rPr>
          <w:rStyle w:val="CharSectno"/>
          <w:rFonts w:cs="Arial"/>
          <w:sz w:val="20"/>
          <w:szCs w:val="20"/>
        </w:rPr>
        <w:tab/>
      </w:r>
      <w:r w:rsidR="00236FA7" w:rsidRPr="009542B0">
        <w:rPr>
          <w:rFonts w:cs="Arial"/>
          <w:sz w:val="20"/>
          <w:szCs w:val="20"/>
        </w:rPr>
        <w:tab/>
        <w:t>Loss of eligibility points</w:t>
      </w:r>
    </w:p>
    <w:p w14:paraId="1CB2BFDE" w14:textId="77777777" w:rsidR="002B0A00" w:rsidRDefault="002B0A00" w:rsidP="002B0A00">
      <w:pPr>
        <w:autoSpaceDE w:val="0"/>
        <w:autoSpaceDN w:val="0"/>
        <w:adjustRightInd w:val="0"/>
        <w:rPr>
          <w:rFonts w:ascii="Arial" w:hAnsi="Arial" w:cs="Arial"/>
          <w:sz w:val="20"/>
          <w:szCs w:val="20"/>
        </w:rPr>
      </w:pPr>
    </w:p>
    <w:p w14:paraId="10776684" w14:textId="77777777" w:rsidR="009B784D" w:rsidRDefault="002B0A00" w:rsidP="00B74EF9">
      <w:pPr>
        <w:autoSpaceDE w:val="0"/>
        <w:autoSpaceDN w:val="0"/>
        <w:adjustRightInd w:val="0"/>
        <w:rPr>
          <w:rFonts w:ascii="Arial" w:hAnsi="Arial" w:cs="Arial"/>
          <w:sz w:val="20"/>
          <w:szCs w:val="20"/>
        </w:rPr>
      </w:pPr>
      <w:r w:rsidRPr="002B0A00">
        <w:rPr>
          <w:rFonts w:ascii="Arial" w:hAnsi="Arial" w:cs="Arial"/>
          <w:sz w:val="20"/>
          <w:szCs w:val="20"/>
        </w:rPr>
        <w:t xml:space="preserve">Bidders not </w:t>
      </w:r>
      <w:r w:rsidR="00F76080">
        <w:rPr>
          <w:rFonts w:ascii="Arial" w:hAnsi="Arial" w:cs="Arial"/>
          <w:sz w:val="20"/>
          <w:szCs w:val="20"/>
        </w:rPr>
        <w:t xml:space="preserve">meeting the </w:t>
      </w:r>
      <w:r w:rsidRPr="002B0A00">
        <w:rPr>
          <w:rFonts w:ascii="Arial" w:hAnsi="Arial" w:cs="Arial"/>
          <w:sz w:val="20"/>
          <w:szCs w:val="20"/>
        </w:rPr>
        <w:t xml:space="preserve">activity requirements will have their eligibility </w:t>
      </w:r>
      <w:r w:rsidR="00F76080">
        <w:rPr>
          <w:rFonts w:ascii="Arial" w:hAnsi="Arial" w:cs="Arial"/>
          <w:sz w:val="20"/>
          <w:szCs w:val="20"/>
        </w:rPr>
        <w:t xml:space="preserve">points for a round </w:t>
      </w:r>
      <w:r w:rsidRPr="002B0A00">
        <w:rPr>
          <w:rFonts w:ascii="Arial" w:hAnsi="Arial" w:cs="Arial"/>
          <w:sz w:val="20"/>
          <w:szCs w:val="20"/>
        </w:rPr>
        <w:t xml:space="preserve">reduced unless they </w:t>
      </w:r>
      <w:r w:rsidR="002E46EE">
        <w:rPr>
          <w:rFonts w:ascii="Arial" w:hAnsi="Arial" w:cs="Arial"/>
          <w:sz w:val="20"/>
          <w:szCs w:val="20"/>
        </w:rPr>
        <w:t>exercise</w:t>
      </w:r>
      <w:r w:rsidRPr="002B0A00">
        <w:rPr>
          <w:rFonts w:ascii="Arial" w:hAnsi="Arial" w:cs="Arial"/>
          <w:sz w:val="20"/>
          <w:szCs w:val="20"/>
        </w:rPr>
        <w:t xml:space="preserve"> a waiver</w:t>
      </w:r>
      <w:r w:rsidR="00BE5FF4">
        <w:rPr>
          <w:rFonts w:ascii="Arial" w:hAnsi="Arial" w:cs="Arial"/>
          <w:sz w:val="20"/>
          <w:szCs w:val="20"/>
        </w:rPr>
        <w:t xml:space="preserve"> </w:t>
      </w:r>
      <w:r w:rsidR="009B784D">
        <w:rPr>
          <w:rFonts w:ascii="Arial" w:hAnsi="Arial" w:cs="Arial"/>
          <w:sz w:val="20"/>
          <w:szCs w:val="20"/>
        </w:rPr>
        <w:t xml:space="preserve">or a waiver is exercised on their behalf by the auction manager.  </w:t>
      </w:r>
    </w:p>
    <w:p w14:paraId="4FA498A4" w14:textId="519254C5" w:rsidR="00BE5FF4" w:rsidRDefault="009B784D" w:rsidP="002707B2">
      <w:pPr>
        <w:autoSpaceDE w:val="0"/>
        <w:autoSpaceDN w:val="0"/>
        <w:adjustRightInd w:val="0"/>
        <w:spacing w:before="180"/>
        <w:rPr>
          <w:rFonts w:ascii="Arial" w:hAnsi="Arial" w:cs="Arial"/>
          <w:sz w:val="20"/>
        </w:rPr>
      </w:pPr>
      <w:r>
        <w:rPr>
          <w:rFonts w:ascii="Arial" w:hAnsi="Arial" w:cs="Arial"/>
          <w:sz w:val="20"/>
          <w:szCs w:val="20"/>
        </w:rPr>
        <w:lastRenderedPageBreak/>
        <w:t xml:space="preserve">That is, if </w:t>
      </w:r>
      <w:r w:rsidR="00236FA7" w:rsidRPr="009542B0">
        <w:rPr>
          <w:rFonts w:ascii="Arial" w:hAnsi="Arial" w:cs="Arial"/>
          <w:sz w:val="20"/>
        </w:rPr>
        <w:t xml:space="preserve">the bidder does not meet its activity target in </w:t>
      </w:r>
      <w:r w:rsidR="00A525C4">
        <w:rPr>
          <w:rFonts w:ascii="Arial" w:hAnsi="Arial" w:cs="Arial"/>
          <w:sz w:val="20"/>
        </w:rPr>
        <w:t xml:space="preserve">the current </w:t>
      </w:r>
      <w:r w:rsidR="00236FA7" w:rsidRPr="009542B0">
        <w:rPr>
          <w:rFonts w:ascii="Arial" w:hAnsi="Arial" w:cs="Arial"/>
          <w:sz w:val="20"/>
        </w:rPr>
        <w:t>round</w:t>
      </w:r>
      <w:r w:rsidR="00BE5FF4">
        <w:rPr>
          <w:rFonts w:ascii="Arial" w:hAnsi="Arial" w:cs="Arial"/>
          <w:sz w:val="20"/>
        </w:rPr>
        <w:t>;</w:t>
      </w:r>
      <w:r w:rsidR="001415A8">
        <w:rPr>
          <w:rFonts w:ascii="Arial" w:hAnsi="Arial" w:cs="Arial"/>
          <w:sz w:val="20"/>
        </w:rPr>
        <w:t xml:space="preserve"> and</w:t>
      </w:r>
    </w:p>
    <w:p w14:paraId="78809860" w14:textId="75CAF0AA" w:rsidR="00BE5FF4" w:rsidRDefault="00236FA7" w:rsidP="002707B2">
      <w:pPr>
        <w:pStyle w:val="ZR1"/>
        <w:numPr>
          <w:ilvl w:val="0"/>
          <w:numId w:val="53"/>
        </w:numPr>
        <w:spacing w:before="0"/>
        <w:rPr>
          <w:rFonts w:ascii="Arial" w:hAnsi="Arial" w:cs="Arial"/>
          <w:sz w:val="20"/>
        </w:rPr>
      </w:pPr>
      <w:r w:rsidRPr="009542B0">
        <w:rPr>
          <w:rFonts w:ascii="Arial" w:hAnsi="Arial" w:cs="Arial"/>
          <w:sz w:val="20"/>
        </w:rPr>
        <w:t>the bidder does not exercise a waiver in the current round</w:t>
      </w:r>
      <w:r w:rsidR="009B784D">
        <w:rPr>
          <w:rFonts w:ascii="Arial" w:hAnsi="Arial" w:cs="Arial"/>
          <w:sz w:val="20"/>
        </w:rPr>
        <w:t>;</w:t>
      </w:r>
      <w:r w:rsidRPr="009542B0">
        <w:rPr>
          <w:rFonts w:ascii="Arial" w:hAnsi="Arial" w:cs="Arial"/>
          <w:sz w:val="20"/>
        </w:rPr>
        <w:t xml:space="preserve"> </w:t>
      </w:r>
      <w:r w:rsidR="00BE5FF4">
        <w:rPr>
          <w:rFonts w:ascii="Arial" w:hAnsi="Arial" w:cs="Arial"/>
          <w:sz w:val="20"/>
        </w:rPr>
        <w:t>or</w:t>
      </w:r>
    </w:p>
    <w:p w14:paraId="7862A20B" w14:textId="057FA791" w:rsidR="00BE5FF4" w:rsidRPr="00EA2D9A" w:rsidRDefault="009B784D" w:rsidP="002707B2">
      <w:pPr>
        <w:pStyle w:val="ZR1"/>
        <w:numPr>
          <w:ilvl w:val="0"/>
          <w:numId w:val="53"/>
        </w:numPr>
        <w:spacing w:before="0"/>
        <w:rPr>
          <w:rFonts w:ascii="Arial" w:hAnsi="Arial" w:cs="Arial"/>
          <w:sz w:val="20"/>
          <w:szCs w:val="20"/>
        </w:rPr>
      </w:pPr>
      <w:r>
        <w:rPr>
          <w:rFonts w:ascii="Arial" w:hAnsi="Arial" w:cs="Arial"/>
          <w:sz w:val="20"/>
          <w:szCs w:val="20"/>
        </w:rPr>
        <w:t xml:space="preserve">the bidder </w:t>
      </w:r>
      <w:r w:rsidR="00BE5FF4" w:rsidRPr="00B74EF9">
        <w:rPr>
          <w:rFonts w:ascii="Arial" w:hAnsi="Arial" w:cs="Arial"/>
          <w:sz w:val="20"/>
          <w:szCs w:val="20"/>
        </w:rPr>
        <w:t>tells the auction manager that a waiver under subclause 15(5) is not to be exercised;</w:t>
      </w:r>
      <w:r w:rsidR="00BE5FF4" w:rsidRPr="00BE5FF4">
        <w:rPr>
          <w:rFonts w:ascii="Arial" w:hAnsi="Arial" w:cs="Arial"/>
          <w:sz w:val="20"/>
          <w:szCs w:val="20"/>
        </w:rPr>
        <w:t xml:space="preserve"> </w:t>
      </w:r>
    </w:p>
    <w:p w14:paraId="7AEF73E8" w14:textId="77777777" w:rsidR="00236FA7" w:rsidRPr="009542B0" w:rsidRDefault="00BE5FF4" w:rsidP="002707B2">
      <w:pPr>
        <w:pStyle w:val="ZR1"/>
        <w:spacing w:before="0"/>
        <w:ind w:left="0" w:firstLine="0"/>
        <w:rPr>
          <w:rFonts w:ascii="Arial" w:hAnsi="Arial" w:cs="Arial"/>
          <w:sz w:val="20"/>
        </w:rPr>
      </w:pPr>
      <w:r>
        <w:rPr>
          <w:rFonts w:ascii="Arial" w:hAnsi="Arial" w:cs="Arial"/>
          <w:sz w:val="20"/>
        </w:rPr>
        <w:t xml:space="preserve">then </w:t>
      </w:r>
      <w:r w:rsidR="00A525C4">
        <w:rPr>
          <w:rFonts w:ascii="Arial" w:hAnsi="Arial" w:cs="Arial"/>
          <w:sz w:val="20"/>
        </w:rPr>
        <w:t>the bidder’s eligibility points for the next round will be reduced</w:t>
      </w:r>
      <w:r w:rsidR="00236FA7" w:rsidRPr="009542B0">
        <w:rPr>
          <w:rFonts w:ascii="Arial" w:hAnsi="Arial" w:cs="Arial"/>
          <w:sz w:val="20"/>
        </w:rPr>
        <w:t>.</w:t>
      </w:r>
    </w:p>
    <w:p w14:paraId="4F3E8B7C" w14:textId="77777777" w:rsidR="00A525C4" w:rsidRPr="00A525C4" w:rsidRDefault="00A525C4" w:rsidP="002707B2">
      <w:pPr>
        <w:pStyle w:val="ExampleBody"/>
        <w:spacing w:before="120"/>
        <w:ind w:left="0"/>
        <w:rPr>
          <w:rFonts w:ascii="Arial" w:hAnsi="Arial" w:cs="Arial"/>
          <w:szCs w:val="20"/>
        </w:rPr>
      </w:pPr>
      <w:r w:rsidRPr="00A525C4">
        <w:rPr>
          <w:rFonts w:ascii="Arial" w:hAnsi="Arial" w:cs="Arial"/>
          <w:szCs w:val="20"/>
        </w:rPr>
        <w:t xml:space="preserve">The formula for </w:t>
      </w:r>
      <w:r w:rsidR="00F32E8B">
        <w:rPr>
          <w:rFonts w:ascii="Arial" w:hAnsi="Arial" w:cs="Arial"/>
          <w:szCs w:val="20"/>
        </w:rPr>
        <w:t>t</w:t>
      </w:r>
      <w:r w:rsidRPr="00A525C4">
        <w:rPr>
          <w:rFonts w:ascii="Arial" w:hAnsi="Arial" w:cs="Arial"/>
          <w:szCs w:val="20"/>
        </w:rPr>
        <w:t>he amount of a bidder’s eligibility points</w:t>
      </w:r>
      <w:r w:rsidR="006C6607">
        <w:rPr>
          <w:rFonts w:ascii="Arial" w:hAnsi="Arial" w:cs="Arial"/>
          <w:szCs w:val="20"/>
        </w:rPr>
        <w:t>,</w:t>
      </w:r>
      <w:r w:rsidR="006C6607" w:rsidRPr="00462C0B">
        <w:rPr>
          <w:rFonts w:ascii="Arial" w:hAnsi="Arial" w:cs="Arial"/>
          <w:szCs w:val="20"/>
        </w:rPr>
        <w:t xml:space="preserve"> rounded up to an integer</w:t>
      </w:r>
      <w:r w:rsidR="006C6607">
        <w:t>,</w:t>
      </w:r>
      <w:r w:rsidRPr="00A525C4">
        <w:rPr>
          <w:rFonts w:ascii="Arial" w:hAnsi="Arial" w:cs="Arial"/>
          <w:szCs w:val="20"/>
        </w:rPr>
        <w:t xml:space="preserve"> for the next round is:</w:t>
      </w:r>
    </w:p>
    <w:p w14:paraId="2D79E5CC" w14:textId="77777777" w:rsidR="00A525C4" w:rsidRPr="00A525C4" w:rsidRDefault="00A525C4" w:rsidP="00A525C4">
      <w:pPr>
        <w:pStyle w:val="Formula"/>
        <w:rPr>
          <w:rFonts w:ascii="Arial" w:hAnsi="Arial" w:cs="Arial"/>
          <w:sz w:val="20"/>
          <w:szCs w:val="20"/>
        </w:rPr>
      </w:pPr>
      <w:r w:rsidRPr="00A525C4">
        <w:rPr>
          <w:rFonts w:ascii="Arial" w:hAnsi="Arial" w:cs="Arial"/>
          <w:position w:val="-22"/>
          <w:sz w:val="20"/>
          <w:szCs w:val="20"/>
        </w:rPr>
        <w:object w:dxaOrig="900" w:dyaOrig="580" w14:anchorId="1BEE9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pt" o:ole="">
            <v:imagedata r:id="rId17" o:title=""/>
          </v:shape>
          <o:OLEObject Type="Embed" ProgID="Equation.2" ShapeID="_x0000_i1025" DrawAspect="Content" ObjectID="_1502268549" r:id="rId18"/>
        </w:object>
      </w:r>
    </w:p>
    <w:p w14:paraId="38717D1B" w14:textId="77777777" w:rsidR="00A525C4" w:rsidRPr="00A525C4" w:rsidRDefault="00A525C4" w:rsidP="00A525C4">
      <w:pPr>
        <w:pStyle w:val="ZRcN"/>
        <w:rPr>
          <w:rFonts w:ascii="Arial" w:hAnsi="Arial" w:cs="Arial"/>
          <w:sz w:val="20"/>
          <w:szCs w:val="20"/>
        </w:rPr>
      </w:pPr>
      <w:r w:rsidRPr="00A525C4">
        <w:rPr>
          <w:rFonts w:ascii="Arial" w:hAnsi="Arial" w:cs="Arial"/>
          <w:sz w:val="20"/>
          <w:szCs w:val="20"/>
        </w:rPr>
        <w:t>where:</w:t>
      </w:r>
    </w:p>
    <w:p w14:paraId="74D93EE9" w14:textId="77777777" w:rsidR="00A525C4" w:rsidRPr="00A525C4" w:rsidRDefault="00A525C4" w:rsidP="00A525C4">
      <w:pPr>
        <w:pStyle w:val="definition"/>
        <w:rPr>
          <w:rFonts w:ascii="Arial" w:hAnsi="Arial" w:cs="Arial"/>
          <w:sz w:val="20"/>
          <w:szCs w:val="20"/>
        </w:rPr>
      </w:pPr>
      <w:r w:rsidRPr="00A525C4">
        <w:rPr>
          <w:rFonts w:ascii="Arial" w:hAnsi="Arial" w:cs="Arial"/>
          <w:b/>
          <w:i/>
          <w:sz w:val="20"/>
          <w:szCs w:val="20"/>
        </w:rPr>
        <w:t>E</w:t>
      </w:r>
      <w:r w:rsidRPr="00A525C4">
        <w:rPr>
          <w:rFonts w:ascii="Arial" w:hAnsi="Arial" w:cs="Arial"/>
          <w:sz w:val="20"/>
          <w:szCs w:val="20"/>
        </w:rPr>
        <w:t xml:space="preserve"> is the bidder’s eligibility points for the next round; and</w:t>
      </w:r>
    </w:p>
    <w:p w14:paraId="4D4F6322" w14:textId="77777777" w:rsidR="00A525C4" w:rsidRPr="00A525C4" w:rsidRDefault="00A525C4" w:rsidP="00A525C4">
      <w:pPr>
        <w:pStyle w:val="definition"/>
        <w:rPr>
          <w:rFonts w:ascii="Arial" w:hAnsi="Arial" w:cs="Arial"/>
          <w:sz w:val="20"/>
          <w:szCs w:val="20"/>
        </w:rPr>
      </w:pPr>
      <w:r w:rsidRPr="00A525C4">
        <w:rPr>
          <w:rFonts w:ascii="Arial" w:hAnsi="Arial" w:cs="Arial"/>
          <w:b/>
          <w:i/>
          <w:sz w:val="20"/>
          <w:szCs w:val="20"/>
        </w:rPr>
        <w:t>R</w:t>
      </w:r>
      <w:r w:rsidRPr="00A525C4">
        <w:rPr>
          <w:rFonts w:ascii="Arial" w:hAnsi="Arial" w:cs="Arial"/>
          <w:sz w:val="20"/>
          <w:szCs w:val="20"/>
        </w:rPr>
        <w:t xml:space="preserve"> is the sum of the lot ratings of the lots on which the bidder was active in the current round; and</w:t>
      </w:r>
    </w:p>
    <w:p w14:paraId="799AFE2B" w14:textId="77777777" w:rsidR="00A525C4" w:rsidRDefault="00A525C4" w:rsidP="00A525C4">
      <w:pPr>
        <w:pStyle w:val="definition"/>
        <w:rPr>
          <w:rFonts w:ascii="Arial" w:hAnsi="Arial" w:cs="Arial"/>
          <w:sz w:val="20"/>
          <w:szCs w:val="20"/>
        </w:rPr>
      </w:pPr>
      <w:r w:rsidRPr="00A525C4">
        <w:rPr>
          <w:rFonts w:ascii="Arial" w:hAnsi="Arial" w:cs="Arial"/>
          <w:b/>
          <w:i/>
          <w:sz w:val="20"/>
          <w:szCs w:val="20"/>
        </w:rPr>
        <w:t>P</w:t>
      </w:r>
      <w:r w:rsidRPr="00A525C4">
        <w:rPr>
          <w:rFonts w:ascii="Arial" w:hAnsi="Arial" w:cs="Arial"/>
          <w:sz w:val="20"/>
          <w:szCs w:val="20"/>
        </w:rPr>
        <w:t xml:space="preserve"> is the eligibility percentage that applied in the current round.</w:t>
      </w:r>
    </w:p>
    <w:p w14:paraId="4A15AA43" w14:textId="77777777" w:rsidR="001415A8" w:rsidRPr="00A525C4" w:rsidRDefault="001415A8" w:rsidP="00A525C4">
      <w:pPr>
        <w:pStyle w:val="definition"/>
        <w:rPr>
          <w:rFonts w:ascii="Arial" w:hAnsi="Arial" w:cs="Arial"/>
          <w:sz w:val="20"/>
          <w:szCs w:val="20"/>
        </w:rPr>
      </w:pPr>
    </w:p>
    <w:p w14:paraId="3C31A2E2" w14:textId="78C2E954" w:rsidR="002B0A00" w:rsidRPr="00E014DE" w:rsidRDefault="002B0A00" w:rsidP="0032195C">
      <w:pPr>
        <w:autoSpaceDE w:val="0"/>
        <w:autoSpaceDN w:val="0"/>
        <w:adjustRightInd w:val="0"/>
        <w:spacing w:before="180" w:line="260" w:lineRule="exact"/>
        <w:rPr>
          <w:rFonts w:ascii="Arial" w:hAnsi="Arial" w:cs="Arial"/>
          <w:sz w:val="20"/>
          <w:szCs w:val="20"/>
        </w:rPr>
      </w:pPr>
      <w:r w:rsidRPr="00E014DE">
        <w:rPr>
          <w:rFonts w:ascii="Arial" w:hAnsi="Arial" w:cs="Arial"/>
          <w:sz w:val="20"/>
          <w:szCs w:val="20"/>
        </w:rPr>
        <w:t xml:space="preserve">Bidders who lose eligibility </w:t>
      </w:r>
      <w:r w:rsidR="002E46EE" w:rsidRPr="00E014DE">
        <w:rPr>
          <w:rFonts w:ascii="Arial" w:hAnsi="Arial" w:cs="Arial"/>
          <w:sz w:val="20"/>
          <w:szCs w:val="20"/>
        </w:rPr>
        <w:t xml:space="preserve">points </w:t>
      </w:r>
      <w:r w:rsidRPr="00E014DE">
        <w:rPr>
          <w:rFonts w:ascii="Arial" w:hAnsi="Arial" w:cs="Arial"/>
          <w:sz w:val="20"/>
          <w:szCs w:val="20"/>
        </w:rPr>
        <w:t xml:space="preserve">for under-activity will, in future rounds, only be able to bid in accordance with their reduced eligibility </w:t>
      </w:r>
      <w:r w:rsidR="00F76080" w:rsidRPr="00E014DE">
        <w:rPr>
          <w:rFonts w:ascii="Arial" w:hAnsi="Arial" w:cs="Arial"/>
          <w:sz w:val="20"/>
          <w:szCs w:val="20"/>
        </w:rPr>
        <w:t>points</w:t>
      </w:r>
      <w:r w:rsidRPr="00E014DE">
        <w:rPr>
          <w:rFonts w:ascii="Arial" w:hAnsi="Arial" w:cs="Arial"/>
          <w:sz w:val="20"/>
          <w:szCs w:val="20"/>
        </w:rPr>
        <w:t xml:space="preserve">. Once lost, eligibility </w:t>
      </w:r>
      <w:r w:rsidR="00F76080" w:rsidRPr="00E014DE">
        <w:rPr>
          <w:rFonts w:ascii="Arial" w:hAnsi="Arial" w:cs="Arial"/>
          <w:sz w:val="20"/>
          <w:szCs w:val="20"/>
        </w:rPr>
        <w:t xml:space="preserve">points </w:t>
      </w:r>
      <w:r w:rsidRPr="00E014DE">
        <w:rPr>
          <w:rFonts w:ascii="Arial" w:hAnsi="Arial" w:cs="Arial"/>
          <w:sz w:val="20"/>
          <w:szCs w:val="20"/>
        </w:rPr>
        <w:t xml:space="preserve">cannot be recovered.  </w:t>
      </w:r>
      <w:r w:rsidR="002E46EE" w:rsidRPr="00E014DE">
        <w:rPr>
          <w:rFonts w:ascii="Arial" w:hAnsi="Arial" w:cs="Arial"/>
          <w:sz w:val="20"/>
          <w:szCs w:val="20"/>
        </w:rPr>
        <w:t xml:space="preserve">The </w:t>
      </w:r>
      <w:r w:rsidRPr="00E014DE">
        <w:rPr>
          <w:rFonts w:ascii="Arial" w:hAnsi="Arial" w:cs="Arial"/>
          <w:sz w:val="20"/>
          <w:szCs w:val="20"/>
        </w:rPr>
        <w:t>ACMA’s auction system incorporates a facility to give bidders a running</w:t>
      </w:r>
      <w:r w:rsidR="00A525C4" w:rsidRPr="00E014DE">
        <w:rPr>
          <w:rFonts w:ascii="Arial" w:hAnsi="Arial" w:cs="Arial"/>
          <w:sz w:val="20"/>
          <w:szCs w:val="20"/>
        </w:rPr>
        <w:t xml:space="preserve"> </w:t>
      </w:r>
      <w:r w:rsidRPr="00E014DE">
        <w:rPr>
          <w:rFonts w:ascii="Arial" w:hAnsi="Arial" w:cs="Arial"/>
          <w:sz w:val="20"/>
          <w:szCs w:val="20"/>
        </w:rPr>
        <w:t>total of their activity during</w:t>
      </w:r>
      <w:r w:rsidR="007C1D0B">
        <w:rPr>
          <w:rFonts w:ascii="Arial" w:hAnsi="Arial" w:cs="Arial"/>
          <w:sz w:val="20"/>
          <w:szCs w:val="20"/>
        </w:rPr>
        <w:t xml:space="preserve"> each round of</w:t>
      </w:r>
      <w:r w:rsidRPr="00E014DE">
        <w:rPr>
          <w:rFonts w:ascii="Arial" w:hAnsi="Arial" w:cs="Arial"/>
          <w:sz w:val="20"/>
          <w:szCs w:val="20"/>
        </w:rPr>
        <w:t xml:space="preserve"> the auction. The system provides a warning notification if a</w:t>
      </w:r>
      <w:r w:rsidR="00A525C4" w:rsidRPr="00E014DE">
        <w:rPr>
          <w:rFonts w:ascii="Arial" w:hAnsi="Arial" w:cs="Arial"/>
          <w:sz w:val="20"/>
          <w:szCs w:val="20"/>
        </w:rPr>
        <w:t xml:space="preserve"> </w:t>
      </w:r>
      <w:r w:rsidRPr="00E014DE">
        <w:rPr>
          <w:rFonts w:ascii="Arial" w:hAnsi="Arial" w:cs="Arial"/>
          <w:sz w:val="20"/>
          <w:szCs w:val="20"/>
        </w:rPr>
        <w:t>bid</w:t>
      </w:r>
      <w:r w:rsidR="007C1D0B">
        <w:rPr>
          <w:rFonts w:ascii="Arial" w:hAnsi="Arial" w:cs="Arial"/>
          <w:sz w:val="20"/>
          <w:szCs w:val="20"/>
        </w:rPr>
        <w:t>der</w:t>
      </w:r>
      <w:r w:rsidRPr="00E014DE">
        <w:rPr>
          <w:rFonts w:ascii="Arial" w:hAnsi="Arial" w:cs="Arial"/>
          <w:sz w:val="20"/>
          <w:szCs w:val="20"/>
        </w:rPr>
        <w:t xml:space="preserve"> does not </w:t>
      </w:r>
      <w:r w:rsidR="007C1D0B">
        <w:rPr>
          <w:rFonts w:ascii="Arial" w:hAnsi="Arial" w:cs="Arial"/>
          <w:sz w:val="20"/>
          <w:szCs w:val="20"/>
        </w:rPr>
        <w:t xml:space="preserve">make sufficient bids </w:t>
      </w:r>
      <w:r w:rsidRPr="00E014DE">
        <w:rPr>
          <w:rFonts w:ascii="Arial" w:hAnsi="Arial" w:cs="Arial"/>
          <w:sz w:val="20"/>
          <w:szCs w:val="20"/>
        </w:rPr>
        <w:t>to meet the bidder’s current activity</w:t>
      </w:r>
      <w:r w:rsidR="00A525C4" w:rsidRPr="00E014DE">
        <w:rPr>
          <w:rFonts w:ascii="Arial" w:hAnsi="Arial" w:cs="Arial"/>
          <w:sz w:val="20"/>
          <w:szCs w:val="20"/>
        </w:rPr>
        <w:t xml:space="preserve"> </w:t>
      </w:r>
      <w:r w:rsidRPr="00E014DE">
        <w:rPr>
          <w:rFonts w:ascii="Arial" w:hAnsi="Arial" w:cs="Arial"/>
          <w:sz w:val="20"/>
          <w:szCs w:val="20"/>
        </w:rPr>
        <w:t>target.</w:t>
      </w:r>
    </w:p>
    <w:p w14:paraId="57428A12" w14:textId="77777777" w:rsidR="00236FA7" w:rsidRPr="009542B0" w:rsidRDefault="00660DFA" w:rsidP="00236FA7">
      <w:pPr>
        <w:pStyle w:val="HR"/>
        <w:rPr>
          <w:rFonts w:cs="Arial"/>
          <w:sz w:val="20"/>
          <w:szCs w:val="20"/>
        </w:rPr>
      </w:pPr>
      <w:r>
        <w:rPr>
          <w:rStyle w:val="CharSectno"/>
          <w:rFonts w:cs="Arial"/>
          <w:sz w:val="20"/>
          <w:szCs w:val="20"/>
        </w:rPr>
        <w:t>Clause 15</w:t>
      </w:r>
      <w:r>
        <w:rPr>
          <w:rStyle w:val="CharSectno"/>
          <w:rFonts w:cs="Arial"/>
          <w:sz w:val="20"/>
          <w:szCs w:val="20"/>
        </w:rPr>
        <w:tab/>
      </w:r>
      <w:r w:rsidR="00236FA7" w:rsidRPr="009542B0">
        <w:rPr>
          <w:rFonts w:cs="Arial"/>
          <w:sz w:val="20"/>
          <w:szCs w:val="20"/>
        </w:rPr>
        <w:tab/>
        <w:t>Waiver</w:t>
      </w:r>
    </w:p>
    <w:p w14:paraId="5BC5A193" w14:textId="74D6AFEB" w:rsidR="009108FC" w:rsidRPr="00D60FB5" w:rsidRDefault="009108FC" w:rsidP="00D60FB5">
      <w:pPr>
        <w:pStyle w:val="R1"/>
        <w:ind w:left="0" w:firstLine="0"/>
        <w:rPr>
          <w:rFonts w:ascii="Arial" w:hAnsi="Arial" w:cs="Arial"/>
          <w:sz w:val="20"/>
          <w:szCs w:val="20"/>
        </w:rPr>
      </w:pPr>
      <w:r>
        <w:rPr>
          <w:rFonts w:ascii="Arial" w:hAnsi="Arial" w:cs="Arial"/>
          <w:sz w:val="20"/>
          <w:szCs w:val="20"/>
        </w:rPr>
        <w:t>This clause outlines the use of a waiver during</w:t>
      </w:r>
      <w:r w:rsidR="007C1D0B">
        <w:rPr>
          <w:rFonts w:ascii="Arial" w:hAnsi="Arial" w:cs="Arial"/>
          <w:sz w:val="20"/>
          <w:szCs w:val="20"/>
        </w:rPr>
        <w:t xml:space="preserve"> a round of</w:t>
      </w:r>
      <w:r>
        <w:rPr>
          <w:rFonts w:ascii="Arial" w:hAnsi="Arial" w:cs="Arial"/>
          <w:sz w:val="20"/>
          <w:szCs w:val="20"/>
        </w:rPr>
        <w:t xml:space="preserve"> the auction</w:t>
      </w:r>
      <w:r w:rsidR="007C1D0B">
        <w:rPr>
          <w:rFonts w:ascii="Arial" w:hAnsi="Arial" w:cs="Arial"/>
          <w:sz w:val="20"/>
          <w:szCs w:val="20"/>
        </w:rPr>
        <w:t>. A waiver to bid can be exercised</w:t>
      </w:r>
      <w:r w:rsidR="0096008A">
        <w:rPr>
          <w:rFonts w:ascii="Arial" w:hAnsi="Arial" w:cs="Arial"/>
          <w:sz w:val="20"/>
          <w:szCs w:val="20"/>
        </w:rPr>
        <w:t xml:space="preserve"> to avoid losing eligibility</w:t>
      </w:r>
      <w:r w:rsidR="007C1D0B">
        <w:rPr>
          <w:rFonts w:ascii="Arial" w:hAnsi="Arial" w:cs="Arial"/>
          <w:sz w:val="20"/>
          <w:szCs w:val="20"/>
        </w:rPr>
        <w:t xml:space="preserve"> points</w:t>
      </w:r>
      <w:r>
        <w:rPr>
          <w:rFonts w:ascii="Arial" w:hAnsi="Arial" w:cs="Arial"/>
          <w:sz w:val="20"/>
          <w:szCs w:val="20"/>
        </w:rPr>
        <w:t>.</w:t>
      </w:r>
    </w:p>
    <w:p w14:paraId="47D47804" w14:textId="53E33DEC" w:rsidR="009108FC" w:rsidRPr="0096008A" w:rsidRDefault="009108FC" w:rsidP="0032195C">
      <w:pPr>
        <w:autoSpaceDE w:val="0"/>
        <w:autoSpaceDN w:val="0"/>
        <w:adjustRightInd w:val="0"/>
        <w:spacing w:before="180" w:line="260" w:lineRule="exact"/>
        <w:rPr>
          <w:rFonts w:ascii="Arial" w:hAnsi="Arial" w:cs="Arial"/>
          <w:sz w:val="20"/>
          <w:szCs w:val="20"/>
        </w:rPr>
      </w:pPr>
      <w:r w:rsidRPr="0096008A">
        <w:rPr>
          <w:rFonts w:ascii="Arial" w:hAnsi="Arial" w:cs="Arial"/>
          <w:sz w:val="20"/>
          <w:szCs w:val="20"/>
        </w:rPr>
        <w:t xml:space="preserve">A waiver is designed for times when bidders need to take ‘time out’ from the auction, perhaps to consider an alternative bidding strategy. All bidders, therefore, will have </w:t>
      </w:r>
      <w:r w:rsidR="00F76080">
        <w:rPr>
          <w:rFonts w:ascii="Arial" w:hAnsi="Arial" w:cs="Arial"/>
          <w:sz w:val="20"/>
          <w:szCs w:val="20"/>
        </w:rPr>
        <w:t xml:space="preserve">the same </w:t>
      </w:r>
      <w:r w:rsidRPr="0096008A">
        <w:rPr>
          <w:rFonts w:ascii="Arial" w:hAnsi="Arial" w:cs="Arial"/>
          <w:sz w:val="20"/>
          <w:szCs w:val="20"/>
        </w:rPr>
        <w:t xml:space="preserve">number of waivers which </w:t>
      </w:r>
      <w:r w:rsidR="00F76080">
        <w:rPr>
          <w:rFonts w:ascii="Arial" w:hAnsi="Arial" w:cs="Arial"/>
          <w:sz w:val="20"/>
          <w:szCs w:val="20"/>
        </w:rPr>
        <w:t xml:space="preserve">they can </w:t>
      </w:r>
      <w:r w:rsidR="002E46EE">
        <w:rPr>
          <w:rFonts w:ascii="Arial" w:hAnsi="Arial" w:cs="Arial"/>
          <w:sz w:val="20"/>
          <w:szCs w:val="20"/>
        </w:rPr>
        <w:t>exercise</w:t>
      </w:r>
      <w:r w:rsidR="00F76080">
        <w:rPr>
          <w:rFonts w:ascii="Arial" w:hAnsi="Arial" w:cs="Arial"/>
          <w:sz w:val="20"/>
          <w:szCs w:val="20"/>
        </w:rPr>
        <w:t xml:space="preserve"> to </w:t>
      </w:r>
      <w:r w:rsidRPr="0096008A">
        <w:rPr>
          <w:rFonts w:ascii="Arial" w:hAnsi="Arial" w:cs="Arial"/>
          <w:sz w:val="20"/>
          <w:szCs w:val="20"/>
        </w:rPr>
        <w:t xml:space="preserve">exempt them from the reduction of </w:t>
      </w:r>
      <w:r w:rsidR="002E46EE">
        <w:rPr>
          <w:rFonts w:ascii="Arial" w:hAnsi="Arial" w:cs="Arial"/>
          <w:sz w:val="20"/>
          <w:szCs w:val="20"/>
        </w:rPr>
        <w:t xml:space="preserve">their </w:t>
      </w:r>
      <w:r w:rsidRPr="0096008A">
        <w:rPr>
          <w:rFonts w:ascii="Arial" w:hAnsi="Arial" w:cs="Arial"/>
          <w:sz w:val="20"/>
          <w:szCs w:val="20"/>
        </w:rPr>
        <w:t>eligibility</w:t>
      </w:r>
      <w:r w:rsidR="002E46EE">
        <w:rPr>
          <w:rFonts w:ascii="Arial" w:hAnsi="Arial" w:cs="Arial"/>
          <w:sz w:val="20"/>
          <w:szCs w:val="20"/>
        </w:rPr>
        <w:t xml:space="preserve"> points</w:t>
      </w:r>
      <w:r w:rsidR="0096008A">
        <w:rPr>
          <w:rFonts w:ascii="Arial" w:hAnsi="Arial" w:cs="Arial"/>
          <w:sz w:val="20"/>
          <w:szCs w:val="20"/>
        </w:rPr>
        <w:t>.</w:t>
      </w:r>
      <w:r w:rsidRPr="0096008A">
        <w:rPr>
          <w:rFonts w:ascii="Arial" w:hAnsi="Arial" w:cs="Arial"/>
          <w:sz w:val="20"/>
          <w:szCs w:val="20"/>
        </w:rPr>
        <w:t xml:space="preserve"> The number of waivers is set by the auction manager after applications close, and registered applicants will be advised </w:t>
      </w:r>
      <w:r w:rsidR="0096008A">
        <w:rPr>
          <w:rFonts w:ascii="Arial" w:hAnsi="Arial" w:cs="Arial"/>
          <w:sz w:val="20"/>
          <w:szCs w:val="20"/>
        </w:rPr>
        <w:t xml:space="preserve">of the number of waivers </w:t>
      </w:r>
      <w:r w:rsidR="00D60FB5">
        <w:rPr>
          <w:rFonts w:ascii="Arial" w:hAnsi="Arial" w:cs="Arial"/>
          <w:sz w:val="20"/>
          <w:szCs w:val="20"/>
        </w:rPr>
        <w:t>available</w:t>
      </w:r>
      <w:r w:rsidRPr="0096008A">
        <w:rPr>
          <w:rFonts w:ascii="Arial" w:hAnsi="Arial" w:cs="Arial"/>
          <w:sz w:val="20"/>
          <w:szCs w:val="20"/>
        </w:rPr>
        <w:t>.</w:t>
      </w:r>
    </w:p>
    <w:p w14:paraId="3D0D15B5" w14:textId="77777777" w:rsidR="0096008A" w:rsidRDefault="0096008A" w:rsidP="0096008A">
      <w:pPr>
        <w:autoSpaceDE w:val="0"/>
        <w:autoSpaceDN w:val="0"/>
        <w:adjustRightInd w:val="0"/>
        <w:rPr>
          <w:rFonts w:ascii="Arial" w:hAnsi="Arial" w:cs="Arial"/>
          <w:sz w:val="20"/>
          <w:szCs w:val="20"/>
        </w:rPr>
      </w:pPr>
    </w:p>
    <w:p w14:paraId="3A069BF1" w14:textId="73E16EED" w:rsidR="0096008A" w:rsidRDefault="007C1D0B" w:rsidP="0096008A">
      <w:pPr>
        <w:autoSpaceDE w:val="0"/>
        <w:autoSpaceDN w:val="0"/>
        <w:adjustRightInd w:val="0"/>
        <w:rPr>
          <w:rFonts w:ascii="Arial" w:hAnsi="Arial" w:cs="Arial"/>
          <w:sz w:val="20"/>
          <w:szCs w:val="20"/>
        </w:rPr>
      </w:pPr>
      <w:r>
        <w:rPr>
          <w:rFonts w:ascii="Arial" w:hAnsi="Arial" w:cs="Arial"/>
          <w:sz w:val="20"/>
          <w:szCs w:val="20"/>
        </w:rPr>
        <w:t>Bidders</w:t>
      </w:r>
      <w:r w:rsidR="0096008A" w:rsidRPr="0096008A">
        <w:rPr>
          <w:rFonts w:ascii="Arial" w:hAnsi="Arial" w:cs="Arial"/>
          <w:sz w:val="20"/>
          <w:szCs w:val="20"/>
        </w:rPr>
        <w:t xml:space="preserve"> can either:</w:t>
      </w:r>
    </w:p>
    <w:p w14:paraId="55819840" w14:textId="2A69701D" w:rsidR="0096008A" w:rsidRPr="00FA1349" w:rsidRDefault="0096008A" w:rsidP="006C6607">
      <w:pPr>
        <w:pStyle w:val="ListParagraph"/>
        <w:numPr>
          <w:ilvl w:val="0"/>
          <w:numId w:val="33"/>
        </w:numPr>
        <w:autoSpaceDE w:val="0"/>
        <w:autoSpaceDN w:val="0"/>
        <w:adjustRightInd w:val="0"/>
        <w:rPr>
          <w:rFonts w:ascii="Arial" w:hAnsi="Arial" w:cs="Arial"/>
          <w:bCs/>
          <w:sz w:val="20"/>
          <w:szCs w:val="20"/>
        </w:rPr>
      </w:pPr>
      <w:r w:rsidRPr="00FA1349">
        <w:rPr>
          <w:rFonts w:ascii="Arial" w:hAnsi="Arial" w:cs="Arial"/>
          <w:sz w:val="20"/>
          <w:szCs w:val="20"/>
        </w:rPr>
        <w:t>nominate to exercise a waiver in a round (a ‘pro-active waiver’)</w:t>
      </w:r>
      <w:r w:rsidR="007C1D0B">
        <w:rPr>
          <w:rFonts w:ascii="Arial" w:hAnsi="Arial" w:cs="Arial"/>
          <w:sz w:val="20"/>
          <w:szCs w:val="20"/>
        </w:rPr>
        <w:t>;</w:t>
      </w:r>
      <w:r w:rsidRPr="00FA1349">
        <w:rPr>
          <w:rFonts w:ascii="Arial" w:hAnsi="Arial" w:cs="Arial"/>
          <w:sz w:val="20"/>
          <w:szCs w:val="20"/>
        </w:rPr>
        <w:t xml:space="preserve"> </w:t>
      </w:r>
      <w:r w:rsidRPr="00FA1349">
        <w:rPr>
          <w:rFonts w:ascii="Arial" w:hAnsi="Arial" w:cs="Arial"/>
          <w:bCs/>
          <w:sz w:val="20"/>
          <w:szCs w:val="20"/>
        </w:rPr>
        <w:t>or</w:t>
      </w:r>
    </w:p>
    <w:p w14:paraId="67BAA437" w14:textId="77777777" w:rsidR="002E46EE" w:rsidRPr="002E46EE" w:rsidRDefault="00F76080" w:rsidP="006C6607">
      <w:pPr>
        <w:pStyle w:val="ListParagraph"/>
        <w:numPr>
          <w:ilvl w:val="0"/>
          <w:numId w:val="33"/>
        </w:numPr>
        <w:autoSpaceDE w:val="0"/>
        <w:autoSpaceDN w:val="0"/>
        <w:adjustRightInd w:val="0"/>
        <w:rPr>
          <w:rFonts w:ascii="Arial" w:hAnsi="Arial" w:cs="Arial"/>
          <w:bCs/>
          <w:sz w:val="20"/>
          <w:szCs w:val="20"/>
        </w:rPr>
      </w:pPr>
      <w:r>
        <w:rPr>
          <w:rFonts w:ascii="Arial" w:hAnsi="Arial" w:cs="Arial"/>
          <w:sz w:val="20"/>
          <w:szCs w:val="20"/>
        </w:rPr>
        <w:t xml:space="preserve">allow </w:t>
      </w:r>
      <w:r w:rsidR="0096008A" w:rsidRPr="00FA1349">
        <w:rPr>
          <w:rFonts w:ascii="Arial" w:hAnsi="Arial" w:cs="Arial"/>
          <w:sz w:val="20"/>
          <w:szCs w:val="20"/>
        </w:rPr>
        <w:t xml:space="preserve">the auction manager </w:t>
      </w:r>
      <w:r>
        <w:rPr>
          <w:rFonts w:ascii="Arial" w:hAnsi="Arial" w:cs="Arial"/>
          <w:sz w:val="20"/>
          <w:szCs w:val="20"/>
        </w:rPr>
        <w:t xml:space="preserve">to </w:t>
      </w:r>
      <w:r w:rsidR="0096008A" w:rsidRPr="00FA1349">
        <w:rPr>
          <w:rFonts w:ascii="Arial" w:hAnsi="Arial" w:cs="Arial"/>
          <w:sz w:val="20"/>
          <w:szCs w:val="20"/>
        </w:rPr>
        <w:t>automatically apply one of their waivers (an ‘automatic waiver’)</w:t>
      </w:r>
      <w:r w:rsidR="002E46EE">
        <w:rPr>
          <w:rFonts w:ascii="Arial" w:hAnsi="Arial" w:cs="Arial"/>
          <w:sz w:val="20"/>
          <w:szCs w:val="20"/>
        </w:rPr>
        <w:t>.</w:t>
      </w:r>
    </w:p>
    <w:p w14:paraId="7E3AD16E" w14:textId="77777777" w:rsidR="0096008A" w:rsidRPr="006C6607" w:rsidRDefault="002E46EE" w:rsidP="006C6607">
      <w:pPr>
        <w:autoSpaceDE w:val="0"/>
        <w:autoSpaceDN w:val="0"/>
        <w:adjustRightInd w:val="0"/>
        <w:rPr>
          <w:rFonts w:ascii="Arial" w:hAnsi="Arial" w:cs="Arial"/>
          <w:bCs/>
          <w:sz w:val="20"/>
          <w:szCs w:val="20"/>
        </w:rPr>
      </w:pPr>
      <w:r>
        <w:rPr>
          <w:rFonts w:ascii="Arial" w:hAnsi="Arial" w:cs="Arial"/>
          <w:sz w:val="20"/>
          <w:szCs w:val="20"/>
        </w:rPr>
        <w:t>R</w:t>
      </w:r>
      <w:r w:rsidR="0096008A" w:rsidRPr="006C6607">
        <w:rPr>
          <w:rFonts w:ascii="Arial" w:hAnsi="Arial" w:cs="Arial"/>
          <w:sz w:val="20"/>
          <w:szCs w:val="20"/>
        </w:rPr>
        <w:t>ather than reduce eligibility</w:t>
      </w:r>
      <w:r>
        <w:rPr>
          <w:rFonts w:ascii="Arial" w:hAnsi="Arial" w:cs="Arial"/>
          <w:sz w:val="20"/>
          <w:szCs w:val="20"/>
        </w:rPr>
        <w:t>,</w:t>
      </w:r>
      <w:r w:rsidR="00F76080" w:rsidRPr="006C6607">
        <w:rPr>
          <w:rFonts w:ascii="Arial" w:hAnsi="Arial" w:cs="Arial"/>
          <w:sz w:val="20"/>
          <w:szCs w:val="20"/>
        </w:rPr>
        <w:t xml:space="preserve"> an ‘automatic waiver’ will occur unless </w:t>
      </w:r>
      <w:r w:rsidR="0096008A" w:rsidRPr="006C6607">
        <w:rPr>
          <w:rFonts w:ascii="Arial" w:hAnsi="Arial" w:cs="Arial"/>
          <w:sz w:val="20"/>
          <w:szCs w:val="20"/>
        </w:rPr>
        <w:t xml:space="preserve">the applicant asks the auction manager </w:t>
      </w:r>
      <w:r w:rsidR="0096008A" w:rsidRPr="006C6607">
        <w:rPr>
          <w:rFonts w:ascii="Arial" w:hAnsi="Arial" w:cs="Arial"/>
          <w:bCs/>
          <w:sz w:val="20"/>
          <w:szCs w:val="20"/>
        </w:rPr>
        <w:t xml:space="preserve">not </w:t>
      </w:r>
      <w:r w:rsidR="0096008A" w:rsidRPr="006C6607">
        <w:rPr>
          <w:rFonts w:ascii="Arial" w:hAnsi="Arial" w:cs="Arial"/>
          <w:sz w:val="20"/>
          <w:szCs w:val="20"/>
        </w:rPr>
        <w:t xml:space="preserve">to do </w:t>
      </w:r>
      <w:r w:rsidR="007C1D0B">
        <w:rPr>
          <w:rFonts w:ascii="Arial" w:hAnsi="Arial" w:cs="Arial"/>
          <w:sz w:val="20"/>
          <w:szCs w:val="20"/>
        </w:rPr>
        <w:t xml:space="preserve">so </w:t>
      </w:r>
      <w:r w:rsidR="0096008A" w:rsidRPr="006C6607">
        <w:rPr>
          <w:rFonts w:ascii="Arial" w:hAnsi="Arial" w:cs="Arial"/>
          <w:sz w:val="20"/>
          <w:szCs w:val="20"/>
        </w:rPr>
        <w:t>(</w:t>
      </w:r>
      <w:r>
        <w:rPr>
          <w:rFonts w:ascii="Arial" w:hAnsi="Arial" w:cs="Arial"/>
          <w:sz w:val="20"/>
          <w:szCs w:val="20"/>
        </w:rPr>
        <w:t xml:space="preserve">this is </w:t>
      </w:r>
      <w:r w:rsidR="0096008A" w:rsidRPr="006C6607">
        <w:rPr>
          <w:rFonts w:ascii="Arial" w:hAnsi="Arial" w:cs="Arial"/>
          <w:sz w:val="20"/>
          <w:szCs w:val="20"/>
        </w:rPr>
        <w:t>an ‘automatic waiver override’).</w:t>
      </w:r>
    </w:p>
    <w:p w14:paraId="3181680A" w14:textId="77777777" w:rsidR="0096008A" w:rsidRDefault="0096008A" w:rsidP="0096008A">
      <w:pPr>
        <w:pStyle w:val="R2"/>
        <w:ind w:left="0" w:firstLine="0"/>
        <w:rPr>
          <w:rFonts w:ascii="Arial" w:hAnsi="Arial" w:cs="Arial"/>
          <w:sz w:val="20"/>
        </w:rPr>
      </w:pPr>
      <w:r w:rsidRPr="009542B0">
        <w:rPr>
          <w:rFonts w:ascii="Arial" w:hAnsi="Arial" w:cs="Arial"/>
          <w:sz w:val="20"/>
        </w:rPr>
        <w:t>A bidder</w:t>
      </w:r>
      <w:r>
        <w:rPr>
          <w:rFonts w:ascii="Arial" w:hAnsi="Arial" w:cs="Arial"/>
          <w:sz w:val="20"/>
        </w:rPr>
        <w:t>,</w:t>
      </w:r>
      <w:r w:rsidRPr="009542B0">
        <w:rPr>
          <w:rFonts w:ascii="Arial" w:hAnsi="Arial" w:cs="Arial"/>
          <w:sz w:val="20"/>
        </w:rPr>
        <w:t xml:space="preserve"> who </w:t>
      </w:r>
      <w:r>
        <w:rPr>
          <w:rFonts w:ascii="Arial" w:hAnsi="Arial" w:cs="Arial"/>
          <w:sz w:val="20"/>
        </w:rPr>
        <w:t xml:space="preserve">uses a </w:t>
      </w:r>
      <w:r w:rsidRPr="009542B0">
        <w:rPr>
          <w:rFonts w:ascii="Arial" w:hAnsi="Arial" w:cs="Arial"/>
          <w:sz w:val="20"/>
        </w:rPr>
        <w:t xml:space="preserve">waiver in a round </w:t>
      </w:r>
      <w:r w:rsidR="00F76080">
        <w:rPr>
          <w:rFonts w:ascii="Arial" w:hAnsi="Arial" w:cs="Arial"/>
          <w:sz w:val="20"/>
        </w:rPr>
        <w:t>either through a pro-active waiver or an automatic waiver</w:t>
      </w:r>
      <w:r>
        <w:rPr>
          <w:rFonts w:ascii="Arial" w:hAnsi="Arial" w:cs="Arial"/>
          <w:sz w:val="20"/>
        </w:rPr>
        <w:t xml:space="preserve">, </w:t>
      </w:r>
      <w:r w:rsidRPr="009542B0">
        <w:rPr>
          <w:rFonts w:ascii="Arial" w:hAnsi="Arial" w:cs="Arial"/>
          <w:sz w:val="20"/>
        </w:rPr>
        <w:t>does not lose eligibility points in that round.</w:t>
      </w:r>
      <w:r>
        <w:rPr>
          <w:rFonts w:ascii="Arial" w:hAnsi="Arial" w:cs="Arial"/>
          <w:sz w:val="20"/>
        </w:rPr>
        <w:t xml:space="preserve"> </w:t>
      </w:r>
    </w:p>
    <w:p w14:paraId="4C8123DE" w14:textId="77777777" w:rsidR="00236FA7" w:rsidRDefault="00236FA7" w:rsidP="00F32E8B">
      <w:pPr>
        <w:pStyle w:val="R2"/>
        <w:ind w:left="0" w:firstLine="0"/>
        <w:rPr>
          <w:rFonts w:ascii="Arial" w:hAnsi="Arial" w:cs="Arial"/>
          <w:sz w:val="20"/>
        </w:rPr>
      </w:pPr>
      <w:r w:rsidRPr="009542B0">
        <w:rPr>
          <w:rFonts w:ascii="Arial" w:hAnsi="Arial" w:cs="Arial"/>
          <w:sz w:val="20"/>
        </w:rPr>
        <w:t>A bidder may continue to exercise waivers until the bidder has used all its waivers fixed by the auction manager under</w:t>
      </w:r>
      <w:r w:rsidR="009108FC">
        <w:rPr>
          <w:rFonts w:ascii="Arial" w:hAnsi="Arial" w:cs="Arial"/>
          <w:sz w:val="20"/>
        </w:rPr>
        <w:t xml:space="preserve"> </w:t>
      </w:r>
      <w:r w:rsidR="002E46EE">
        <w:rPr>
          <w:rFonts w:ascii="Arial" w:hAnsi="Arial" w:cs="Arial"/>
          <w:sz w:val="20"/>
        </w:rPr>
        <w:t>paragraph</w:t>
      </w:r>
      <w:r w:rsidR="009108FC">
        <w:rPr>
          <w:rFonts w:ascii="Arial" w:hAnsi="Arial" w:cs="Arial"/>
          <w:sz w:val="20"/>
        </w:rPr>
        <w:t xml:space="preserve"> </w:t>
      </w:r>
      <w:r w:rsidRPr="009542B0">
        <w:rPr>
          <w:rFonts w:ascii="Arial" w:hAnsi="Arial" w:cs="Arial"/>
          <w:sz w:val="20"/>
        </w:rPr>
        <w:t>4.1</w:t>
      </w:r>
      <w:r w:rsidR="001415A8">
        <w:rPr>
          <w:rFonts w:ascii="Arial" w:hAnsi="Arial" w:cs="Arial"/>
          <w:sz w:val="20"/>
        </w:rPr>
        <w:t>4</w:t>
      </w:r>
      <w:r w:rsidRPr="009542B0">
        <w:rPr>
          <w:rFonts w:ascii="Arial" w:hAnsi="Arial" w:cs="Arial"/>
          <w:sz w:val="20"/>
        </w:rPr>
        <w:t>(c)</w:t>
      </w:r>
      <w:r w:rsidR="002E46EE">
        <w:rPr>
          <w:rFonts w:ascii="Arial" w:hAnsi="Arial" w:cs="Arial"/>
          <w:sz w:val="20"/>
        </w:rPr>
        <w:t xml:space="preserve"> of the Determination</w:t>
      </w:r>
      <w:r w:rsidRPr="009542B0">
        <w:rPr>
          <w:rFonts w:ascii="Arial" w:hAnsi="Arial" w:cs="Arial"/>
          <w:sz w:val="20"/>
        </w:rPr>
        <w:t>.</w:t>
      </w:r>
    </w:p>
    <w:p w14:paraId="1149EC7E" w14:textId="77777777" w:rsidR="001A0B2A" w:rsidRDefault="001A0B2A" w:rsidP="001A0B2A">
      <w:pPr>
        <w:autoSpaceDE w:val="0"/>
        <w:autoSpaceDN w:val="0"/>
        <w:adjustRightInd w:val="0"/>
        <w:rPr>
          <w:rFonts w:ascii="Arial" w:hAnsi="Arial" w:cs="Arial"/>
          <w:sz w:val="20"/>
          <w:szCs w:val="20"/>
        </w:rPr>
      </w:pPr>
    </w:p>
    <w:p w14:paraId="631E7173" w14:textId="4AB344E2" w:rsidR="00924568" w:rsidRDefault="001A0B2A" w:rsidP="002707B2">
      <w:pPr>
        <w:autoSpaceDE w:val="0"/>
        <w:autoSpaceDN w:val="0"/>
        <w:adjustRightInd w:val="0"/>
        <w:rPr>
          <w:rFonts w:ascii="Arial" w:hAnsi="Arial" w:cs="Arial"/>
          <w:sz w:val="20"/>
          <w:szCs w:val="20"/>
        </w:rPr>
      </w:pPr>
      <w:r w:rsidRPr="0096008A">
        <w:rPr>
          <w:rFonts w:ascii="Arial" w:hAnsi="Arial" w:cs="Arial"/>
          <w:sz w:val="20"/>
          <w:szCs w:val="20"/>
        </w:rPr>
        <w:t>A difference between a pro-active waiver and an automatic waiver is that a bidder can</w:t>
      </w:r>
      <w:r w:rsidR="007C1D0B">
        <w:rPr>
          <w:rFonts w:ascii="Arial" w:hAnsi="Arial" w:cs="Arial"/>
          <w:sz w:val="20"/>
          <w:szCs w:val="20"/>
        </w:rPr>
        <w:t xml:space="preserve"> </w:t>
      </w:r>
      <w:r w:rsidRPr="0096008A">
        <w:rPr>
          <w:rFonts w:ascii="Arial" w:hAnsi="Arial" w:cs="Arial"/>
          <w:sz w:val="20"/>
          <w:szCs w:val="20"/>
        </w:rPr>
        <w:t xml:space="preserve">use a pro-active waiver to keep the auction open for </w:t>
      </w:r>
      <w:r w:rsidR="007C1D0B">
        <w:rPr>
          <w:rFonts w:ascii="Arial" w:hAnsi="Arial" w:cs="Arial"/>
          <w:sz w:val="20"/>
          <w:szCs w:val="20"/>
        </w:rPr>
        <w:t>one</w:t>
      </w:r>
      <w:r w:rsidRPr="0096008A">
        <w:rPr>
          <w:rFonts w:ascii="Arial" w:hAnsi="Arial" w:cs="Arial"/>
          <w:sz w:val="20"/>
          <w:szCs w:val="20"/>
        </w:rPr>
        <w:t xml:space="preserve"> more round if no new</w:t>
      </w:r>
      <w:r>
        <w:rPr>
          <w:rFonts w:ascii="Arial" w:hAnsi="Arial" w:cs="Arial"/>
          <w:sz w:val="20"/>
          <w:szCs w:val="20"/>
        </w:rPr>
        <w:t xml:space="preserve"> </w:t>
      </w:r>
      <w:r w:rsidRPr="0096008A">
        <w:rPr>
          <w:rFonts w:ascii="Arial" w:hAnsi="Arial" w:cs="Arial"/>
          <w:sz w:val="20"/>
          <w:szCs w:val="20"/>
        </w:rPr>
        <w:t xml:space="preserve">bids </w:t>
      </w:r>
      <w:r w:rsidR="00D60FB5">
        <w:rPr>
          <w:rFonts w:ascii="Arial" w:hAnsi="Arial" w:cs="Arial"/>
          <w:sz w:val="20"/>
          <w:szCs w:val="20"/>
        </w:rPr>
        <w:t>have been</w:t>
      </w:r>
      <w:r w:rsidR="007C1D0B">
        <w:rPr>
          <w:rFonts w:ascii="Arial" w:hAnsi="Arial" w:cs="Arial"/>
          <w:sz w:val="20"/>
          <w:szCs w:val="20"/>
        </w:rPr>
        <w:t xml:space="preserve"> </w:t>
      </w:r>
      <w:r w:rsidRPr="0096008A">
        <w:rPr>
          <w:rFonts w:ascii="Arial" w:hAnsi="Arial" w:cs="Arial"/>
          <w:sz w:val="20"/>
          <w:szCs w:val="20"/>
        </w:rPr>
        <w:t>made</w:t>
      </w:r>
      <w:r w:rsidR="001415A8">
        <w:rPr>
          <w:rFonts w:ascii="Arial" w:hAnsi="Arial" w:cs="Arial"/>
          <w:sz w:val="20"/>
          <w:szCs w:val="20"/>
        </w:rPr>
        <w:t>.</w:t>
      </w:r>
      <w:r w:rsidR="00692E38">
        <w:rPr>
          <w:rFonts w:ascii="Arial" w:hAnsi="Arial" w:cs="Arial"/>
          <w:sz w:val="20"/>
          <w:szCs w:val="20"/>
        </w:rPr>
        <w:t xml:space="preserve">  Note a bidder can only use a pr</w:t>
      </w:r>
      <w:r w:rsidR="00726E8E">
        <w:rPr>
          <w:rFonts w:ascii="Arial" w:hAnsi="Arial" w:cs="Arial"/>
          <w:sz w:val="20"/>
          <w:szCs w:val="20"/>
        </w:rPr>
        <w:t>o</w:t>
      </w:r>
      <w:r w:rsidR="00692E38">
        <w:rPr>
          <w:rFonts w:ascii="Arial" w:hAnsi="Arial" w:cs="Arial"/>
          <w:sz w:val="20"/>
          <w:szCs w:val="20"/>
        </w:rPr>
        <w:t>-active waiver where the bidder has not placed a bid</w:t>
      </w:r>
      <w:r w:rsidR="00B76EA6">
        <w:rPr>
          <w:rFonts w:ascii="Arial" w:hAnsi="Arial" w:cs="Arial"/>
          <w:sz w:val="20"/>
          <w:szCs w:val="20"/>
        </w:rPr>
        <w:t xml:space="preserve"> and has not withdrawn a bid</w:t>
      </w:r>
      <w:r w:rsidR="00692E38">
        <w:rPr>
          <w:rFonts w:ascii="Arial" w:hAnsi="Arial" w:cs="Arial"/>
          <w:sz w:val="20"/>
          <w:szCs w:val="20"/>
        </w:rPr>
        <w:t xml:space="preserve"> in a round.</w:t>
      </w:r>
      <w:r w:rsidR="00936E6B">
        <w:rPr>
          <w:rFonts w:ascii="Arial" w:hAnsi="Arial" w:cs="Arial"/>
          <w:sz w:val="20"/>
          <w:szCs w:val="20"/>
        </w:rPr>
        <w:t xml:space="preserve"> </w:t>
      </w:r>
    </w:p>
    <w:p w14:paraId="21F33D4B" w14:textId="77777777" w:rsidR="00924568" w:rsidRDefault="00924568" w:rsidP="002707B2">
      <w:pPr>
        <w:autoSpaceDE w:val="0"/>
        <w:autoSpaceDN w:val="0"/>
        <w:adjustRightInd w:val="0"/>
        <w:rPr>
          <w:rFonts w:ascii="Arial" w:hAnsi="Arial" w:cs="Arial"/>
          <w:sz w:val="20"/>
          <w:szCs w:val="20"/>
        </w:rPr>
      </w:pPr>
    </w:p>
    <w:p w14:paraId="0B832B09" w14:textId="54760662" w:rsidR="00726E8E" w:rsidRPr="00B74EF9" w:rsidRDefault="00726E8E" w:rsidP="002707B2">
      <w:pPr>
        <w:autoSpaceDE w:val="0"/>
        <w:autoSpaceDN w:val="0"/>
        <w:adjustRightInd w:val="0"/>
        <w:rPr>
          <w:rFonts w:ascii="Arial" w:hAnsi="Arial" w:cs="Arial"/>
          <w:sz w:val="20"/>
          <w:szCs w:val="20"/>
        </w:rPr>
      </w:pPr>
      <w:r w:rsidRPr="00B74EF9">
        <w:rPr>
          <w:rFonts w:ascii="Arial" w:hAnsi="Arial" w:cs="Arial"/>
          <w:sz w:val="20"/>
          <w:szCs w:val="20"/>
        </w:rPr>
        <w:t>A round will not be regarded as being within the final 2 consecutive rounds under subclause 19(1) if:</w:t>
      </w:r>
    </w:p>
    <w:p w14:paraId="4216A201" w14:textId="4EDFB7AA" w:rsidR="00726E8E" w:rsidRPr="00B74EF9" w:rsidRDefault="00726E8E" w:rsidP="00924568">
      <w:pPr>
        <w:pStyle w:val="P1"/>
        <w:tabs>
          <w:tab w:val="clear" w:pos="1191"/>
          <w:tab w:val="clear" w:pos="1644"/>
        </w:tabs>
        <w:ind w:left="567" w:hanging="567"/>
        <w:rPr>
          <w:rFonts w:ascii="Arial" w:hAnsi="Arial" w:cs="Arial"/>
          <w:sz w:val="20"/>
        </w:rPr>
      </w:pPr>
      <w:r w:rsidRPr="00B74EF9">
        <w:rPr>
          <w:rFonts w:ascii="Arial" w:hAnsi="Arial" w:cs="Arial"/>
          <w:sz w:val="20"/>
        </w:rPr>
        <w:t>(a)</w:t>
      </w:r>
      <w:r w:rsidRPr="00B74EF9">
        <w:rPr>
          <w:rFonts w:ascii="Arial" w:hAnsi="Arial" w:cs="Arial"/>
          <w:sz w:val="20"/>
        </w:rPr>
        <w:tab/>
        <w:t>there are no bids in the round (and, as a result, the round would, but for subclause</w:t>
      </w:r>
      <w:r w:rsidR="00924568">
        <w:rPr>
          <w:rFonts w:ascii="Arial" w:hAnsi="Arial" w:cs="Arial"/>
          <w:sz w:val="20"/>
        </w:rPr>
        <w:t xml:space="preserve"> 15(6)</w:t>
      </w:r>
      <w:r w:rsidRPr="00B74EF9">
        <w:rPr>
          <w:rFonts w:ascii="Arial" w:hAnsi="Arial" w:cs="Arial"/>
          <w:sz w:val="20"/>
        </w:rPr>
        <w:t>, be regarded as being within the final 2 consecutive rounds); and</w:t>
      </w:r>
    </w:p>
    <w:p w14:paraId="7951E0DE" w14:textId="7795DB55" w:rsidR="00726E8E" w:rsidRPr="003056BC" w:rsidRDefault="00726E8E" w:rsidP="00924568">
      <w:pPr>
        <w:autoSpaceDE w:val="0"/>
        <w:autoSpaceDN w:val="0"/>
        <w:adjustRightInd w:val="0"/>
        <w:ind w:left="567" w:hanging="567"/>
        <w:rPr>
          <w:rFonts w:cs="Arial"/>
          <w:sz w:val="20"/>
          <w:szCs w:val="20"/>
        </w:rPr>
      </w:pPr>
      <w:r w:rsidRPr="00B74EF9">
        <w:rPr>
          <w:rFonts w:ascii="Arial" w:hAnsi="Arial" w:cs="Arial"/>
          <w:sz w:val="20"/>
          <w:szCs w:val="20"/>
        </w:rPr>
        <w:t>(b)</w:t>
      </w:r>
      <w:r w:rsidRPr="00B74EF9">
        <w:rPr>
          <w:rFonts w:ascii="Arial" w:hAnsi="Arial" w:cs="Arial"/>
          <w:sz w:val="20"/>
          <w:szCs w:val="20"/>
        </w:rPr>
        <w:tab/>
        <w:t>a bidder exercises a waiver in the round</w:t>
      </w:r>
      <w:r w:rsidR="00924568">
        <w:rPr>
          <w:rFonts w:ascii="Arial" w:hAnsi="Arial" w:cs="Arial"/>
          <w:sz w:val="20"/>
          <w:szCs w:val="20"/>
        </w:rPr>
        <w:t>.</w:t>
      </w:r>
    </w:p>
    <w:p w14:paraId="552CA30D" w14:textId="77777777" w:rsidR="00726E8E" w:rsidRDefault="00726E8E" w:rsidP="00B74EF9">
      <w:pPr>
        <w:autoSpaceDE w:val="0"/>
        <w:autoSpaceDN w:val="0"/>
        <w:adjustRightInd w:val="0"/>
        <w:rPr>
          <w:rFonts w:cs="Arial"/>
          <w:sz w:val="20"/>
          <w:szCs w:val="20"/>
        </w:rPr>
      </w:pPr>
    </w:p>
    <w:p w14:paraId="2C78140C" w14:textId="77777777" w:rsidR="00726E8E" w:rsidRPr="009542B0" w:rsidRDefault="00726E8E" w:rsidP="00726E8E">
      <w:pPr>
        <w:pStyle w:val="HR"/>
        <w:rPr>
          <w:rFonts w:cs="Arial"/>
          <w:sz w:val="20"/>
          <w:szCs w:val="20"/>
        </w:rPr>
      </w:pPr>
      <w:r>
        <w:rPr>
          <w:rStyle w:val="CharSectno"/>
          <w:rFonts w:cs="Arial"/>
          <w:sz w:val="20"/>
          <w:szCs w:val="20"/>
        </w:rPr>
        <w:t>Clause 16</w:t>
      </w:r>
      <w:r>
        <w:rPr>
          <w:rStyle w:val="CharSectno"/>
          <w:rFonts w:cs="Arial"/>
          <w:sz w:val="20"/>
          <w:szCs w:val="20"/>
        </w:rPr>
        <w:tab/>
      </w:r>
      <w:r w:rsidRPr="009542B0">
        <w:rPr>
          <w:rFonts w:cs="Arial"/>
          <w:sz w:val="20"/>
          <w:szCs w:val="20"/>
        </w:rPr>
        <w:tab/>
      </w:r>
      <w:r>
        <w:rPr>
          <w:rFonts w:cs="Arial"/>
          <w:sz w:val="20"/>
          <w:szCs w:val="20"/>
        </w:rPr>
        <w:t>Withdrawal of bids</w:t>
      </w:r>
    </w:p>
    <w:p w14:paraId="15A5E089" w14:textId="77777777" w:rsidR="001A0B2A" w:rsidRDefault="001A0B2A" w:rsidP="0032195C">
      <w:pPr>
        <w:autoSpaceDE w:val="0"/>
        <w:autoSpaceDN w:val="0"/>
        <w:adjustRightInd w:val="0"/>
        <w:spacing w:before="180" w:line="260" w:lineRule="exact"/>
        <w:rPr>
          <w:rFonts w:ascii="Arial" w:hAnsi="Arial" w:cs="Arial"/>
          <w:sz w:val="20"/>
          <w:szCs w:val="20"/>
        </w:rPr>
      </w:pPr>
      <w:r>
        <w:rPr>
          <w:rFonts w:ascii="Arial" w:hAnsi="Arial" w:cs="Arial"/>
          <w:sz w:val="20"/>
          <w:szCs w:val="20"/>
        </w:rPr>
        <w:t>This clause sets out how a bidder may withdraw a bid during a</w:t>
      </w:r>
      <w:r w:rsidR="002E46EE">
        <w:rPr>
          <w:rFonts w:ascii="Arial" w:hAnsi="Arial" w:cs="Arial"/>
          <w:sz w:val="20"/>
          <w:szCs w:val="20"/>
        </w:rPr>
        <w:t xml:space="preserve"> round of the</w:t>
      </w:r>
      <w:r>
        <w:rPr>
          <w:rFonts w:ascii="Arial" w:hAnsi="Arial" w:cs="Arial"/>
          <w:sz w:val="20"/>
          <w:szCs w:val="20"/>
        </w:rPr>
        <w:t xml:space="preserve"> auction.</w:t>
      </w:r>
    </w:p>
    <w:p w14:paraId="17A3A8E3" w14:textId="77777777" w:rsidR="00EE56E8" w:rsidRDefault="001A0B2A" w:rsidP="0032195C">
      <w:pPr>
        <w:pStyle w:val="R1"/>
        <w:spacing w:before="180"/>
        <w:ind w:left="0" w:firstLine="0"/>
        <w:rPr>
          <w:rFonts w:ascii="Arial" w:hAnsi="Arial" w:cs="Arial"/>
          <w:sz w:val="20"/>
          <w:szCs w:val="20"/>
        </w:rPr>
      </w:pPr>
      <w:r>
        <w:rPr>
          <w:rFonts w:ascii="Arial" w:hAnsi="Arial" w:cs="Arial"/>
          <w:sz w:val="20"/>
          <w:szCs w:val="20"/>
        </w:rPr>
        <w:t xml:space="preserve">The SMRA format </w:t>
      </w:r>
      <w:r w:rsidRPr="001A0B2A">
        <w:rPr>
          <w:rFonts w:ascii="Arial" w:hAnsi="Arial" w:cs="Arial"/>
          <w:sz w:val="20"/>
          <w:szCs w:val="20"/>
        </w:rPr>
        <w:t>allows bidders to change their bidding strategies and the lots they</w:t>
      </w:r>
      <w:r>
        <w:rPr>
          <w:rFonts w:ascii="Arial" w:hAnsi="Arial" w:cs="Arial"/>
          <w:sz w:val="20"/>
          <w:szCs w:val="20"/>
        </w:rPr>
        <w:t xml:space="preserve"> </w:t>
      </w:r>
      <w:r w:rsidRPr="001A0B2A">
        <w:rPr>
          <w:rFonts w:ascii="Arial" w:hAnsi="Arial" w:cs="Arial"/>
          <w:sz w:val="20"/>
          <w:szCs w:val="20"/>
        </w:rPr>
        <w:t xml:space="preserve">hope to win. To do this </w:t>
      </w:r>
      <w:r w:rsidR="002E46EE">
        <w:rPr>
          <w:rFonts w:ascii="Arial" w:hAnsi="Arial" w:cs="Arial"/>
          <w:sz w:val="20"/>
          <w:szCs w:val="20"/>
        </w:rPr>
        <w:t>a bidder</w:t>
      </w:r>
      <w:r w:rsidRPr="001A0B2A">
        <w:rPr>
          <w:rFonts w:ascii="Arial" w:hAnsi="Arial" w:cs="Arial"/>
          <w:sz w:val="20"/>
          <w:szCs w:val="20"/>
        </w:rPr>
        <w:t xml:space="preserve"> may need to withdraw </w:t>
      </w:r>
      <w:r w:rsidR="002E46EE">
        <w:rPr>
          <w:rFonts w:ascii="Arial" w:hAnsi="Arial" w:cs="Arial"/>
          <w:sz w:val="20"/>
          <w:szCs w:val="20"/>
        </w:rPr>
        <w:t>its</w:t>
      </w:r>
      <w:r w:rsidRPr="001A0B2A">
        <w:rPr>
          <w:rFonts w:ascii="Arial" w:hAnsi="Arial" w:cs="Arial"/>
          <w:sz w:val="20"/>
          <w:szCs w:val="20"/>
        </w:rPr>
        <w:t xml:space="preserve"> high bids on some lots</w:t>
      </w:r>
      <w:r>
        <w:rPr>
          <w:rFonts w:ascii="Arial" w:hAnsi="Arial" w:cs="Arial"/>
          <w:sz w:val="20"/>
          <w:szCs w:val="20"/>
        </w:rPr>
        <w:t>.</w:t>
      </w:r>
      <w:r w:rsidRPr="001A0B2A">
        <w:rPr>
          <w:rFonts w:ascii="Arial" w:hAnsi="Arial" w:cs="Arial"/>
          <w:sz w:val="20"/>
          <w:szCs w:val="20"/>
        </w:rPr>
        <w:t xml:space="preserve"> </w:t>
      </w:r>
      <w:r w:rsidR="00EE56E8">
        <w:rPr>
          <w:rFonts w:ascii="Arial" w:hAnsi="Arial" w:cs="Arial"/>
          <w:sz w:val="20"/>
          <w:szCs w:val="20"/>
        </w:rPr>
        <w:t>Therefore, d</w:t>
      </w:r>
      <w:r w:rsidR="00EE56E8" w:rsidRPr="001A0B2A">
        <w:rPr>
          <w:rFonts w:ascii="Arial" w:hAnsi="Arial" w:cs="Arial"/>
          <w:sz w:val="20"/>
          <w:szCs w:val="20"/>
        </w:rPr>
        <w:t xml:space="preserve">uring a round, a bidder may withdraw its bid on a lot from a previous round </w:t>
      </w:r>
      <w:r w:rsidR="00EE56E8">
        <w:rPr>
          <w:rFonts w:ascii="Arial" w:hAnsi="Arial" w:cs="Arial"/>
          <w:sz w:val="20"/>
          <w:szCs w:val="20"/>
        </w:rPr>
        <w:t xml:space="preserve">but </w:t>
      </w:r>
      <w:r w:rsidR="00EE56E8" w:rsidRPr="001A0B2A">
        <w:rPr>
          <w:rFonts w:ascii="Arial" w:hAnsi="Arial" w:cs="Arial"/>
          <w:sz w:val="20"/>
          <w:szCs w:val="20"/>
        </w:rPr>
        <w:t>only if the bid is the high bid on the lot in that round.</w:t>
      </w:r>
    </w:p>
    <w:p w14:paraId="23F73C71" w14:textId="67C55417" w:rsidR="00485CF7" w:rsidRDefault="00485CF7" w:rsidP="0032195C">
      <w:pPr>
        <w:spacing w:before="180" w:line="260" w:lineRule="exact"/>
        <w:rPr>
          <w:rFonts w:ascii="Arial" w:hAnsi="Arial" w:cs="Arial"/>
          <w:sz w:val="20"/>
          <w:szCs w:val="20"/>
        </w:rPr>
      </w:pPr>
      <w:r w:rsidRPr="00485CF7">
        <w:rPr>
          <w:rFonts w:ascii="Arial" w:hAnsi="Arial" w:cs="Arial"/>
          <w:sz w:val="20"/>
          <w:szCs w:val="20"/>
        </w:rPr>
        <w:t>When a high bid is withdrawn, and if no other bidder</w:t>
      </w:r>
      <w:r w:rsidR="001E3031">
        <w:rPr>
          <w:rFonts w:ascii="Arial" w:hAnsi="Arial" w:cs="Arial"/>
          <w:sz w:val="20"/>
          <w:szCs w:val="20"/>
        </w:rPr>
        <w:t>s</w:t>
      </w:r>
      <w:r w:rsidRPr="00485CF7">
        <w:rPr>
          <w:rFonts w:ascii="Arial" w:hAnsi="Arial" w:cs="Arial"/>
          <w:sz w:val="20"/>
          <w:szCs w:val="20"/>
        </w:rPr>
        <w:t xml:space="preserve"> bid on the lot during the round, the lot will be shown in the next results </w:t>
      </w:r>
      <w:r w:rsidR="002E46EE">
        <w:rPr>
          <w:rFonts w:ascii="Arial" w:hAnsi="Arial" w:cs="Arial"/>
          <w:sz w:val="20"/>
          <w:szCs w:val="20"/>
        </w:rPr>
        <w:t>per</w:t>
      </w:r>
      <w:r w:rsidR="00087E8D">
        <w:rPr>
          <w:rFonts w:ascii="Arial" w:hAnsi="Arial" w:cs="Arial"/>
          <w:sz w:val="20"/>
          <w:szCs w:val="20"/>
        </w:rPr>
        <w:t>i</w:t>
      </w:r>
      <w:r w:rsidR="002E46EE">
        <w:rPr>
          <w:rFonts w:ascii="Arial" w:hAnsi="Arial" w:cs="Arial"/>
          <w:sz w:val="20"/>
          <w:szCs w:val="20"/>
        </w:rPr>
        <w:t>od</w:t>
      </w:r>
      <w:r w:rsidR="00087E8D">
        <w:rPr>
          <w:rFonts w:ascii="Arial" w:hAnsi="Arial" w:cs="Arial"/>
          <w:sz w:val="20"/>
          <w:szCs w:val="20"/>
        </w:rPr>
        <w:t xml:space="preserve"> as having</w:t>
      </w:r>
      <w:r w:rsidRPr="00485CF7">
        <w:rPr>
          <w:rFonts w:ascii="Arial" w:hAnsi="Arial" w:cs="Arial"/>
          <w:sz w:val="20"/>
          <w:szCs w:val="20"/>
        </w:rPr>
        <w:t xml:space="preserve"> the next highest bid that </w:t>
      </w:r>
      <w:r w:rsidR="00087E8D">
        <w:rPr>
          <w:rFonts w:ascii="Arial" w:hAnsi="Arial" w:cs="Arial"/>
          <w:sz w:val="20"/>
          <w:szCs w:val="20"/>
        </w:rPr>
        <w:t>was</w:t>
      </w:r>
      <w:r w:rsidRPr="00485CF7">
        <w:rPr>
          <w:rFonts w:ascii="Arial" w:hAnsi="Arial" w:cs="Arial"/>
          <w:sz w:val="20"/>
          <w:szCs w:val="20"/>
        </w:rPr>
        <w:t xml:space="preserve"> bid </w:t>
      </w:r>
      <w:r w:rsidRPr="002707B2">
        <w:rPr>
          <w:rFonts w:ascii="Arial" w:hAnsi="Arial" w:cs="Arial"/>
          <w:sz w:val="20"/>
          <w:szCs w:val="20"/>
        </w:rPr>
        <w:t>by another bidd</w:t>
      </w:r>
      <w:r w:rsidRPr="004D2C6E">
        <w:rPr>
          <w:rFonts w:ascii="Arial" w:hAnsi="Arial" w:cs="Arial"/>
          <w:sz w:val="20"/>
          <w:szCs w:val="20"/>
        </w:rPr>
        <w:t>er</w:t>
      </w:r>
      <w:r w:rsidRPr="00485CF7">
        <w:rPr>
          <w:rFonts w:ascii="Arial" w:hAnsi="Arial" w:cs="Arial"/>
          <w:sz w:val="20"/>
          <w:szCs w:val="20"/>
        </w:rPr>
        <w:t xml:space="preserve"> during the auction (whether the next highest bid was published in the results as a high bid or not). The </w:t>
      </w:r>
      <w:r w:rsidR="004D2C6E">
        <w:rPr>
          <w:rFonts w:ascii="Arial" w:hAnsi="Arial" w:cs="Arial"/>
          <w:sz w:val="20"/>
          <w:szCs w:val="20"/>
        </w:rPr>
        <w:t>bid</w:t>
      </w:r>
      <w:r w:rsidRPr="00485CF7">
        <w:rPr>
          <w:rFonts w:ascii="Arial" w:hAnsi="Arial" w:cs="Arial"/>
          <w:sz w:val="20"/>
          <w:szCs w:val="20"/>
        </w:rPr>
        <w:t xml:space="preserve"> will not be attributed to any registered bidder. </w:t>
      </w:r>
      <w:r w:rsidR="00087E8D">
        <w:rPr>
          <w:rFonts w:ascii="Arial" w:hAnsi="Arial" w:cs="Arial"/>
          <w:sz w:val="20"/>
          <w:szCs w:val="20"/>
        </w:rPr>
        <w:t>Rather</w:t>
      </w:r>
      <w:r w:rsidRPr="00485CF7">
        <w:rPr>
          <w:rFonts w:ascii="Arial" w:hAnsi="Arial" w:cs="Arial"/>
          <w:sz w:val="20"/>
          <w:szCs w:val="20"/>
        </w:rPr>
        <w:t xml:space="preserve">, </w:t>
      </w:r>
      <w:r w:rsidR="001E3031">
        <w:rPr>
          <w:rFonts w:ascii="Arial" w:hAnsi="Arial" w:cs="Arial"/>
          <w:sz w:val="20"/>
          <w:szCs w:val="20"/>
        </w:rPr>
        <w:t>it will be attributed to the ACMA</w:t>
      </w:r>
      <w:r w:rsidRPr="00485CF7">
        <w:rPr>
          <w:rFonts w:ascii="Arial" w:hAnsi="Arial" w:cs="Arial"/>
          <w:sz w:val="20"/>
          <w:szCs w:val="20"/>
        </w:rPr>
        <w:t>. The ACMA will not apply a minimum bid increment to the amount for that lot in the next round. Instead, the minimum bid on the lot will be set equal to the previous second highest bid</w:t>
      </w:r>
      <w:r w:rsidR="00924568">
        <w:rPr>
          <w:rFonts w:ascii="Arial" w:hAnsi="Arial" w:cs="Arial"/>
          <w:sz w:val="20"/>
          <w:szCs w:val="20"/>
        </w:rPr>
        <w:t xml:space="preserve"> made by another bidder</w:t>
      </w:r>
      <w:r w:rsidRPr="00485CF7">
        <w:rPr>
          <w:rFonts w:ascii="Arial" w:hAnsi="Arial" w:cs="Arial"/>
          <w:sz w:val="20"/>
          <w:szCs w:val="20"/>
        </w:rPr>
        <w:t>.</w:t>
      </w:r>
      <w:r>
        <w:rPr>
          <w:rFonts w:ascii="Arial" w:hAnsi="Arial" w:cs="Arial"/>
          <w:sz w:val="20"/>
          <w:szCs w:val="20"/>
        </w:rPr>
        <w:t xml:space="preserve"> </w:t>
      </w:r>
      <w:r w:rsidRPr="00485CF7">
        <w:rPr>
          <w:rFonts w:ascii="Arial" w:hAnsi="Arial" w:cs="Arial"/>
          <w:sz w:val="20"/>
          <w:szCs w:val="20"/>
        </w:rPr>
        <w:t>If no other bid has been made on the lot in previous rounds, the minimum bid will be the initial starting price amount.</w:t>
      </w:r>
    </w:p>
    <w:p w14:paraId="66186328" w14:textId="77777777" w:rsidR="00953752" w:rsidRPr="00953752" w:rsidRDefault="00953752" w:rsidP="0032195C">
      <w:pPr>
        <w:autoSpaceDE w:val="0"/>
        <w:autoSpaceDN w:val="0"/>
        <w:adjustRightInd w:val="0"/>
        <w:spacing w:before="180" w:line="260" w:lineRule="exact"/>
        <w:rPr>
          <w:rFonts w:ascii="Arial" w:hAnsi="Arial" w:cs="Arial"/>
          <w:sz w:val="20"/>
          <w:szCs w:val="20"/>
        </w:rPr>
      </w:pPr>
      <w:r w:rsidRPr="00953752">
        <w:rPr>
          <w:rFonts w:ascii="Arial" w:hAnsi="Arial" w:cs="Arial"/>
          <w:sz w:val="20"/>
          <w:szCs w:val="20"/>
        </w:rPr>
        <w:t>The bidder who has previously withdrawn a bid on a certain lot may bid on that lot in a later round.</w:t>
      </w:r>
    </w:p>
    <w:p w14:paraId="48B84DB6" w14:textId="5F87621A" w:rsidR="00236FA7" w:rsidRDefault="00924568" w:rsidP="0032195C">
      <w:pPr>
        <w:autoSpaceDE w:val="0"/>
        <w:autoSpaceDN w:val="0"/>
        <w:adjustRightInd w:val="0"/>
        <w:spacing w:before="180" w:line="260" w:lineRule="exact"/>
        <w:rPr>
          <w:rFonts w:ascii="Arial" w:hAnsi="Arial" w:cs="Arial"/>
          <w:sz w:val="20"/>
          <w:szCs w:val="20"/>
        </w:rPr>
      </w:pPr>
      <w:r>
        <w:rPr>
          <w:rFonts w:ascii="Arial" w:hAnsi="Arial" w:cs="Arial"/>
          <w:sz w:val="20"/>
          <w:szCs w:val="20"/>
        </w:rPr>
        <w:t>T</w:t>
      </w:r>
      <w:r w:rsidRPr="001A0B2A">
        <w:rPr>
          <w:rFonts w:ascii="Arial" w:hAnsi="Arial" w:cs="Arial"/>
          <w:sz w:val="20"/>
          <w:szCs w:val="20"/>
        </w:rPr>
        <w:t>he bidder withdrawing the bid may lose eligibility points, as set out in clause 1</w:t>
      </w:r>
      <w:r>
        <w:rPr>
          <w:rFonts w:ascii="Arial" w:hAnsi="Arial" w:cs="Arial"/>
          <w:sz w:val="20"/>
          <w:szCs w:val="20"/>
        </w:rPr>
        <w:t>7</w:t>
      </w:r>
      <w:r w:rsidRPr="001A0B2A">
        <w:rPr>
          <w:rFonts w:ascii="Arial" w:hAnsi="Arial" w:cs="Arial"/>
          <w:sz w:val="20"/>
          <w:szCs w:val="20"/>
        </w:rPr>
        <w:t>.</w:t>
      </w:r>
      <w:r>
        <w:rPr>
          <w:rFonts w:ascii="Arial" w:hAnsi="Arial" w:cs="Arial"/>
          <w:sz w:val="20"/>
          <w:szCs w:val="20"/>
        </w:rPr>
        <w:t xml:space="preserve"> </w:t>
      </w:r>
      <w:r w:rsidR="001A0B2A" w:rsidRPr="001A0B2A">
        <w:rPr>
          <w:rFonts w:ascii="Arial" w:hAnsi="Arial" w:cs="Arial"/>
          <w:sz w:val="20"/>
          <w:szCs w:val="20"/>
        </w:rPr>
        <w:t xml:space="preserve">If a bidder withdraws a high bid, the </w:t>
      </w:r>
      <w:r w:rsidR="00452B38">
        <w:rPr>
          <w:rFonts w:ascii="Arial" w:hAnsi="Arial" w:cs="Arial"/>
          <w:sz w:val="20"/>
          <w:szCs w:val="20"/>
        </w:rPr>
        <w:t xml:space="preserve">eligibility </w:t>
      </w:r>
      <w:r w:rsidR="00B74EF9">
        <w:rPr>
          <w:rFonts w:ascii="Arial" w:hAnsi="Arial" w:cs="Arial"/>
          <w:sz w:val="20"/>
          <w:szCs w:val="20"/>
        </w:rPr>
        <w:t xml:space="preserve">points </w:t>
      </w:r>
      <w:r w:rsidR="001A0B2A" w:rsidRPr="001A0B2A">
        <w:rPr>
          <w:rFonts w:ascii="Arial" w:hAnsi="Arial" w:cs="Arial"/>
          <w:sz w:val="20"/>
          <w:szCs w:val="20"/>
        </w:rPr>
        <w:t>of the</w:t>
      </w:r>
      <w:r w:rsidR="001A5F8F">
        <w:rPr>
          <w:rFonts w:ascii="Arial" w:hAnsi="Arial" w:cs="Arial"/>
          <w:sz w:val="20"/>
          <w:szCs w:val="20"/>
        </w:rPr>
        <w:t xml:space="preserve"> </w:t>
      </w:r>
      <w:r w:rsidR="001A0B2A" w:rsidRPr="001A0B2A">
        <w:rPr>
          <w:rFonts w:ascii="Arial" w:hAnsi="Arial" w:cs="Arial"/>
          <w:sz w:val="20"/>
          <w:szCs w:val="20"/>
        </w:rPr>
        <w:t>bidder</w:t>
      </w:r>
      <w:r>
        <w:rPr>
          <w:rFonts w:ascii="Arial" w:hAnsi="Arial" w:cs="Arial"/>
          <w:sz w:val="20"/>
          <w:szCs w:val="20"/>
        </w:rPr>
        <w:t xml:space="preserve"> will be adjusted in accordance with the formula in clause 14</w:t>
      </w:r>
      <w:r w:rsidR="001A0B2A" w:rsidRPr="001A0B2A">
        <w:rPr>
          <w:rFonts w:ascii="Arial" w:hAnsi="Arial" w:cs="Arial"/>
          <w:sz w:val="20"/>
          <w:szCs w:val="20"/>
        </w:rPr>
        <w:t>. The bidder will need to consider whether, by withdrawing</w:t>
      </w:r>
      <w:r w:rsidR="001A5F8F">
        <w:rPr>
          <w:rFonts w:ascii="Arial" w:hAnsi="Arial" w:cs="Arial"/>
          <w:sz w:val="20"/>
          <w:szCs w:val="20"/>
        </w:rPr>
        <w:t xml:space="preserve"> </w:t>
      </w:r>
      <w:r w:rsidR="001A0B2A" w:rsidRPr="001A0B2A">
        <w:rPr>
          <w:rFonts w:ascii="Arial" w:hAnsi="Arial" w:cs="Arial"/>
          <w:sz w:val="20"/>
          <w:szCs w:val="20"/>
        </w:rPr>
        <w:t>a bid on a lot, it fails to meet the activity target for that round</w:t>
      </w:r>
      <w:r>
        <w:rPr>
          <w:rFonts w:ascii="Arial" w:hAnsi="Arial" w:cs="Arial"/>
          <w:sz w:val="20"/>
          <w:szCs w:val="20"/>
        </w:rPr>
        <w:t xml:space="preserve">. </w:t>
      </w:r>
      <w:r w:rsidR="001A5F8F">
        <w:rPr>
          <w:rFonts w:ascii="Arial" w:hAnsi="Arial" w:cs="Arial"/>
          <w:sz w:val="20"/>
          <w:szCs w:val="20"/>
        </w:rPr>
        <w:t xml:space="preserve">The withdrawing bidder may also be liable </w:t>
      </w:r>
      <w:r w:rsidR="001E3031">
        <w:rPr>
          <w:rFonts w:ascii="Arial" w:hAnsi="Arial" w:cs="Arial"/>
          <w:sz w:val="20"/>
          <w:szCs w:val="20"/>
        </w:rPr>
        <w:t xml:space="preserve">for a withdrawal </w:t>
      </w:r>
      <w:r w:rsidR="001A5F8F">
        <w:rPr>
          <w:rFonts w:ascii="Arial" w:hAnsi="Arial" w:cs="Arial"/>
          <w:sz w:val="20"/>
          <w:szCs w:val="20"/>
        </w:rPr>
        <w:t xml:space="preserve">penalty </w:t>
      </w:r>
      <w:r w:rsidR="001E3031">
        <w:rPr>
          <w:rFonts w:ascii="Arial" w:hAnsi="Arial" w:cs="Arial"/>
          <w:sz w:val="20"/>
          <w:szCs w:val="20"/>
        </w:rPr>
        <w:t>(</w:t>
      </w:r>
      <w:r w:rsidR="001A5F8F">
        <w:rPr>
          <w:rFonts w:ascii="Arial" w:hAnsi="Arial" w:cs="Arial"/>
          <w:sz w:val="20"/>
          <w:szCs w:val="20"/>
        </w:rPr>
        <w:t xml:space="preserve">see </w:t>
      </w:r>
      <w:r w:rsidR="00087E8D">
        <w:rPr>
          <w:rFonts w:ascii="Arial" w:hAnsi="Arial" w:cs="Arial"/>
          <w:sz w:val="20"/>
          <w:szCs w:val="20"/>
        </w:rPr>
        <w:t>c</w:t>
      </w:r>
      <w:r w:rsidR="001A5F8F">
        <w:rPr>
          <w:rFonts w:ascii="Arial" w:hAnsi="Arial" w:cs="Arial"/>
          <w:sz w:val="20"/>
          <w:szCs w:val="20"/>
        </w:rPr>
        <w:t xml:space="preserve">lause </w:t>
      </w:r>
      <w:r w:rsidR="00953752">
        <w:rPr>
          <w:rFonts w:ascii="Arial" w:hAnsi="Arial" w:cs="Arial"/>
          <w:sz w:val="20"/>
          <w:szCs w:val="20"/>
        </w:rPr>
        <w:t>18</w:t>
      </w:r>
      <w:r w:rsidR="001E3031">
        <w:rPr>
          <w:rFonts w:ascii="Arial" w:hAnsi="Arial" w:cs="Arial"/>
          <w:sz w:val="20"/>
          <w:szCs w:val="20"/>
        </w:rPr>
        <w:t>)</w:t>
      </w:r>
      <w:r w:rsidR="001A5F8F">
        <w:rPr>
          <w:rFonts w:ascii="Arial" w:hAnsi="Arial" w:cs="Arial"/>
          <w:sz w:val="20"/>
          <w:szCs w:val="20"/>
        </w:rPr>
        <w:t>.</w:t>
      </w:r>
    </w:p>
    <w:p w14:paraId="618A21F2" w14:textId="77777777" w:rsidR="001E3031" w:rsidRDefault="001E3031" w:rsidP="00485CF7">
      <w:pPr>
        <w:autoSpaceDE w:val="0"/>
        <w:autoSpaceDN w:val="0"/>
        <w:adjustRightInd w:val="0"/>
        <w:rPr>
          <w:rFonts w:ascii="Arial" w:hAnsi="Arial" w:cs="Arial"/>
          <w:sz w:val="20"/>
          <w:szCs w:val="20"/>
        </w:rPr>
      </w:pPr>
    </w:p>
    <w:p w14:paraId="0B453129" w14:textId="67CB6A84" w:rsidR="00485CF7" w:rsidRDefault="00485CF7" w:rsidP="00485CF7">
      <w:pPr>
        <w:autoSpaceDE w:val="0"/>
        <w:autoSpaceDN w:val="0"/>
        <w:adjustRightInd w:val="0"/>
        <w:rPr>
          <w:rFonts w:ascii="Arial" w:hAnsi="Arial" w:cs="Arial"/>
          <w:sz w:val="20"/>
          <w:szCs w:val="20"/>
        </w:rPr>
      </w:pPr>
      <w:r>
        <w:rPr>
          <w:rFonts w:ascii="Arial" w:hAnsi="Arial" w:cs="Arial"/>
          <w:sz w:val="20"/>
          <w:szCs w:val="20"/>
        </w:rPr>
        <w:t xml:space="preserve">Each bidder is limited to </w:t>
      </w:r>
      <w:r w:rsidR="00980054">
        <w:rPr>
          <w:rFonts w:ascii="Arial" w:hAnsi="Arial" w:cs="Arial"/>
          <w:sz w:val="20"/>
          <w:szCs w:val="20"/>
        </w:rPr>
        <w:t xml:space="preserve">making </w:t>
      </w:r>
      <w:r>
        <w:rPr>
          <w:rFonts w:ascii="Arial" w:hAnsi="Arial" w:cs="Arial"/>
          <w:sz w:val="20"/>
          <w:szCs w:val="20"/>
        </w:rPr>
        <w:t xml:space="preserve">withdrawals </w:t>
      </w:r>
      <w:r w:rsidR="00087E8D">
        <w:rPr>
          <w:rFonts w:ascii="Arial" w:hAnsi="Arial" w:cs="Arial"/>
          <w:sz w:val="20"/>
          <w:szCs w:val="20"/>
        </w:rPr>
        <w:t xml:space="preserve">for no more than </w:t>
      </w:r>
      <w:r w:rsidR="001E3031">
        <w:rPr>
          <w:rFonts w:ascii="Arial" w:hAnsi="Arial" w:cs="Arial"/>
          <w:sz w:val="20"/>
          <w:szCs w:val="20"/>
        </w:rPr>
        <w:t xml:space="preserve">4 </w:t>
      </w:r>
      <w:r>
        <w:rPr>
          <w:rFonts w:ascii="Arial" w:hAnsi="Arial" w:cs="Arial"/>
          <w:sz w:val="20"/>
          <w:szCs w:val="20"/>
        </w:rPr>
        <w:t>rounds</w:t>
      </w:r>
      <w:r w:rsidR="00FE3FF7">
        <w:rPr>
          <w:rFonts w:ascii="Arial" w:hAnsi="Arial" w:cs="Arial"/>
          <w:sz w:val="20"/>
          <w:szCs w:val="20"/>
        </w:rPr>
        <w:t xml:space="preserve"> as outlined in </w:t>
      </w:r>
      <w:r w:rsidR="001E3031">
        <w:rPr>
          <w:rFonts w:ascii="Arial" w:hAnsi="Arial" w:cs="Arial"/>
          <w:sz w:val="20"/>
          <w:szCs w:val="20"/>
        </w:rPr>
        <w:t>subclause 16(3)</w:t>
      </w:r>
      <w:r>
        <w:rPr>
          <w:rFonts w:ascii="Arial" w:hAnsi="Arial" w:cs="Arial"/>
          <w:sz w:val="20"/>
          <w:szCs w:val="20"/>
        </w:rPr>
        <w:t>.</w:t>
      </w:r>
      <w:r w:rsidR="00087E8D">
        <w:rPr>
          <w:rFonts w:ascii="Arial" w:hAnsi="Arial" w:cs="Arial"/>
          <w:sz w:val="20"/>
          <w:szCs w:val="20"/>
        </w:rPr>
        <w:t xml:space="preserve"> </w:t>
      </w:r>
    </w:p>
    <w:p w14:paraId="787BA91D" w14:textId="77777777" w:rsidR="00236FA7" w:rsidRPr="00485CF7" w:rsidRDefault="00660DFA" w:rsidP="00485CF7">
      <w:pPr>
        <w:pStyle w:val="HR"/>
        <w:rPr>
          <w:rStyle w:val="CharSectno"/>
          <w:rFonts w:cs="Arial"/>
          <w:sz w:val="20"/>
          <w:szCs w:val="20"/>
        </w:rPr>
      </w:pPr>
      <w:r>
        <w:rPr>
          <w:rStyle w:val="CharSectno"/>
          <w:rFonts w:cs="Arial"/>
          <w:sz w:val="20"/>
          <w:szCs w:val="20"/>
        </w:rPr>
        <w:t>Clause 17</w:t>
      </w:r>
      <w:r>
        <w:rPr>
          <w:rStyle w:val="CharSectno"/>
          <w:rFonts w:cs="Arial"/>
          <w:sz w:val="20"/>
          <w:szCs w:val="20"/>
        </w:rPr>
        <w:tab/>
      </w:r>
      <w:r w:rsidR="00236FA7" w:rsidRPr="00485CF7">
        <w:rPr>
          <w:rStyle w:val="CharSectno"/>
          <w:rFonts w:cs="Arial"/>
        </w:rPr>
        <w:tab/>
      </w:r>
      <w:r w:rsidR="00236FA7" w:rsidRPr="00485CF7">
        <w:rPr>
          <w:rStyle w:val="CharSectno"/>
          <w:rFonts w:cs="Arial"/>
          <w:sz w:val="20"/>
          <w:szCs w:val="20"/>
        </w:rPr>
        <w:t>Loss of eligibility points on withdrawal</w:t>
      </w:r>
    </w:p>
    <w:p w14:paraId="3B13B8B8" w14:textId="77777777" w:rsidR="00236FA7" w:rsidRPr="00485CF7" w:rsidRDefault="00236FA7" w:rsidP="001A5F8F">
      <w:pPr>
        <w:pStyle w:val="R1"/>
        <w:tabs>
          <w:tab w:val="clear" w:pos="794"/>
          <w:tab w:val="left" w:pos="142"/>
        </w:tabs>
        <w:ind w:left="0" w:hanging="142"/>
        <w:rPr>
          <w:rFonts w:ascii="Arial" w:hAnsi="Arial" w:cs="Arial"/>
          <w:szCs w:val="20"/>
        </w:rPr>
      </w:pPr>
      <w:r w:rsidRPr="009542B0">
        <w:rPr>
          <w:rFonts w:ascii="Arial" w:hAnsi="Arial" w:cs="Arial"/>
          <w:b/>
          <w:sz w:val="20"/>
          <w:szCs w:val="20"/>
        </w:rPr>
        <w:tab/>
      </w:r>
      <w:r w:rsidRPr="009542B0">
        <w:rPr>
          <w:rFonts w:ascii="Arial" w:hAnsi="Arial" w:cs="Arial"/>
          <w:sz w:val="20"/>
          <w:szCs w:val="20"/>
        </w:rPr>
        <w:t>If a bidder withdraws a bid in a round, the bidder will not be regarded as being active on that lot and may lose eligibility points</w:t>
      </w:r>
      <w:r w:rsidR="001A5F8F">
        <w:rPr>
          <w:rFonts w:ascii="Arial" w:hAnsi="Arial" w:cs="Arial"/>
          <w:sz w:val="20"/>
          <w:szCs w:val="20"/>
        </w:rPr>
        <w:t xml:space="preserve"> as outlined in </w:t>
      </w:r>
      <w:r w:rsidR="001A5F8F" w:rsidRPr="00485CF7">
        <w:rPr>
          <w:rFonts w:ascii="Arial" w:hAnsi="Arial" w:cs="Arial"/>
          <w:sz w:val="20"/>
          <w:szCs w:val="20"/>
        </w:rPr>
        <w:t>c</w:t>
      </w:r>
      <w:r w:rsidRPr="00485CF7">
        <w:rPr>
          <w:rFonts w:ascii="Arial" w:hAnsi="Arial" w:cs="Arial"/>
          <w:sz w:val="20"/>
          <w:szCs w:val="20"/>
        </w:rPr>
        <w:t>lause 1</w:t>
      </w:r>
      <w:r w:rsidR="00485CF7">
        <w:rPr>
          <w:rFonts w:ascii="Arial" w:hAnsi="Arial" w:cs="Arial"/>
          <w:sz w:val="20"/>
          <w:szCs w:val="20"/>
        </w:rPr>
        <w:t>4</w:t>
      </w:r>
      <w:r w:rsidRPr="00485CF7">
        <w:rPr>
          <w:rFonts w:ascii="Arial" w:hAnsi="Arial" w:cs="Arial"/>
          <w:sz w:val="20"/>
          <w:szCs w:val="20"/>
        </w:rPr>
        <w:t>.</w:t>
      </w:r>
    </w:p>
    <w:p w14:paraId="7EA235FE" w14:textId="77777777" w:rsidR="00C7222D" w:rsidRDefault="00660DFA" w:rsidP="00236FA7">
      <w:pPr>
        <w:pStyle w:val="HR"/>
        <w:rPr>
          <w:rFonts w:cs="Arial"/>
          <w:sz w:val="20"/>
          <w:szCs w:val="20"/>
        </w:rPr>
      </w:pPr>
      <w:r>
        <w:rPr>
          <w:rStyle w:val="CharSectno"/>
          <w:rFonts w:cs="Arial"/>
          <w:sz w:val="20"/>
          <w:szCs w:val="20"/>
        </w:rPr>
        <w:t>Clause 18</w:t>
      </w:r>
      <w:r>
        <w:rPr>
          <w:rStyle w:val="CharSectno"/>
          <w:rFonts w:cs="Arial"/>
          <w:sz w:val="20"/>
          <w:szCs w:val="20"/>
        </w:rPr>
        <w:tab/>
      </w:r>
      <w:r w:rsidR="00236FA7" w:rsidRPr="009542B0">
        <w:rPr>
          <w:rFonts w:cs="Arial"/>
          <w:sz w:val="20"/>
          <w:szCs w:val="20"/>
        </w:rPr>
        <w:tab/>
        <w:t xml:space="preserve">Withdrawal penalty </w:t>
      </w:r>
    </w:p>
    <w:p w14:paraId="4B999ADB" w14:textId="01C23973" w:rsidR="00F20379" w:rsidRPr="00C7222D" w:rsidRDefault="00953752" w:rsidP="0032195C">
      <w:pPr>
        <w:autoSpaceDE w:val="0"/>
        <w:autoSpaceDN w:val="0"/>
        <w:adjustRightInd w:val="0"/>
        <w:spacing w:before="180" w:line="260" w:lineRule="exact"/>
        <w:rPr>
          <w:rFonts w:ascii="Arial" w:hAnsi="Arial" w:cs="Arial"/>
          <w:sz w:val="20"/>
          <w:szCs w:val="20"/>
        </w:rPr>
      </w:pPr>
      <w:r w:rsidRPr="00C7222D">
        <w:rPr>
          <w:rFonts w:ascii="Arial" w:hAnsi="Arial" w:cs="Arial"/>
          <w:sz w:val="20"/>
          <w:szCs w:val="20"/>
        </w:rPr>
        <w:t xml:space="preserve">As outlined in </w:t>
      </w:r>
      <w:r w:rsidR="00087E8D">
        <w:rPr>
          <w:rFonts w:ascii="Arial" w:hAnsi="Arial" w:cs="Arial"/>
          <w:sz w:val="20"/>
          <w:szCs w:val="20"/>
        </w:rPr>
        <w:t>c</w:t>
      </w:r>
      <w:r w:rsidRPr="00C7222D">
        <w:rPr>
          <w:rFonts w:ascii="Arial" w:hAnsi="Arial" w:cs="Arial"/>
          <w:sz w:val="20"/>
          <w:szCs w:val="20"/>
        </w:rPr>
        <w:t>lause 16, a bidder may withdraw a bid</w:t>
      </w:r>
      <w:r w:rsidR="00C7222D" w:rsidRPr="00C7222D">
        <w:rPr>
          <w:rFonts w:ascii="Arial" w:hAnsi="Arial" w:cs="Arial"/>
          <w:sz w:val="20"/>
          <w:szCs w:val="20"/>
        </w:rPr>
        <w:t xml:space="preserve"> from a lot.  However to discourage bidders making frivolous bids and then withdrawing them, each bid withdrawal </w:t>
      </w:r>
      <w:r w:rsidR="00980054">
        <w:rPr>
          <w:rFonts w:ascii="Arial" w:hAnsi="Arial" w:cs="Arial"/>
          <w:sz w:val="20"/>
          <w:szCs w:val="20"/>
        </w:rPr>
        <w:t xml:space="preserve">is </w:t>
      </w:r>
      <w:r w:rsidR="00C7222D" w:rsidRPr="00C7222D">
        <w:rPr>
          <w:rFonts w:ascii="Arial" w:hAnsi="Arial" w:cs="Arial"/>
          <w:sz w:val="20"/>
          <w:szCs w:val="20"/>
        </w:rPr>
        <w:t>subject to a bid withdrawal penalty</w:t>
      </w:r>
      <w:r w:rsidR="00F831DF">
        <w:rPr>
          <w:rFonts w:ascii="Arial" w:hAnsi="Arial" w:cs="Arial"/>
          <w:sz w:val="20"/>
          <w:szCs w:val="20"/>
        </w:rPr>
        <w:t xml:space="preserve"> as follows</w:t>
      </w:r>
      <w:r w:rsidR="00C7222D" w:rsidRPr="00C7222D">
        <w:rPr>
          <w:rFonts w:ascii="Arial" w:hAnsi="Arial" w:cs="Arial"/>
          <w:sz w:val="20"/>
          <w:szCs w:val="20"/>
        </w:rPr>
        <w:t>.</w:t>
      </w:r>
    </w:p>
    <w:p w14:paraId="5ED6A304" w14:textId="3D1BB105" w:rsidR="0016453B" w:rsidRPr="002707B2" w:rsidRDefault="00980054" w:rsidP="0032195C">
      <w:pPr>
        <w:autoSpaceDE w:val="0"/>
        <w:autoSpaceDN w:val="0"/>
        <w:adjustRightInd w:val="0"/>
        <w:spacing w:before="180" w:line="260" w:lineRule="exact"/>
        <w:rPr>
          <w:rFonts w:ascii="Arial" w:hAnsi="Arial" w:cs="Arial"/>
          <w:sz w:val="20"/>
          <w:szCs w:val="20"/>
        </w:rPr>
      </w:pPr>
      <w:r w:rsidRPr="002707B2">
        <w:rPr>
          <w:rFonts w:ascii="Arial" w:hAnsi="Arial" w:cs="Arial"/>
          <w:sz w:val="20"/>
          <w:szCs w:val="20"/>
        </w:rPr>
        <w:t>A</w:t>
      </w:r>
      <w:r w:rsidR="00C7222D" w:rsidRPr="002707B2">
        <w:rPr>
          <w:rFonts w:ascii="Arial" w:hAnsi="Arial" w:cs="Arial"/>
          <w:sz w:val="20"/>
          <w:szCs w:val="20"/>
        </w:rPr>
        <w:t xml:space="preserve"> </w:t>
      </w:r>
      <w:r w:rsidR="00394B22" w:rsidRPr="002707B2">
        <w:rPr>
          <w:rFonts w:ascii="Arial" w:hAnsi="Arial" w:cs="Arial"/>
          <w:sz w:val="20"/>
          <w:szCs w:val="20"/>
        </w:rPr>
        <w:t>bidder</w:t>
      </w:r>
      <w:r w:rsidR="00C7222D" w:rsidRPr="002707B2">
        <w:rPr>
          <w:rFonts w:ascii="Arial" w:hAnsi="Arial" w:cs="Arial"/>
          <w:sz w:val="20"/>
          <w:szCs w:val="20"/>
        </w:rPr>
        <w:t xml:space="preserve"> who withdraws a</w:t>
      </w:r>
      <w:r w:rsidR="00F20379" w:rsidRPr="002707B2">
        <w:rPr>
          <w:rFonts w:ascii="Arial" w:hAnsi="Arial" w:cs="Arial"/>
          <w:sz w:val="20"/>
          <w:szCs w:val="20"/>
        </w:rPr>
        <w:t xml:space="preserve"> </w:t>
      </w:r>
      <w:r w:rsidR="00C7222D" w:rsidRPr="002707B2">
        <w:rPr>
          <w:rFonts w:ascii="Arial" w:hAnsi="Arial" w:cs="Arial"/>
          <w:sz w:val="20"/>
          <w:szCs w:val="20"/>
        </w:rPr>
        <w:t xml:space="preserve">bid will be liable to </w:t>
      </w:r>
      <w:r w:rsidR="00087E8D" w:rsidRPr="002707B2">
        <w:rPr>
          <w:rFonts w:ascii="Arial" w:hAnsi="Arial" w:cs="Arial"/>
          <w:sz w:val="20"/>
          <w:szCs w:val="20"/>
        </w:rPr>
        <w:t xml:space="preserve">the </w:t>
      </w:r>
      <w:r w:rsidR="00C7222D" w:rsidRPr="002707B2">
        <w:rPr>
          <w:rFonts w:ascii="Arial" w:hAnsi="Arial" w:cs="Arial"/>
          <w:sz w:val="20"/>
          <w:szCs w:val="20"/>
        </w:rPr>
        <w:t xml:space="preserve">ACMA for the </w:t>
      </w:r>
      <w:r w:rsidR="00F20379" w:rsidRPr="002707B2">
        <w:rPr>
          <w:rFonts w:ascii="Arial" w:hAnsi="Arial" w:cs="Arial"/>
          <w:sz w:val="20"/>
          <w:szCs w:val="20"/>
        </w:rPr>
        <w:t xml:space="preserve">difference </w:t>
      </w:r>
      <w:r w:rsidR="00C7222D" w:rsidRPr="002707B2">
        <w:rPr>
          <w:rFonts w:ascii="Arial" w:hAnsi="Arial" w:cs="Arial"/>
          <w:sz w:val="20"/>
          <w:szCs w:val="20"/>
        </w:rPr>
        <w:t>between the withdrawn bid</w:t>
      </w:r>
      <w:r w:rsidR="00394B22" w:rsidRPr="002707B2">
        <w:rPr>
          <w:rFonts w:ascii="Arial" w:hAnsi="Arial" w:cs="Arial"/>
          <w:sz w:val="20"/>
          <w:szCs w:val="20"/>
        </w:rPr>
        <w:t xml:space="preserve"> </w:t>
      </w:r>
      <w:r w:rsidR="00C7222D" w:rsidRPr="002707B2">
        <w:rPr>
          <w:rFonts w:ascii="Arial" w:hAnsi="Arial" w:cs="Arial"/>
          <w:sz w:val="20"/>
          <w:szCs w:val="20"/>
        </w:rPr>
        <w:t>and</w:t>
      </w:r>
      <w:r w:rsidR="005A0B0B" w:rsidRPr="002707B2">
        <w:rPr>
          <w:rFonts w:ascii="Arial" w:hAnsi="Arial" w:cs="Arial"/>
          <w:sz w:val="20"/>
          <w:szCs w:val="20"/>
        </w:rPr>
        <w:t>,</w:t>
      </w:r>
      <w:r w:rsidR="00C7222D" w:rsidRPr="002707B2">
        <w:rPr>
          <w:rFonts w:ascii="Arial" w:hAnsi="Arial" w:cs="Arial"/>
          <w:sz w:val="20"/>
          <w:szCs w:val="20"/>
        </w:rPr>
        <w:t xml:space="preserve"> </w:t>
      </w:r>
      <w:r w:rsidR="005A0B0B" w:rsidRPr="002707B2">
        <w:rPr>
          <w:rFonts w:ascii="Arial" w:hAnsi="Arial" w:cs="Arial"/>
          <w:sz w:val="20"/>
          <w:szCs w:val="20"/>
        </w:rPr>
        <w:t xml:space="preserve">if there is a subsequent bid on the lot which is not equal to or greater than the withdrawn bid, </w:t>
      </w:r>
      <w:r w:rsidR="00C7222D" w:rsidRPr="002707B2">
        <w:rPr>
          <w:rFonts w:ascii="Arial" w:hAnsi="Arial" w:cs="Arial"/>
          <w:sz w:val="20"/>
          <w:szCs w:val="20"/>
        </w:rPr>
        <w:t xml:space="preserve">the </w:t>
      </w:r>
      <w:r w:rsidR="00394B22" w:rsidRPr="002707B2">
        <w:rPr>
          <w:rFonts w:ascii="Arial" w:hAnsi="Arial" w:cs="Arial"/>
          <w:sz w:val="20"/>
          <w:szCs w:val="20"/>
        </w:rPr>
        <w:t xml:space="preserve">highest </w:t>
      </w:r>
      <w:r w:rsidR="005A0B0B" w:rsidRPr="002707B2">
        <w:rPr>
          <w:rFonts w:ascii="Arial" w:hAnsi="Arial" w:cs="Arial"/>
          <w:sz w:val="20"/>
          <w:szCs w:val="20"/>
        </w:rPr>
        <w:t xml:space="preserve">subsequent </w:t>
      </w:r>
      <w:r w:rsidR="00C7222D" w:rsidRPr="002707B2">
        <w:rPr>
          <w:rFonts w:ascii="Arial" w:hAnsi="Arial" w:cs="Arial"/>
          <w:sz w:val="20"/>
          <w:szCs w:val="20"/>
        </w:rPr>
        <w:t>bid</w:t>
      </w:r>
      <w:r w:rsidR="00F20379" w:rsidRPr="002707B2">
        <w:rPr>
          <w:rFonts w:ascii="Arial" w:hAnsi="Arial" w:cs="Arial"/>
          <w:sz w:val="20"/>
          <w:szCs w:val="20"/>
        </w:rPr>
        <w:t xml:space="preserve"> on that lot</w:t>
      </w:r>
      <w:r w:rsidR="00FE3FF7" w:rsidRPr="002707B2">
        <w:rPr>
          <w:rFonts w:ascii="Arial" w:hAnsi="Arial" w:cs="Arial"/>
          <w:sz w:val="20"/>
          <w:szCs w:val="20"/>
        </w:rPr>
        <w:t xml:space="preserve"> (the </w:t>
      </w:r>
      <w:r w:rsidR="00DC56E6" w:rsidRPr="002707B2">
        <w:rPr>
          <w:rFonts w:ascii="Arial" w:hAnsi="Arial" w:cs="Arial"/>
          <w:sz w:val="20"/>
          <w:szCs w:val="20"/>
        </w:rPr>
        <w:t>‘</w:t>
      </w:r>
      <w:r w:rsidR="00FE3FF7" w:rsidRPr="002707B2">
        <w:rPr>
          <w:rFonts w:ascii="Arial" w:hAnsi="Arial" w:cs="Arial"/>
          <w:sz w:val="20"/>
          <w:szCs w:val="20"/>
        </w:rPr>
        <w:t>shortfall penalty</w:t>
      </w:r>
      <w:r w:rsidR="00DC56E6" w:rsidRPr="002707B2">
        <w:rPr>
          <w:rFonts w:ascii="Arial" w:hAnsi="Arial" w:cs="Arial"/>
          <w:sz w:val="20"/>
          <w:szCs w:val="20"/>
        </w:rPr>
        <w:t>’</w:t>
      </w:r>
      <w:r w:rsidR="00FE3FF7" w:rsidRPr="002707B2">
        <w:rPr>
          <w:rFonts w:ascii="Arial" w:hAnsi="Arial" w:cs="Arial"/>
          <w:sz w:val="20"/>
          <w:szCs w:val="20"/>
        </w:rPr>
        <w:t>)</w:t>
      </w:r>
      <w:r w:rsidR="00F20379" w:rsidRPr="002707B2">
        <w:rPr>
          <w:rFonts w:ascii="Arial" w:hAnsi="Arial" w:cs="Arial"/>
          <w:sz w:val="20"/>
          <w:szCs w:val="20"/>
        </w:rPr>
        <w:t xml:space="preserve">.  </w:t>
      </w:r>
    </w:p>
    <w:p w14:paraId="6B38BA06" w14:textId="65D097FB" w:rsidR="0016453B" w:rsidRPr="002707B2" w:rsidRDefault="00394B22" w:rsidP="0032195C">
      <w:pPr>
        <w:autoSpaceDE w:val="0"/>
        <w:autoSpaceDN w:val="0"/>
        <w:adjustRightInd w:val="0"/>
        <w:spacing w:before="180" w:line="260" w:lineRule="exact"/>
        <w:rPr>
          <w:rFonts w:ascii="Arial" w:hAnsi="Arial" w:cs="Arial"/>
          <w:sz w:val="20"/>
          <w:szCs w:val="20"/>
        </w:rPr>
      </w:pPr>
      <w:r w:rsidRPr="002707B2">
        <w:rPr>
          <w:rFonts w:ascii="Arial" w:hAnsi="Arial" w:cs="Arial"/>
          <w:sz w:val="20"/>
          <w:szCs w:val="20"/>
        </w:rPr>
        <w:t>I</w:t>
      </w:r>
      <w:r w:rsidR="0016453B" w:rsidRPr="002707B2">
        <w:rPr>
          <w:rFonts w:ascii="Arial" w:hAnsi="Arial" w:cs="Arial"/>
          <w:sz w:val="20"/>
          <w:szCs w:val="20"/>
        </w:rPr>
        <w:t xml:space="preserve">f </w:t>
      </w:r>
      <w:r w:rsidRPr="002707B2">
        <w:rPr>
          <w:rFonts w:ascii="Arial" w:hAnsi="Arial" w:cs="Arial"/>
          <w:sz w:val="20"/>
          <w:szCs w:val="20"/>
        </w:rPr>
        <w:t>a</w:t>
      </w:r>
      <w:r w:rsidR="001E3031" w:rsidRPr="002707B2">
        <w:rPr>
          <w:rFonts w:ascii="Arial" w:hAnsi="Arial" w:cs="Arial"/>
          <w:sz w:val="20"/>
          <w:szCs w:val="20"/>
        </w:rPr>
        <w:t xml:space="preserve"> bidder withdr</w:t>
      </w:r>
      <w:r w:rsidR="00482A05" w:rsidRPr="002707B2">
        <w:rPr>
          <w:rFonts w:ascii="Arial" w:hAnsi="Arial" w:cs="Arial"/>
          <w:sz w:val="20"/>
          <w:szCs w:val="20"/>
        </w:rPr>
        <w:t>a</w:t>
      </w:r>
      <w:r w:rsidR="001E3031" w:rsidRPr="002707B2">
        <w:rPr>
          <w:rFonts w:ascii="Arial" w:hAnsi="Arial" w:cs="Arial"/>
          <w:sz w:val="20"/>
          <w:szCs w:val="20"/>
        </w:rPr>
        <w:t>w</w:t>
      </w:r>
      <w:r w:rsidR="00482A05" w:rsidRPr="002707B2">
        <w:rPr>
          <w:rFonts w:ascii="Arial" w:hAnsi="Arial" w:cs="Arial"/>
          <w:sz w:val="20"/>
          <w:szCs w:val="20"/>
        </w:rPr>
        <w:t>s</w:t>
      </w:r>
      <w:r w:rsidR="001E3031" w:rsidRPr="002707B2">
        <w:rPr>
          <w:rFonts w:ascii="Arial" w:hAnsi="Arial" w:cs="Arial"/>
          <w:sz w:val="20"/>
          <w:szCs w:val="20"/>
        </w:rPr>
        <w:t xml:space="preserve"> a bid on a particular lot </w:t>
      </w:r>
      <w:r w:rsidRPr="002707B2">
        <w:rPr>
          <w:rFonts w:ascii="Arial" w:hAnsi="Arial" w:cs="Arial"/>
          <w:sz w:val="20"/>
          <w:szCs w:val="20"/>
        </w:rPr>
        <w:t xml:space="preserve">and there is </w:t>
      </w:r>
      <w:r w:rsidR="001E3031" w:rsidRPr="002707B2">
        <w:rPr>
          <w:rFonts w:ascii="Arial" w:hAnsi="Arial" w:cs="Arial"/>
          <w:sz w:val="20"/>
          <w:szCs w:val="20"/>
        </w:rPr>
        <w:t>no subsequent bid on it</w:t>
      </w:r>
      <w:r w:rsidR="0016453B" w:rsidRPr="002707B2">
        <w:rPr>
          <w:rFonts w:ascii="Arial" w:hAnsi="Arial" w:cs="Arial"/>
          <w:sz w:val="20"/>
          <w:szCs w:val="20"/>
        </w:rPr>
        <w:t>, the penalty is 10% of the amount of the</w:t>
      </w:r>
      <w:r w:rsidR="00B20453" w:rsidRPr="002707B2">
        <w:rPr>
          <w:rFonts w:ascii="Arial" w:hAnsi="Arial" w:cs="Arial"/>
          <w:sz w:val="20"/>
          <w:szCs w:val="20"/>
        </w:rPr>
        <w:t xml:space="preserve"> </w:t>
      </w:r>
      <w:r w:rsidR="0016453B" w:rsidRPr="002707B2">
        <w:rPr>
          <w:rFonts w:ascii="Arial" w:hAnsi="Arial" w:cs="Arial"/>
          <w:sz w:val="20"/>
          <w:szCs w:val="20"/>
        </w:rPr>
        <w:t>withdrawn bid.</w:t>
      </w:r>
    </w:p>
    <w:p w14:paraId="55C37DCC" w14:textId="18FA208B" w:rsidR="00F20379" w:rsidRDefault="0016453B" w:rsidP="0032195C">
      <w:pPr>
        <w:autoSpaceDE w:val="0"/>
        <w:autoSpaceDN w:val="0"/>
        <w:adjustRightInd w:val="0"/>
        <w:spacing w:before="180" w:line="260" w:lineRule="exact"/>
        <w:rPr>
          <w:rFonts w:ascii="Arial" w:hAnsi="Arial" w:cs="Arial"/>
          <w:sz w:val="20"/>
          <w:szCs w:val="20"/>
        </w:rPr>
      </w:pPr>
      <w:r w:rsidRPr="002707B2">
        <w:rPr>
          <w:rFonts w:ascii="Arial" w:hAnsi="Arial" w:cs="Arial"/>
          <w:sz w:val="20"/>
          <w:szCs w:val="20"/>
        </w:rPr>
        <w:t>A bidder may withdraw a bid on a particular lot more than once, but the bidder is liable for a withdrawal penalty each time.</w:t>
      </w:r>
      <w:r w:rsidR="00336A11" w:rsidRPr="002707B2">
        <w:rPr>
          <w:rFonts w:ascii="Arial" w:hAnsi="Arial" w:cs="Arial"/>
          <w:sz w:val="20"/>
          <w:szCs w:val="20"/>
        </w:rPr>
        <w:t xml:space="preserve"> </w:t>
      </w:r>
    </w:p>
    <w:p w14:paraId="5CEF0E49" w14:textId="77777777" w:rsidR="00394B22" w:rsidRDefault="00394B22" w:rsidP="0032195C">
      <w:pPr>
        <w:autoSpaceDE w:val="0"/>
        <w:autoSpaceDN w:val="0"/>
        <w:adjustRightInd w:val="0"/>
        <w:spacing w:before="180" w:line="260" w:lineRule="exact"/>
        <w:rPr>
          <w:rFonts w:ascii="Arial" w:hAnsi="Arial" w:cs="Arial"/>
          <w:sz w:val="20"/>
          <w:szCs w:val="20"/>
        </w:rPr>
      </w:pPr>
      <w:r>
        <w:rPr>
          <w:rFonts w:ascii="Arial" w:hAnsi="Arial" w:cs="Arial"/>
          <w:sz w:val="20"/>
          <w:szCs w:val="20"/>
        </w:rPr>
        <w:t>The amount of all withdrawal penalties imposed on an unsuccessful bidder will be deducted from the bidder’s eligibility payment before any remaining portion of the eligibility payment is refunded.</w:t>
      </w:r>
      <w:r w:rsidR="008B1682">
        <w:rPr>
          <w:rFonts w:ascii="Arial" w:hAnsi="Arial" w:cs="Arial"/>
          <w:sz w:val="20"/>
          <w:szCs w:val="20"/>
        </w:rPr>
        <w:t xml:space="preserve"> The ACMA may also </w:t>
      </w:r>
      <w:r w:rsidR="008B1682" w:rsidRPr="008B1682">
        <w:rPr>
          <w:rFonts w:ascii="Arial" w:hAnsi="Arial" w:cs="Arial"/>
          <w:sz w:val="20"/>
          <w:szCs w:val="20"/>
        </w:rPr>
        <w:t>enforce a deed of financial security</w:t>
      </w:r>
      <w:r w:rsidR="00C27736">
        <w:rPr>
          <w:rFonts w:ascii="Arial" w:hAnsi="Arial" w:cs="Arial"/>
          <w:sz w:val="20"/>
          <w:szCs w:val="20"/>
        </w:rPr>
        <w:t xml:space="preserve"> given by a bidder</w:t>
      </w:r>
      <w:r w:rsidR="008B1682" w:rsidRPr="008B1682">
        <w:rPr>
          <w:rFonts w:ascii="Arial" w:hAnsi="Arial" w:cs="Arial"/>
          <w:sz w:val="20"/>
          <w:szCs w:val="20"/>
        </w:rPr>
        <w:t>, if</w:t>
      </w:r>
      <w:r w:rsidR="008B1682">
        <w:rPr>
          <w:rFonts w:ascii="Arial" w:hAnsi="Arial" w:cs="Arial"/>
          <w:sz w:val="20"/>
          <w:szCs w:val="20"/>
        </w:rPr>
        <w:t xml:space="preserve"> </w:t>
      </w:r>
      <w:r w:rsidR="008B1682" w:rsidRPr="008B1682">
        <w:rPr>
          <w:rFonts w:ascii="Arial" w:hAnsi="Arial" w:cs="Arial"/>
          <w:sz w:val="20"/>
          <w:szCs w:val="20"/>
        </w:rPr>
        <w:t>the bidder fail</w:t>
      </w:r>
      <w:r w:rsidR="008B1682">
        <w:rPr>
          <w:rFonts w:ascii="Arial" w:hAnsi="Arial" w:cs="Arial"/>
          <w:sz w:val="20"/>
          <w:szCs w:val="20"/>
        </w:rPr>
        <w:t>s</w:t>
      </w:r>
      <w:r w:rsidR="008B1682" w:rsidRPr="008B1682">
        <w:rPr>
          <w:rFonts w:ascii="Arial" w:hAnsi="Arial" w:cs="Arial"/>
          <w:sz w:val="20"/>
          <w:szCs w:val="20"/>
        </w:rPr>
        <w:t xml:space="preserve"> to pay the amount of all bid withdrawal penalties</w:t>
      </w:r>
      <w:r w:rsidR="008B1682">
        <w:rPr>
          <w:rFonts w:ascii="Arial" w:hAnsi="Arial" w:cs="Arial"/>
          <w:sz w:val="20"/>
          <w:szCs w:val="20"/>
        </w:rPr>
        <w:t xml:space="preserve"> (paragraph 8.6(1)(f)</w:t>
      </w:r>
      <w:r w:rsidR="00C27736">
        <w:rPr>
          <w:rFonts w:ascii="Arial" w:hAnsi="Arial" w:cs="Arial"/>
          <w:sz w:val="20"/>
          <w:szCs w:val="20"/>
        </w:rPr>
        <w:t xml:space="preserve"> of the Determination</w:t>
      </w:r>
      <w:r w:rsidR="008B1682">
        <w:rPr>
          <w:rFonts w:ascii="Arial" w:hAnsi="Arial" w:cs="Arial"/>
          <w:sz w:val="20"/>
          <w:szCs w:val="20"/>
        </w:rPr>
        <w:t>).</w:t>
      </w:r>
    </w:p>
    <w:p w14:paraId="66018A35" w14:textId="77777777" w:rsidR="00394B22" w:rsidRDefault="00394B22" w:rsidP="0032195C">
      <w:pPr>
        <w:autoSpaceDE w:val="0"/>
        <w:autoSpaceDN w:val="0"/>
        <w:adjustRightInd w:val="0"/>
        <w:spacing w:before="180" w:line="260" w:lineRule="exact"/>
        <w:rPr>
          <w:rFonts w:ascii="Arial" w:hAnsi="Arial" w:cs="Arial"/>
          <w:sz w:val="20"/>
          <w:szCs w:val="20"/>
        </w:rPr>
      </w:pPr>
      <w:r>
        <w:rPr>
          <w:rFonts w:ascii="Arial" w:hAnsi="Arial" w:cs="Arial"/>
          <w:sz w:val="20"/>
          <w:szCs w:val="20"/>
        </w:rPr>
        <w:t>If a withdrawal penalty is incurred by a winning bidder, the amount of the penalty will be added to the balance of the winning price payable by the winning bidder.</w:t>
      </w:r>
    </w:p>
    <w:p w14:paraId="3B7236E5" w14:textId="0925EC0B" w:rsidR="004D2C6E" w:rsidRDefault="004D2C6E" w:rsidP="0032195C">
      <w:pPr>
        <w:autoSpaceDE w:val="0"/>
        <w:autoSpaceDN w:val="0"/>
        <w:adjustRightInd w:val="0"/>
        <w:spacing w:before="180" w:line="260" w:lineRule="exact"/>
        <w:rPr>
          <w:rFonts w:ascii="Arial" w:hAnsi="Arial" w:cs="Arial"/>
          <w:sz w:val="20"/>
          <w:szCs w:val="20"/>
        </w:rPr>
      </w:pPr>
    </w:p>
    <w:p w14:paraId="1CE14522" w14:textId="77777777" w:rsidR="004D2C6E" w:rsidRPr="0032195C" w:rsidRDefault="004D2C6E" w:rsidP="0032195C">
      <w:pPr>
        <w:autoSpaceDE w:val="0"/>
        <w:autoSpaceDN w:val="0"/>
        <w:adjustRightInd w:val="0"/>
        <w:spacing w:before="180" w:line="260" w:lineRule="exact"/>
        <w:rPr>
          <w:rFonts w:ascii="Arial" w:hAnsi="Arial" w:cs="Arial"/>
          <w:sz w:val="20"/>
          <w:szCs w:val="20"/>
        </w:rPr>
      </w:pPr>
    </w:p>
    <w:p w14:paraId="641FFBC7" w14:textId="77777777" w:rsidR="00236FA7" w:rsidRPr="009542B0" w:rsidRDefault="00F472B8" w:rsidP="00DB7128">
      <w:pPr>
        <w:pStyle w:val="HD"/>
        <w:keepNext w:val="0"/>
        <w:ind w:left="1418" w:hanging="1418"/>
        <w:rPr>
          <w:rFonts w:cs="Arial"/>
          <w:sz w:val="20"/>
          <w:szCs w:val="20"/>
        </w:rPr>
      </w:pPr>
      <w:r>
        <w:rPr>
          <w:rStyle w:val="CharDivNo"/>
          <w:rFonts w:cs="Arial"/>
          <w:sz w:val="20"/>
          <w:szCs w:val="20"/>
        </w:rPr>
        <w:t>P</w:t>
      </w:r>
      <w:r w:rsidR="00236FA7" w:rsidRPr="009542B0">
        <w:rPr>
          <w:rStyle w:val="CharDivNo"/>
          <w:rFonts w:cs="Arial"/>
          <w:sz w:val="20"/>
          <w:szCs w:val="20"/>
        </w:rPr>
        <w:t>art 3</w:t>
      </w:r>
      <w:r w:rsidR="00236FA7" w:rsidRPr="009542B0">
        <w:rPr>
          <w:rFonts w:cs="Arial"/>
          <w:sz w:val="20"/>
          <w:szCs w:val="20"/>
        </w:rPr>
        <w:tab/>
      </w:r>
      <w:r w:rsidR="00236FA7" w:rsidRPr="009542B0">
        <w:rPr>
          <w:rStyle w:val="CharDivText"/>
          <w:rFonts w:cs="Arial"/>
          <w:sz w:val="20"/>
          <w:szCs w:val="20"/>
        </w:rPr>
        <w:t>Bringing the auction to a close</w:t>
      </w:r>
    </w:p>
    <w:p w14:paraId="3A0AEA0B" w14:textId="2CA1B622" w:rsidR="00236FA7" w:rsidRDefault="00660DFA" w:rsidP="00236FA7">
      <w:pPr>
        <w:pStyle w:val="HR"/>
        <w:rPr>
          <w:rFonts w:cs="Arial"/>
          <w:sz w:val="20"/>
          <w:szCs w:val="20"/>
        </w:rPr>
      </w:pPr>
      <w:r>
        <w:rPr>
          <w:rFonts w:cs="Arial"/>
          <w:sz w:val="20"/>
          <w:szCs w:val="20"/>
        </w:rPr>
        <w:t>Clause 19</w:t>
      </w:r>
      <w:r>
        <w:rPr>
          <w:rFonts w:cs="Arial"/>
          <w:sz w:val="20"/>
          <w:szCs w:val="20"/>
        </w:rPr>
        <w:tab/>
      </w:r>
      <w:r w:rsidR="00236FA7" w:rsidRPr="009542B0">
        <w:rPr>
          <w:rFonts w:cs="Arial"/>
          <w:sz w:val="20"/>
          <w:szCs w:val="20"/>
        </w:rPr>
        <w:tab/>
        <w:t xml:space="preserve">Closing of </w:t>
      </w:r>
      <w:r w:rsidR="004D2C6E">
        <w:rPr>
          <w:rFonts w:cs="Arial"/>
          <w:sz w:val="20"/>
          <w:szCs w:val="20"/>
        </w:rPr>
        <w:t xml:space="preserve">the </w:t>
      </w:r>
      <w:r w:rsidR="00236FA7" w:rsidRPr="009542B0">
        <w:rPr>
          <w:rFonts w:cs="Arial"/>
          <w:sz w:val="20"/>
          <w:szCs w:val="20"/>
        </w:rPr>
        <w:t>auction</w:t>
      </w:r>
    </w:p>
    <w:p w14:paraId="4FC17F49" w14:textId="37594850" w:rsidR="00FA1349" w:rsidRPr="00AB3C77" w:rsidRDefault="00FA1349"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The auction will be closed when round</w:t>
      </w:r>
      <w:r w:rsidR="00980054" w:rsidRPr="00AB3C77">
        <w:rPr>
          <w:rFonts w:ascii="Arial" w:hAnsi="Arial" w:cs="Arial"/>
          <w:sz w:val="20"/>
          <w:szCs w:val="20"/>
        </w:rPr>
        <w:t xml:space="preserve">s are </w:t>
      </w:r>
      <w:r w:rsidRPr="00AB3C77">
        <w:rPr>
          <w:rFonts w:ascii="Arial" w:hAnsi="Arial" w:cs="Arial"/>
          <w:sz w:val="20"/>
          <w:szCs w:val="20"/>
        </w:rPr>
        <w:t xml:space="preserve">in the final stage </w:t>
      </w:r>
      <w:r w:rsidR="00926840" w:rsidRPr="00AB3C77">
        <w:rPr>
          <w:rFonts w:ascii="Arial" w:hAnsi="Arial" w:cs="Arial"/>
          <w:sz w:val="20"/>
          <w:szCs w:val="20"/>
        </w:rPr>
        <w:t xml:space="preserve">and in 2 consecutive rounds there are  both </w:t>
      </w:r>
      <w:r w:rsidRPr="00AB3C77">
        <w:rPr>
          <w:rFonts w:ascii="Arial" w:hAnsi="Arial" w:cs="Arial"/>
          <w:sz w:val="20"/>
          <w:szCs w:val="20"/>
        </w:rPr>
        <w:t>no new bids being made</w:t>
      </w:r>
      <w:r w:rsidR="00926840" w:rsidRPr="00AB3C77">
        <w:rPr>
          <w:rFonts w:ascii="Arial" w:hAnsi="Arial" w:cs="Arial"/>
          <w:sz w:val="20"/>
          <w:szCs w:val="20"/>
        </w:rPr>
        <w:t xml:space="preserve"> </w:t>
      </w:r>
      <w:r w:rsidRPr="00AB3C77">
        <w:rPr>
          <w:rFonts w:ascii="Arial" w:hAnsi="Arial" w:cs="Arial"/>
          <w:sz w:val="20"/>
          <w:szCs w:val="20"/>
        </w:rPr>
        <w:t xml:space="preserve">and no ‘pro-active waivers’ </w:t>
      </w:r>
      <w:r w:rsidR="00980054" w:rsidRPr="00AB3C77">
        <w:rPr>
          <w:rFonts w:ascii="Arial" w:hAnsi="Arial" w:cs="Arial"/>
          <w:sz w:val="20"/>
          <w:szCs w:val="20"/>
        </w:rPr>
        <w:t xml:space="preserve">being exercised </w:t>
      </w:r>
      <w:r w:rsidR="00B105B4" w:rsidRPr="00AB3C77">
        <w:rPr>
          <w:rFonts w:ascii="Arial" w:hAnsi="Arial" w:cs="Arial"/>
          <w:sz w:val="20"/>
          <w:szCs w:val="20"/>
        </w:rPr>
        <w:t>(as described in clause 15)</w:t>
      </w:r>
      <w:r w:rsidRPr="00AB3C77">
        <w:rPr>
          <w:rFonts w:ascii="Arial" w:hAnsi="Arial" w:cs="Arial"/>
          <w:sz w:val="20"/>
          <w:szCs w:val="20"/>
        </w:rPr>
        <w:t>. The exercise of a</w:t>
      </w:r>
      <w:r w:rsidR="00980054" w:rsidRPr="00AB3C77">
        <w:rPr>
          <w:rFonts w:ascii="Arial" w:hAnsi="Arial" w:cs="Arial"/>
          <w:sz w:val="20"/>
          <w:szCs w:val="20"/>
        </w:rPr>
        <w:t>n ‘automatic</w:t>
      </w:r>
      <w:r w:rsidRPr="00AB3C77">
        <w:rPr>
          <w:rFonts w:ascii="Arial" w:hAnsi="Arial" w:cs="Arial"/>
          <w:sz w:val="20"/>
          <w:szCs w:val="20"/>
        </w:rPr>
        <w:t xml:space="preserve"> waiver</w:t>
      </w:r>
      <w:r w:rsidR="00980054" w:rsidRPr="00AB3C77">
        <w:rPr>
          <w:rFonts w:ascii="Arial" w:hAnsi="Arial" w:cs="Arial"/>
          <w:sz w:val="20"/>
          <w:szCs w:val="20"/>
        </w:rPr>
        <w:t>’</w:t>
      </w:r>
      <w:r w:rsidRPr="00AB3C77">
        <w:rPr>
          <w:rFonts w:ascii="Arial" w:hAnsi="Arial" w:cs="Arial"/>
          <w:sz w:val="20"/>
          <w:szCs w:val="20"/>
        </w:rPr>
        <w:t xml:space="preserve"> by the auction manager under subclause 15</w:t>
      </w:r>
      <w:r w:rsidR="00482A05" w:rsidRPr="00AB3C77">
        <w:rPr>
          <w:rFonts w:ascii="Arial" w:hAnsi="Arial" w:cs="Arial"/>
          <w:sz w:val="20"/>
          <w:szCs w:val="20"/>
        </w:rPr>
        <w:t>(5)</w:t>
      </w:r>
      <w:r w:rsidRPr="00AB3C77">
        <w:rPr>
          <w:rFonts w:ascii="Arial" w:hAnsi="Arial" w:cs="Arial"/>
          <w:sz w:val="20"/>
          <w:szCs w:val="20"/>
        </w:rPr>
        <w:t> does not constitute the exercise of a waiver by the bidder for th</w:t>
      </w:r>
      <w:r w:rsidR="001E3031" w:rsidRPr="00AB3C77">
        <w:rPr>
          <w:rFonts w:ascii="Arial" w:hAnsi="Arial" w:cs="Arial"/>
          <w:sz w:val="20"/>
          <w:szCs w:val="20"/>
        </w:rPr>
        <w:t xml:space="preserve">e purpose of </w:t>
      </w:r>
      <w:r w:rsidRPr="00AB3C77">
        <w:rPr>
          <w:rFonts w:ascii="Arial" w:hAnsi="Arial" w:cs="Arial"/>
          <w:sz w:val="20"/>
          <w:szCs w:val="20"/>
        </w:rPr>
        <w:t>clause</w:t>
      </w:r>
      <w:r w:rsidR="00482A05" w:rsidRPr="00AB3C77">
        <w:rPr>
          <w:rFonts w:ascii="Arial" w:hAnsi="Arial" w:cs="Arial"/>
          <w:sz w:val="20"/>
          <w:szCs w:val="20"/>
        </w:rPr>
        <w:t xml:space="preserve"> 19</w:t>
      </w:r>
      <w:r w:rsidRPr="00AB3C77">
        <w:rPr>
          <w:rFonts w:ascii="Arial" w:hAnsi="Arial" w:cs="Arial"/>
          <w:sz w:val="20"/>
          <w:szCs w:val="20"/>
        </w:rPr>
        <w:t>.</w:t>
      </w:r>
    </w:p>
    <w:p w14:paraId="4D3D04D0" w14:textId="77777777" w:rsidR="00FA1349" w:rsidRDefault="009E0BD8"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I</w:t>
      </w:r>
      <w:r w:rsidR="00B105B4" w:rsidRPr="00AB3C77">
        <w:rPr>
          <w:rFonts w:ascii="Arial" w:hAnsi="Arial" w:cs="Arial"/>
          <w:sz w:val="20"/>
          <w:szCs w:val="20"/>
        </w:rPr>
        <w:t>f bidding is continuing after 20 rounds, i</w:t>
      </w:r>
      <w:r w:rsidR="00FA1349" w:rsidRPr="00FA1349">
        <w:rPr>
          <w:rFonts w:ascii="Arial" w:hAnsi="Arial" w:cs="Arial"/>
          <w:sz w:val="20"/>
          <w:szCs w:val="20"/>
        </w:rPr>
        <w:t>t is also possible</w:t>
      </w:r>
      <w:r w:rsidR="00B105B4">
        <w:rPr>
          <w:rFonts w:ascii="Arial" w:hAnsi="Arial" w:cs="Arial"/>
          <w:sz w:val="20"/>
          <w:szCs w:val="20"/>
        </w:rPr>
        <w:t xml:space="preserve"> f</w:t>
      </w:r>
      <w:r w:rsidR="00FA1349" w:rsidRPr="00FA1349">
        <w:rPr>
          <w:rFonts w:ascii="Arial" w:hAnsi="Arial" w:cs="Arial"/>
          <w:sz w:val="20"/>
          <w:szCs w:val="20"/>
        </w:rPr>
        <w:t>or the</w:t>
      </w:r>
      <w:r w:rsidR="00FA1349">
        <w:rPr>
          <w:rFonts w:ascii="Arial" w:hAnsi="Arial" w:cs="Arial"/>
          <w:sz w:val="20"/>
          <w:szCs w:val="20"/>
        </w:rPr>
        <w:t xml:space="preserve"> </w:t>
      </w:r>
      <w:r w:rsidR="00FA1349" w:rsidRPr="00FA1349">
        <w:rPr>
          <w:rFonts w:ascii="Arial" w:hAnsi="Arial" w:cs="Arial"/>
          <w:sz w:val="20"/>
          <w:szCs w:val="20"/>
        </w:rPr>
        <w:t>auction manager</w:t>
      </w:r>
      <w:r w:rsidR="00B105B4">
        <w:rPr>
          <w:rFonts w:ascii="Arial" w:hAnsi="Arial" w:cs="Arial"/>
          <w:sz w:val="20"/>
          <w:szCs w:val="20"/>
        </w:rPr>
        <w:t>, following consultation with bidders</w:t>
      </w:r>
      <w:r w:rsidR="00980054">
        <w:rPr>
          <w:rFonts w:ascii="Arial" w:hAnsi="Arial" w:cs="Arial"/>
          <w:sz w:val="20"/>
          <w:szCs w:val="20"/>
        </w:rPr>
        <w:t xml:space="preserve"> (as set out in clause 19(5))</w:t>
      </w:r>
      <w:r w:rsidR="00B105B4">
        <w:rPr>
          <w:rFonts w:ascii="Arial" w:hAnsi="Arial" w:cs="Arial"/>
          <w:sz w:val="20"/>
          <w:szCs w:val="20"/>
        </w:rPr>
        <w:t xml:space="preserve">, </w:t>
      </w:r>
      <w:r w:rsidR="00FA1349" w:rsidRPr="00FA1349">
        <w:rPr>
          <w:rFonts w:ascii="Arial" w:hAnsi="Arial" w:cs="Arial"/>
          <w:sz w:val="20"/>
          <w:szCs w:val="20"/>
        </w:rPr>
        <w:t xml:space="preserve">to bring the auction to a close on </w:t>
      </w:r>
      <w:r w:rsidR="00482A05">
        <w:rPr>
          <w:rFonts w:ascii="Arial" w:hAnsi="Arial" w:cs="Arial"/>
          <w:sz w:val="20"/>
          <w:szCs w:val="20"/>
        </w:rPr>
        <w:t xml:space="preserve">a </w:t>
      </w:r>
      <w:r w:rsidR="00FA1349" w:rsidRPr="00FA1349">
        <w:rPr>
          <w:rFonts w:ascii="Arial" w:hAnsi="Arial" w:cs="Arial"/>
          <w:sz w:val="20"/>
          <w:szCs w:val="20"/>
        </w:rPr>
        <w:t>round</w:t>
      </w:r>
      <w:r w:rsidR="00482A05">
        <w:rPr>
          <w:rFonts w:ascii="Arial" w:hAnsi="Arial" w:cs="Arial"/>
          <w:sz w:val="20"/>
          <w:szCs w:val="20"/>
        </w:rPr>
        <w:t xml:space="preserve"> he or she specifies</w:t>
      </w:r>
      <w:r w:rsidR="00FA1349" w:rsidRPr="00FA1349">
        <w:rPr>
          <w:rFonts w:ascii="Arial" w:hAnsi="Arial" w:cs="Arial"/>
          <w:sz w:val="20"/>
          <w:szCs w:val="20"/>
        </w:rPr>
        <w:t>.</w:t>
      </w:r>
      <w:r w:rsidR="00B105B4">
        <w:rPr>
          <w:rFonts w:ascii="Arial" w:hAnsi="Arial" w:cs="Arial"/>
          <w:sz w:val="20"/>
          <w:szCs w:val="20"/>
        </w:rPr>
        <w:t xml:space="preserve"> </w:t>
      </w:r>
    </w:p>
    <w:p w14:paraId="38EE6B9E" w14:textId="77777777" w:rsidR="00980054" w:rsidRDefault="00980054"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The auction manager will tell bidders when the auction is closed, also referred to as the conclusion of the auction.</w:t>
      </w:r>
    </w:p>
    <w:p w14:paraId="2DA34DE3" w14:textId="77777777" w:rsidR="00980054" w:rsidRPr="00FA1349" w:rsidRDefault="00980054"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At the close of the auction, the bidder who is the highest bidder on a lot is taken to hold the highest final bid on the lot and to be the winning bidder for that lot.</w:t>
      </w:r>
    </w:p>
    <w:p w14:paraId="6CEFCDDC" w14:textId="77777777" w:rsidR="009E0BD8" w:rsidRPr="001F007E" w:rsidRDefault="00726E8E" w:rsidP="009E0BD8">
      <w:pPr>
        <w:pStyle w:val="Partheadinglevel"/>
      </w:pPr>
      <w:r>
        <w:t>S</w:t>
      </w:r>
      <w:r w:rsidR="009E0BD8" w:rsidRPr="001F007E">
        <w:t>chedule 2</w:t>
      </w:r>
      <w:r w:rsidR="009E0BD8" w:rsidRPr="001F007E">
        <w:tab/>
      </w:r>
      <w:r w:rsidR="009E0BD8">
        <w:t xml:space="preserve"> </w:t>
      </w:r>
      <w:r w:rsidR="00DB7128">
        <w:tab/>
      </w:r>
      <w:r w:rsidR="009E0BD8" w:rsidRPr="001F007E">
        <w:t>Parts of the spectrum</w:t>
      </w:r>
    </w:p>
    <w:p w14:paraId="46B96D4E" w14:textId="7737F8D4" w:rsidR="009E0BD8" w:rsidRPr="00AB3C77" w:rsidRDefault="00D27F1B"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 xml:space="preserve">The </w:t>
      </w:r>
      <w:r w:rsidR="00DB7128" w:rsidRPr="00AB3C77">
        <w:rPr>
          <w:rFonts w:ascii="Arial" w:hAnsi="Arial" w:cs="Arial"/>
          <w:sz w:val="20"/>
          <w:szCs w:val="20"/>
        </w:rPr>
        <w:t>‘</w:t>
      </w:r>
      <w:r w:rsidRPr="00AB3C77">
        <w:rPr>
          <w:rFonts w:ascii="Arial" w:hAnsi="Arial" w:cs="Arial"/>
          <w:sz w:val="20"/>
          <w:szCs w:val="20"/>
        </w:rPr>
        <w:t xml:space="preserve">1800 MHz </w:t>
      </w:r>
      <w:r w:rsidR="00980054" w:rsidRPr="00AB3C77">
        <w:rPr>
          <w:rFonts w:ascii="Arial" w:hAnsi="Arial" w:cs="Arial"/>
          <w:sz w:val="20"/>
          <w:szCs w:val="20"/>
        </w:rPr>
        <w:t>b</w:t>
      </w:r>
      <w:r w:rsidRPr="00AB3C77">
        <w:rPr>
          <w:rFonts w:ascii="Arial" w:hAnsi="Arial" w:cs="Arial"/>
          <w:sz w:val="20"/>
          <w:szCs w:val="20"/>
        </w:rPr>
        <w:t>and</w:t>
      </w:r>
      <w:r w:rsidR="00DB7128" w:rsidRPr="00AB3C77">
        <w:rPr>
          <w:rFonts w:ascii="Arial" w:hAnsi="Arial" w:cs="Arial"/>
          <w:sz w:val="20"/>
          <w:szCs w:val="20"/>
        </w:rPr>
        <w:t>’</w:t>
      </w:r>
      <w:r w:rsidRPr="00AB3C77">
        <w:rPr>
          <w:rFonts w:ascii="Arial" w:hAnsi="Arial" w:cs="Arial"/>
          <w:sz w:val="20"/>
          <w:szCs w:val="20"/>
        </w:rPr>
        <w:t xml:space="preserve"> is defin</w:t>
      </w:r>
      <w:r w:rsidR="00DB7128" w:rsidRPr="00AB3C77">
        <w:rPr>
          <w:rFonts w:ascii="Arial" w:hAnsi="Arial" w:cs="Arial"/>
          <w:sz w:val="20"/>
          <w:szCs w:val="20"/>
        </w:rPr>
        <w:t>e</w:t>
      </w:r>
      <w:r w:rsidRPr="00AB3C77">
        <w:rPr>
          <w:rFonts w:ascii="Arial" w:hAnsi="Arial" w:cs="Arial"/>
          <w:sz w:val="20"/>
          <w:szCs w:val="20"/>
        </w:rPr>
        <w:t xml:space="preserve">d in </w:t>
      </w:r>
      <w:r w:rsidR="005D48D7" w:rsidRPr="00AB3C77">
        <w:rPr>
          <w:rFonts w:ascii="Arial" w:hAnsi="Arial" w:cs="Arial"/>
          <w:sz w:val="20"/>
          <w:szCs w:val="20"/>
        </w:rPr>
        <w:t>sub</w:t>
      </w:r>
      <w:r w:rsidRPr="00AB3C77">
        <w:rPr>
          <w:rFonts w:ascii="Arial" w:hAnsi="Arial" w:cs="Arial"/>
          <w:sz w:val="20"/>
          <w:szCs w:val="20"/>
        </w:rPr>
        <w:t>section 1.4</w:t>
      </w:r>
      <w:r w:rsidR="005D48D7" w:rsidRPr="00AB3C77">
        <w:rPr>
          <w:rFonts w:ascii="Arial" w:hAnsi="Arial" w:cs="Arial"/>
          <w:sz w:val="20"/>
          <w:szCs w:val="20"/>
        </w:rPr>
        <w:t>(1)</w:t>
      </w:r>
      <w:r w:rsidRPr="00AB3C77">
        <w:rPr>
          <w:rFonts w:ascii="Arial" w:hAnsi="Arial" w:cs="Arial"/>
          <w:sz w:val="20"/>
          <w:szCs w:val="20"/>
        </w:rPr>
        <w:t xml:space="preserve"> of the Determination by reference to Schedule 2. This </w:t>
      </w:r>
      <w:r w:rsidR="00DB7128" w:rsidRPr="00AB3C77">
        <w:rPr>
          <w:rFonts w:ascii="Arial" w:hAnsi="Arial" w:cs="Arial"/>
          <w:sz w:val="20"/>
          <w:szCs w:val="20"/>
        </w:rPr>
        <w:t>S</w:t>
      </w:r>
      <w:r w:rsidRPr="00AB3C77">
        <w:rPr>
          <w:rFonts w:ascii="Arial" w:hAnsi="Arial" w:cs="Arial"/>
          <w:sz w:val="20"/>
          <w:szCs w:val="20"/>
        </w:rPr>
        <w:t xml:space="preserve">chedule sets out that the </w:t>
      </w:r>
      <w:r w:rsidR="009E0BD8" w:rsidRPr="00AB3C77">
        <w:rPr>
          <w:rFonts w:ascii="Arial" w:hAnsi="Arial" w:cs="Arial"/>
          <w:sz w:val="20"/>
          <w:szCs w:val="20"/>
        </w:rPr>
        <w:t>parts of the spectrum in the 1800 MHz Band</w:t>
      </w:r>
      <w:r w:rsidR="00DB7128" w:rsidRPr="00AB3C77">
        <w:rPr>
          <w:rFonts w:ascii="Arial" w:hAnsi="Arial" w:cs="Arial"/>
          <w:sz w:val="20"/>
          <w:szCs w:val="20"/>
        </w:rPr>
        <w:t xml:space="preserve"> for the purpose of this allocation</w:t>
      </w:r>
      <w:r w:rsidR="009E0BD8" w:rsidRPr="00AB3C77">
        <w:rPr>
          <w:rFonts w:ascii="Arial" w:hAnsi="Arial" w:cs="Arial"/>
          <w:sz w:val="20"/>
          <w:szCs w:val="20"/>
        </w:rPr>
        <w:t xml:space="preserve"> are the following:</w:t>
      </w:r>
    </w:p>
    <w:p w14:paraId="52A310E4" w14:textId="05B396B3" w:rsidR="009E0BD8" w:rsidRPr="009E0BD8" w:rsidRDefault="009E0BD8"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(a)</w:t>
      </w:r>
      <w:r>
        <w:rPr>
          <w:rFonts w:ascii="Arial" w:hAnsi="Arial" w:cs="Arial"/>
          <w:sz w:val="20"/>
          <w:szCs w:val="20"/>
        </w:rPr>
        <w:tab/>
      </w:r>
      <w:r w:rsidRPr="009E0BD8">
        <w:rPr>
          <w:rFonts w:ascii="Arial" w:hAnsi="Arial" w:cs="Arial"/>
          <w:sz w:val="20"/>
          <w:szCs w:val="20"/>
        </w:rPr>
        <w:t>the frequency ranges 1725 </w:t>
      </w:r>
      <w:r w:rsidR="00DC56E6">
        <w:rPr>
          <w:rFonts w:ascii="Arial" w:hAnsi="Arial" w:cs="Arial"/>
          <w:sz w:val="20"/>
          <w:szCs w:val="20"/>
        </w:rPr>
        <w:t xml:space="preserve">MHz </w:t>
      </w:r>
      <w:r w:rsidRPr="009E0BD8">
        <w:rPr>
          <w:rFonts w:ascii="Arial" w:hAnsi="Arial" w:cs="Arial"/>
          <w:sz w:val="20"/>
          <w:szCs w:val="20"/>
        </w:rPr>
        <w:t xml:space="preserve">– 1785 MHz and 1820 </w:t>
      </w:r>
      <w:r w:rsidR="00DC56E6">
        <w:rPr>
          <w:rFonts w:ascii="Arial" w:hAnsi="Arial" w:cs="Arial"/>
          <w:sz w:val="20"/>
          <w:szCs w:val="20"/>
        </w:rPr>
        <w:t xml:space="preserve">MHz </w:t>
      </w:r>
      <w:r w:rsidRPr="009E0BD8">
        <w:rPr>
          <w:rFonts w:ascii="Arial" w:hAnsi="Arial" w:cs="Arial"/>
          <w:sz w:val="20"/>
          <w:szCs w:val="20"/>
        </w:rPr>
        <w:t xml:space="preserve">– 1880 MHz in the geographic areas specified in the table </w:t>
      </w:r>
      <w:r w:rsidR="004D2C6E">
        <w:rPr>
          <w:rFonts w:ascii="Arial" w:hAnsi="Arial" w:cs="Arial"/>
          <w:sz w:val="20"/>
          <w:szCs w:val="20"/>
        </w:rPr>
        <w:t>in</w:t>
      </w:r>
      <w:r w:rsidRPr="009E0BD8">
        <w:rPr>
          <w:rFonts w:ascii="Arial" w:hAnsi="Arial" w:cs="Arial"/>
          <w:sz w:val="20"/>
          <w:szCs w:val="20"/>
        </w:rPr>
        <w:t xml:space="preserve"> clause 1 of Schedule 1 </w:t>
      </w:r>
      <w:r w:rsidR="00DB7128">
        <w:rPr>
          <w:rFonts w:ascii="Arial" w:hAnsi="Arial" w:cs="Arial"/>
          <w:sz w:val="20"/>
          <w:szCs w:val="20"/>
        </w:rPr>
        <w:t>t</w:t>
      </w:r>
      <w:r w:rsidRPr="009E0BD8">
        <w:rPr>
          <w:rFonts w:ascii="Arial" w:hAnsi="Arial" w:cs="Arial"/>
          <w:sz w:val="20"/>
          <w:szCs w:val="20"/>
        </w:rPr>
        <w:t xml:space="preserve">o the </w:t>
      </w:r>
      <w:r w:rsidR="00C80D9E">
        <w:rPr>
          <w:rFonts w:ascii="Arial" w:hAnsi="Arial" w:cs="Arial"/>
          <w:sz w:val="20"/>
          <w:szCs w:val="20"/>
        </w:rPr>
        <w:t>r</w:t>
      </w:r>
      <w:r w:rsidRPr="009E0BD8">
        <w:rPr>
          <w:rFonts w:ascii="Arial" w:hAnsi="Arial" w:cs="Arial"/>
          <w:sz w:val="20"/>
          <w:szCs w:val="20"/>
        </w:rPr>
        <w:t xml:space="preserve">e-allocation </w:t>
      </w:r>
      <w:r w:rsidR="00C80D9E">
        <w:rPr>
          <w:rFonts w:ascii="Arial" w:hAnsi="Arial" w:cs="Arial"/>
          <w:sz w:val="20"/>
          <w:szCs w:val="20"/>
        </w:rPr>
        <w:t>d</w:t>
      </w:r>
      <w:r w:rsidRPr="009E0BD8">
        <w:rPr>
          <w:rFonts w:ascii="Arial" w:hAnsi="Arial" w:cs="Arial"/>
          <w:sz w:val="20"/>
          <w:szCs w:val="20"/>
        </w:rPr>
        <w:t>eclaration</w:t>
      </w:r>
      <w:r w:rsidR="00D27F1B">
        <w:rPr>
          <w:rFonts w:ascii="Arial" w:hAnsi="Arial" w:cs="Arial"/>
          <w:sz w:val="20"/>
          <w:szCs w:val="20"/>
        </w:rPr>
        <w:t xml:space="preserve"> (i.e. the  spectrum </w:t>
      </w:r>
      <w:r w:rsidR="000A2BC5">
        <w:rPr>
          <w:rFonts w:ascii="Arial" w:hAnsi="Arial" w:cs="Arial"/>
          <w:sz w:val="20"/>
          <w:szCs w:val="20"/>
        </w:rPr>
        <w:t xml:space="preserve">covered by </w:t>
      </w:r>
      <w:r w:rsidR="00DC56E6">
        <w:rPr>
          <w:rFonts w:ascii="Arial" w:hAnsi="Arial" w:cs="Arial"/>
          <w:sz w:val="20"/>
          <w:szCs w:val="20"/>
        </w:rPr>
        <w:t xml:space="preserve">the </w:t>
      </w:r>
      <w:r w:rsidR="002B0B13">
        <w:rPr>
          <w:rFonts w:ascii="Arial" w:hAnsi="Arial" w:cs="Arial"/>
          <w:sz w:val="20"/>
          <w:szCs w:val="20"/>
        </w:rPr>
        <w:t>c</w:t>
      </w:r>
      <w:r w:rsidR="000A2BC5">
        <w:rPr>
          <w:rFonts w:ascii="Arial" w:hAnsi="Arial" w:cs="Arial"/>
          <w:sz w:val="20"/>
          <w:szCs w:val="20"/>
        </w:rPr>
        <w:t xml:space="preserve">ategory 1 lots as outlined in the marketing </w:t>
      </w:r>
      <w:r w:rsidR="00C80D9E">
        <w:rPr>
          <w:rFonts w:ascii="Arial" w:hAnsi="Arial" w:cs="Arial"/>
          <w:sz w:val="20"/>
          <w:szCs w:val="20"/>
        </w:rPr>
        <w:t>p</w:t>
      </w:r>
      <w:r w:rsidR="000A2BC5">
        <w:rPr>
          <w:rFonts w:ascii="Arial" w:hAnsi="Arial" w:cs="Arial"/>
          <w:sz w:val="20"/>
          <w:szCs w:val="20"/>
        </w:rPr>
        <w:t>lan)</w:t>
      </w:r>
      <w:r w:rsidRPr="009E0BD8">
        <w:rPr>
          <w:rFonts w:ascii="Arial" w:hAnsi="Arial" w:cs="Arial"/>
          <w:sz w:val="20"/>
          <w:szCs w:val="20"/>
        </w:rPr>
        <w:t xml:space="preserve">; </w:t>
      </w:r>
    </w:p>
    <w:p w14:paraId="54CBE693" w14:textId="0454063C" w:rsidR="009E0BD8" w:rsidRPr="009E0BD8" w:rsidRDefault="009E0BD8"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 xml:space="preserve">(b)   </w:t>
      </w:r>
      <w:r w:rsidRPr="009E0BD8">
        <w:rPr>
          <w:rFonts w:ascii="Arial" w:hAnsi="Arial" w:cs="Arial"/>
          <w:sz w:val="20"/>
          <w:szCs w:val="20"/>
        </w:rPr>
        <w:t>the frequency ranges in the identified geographic areas of Australia</w:t>
      </w:r>
      <w:r w:rsidR="004D6D12">
        <w:rPr>
          <w:rFonts w:ascii="Arial" w:hAnsi="Arial" w:cs="Arial"/>
          <w:sz w:val="20"/>
          <w:szCs w:val="20"/>
        </w:rPr>
        <w:t>,</w:t>
      </w:r>
      <w:r w:rsidRPr="009E0BD8">
        <w:rPr>
          <w:rFonts w:ascii="Arial" w:hAnsi="Arial" w:cs="Arial"/>
          <w:sz w:val="20"/>
          <w:szCs w:val="20"/>
        </w:rPr>
        <w:t xml:space="preserve"> as th</w:t>
      </w:r>
      <w:r w:rsidR="004D6D12">
        <w:rPr>
          <w:rFonts w:ascii="Arial" w:hAnsi="Arial" w:cs="Arial"/>
          <w:sz w:val="20"/>
          <w:szCs w:val="20"/>
        </w:rPr>
        <w:t>at</w:t>
      </w:r>
      <w:r w:rsidRPr="009E0BD8">
        <w:rPr>
          <w:rFonts w:ascii="Arial" w:hAnsi="Arial" w:cs="Arial"/>
          <w:sz w:val="20"/>
          <w:szCs w:val="20"/>
        </w:rPr>
        <w:t xml:space="preserve"> term</w:t>
      </w:r>
      <w:r w:rsidR="004D6D12">
        <w:rPr>
          <w:rFonts w:ascii="Arial" w:hAnsi="Arial" w:cs="Arial"/>
          <w:sz w:val="20"/>
          <w:szCs w:val="20"/>
        </w:rPr>
        <w:t xml:space="preserve"> is</w:t>
      </w:r>
      <w:r w:rsidRPr="009E0BD8">
        <w:rPr>
          <w:rFonts w:ascii="Arial" w:hAnsi="Arial" w:cs="Arial"/>
          <w:sz w:val="20"/>
          <w:szCs w:val="20"/>
        </w:rPr>
        <w:t xml:space="preserve"> defined in section 3 of the </w:t>
      </w:r>
      <w:r w:rsidR="00C80D9E">
        <w:rPr>
          <w:rFonts w:ascii="Arial" w:hAnsi="Arial" w:cs="Arial"/>
          <w:sz w:val="20"/>
          <w:szCs w:val="20"/>
        </w:rPr>
        <w:t>d</w:t>
      </w:r>
      <w:r w:rsidRPr="009E0BD8">
        <w:rPr>
          <w:rFonts w:ascii="Arial" w:hAnsi="Arial" w:cs="Arial"/>
          <w:sz w:val="20"/>
          <w:szCs w:val="20"/>
        </w:rPr>
        <w:t xml:space="preserve">esignation </w:t>
      </w:r>
      <w:r w:rsidR="00C80D9E">
        <w:rPr>
          <w:rFonts w:ascii="Arial" w:hAnsi="Arial" w:cs="Arial"/>
          <w:sz w:val="20"/>
          <w:szCs w:val="20"/>
        </w:rPr>
        <w:t>n</w:t>
      </w:r>
      <w:r w:rsidRPr="009E0BD8">
        <w:rPr>
          <w:rFonts w:ascii="Arial" w:hAnsi="Arial" w:cs="Arial"/>
          <w:sz w:val="20"/>
          <w:szCs w:val="20"/>
        </w:rPr>
        <w:t>otice</w:t>
      </w:r>
      <w:r w:rsidR="004D6D12">
        <w:rPr>
          <w:rFonts w:ascii="Arial" w:hAnsi="Arial" w:cs="Arial"/>
          <w:sz w:val="20"/>
          <w:szCs w:val="20"/>
        </w:rPr>
        <w:t xml:space="preserve"> and specified in the Schedule to the designation notice, being 1770 MHz – 1775 MHz and 1865 MHz to 1870 MHz in Adelaide and 1710 MHz – 1712.5 MHz and 1805 MHz – 1807.5 MHz in each of regional South Australia and Cairns/Townsville</w:t>
      </w:r>
      <w:r w:rsidR="00D27F1B">
        <w:rPr>
          <w:rFonts w:ascii="Arial" w:hAnsi="Arial" w:cs="Arial"/>
          <w:sz w:val="20"/>
          <w:szCs w:val="20"/>
        </w:rPr>
        <w:t xml:space="preserve"> (</w:t>
      </w:r>
      <w:r w:rsidR="004D6D12">
        <w:rPr>
          <w:rFonts w:ascii="Arial" w:hAnsi="Arial" w:cs="Arial"/>
          <w:sz w:val="20"/>
          <w:szCs w:val="20"/>
        </w:rPr>
        <w:t xml:space="preserve">i.e. </w:t>
      </w:r>
      <w:r w:rsidR="000A2BC5">
        <w:rPr>
          <w:rFonts w:ascii="Arial" w:hAnsi="Arial" w:cs="Arial"/>
          <w:sz w:val="20"/>
          <w:szCs w:val="20"/>
        </w:rPr>
        <w:t xml:space="preserve">spectrum covered by </w:t>
      </w:r>
      <w:r w:rsidR="004D6D12">
        <w:rPr>
          <w:rFonts w:ascii="Arial" w:hAnsi="Arial" w:cs="Arial"/>
          <w:sz w:val="20"/>
          <w:szCs w:val="20"/>
        </w:rPr>
        <w:t xml:space="preserve">the </w:t>
      </w:r>
      <w:r w:rsidR="00C80D9E">
        <w:rPr>
          <w:rFonts w:ascii="Arial" w:hAnsi="Arial" w:cs="Arial"/>
          <w:sz w:val="20"/>
          <w:szCs w:val="20"/>
        </w:rPr>
        <w:t>c</w:t>
      </w:r>
      <w:r w:rsidR="000A2BC5">
        <w:rPr>
          <w:rFonts w:ascii="Arial" w:hAnsi="Arial" w:cs="Arial"/>
          <w:sz w:val="20"/>
          <w:szCs w:val="20"/>
        </w:rPr>
        <w:t xml:space="preserve">ategory </w:t>
      </w:r>
      <w:r w:rsidR="004D6D12">
        <w:rPr>
          <w:rFonts w:ascii="Arial" w:hAnsi="Arial" w:cs="Arial"/>
          <w:sz w:val="20"/>
          <w:szCs w:val="20"/>
        </w:rPr>
        <w:t>2 and category 3</w:t>
      </w:r>
      <w:r w:rsidR="000A2BC5">
        <w:rPr>
          <w:rFonts w:ascii="Arial" w:hAnsi="Arial" w:cs="Arial"/>
          <w:sz w:val="20"/>
          <w:szCs w:val="20"/>
        </w:rPr>
        <w:t xml:space="preserve"> lots outlined in the marketing </w:t>
      </w:r>
      <w:r w:rsidR="00C80D9E">
        <w:rPr>
          <w:rFonts w:ascii="Arial" w:hAnsi="Arial" w:cs="Arial"/>
          <w:sz w:val="20"/>
          <w:szCs w:val="20"/>
        </w:rPr>
        <w:t>p</w:t>
      </w:r>
      <w:r w:rsidR="000A2BC5">
        <w:rPr>
          <w:rFonts w:ascii="Arial" w:hAnsi="Arial" w:cs="Arial"/>
          <w:sz w:val="20"/>
          <w:szCs w:val="20"/>
        </w:rPr>
        <w:t>lan</w:t>
      </w:r>
      <w:r w:rsidR="00D27F1B">
        <w:rPr>
          <w:rFonts w:ascii="Arial" w:hAnsi="Arial" w:cs="Arial"/>
          <w:sz w:val="20"/>
          <w:szCs w:val="20"/>
        </w:rPr>
        <w:t>)</w:t>
      </w:r>
      <w:r w:rsidRPr="009E0BD8">
        <w:rPr>
          <w:rFonts w:ascii="Arial" w:hAnsi="Arial" w:cs="Arial"/>
          <w:sz w:val="20"/>
          <w:szCs w:val="20"/>
        </w:rPr>
        <w:t>.</w:t>
      </w:r>
    </w:p>
    <w:p w14:paraId="1D7DDB67" w14:textId="55A90301" w:rsidR="009E0BD8" w:rsidRPr="00AB3C77" w:rsidRDefault="009E0BD8" w:rsidP="00AB3C77">
      <w:pPr>
        <w:pStyle w:val="Partheadinglevel"/>
      </w:pPr>
      <w:r w:rsidRPr="00AB3C77">
        <w:t>Schedule 3</w:t>
      </w:r>
      <w:r w:rsidRPr="00AB3C77">
        <w:tab/>
        <w:t xml:space="preserve"> </w:t>
      </w:r>
      <w:r w:rsidR="00AB3C77">
        <w:tab/>
      </w:r>
      <w:r w:rsidRPr="00AB3C77">
        <w:t xml:space="preserve"> Allocation limit</w:t>
      </w:r>
      <w:r w:rsidR="004D2C6E">
        <w:t>S</w:t>
      </w:r>
    </w:p>
    <w:p w14:paraId="0056CC7F" w14:textId="157D9858" w:rsidR="009E0BD8" w:rsidRPr="00AB3C77" w:rsidRDefault="00D27F1B"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 xml:space="preserve">Allocation limits are defined in section 2.1 of the Determination by reference to Schedule 3. This </w:t>
      </w:r>
      <w:r w:rsidR="00DB7128" w:rsidRPr="00AB3C77">
        <w:rPr>
          <w:rFonts w:ascii="Arial" w:hAnsi="Arial" w:cs="Arial"/>
          <w:sz w:val="20"/>
          <w:szCs w:val="20"/>
        </w:rPr>
        <w:t>S</w:t>
      </w:r>
      <w:r w:rsidRPr="00AB3C77">
        <w:rPr>
          <w:rFonts w:ascii="Arial" w:hAnsi="Arial" w:cs="Arial"/>
          <w:sz w:val="20"/>
          <w:szCs w:val="20"/>
        </w:rPr>
        <w:t>chedule sets out that the allocation limit</w:t>
      </w:r>
      <w:r w:rsidR="004D6D12" w:rsidRPr="00AB3C77">
        <w:rPr>
          <w:rFonts w:ascii="Arial" w:hAnsi="Arial" w:cs="Arial"/>
          <w:sz w:val="20"/>
          <w:szCs w:val="20"/>
        </w:rPr>
        <w:t>s are</w:t>
      </w:r>
      <w:r w:rsidR="009E0BD8" w:rsidRPr="00AB3C77">
        <w:rPr>
          <w:rFonts w:ascii="Arial" w:hAnsi="Arial" w:cs="Arial"/>
          <w:sz w:val="20"/>
          <w:szCs w:val="20"/>
        </w:rPr>
        <w:t xml:space="preserve"> 25 MHz of spectrum in the geographic areas specified in the table </w:t>
      </w:r>
      <w:r w:rsidR="004D2C6E">
        <w:rPr>
          <w:rFonts w:ascii="Arial" w:hAnsi="Arial" w:cs="Arial"/>
          <w:sz w:val="20"/>
          <w:szCs w:val="20"/>
        </w:rPr>
        <w:t>in</w:t>
      </w:r>
      <w:r w:rsidR="009E0BD8" w:rsidRPr="00AB3C77">
        <w:rPr>
          <w:rFonts w:ascii="Arial" w:hAnsi="Arial" w:cs="Arial"/>
          <w:sz w:val="20"/>
          <w:szCs w:val="20"/>
        </w:rPr>
        <w:t xml:space="preserve"> clause 1 </w:t>
      </w:r>
      <w:r w:rsidR="004D6D12" w:rsidRPr="00AB3C77">
        <w:rPr>
          <w:rFonts w:ascii="Arial" w:hAnsi="Arial" w:cs="Arial"/>
          <w:sz w:val="20"/>
          <w:szCs w:val="20"/>
        </w:rPr>
        <w:t>of Sch</w:t>
      </w:r>
      <w:r w:rsidR="00FE0ED1" w:rsidRPr="00AB3C77">
        <w:rPr>
          <w:rFonts w:ascii="Arial" w:hAnsi="Arial" w:cs="Arial"/>
          <w:sz w:val="20"/>
          <w:szCs w:val="20"/>
        </w:rPr>
        <w:t>e</w:t>
      </w:r>
      <w:r w:rsidR="004D6D12" w:rsidRPr="00AB3C77">
        <w:rPr>
          <w:rFonts w:ascii="Arial" w:hAnsi="Arial" w:cs="Arial"/>
          <w:sz w:val="20"/>
          <w:szCs w:val="20"/>
        </w:rPr>
        <w:t xml:space="preserve">dule 1 </w:t>
      </w:r>
      <w:r w:rsidR="00DB7128" w:rsidRPr="00AB3C77">
        <w:rPr>
          <w:rFonts w:ascii="Arial" w:hAnsi="Arial" w:cs="Arial"/>
          <w:sz w:val="20"/>
          <w:szCs w:val="20"/>
        </w:rPr>
        <w:t>t</w:t>
      </w:r>
      <w:r w:rsidR="009E0BD8" w:rsidRPr="00AB3C77">
        <w:rPr>
          <w:rFonts w:ascii="Arial" w:hAnsi="Arial" w:cs="Arial"/>
          <w:sz w:val="20"/>
          <w:szCs w:val="20"/>
        </w:rPr>
        <w:t xml:space="preserve">o the </w:t>
      </w:r>
      <w:r w:rsidR="00C80D9E" w:rsidRPr="00AB3C77">
        <w:rPr>
          <w:rFonts w:ascii="Arial" w:hAnsi="Arial" w:cs="Arial"/>
          <w:sz w:val="20"/>
          <w:szCs w:val="20"/>
        </w:rPr>
        <w:t>r</w:t>
      </w:r>
      <w:r w:rsidR="009E0BD8" w:rsidRPr="00AB3C77">
        <w:rPr>
          <w:rFonts w:ascii="Arial" w:hAnsi="Arial" w:cs="Arial"/>
          <w:sz w:val="20"/>
          <w:szCs w:val="20"/>
        </w:rPr>
        <w:t xml:space="preserve">e-allocation </w:t>
      </w:r>
      <w:r w:rsidR="00C80D9E" w:rsidRPr="00AB3C77">
        <w:rPr>
          <w:rFonts w:ascii="Arial" w:hAnsi="Arial" w:cs="Arial"/>
          <w:sz w:val="20"/>
          <w:szCs w:val="20"/>
        </w:rPr>
        <w:t>d</w:t>
      </w:r>
      <w:r w:rsidR="009E0BD8" w:rsidRPr="00AB3C77">
        <w:rPr>
          <w:rFonts w:ascii="Arial" w:hAnsi="Arial" w:cs="Arial"/>
          <w:sz w:val="20"/>
          <w:szCs w:val="20"/>
        </w:rPr>
        <w:t xml:space="preserve">eclaration </w:t>
      </w:r>
      <w:r w:rsidR="00DB7128" w:rsidRPr="00AB3C77">
        <w:rPr>
          <w:rFonts w:ascii="Arial" w:hAnsi="Arial" w:cs="Arial"/>
          <w:sz w:val="20"/>
          <w:szCs w:val="20"/>
        </w:rPr>
        <w:t>in</w:t>
      </w:r>
      <w:r w:rsidR="009E0BD8" w:rsidRPr="00AB3C77">
        <w:rPr>
          <w:rFonts w:ascii="Arial" w:hAnsi="Arial" w:cs="Arial"/>
          <w:sz w:val="20"/>
          <w:szCs w:val="20"/>
        </w:rPr>
        <w:t xml:space="preserve"> </w:t>
      </w:r>
      <w:r w:rsidRPr="00AB3C77">
        <w:rPr>
          <w:rFonts w:ascii="Arial" w:hAnsi="Arial" w:cs="Arial"/>
          <w:sz w:val="20"/>
          <w:szCs w:val="20"/>
        </w:rPr>
        <w:t xml:space="preserve">each of </w:t>
      </w:r>
      <w:r w:rsidR="009E0BD8" w:rsidRPr="00AB3C77">
        <w:rPr>
          <w:rFonts w:ascii="Arial" w:hAnsi="Arial" w:cs="Arial"/>
          <w:sz w:val="20"/>
          <w:szCs w:val="20"/>
        </w:rPr>
        <w:t>the frequency ranges 1725 </w:t>
      </w:r>
      <w:r w:rsidR="004D6D12" w:rsidRPr="00AB3C77">
        <w:rPr>
          <w:rFonts w:ascii="Arial" w:hAnsi="Arial" w:cs="Arial"/>
          <w:sz w:val="20"/>
          <w:szCs w:val="20"/>
        </w:rPr>
        <w:t xml:space="preserve">MHz </w:t>
      </w:r>
      <w:r w:rsidR="009E0BD8" w:rsidRPr="00AB3C77">
        <w:rPr>
          <w:rFonts w:ascii="Arial" w:hAnsi="Arial" w:cs="Arial"/>
          <w:sz w:val="20"/>
          <w:szCs w:val="20"/>
        </w:rPr>
        <w:t xml:space="preserve">– 1785 MHz and 1820 </w:t>
      </w:r>
      <w:r w:rsidR="004D6D12" w:rsidRPr="00AB3C77">
        <w:rPr>
          <w:rFonts w:ascii="Arial" w:hAnsi="Arial" w:cs="Arial"/>
          <w:sz w:val="20"/>
          <w:szCs w:val="20"/>
        </w:rPr>
        <w:t xml:space="preserve">MHz </w:t>
      </w:r>
      <w:r w:rsidR="009E0BD8" w:rsidRPr="00AB3C77">
        <w:rPr>
          <w:rFonts w:ascii="Arial" w:hAnsi="Arial" w:cs="Arial"/>
          <w:sz w:val="20"/>
          <w:szCs w:val="20"/>
        </w:rPr>
        <w:t>– 1880 MHz</w:t>
      </w:r>
      <w:r w:rsidR="004D6D12" w:rsidRPr="00AB3C77">
        <w:rPr>
          <w:rFonts w:ascii="Arial" w:hAnsi="Arial" w:cs="Arial"/>
          <w:sz w:val="20"/>
          <w:szCs w:val="20"/>
        </w:rPr>
        <w:t>.</w:t>
      </w:r>
      <w:r w:rsidRPr="00AB3C77">
        <w:rPr>
          <w:rFonts w:ascii="Arial" w:hAnsi="Arial" w:cs="Arial"/>
          <w:sz w:val="20"/>
          <w:szCs w:val="20"/>
        </w:rPr>
        <w:t xml:space="preserve"> This is consistent with the Minister’s spectrum licence limits direction.</w:t>
      </w:r>
    </w:p>
    <w:p w14:paraId="1CEFE1F4" w14:textId="77777777" w:rsidR="009212B7" w:rsidRDefault="009212B7">
      <w:pPr>
        <w:rPr>
          <w:lang w:val="en-US"/>
        </w:rPr>
      </w:pPr>
      <w:r>
        <w:rPr>
          <w:lang w:val="en-US"/>
        </w:rPr>
        <w:br w:type="page"/>
      </w:r>
    </w:p>
    <w:p w14:paraId="39BC21DD" w14:textId="77777777" w:rsidR="009212B7" w:rsidRPr="0075447C" w:rsidRDefault="009212B7" w:rsidP="00135091">
      <w:pPr>
        <w:pStyle w:val="ACMAHeading2"/>
        <w:jc w:val="right"/>
        <w:rPr>
          <w:sz w:val="22"/>
          <w:szCs w:val="22"/>
        </w:rPr>
      </w:pPr>
      <w:bookmarkStart w:id="8" w:name="_GoBack"/>
      <w:bookmarkEnd w:id="8"/>
      <w:r w:rsidRPr="0075447C">
        <w:rPr>
          <w:sz w:val="22"/>
          <w:szCs w:val="22"/>
        </w:rPr>
        <w:lastRenderedPageBreak/>
        <w:t>Attachment B</w:t>
      </w:r>
    </w:p>
    <w:p w14:paraId="016BE372" w14:textId="77777777" w:rsidR="009212B7" w:rsidRPr="00EF7973" w:rsidRDefault="009212B7" w:rsidP="00135091">
      <w:pPr>
        <w:pStyle w:val="ACMAHeading2"/>
        <w:jc w:val="center"/>
      </w:pPr>
      <w:r w:rsidRPr="00135091">
        <w:rPr>
          <w:sz w:val="24"/>
          <w:szCs w:val="24"/>
        </w:rPr>
        <w:t xml:space="preserve">Statement of Compatibility with Human </w:t>
      </w:r>
      <w:r w:rsidRPr="00135091">
        <w:rPr>
          <w:rFonts w:cs="Arial"/>
          <w:sz w:val="24"/>
          <w:szCs w:val="24"/>
        </w:rPr>
        <w:t>Rights</w:t>
      </w:r>
    </w:p>
    <w:p w14:paraId="23013CD2" w14:textId="77777777" w:rsidR="009212B7" w:rsidRDefault="009212B7" w:rsidP="00135091">
      <w:pPr>
        <w:pStyle w:val="acmabodytext0"/>
        <w:spacing w:before="240" w:beforeAutospacing="0"/>
        <w:jc w:val="center"/>
      </w:pPr>
      <w:r w:rsidRPr="002707B2">
        <w:rPr>
          <w:iCs/>
        </w:rPr>
        <w:t>Prepared in accordance with Part 3 of the</w:t>
      </w:r>
      <w:r>
        <w:rPr>
          <w:i/>
          <w:iCs/>
        </w:rPr>
        <w:t xml:space="preserve"> Human Rights (Parliamentary Scrutiny) Act 2011</w:t>
      </w:r>
      <w:r>
        <w:rPr>
          <w:b/>
          <w:bCs/>
          <w:sz w:val="28"/>
          <w:szCs w:val="28"/>
        </w:rPr>
        <w:t> </w:t>
      </w:r>
    </w:p>
    <w:p w14:paraId="018704CF" w14:textId="77777777" w:rsidR="009212B7" w:rsidRDefault="009212B7" w:rsidP="009212B7">
      <w:pPr>
        <w:spacing w:before="100" w:beforeAutospacing="1" w:after="120"/>
        <w:jc w:val="center"/>
      </w:pPr>
      <w:r>
        <w:rPr>
          <w:rFonts w:ascii="Arial" w:hAnsi="Arial" w:cs="Arial"/>
          <w:b/>
          <w:bCs/>
          <w:sz w:val="22"/>
          <w:szCs w:val="22"/>
        </w:rPr>
        <w:t xml:space="preserve">Radiocommunications (Spectrum Licence Allocation – </w:t>
      </w:r>
      <w:r w:rsidR="00DB2849">
        <w:rPr>
          <w:rFonts w:ascii="Arial" w:hAnsi="Arial" w:cs="Arial"/>
          <w:b/>
          <w:bCs/>
          <w:sz w:val="22"/>
          <w:szCs w:val="22"/>
        </w:rPr>
        <w:t xml:space="preserve">1800 MHz Band) </w:t>
      </w:r>
      <w:r>
        <w:rPr>
          <w:rFonts w:ascii="Arial" w:hAnsi="Arial" w:cs="Arial"/>
          <w:b/>
          <w:bCs/>
          <w:sz w:val="22"/>
          <w:szCs w:val="22"/>
        </w:rPr>
        <w:t>Determination 201</w:t>
      </w:r>
      <w:r w:rsidR="00DB2849">
        <w:rPr>
          <w:rFonts w:ascii="Arial" w:hAnsi="Arial" w:cs="Arial"/>
          <w:b/>
          <w:bCs/>
          <w:sz w:val="22"/>
          <w:szCs w:val="22"/>
        </w:rPr>
        <w:t>5</w:t>
      </w:r>
    </w:p>
    <w:p w14:paraId="33D020E0"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 xml:space="preserve">The parts of this legislative instrument that are subject to section 42 (disallowance) of the </w:t>
      </w:r>
      <w:r w:rsidRPr="004F1425">
        <w:rPr>
          <w:rFonts w:ascii="Arial" w:hAnsi="Arial" w:cs="Arial"/>
          <w:i/>
          <w:sz w:val="20"/>
          <w:szCs w:val="20"/>
        </w:rPr>
        <w:t>Legislative Instruments Act 2003</w:t>
      </w:r>
      <w:r w:rsidRPr="00AB3C77">
        <w:rPr>
          <w:rFonts w:ascii="Arial" w:hAnsi="Arial" w:cs="Arial"/>
          <w:sz w:val="20"/>
          <w:szCs w:val="20"/>
        </w:rPr>
        <w:t xml:space="preserve"> (</w:t>
      </w:r>
      <w:r w:rsidRPr="004F1425">
        <w:rPr>
          <w:rFonts w:ascii="Arial" w:hAnsi="Arial" w:cs="Arial"/>
          <w:sz w:val="20"/>
          <w:szCs w:val="20"/>
        </w:rPr>
        <w:t>LIA</w:t>
      </w:r>
      <w:r w:rsidRPr="00AB3C77">
        <w:rPr>
          <w:rFonts w:ascii="Arial" w:hAnsi="Arial" w:cs="Arial"/>
          <w:sz w:val="20"/>
          <w:szCs w:val="20"/>
        </w:rPr>
        <w:t xml:space="preserve">) are compatible with the human rights and freedoms recognised or declared in the international instruments listed in section 3 of the </w:t>
      </w:r>
      <w:r w:rsidRPr="004F1425">
        <w:rPr>
          <w:rFonts w:ascii="Arial" w:hAnsi="Arial" w:cs="Arial"/>
          <w:i/>
          <w:sz w:val="20"/>
          <w:szCs w:val="20"/>
        </w:rPr>
        <w:t>Human Rights (Parliamentary Scrutiny) Act 2011.</w:t>
      </w:r>
    </w:p>
    <w:p w14:paraId="5289FEE4" w14:textId="77777777" w:rsidR="009212B7" w:rsidRPr="00135091" w:rsidRDefault="009212B7" w:rsidP="009212B7">
      <w:pPr>
        <w:pStyle w:val="acmaheading40"/>
        <w:spacing w:before="240" w:beforeAutospacing="0"/>
        <w:rPr>
          <w:rFonts w:ascii="Arial" w:hAnsi="Arial" w:cs="Arial"/>
          <w:b/>
          <w:sz w:val="22"/>
          <w:szCs w:val="22"/>
        </w:rPr>
      </w:pPr>
      <w:r w:rsidRPr="00135091">
        <w:rPr>
          <w:rFonts w:ascii="Arial" w:hAnsi="Arial" w:cs="Arial"/>
          <w:b/>
          <w:sz w:val="22"/>
          <w:szCs w:val="22"/>
          <w:lang w:val="en-US"/>
        </w:rPr>
        <w:t>Overview of the Legislative Instrument</w:t>
      </w:r>
    </w:p>
    <w:p w14:paraId="13043F6E" w14:textId="77777777" w:rsidR="00651115" w:rsidRDefault="00651115"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O</w:t>
      </w:r>
      <w:r w:rsidRPr="00135091">
        <w:rPr>
          <w:rFonts w:ascii="Arial" w:hAnsi="Arial" w:cs="Arial"/>
          <w:sz w:val="20"/>
          <w:szCs w:val="20"/>
        </w:rPr>
        <w:t>n 29 January 2014</w:t>
      </w:r>
      <w:r>
        <w:rPr>
          <w:rFonts w:ascii="Arial" w:hAnsi="Arial" w:cs="Arial"/>
          <w:sz w:val="20"/>
          <w:szCs w:val="20"/>
        </w:rPr>
        <w:t>,</w:t>
      </w:r>
      <w:r w:rsidRPr="00135091">
        <w:rPr>
          <w:rFonts w:ascii="Arial" w:hAnsi="Arial" w:cs="Arial"/>
          <w:sz w:val="20"/>
          <w:szCs w:val="20"/>
        </w:rPr>
        <w:t xml:space="preserve"> the Minister </w:t>
      </w:r>
      <w:r>
        <w:rPr>
          <w:rFonts w:ascii="Arial" w:hAnsi="Arial" w:cs="Arial"/>
          <w:sz w:val="20"/>
          <w:szCs w:val="20"/>
        </w:rPr>
        <w:t xml:space="preserve">for Communications made the </w:t>
      </w:r>
      <w:r w:rsidRPr="004F1425">
        <w:rPr>
          <w:rFonts w:ascii="Arial" w:hAnsi="Arial" w:cs="Arial"/>
          <w:i/>
          <w:sz w:val="20"/>
          <w:szCs w:val="20"/>
        </w:rPr>
        <w:t>Radiocommunications (Spectrum Designation) Notice No. 1 of 2014</w:t>
      </w:r>
      <w:r w:rsidR="00EF6265" w:rsidRPr="00AB3C77">
        <w:rPr>
          <w:rFonts w:ascii="Arial" w:hAnsi="Arial" w:cs="Arial"/>
          <w:sz w:val="20"/>
          <w:szCs w:val="20"/>
        </w:rPr>
        <w:t xml:space="preserve"> </w:t>
      </w:r>
      <w:r w:rsidR="00EF6265">
        <w:rPr>
          <w:rFonts w:ascii="Arial" w:hAnsi="Arial" w:cs="Arial"/>
          <w:sz w:val="20"/>
          <w:szCs w:val="20"/>
        </w:rPr>
        <w:t xml:space="preserve">(the designation notice) under subsection 36(1) of the </w:t>
      </w:r>
      <w:r w:rsidR="00EF6265" w:rsidRPr="004F1425">
        <w:rPr>
          <w:rFonts w:ascii="Arial" w:hAnsi="Arial" w:cs="Arial"/>
          <w:i/>
          <w:sz w:val="20"/>
          <w:szCs w:val="20"/>
        </w:rPr>
        <w:t>Radiocommunications Act 1992</w:t>
      </w:r>
      <w:r w:rsidR="00EF6265" w:rsidRPr="00AB3C77">
        <w:rPr>
          <w:rFonts w:ascii="Arial" w:hAnsi="Arial" w:cs="Arial"/>
          <w:sz w:val="20"/>
          <w:szCs w:val="20"/>
        </w:rPr>
        <w:t xml:space="preserve"> </w:t>
      </w:r>
      <w:r w:rsidR="00EF6265">
        <w:rPr>
          <w:rFonts w:ascii="Arial" w:hAnsi="Arial" w:cs="Arial"/>
          <w:sz w:val="20"/>
          <w:szCs w:val="20"/>
        </w:rPr>
        <w:t xml:space="preserve">(the Act), </w:t>
      </w:r>
      <w:r w:rsidRPr="00651115">
        <w:rPr>
          <w:rFonts w:ascii="Arial" w:hAnsi="Arial" w:cs="Arial"/>
          <w:sz w:val="20"/>
          <w:szCs w:val="20"/>
        </w:rPr>
        <w:t>designating</w:t>
      </w:r>
      <w:r w:rsidRPr="00135091">
        <w:rPr>
          <w:rFonts w:ascii="Arial" w:hAnsi="Arial" w:cs="Arial"/>
          <w:sz w:val="20"/>
          <w:szCs w:val="20"/>
        </w:rPr>
        <w:t xml:space="preserve"> the </w:t>
      </w:r>
      <w:r>
        <w:rPr>
          <w:rFonts w:ascii="Arial" w:hAnsi="Arial" w:cs="Arial"/>
          <w:sz w:val="20"/>
          <w:szCs w:val="20"/>
        </w:rPr>
        <w:t>spectrum within the following frequency ranges and geographic area</w:t>
      </w:r>
      <w:r w:rsidR="004D6D12">
        <w:rPr>
          <w:rFonts w:ascii="Arial" w:hAnsi="Arial" w:cs="Arial"/>
          <w:sz w:val="20"/>
          <w:szCs w:val="20"/>
        </w:rPr>
        <w:t>s</w:t>
      </w:r>
      <w:r>
        <w:rPr>
          <w:rFonts w:ascii="Arial" w:hAnsi="Arial" w:cs="Arial"/>
          <w:sz w:val="20"/>
          <w:szCs w:val="20"/>
        </w:rPr>
        <w:t xml:space="preserve"> as spectrum to be allocated by issuing spectrum licences:</w:t>
      </w:r>
    </w:p>
    <w:p w14:paraId="25022732" w14:textId="77777777" w:rsidR="00651115" w:rsidRDefault="00651115"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17</w:t>
      </w:r>
      <w:r w:rsidR="00462C0B">
        <w:rPr>
          <w:rFonts w:ascii="Arial" w:hAnsi="Arial" w:cs="Arial"/>
          <w:sz w:val="20"/>
          <w:szCs w:val="20"/>
        </w:rPr>
        <w:t>7</w:t>
      </w:r>
      <w:r>
        <w:rPr>
          <w:rFonts w:ascii="Arial" w:hAnsi="Arial" w:cs="Arial"/>
          <w:sz w:val="20"/>
          <w:szCs w:val="20"/>
        </w:rPr>
        <w:t>0 MHz – 1775 MHz and 186</w:t>
      </w:r>
      <w:r w:rsidR="00AD5342">
        <w:rPr>
          <w:rFonts w:ascii="Arial" w:hAnsi="Arial" w:cs="Arial"/>
          <w:sz w:val="20"/>
          <w:szCs w:val="20"/>
        </w:rPr>
        <w:t>5</w:t>
      </w:r>
      <w:r>
        <w:rPr>
          <w:rFonts w:ascii="Arial" w:hAnsi="Arial" w:cs="Arial"/>
          <w:sz w:val="20"/>
          <w:szCs w:val="20"/>
        </w:rPr>
        <w:t xml:space="preserve"> </w:t>
      </w:r>
      <w:r w:rsidR="004D6D12">
        <w:rPr>
          <w:rFonts w:ascii="Arial" w:hAnsi="Arial" w:cs="Arial"/>
          <w:sz w:val="20"/>
          <w:szCs w:val="20"/>
        </w:rPr>
        <w:t xml:space="preserve">MHz </w:t>
      </w:r>
      <w:r>
        <w:rPr>
          <w:rFonts w:ascii="Arial" w:hAnsi="Arial" w:cs="Arial"/>
          <w:sz w:val="20"/>
          <w:szCs w:val="20"/>
        </w:rPr>
        <w:t>– 1870 MHz in Adelaide;</w:t>
      </w:r>
    </w:p>
    <w:p w14:paraId="5EA66089" w14:textId="4EEE5F82" w:rsidR="00651115" w:rsidRDefault="00651115"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 xml:space="preserve">1710 </w:t>
      </w:r>
      <w:r w:rsidR="004D6D12">
        <w:rPr>
          <w:rFonts w:ascii="Arial" w:hAnsi="Arial" w:cs="Arial"/>
          <w:sz w:val="20"/>
          <w:szCs w:val="20"/>
        </w:rPr>
        <w:t xml:space="preserve">MHz </w:t>
      </w:r>
      <w:r>
        <w:rPr>
          <w:rFonts w:ascii="Arial" w:hAnsi="Arial" w:cs="Arial"/>
          <w:sz w:val="20"/>
          <w:szCs w:val="20"/>
        </w:rPr>
        <w:t xml:space="preserve">– 1712.5 MHz and 1805 </w:t>
      </w:r>
      <w:r w:rsidR="004D6D12">
        <w:rPr>
          <w:rFonts w:ascii="Arial" w:hAnsi="Arial" w:cs="Arial"/>
          <w:sz w:val="20"/>
          <w:szCs w:val="20"/>
        </w:rPr>
        <w:t xml:space="preserve">MHz </w:t>
      </w:r>
      <w:r>
        <w:rPr>
          <w:rFonts w:ascii="Arial" w:hAnsi="Arial" w:cs="Arial"/>
          <w:sz w:val="20"/>
          <w:szCs w:val="20"/>
        </w:rPr>
        <w:t xml:space="preserve">– 1807.5 MHz in </w:t>
      </w:r>
      <w:r w:rsidR="00396044">
        <w:rPr>
          <w:rFonts w:ascii="Arial" w:hAnsi="Arial" w:cs="Arial"/>
          <w:sz w:val="20"/>
          <w:szCs w:val="20"/>
        </w:rPr>
        <w:t>r</w:t>
      </w:r>
      <w:r>
        <w:rPr>
          <w:rFonts w:ascii="Arial" w:hAnsi="Arial" w:cs="Arial"/>
          <w:sz w:val="20"/>
          <w:szCs w:val="20"/>
        </w:rPr>
        <w:t>egional South Australia; and</w:t>
      </w:r>
    </w:p>
    <w:p w14:paraId="2FD24A87" w14:textId="77777777" w:rsidR="00651115" w:rsidRDefault="00651115"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 xml:space="preserve">1710 </w:t>
      </w:r>
      <w:r w:rsidR="004D6D12">
        <w:rPr>
          <w:rFonts w:ascii="Arial" w:hAnsi="Arial" w:cs="Arial"/>
          <w:sz w:val="20"/>
          <w:szCs w:val="20"/>
        </w:rPr>
        <w:t xml:space="preserve">MHz </w:t>
      </w:r>
      <w:r>
        <w:rPr>
          <w:rFonts w:ascii="Arial" w:hAnsi="Arial" w:cs="Arial"/>
          <w:sz w:val="20"/>
          <w:szCs w:val="20"/>
        </w:rPr>
        <w:t xml:space="preserve">– 1712.5 MHz and 1805 </w:t>
      </w:r>
      <w:r w:rsidR="004D6D12">
        <w:rPr>
          <w:rFonts w:ascii="Arial" w:hAnsi="Arial" w:cs="Arial"/>
          <w:sz w:val="20"/>
          <w:szCs w:val="20"/>
        </w:rPr>
        <w:t xml:space="preserve">MHz </w:t>
      </w:r>
      <w:r>
        <w:rPr>
          <w:rFonts w:ascii="Arial" w:hAnsi="Arial" w:cs="Arial"/>
          <w:sz w:val="20"/>
          <w:szCs w:val="20"/>
        </w:rPr>
        <w:t>– 1807.5 MHz in Cairns/Townsville</w:t>
      </w:r>
      <w:r w:rsidR="00AD5342">
        <w:rPr>
          <w:rFonts w:ascii="Arial" w:hAnsi="Arial" w:cs="Arial"/>
          <w:sz w:val="20"/>
          <w:szCs w:val="20"/>
        </w:rPr>
        <w:t>.</w:t>
      </w:r>
    </w:p>
    <w:p w14:paraId="5E797558" w14:textId="4A2B7E17" w:rsidR="009212B7" w:rsidRPr="00AB3C77" w:rsidRDefault="00651115"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 xml:space="preserve">On 26 May 2015, the Minister made the </w:t>
      </w:r>
      <w:r w:rsidR="00EF6265" w:rsidRPr="004F1425">
        <w:rPr>
          <w:rFonts w:ascii="Arial" w:hAnsi="Arial" w:cs="Arial"/>
          <w:i/>
          <w:sz w:val="20"/>
          <w:szCs w:val="20"/>
        </w:rPr>
        <w:t xml:space="preserve">Radiocommunications (Spectrum </w:t>
      </w:r>
      <w:r w:rsidR="00396044" w:rsidRPr="004F1425">
        <w:rPr>
          <w:rFonts w:ascii="Arial" w:hAnsi="Arial" w:cs="Arial"/>
          <w:i/>
          <w:sz w:val="20"/>
          <w:szCs w:val="20"/>
        </w:rPr>
        <w:t>Re-allocation</w:t>
      </w:r>
      <w:r w:rsidR="00EF6265" w:rsidRPr="004F1425">
        <w:rPr>
          <w:rFonts w:ascii="Arial" w:hAnsi="Arial" w:cs="Arial"/>
          <w:i/>
          <w:sz w:val="20"/>
          <w:szCs w:val="20"/>
        </w:rPr>
        <w:t>―Regional 1800 MHz Band) Declaration 2015</w:t>
      </w:r>
      <w:r w:rsidR="00EF6265" w:rsidRPr="00AB3C77">
        <w:rPr>
          <w:rFonts w:ascii="Arial" w:hAnsi="Arial" w:cs="Arial"/>
          <w:sz w:val="20"/>
          <w:szCs w:val="20"/>
        </w:rPr>
        <w:t xml:space="preserve"> </w:t>
      </w:r>
      <w:r w:rsidR="009212B7" w:rsidRPr="00AB3C77">
        <w:rPr>
          <w:rFonts w:ascii="Arial" w:hAnsi="Arial" w:cs="Arial"/>
          <w:sz w:val="20"/>
          <w:szCs w:val="20"/>
        </w:rPr>
        <w:t xml:space="preserve">(the re-allocation declaration) under </w:t>
      </w:r>
      <w:r w:rsidR="00396044" w:rsidRPr="00AB3C77">
        <w:rPr>
          <w:rFonts w:ascii="Arial" w:hAnsi="Arial" w:cs="Arial"/>
          <w:sz w:val="20"/>
          <w:szCs w:val="20"/>
        </w:rPr>
        <w:t>sub</w:t>
      </w:r>
      <w:r w:rsidR="009212B7" w:rsidRPr="00AB3C77">
        <w:rPr>
          <w:rFonts w:ascii="Arial" w:hAnsi="Arial" w:cs="Arial"/>
          <w:sz w:val="20"/>
          <w:szCs w:val="20"/>
        </w:rPr>
        <w:t>section 153B</w:t>
      </w:r>
      <w:r w:rsidR="00396044" w:rsidRPr="00AB3C77">
        <w:rPr>
          <w:rFonts w:ascii="Arial" w:hAnsi="Arial" w:cs="Arial"/>
          <w:sz w:val="20"/>
          <w:szCs w:val="20"/>
        </w:rPr>
        <w:t>(1)</w:t>
      </w:r>
      <w:r w:rsidR="009212B7" w:rsidRPr="00AB3C77">
        <w:rPr>
          <w:rFonts w:ascii="Arial" w:hAnsi="Arial" w:cs="Arial"/>
          <w:sz w:val="20"/>
          <w:szCs w:val="20"/>
        </w:rPr>
        <w:t xml:space="preserve"> of the Act.</w:t>
      </w:r>
      <w:r w:rsidR="00396044" w:rsidRPr="00AB3C77">
        <w:rPr>
          <w:rFonts w:ascii="Arial" w:hAnsi="Arial" w:cs="Arial"/>
          <w:sz w:val="20"/>
          <w:szCs w:val="20"/>
        </w:rPr>
        <w:t xml:space="preserve"> </w:t>
      </w:r>
      <w:r w:rsidR="009212B7" w:rsidRPr="00AB3C77">
        <w:rPr>
          <w:rFonts w:ascii="Arial" w:hAnsi="Arial" w:cs="Arial"/>
          <w:sz w:val="20"/>
          <w:szCs w:val="20"/>
        </w:rPr>
        <w:t>The re-allocation declaration make</w:t>
      </w:r>
      <w:r w:rsidR="00C80D9E" w:rsidRPr="00AB3C77">
        <w:rPr>
          <w:rFonts w:ascii="Arial" w:hAnsi="Arial" w:cs="Arial"/>
          <w:sz w:val="20"/>
          <w:szCs w:val="20"/>
        </w:rPr>
        <w:t>s</w:t>
      </w:r>
      <w:r w:rsidR="009212B7" w:rsidRPr="00AB3C77">
        <w:rPr>
          <w:rFonts w:ascii="Arial" w:hAnsi="Arial" w:cs="Arial"/>
          <w:sz w:val="20"/>
          <w:szCs w:val="20"/>
        </w:rPr>
        <w:t xml:space="preserve"> the parts of the spectrum from</w:t>
      </w:r>
      <w:r w:rsidR="00EF6265" w:rsidRPr="00AB3C77">
        <w:rPr>
          <w:rFonts w:ascii="Arial" w:hAnsi="Arial" w:cs="Arial"/>
          <w:sz w:val="20"/>
          <w:szCs w:val="20"/>
        </w:rPr>
        <w:t xml:space="preserve"> 1725 MHz to 1785 MHz and 1820 MHz to 1880 MHz in </w:t>
      </w:r>
      <w:r w:rsidR="00396044" w:rsidRPr="00AB3C77">
        <w:rPr>
          <w:rFonts w:ascii="Arial" w:hAnsi="Arial" w:cs="Arial"/>
          <w:sz w:val="20"/>
          <w:szCs w:val="20"/>
        </w:rPr>
        <w:t xml:space="preserve">specified areas of </w:t>
      </w:r>
      <w:r w:rsidR="00EF6265" w:rsidRPr="00AB3C77">
        <w:rPr>
          <w:rFonts w:ascii="Arial" w:hAnsi="Arial" w:cs="Arial"/>
          <w:sz w:val="20"/>
          <w:szCs w:val="20"/>
        </w:rPr>
        <w:t xml:space="preserve">regional Australia, </w:t>
      </w:r>
      <w:r w:rsidR="009212B7" w:rsidRPr="00AB3C77">
        <w:rPr>
          <w:rFonts w:ascii="Arial" w:hAnsi="Arial" w:cs="Arial"/>
          <w:sz w:val="20"/>
          <w:szCs w:val="20"/>
        </w:rPr>
        <w:t xml:space="preserve">subject to re-allocation by issuing spectrum licences. </w:t>
      </w:r>
    </w:p>
    <w:p w14:paraId="7497ABC6"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Under subsection 60(1) of the Act, the Australian Communications and Media Authority (the ACMA) must determine the procedures for allocating spectrum licences by auction, tender or for a pre-determined or negotiated price. This legislative instrument is the determination required by that section.</w:t>
      </w:r>
    </w:p>
    <w:p w14:paraId="79A5BFF7"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Under subsection 294(1) of the Act, the ACMA may also make determinations fixing spectrum access charges payable by licensees for issuing spectrum licen</w:t>
      </w:r>
      <w:r w:rsidR="00AD5342" w:rsidRPr="00AB3C77">
        <w:rPr>
          <w:rFonts w:ascii="Arial" w:hAnsi="Arial" w:cs="Arial"/>
          <w:sz w:val="20"/>
          <w:szCs w:val="20"/>
        </w:rPr>
        <w:t>c</w:t>
      </w:r>
      <w:r w:rsidRPr="00AB3C77">
        <w:rPr>
          <w:rFonts w:ascii="Arial" w:hAnsi="Arial" w:cs="Arial"/>
          <w:sz w:val="20"/>
          <w:szCs w:val="20"/>
        </w:rPr>
        <w:t>es and specifying the time when spectrum access charges are payable. To the extent that this legislative instrument fixes the spectrum access charges payable by licensees for issuing spectrum licen</w:t>
      </w:r>
      <w:r w:rsidR="00AD5342" w:rsidRPr="00AB3C77">
        <w:rPr>
          <w:rFonts w:ascii="Arial" w:hAnsi="Arial" w:cs="Arial"/>
          <w:sz w:val="20"/>
          <w:szCs w:val="20"/>
        </w:rPr>
        <w:t>c</w:t>
      </w:r>
      <w:r w:rsidRPr="00AB3C77">
        <w:rPr>
          <w:rFonts w:ascii="Arial" w:hAnsi="Arial" w:cs="Arial"/>
          <w:sz w:val="20"/>
          <w:szCs w:val="20"/>
        </w:rPr>
        <w:t>es as a result of the auction</w:t>
      </w:r>
      <w:r w:rsidR="00AD5342" w:rsidRPr="00AB3C77">
        <w:rPr>
          <w:rFonts w:ascii="Arial" w:hAnsi="Arial" w:cs="Arial"/>
          <w:sz w:val="20"/>
          <w:szCs w:val="20"/>
        </w:rPr>
        <w:t xml:space="preserve"> or allocation for a pre-determined price</w:t>
      </w:r>
      <w:r w:rsidRPr="00AB3C77">
        <w:rPr>
          <w:rFonts w:ascii="Arial" w:hAnsi="Arial" w:cs="Arial"/>
          <w:sz w:val="20"/>
          <w:szCs w:val="20"/>
        </w:rPr>
        <w:t xml:space="preserve"> and the timing of such payments, this legislative instrument is also a determination made under subsection 294(1) of the Act.</w:t>
      </w:r>
    </w:p>
    <w:p w14:paraId="66C25C71"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 xml:space="preserve">Subsection 9(1) of the </w:t>
      </w:r>
      <w:r w:rsidRPr="004F1425">
        <w:rPr>
          <w:rFonts w:ascii="Arial" w:hAnsi="Arial" w:cs="Arial"/>
          <w:i/>
          <w:sz w:val="20"/>
          <w:szCs w:val="20"/>
        </w:rPr>
        <w:t>Human Rights (Parliamentary Scrutiny) Act 2011</w:t>
      </w:r>
      <w:r w:rsidRPr="00AB3C77">
        <w:rPr>
          <w:rFonts w:ascii="Arial" w:hAnsi="Arial" w:cs="Arial"/>
          <w:sz w:val="20"/>
          <w:szCs w:val="20"/>
        </w:rPr>
        <w:t xml:space="preserve"> requires the rule-maker, in relation to a legislative instrument to which section 42 (disallowance) of the </w:t>
      </w:r>
      <w:r w:rsidR="00EF6265" w:rsidRPr="00AB3C77">
        <w:rPr>
          <w:rFonts w:ascii="Arial" w:hAnsi="Arial" w:cs="Arial"/>
          <w:sz w:val="20"/>
          <w:szCs w:val="20"/>
        </w:rPr>
        <w:t>LIA</w:t>
      </w:r>
      <w:r w:rsidRPr="00AB3C77">
        <w:rPr>
          <w:rFonts w:ascii="Arial" w:hAnsi="Arial" w:cs="Arial"/>
          <w:sz w:val="20"/>
          <w:szCs w:val="20"/>
        </w:rPr>
        <w:t xml:space="preserve"> applies, to cause a statement of compatibility to be prepared in respect of that legislative instrument.</w:t>
      </w:r>
    </w:p>
    <w:p w14:paraId="496142AD"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 xml:space="preserve">To the extent that the legislative instrument is a determination under subsection 60(1) of the Act, the instrument is not subject to disallowance under section 42 of the </w:t>
      </w:r>
      <w:r w:rsidR="00EF6265" w:rsidRPr="00AB3C77">
        <w:rPr>
          <w:rFonts w:ascii="Arial" w:hAnsi="Arial" w:cs="Arial"/>
          <w:sz w:val="20"/>
          <w:szCs w:val="20"/>
        </w:rPr>
        <w:t>LIA</w:t>
      </w:r>
      <w:r w:rsidRPr="00AB3C77">
        <w:rPr>
          <w:rFonts w:ascii="Arial" w:hAnsi="Arial" w:cs="Arial"/>
          <w:sz w:val="20"/>
          <w:szCs w:val="20"/>
        </w:rPr>
        <w:t>. This is because:</w:t>
      </w:r>
    </w:p>
    <w:p w14:paraId="3347C8B5"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 xml:space="preserve">(a)            item 35 in subsection 44(2) of the </w:t>
      </w:r>
      <w:r w:rsidR="00EF6265">
        <w:rPr>
          <w:rFonts w:ascii="Arial" w:hAnsi="Arial" w:cs="Arial"/>
          <w:sz w:val="20"/>
          <w:szCs w:val="20"/>
        </w:rPr>
        <w:t>LIA</w:t>
      </w:r>
      <w:r>
        <w:rPr>
          <w:rFonts w:ascii="Arial" w:hAnsi="Arial" w:cs="Arial"/>
          <w:sz w:val="20"/>
          <w:szCs w:val="20"/>
        </w:rPr>
        <w:t xml:space="preserve"> provides that instruments made under subsection 60(1) of the Act will not be subject to disallowance, unless the instrument is subject to disallowance under its enabling legislation or by the means of some other Act; and</w:t>
      </w:r>
    </w:p>
    <w:p w14:paraId="63EB83C5"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Pr>
          <w:rFonts w:ascii="Arial" w:hAnsi="Arial" w:cs="Arial"/>
          <w:sz w:val="20"/>
          <w:szCs w:val="20"/>
        </w:rPr>
        <w:t xml:space="preserve">(b)            the Act does not provide for an instrument made under subsection 60(1) to be subject to disallowance. </w:t>
      </w:r>
    </w:p>
    <w:p w14:paraId="571304BC" w14:textId="4AFA8174" w:rsidR="009212B7" w:rsidRPr="00AB3C77" w:rsidRDefault="009212B7"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lastRenderedPageBreak/>
        <w:t xml:space="preserve"> To the extent that this legislative instrument is a determination under subsection 294(1) of the Act, this legislative instrument is subject to disallowance under section 42 of the </w:t>
      </w:r>
      <w:r w:rsidR="00EF6265" w:rsidRPr="00AB3C77">
        <w:rPr>
          <w:rFonts w:ascii="Arial" w:hAnsi="Arial" w:cs="Arial"/>
          <w:sz w:val="20"/>
          <w:szCs w:val="20"/>
        </w:rPr>
        <w:t>LIA</w:t>
      </w:r>
      <w:r w:rsidRPr="00AB3C77">
        <w:rPr>
          <w:rFonts w:ascii="Arial" w:hAnsi="Arial" w:cs="Arial"/>
          <w:sz w:val="20"/>
          <w:szCs w:val="20"/>
        </w:rPr>
        <w:t>.</w:t>
      </w:r>
    </w:p>
    <w:p w14:paraId="0FA972DF"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 xml:space="preserve">This statement of compatibility has been prepared only with respect to those parts of the legislative instrument to which section 42 (disallowance) of the </w:t>
      </w:r>
      <w:r w:rsidR="00EF6265" w:rsidRPr="00AB3C77">
        <w:rPr>
          <w:rFonts w:ascii="Arial" w:hAnsi="Arial" w:cs="Arial"/>
          <w:sz w:val="20"/>
          <w:szCs w:val="20"/>
        </w:rPr>
        <w:t>LIA</w:t>
      </w:r>
      <w:r w:rsidRPr="00AB3C77">
        <w:rPr>
          <w:rFonts w:ascii="Arial" w:hAnsi="Arial" w:cs="Arial"/>
          <w:sz w:val="20"/>
          <w:szCs w:val="20"/>
        </w:rPr>
        <w:t xml:space="preserve"> applies, that is, the parts that are made under subsection 294(1) of the Act. </w:t>
      </w:r>
    </w:p>
    <w:p w14:paraId="72A88EEE" w14:textId="77777777" w:rsidR="009212B7" w:rsidRPr="00135091" w:rsidRDefault="009212B7" w:rsidP="009212B7">
      <w:pPr>
        <w:pStyle w:val="acmaheading40"/>
        <w:spacing w:before="240" w:beforeAutospacing="0"/>
        <w:rPr>
          <w:rFonts w:ascii="Arial" w:hAnsi="Arial" w:cs="Arial"/>
          <w:b/>
          <w:sz w:val="22"/>
          <w:szCs w:val="22"/>
        </w:rPr>
      </w:pPr>
      <w:r w:rsidRPr="00135091">
        <w:rPr>
          <w:rFonts w:ascii="Arial" w:hAnsi="Arial" w:cs="Arial"/>
          <w:b/>
          <w:sz w:val="22"/>
          <w:szCs w:val="22"/>
          <w:lang w:val="en-US"/>
        </w:rPr>
        <w:t>Human Rights Implications</w:t>
      </w:r>
    </w:p>
    <w:p w14:paraId="478029F6" w14:textId="77777777" w:rsidR="009212B7" w:rsidRPr="00AB3C77" w:rsidRDefault="009212B7" w:rsidP="00AB3C77">
      <w:pPr>
        <w:autoSpaceDE w:val="0"/>
        <w:autoSpaceDN w:val="0"/>
        <w:adjustRightInd w:val="0"/>
        <w:spacing w:before="180" w:line="260" w:lineRule="exact"/>
        <w:rPr>
          <w:rFonts w:ascii="Arial" w:hAnsi="Arial" w:cs="Arial"/>
          <w:sz w:val="20"/>
          <w:szCs w:val="20"/>
        </w:rPr>
      </w:pPr>
      <w:r w:rsidRPr="00AB3C77">
        <w:rPr>
          <w:rFonts w:ascii="Arial" w:hAnsi="Arial" w:cs="Arial"/>
          <w:sz w:val="20"/>
          <w:szCs w:val="20"/>
        </w:rPr>
        <w:t xml:space="preserve">The parts of this legislative instrument that are subject to section 42 (disallowance) of the </w:t>
      </w:r>
      <w:r w:rsidR="00EF6265" w:rsidRPr="00AB3C77">
        <w:rPr>
          <w:rFonts w:ascii="Arial" w:hAnsi="Arial" w:cs="Arial"/>
          <w:sz w:val="20"/>
          <w:szCs w:val="20"/>
        </w:rPr>
        <w:t>LIA</w:t>
      </w:r>
      <w:r w:rsidRPr="00AB3C77">
        <w:rPr>
          <w:rFonts w:ascii="Arial" w:hAnsi="Arial" w:cs="Arial"/>
          <w:sz w:val="20"/>
          <w:szCs w:val="20"/>
        </w:rPr>
        <w:t xml:space="preserve"> do not engage any of the applicable rights or freedoms.</w:t>
      </w:r>
    </w:p>
    <w:p w14:paraId="1AD6929E" w14:textId="77777777" w:rsidR="009212B7" w:rsidRPr="00135091" w:rsidRDefault="009212B7" w:rsidP="009212B7">
      <w:pPr>
        <w:pStyle w:val="acmaheading40"/>
        <w:spacing w:before="240" w:beforeAutospacing="0"/>
        <w:rPr>
          <w:rFonts w:ascii="Arial" w:hAnsi="Arial" w:cs="Arial"/>
          <w:b/>
          <w:sz w:val="22"/>
          <w:szCs w:val="22"/>
        </w:rPr>
      </w:pPr>
      <w:r w:rsidRPr="00135091">
        <w:rPr>
          <w:rFonts w:ascii="Arial" w:hAnsi="Arial" w:cs="Arial"/>
          <w:b/>
          <w:sz w:val="22"/>
          <w:szCs w:val="22"/>
          <w:lang w:val="en-US"/>
        </w:rPr>
        <w:t>Conclusion</w:t>
      </w:r>
    </w:p>
    <w:p w14:paraId="34C37F7B" w14:textId="77777777" w:rsidR="009E0BD8" w:rsidRDefault="009212B7" w:rsidP="009212B7">
      <w:pPr>
        <w:pStyle w:val="R2"/>
        <w:tabs>
          <w:tab w:val="clear" w:pos="964"/>
          <w:tab w:val="left" w:pos="0"/>
        </w:tabs>
        <w:ind w:left="0" w:firstLine="0"/>
        <w:rPr>
          <w:rFonts w:ascii="Arial" w:hAnsi="Arial" w:cs="Arial"/>
          <w:sz w:val="20"/>
          <w:lang w:eastAsia="en-AU"/>
        </w:rPr>
      </w:pPr>
      <w:r w:rsidRPr="00AB3C77">
        <w:rPr>
          <w:rFonts w:ascii="Arial" w:hAnsi="Arial" w:cs="Arial"/>
          <w:sz w:val="20"/>
          <w:lang w:eastAsia="en-AU"/>
        </w:rPr>
        <w:t xml:space="preserve">The parts of this legislative instrument that are subject to section 42 (disallowance) of the </w:t>
      </w:r>
      <w:r w:rsidR="00EF6265" w:rsidRPr="00AB3C77">
        <w:rPr>
          <w:rFonts w:ascii="Arial" w:hAnsi="Arial" w:cs="Arial"/>
          <w:sz w:val="20"/>
          <w:lang w:eastAsia="en-AU"/>
        </w:rPr>
        <w:t>LIA</w:t>
      </w:r>
      <w:r w:rsidRPr="00AB3C77">
        <w:rPr>
          <w:rFonts w:ascii="Arial" w:hAnsi="Arial" w:cs="Arial"/>
          <w:sz w:val="20"/>
          <w:lang w:eastAsia="en-AU"/>
        </w:rPr>
        <w:t xml:space="preserve"> are compatible with human rights as they do not raise any human rights issues.</w:t>
      </w:r>
    </w:p>
    <w:p w14:paraId="4AFE617B" w14:textId="77777777" w:rsidR="00236FA7" w:rsidRPr="00AB3C77" w:rsidRDefault="00236FA7" w:rsidP="00236FA7">
      <w:pPr>
        <w:pStyle w:val="Note"/>
        <w:rPr>
          <w:rFonts w:ascii="Arial" w:hAnsi="Arial" w:cs="Arial"/>
          <w:szCs w:val="20"/>
        </w:rPr>
      </w:pPr>
    </w:p>
    <w:sectPr w:rsidR="00236FA7" w:rsidRPr="00AB3C77" w:rsidSect="00A56B1A">
      <w:pgSz w:w="11899" w:h="16838"/>
      <w:pgMar w:top="1134" w:right="1409"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39C7" w14:textId="77777777" w:rsidR="004819F3" w:rsidRDefault="004819F3">
      <w:r>
        <w:separator/>
      </w:r>
    </w:p>
  </w:endnote>
  <w:endnote w:type="continuationSeparator" w:id="0">
    <w:p w14:paraId="4129DF94" w14:textId="77777777" w:rsidR="004819F3" w:rsidRDefault="0048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53F1C" w14:textId="77777777" w:rsidR="004819F3" w:rsidRDefault="004819F3" w:rsidP="00B063EE">
    <w:pPr>
      <w:pStyle w:val="Footer"/>
      <w:jc w:val="center"/>
    </w:pPr>
    <w:r>
      <w:fldChar w:fldCharType="begin"/>
    </w:r>
    <w:r>
      <w:instrText xml:space="preserve"> PAGE   \* MERGEFORMAT </w:instrText>
    </w:r>
    <w:r>
      <w:fldChar w:fldCharType="separate"/>
    </w:r>
    <w:r w:rsidR="0075447C">
      <w:rPr>
        <w:noProof/>
      </w:rPr>
      <w:t>6</w:t>
    </w:r>
    <w:r>
      <w:fldChar w:fldCharType="end"/>
    </w:r>
  </w:p>
  <w:p w14:paraId="0742E114" w14:textId="77777777" w:rsidR="004819F3" w:rsidRDefault="00481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B7D91" w14:textId="77777777" w:rsidR="004819F3" w:rsidRDefault="004819F3">
    <w:pPr>
      <w:pStyle w:val="Footer"/>
      <w:jc w:val="center"/>
    </w:pPr>
    <w:r>
      <w:fldChar w:fldCharType="begin"/>
    </w:r>
    <w:r>
      <w:instrText xml:space="preserve"> PAGE   \* MERGEFORMAT </w:instrText>
    </w:r>
    <w:r>
      <w:fldChar w:fldCharType="separate"/>
    </w:r>
    <w:r w:rsidR="0075447C">
      <w:rPr>
        <w:noProof/>
      </w:rPr>
      <w:t>39</w:t>
    </w:r>
    <w:r>
      <w:fldChar w:fldCharType="end"/>
    </w:r>
  </w:p>
  <w:p w14:paraId="033CF8F3" w14:textId="77777777" w:rsidR="004819F3" w:rsidRDefault="004819F3" w:rsidP="001A2826">
    <w:pPr>
      <w:pStyle w:val="Footer"/>
      <w:tabs>
        <w:tab w:val="clear" w:pos="8640"/>
        <w:tab w:val="right" w:pos="82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8E298" w14:textId="77777777" w:rsidR="004819F3" w:rsidRDefault="004819F3">
      <w:r>
        <w:separator/>
      </w:r>
    </w:p>
  </w:footnote>
  <w:footnote w:type="continuationSeparator" w:id="0">
    <w:p w14:paraId="72C8ECB4" w14:textId="77777777" w:rsidR="004819F3" w:rsidRDefault="004819F3">
      <w:r>
        <w:continuationSeparator/>
      </w:r>
    </w:p>
  </w:footnote>
  <w:footnote w:id="1">
    <w:p w14:paraId="670A49CF" w14:textId="3C555B41" w:rsidR="004819F3" w:rsidRPr="00402D9D" w:rsidRDefault="004819F3" w:rsidP="00402D9D">
      <w:pPr>
        <w:pStyle w:val="CommentText"/>
        <w:rPr>
          <w:rFonts w:asciiTheme="minorHAnsi" w:hAnsiTheme="minorHAnsi" w:cs="Arial"/>
          <w:sz w:val="18"/>
          <w:szCs w:val="18"/>
          <w:lang w:val="en-US" w:eastAsia="en-US"/>
        </w:rPr>
      </w:pPr>
      <w:r>
        <w:rPr>
          <w:rStyle w:val="FootnoteReference"/>
        </w:rPr>
        <w:footnoteRef/>
      </w:r>
      <w:r>
        <w:t xml:space="preserve"> </w:t>
      </w:r>
      <w:r w:rsidRPr="00402D9D">
        <w:rPr>
          <w:rFonts w:asciiTheme="minorHAnsi" w:hAnsiTheme="minorHAnsi" w:cs="Arial"/>
          <w:sz w:val="18"/>
          <w:szCs w:val="18"/>
          <w:lang w:val="en-US" w:eastAsia="en-US"/>
        </w:rPr>
        <w:t xml:space="preserve">Note 1 For references to Commonwealth Acts, see section 10 of the </w:t>
      </w:r>
      <w:r w:rsidRPr="007E36D0">
        <w:rPr>
          <w:rFonts w:asciiTheme="minorHAnsi" w:hAnsiTheme="minorHAnsi" w:cs="Arial"/>
          <w:i/>
          <w:sz w:val="18"/>
          <w:szCs w:val="18"/>
          <w:lang w:val="en-US" w:eastAsia="en-US"/>
        </w:rPr>
        <w:t>Acts Interpretation Act 1901</w:t>
      </w:r>
      <w:r w:rsidRPr="00402D9D">
        <w:rPr>
          <w:rFonts w:asciiTheme="minorHAnsi" w:hAnsiTheme="minorHAnsi" w:cs="Arial"/>
          <w:sz w:val="18"/>
          <w:szCs w:val="18"/>
          <w:lang w:val="en-US" w:eastAsia="en-US"/>
        </w:rPr>
        <w:t xml:space="preserve">; and see also subsection 13(1) of the </w:t>
      </w:r>
      <w:r>
        <w:rPr>
          <w:rFonts w:asciiTheme="minorHAnsi" w:hAnsiTheme="minorHAnsi" w:cs="Arial"/>
          <w:i/>
          <w:sz w:val="18"/>
          <w:szCs w:val="18"/>
          <w:lang w:val="en-US" w:eastAsia="en-US"/>
        </w:rPr>
        <w:t>Legislative Instruments A</w:t>
      </w:r>
      <w:r w:rsidRPr="007E36D0">
        <w:rPr>
          <w:rFonts w:asciiTheme="minorHAnsi" w:hAnsiTheme="minorHAnsi" w:cs="Arial"/>
          <w:i/>
          <w:sz w:val="18"/>
          <w:szCs w:val="18"/>
          <w:lang w:val="en-US" w:eastAsia="en-US"/>
        </w:rPr>
        <w:t>ct 2003</w:t>
      </w:r>
      <w:r w:rsidRPr="00402D9D">
        <w:rPr>
          <w:rFonts w:asciiTheme="minorHAnsi" w:hAnsiTheme="minorHAnsi" w:cs="Arial"/>
          <w:sz w:val="18"/>
          <w:szCs w:val="18"/>
          <w:lang w:val="en-US" w:eastAsia="en-US"/>
        </w:rPr>
        <w:t xml:space="preserve"> for the application of the </w:t>
      </w:r>
      <w:r w:rsidRPr="007E36D0">
        <w:rPr>
          <w:rFonts w:asciiTheme="minorHAnsi" w:hAnsiTheme="minorHAnsi" w:cs="Arial"/>
          <w:i/>
          <w:sz w:val="18"/>
          <w:szCs w:val="18"/>
          <w:lang w:val="en-US" w:eastAsia="en-US"/>
        </w:rPr>
        <w:t>Acts Interpretation Act 1901</w:t>
      </w:r>
      <w:r w:rsidRPr="00402D9D">
        <w:rPr>
          <w:rFonts w:asciiTheme="minorHAnsi" w:hAnsiTheme="minorHAnsi" w:cs="Arial"/>
          <w:sz w:val="18"/>
          <w:szCs w:val="18"/>
          <w:lang w:val="en-US" w:eastAsia="en-US"/>
        </w:rPr>
        <w:t xml:space="preserve"> to legislative instruments.</w:t>
      </w:r>
    </w:p>
    <w:p w14:paraId="10BE8A41" w14:textId="77777777" w:rsidR="004819F3" w:rsidRPr="00402D9D" w:rsidRDefault="004819F3" w:rsidP="00402D9D">
      <w:pPr>
        <w:pStyle w:val="CommentText"/>
        <w:rPr>
          <w:rFonts w:asciiTheme="minorHAnsi" w:hAnsiTheme="minorHAnsi" w:cs="Arial"/>
          <w:sz w:val="18"/>
          <w:szCs w:val="18"/>
          <w:lang w:val="en-US" w:eastAsia="en-US"/>
        </w:rPr>
      </w:pPr>
    </w:p>
    <w:p w14:paraId="78CAA358" w14:textId="77777777" w:rsidR="004819F3" w:rsidRPr="00402D9D" w:rsidRDefault="004819F3" w:rsidP="00402D9D">
      <w:pPr>
        <w:pStyle w:val="CommentText"/>
        <w:rPr>
          <w:rFonts w:asciiTheme="minorHAnsi" w:hAnsiTheme="minorHAnsi"/>
          <w:sz w:val="18"/>
          <w:szCs w:val="18"/>
        </w:rPr>
      </w:pPr>
      <w:r w:rsidRPr="00402D9D">
        <w:rPr>
          <w:rFonts w:asciiTheme="minorHAnsi" w:hAnsiTheme="minorHAnsi" w:cs="Arial"/>
          <w:sz w:val="18"/>
          <w:szCs w:val="18"/>
          <w:lang w:val="en-US" w:eastAsia="en-US"/>
        </w:rPr>
        <w:t>Note 2 All Commonwealth Acts and legislative instruments are available on the ComLaw website at http:www.comlaw.gov.au</w:t>
      </w:r>
      <w:r>
        <w:rPr>
          <w:rFonts w:asciiTheme="minorHAnsi" w:hAnsiTheme="minorHAnsi" w:cs="Arial"/>
          <w:sz w:val="18"/>
          <w:szCs w:val="18"/>
          <w:lang w:val="en-US"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33600D2"/>
    <w:lvl w:ilvl="0">
      <w:start w:val="1"/>
      <w:numFmt w:val="bullet"/>
      <w:lvlText w:val=""/>
      <w:lvlJc w:val="left"/>
      <w:pPr>
        <w:tabs>
          <w:tab w:val="num" w:pos="360"/>
        </w:tabs>
        <w:ind w:left="360" w:hanging="360"/>
      </w:pPr>
      <w:rPr>
        <w:rFonts w:ascii="Symbol" w:hAnsi="Symbol" w:hint="default"/>
      </w:rPr>
    </w:lvl>
  </w:abstractNum>
  <w:abstractNum w:abstractNumId="1">
    <w:nsid w:val="0291171B"/>
    <w:multiLevelType w:val="hybridMultilevel"/>
    <w:tmpl w:val="05E4641A"/>
    <w:lvl w:ilvl="0" w:tplc="408E1AB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
    <w:nsid w:val="06341F60"/>
    <w:multiLevelType w:val="hybridMultilevel"/>
    <w:tmpl w:val="C60E9444"/>
    <w:lvl w:ilvl="0" w:tplc="DD9ADFC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6F216E0"/>
    <w:multiLevelType w:val="hybridMultilevel"/>
    <w:tmpl w:val="335234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7893E0A"/>
    <w:multiLevelType w:val="hybridMultilevel"/>
    <w:tmpl w:val="21D8B458"/>
    <w:lvl w:ilvl="0" w:tplc="5AAC0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ED2D6B"/>
    <w:multiLevelType w:val="hybridMultilevel"/>
    <w:tmpl w:val="068ED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8D3DDA"/>
    <w:multiLevelType w:val="hybridMultilevel"/>
    <w:tmpl w:val="202A56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0B9E6937"/>
    <w:multiLevelType w:val="hybridMultilevel"/>
    <w:tmpl w:val="09927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B55F81"/>
    <w:multiLevelType w:val="hybridMultilevel"/>
    <w:tmpl w:val="5B08BA5E"/>
    <w:lvl w:ilvl="0" w:tplc="32204036">
      <w:start w:val="1"/>
      <w:numFmt w:val="decimal"/>
      <w:lvlText w:val="%1"/>
      <w:lvlJc w:val="left"/>
      <w:pPr>
        <w:tabs>
          <w:tab w:val="num" w:pos="1080"/>
        </w:tabs>
        <w:ind w:left="1080" w:hanging="720"/>
      </w:pPr>
    </w:lvl>
    <w:lvl w:ilvl="1" w:tplc="3C52A388">
      <w:start w:val="1"/>
      <w:numFmt w:val="lowerLetter"/>
      <w:lvlText w:val="(%2)"/>
      <w:lvlJc w:val="left"/>
      <w:pPr>
        <w:tabs>
          <w:tab w:val="num" w:pos="1440"/>
        </w:tabs>
        <w:ind w:left="1440" w:hanging="360"/>
      </w:pPr>
      <w:rPr>
        <w:rFonts w:ascii="Arial" w:eastAsia="Times New Roman" w:hAnsi="Arial" w:cs="Arial"/>
      </w:rPr>
    </w:lvl>
    <w:lvl w:ilvl="2" w:tplc="BD8A0056">
      <w:start w:val="1"/>
      <w:numFmt w:val="lowerLetter"/>
      <w:lvlText w:val="(%3)"/>
      <w:lvlJc w:val="left"/>
      <w:pPr>
        <w:tabs>
          <w:tab w:val="num" w:pos="2340"/>
        </w:tabs>
        <w:ind w:left="2340" w:hanging="360"/>
      </w:pPr>
    </w:lvl>
    <w:lvl w:ilvl="3" w:tplc="BF665EE0">
      <w:start w:val="1"/>
      <w:numFmt w:val="lowerRoman"/>
      <w:lvlText w:val="(%4)"/>
      <w:lvlJc w:val="right"/>
      <w:pPr>
        <w:tabs>
          <w:tab w:val="num" w:pos="2700"/>
        </w:tabs>
        <w:ind w:left="2700" w:hanging="18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FB7209B"/>
    <w:multiLevelType w:val="hybridMultilevel"/>
    <w:tmpl w:val="30A0C7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2131D28"/>
    <w:multiLevelType w:val="hybridMultilevel"/>
    <w:tmpl w:val="2E608FB4"/>
    <w:lvl w:ilvl="0" w:tplc="9490FB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9174D2"/>
    <w:multiLevelType w:val="hybridMultilevel"/>
    <w:tmpl w:val="CE1C8868"/>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4874253"/>
    <w:multiLevelType w:val="hybridMultilevel"/>
    <w:tmpl w:val="8096998C"/>
    <w:lvl w:ilvl="0" w:tplc="0C090001">
      <w:start w:val="1"/>
      <w:numFmt w:val="bullet"/>
      <w:lvlText w:val=""/>
      <w:lvlJc w:val="left"/>
      <w:pPr>
        <w:ind w:left="2887" w:hanging="360"/>
      </w:pPr>
      <w:rPr>
        <w:rFonts w:ascii="Symbol" w:hAnsi="Symbol" w:hint="default"/>
      </w:rPr>
    </w:lvl>
    <w:lvl w:ilvl="1" w:tplc="0C090003" w:tentative="1">
      <w:start w:val="1"/>
      <w:numFmt w:val="bullet"/>
      <w:lvlText w:val="o"/>
      <w:lvlJc w:val="left"/>
      <w:pPr>
        <w:ind w:left="3607" w:hanging="360"/>
      </w:pPr>
      <w:rPr>
        <w:rFonts w:ascii="Courier New" w:hAnsi="Courier New" w:cs="Courier New" w:hint="default"/>
      </w:rPr>
    </w:lvl>
    <w:lvl w:ilvl="2" w:tplc="0C090005" w:tentative="1">
      <w:start w:val="1"/>
      <w:numFmt w:val="bullet"/>
      <w:lvlText w:val=""/>
      <w:lvlJc w:val="left"/>
      <w:pPr>
        <w:ind w:left="4327" w:hanging="360"/>
      </w:pPr>
      <w:rPr>
        <w:rFonts w:ascii="Wingdings" w:hAnsi="Wingdings" w:hint="default"/>
      </w:rPr>
    </w:lvl>
    <w:lvl w:ilvl="3" w:tplc="0C090001" w:tentative="1">
      <w:start w:val="1"/>
      <w:numFmt w:val="bullet"/>
      <w:lvlText w:val=""/>
      <w:lvlJc w:val="left"/>
      <w:pPr>
        <w:ind w:left="5047" w:hanging="360"/>
      </w:pPr>
      <w:rPr>
        <w:rFonts w:ascii="Symbol" w:hAnsi="Symbol" w:hint="default"/>
      </w:rPr>
    </w:lvl>
    <w:lvl w:ilvl="4" w:tplc="0C090003" w:tentative="1">
      <w:start w:val="1"/>
      <w:numFmt w:val="bullet"/>
      <w:lvlText w:val="o"/>
      <w:lvlJc w:val="left"/>
      <w:pPr>
        <w:ind w:left="5767" w:hanging="360"/>
      </w:pPr>
      <w:rPr>
        <w:rFonts w:ascii="Courier New" w:hAnsi="Courier New" w:cs="Courier New" w:hint="default"/>
      </w:rPr>
    </w:lvl>
    <w:lvl w:ilvl="5" w:tplc="0C090005" w:tentative="1">
      <w:start w:val="1"/>
      <w:numFmt w:val="bullet"/>
      <w:lvlText w:val=""/>
      <w:lvlJc w:val="left"/>
      <w:pPr>
        <w:ind w:left="6487" w:hanging="360"/>
      </w:pPr>
      <w:rPr>
        <w:rFonts w:ascii="Wingdings" w:hAnsi="Wingdings" w:hint="default"/>
      </w:rPr>
    </w:lvl>
    <w:lvl w:ilvl="6" w:tplc="0C090001" w:tentative="1">
      <w:start w:val="1"/>
      <w:numFmt w:val="bullet"/>
      <w:lvlText w:val=""/>
      <w:lvlJc w:val="left"/>
      <w:pPr>
        <w:ind w:left="7207" w:hanging="360"/>
      </w:pPr>
      <w:rPr>
        <w:rFonts w:ascii="Symbol" w:hAnsi="Symbol" w:hint="default"/>
      </w:rPr>
    </w:lvl>
    <w:lvl w:ilvl="7" w:tplc="0C090003" w:tentative="1">
      <w:start w:val="1"/>
      <w:numFmt w:val="bullet"/>
      <w:lvlText w:val="o"/>
      <w:lvlJc w:val="left"/>
      <w:pPr>
        <w:ind w:left="7927" w:hanging="360"/>
      </w:pPr>
      <w:rPr>
        <w:rFonts w:ascii="Courier New" w:hAnsi="Courier New" w:cs="Courier New" w:hint="default"/>
      </w:rPr>
    </w:lvl>
    <w:lvl w:ilvl="8" w:tplc="0C090005" w:tentative="1">
      <w:start w:val="1"/>
      <w:numFmt w:val="bullet"/>
      <w:lvlText w:val=""/>
      <w:lvlJc w:val="left"/>
      <w:pPr>
        <w:ind w:left="8647" w:hanging="360"/>
      </w:pPr>
      <w:rPr>
        <w:rFonts w:ascii="Wingdings" w:hAnsi="Wingdings" w:hint="default"/>
      </w:rPr>
    </w:lvl>
  </w:abstractNum>
  <w:abstractNum w:abstractNumId="14">
    <w:nsid w:val="18275506"/>
    <w:multiLevelType w:val="hybridMultilevel"/>
    <w:tmpl w:val="138C29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85D5AED"/>
    <w:multiLevelType w:val="hybridMultilevel"/>
    <w:tmpl w:val="F5D6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C14271"/>
    <w:multiLevelType w:val="hybridMultilevel"/>
    <w:tmpl w:val="493AC2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0DB1E56"/>
    <w:multiLevelType w:val="hybridMultilevel"/>
    <w:tmpl w:val="0EE6040C"/>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572FBB"/>
    <w:multiLevelType w:val="hybridMultilevel"/>
    <w:tmpl w:val="A29CBFFA"/>
    <w:lvl w:ilvl="0" w:tplc="F3103B6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26861F51"/>
    <w:multiLevelType w:val="hybridMultilevel"/>
    <w:tmpl w:val="1A207C12"/>
    <w:lvl w:ilvl="0" w:tplc="FE9EAA6A">
      <w:start w:val="1"/>
      <w:numFmt w:val="bullet"/>
      <w:lvlText w:val="&gt;"/>
      <w:lvlJc w:val="left"/>
      <w:pPr>
        <w:ind w:left="720" w:hanging="360"/>
      </w:pPr>
      <w:rPr>
        <w:rFonts w:ascii="Vrinda" w:hAnsi="Vrinda" w:cs="Times New Roman"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81D1869"/>
    <w:multiLevelType w:val="hybridMultilevel"/>
    <w:tmpl w:val="44CCDBB4"/>
    <w:lvl w:ilvl="0" w:tplc="B4DE576E">
      <w:start w:val="1"/>
      <w:numFmt w:val="decimal"/>
      <w:pStyle w:val="ACMA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89E75BC"/>
    <w:multiLevelType w:val="hybridMultilevel"/>
    <w:tmpl w:val="18CA54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C0905F8"/>
    <w:multiLevelType w:val="hybridMultilevel"/>
    <w:tmpl w:val="DCB0DFC2"/>
    <w:lvl w:ilvl="0" w:tplc="6E1CC850">
      <w:start w:val="1"/>
      <w:numFmt w:val="lowerLetter"/>
      <w:lvlText w:val="(%1)"/>
      <w:lvlJc w:val="left"/>
      <w:pPr>
        <w:ind w:left="720" w:hanging="360"/>
      </w:pPr>
      <w:rPr>
        <w:rFonts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D2F28F6"/>
    <w:multiLevelType w:val="hybridMultilevel"/>
    <w:tmpl w:val="A6CEDC10"/>
    <w:lvl w:ilvl="0" w:tplc="116238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D8745AD"/>
    <w:multiLevelType w:val="hybridMultilevel"/>
    <w:tmpl w:val="6C78C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0B01CFA"/>
    <w:multiLevelType w:val="hybridMultilevel"/>
    <w:tmpl w:val="1592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EA02A7"/>
    <w:multiLevelType w:val="hybridMultilevel"/>
    <w:tmpl w:val="F20655C8"/>
    <w:lvl w:ilvl="0" w:tplc="F3103B6C">
      <w:start w:val="1"/>
      <w:numFmt w:val="lowerRoman"/>
      <w:lvlText w:val="(%1)"/>
      <w:lvlJc w:val="left"/>
      <w:pPr>
        <w:ind w:left="1080" w:hanging="720"/>
      </w:pPr>
      <w:rPr>
        <w:rFonts w:hint="default"/>
      </w:rPr>
    </w:lvl>
    <w:lvl w:ilvl="1" w:tplc="31CA64C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BA207E6"/>
    <w:multiLevelType w:val="hybridMultilevel"/>
    <w:tmpl w:val="51C6792A"/>
    <w:lvl w:ilvl="0" w:tplc="F57650E6">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40647CA1"/>
    <w:multiLevelType w:val="hybridMultilevel"/>
    <w:tmpl w:val="C4E2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D92893"/>
    <w:multiLevelType w:val="hybridMultilevel"/>
    <w:tmpl w:val="B1D6E51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4A2538EE"/>
    <w:multiLevelType w:val="hybridMultilevel"/>
    <w:tmpl w:val="A9BC29A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4C760D72"/>
    <w:multiLevelType w:val="hybridMultilevel"/>
    <w:tmpl w:val="29808978"/>
    <w:lvl w:ilvl="0" w:tplc="D8BADC02">
      <w:start w:val="1"/>
      <w:numFmt w:val="lowerLetter"/>
      <w:pStyle w:val="Numberedlist"/>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4D1B449E"/>
    <w:multiLevelType w:val="hybridMultilevel"/>
    <w:tmpl w:val="6D12C56A"/>
    <w:lvl w:ilvl="0" w:tplc="6B8A1654">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4DE332FF"/>
    <w:multiLevelType w:val="hybridMultilevel"/>
    <w:tmpl w:val="3CBC7D7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4E056828"/>
    <w:multiLevelType w:val="hybridMultilevel"/>
    <w:tmpl w:val="3214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E9C00E1"/>
    <w:multiLevelType w:val="hybridMultilevel"/>
    <w:tmpl w:val="DA6C10E4"/>
    <w:lvl w:ilvl="0" w:tplc="DF0A1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2600565"/>
    <w:multiLevelType w:val="hybridMultilevel"/>
    <w:tmpl w:val="51C6792A"/>
    <w:lvl w:ilvl="0" w:tplc="F57650E6">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541B6860"/>
    <w:multiLevelType w:val="hybridMultilevel"/>
    <w:tmpl w:val="A06254DA"/>
    <w:lvl w:ilvl="0" w:tplc="65E098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45F0928"/>
    <w:multiLevelType w:val="hybridMultilevel"/>
    <w:tmpl w:val="A29840CC"/>
    <w:lvl w:ilvl="0" w:tplc="F57650E6">
      <w:start w:val="1"/>
      <w:numFmt w:val="lowerLetter"/>
      <w:lvlText w:val="(%1)"/>
      <w:lvlJc w:val="left"/>
      <w:pPr>
        <w:ind w:left="928" w:hanging="360"/>
      </w:pPr>
      <w:rPr>
        <w:rFonts w:cs="Times New Roman" w:hint="default"/>
      </w:rPr>
    </w:lvl>
    <w:lvl w:ilvl="1" w:tplc="0C090003">
      <w:start w:val="1"/>
      <w:numFmt w:val="bullet"/>
      <w:lvlText w:val="o"/>
      <w:lvlJc w:val="left"/>
      <w:pPr>
        <w:ind w:left="1648" w:hanging="360"/>
      </w:pPr>
      <w:rPr>
        <w:rFonts w:ascii="Courier New" w:hAnsi="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0">
    <w:nsid w:val="585D1FF2"/>
    <w:multiLevelType w:val="hybridMultilevel"/>
    <w:tmpl w:val="88AE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A80BFA"/>
    <w:multiLevelType w:val="hybridMultilevel"/>
    <w:tmpl w:val="95C07646"/>
    <w:lvl w:ilvl="0" w:tplc="929AB2DE">
      <w:start w:val="1"/>
      <w:numFmt w:val="lowerLetter"/>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2">
    <w:nsid w:val="60672AEB"/>
    <w:multiLevelType w:val="hybridMultilevel"/>
    <w:tmpl w:val="EB465FE4"/>
    <w:lvl w:ilvl="0" w:tplc="0C09000F">
      <w:start w:val="1"/>
      <w:numFmt w:val="decimal"/>
      <w:lvlText w:val="%1."/>
      <w:lvlJc w:val="left"/>
      <w:pPr>
        <w:ind w:left="720" w:hanging="360"/>
      </w:pPr>
    </w:lvl>
    <w:lvl w:ilvl="1" w:tplc="0472D88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1333C5B"/>
    <w:multiLevelType w:val="hybridMultilevel"/>
    <w:tmpl w:val="BA8AD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85F4E5E"/>
    <w:multiLevelType w:val="hybridMultilevel"/>
    <w:tmpl w:val="83B67108"/>
    <w:lvl w:ilvl="0" w:tplc="44D64128">
      <w:start w:val="1"/>
      <w:numFmt w:val="bullet"/>
      <w:lvlText w:val="˃"/>
      <w:lvlJc w:val="left"/>
      <w:pPr>
        <w:ind w:left="761" w:hanging="360"/>
      </w:pPr>
      <w:rPr>
        <w:rFonts w:ascii="Arial" w:hAnsi="Arial" w:hint="default"/>
      </w:rPr>
    </w:lvl>
    <w:lvl w:ilvl="1" w:tplc="0C090003" w:tentative="1">
      <w:start w:val="1"/>
      <w:numFmt w:val="bullet"/>
      <w:lvlText w:val="o"/>
      <w:lvlJc w:val="left"/>
      <w:pPr>
        <w:ind w:left="1481" w:hanging="360"/>
      </w:pPr>
      <w:rPr>
        <w:rFonts w:ascii="Courier New" w:hAnsi="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45">
    <w:nsid w:val="686A6E00"/>
    <w:multiLevelType w:val="hybridMultilevel"/>
    <w:tmpl w:val="98E0493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F93A95"/>
    <w:multiLevelType w:val="hybridMultilevel"/>
    <w:tmpl w:val="ECBA3342"/>
    <w:lvl w:ilvl="0" w:tplc="E112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A1443A8"/>
    <w:multiLevelType w:val="hybridMultilevel"/>
    <w:tmpl w:val="8B4ED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nsid w:val="6A4D4C9C"/>
    <w:multiLevelType w:val="hybridMultilevel"/>
    <w:tmpl w:val="35EE78C0"/>
    <w:lvl w:ilvl="0" w:tplc="6E1CC850">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AF459BD"/>
    <w:multiLevelType w:val="hybridMultilevel"/>
    <w:tmpl w:val="CD9A40EE"/>
    <w:lvl w:ilvl="0" w:tplc="23EA1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C4F642A"/>
    <w:multiLevelType w:val="hybridMultilevel"/>
    <w:tmpl w:val="31E0B276"/>
    <w:lvl w:ilvl="0" w:tplc="27E0FF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E6D2B33"/>
    <w:multiLevelType w:val="hybridMultilevel"/>
    <w:tmpl w:val="006A4746"/>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28A743A"/>
    <w:multiLevelType w:val="hybridMultilevel"/>
    <w:tmpl w:val="640A67C0"/>
    <w:lvl w:ilvl="0" w:tplc="A9162040">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CA817ED"/>
    <w:multiLevelType w:val="hybridMultilevel"/>
    <w:tmpl w:val="1752138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2"/>
  </w:num>
  <w:num w:numId="2">
    <w:abstractNumId w:val="21"/>
  </w:num>
  <w:num w:numId="3">
    <w:abstractNumId w:val="16"/>
  </w:num>
  <w:num w:numId="4">
    <w:abstractNumId w:val="45"/>
  </w:num>
  <w:num w:numId="5">
    <w:abstractNumId w:val="11"/>
  </w:num>
  <w:num w:numId="6">
    <w:abstractNumId w:val="53"/>
  </w:num>
  <w:num w:numId="7">
    <w:abstractNumId w:val="52"/>
  </w:num>
  <w:num w:numId="8">
    <w:abstractNumId w:val="54"/>
  </w:num>
  <w:num w:numId="9">
    <w:abstractNumId w:val="25"/>
  </w:num>
  <w:num w:numId="10">
    <w:abstractNumId w:val="29"/>
  </w:num>
  <w:num w:numId="11">
    <w:abstractNumId w:val="39"/>
  </w:num>
  <w:num w:numId="12">
    <w:abstractNumId w:val="33"/>
  </w:num>
  <w:num w:numId="13">
    <w:abstractNumId w:val="44"/>
  </w:num>
  <w:num w:numId="14">
    <w:abstractNumId w:val="0"/>
  </w:num>
  <w:num w:numId="15">
    <w:abstractNumId w:val="18"/>
  </w:num>
  <w:num w:numId="16">
    <w:abstractNumId w:val="47"/>
  </w:num>
  <w:num w:numId="17">
    <w:abstractNumId w:val="32"/>
  </w:num>
  <w:num w:numId="18">
    <w:abstractNumId w:val="40"/>
  </w:num>
  <w:num w:numId="19">
    <w:abstractNumId w:val="46"/>
  </w:num>
  <w:num w:numId="20">
    <w:abstractNumId w:val="13"/>
  </w:num>
  <w:num w:numId="21">
    <w:abstractNumId w:val="22"/>
  </w:num>
  <w:num w:numId="22">
    <w:abstractNumId w:val="27"/>
  </w:num>
  <w:num w:numId="23">
    <w:abstractNumId w:val="30"/>
  </w:num>
  <w:num w:numId="24">
    <w:abstractNumId w:val="31"/>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6"/>
  </w:num>
  <w:num w:numId="28">
    <w:abstractNumId w:val="1"/>
  </w:num>
  <w:num w:numId="29">
    <w:abstractNumId w:val="26"/>
  </w:num>
  <w:num w:numId="30">
    <w:abstractNumId w:val="5"/>
  </w:num>
  <w:num w:numId="31">
    <w:abstractNumId w:val="15"/>
  </w:num>
  <w:num w:numId="32">
    <w:abstractNumId w:val="7"/>
  </w:num>
  <w:num w:numId="33">
    <w:abstractNumId w:val="17"/>
  </w:num>
  <w:num w:numId="34">
    <w:abstractNumId w:val="36"/>
  </w:num>
  <w:num w:numId="35">
    <w:abstractNumId w:val="49"/>
  </w:num>
  <w:num w:numId="36">
    <w:abstractNumId w:val="23"/>
  </w:num>
  <w:num w:numId="37">
    <w:abstractNumId w:val="51"/>
  </w:num>
  <w:num w:numId="38">
    <w:abstractNumId w:val="20"/>
  </w:num>
  <w:num w:numId="39">
    <w:abstractNumId w:val="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50"/>
  </w:num>
  <w:num w:numId="43">
    <w:abstractNumId w:val="42"/>
  </w:num>
  <w:num w:numId="44">
    <w:abstractNumId w:val="9"/>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14"/>
  </w:num>
  <w:num w:numId="48">
    <w:abstractNumId w:val="3"/>
  </w:num>
  <w:num w:numId="49">
    <w:abstractNumId w:val="43"/>
  </w:num>
  <w:num w:numId="50">
    <w:abstractNumId w:val="35"/>
  </w:num>
  <w:num w:numId="51">
    <w:abstractNumId w:val="37"/>
  </w:num>
  <w:num w:numId="52">
    <w:abstractNumId w:val="19"/>
  </w:num>
  <w:num w:numId="53">
    <w:abstractNumId w:val="24"/>
  </w:num>
  <w:num w:numId="54">
    <w:abstractNumId w:val="4"/>
  </w:num>
  <w:num w:numId="55">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1C"/>
    <w:rsid w:val="00001019"/>
    <w:rsid w:val="00001E51"/>
    <w:rsid w:val="00001FFD"/>
    <w:rsid w:val="0000209E"/>
    <w:rsid w:val="00002E1C"/>
    <w:rsid w:val="0000330D"/>
    <w:rsid w:val="00003DC9"/>
    <w:rsid w:val="00005798"/>
    <w:rsid w:val="00005826"/>
    <w:rsid w:val="00006346"/>
    <w:rsid w:val="00006B2D"/>
    <w:rsid w:val="00007B5C"/>
    <w:rsid w:val="00010142"/>
    <w:rsid w:val="00010A33"/>
    <w:rsid w:val="0001162B"/>
    <w:rsid w:val="000118C7"/>
    <w:rsid w:val="000125B4"/>
    <w:rsid w:val="00013432"/>
    <w:rsid w:val="00016096"/>
    <w:rsid w:val="00016601"/>
    <w:rsid w:val="0001666F"/>
    <w:rsid w:val="0001669F"/>
    <w:rsid w:val="00017035"/>
    <w:rsid w:val="00021ABF"/>
    <w:rsid w:val="00021C1D"/>
    <w:rsid w:val="00022E5D"/>
    <w:rsid w:val="000238FA"/>
    <w:rsid w:val="00024F8F"/>
    <w:rsid w:val="000252F9"/>
    <w:rsid w:val="00025761"/>
    <w:rsid w:val="00026121"/>
    <w:rsid w:val="00027425"/>
    <w:rsid w:val="00027FDB"/>
    <w:rsid w:val="00030551"/>
    <w:rsid w:val="00031A23"/>
    <w:rsid w:val="00031ABF"/>
    <w:rsid w:val="00031FF0"/>
    <w:rsid w:val="00032559"/>
    <w:rsid w:val="00032BFB"/>
    <w:rsid w:val="00032CA3"/>
    <w:rsid w:val="0003381C"/>
    <w:rsid w:val="0003395B"/>
    <w:rsid w:val="00034003"/>
    <w:rsid w:val="000341B0"/>
    <w:rsid w:val="000345D5"/>
    <w:rsid w:val="00034BB5"/>
    <w:rsid w:val="00034EE1"/>
    <w:rsid w:val="0003516C"/>
    <w:rsid w:val="0003615C"/>
    <w:rsid w:val="00036DEF"/>
    <w:rsid w:val="0004062C"/>
    <w:rsid w:val="000414E7"/>
    <w:rsid w:val="0004150D"/>
    <w:rsid w:val="000420C7"/>
    <w:rsid w:val="0004270C"/>
    <w:rsid w:val="00042BE1"/>
    <w:rsid w:val="00042D81"/>
    <w:rsid w:val="00043E50"/>
    <w:rsid w:val="00044052"/>
    <w:rsid w:val="0004461A"/>
    <w:rsid w:val="00044E06"/>
    <w:rsid w:val="00045211"/>
    <w:rsid w:val="0004556D"/>
    <w:rsid w:val="000455C0"/>
    <w:rsid w:val="00047024"/>
    <w:rsid w:val="00050803"/>
    <w:rsid w:val="00050B60"/>
    <w:rsid w:val="00050F30"/>
    <w:rsid w:val="00051B43"/>
    <w:rsid w:val="00051C1D"/>
    <w:rsid w:val="00051EC1"/>
    <w:rsid w:val="00052DF7"/>
    <w:rsid w:val="00053291"/>
    <w:rsid w:val="00053438"/>
    <w:rsid w:val="00053D62"/>
    <w:rsid w:val="0005535D"/>
    <w:rsid w:val="00056C6E"/>
    <w:rsid w:val="00057864"/>
    <w:rsid w:val="00060220"/>
    <w:rsid w:val="0006047A"/>
    <w:rsid w:val="000631B3"/>
    <w:rsid w:val="00063307"/>
    <w:rsid w:val="000634D7"/>
    <w:rsid w:val="0006490D"/>
    <w:rsid w:val="000651EA"/>
    <w:rsid w:val="0006559E"/>
    <w:rsid w:val="00065984"/>
    <w:rsid w:val="00067237"/>
    <w:rsid w:val="00067480"/>
    <w:rsid w:val="00067F57"/>
    <w:rsid w:val="00070364"/>
    <w:rsid w:val="000706BD"/>
    <w:rsid w:val="00070785"/>
    <w:rsid w:val="000710CC"/>
    <w:rsid w:val="000731D9"/>
    <w:rsid w:val="000739C5"/>
    <w:rsid w:val="00073C2B"/>
    <w:rsid w:val="000744A5"/>
    <w:rsid w:val="00074FD7"/>
    <w:rsid w:val="00075936"/>
    <w:rsid w:val="0007613D"/>
    <w:rsid w:val="00076A6D"/>
    <w:rsid w:val="000771C8"/>
    <w:rsid w:val="0007760B"/>
    <w:rsid w:val="00080274"/>
    <w:rsid w:val="00080E98"/>
    <w:rsid w:val="00082476"/>
    <w:rsid w:val="000832FE"/>
    <w:rsid w:val="00083FE8"/>
    <w:rsid w:val="0008468E"/>
    <w:rsid w:val="00084B2E"/>
    <w:rsid w:val="00085BFB"/>
    <w:rsid w:val="00087E8D"/>
    <w:rsid w:val="00091940"/>
    <w:rsid w:val="00091BC2"/>
    <w:rsid w:val="000926D7"/>
    <w:rsid w:val="000938A8"/>
    <w:rsid w:val="00093DA0"/>
    <w:rsid w:val="00094966"/>
    <w:rsid w:val="00095BD9"/>
    <w:rsid w:val="00095DEA"/>
    <w:rsid w:val="00096586"/>
    <w:rsid w:val="00096BD0"/>
    <w:rsid w:val="00096F26"/>
    <w:rsid w:val="0009732C"/>
    <w:rsid w:val="000A036E"/>
    <w:rsid w:val="000A24DE"/>
    <w:rsid w:val="000A2665"/>
    <w:rsid w:val="000A2877"/>
    <w:rsid w:val="000A2BC5"/>
    <w:rsid w:val="000A2C54"/>
    <w:rsid w:val="000A375C"/>
    <w:rsid w:val="000A3D4A"/>
    <w:rsid w:val="000A7238"/>
    <w:rsid w:val="000A7A16"/>
    <w:rsid w:val="000B1F20"/>
    <w:rsid w:val="000B301C"/>
    <w:rsid w:val="000B3229"/>
    <w:rsid w:val="000B4139"/>
    <w:rsid w:val="000B464A"/>
    <w:rsid w:val="000B6229"/>
    <w:rsid w:val="000B6267"/>
    <w:rsid w:val="000B66FA"/>
    <w:rsid w:val="000B68C7"/>
    <w:rsid w:val="000B6A25"/>
    <w:rsid w:val="000B7319"/>
    <w:rsid w:val="000C224B"/>
    <w:rsid w:val="000C22D0"/>
    <w:rsid w:val="000C3224"/>
    <w:rsid w:val="000C38A3"/>
    <w:rsid w:val="000C3CA9"/>
    <w:rsid w:val="000C484F"/>
    <w:rsid w:val="000C4A4C"/>
    <w:rsid w:val="000C5646"/>
    <w:rsid w:val="000C5970"/>
    <w:rsid w:val="000C5B9B"/>
    <w:rsid w:val="000C74BF"/>
    <w:rsid w:val="000C7BD0"/>
    <w:rsid w:val="000D074C"/>
    <w:rsid w:val="000D093F"/>
    <w:rsid w:val="000D09BD"/>
    <w:rsid w:val="000D0C18"/>
    <w:rsid w:val="000D22E3"/>
    <w:rsid w:val="000D2486"/>
    <w:rsid w:val="000D2606"/>
    <w:rsid w:val="000D312C"/>
    <w:rsid w:val="000D3A68"/>
    <w:rsid w:val="000D4EC1"/>
    <w:rsid w:val="000D5D3B"/>
    <w:rsid w:val="000D64DE"/>
    <w:rsid w:val="000D6A95"/>
    <w:rsid w:val="000D6F03"/>
    <w:rsid w:val="000D7282"/>
    <w:rsid w:val="000E1002"/>
    <w:rsid w:val="000E476A"/>
    <w:rsid w:val="000E49A6"/>
    <w:rsid w:val="000E4F0E"/>
    <w:rsid w:val="000E5276"/>
    <w:rsid w:val="000E6F22"/>
    <w:rsid w:val="000F0924"/>
    <w:rsid w:val="000F0990"/>
    <w:rsid w:val="000F0C9F"/>
    <w:rsid w:val="000F0E2D"/>
    <w:rsid w:val="000F1531"/>
    <w:rsid w:val="000F2240"/>
    <w:rsid w:val="000F2936"/>
    <w:rsid w:val="000F2CA1"/>
    <w:rsid w:val="000F32FF"/>
    <w:rsid w:val="000F3B5A"/>
    <w:rsid w:val="000F4BAF"/>
    <w:rsid w:val="000F4EDF"/>
    <w:rsid w:val="000F4F70"/>
    <w:rsid w:val="000F5D6B"/>
    <w:rsid w:val="000F7445"/>
    <w:rsid w:val="000F7644"/>
    <w:rsid w:val="001003A6"/>
    <w:rsid w:val="00101263"/>
    <w:rsid w:val="00103129"/>
    <w:rsid w:val="00104F92"/>
    <w:rsid w:val="00106A2D"/>
    <w:rsid w:val="00106E65"/>
    <w:rsid w:val="00107173"/>
    <w:rsid w:val="00107F56"/>
    <w:rsid w:val="001104C0"/>
    <w:rsid w:val="00110827"/>
    <w:rsid w:val="00110E74"/>
    <w:rsid w:val="0011133D"/>
    <w:rsid w:val="00111E4D"/>
    <w:rsid w:val="00112A7A"/>
    <w:rsid w:val="00114C7B"/>
    <w:rsid w:val="00115DB5"/>
    <w:rsid w:val="00115EAA"/>
    <w:rsid w:val="001170EA"/>
    <w:rsid w:val="00120FD3"/>
    <w:rsid w:val="00121ECB"/>
    <w:rsid w:val="001247B4"/>
    <w:rsid w:val="001248E1"/>
    <w:rsid w:val="00124F67"/>
    <w:rsid w:val="0012543C"/>
    <w:rsid w:val="00125AA1"/>
    <w:rsid w:val="001260A1"/>
    <w:rsid w:val="00126CB3"/>
    <w:rsid w:val="00126F36"/>
    <w:rsid w:val="00127349"/>
    <w:rsid w:val="00127D25"/>
    <w:rsid w:val="00127FEC"/>
    <w:rsid w:val="00130EA9"/>
    <w:rsid w:val="001310A0"/>
    <w:rsid w:val="00131E7E"/>
    <w:rsid w:val="00132105"/>
    <w:rsid w:val="00132424"/>
    <w:rsid w:val="001343BD"/>
    <w:rsid w:val="001343F1"/>
    <w:rsid w:val="00134865"/>
    <w:rsid w:val="00134B10"/>
    <w:rsid w:val="00135025"/>
    <w:rsid w:val="00135056"/>
    <w:rsid w:val="00135091"/>
    <w:rsid w:val="00136183"/>
    <w:rsid w:val="001363D7"/>
    <w:rsid w:val="00136525"/>
    <w:rsid w:val="00136690"/>
    <w:rsid w:val="00136B2F"/>
    <w:rsid w:val="00137CC1"/>
    <w:rsid w:val="00137F71"/>
    <w:rsid w:val="00140CA9"/>
    <w:rsid w:val="00141156"/>
    <w:rsid w:val="00141273"/>
    <w:rsid w:val="0014129B"/>
    <w:rsid w:val="001415A8"/>
    <w:rsid w:val="00141AF1"/>
    <w:rsid w:val="00142A09"/>
    <w:rsid w:val="00142E41"/>
    <w:rsid w:val="00143889"/>
    <w:rsid w:val="00143C29"/>
    <w:rsid w:val="00143CC2"/>
    <w:rsid w:val="00143F73"/>
    <w:rsid w:val="00144BB7"/>
    <w:rsid w:val="00144DA3"/>
    <w:rsid w:val="00145701"/>
    <w:rsid w:val="00145841"/>
    <w:rsid w:val="00146576"/>
    <w:rsid w:val="00147D58"/>
    <w:rsid w:val="00150D85"/>
    <w:rsid w:val="00151246"/>
    <w:rsid w:val="001516D4"/>
    <w:rsid w:val="00152372"/>
    <w:rsid w:val="001530C8"/>
    <w:rsid w:val="001530CB"/>
    <w:rsid w:val="00153593"/>
    <w:rsid w:val="001536D2"/>
    <w:rsid w:val="00153C71"/>
    <w:rsid w:val="0015423A"/>
    <w:rsid w:val="00155302"/>
    <w:rsid w:val="00155EBA"/>
    <w:rsid w:val="0015622E"/>
    <w:rsid w:val="0016007B"/>
    <w:rsid w:val="001609E1"/>
    <w:rsid w:val="001611C0"/>
    <w:rsid w:val="001617B9"/>
    <w:rsid w:val="00161895"/>
    <w:rsid w:val="001626C2"/>
    <w:rsid w:val="0016343F"/>
    <w:rsid w:val="0016453B"/>
    <w:rsid w:val="001645F2"/>
    <w:rsid w:val="00164839"/>
    <w:rsid w:val="001648AD"/>
    <w:rsid w:val="00164AAE"/>
    <w:rsid w:val="00165DC5"/>
    <w:rsid w:val="00166671"/>
    <w:rsid w:val="0016673C"/>
    <w:rsid w:val="00166CEE"/>
    <w:rsid w:val="00167898"/>
    <w:rsid w:val="00167F9F"/>
    <w:rsid w:val="00170C33"/>
    <w:rsid w:val="001712E6"/>
    <w:rsid w:val="001725FD"/>
    <w:rsid w:val="00172817"/>
    <w:rsid w:val="00173E7A"/>
    <w:rsid w:val="0017427B"/>
    <w:rsid w:val="00174AEE"/>
    <w:rsid w:val="001754A3"/>
    <w:rsid w:val="001757FC"/>
    <w:rsid w:val="00176055"/>
    <w:rsid w:val="001760CB"/>
    <w:rsid w:val="00176328"/>
    <w:rsid w:val="00176ACA"/>
    <w:rsid w:val="00177BCE"/>
    <w:rsid w:val="00180916"/>
    <w:rsid w:val="0018095A"/>
    <w:rsid w:val="001810A4"/>
    <w:rsid w:val="00181108"/>
    <w:rsid w:val="001812BB"/>
    <w:rsid w:val="001816CF"/>
    <w:rsid w:val="0018189F"/>
    <w:rsid w:val="00181920"/>
    <w:rsid w:val="00183360"/>
    <w:rsid w:val="0018448B"/>
    <w:rsid w:val="00184804"/>
    <w:rsid w:val="00184E4F"/>
    <w:rsid w:val="00184E9B"/>
    <w:rsid w:val="00185BCB"/>
    <w:rsid w:val="0018615A"/>
    <w:rsid w:val="00187646"/>
    <w:rsid w:val="0018793F"/>
    <w:rsid w:val="00191287"/>
    <w:rsid w:val="001913BA"/>
    <w:rsid w:val="00191F86"/>
    <w:rsid w:val="00192D80"/>
    <w:rsid w:val="00192DAB"/>
    <w:rsid w:val="001932CA"/>
    <w:rsid w:val="00193DDE"/>
    <w:rsid w:val="00194092"/>
    <w:rsid w:val="0019427B"/>
    <w:rsid w:val="00194311"/>
    <w:rsid w:val="0019448F"/>
    <w:rsid w:val="001945C2"/>
    <w:rsid w:val="00195A56"/>
    <w:rsid w:val="00195FE7"/>
    <w:rsid w:val="00196805"/>
    <w:rsid w:val="00196D52"/>
    <w:rsid w:val="00197C86"/>
    <w:rsid w:val="00197D79"/>
    <w:rsid w:val="001A0462"/>
    <w:rsid w:val="001A0995"/>
    <w:rsid w:val="001A0B2A"/>
    <w:rsid w:val="001A0DC1"/>
    <w:rsid w:val="001A2826"/>
    <w:rsid w:val="001A312E"/>
    <w:rsid w:val="001A3159"/>
    <w:rsid w:val="001A3648"/>
    <w:rsid w:val="001A4ACC"/>
    <w:rsid w:val="001A5F8F"/>
    <w:rsid w:val="001A64FC"/>
    <w:rsid w:val="001A7173"/>
    <w:rsid w:val="001B0CAD"/>
    <w:rsid w:val="001B1522"/>
    <w:rsid w:val="001B1EDE"/>
    <w:rsid w:val="001B2376"/>
    <w:rsid w:val="001B39D2"/>
    <w:rsid w:val="001B3C14"/>
    <w:rsid w:val="001B40C3"/>
    <w:rsid w:val="001B43ED"/>
    <w:rsid w:val="001B660B"/>
    <w:rsid w:val="001B6730"/>
    <w:rsid w:val="001B778D"/>
    <w:rsid w:val="001C0898"/>
    <w:rsid w:val="001C11B0"/>
    <w:rsid w:val="001C1311"/>
    <w:rsid w:val="001C1347"/>
    <w:rsid w:val="001C1498"/>
    <w:rsid w:val="001C1B46"/>
    <w:rsid w:val="001C1C85"/>
    <w:rsid w:val="001C1D13"/>
    <w:rsid w:val="001C2E03"/>
    <w:rsid w:val="001C36A3"/>
    <w:rsid w:val="001C38F5"/>
    <w:rsid w:val="001C3E4C"/>
    <w:rsid w:val="001C4302"/>
    <w:rsid w:val="001C436B"/>
    <w:rsid w:val="001C460E"/>
    <w:rsid w:val="001C4DB4"/>
    <w:rsid w:val="001C5D57"/>
    <w:rsid w:val="001C730F"/>
    <w:rsid w:val="001C76E4"/>
    <w:rsid w:val="001C7927"/>
    <w:rsid w:val="001C7F85"/>
    <w:rsid w:val="001D022F"/>
    <w:rsid w:val="001D03BF"/>
    <w:rsid w:val="001D0537"/>
    <w:rsid w:val="001D1BCF"/>
    <w:rsid w:val="001D3AAB"/>
    <w:rsid w:val="001D4432"/>
    <w:rsid w:val="001D44E9"/>
    <w:rsid w:val="001D4F97"/>
    <w:rsid w:val="001D551B"/>
    <w:rsid w:val="001D5553"/>
    <w:rsid w:val="001D61DC"/>
    <w:rsid w:val="001D6455"/>
    <w:rsid w:val="001D6510"/>
    <w:rsid w:val="001D7CBB"/>
    <w:rsid w:val="001E025F"/>
    <w:rsid w:val="001E176A"/>
    <w:rsid w:val="001E18FD"/>
    <w:rsid w:val="001E1E80"/>
    <w:rsid w:val="001E23B0"/>
    <w:rsid w:val="001E3031"/>
    <w:rsid w:val="001E32C3"/>
    <w:rsid w:val="001E496F"/>
    <w:rsid w:val="001E54A3"/>
    <w:rsid w:val="001E54E9"/>
    <w:rsid w:val="001E59A8"/>
    <w:rsid w:val="001E651E"/>
    <w:rsid w:val="001E6D46"/>
    <w:rsid w:val="001E71EC"/>
    <w:rsid w:val="001E7C5E"/>
    <w:rsid w:val="001F0755"/>
    <w:rsid w:val="001F0760"/>
    <w:rsid w:val="001F0F3C"/>
    <w:rsid w:val="001F1C3B"/>
    <w:rsid w:val="001F2989"/>
    <w:rsid w:val="001F299E"/>
    <w:rsid w:val="001F2AF6"/>
    <w:rsid w:val="001F3837"/>
    <w:rsid w:val="001F3DF3"/>
    <w:rsid w:val="001F4648"/>
    <w:rsid w:val="001F468B"/>
    <w:rsid w:val="001F4BB4"/>
    <w:rsid w:val="001F5236"/>
    <w:rsid w:val="001F7C6F"/>
    <w:rsid w:val="00200217"/>
    <w:rsid w:val="00201836"/>
    <w:rsid w:val="00201BA3"/>
    <w:rsid w:val="0020238C"/>
    <w:rsid w:val="0020272A"/>
    <w:rsid w:val="0020319F"/>
    <w:rsid w:val="00203211"/>
    <w:rsid w:val="00203E75"/>
    <w:rsid w:val="0020433A"/>
    <w:rsid w:val="002048BF"/>
    <w:rsid w:val="00205B68"/>
    <w:rsid w:val="0020671B"/>
    <w:rsid w:val="0020792C"/>
    <w:rsid w:val="00210C92"/>
    <w:rsid w:val="00210E2A"/>
    <w:rsid w:val="0021279F"/>
    <w:rsid w:val="0021283A"/>
    <w:rsid w:val="0021300A"/>
    <w:rsid w:val="0021325B"/>
    <w:rsid w:val="0021475F"/>
    <w:rsid w:val="00214C1D"/>
    <w:rsid w:val="00214F45"/>
    <w:rsid w:val="0021556D"/>
    <w:rsid w:val="002155E3"/>
    <w:rsid w:val="00216124"/>
    <w:rsid w:val="0021741E"/>
    <w:rsid w:val="00220B0A"/>
    <w:rsid w:val="002215D5"/>
    <w:rsid w:val="00221B19"/>
    <w:rsid w:val="00224D73"/>
    <w:rsid w:val="002250B5"/>
    <w:rsid w:val="00225BEB"/>
    <w:rsid w:val="00226122"/>
    <w:rsid w:val="0022631D"/>
    <w:rsid w:val="002264A1"/>
    <w:rsid w:val="002273C3"/>
    <w:rsid w:val="00227759"/>
    <w:rsid w:val="00227D18"/>
    <w:rsid w:val="00230A25"/>
    <w:rsid w:val="002312D0"/>
    <w:rsid w:val="00231517"/>
    <w:rsid w:val="00231523"/>
    <w:rsid w:val="00231B58"/>
    <w:rsid w:val="00231C1F"/>
    <w:rsid w:val="0023269B"/>
    <w:rsid w:val="0023281A"/>
    <w:rsid w:val="00233B5F"/>
    <w:rsid w:val="00233F3E"/>
    <w:rsid w:val="002350F3"/>
    <w:rsid w:val="00235227"/>
    <w:rsid w:val="00235BBB"/>
    <w:rsid w:val="00236FA7"/>
    <w:rsid w:val="00237653"/>
    <w:rsid w:val="00237DA6"/>
    <w:rsid w:val="002416D9"/>
    <w:rsid w:val="00241845"/>
    <w:rsid w:val="00241D59"/>
    <w:rsid w:val="00242330"/>
    <w:rsid w:val="00243929"/>
    <w:rsid w:val="00244441"/>
    <w:rsid w:val="0024596C"/>
    <w:rsid w:val="00245AEC"/>
    <w:rsid w:val="00245C80"/>
    <w:rsid w:val="002470AA"/>
    <w:rsid w:val="002508F0"/>
    <w:rsid w:val="00250A9E"/>
    <w:rsid w:val="00252C9F"/>
    <w:rsid w:val="002534AC"/>
    <w:rsid w:val="0025379E"/>
    <w:rsid w:val="00253F89"/>
    <w:rsid w:val="002548D6"/>
    <w:rsid w:val="00255818"/>
    <w:rsid w:val="00255DDD"/>
    <w:rsid w:val="00257F7C"/>
    <w:rsid w:val="00260432"/>
    <w:rsid w:val="00260890"/>
    <w:rsid w:val="002615D5"/>
    <w:rsid w:val="00263D9B"/>
    <w:rsid w:val="002645B6"/>
    <w:rsid w:val="002646D3"/>
    <w:rsid w:val="002647A2"/>
    <w:rsid w:val="00265524"/>
    <w:rsid w:val="002657F5"/>
    <w:rsid w:val="0026619B"/>
    <w:rsid w:val="00266DA4"/>
    <w:rsid w:val="00267632"/>
    <w:rsid w:val="002707B2"/>
    <w:rsid w:val="0027111E"/>
    <w:rsid w:val="00271C34"/>
    <w:rsid w:val="002722E2"/>
    <w:rsid w:val="00272950"/>
    <w:rsid w:val="00272B55"/>
    <w:rsid w:val="00272B6C"/>
    <w:rsid w:val="00273153"/>
    <w:rsid w:val="002745C6"/>
    <w:rsid w:val="00274D01"/>
    <w:rsid w:val="00274D1D"/>
    <w:rsid w:val="0027577E"/>
    <w:rsid w:val="002758DD"/>
    <w:rsid w:val="00276078"/>
    <w:rsid w:val="00276938"/>
    <w:rsid w:val="002772AB"/>
    <w:rsid w:val="002774C6"/>
    <w:rsid w:val="0027799E"/>
    <w:rsid w:val="002801CF"/>
    <w:rsid w:val="002805E0"/>
    <w:rsid w:val="0028087A"/>
    <w:rsid w:val="0028178D"/>
    <w:rsid w:val="00282066"/>
    <w:rsid w:val="00282B2C"/>
    <w:rsid w:val="00282B65"/>
    <w:rsid w:val="00282EA6"/>
    <w:rsid w:val="0028316A"/>
    <w:rsid w:val="00284374"/>
    <w:rsid w:val="002844A4"/>
    <w:rsid w:val="00284683"/>
    <w:rsid w:val="0028488F"/>
    <w:rsid w:val="00284FE2"/>
    <w:rsid w:val="00285703"/>
    <w:rsid w:val="002858D8"/>
    <w:rsid w:val="00285BCD"/>
    <w:rsid w:val="002860AD"/>
    <w:rsid w:val="0028647E"/>
    <w:rsid w:val="00286FF6"/>
    <w:rsid w:val="00287532"/>
    <w:rsid w:val="002876E7"/>
    <w:rsid w:val="002906A3"/>
    <w:rsid w:val="00291B29"/>
    <w:rsid w:val="002938F2"/>
    <w:rsid w:val="00293C3C"/>
    <w:rsid w:val="002951F6"/>
    <w:rsid w:val="00295E67"/>
    <w:rsid w:val="00296234"/>
    <w:rsid w:val="00296624"/>
    <w:rsid w:val="002966DF"/>
    <w:rsid w:val="00297430"/>
    <w:rsid w:val="00297E6F"/>
    <w:rsid w:val="002A0A0E"/>
    <w:rsid w:val="002A192A"/>
    <w:rsid w:val="002A25F9"/>
    <w:rsid w:val="002A28F9"/>
    <w:rsid w:val="002A4EAA"/>
    <w:rsid w:val="002A5BA1"/>
    <w:rsid w:val="002A5CD2"/>
    <w:rsid w:val="002A643B"/>
    <w:rsid w:val="002A77BD"/>
    <w:rsid w:val="002B0A00"/>
    <w:rsid w:val="002B0B13"/>
    <w:rsid w:val="002B0CED"/>
    <w:rsid w:val="002B11AD"/>
    <w:rsid w:val="002B1C33"/>
    <w:rsid w:val="002B3109"/>
    <w:rsid w:val="002B5093"/>
    <w:rsid w:val="002B5367"/>
    <w:rsid w:val="002B6050"/>
    <w:rsid w:val="002B67D1"/>
    <w:rsid w:val="002B6EA0"/>
    <w:rsid w:val="002B72BC"/>
    <w:rsid w:val="002B780C"/>
    <w:rsid w:val="002C05F7"/>
    <w:rsid w:val="002C0E67"/>
    <w:rsid w:val="002C173F"/>
    <w:rsid w:val="002C18ED"/>
    <w:rsid w:val="002C2245"/>
    <w:rsid w:val="002C3783"/>
    <w:rsid w:val="002C38D7"/>
    <w:rsid w:val="002C3B16"/>
    <w:rsid w:val="002C3D1A"/>
    <w:rsid w:val="002C3FBC"/>
    <w:rsid w:val="002C41C6"/>
    <w:rsid w:val="002C5109"/>
    <w:rsid w:val="002C5D72"/>
    <w:rsid w:val="002C5D93"/>
    <w:rsid w:val="002C5E65"/>
    <w:rsid w:val="002C6D65"/>
    <w:rsid w:val="002C7198"/>
    <w:rsid w:val="002C782A"/>
    <w:rsid w:val="002D0357"/>
    <w:rsid w:val="002D0A4E"/>
    <w:rsid w:val="002D0B2C"/>
    <w:rsid w:val="002D0B77"/>
    <w:rsid w:val="002D1226"/>
    <w:rsid w:val="002D2383"/>
    <w:rsid w:val="002D23EA"/>
    <w:rsid w:val="002D24FB"/>
    <w:rsid w:val="002D3060"/>
    <w:rsid w:val="002D3857"/>
    <w:rsid w:val="002D3BE6"/>
    <w:rsid w:val="002D41D1"/>
    <w:rsid w:val="002D4F97"/>
    <w:rsid w:val="002D5233"/>
    <w:rsid w:val="002D5902"/>
    <w:rsid w:val="002D5DCC"/>
    <w:rsid w:val="002D642A"/>
    <w:rsid w:val="002D6AC4"/>
    <w:rsid w:val="002D6F73"/>
    <w:rsid w:val="002D7075"/>
    <w:rsid w:val="002D7088"/>
    <w:rsid w:val="002D77C5"/>
    <w:rsid w:val="002E0DBC"/>
    <w:rsid w:val="002E100A"/>
    <w:rsid w:val="002E1037"/>
    <w:rsid w:val="002E127B"/>
    <w:rsid w:val="002E1D37"/>
    <w:rsid w:val="002E2285"/>
    <w:rsid w:val="002E3A59"/>
    <w:rsid w:val="002E4313"/>
    <w:rsid w:val="002E46EE"/>
    <w:rsid w:val="002E6009"/>
    <w:rsid w:val="002E604D"/>
    <w:rsid w:val="002E647F"/>
    <w:rsid w:val="002E6BA8"/>
    <w:rsid w:val="002E6C20"/>
    <w:rsid w:val="002E76CC"/>
    <w:rsid w:val="002E797E"/>
    <w:rsid w:val="002E7CC3"/>
    <w:rsid w:val="002F03B5"/>
    <w:rsid w:val="002F0CFD"/>
    <w:rsid w:val="002F0D64"/>
    <w:rsid w:val="002F0D94"/>
    <w:rsid w:val="002F1254"/>
    <w:rsid w:val="002F25B3"/>
    <w:rsid w:val="002F2A76"/>
    <w:rsid w:val="002F2F31"/>
    <w:rsid w:val="002F3373"/>
    <w:rsid w:val="002F36A0"/>
    <w:rsid w:val="002F3945"/>
    <w:rsid w:val="002F507C"/>
    <w:rsid w:val="002F51E7"/>
    <w:rsid w:val="002F57F7"/>
    <w:rsid w:val="002F632E"/>
    <w:rsid w:val="002F6C8F"/>
    <w:rsid w:val="002F718F"/>
    <w:rsid w:val="002F72C1"/>
    <w:rsid w:val="002F7725"/>
    <w:rsid w:val="002F789B"/>
    <w:rsid w:val="002F7CFB"/>
    <w:rsid w:val="002F7EFB"/>
    <w:rsid w:val="002F7F6E"/>
    <w:rsid w:val="00300560"/>
    <w:rsid w:val="0030062F"/>
    <w:rsid w:val="003008F2"/>
    <w:rsid w:val="00300A35"/>
    <w:rsid w:val="003021C7"/>
    <w:rsid w:val="0030355E"/>
    <w:rsid w:val="00303BB2"/>
    <w:rsid w:val="003041A4"/>
    <w:rsid w:val="00304229"/>
    <w:rsid w:val="0030422E"/>
    <w:rsid w:val="00304595"/>
    <w:rsid w:val="003050DE"/>
    <w:rsid w:val="003056BC"/>
    <w:rsid w:val="00305CB3"/>
    <w:rsid w:val="003065C7"/>
    <w:rsid w:val="00307286"/>
    <w:rsid w:val="003076D5"/>
    <w:rsid w:val="00307C7F"/>
    <w:rsid w:val="003108D6"/>
    <w:rsid w:val="003126DF"/>
    <w:rsid w:val="00312A99"/>
    <w:rsid w:val="00313971"/>
    <w:rsid w:val="00313EC6"/>
    <w:rsid w:val="00313F7A"/>
    <w:rsid w:val="003149A5"/>
    <w:rsid w:val="00314C45"/>
    <w:rsid w:val="00314E4C"/>
    <w:rsid w:val="003159C2"/>
    <w:rsid w:val="00315A78"/>
    <w:rsid w:val="00315CBB"/>
    <w:rsid w:val="00315D42"/>
    <w:rsid w:val="00316035"/>
    <w:rsid w:val="0031726B"/>
    <w:rsid w:val="00317D8D"/>
    <w:rsid w:val="00320172"/>
    <w:rsid w:val="003209D5"/>
    <w:rsid w:val="00320C94"/>
    <w:rsid w:val="00320DA9"/>
    <w:rsid w:val="0032195C"/>
    <w:rsid w:val="00321A60"/>
    <w:rsid w:val="0032212B"/>
    <w:rsid w:val="0032228E"/>
    <w:rsid w:val="00322627"/>
    <w:rsid w:val="00322AFE"/>
    <w:rsid w:val="00323388"/>
    <w:rsid w:val="003237B9"/>
    <w:rsid w:val="00324777"/>
    <w:rsid w:val="003257B9"/>
    <w:rsid w:val="00326BA8"/>
    <w:rsid w:val="00330369"/>
    <w:rsid w:val="003315FB"/>
    <w:rsid w:val="0033179B"/>
    <w:rsid w:val="003318B0"/>
    <w:rsid w:val="003331EC"/>
    <w:rsid w:val="00333609"/>
    <w:rsid w:val="003336BA"/>
    <w:rsid w:val="00336035"/>
    <w:rsid w:val="00336A11"/>
    <w:rsid w:val="00336F51"/>
    <w:rsid w:val="003409CA"/>
    <w:rsid w:val="00340B71"/>
    <w:rsid w:val="00340E8B"/>
    <w:rsid w:val="003410F2"/>
    <w:rsid w:val="00341C97"/>
    <w:rsid w:val="00342E12"/>
    <w:rsid w:val="0034372A"/>
    <w:rsid w:val="003438E9"/>
    <w:rsid w:val="003444B6"/>
    <w:rsid w:val="00346606"/>
    <w:rsid w:val="0034691B"/>
    <w:rsid w:val="00346ADA"/>
    <w:rsid w:val="00347650"/>
    <w:rsid w:val="003501BB"/>
    <w:rsid w:val="00351CB1"/>
    <w:rsid w:val="00351E7F"/>
    <w:rsid w:val="00351F16"/>
    <w:rsid w:val="00351F7E"/>
    <w:rsid w:val="0035246B"/>
    <w:rsid w:val="00353720"/>
    <w:rsid w:val="0035417C"/>
    <w:rsid w:val="00354D57"/>
    <w:rsid w:val="003578F6"/>
    <w:rsid w:val="00357E81"/>
    <w:rsid w:val="003600BA"/>
    <w:rsid w:val="0036029A"/>
    <w:rsid w:val="00360C5E"/>
    <w:rsid w:val="00360F22"/>
    <w:rsid w:val="003639C2"/>
    <w:rsid w:val="00364A2F"/>
    <w:rsid w:val="00364F95"/>
    <w:rsid w:val="00365496"/>
    <w:rsid w:val="00365E43"/>
    <w:rsid w:val="003664F4"/>
    <w:rsid w:val="00366727"/>
    <w:rsid w:val="003674AF"/>
    <w:rsid w:val="00367A5C"/>
    <w:rsid w:val="00367F5C"/>
    <w:rsid w:val="0037138C"/>
    <w:rsid w:val="00371F8D"/>
    <w:rsid w:val="0037204F"/>
    <w:rsid w:val="003723D6"/>
    <w:rsid w:val="00372E72"/>
    <w:rsid w:val="00373158"/>
    <w:rsid w:val="00373184"/>
    <w:rsid w:val="003736CE"/>
    <w:rsid w:val="00373957"/>
    <w:rsid w:val="00373C12"/>
    <w:rsid w:val="003753C2"/>
    <w:rsid w:val="00375411"/>
    <w:rsid w:val="00375603"/>
    <w:rsid w:val="0037639B"/>
    <w:rsid w:val="0037651C"/>
    <w:rsid w:val="003765CC"/>
    <w:rsid w:val="00376910"/>
    <w:rsid w:val="00376987"/>
    <w:rsid w:val="00381D73"/>
    <w:rsid w:val="00382475"/>
    <w:rsid w:val="00382940"/>
    <w:rsid w:val="00383351"/>
    <w:rsid w:val="00383DDD"/>
    <w:rsid w:val="003846F2"/>
    <w:rsid w:val="00384B7D"/>
    <w:rsid w:val="00385BC7"/>
    <w:rsid w:val="00386A3C"/>
    <w:rsid w:val="00386C68"/>
    <w:rsid w:val="003877FC"/>
    <w:rsid w:val="00390451"/>
    <w:rsid w:val="00391602"/>
    <w:rsid w:val="00391AE4"/>
    <w:rsid w:val="00391B60"/>
    <w:rsid w:val="00392147"/>
    <w:rsid w:val="0039253D"/>
    <w:rsid w:val="003933A8"/>
    <w:rsid w:val="0039343A"/>
    <w:rsid w:val="00393592"/>
    <w:rsid w:val="00393782"/>
    <w:rsid w:val="003939ED"/>
    <w:rsid w:val="00393E6E"/>
    <w:rsid w:val="00394929"/>
    <w:rsid w:val="00394B22"/>
    <w:rsid w:val="0039525A"/>
    <w:rsid w:val="00396044"/>
    <w:rsid w:val="0039628E"/>
    <w:rsid w:val="003967FF"/>
    <w:rsid w:val="00397638"/>
    <w:rsid w:val="003A0D8F"/>
    <w:rsid w:val="003A183F"/>
    <w:rsid w:val="003A1ED2"/>
    <w:rsid w:val="003A2A31"/>
    <w:rsid w:val="003A2DCE"/>
    <w:rsid w:val="003A2E84"/>
    <w:rsid w:val="003A4B60"/>
    <w:rsid w:val="003A5132"/>
    <w:rsid w:val="003A5B56"/>
    <w:rsid w:val="003A5D5B"/>
    <w:rsid w:val="003A623B"/>
    <w:rsid w:val="003A6992"/>
    <w:rsid w:val="003A75D7"/>
    <w:rsid w:val="003A7BFA"/>
    <w:rsid w:val="003A7E6F"/>
    <w:rsid w:val="003A7EE1"/>
    <w:rsid w:val="003B0904"/>
    <w:rsid w:val="003B0B67"/>
    <w:rsid w:val="003B200E"/>
    <w:rsid w:val="003B256F"/>
    <w:rsid w:val="003B2C35"/>
    <w:rsid w:val="003B3795"/>
    <w:rsid w:val="003B3872"/>
    <w:rsid w:val="003B43A5"/>
    <w:rsid w:val="003B4879"/>
    <w:rsid w:val="003B5501"/>
    <w:rsid w:val="003B6D09"/>
    <w:rsid w:val="003B77AB"/>
    <w:rsid w:val="003B7AF6"/>
    <w:rsid w:val="003B7BAE"/>
    <w:rsid w:val="003B7C65"/>
    <w:rsid w:val="003C044C"/>
    <w:rsid w:val="003C1126"/>
    <w:rsid w:val="003C1E4C"/>
    <w:rsid w:val="003C2AC6"/>
    <w:rsid w:val="003C2BF4"/>
    <w:rsid w:val="003C3CAD"/>
    <w:rsid w:val="003C3DA3"/>
    <w:rsid w:val="003C4165"/>
    <w:rsid w:val="003C4237"/>
    <w:rsid w:val="003C4918"/>
    <w:rsid w:val="003C56E3"/>
    <w:rsid w:val="003C5C4F"/>
    <w:rsid w:val="003C618E"/>
    <w:rsid w:val="003C65A1"/>
    <w:rsid w:val="003C6D7D"/>
    <w:rsid w:val="003C7BD6"/>
    <w:rsid w:val="003C7CBB"/>
    <w:rsid w:val="003D08D9"/>
    <w:rsid w:val="003D0F34"/>
    <w:rsid w:val="003D0F7F"/>
    <w:rsid w:val="003D11B2"/>
    <w:rsid w:val="003D12F6"/>
    <w:rsid w:val="003D1748"/>
    <w:rsid w:val="003D18CC"/>
    <w:rsid w:val="003D1B00"/>
    <w:rsid w:val="003D1D8C"/>
    <w:rsid w:val="003D1DE8"/>
    <w:rsid w:val="003D2B7E"/>
    <w:rsid w:val="003D2D7F"/>
    <w:rsid w:val="003D2FA4"/>
    <w:rsid w:val="003D3089"/>
    <w:rsid w:val="003D3377"/>
    <w:rsid w:val="003D3FEB"/>
    <w:rsid w:val="003D48A0"/>
    <w:rsid w:val="003D4BE0"/>
    <w:rsid w:val="003D7E23"/>
    <w:rsid w:val="003E07EB"/>
    <w:rsid w:val="003E0B66"/>
    <w:rsid w:val="003E12E2"/>
    <w:rsid w:val="003E2452"/>
    <w:rsid w:val="003E381D"/>
    <w:rsid w:val="003E3B06"/>
    <w:rsid w:val="003E48AB"/>
    <w:rsid w:val="003E4C5C"/>
    <w:rsid w:val="003E4E4F"/>
    <w:rsid w:val="003E5B26"/>
    <w:rsid w:val="003E6397"/>
    <w:rsid w:val="003F040C"/>
    <w:rsid w:val="003F057D"/>
    <w:rsid w:val="003F09A2"/>
    <w:rsid w:val="003F13DE"/>
    <w:rsid w:val="003F250C"/>
    <w:rsid w:val="003F3908"/>
    <w:rsid w:val="003F4040"/>
    <w:rsid w:val="003F438F"/>
    <w:rsid w:val="003F44D9"/>
    <w:rsid w:val="003F5765"/>
    <w:rsid w:val="003F6B3A"/>
    <w:rsid w:val="003F6E5C"/>
    <w:rsid w:val="003F71B7"/>
    <w:rsid w:val="003F792A"/>
    <w:rsid w:val="003F7ED0"/>
    <w:rsid w:val="00400D58"/>
    <w:rsid w:val="004018C0"/>
    <w:rsid w:val="00402D9D"/>
    <w:rsid w:val="00403604"/>
    <w:rsid w:val="00403951"/>
    <w:rsid w:val="0040398F"/>
    <w:rsid w:val="00403AB5"/>
    <w:rsid w:val="0040411A"/>
    <w:rsid w:val="00404C15"/>
    <w:rsid w:val="00404F68"/>
    <w:rsid w:val="004052F4"/>
    <w:rsid w:val="00405E5F"/>
    <w:rsid w:val="00406499"/>
    <w:rsid w:val="0040661A"/>
    <w:rsid w:val="004066AB"/>
    <w:rsid w:val="00406C5D"/>
    <w:rsid w:val="00406D06"/>
    <w:rsid w:val="00406FC8"/>
    <w:rsid w:val="004071D5"/>
    <w:rsid w:val="00411040"/>
    <w:rsid w:val="0041153B"/>
    <w:rsid w:val="00412B80"/>
    <w:rsid w:val="0041312C"/>
    <w:rsid w:val="0041592E"/>
    <w:rsid w:val="00417FC4"/>
    <w:rsid w:val="00420013"/>
    <w:rsid w:val="0042035C"/>
    <w:rsid w:val="00420F47"/>
    <w:rsid w:val="004212C8"/>
    <w:rsid w:val="0042182F"/>
    <w:rsid w:val="00421847"/>
    <w:rsid w:val="00422281"/>
    <w:rsid w:val="004227BE"/>
    <w:rsid w:val="00422A46"/>
    <w:rsid w:val="00422DDE"/>
    <w:rsid w:val="004231CF"/>
    <w:rsid w:val="00423701"/>
    <w:rsid w:val="004245CF"/>
    <w:rsid w:val="00424C50"/>
    <w:rsid w:val="0042524F"/>
    <w:rsid w:val="0042534D"/>
    <w:rsid w:val="00425459"/>
    <w:rsid w:val="00426BA1"/>
    <w:rsid w:val="004273D1"/>
    <w:rsid w:val="0043035F"/>
    <w:rsid w:val="00430E64"/>
    <w:rsid w:val="00431089"/>
    <w:rsid w:val="0043115B"/>
    <w:rsid w:val="00432524"/>
    <w:rsid w:val="0043563E"/>
    <w:rsid w:val="00435D06"/>
    <w:rsid w:val="0043622F"/>
    <w:rsid w:val="00436588"/>
    <w:rsid w:val="00436E23"/>
    <w:rsid w:val="0043774C"/>
    <w:rsid w:val="00437A33"/>
    <w:rsid w:val="00440ED5"/>
    <w:rsid w:val="00441817"/>
    <w:rsid w:val="00441BDC"/>
    <w:rsid w:val="00441FBA"/>
    <w:rsid w:val="00442006"/>
    <w:rsid w:val="004424CE"/>
    <w:rsid w:val="00442557"/>
    <w:rsid w:val="00442D6F"/>
    <w:rsid w:val="00443BDD"/>
    <w:rsid w:val="00445808"/>
    <w:rsid w:val="00445837"/>
    <w:rsid w:val="00445871"/>
    <w:rsid w:val="00445974"/>
    <w:rsid w:val="004469CA"/>
    <w:rsid w:val="004476D5"/>
    <w:rsid w:val="00447D3E"/>
    <w:rsid w:val="00451AC3"/>
    <w:rsid w:val="00451D84"/>
    <w:rsid w:val="00452B38"/>
    <w:rsid w:val="00452EAE"/>
    <w:rsid w:val="0045339C"/>
    <w:rsid w:val="004537F1"/>
    <w:rsid w:val="00453EA1"/>
    <w:rsid w:val="0045470C"/>
    <w:rsid w:val="00454C51"/>
    <w:rsid w:val="00455BCF"/>
    <w:rsid w:val="004569EC"/>
    <w:rsid w:val="004577E4"/>
    <w:rsid w:val="004577F5"/>
    <w:rsid w:val="00460618"/>
    <w:rsid w:val="00460CEB"/>
    <w:rsid w:val="0046172A"/>
    <w:rsid w:val="0046211A"/>
    <w:rsid w:val="00462C0B"/>
    <w:rsid w:val="00462C39"/>
    <w:rsid w:val="00462E15"/>
    <w:rsid w:val="004643A2"/>
    <w:rsid w:val="0046473B"/>
    <w:rsid w:val="004649EA"/>
    <w:rsid w:val="004659EE"/>
    <w:rsid w:val="00466085"/>
    <w:rsid w:val="00466148"/>
    <w:rsid w:val="00466BB8"/>
    <w:rsid w:val="00466E98"/>
    <w:rsid w:val="004676CC"/>
    <w:rsid w:val="00467B95"/>
    <w:rsid w:val="00467D98"/>
    <w:rsid w:val="004705B2"/>
    <w:rsid w:val="00470C3C"/>
    <w:rsid w:val="004716B9"/>
    <w:rsid w:val="00472811"/>
    <w:rsid w:val="00472B0C"/>
    <w:rsid w:val="00473D3E"/>
    <w:rsid w:val="00474010"/>
    <w:rsid w:val="00474559"/>
    <w:rsid w:val="004746D5"/>
    <w:rsid w:val="0047517A"/>
    <w:rsid w:val="00475634"/>
    <w:rsid w:val="00475CCE"/>
    <w:rsid w:val="00476646"/>
    <w:rsid w:val="00476BA2"/>
    <w:rsid w:val="00477311"/>
    <w:rsid w:val="00477D44"/>
    <w:rsid w:val="00480B41"/>
    <w:rsid w:val="004819F3"/>
    <w:rsid w:val="00481C6C"/>
    <w:rsid w:val="00481DE8"/>
    <w:rsid w:val="0048232F"/>
    <w:rsid w:val="00482A05"/>
    <w:rsid w:val="00482EF4"/>
    <w:rsid w:val="00484202"/>
    <w:rsid w:val="004854FA"/>
    <w:rsid w:val="00485888"/>
    <w:rsid w:val="00485CF7"/>
    <w:rsid w:val="00486D8D"/>
    <w:rsid w:val="0049218B"/>
    <w:rsid w:val="0049250E"/>
    <w:rsid w:val="004925BB"/>
    <w:rsid w:val="004928A3"/>
    <w:rsid w:val="00493148"/>
    <w:rsid w:val="004949CB"/>
    <w:rsid w:val="00494C4E"/>
    <w:rsid w:val="00496761"/>
    <w:rsid w:val="004969C7"/>
    <w:rsid w:val="004A03E3"/>
    <w:rsid w:val="004A0B47"/>
    <w:rsid w:val="004A165D"/>
    <w:rsid w:val="004A2FA9"/>
    <w:rsid w:val="004A4F5E"/>
    <w:rsid w:val="004A5241"/>
    <w:rsid w:val="004A6CDA"/>
    <w:rsid w:val="004A732C"/>
    <w:rsid w:val="004A744F"/>
    <w:rsid w:val="004B145B"/>
    <w:rsid w:val="004B18D0"/>
    <w:rsid w:val="004B1AB4"/>
    <w:rsid w:val="004B1BD8"/>
    <w:rsid w:val="004B2299"/>
    <w:rsid w:val="004B24F3"/>
    <w:rsid w:val="004B2715"/>
    <w:rsid w:val="004B2716"/>
    <w:rsid w:val="004B2FBD"/>
    <w:rsid w:val="004B308B"/>
    <w:rsid w:val="004B4652"/>
    <w:rsid w:val="004B498D"/>
    <w:rsid w:val="004B5788"/>
    <w:rsid w:val="004B5B18"/>
    <w:rsid w:val="004B5BB4"/>
    <w:rsid w:val="004B5EAF"/>
    <w:rsid w:val="004B6F37"/>
    <w:rsid w:val="004B7043"/>
    <w:rsid w:val="004B731F"/>
    <w:rsid w:val="004B7482"/>
    <w:rsid w:val="004B762F"/>
    <w:rsid w:val="004B7CC4"/>
    <w:rsid w:val="004C1097"/>
    <w:rsid w:val="004C14E3"/>
    <w:rsid w:val="004C1DE5"/>
    <w:rsid w:val="004C25A2"/>
    <w:rsid w:val="004C33B4"/>
    <w:rsid w:val="004C372B"/>
    <w:rsid w:val="004C39C6"/>
    <w:rsid w:val="004C40B0"/>
    <w:rsid w:val="004C4119"/>
    <w:rsid w:val="004C51AF"/>
    <w:rsid w:val="004C5DB9"/>
    <w:rsid w:val="004C6CC5"/>
    <w:rsid w:val="004C77BB"/>
    <w:rsid w:val="004D0E0B"/>
    <w:rsid w:val="004D116A"/>
    <w:rsid w:val="004D13CF"/>
    <w:rsid w:val="004D2094"/>
    <w:rsid w:val="004D2C6E"/>
    <w:rsid w:val="004D3514"/>
    <w:rsid w:val="004D3739"/>
    <w:rsid w:val="004D3F0C"/>
    <w:rsid w:val="004D4CDD"/>
    <w:rsid w:val="004D519B"/>
    <w:rsid w:val="004D580B"/>
    <w:rsid w:val="004D5FDD"/>
    <w:rsid w:val="004D6A08"/>
    <w:rsid w:val="004D6D12"/>
    <w:rsid w:val="004D7174"/>
    <w:rsid w:val="004D72E4"/>
    <w:rsid w:val="004E003B"/>
    <w:rsid w:val="004E0680"/>
    <w:rsid w:val="004E0B59"/>
    <w:rsid w:val="004E1561"/>
    <w:rsid w:val="004E16AD"/>
    <w:rsid w:val="004E1D01"/>
    <w:rsid w:val="004E2675"/>
    <w:rsid w:val="004E2772"/>
    <w:rsid w:val="004E324C"/>
    <w:rsid w:val="004E3388"/>
    <w:rsid w:val="004E35BC"/>
    <w:rsid w:val="004E419F"/>
    <w:rsid w:val="004E55AF"/>
    <w:rsid w:val="004E6483"/>
    <w:rsid w:val="004E66B6"/>
    <w:rsid w:val="004E6E13"/>
    <w:rsid w:val="004E75A0"/>
    <w:rsid w:val="004E7D06"/>
    <w:rsid w:val="004E7EFC"/>
    <w:rsid w:val="004F0848"/>
    <w:rsid w:val="004F0AED"/>
    <w:rsid w:val="004F1425"/>
    <w:rsid w:val="004F18DE"/>
    <w:rsid w:val="004F19C6"/>
    <w:rsid w:val="004F1DBD"/>
    <w:rsid w:val="004F1EF0"/>
    <w:rsid w:val="004F21F4"/>
    <w:rsid w:val="004F357B"/>
    <w:rsid w:val="004F3FA6"/>
    <w:rsid w:val="004F4B90"/>
    <w:rsid w:val="004F5134"/>
    <w:rsid w:val="004F5E2E"/>
    <w:rsid w:val="004F78A9"/>
    <w:rsid w:val="005008FE"/>
    <w:rsid w:val="00501C88"/>
    <w:rsid w:val="00502E1A"/>
    <w:rsid w:val="00503108"/>
    <w:rsid w:val="00503129"/>
    <w:rsid w:val="00503D9C"/>
    <w:rsid w:val="0050429F"/>
    <w:rsid w:val="005044D2"/>
    <w:rsid w:val="00504BA2"/>
    <w:rsid w:val="00505865"/>
    <w:rsid w:val="00506171"/>
    <w:rsid w:val="00506C14"/>
    <w:rsid w:val="00507F3B"/>
    <w:rsid w:val="00510C3C"/>
    <w:rsid w:val="005120DA"/>
    <w:rsid w:val="0051212D"/>
    <w:rsid w:val="00512659"/>
    <w:rsid w:val="005126AA"/>
    <w:rsid w:val="00512C23"/>
    <w:rsid w:val="00513992"/>
    <w:rsid w:val="005146AC"/>
    <w:rsid w:val="00514AFB"/>
    <w:rsid w:val="0051512A"/>
    <w:rsid w:val="00515149"/>
    <w:rsid w:val="0051569A"/>
    <w:rsid w:val="00515CFA"/>
    <w:rsid w:val="00516308"/>
    <w:rsid w:val="00516322"/>
    <w:rsid w:val="00517241"/>
    <w:rsid w:val="00517BA3"/>
    <w:rsid w:val="0052031E"/>
    <w:rsid w:val="005203D5"/>
    <w:rsid w:val="005205AC"/>
    <w:rsid w:val="005205B0"/>
    <w:rsid w:val="0052114F"/>
    <w:rsid w:val="005211DE"/>
    <w:rsid w:val="0052357E"/>
    <w:rsid w:val="00523E85"/>
    <w:rsid w:val="00523EAE"/>
    <w:rsid w:val="00524677"/>
    <w:rsid w:val="00524F9A"/>
    <w:rsid w:val="00525092"/>
    <w:rsid w:val="005255D9"/>
    <w:rsid w:val="0052599F"/>
    <w:rsid w:val="00525DE9"/>
    <w:rsid w:val="00526020"/>
    <w:rsid w:val="0052621E"/>
    <w:rsid w:val="00526A06"/>
    <w:rsid w:val="0053004D"/>
    <w:rsid w:val="005300DE"/>
    <w:rsid w:val="005302F1"/>
    <w:rsid w:val="00530B3C"/>
    <w:rsid w:val="00531AA7"/>
    <w:rsid w:val="00532136"/>
    <w:rsid w:val="00532453"/>
    <w:rsid w:val="0053362D"/>
    <w:rsid w:val="005338CA"/>
    <w:rsid w:val="00533CDE"/>
    <w:rsid w:val="0053408C"/>
    <w:rsid w:val="00534424"/>
    <w:rsid w:val="00534A50"/>
    <w:rsid w:val="00534D9C"/>
    <w:rsid w:val="005352A9"/>
    <w:rsid w:val="005353A7"/>
    <w:rsid w:val="0053567F"/>
    <w:rsid w:val="0053701B"/>
    <w:rsid w:val="00537536"/>
    <w:rsid w:val="00537D56"/>
    <w:rsid w:val="00541556"/>
    <w:rsid w:val="005433BF"/>
    <w:rsid w:val="00543564"/>
    <w:rsid w:val="005459E2"/>
    <w:rsid w:val="00546A27"/>
    <w:rsid w:val="00546BAC"/>
    <w:rsid w:val="0054745B"/>
    <w:rsid w:val="00547A5E"/>
    <w:rsid w:val="00547A82"/>
    <w:rsid w:val="00547B63"/>
    <w:rsid w:val="00550F5D"/>
    <w:rsid w:val="00551417"/>
    <w:rsid w:val="00551BA9"/>
    <w:rsid w:val="00552A3C"/>
    <w:rsid w:val="00552E3E"/>
    <w:rsid w:val="0055378E"/>
    <w:rsid w:val="00553D25"/>
    <w:rsid w:val="005554BD"/>
    <w:rsid w:val="00555FCF"/>
    <w:rsid w:val="005564F0"/>
    <w:rsid w:val="00556AC9"/>
    <w:rsid w:val="00557469"/>
    <w:rsid w:val="00557703"/>
    <w:rsid w:val="0055799F"/>
    <w:rsid w:val="00557F61"/>
    <w:rsid w:val="0056030F"/>
    <w:rsid w:val="00560557"/>
    <w:rsid w:val="00560B22"/>
    <w:rsid w:val="005615A6"/>
    <w:rsid w:val="00561BD0"/>
    <w:rsid w:val="00561BFD"/>
    <w:rsid w:val="00562256"/>
    <w:rsid w:val="005624AE"/>
    <w:rsid w:val="0056276A"/>
    <w:rsid w:val="00562897"/>
    <w:rsid w:val="0056321C"/>
    <w:rsid w:val="00563223"/>
    <w:rsid w:val="00563916"/>
    <w:rsid w:val="00564058"/>
    <w:rsid w:val="00564470"/>
    <w:rsid w:val="005645B2"/>
    <w:rsid w:val="00564806"/>
    <w:rsid w:val="00564B44"/>
    <w:rsid w:val="00564D97"/>
    <w:rsid w:val="0056775E"/>
    <w:rsid w:val="00570962"/>
    <w:rsid w:val="00570A7E"/>
    <w:rsid w:val="005711B9"/>
    <w:rsid w:val="00571A23"/>
    <w:rsid w:val="00571AEE"/>
    <w:rsid w:val="00571F85"/>
    <w:rsid w:val="00572681"/>
    <w:rsid w:val="00573B1B"/>
    <w:rsid w:val="00573B8A"/>
    <w:rsid w:val="0057484A"/>
    <w:rsid w:val="005748DE"/>
    <w:rsid w:val="00575AF6"/>
    <w:rsid w:val="005761EF"/>
    <w:rsid w:val="00577507"/>
    <w:rsid w:val="00577D73"/>
    <w:rsid w:val="005807BD"/>
    <w:rsid w:val="00583DD1"/>
    <w:rsid w:val="005858DF"/>
    <w:rsid w:val="00586085"/>
    <w:rsid w:val="0058615E"/>
    <w:rsid w:val="00586672"/>
    <w:rsid w:val="00586756"/>
    <w:rsid w:val="00586A1D"/>
    <w:rsid w:val="00587222"/>
    <w:rsid w:val="005879F6"/>
    <w:rsid w:val="005909EB"/>
    <w:rsid w:val="00590A82"/>
    <w:rsid w:val="00591CB7"/>
    <w:rsid w:val="00591D52"/>
    <w:rsid w:val="00591E91"/>
    <w:rsid w:val="00592C0C"/>
    <w:rsid w:val="0059391D"/>
    <w:rsid w:val="005944B4"/>
    <w:rsid w:val="0059462D"/>
    <w:rsid w:val="00594788"/>
    <w:rsid w:val="00594F21"/>
    <w:rsid w:val="00595048"/>
    <w:rsid w:val="00595D9B"/>
    <w:rsid w:val="00595FC1"/>
    <w:rsid w:val="00596367"/>
    <w:rsid w:val="00596814"/>
    <w:rsid w:val="00597AA4"/>
    <w:rsid w:val="00597E97"/>
    <w:rsid w:val="005A04CF"/>
    <w:rsid w:val="005A0A08"/>
    <w:rsid w:val="005A0B0B"/>
    <w:rsid w:val="005A2821"/>
    <w:rsid w:val="005A364B"/>
    <w:rsid w:val="005A398C"/>
    <w:rsid w:val="005A39AB"/>
    <w:rsid w:val="005A3BB7"/>
    <w:rsid w:val="005A3C1F"/>
    <w:rsid w:val="005A40A2"/>
    <w:rsid w:val="005A48B1"/>
    <w:rsid w:val="005A56D3"/>
    <w:rsid w:val="005A69DC"/>
    <w:rsid w:val="005A6C2B"/>
    <w:rsid w:val="005A75B4"/>
    <w:rsid w:val="005B037B"/>
    <w:rsid w:val="005B1EC3"/>
    <w:rsid w:val="005B2276"/>
    <w:rsid w:val="005B2B2E"/>
    <w:rsid w:val="005B4B40"/>
    <w:rsid w:val="005B5052"/>
    <w:rsid w:val="005B530E"/>
    <w:rsid w:val="005B6014"/>
    <w:rsid w:val="005B76FE"/>
    <w:rsid w:val="005B7B99"/>
    <w:rsid w:val="005B7C97"/>
    <w:rsid w:val="005C13D1"/>
    <w:rsid w:val="005C3273"/>
    <w:rsid w:val="005C3327"/>
    <w:rsid w:val="005C355D"/>
    <w:rsid w:val="005C37D1"/>
    <w:rsid w:val="005C41C8"/>
    <w:rsid w:val="005C48A6"/>
    <w:rsid w:val="005C5276"/>
    <w:rsid w:val="005C5B07"/>
    <w:rsid w:val="005C6417"/>
    <w:rsid w:val="005C6732"/>
    <w:rsid w:val="005C6E15"/>
    <w:rsid w:val="005C747E"/>
    <w:rsid w:val="005C76BC"/>
    <w:rsid w:val="005D00A9"/>
    <w:rsid w:val="005D0BA6"/>
    <w:rsid w:val="005D0FA4"/>
    <w:rsid w:val="005D1BB4"/>
    <w:rsid w:val="005D2666"/>
    <w:rsid w:val="005D2932"/>
    <w:rsid w:val="005D3E91"/>
    <w:rsid w:val="005D48D7"/>
    <w:rsid w:val="005D5473"/>
    <w:rsid w:val="005D5EB0"/>
    <w:rsid w:val="005D6AEE"/>
    <w:rsid w:val="005D6EC9"/>
    <w:rsid w:val="005D7A0A"/>
    <w:rsid w:val="005D7CD3"/>
    <w:rsid w:val="005E03B8"/>
    <w:rsid w:val="005E1479"/>
    <w:rsid w:val="005E2489"/>
    <w:rsid w:val="005E2997"/>
    <w:rsid w:val="005E2EA0"/>
    <w:rsid w:val="005E2F0B"/>
    <w:rsid w:val="005E2F9B"/>
    <w:rsid w:val="005E36D2"/>
    <w:rsid w:val="005E377D"/>
    <w:rsid w:val="005E3A6D"/>
    <w:rsid w:val="005E3A8C"/>
    <w:rsid w:val="005E4314"/>
    <w:rsid w:val="005E55BB"/>
    <w:rsid w:val="005E6583"/>
    <w:rsid w:val="005E7D1B"/>
    <w:rsid w:val="005F09A8"/>
    <w:rsid w:val="005F184C"/>
    <w:rsid w:val="005F262C"/>
    <w:rsid w:val="005F47A2"/>
    <w:rsid w:val="005F48C0"/>
    <w:rsid w:val="005F5096"/>
    <w:rsid w:val="005F5A34"/>
    <w:rsid w:val="005F610E"/>
    <w:rsid w:val="005F6215"/>
    <w:rsid w:val="005F62D6"/>
    <w:rsid w:val="005F692D"/>
    <w:rsid w:val="006017AB"/>
    <w:rsid w:val="00602299"/>
    <w:rsid w:val="0060257E"/>
    <w:rsid w:val="006035FD"/>
    <w:rsid w:val="00603AB1"/>
    <w:rsid w:val="00605792"/>
    <w:rsid w:val="00605BA0"/>
    <w:rsid w:val="006065CD"/>
    <w:rsid w:val="0060697F"/>
    <w:rsid w:val="00606B4B"/>
    <w:rsid w:val="00606E0D"/>
    <w:rsid w:val="00607A5E"/>
    <w:rsid w:val="00607D28"/>
    <w:rsid w:val="00607F60"/>
    <w:rsid w:val="00607F99"/>
    <w:rsid w:val="006108F9"/>
    <w:rsid w:val="00610EBE"/>
    <w:rsid w:val="00610FC9"/>
    <w:rsid w:val="0061193C"/>
    <w:rsid w:val="00611C76"/>
    <w:rsid w:val="006123CA"/>
    <w:rsid w:val="00612944"/>
    <w:rsid w:val="0061308D"/>
    <w:rsid w:val="0061313C"/>
    <w:rsid w:val="00613F70"/>
    <w:rsid w:val="00615990"/>
    <w:rsid w:val="006165B2"/>
    <w:rsid w:val="00616756"/>
    <w:rsid w:val="00617317"/>
    <w:rsid w:val="006200B8"/>
    <w:rsid w:val="0062098A"/>
    <w:rsid w:val="00622A55"/>
    <w:rsid w:val="00622EAC"/>
    <w:rsid w:val="006234B6"/>
    <w:rsid w:val="00623906"/>
    <w:rsid w:val="00624631"/>
    <w:rsid w:val="00624A19"/>
    <w:rsid w:val="00625977"/>
    <w:rsid w:val="006265F3"/>
    <w:rsid w:val="00626D93"/>
    <w:rsid w:val="00627A51"/>
    <w:rsid w:val="0063137A"/>
    <w:rsid w:val="006313BB"/>
    <w:rsid w:val="0063316A"/>
    <w:rsid w:val="0063369E"/>
    <w:rsid w:val="006336AF"/>
    <w:rsid w:val="00633756"/>
    <w:rsid w:val="00633DE5"/>
    <w:rsid w:val="00634815"/>
    <w:rsid w:val="00634BD2"/>
    <w:rsid w:val="00635C39"/>
    <w:rsid w:val="00636AC3"/>
    <w:rsid w:val="006371EE"/>
    <w:rsid w:val="00637CF9"/>
    <w:rsid w:val="00637DCE"/>
    <w:rsid w:val="006403D4"/>
    <w:rsid w:val="00640939"/>
    <w:rsid w:val="00641176"/>
    <w:rsid w:val="00641698"/>
    <w:rsid w:val="006418A1"/>
    <w:rsid w:val="0064260F"/>
    <w:rsid w:val="00642BE5"/>
    <w:rsid w:val="00643846"/>
    <w:rsid w:val="00643BC5"/>
    <w:rsid w:val="00645038"/>
    <w:rsid w:val="0064515D"/>
    <w:rsid w:val="00645239"/>
    <w:rsid w:val="00646C8D"/>
    <w:rsid w:val="00646F53"/>
    <w:rsid w:val="00646F67"/>
    <w:rsid w:val="006479A6"/>
    <w:rsid w:val="00647AA2"/>
    <w:rsid w:val="00650B47"/>
    <w:rsid w:val="00651115"/>
    <w:rsid w:val="00651F9B"/>
    <w:rsid w:val="006520A8"/>
    <w:rsid w:val="006528DD"/>
    <w:rsid w:val="00652BFB"/>
    <w:rsid w:val="0065333D"/>
    <w:rsid w:val="00654517"/>
    <w:rsid w:val="00654DC6"/>
    <w:rsid w:val="00655ACD"/>
    <w:rsid w:val="00657592"/>
    <w:rsid w:val="00660919"/>
    <w:rsid w:val="00660DFA"/>
    <w:rsid w:val="00661784"/>
    <w:rsid w:val="00661D7C"/>
    <w:rsid w:val="00662BB5"/>
    <w:rsid w:val="00663822"/>
    <w:rsid w:val="0066416D"/>
    <w:rsid w:val="00664B1C"/>
    <w:rsid w:val="00664B57"/>
    <w:rsid w:val="006652A7"/>
    <w:rsid w:val="00665B9B"/>
    <w:rsid w:val="00665BC4"/>
    <w:rsid w:val="00666C21"/>
    <w:rsid w:val="00667534"/>
    <w:rsid w:val="00670654"/>
    <w:rsid w:val="0067259C"/>
    <w:rsid w:val="006760E3"/>
    <w:rsid w:val="0067647D"/>
    <w:rsid w:val="00680D70"/>
    <w:rsid w:val="00680F4E"/>
    <w:rsid w:val="0068180F"/>
    <w:rsid w:val="00681CEA"/>
    <w:rsid w:val="006838A2"/>
    <w:rsid w:val="00683CD6"/>
    <w:rsid w:val="006864EC"/>
    <w:rsid w:val="00686D3D"/>
    <w:rsid w:val="006873FB"/>
    <w:rsid w:val="00687799"/>
    <w:rsid w:val="00687877"/>
    <w:rsid w:val="00687C4D"/>
    <w:rsid w:val="0069029C"/>
    <w:rsid w:val="00692191"/>
    <w:rsid w:val="00692252"/>
    <w:rsid w:val="00692E38"/>
    <w:rsid w:val="00693C1C"/>
    <w:rsid w:val="00693DB1"/>
    <w:rsid w:val="006945B7"/>
    <w:rsid w:val="00695DF5"/>
    <w:rsid w:val="00695E1E"/>
    <w:rsid w:val="00696518"/>
    <w:rsid w:val="006965DF"/>
    <w:rsid w:val="00697694"/>
    <w:rsid w:val="00697B04"/>
    <w:rsid w:val="006A05DC"/>
    <w:rsid w:val="006A0763"/>
    <w:rsid w:val="006A110D"/>
    <w:rsid w:val="006A2224"/>
    <w:rsid w:val="006A2D5E"/>
    <w:rsid w:val="006A4476"/>
    <w:rsid w:val="006A4521"/>
    <w:rsid w:val="006A4525"/>
    <w:rsid w:val="006A5D89"/>
    <w:rsid w:val="006A5FFA"/>
    <w:rsid w:val="006A6407"/>
    <w:rsid w:val="006A6635"/>
    <w:rsid w:val="006A69AA"/>
    <w:rsid w:val="006A6F0C"/>
    <w:rsid w:val="006A7254"/>
    <w:rsid w:val="006A739C"/>
    <w:rsid w:val="006A78DC"/>
    <w:rsid w:val="006B003B"/>
    <w:rsid w:val="006B0B19"/>
    <w:rsid w:val="006B0F75"/>
    <w:rsid w:val="006B2052"/>
    <w:rsid w:val="006B22FD"/>
    <w:rsid w:val="006B2B8C"/>
    <w:rsid w:val="006B3F55"/>
    <w:rsid w:val="006B452F"/>
    <w:rsid w:val="006B5088"/>
    <w:rsid w:val="006B50AC"/>
    <w:rsid w:val="006B5580"/>
    <w:rsid w:val="006B756B"/>
    <w:rsid w:val="006C016A"/>
    <w:rsid w:val="006C0180"/>
    <w:rsid w:val="006C0A6D"/>
    <w:rsid w:val="006C10D2"/>
    <w:rsid w:val="006C1191"/>
    <w:rsid w:val="006C14A8"/>
    <w:rsid w:val="006C1974"/>
    <w:rsid w:val="006C28A1"/>
    <w:rsid w:val="006C317A"/>
    <w:rsid w:val="006C405B"/>
    <w:rsid w:val="006C49AC"/>
    <w:rsid w:val="006C4F32"/>
    <w:rsid w:val="006C5FA9"/>
    <w:rsid w:val="006C6336"/>
    <w:rsid w:val="006C6607"/>
    <w:rsid w:val="006C66E5"/>
    <w:rsid w:val="006C6815"/>
    <w:rsid w:val="006C6FBE"/>
    <w:rsid w:val="006C7585"/>
    <w:rsid w:val="006C7CF3"/>
    <w:rsid w:val="006D0185"/>
    <w:rsid w:val="006D0417"/>
    <w:rsid w:val="006D2668"/>
    <w:rsid w:val="006D2E83"/>
    <w:rsid w:val="006D3D75"/>
    <w:rsid w:val="006D431C"/>
    <w:rsid w:val="006D43BF"/>
    <w:rsid w:val="006D4B03"/>
    <w:rsid w:val="006D5B34"/>
    <w:rsid w:val="006D5CF1"/>
    <w:rsid w:val="006D68FC"/>
    <w:rsid w:val="006D6B0E"/>
    <w:rsid w:val="006D7D6B"/>
    <w:rsid w:val="006D7D7E"/>
    <w:rsid w:val="006E03B1"/>
    <w:rsid w:val="006E04B6"/>
    <w:rsid w:val="006E0ACD"/>
    <w:rsid w:val="006E0BE9"/>
    <w:rsid w:val="006E1346"/>
    <w:rsid w:val="006E140B"/>
    <w:rsid w:val="006E14C7"/>
    <w:rsid w:val="006E2017"/>
    <w:rsid w:val="006E345F"/>
    <w:rsid w:val="006E3840"/>
    <w:rsid w:val="006E3B51"/>
    <w:rsid w:val="006E51C6"/>
    <w:rsid w:val="006E5546"/>
    <w:rsid w:val="006E5596"/>
    <w:rsid w:val="006E5740"/>
    <w:rsid w:val="006E5D69"/>
    <w:rsid w:val="006E5E90"/>
    <w:rsid w:val="006E5EAC"/>
    <w:rsid w:val="006E6A17"/>
    <w:rsid w:val="006E6F23"/>
    <w:rsid w:val="006E7456"/>
    <w:rsid w:val="006F0655"/>
    <w:rsid w:val="006F119F"/>
    <w:rsid w:val="006F352A"/>
    <w:rsid w:val="006F3561"/>
    <w:rsid w:val="006F3D4D"/>
    <w:rsid w:val="006F4032"/>
    <w:rsid w:val="006F45D1"/>
    <w:rsid w:val="006F4A72"/>
    <w:rsid w:val="006F5DF1"/>
    <w:rsid w:val="006F6AC9"/>
    <w:rsid w:val="007007C7"/>
    <w:rsid w:val="00700C5F"/>
    <w:rsid w:val="007013A7"/>
    <w:rsid w:val="007018F8"/>
    <w:rsid w:val="00702392"/>
    <w:rsid w:val="00703C04"/>
    <w:rsid w:val="00704B51"/>
    <w:rsid w:val="00704EA7"/>
    <w:rsid w:val="007055DA"/>
    <w:rsid w:val="007069ED"/>
    <w:rsid w:val="00706D46"/>
    <w:rsid w:val="00707C13"/>
    <w:rsid w:val="007100F0"/>
    <w:rsid w:val="00710114"/>
    <w:rsid w:val="0071035B"/>
    <w:rsid w:val="00710DEB"/>
    <w:rsid w:val="00711259"/>
    <w:rsid w:val="00711AA4"/>
    <w:rsid w:val="00712051"/>
    <w:rsid w:val="00712208"/>
    <w:rsid w:val="00712271"/>
    <w:rsid w:val="0071487F"/>
    <w:rsid w:val="00715B45"/>
    <w:rsid w:val="00716000"/>
    <w:rsid w:val="007165C2"/>
    <w:rsid w:val="0071753A"/>
    <w:rsid w:val="00717A78"/>
    <w:rsid w:val="00721B60"/>
    <w:rsid w:val="00722F41"/>
    <w:rsid w:val="00724312"/>
    <w:rsid w:val="0072457B"/>
    <w:rsid w:val="007255A5"/>
    <w:rsid w:val="00725DAC"/>
    <w:rsid w:val="00725EC1"/>
    <w:rsid w:val="0072677D"/>
    <w:rsid w:val="007267E5"/>
    <w:rsid w:val="007269F7"/>
    <w:rsid w:val="00726CD3"/>
    <w:rsid w:val="00726CFC"/>
    <w:rsid w:val="00726E8E"/>
    <w:rsid w:val="00726EB3"/>
    <w:rsid w:val="0072762E"/>
    <w:rsid w:val="00727910"/>
    <w:rsid w:val="00727A14"/>
    <w:rsid w:val="00727AA7"/>
    <w:rsid w:val="00727CB6"/>
    <w:rsid w:val="00731125"/>
    <w:rsid w:val="00731816"/>
    <w:rsid w:val="0073189F"/>
    <w:rsid w:val="0073198F"/>
    <w:rsid w:val="00731DDA"/>
    <w:rsid w:val="00732346"/>
    <w:rsid w:val="007324FB"/>
    <w:rsid w:val="007327AA"/>
    <w:rsid w:val="00732C51"/>
    <w:rsid w:val="00734A84"/>
    <w:rsid w:val="007363F9"/>
    <w:rsid w:val="0073645E"/>
    <w:rsid w:val="0073658D"/>
    <w:rsid w:val="007368B3"/>
    <w:rsid w:val="00736C85"/>
    <w:rsid w:val="007371DF"/>
    <w:rsid w:val="00737F5D"/>
    <w:rsid w:val="00740322"/>
    <w:rsid w:val="007407DC"/>
    <w:rsid w:val="00741EA0"/>
    <w:rsid w:val="00741FDA"/>
    <w:rsid w:val="00742AF9"/>
    <w:rsid w:val="00742C49"/>
    <w:rsid w:val="00742EEF"/>
    <w:rsid w:val="007434F2"/>
    <w:rsid w:val="007437E9"/>
    <w:rsid w:val="007445B7"/>
    <w:rsid w:val="0074494F"/>
    <w:rsid w:val="00744C7D"/>
    <w:rsid w:val="00745434"/>
    <w:rsid w:val="00745BF8"/>
    <w:rsid w:val="007460DA"/>
    <w:rsid w:val="00747424"/>
    <w:rsid w:val="00747A8C"/>
    <w:rsid w:val="00747C4A"/>
    <w:rsid w:val="00750110"/>
    <w:rsid w:val="00750412"/>
    <w:rsid w:val="00751092"/>
    <w:rsid w:val="00751AC3"/>
    <w:rsid w:val="007520B0"/>
    <w:rsid w:val="00752250"/>
    <w:rsid w:val="00752789"/>
    <w:rsid w:val="00752B72"/>
    <w:rsid w:val="0075347A"/>
    <w:rsid w:val="007535FA"/>
    <w:rsid w:val="0075447C"/>
    <w:rsid w:val="00754F35"/>
    <w:rsid w:val="00755811"/>
    <w:rsid w:val="007566BA"/>
    <w:rsid w:val="00756A22"/>
    <w:rsid w:val="00756E90"/>
    <w:rsid w:val="0075749C"/>
    <w:rsid w:val="00757682"/>
    <w:rsid w:val="00757AFD"/>
    <w:rsid w:val="00757C64"/>
    <w:rsid w:val="0076038C"/>
    <w:rsid w:val="00760592"/>
    <w:rsid w:val="00760A87"/>
    <w:rsid w:val="00760FDC"/>
    <w:rsid w:val="00761AC6"/>
    <w:rsid w:val="00761D5E"/>
    <w:rsid w:val="00762468"/>
    <w:rsid w:val="0076291A"/>
    <w:rsid w:val="00762B63"/>
    <w:rsid w:val="00763185"/>
    <w:rsid w:val="0076327B"/>
    <w:rsid w:val="00763B4A"/>
    <w:rsid w:val="00766E38"/>
    <w:rsid w:val="00767E8E"/>
    <w:rsid w:val="0077067C"/>
    <w:rsid w:val="00771433"/>
    <w:rsid w:val="0077331D"/>
    <w:rsid w:val="0077376C"/>
    <w:rsid w:val="00774A75"/>
    <w:rsid w:val="00774B51"/>
    <w:rsid w:val="00775236"/>
    <w:rsid w:val="007752D5"/>
    <w:rsid w:val="007770EB"/>
    <w:rsid w:val="007812DA"/>
    <w:rsid w:val="0078328C"/>
    <w:rsid w:val="00783D59"/>
    <w:rsid w:val="00783EBD"/>
    <w:rsid w:val="00784BF1"/>
    <w:rsid w:val="00784C27"/>
    <w:rsid w:val="00786406"/>
    <w:rsid w:val="00786501"/>
    <w:rsid w:val="007879B5"/>
    <w:rsid w:val="007905DD"/>
    <w:rsid w:val="00790DDF"/>
    <w:rsid w:val="00790F63"/>
    <w:rsid w:val="0079136E"/>
    <w:rsid w:val="00791C62"/>
    <w:rsid w:val="00791E35"/>
    <w:rsid w:val="00792221"/>
    <w:rsid w:val="00794A44"/>
    <w:rsid w:val="007952E3"/>
    <w:rsid w:val="00795329"/>
    <w:rsid w:val="0079637B"/>
    <w:rsid w:val="00796EF2"/>
    <w:rsid w:val="007972A2"/>
    <w:rsid w:val="0079774A"/>
    <w:rsid w:val="007A023B"/>
    <w:rsid w:val="007A067C"/>
    <w:rsid w:val="007A0757"/>
    <w:rsid w:val="007A0E0F"/>
    <w:rsid w:val="007A1051"/>
    <w:rsid w:val="007A15FE"/>
    <w:rsid w:val="007A1A7E"/>
    <w:rsid w:val="007A1E28"/>
    <w:rsid w:val="007A2B72"/>
    <w:rsid w:val="007A3219"/>
    <w:rsid w:val="007A4334"/>
    <w:rsid w:val="007A4E9C"/>
    <w:rsid w:val="007A527F"/>
    <w:rsid w:val="007A763C"/>
    <w:rsid w:val="007B0464"/>
    <w:rsid w:val="007B15B0"/>
    <w:rsid w:val="007B1BD6"/>
    <w:rsid w:val="007B1F81"/>
    <w:rsid w:val="007B25A2"/>
    <w:rsid w:val="007B2D21"/>
    <w:rsid w:val="007B2FD0"/>
    <w:rsid w:val="007B3226"/>
    <w:rsid w:val="007B3439"/>
    <w:rsid w:val="007B3E12"/>
    <w:rsid w:val="007B3E23"/>
    <w:rsid w:val="007B4A3A"/>
    <w:rsid w:val="007B4B46"/>
    <w:rsid w:val="007B4B6A"/>
    <w:rsid w:val="007B5F38"/>
    <w:rsid w:val="007B65AC"/>
    <w:rsid w:val="007B6A1E"/>
    <w:rsid w:val="007B6E44"/>
    <w:rsid w:val="007C082A"/>
    <w:rsid w:val="007C1109"/>
    <w:rsid w:val="007C1C89"/>
    <w:rsid w:val="007C1D0B"/>
    <w:rsid w:val="007C3F79"/>
    <w:rsid w:val="007C435D"/>
    <w:rsid w:val="007C43CA"/>
    <w:rsid w:val="007C4EEA"/>
    <w:rsid w:val="007C550D"/>
    <w:rsid w:val="007C58BF"/>
    <w:rsid w:val="007C5AA8"/>
    <w:rsid w:val="007C63D2"/>
    <w:rsid w:val="007C654B"/>
    <w:rsid w:val="007C681A"/>
    <w:rsid w:val="007C6E74"/>
    <w:rsid w:val="007C7254"/>
    <w:rsid w:val="007C741B"/>
    <w:rsid w:val="007C7CDF"/>
    <w:rsid w:val="007D0662"/>
    <w:rsid w:val="007D0B7E"/>
    <w:rsid w:val="007D1211"/>
    <w:rsid w:val="007D159A"/>
    <w:rsid w:val="007D32D8"/>
    <w:rsid w:val="007D3357"/>
    <w:rsid w:val="007D3DD3"/>
    <w:rsid w:val="007D3E69"/>
    <w:rsid w:val="007D53EA"/>
    <w:rsid w:val="007D5B78"/>
    <w:rsid w:val="007D6064"/>
    <w:rsid w:val="007D7CE4"/>
    <w:rsid w:val="007E17BD"/>
    <w:rsid w:val="007E219D"/>
    <w:rsid w:val="007E36D0"/>
    <w:rsid w:val="007E4DF8"/>
    <w:rsid w:val="007E4FFF"/>
    <w:rsid w:val="007E5363"/>
    <w:rsid w:val="007E5A2F"/>
    <w:rsid w:val="007E5F86"/>
    <w:rsid w:val="007E613E"/>
    <w:rsid w:val="007E61C1"/>
    <w:rsid w:val="007E6FA1"/>
    <w:rsid w:val="007E72D8"/>
    <w:rsid w:val="007F00B1"/>
    <w:rsid w:val="007F1FF0"/>
    <w:rsid w:val="007F2506"/>
    <w:rsid w:val="007F2A5C"/>
    <w:rsid w:val="007F2F85"/>
    <w:rsid w:val="007F33A2"/>
    <w:rsid w:val="007F363E"/>
    <w:rsid w:val="007F3EBF"/>
    <w:rsid w:val="007F404A"/>
    <w:rsid w:val="007F4664"/>
    <w:rsid w:val="007F5149"/>
    <w:rsid w:val="007F5A30"/>
    <w:rsid w:val="007F5B8D"/>
    <w:rsid w:val="007F6729"/>
    <w:rsid w:val="007F6B71"/>
    <w:rsid w:val="007F6E7C"/>
    <w:rsid w:val="007F70B7"/>
    <w:rsid w:val="007F7A76"/>
    <w:rsid w:val="008002D0"/>
    <w:rsid w:val="008007B4"/>
    <w:rsid w:val="0080102E"/>
    <w:rsid w:val="008019B7"/>
    <w:rsid w:val="00801AA5"/>
    <w:rsid w:val="00802187"/>
    <w:rsid w:val="0080483E"/>
    <w:rsid w:val="0080499C"/>
    <w:rsid w:val="008049C5"/>
    <w:rsid w:val="00804D8C"/>
    <w:rsid w:val="00805134"/>
    <w:rsid w:val="00806101"/>
    <w:rsid w:val="00806324"/>
    <w:rsid w:val="00806740"/>
    <w:rsid w:val="00806C1F"/>
    <w:rsid w:val="00806C33"/>
    <w:rsid w:val="00806CCE"/>
    <w:rsid w:val="00807161"/>
    <w:rsid w:val="00807ED5"/>
    <w:rsid w:val="0081063B"/>
    <w:rsid w:val="008112EA"/>
    <w:rsid w:val="00811544"/>
    <w:rsid w:val="00811968"/>
    <w:rsid w:val="00812829"/>
    <w:rsid w:val="00812DAD"/>
    <w:rsid w:val="00812ED8"/>
    <w:rsid w:val="00813322"/>
    <w:rsid w:val="00813557"/>
    <w:rsid w:val="0081387A"/>
    <w:rsid w:val="008147CC"/>
    <w:rsid w:val="008153DB"/>
    <w:rsid w:val="0081559B"/>
    <w:rsid w:val="0081646A"/>
    <w:rsid w:val="00816964"/>
    <w:rsid w:val="008172A0"/>
    <w:rsid w:val="008172CB"/>
    <w:rsid w:val="00821011"/>
    <w:rsid w:val="00821141"/>
    <w:rsid w:val="008212D9"/>
    <w:rsid w:val="00821ED5"/>
    <w:rsid w:val="008224EA"/>
    <w:rsid w:val="0082257C"/>
    <w:rsid w:val="00822EE4"/>
    <w:rsid w:val="00823114"/>
    <w:rsid w:val="008232A2"/>
    <w:rsid w:val="00823B96"/>
    <w:rsid w:val="00824D5D"/>
    <w:rsid w:val="00824FED"/>
    <w:rsid w:val="008263A7"/>
    <w:rsid w:val="0082674D"/>
    <w:rsid w:val="008268F2"/>
    <w:rsid w:val="0082737D"/>
    <w:rsid w:val="00827845"/>
    <w:rsid w:val="008278E8"/>
    <w:rsid w:val="00830C54"/>
    <w:rsid w:val="00830FE2"/>
    <w:rsid w:val="00831FAB"/>
    <w:rsid w:val="0083236A"/>
    <w:rsid w:val="00833A4C"/>
    <w:rsid w:val="00833C20"/>
    <w:rsid w:val="008344F2"/>
    <w:rsid w:val="00834600"/>
    <w:rsid w:val="00835776"/>
    <w:rsid w:val="008357E1"/>
    <w:rsid w:val="008370F2"/>
    <w:rsid w:val="00837280"/>
    <w:rsid w:val="008400B8"/>
    <w:rsid w:val="00840972"/>
    <w:rsid w:val="00840A61"/>
    <w:rsid w:val="008410CC"/>
    <w:rsid w:val="00841371"/>
    <w:rsid w:val="00841412"/>
    <w:rsid w:val="008416AD"/>
    <w:rsid w:val="0084225A"/>
    <w:rsid w:val="00842BC3"/>
    <w:rsid w:val="00843845"/>
    <w:rsid w:val="0084385E"/>
    <w:rsid w:val="00843E88"/>
    <w:rsid w:val="00844AA1"/>
    <w:rsid w:val="00844EFC"/>
    <w:rsid w:val="008457CF"/>
    <w:rsid w:val="00845A19"/>
    <w:rsid w:val="00846BD4"/>
    <w:rsid w:val="00846C20"/>
    <w:rsid w:val="00847EFD"/>
    <w:rsid w:val="00851082"/>
    <w:rsid w:val="008535BB"/>
    <w:rsid w:val="00853902"/>
    <w:rsid w:val="00854BB8"/>
    <w:rsid w:val="00855144"/>
    <w:rsid w:val="008551EB"/>
    <w:rsid w:val="00855284"/>
    <w:rsid w:val="008563BF"/>
    <w:rsid w:val="00856BB6"/>
    <w:rsid w:val="00857279"/>
    <w:rsid w:val="008578F7"/>
    <w:rsid w:val="00857B62"/>
    <w:rsid w:val="0086016D"/>
    <w:rsid w:val="008614B6"/>
    <w:rsid w:val="00861FDF"/>
    <w:rsid w:val="0086230E"/>
    <w:rsid w:val="008623F5"/>
    <w:rsid w:val="0086273F"/>
    <w:rsid w:val="00862B0B"/>
    <w:rsid w:val="00862BBD"/>
    <w:rsid w:val="00862DD6"/>
    <w:rsid w:val="008630A3"/>
    <w:rsid w:val="0086380A"/>
    <w:rsid w:val="00863B7E"/>
    <w:rsid w:val="00863EE3"/>
    <w:rsid w:val="0086407D"/>
    <w:rsid w:val="008645E7"/>
    <w:rsid w:val="00864DE7"/>
    <w:rsid w:val="00865649"/>
    <w:rsid w:val="0086589F"/>
    <w:rsid w:val="00865D34"/>
    <w:rsid w:val="00865D73"/>
    <w:rsid w:val="00866765"/>
    <w:rsid w:val="00866D22"/>
    <w:rsid w:val="00867850"/>
    <w:rsid w:val="00867A3A"/>
    <w:rsid w:val="00867ED6"/>
    <w:rsid w:val="00870803"/>
    <w:rsid w:val="00870AF2"/>
    <w:rsid w:val="00870F0A"/>
    <w:rsid w:val="008724FC"/>
    <w:rsid w:val="008727B7"/>
    <w:rsid w:val="00872B65"/>
    <w:rsid w:val="008744A5"/>
    <w:rsid w:val="00874EE6"/>
    <w:rsid w:val="00874F10"/>
    <w:rsid w:val="00875B05"/>
    <w:rsid w:val="00876400"/>
    <w:rsid w:val="00876946"/>
    <w:rsid w:val="00876C70"/>
    <w:rsid w:val="008779C2"/>
    <w:rsid w:val="0088005B"/>
    <w:rsid w:val="008817CF"/>
    <w:rsid w:val="0088238C"/>
    <w:rsid w:val="00882801"/>
    <w:rsid w:val="00884771"/>
    <w:rsid w:val="00884AEE"/>
    <w:rsid w:val="00885276"/>
    <w:rsid w:val="00885B6E"/>
    <w:rsid w:val="008871D7"/>
    <w:rsid w:val="00887980"/>
    <w:rsid w:val="00887C21"/>
    <w:rsid w:val="00887EEB"/>
    <w:rsid w:val="008902FC"/>
    <w:rsid w:val="00890D00"/>
    <w:rsid w:val="00891705"/>
    <w:rsid w:val="00891CF4"/>
    <w:rsid w:val="008925B4"/>
    <w:rsid w:val="008930DB"/>
    <w:rsid w:val="00893632"/>
    <w:rsid w:val="00893E85"/>
    <w:rsid w:val="00894C9C"/>
    <w:rsid w:val="008960D5"/>
    <w:rsid w:val="00896541"/>
    <w:rsid w:val="00896F7B"/>
    <w:rsid w:val="00897945"/>
    <w:rsid w:val="008A02B1"/>
    <w:rsid w:val="008A2797"/>
    <w:rsid w:val="008A3900"/>
    <w:rsid w:val="008A4258"/>
    <w:rsid w:val="008A7C1C"/>
    <w:rsid w:val="008A7E35"/>
    <w:rsid w:val="008A7E8A"/>
    <w:rsid w:val="008B011C"/>
    <w:rsid w:val="008B0409"/>
    <w:rsid w:val="008B0F9B"/>
    <w:rsid w:val="008B11FD"/>
    <w:rsid w:val="008B1300"/>
    <w:rsid w:val="008B14A1"/>
    <w:rsid w:val="008B1682"/>
    <w:rsid w:val="008B1700"/>
    <w:rsid w:val="008B19DD"/>
    <w:rsid w:val="008B1CCA"/>
    <w:rsid w:val="008B3163"/>
    <w:rsid w:val="008B4336"/>
    <w:rsid w:val="008B4418"/>
    <w:rsid w:val="008B4DF7"/>
    <w:rsid w:val="008B5DE4"/>
    <w:rsid w:val="008B5F82"/>
    <w:rsid w:val="008C0B5C"/>
    <w:rsid w:val="008C0B71"/>
    <w:rsid w:val="008C1463"/>
    <w:rsid w:val="008C2C69"/>
    <w:rsid w:val="008C3965"/>
    <w:rsid w:val="008C438E"/>
    <w:rsid w:val="008C4B1C"/>
    <w:rsid w:val="008C4B83"/>
    <w:rsid w:val="008C4EB8"/>
    <w:rsid w:val="008C5093"/>
    <w:rsid w:val="008C571C"/>
    <w:rsid w:val="008C60D2"/>
    <w:rsid w:val="008D13C8"/>
    <w:rsid w:val="008D19F2"/>
    <w:rsid w:val="008D1D17"/>
    <w:rsid w:val="008D20C2"/>
    <w:rsid w:val="008D2325"/>
    <w:rsid w:val="008D303A"/>
    <w:rsid w:val="008D3A73"/>
    <w:rsid w:val="008D3F02"/>
    <w:rsid w:val="008D444D"/>
    <w:rsid w:val="008D4AB7"/>
    <w:rsid w:val="008D4D0B"/>
    <w:rsid w:val="008D5414"/>
    <w:rsid w:val="008D5BA7"/>
    <w:rsid w:val="008D5BF8"/>
    <w:rsid w:val="008D5CEE"/>
    <w:rsid w:val="008D77DD"/>
    <w:rsid w:val="008D7C05"/>
    <w:rsid w:val="008D7EC1"/>
    <w:rsid w:val="008E009D"/>
    <w:rsid w:val="008E08FB"/>
    <w:rsid w:val="008E11F5"/>
    <w:rsid w:val="008E1EB2"/>
    <w:rsid w:val="008E262F"/>
    <w:rsid w:val="008E2864"/>
    <w:rsid w:val="008E2969"/>
    <w:rsid w:val="008E30EE"/>
    <w:rsid w:val="008E34BF"/>
    <w:rsid w:val="008E37AA"/>
    <w:rsid w:val="008E43ED"/>
    <w:rsid w:val="008E46E7"/>
    <w:rsid w:val="008E4CE0"/>
    <w:rsid w:val="008E5CFE"/>
    <w:rsid w:val="008E605C"/>
    <w:rsid w:val="008E64DE"/>
    <w:rsid w:val="008E6D8E"/>
    <w:rsid w:val="008E707D"/>
    <w:rsid w:val="008E75FD"/>
    <w:rsid w:val="008F0CD0"/>
    <w:rsid w:val="008F1549"/>
    <w:rsid w:val="008F21F9"/>
    <w:rsid w:val="008F31F4"/>
    <w:rsid w:val="008F36FC"/>
    <w:rsid w:val="008F3CDC"/>
    <w:rsid w:val="008F3CDE"/>
    <w:rsid w:val="008F3E55"/>
    <w:rsid w:val="008F4738"/>
    <w:rsid w:val="008F4C5F"/>
    <w:rsid w:val="008F5254"/>
    <w:rsid w:val="008F52B1"/>
    <w:rsid w:val="008F534E"/>
    <w:rsid w:val="008F567F"/>
    <w:rsid w:val="008F69ED"/>
    <w:rsid w:val="00900564"/>
    <w:rsid w:val="00901D1A"/>
    <w:rsid w:val="00902244"/>
    <w:rsid w:val="009022A6"/>
    <w:rsid w:val="00902F9E"/>
    <w:rsid w:val="00903006"/>
    <w:rsid w:val="009032E3"/>
    <w:rsid w:val="00904BF1"/>
    <w:rsid w:val="00904ECC"/>
    <w:rsid w:val="0090591A"/>
    <w:rsid w:val="00905CD7"/>
    <w:rsid w:val="00906225"/>
    <w:rsid w:val="0090669D"/>
    <w:rsid w:val="00906AC3"/>
    <w:rsid w:val="00906B36"/>
    <w:rsid w:val="009077AD"/>
    <w:rsid w:val="00907F42"/>
    <w:rsid w:val="00910329"/>
    <w:rsid w:val="00910808"/>
    <w:rsid w:val="009108EB"/>
    <w:rsid w:val="009108FC"/>
    <w:rsid w:val="00911718"/>
    <w:rsid w:val="00911781"/>
    <w:rsid w:val="00911826"/>
    <w:rsid w:val="0091196F"/>
    <w:rsid w:val="00911D15"/>
    <w:rsid w:val="00911DDF"/>
    <w:rsid w:val="009121D4"/>
    <w:rsid w:val="00912672"/>
    <w:rsid w:val="00912C8A"/>
    <w:rsid w:val="009142F0"/>
    <w:rsid w:val="00914BBB"/>
    <w:rsid w:val="009157EF"/>
    <w:rsid w:val="0091668A"/>
    <w:rsid w:val="009168A1"/>
    <w:rsid w:val="009168CE"/>
    <w:rsid w:val="00916CDB"/>
    <w:rsid w:val="00917383"/>
    <w:rsid w:val="0091740A"/>
    <w:rsid w:val="00917D16"/>
    <w:rsid w:val="00920522"/>
    <w:rsid w:val="009212B7"/>
    <w:rsid w:val="00921301"/>
    <w:rsid w:val="0092162F"/>
    <w:rsid w:val="00921BEF"/>
    <w:rsid w:val="00921C4A"/>
    <w:rsid w:val="00922AAD"/>
    <w:rsid w:val="00922AE6"/>
    <w:rsid w:val="00922DF1"/>
    <w:rsid w:val="0092387E"/>
    <w:rsid w:val="00923CBB"/>
    <w:rsid w:val="0092421F"/>
    <w:rsid w:val="00924554"/>
    <w:rsid w:val="00924568"/>
    <w:rsid w:val="0092464D"/>
    <w:rsid w:val="009249A9"/>
    <w:rsid w:val="00924DB7"/>
    <w:rsid w:val="00924F5F"/>
    <w:rsid w:val="0092561A"/>
    <w:rsid w:val="00925B22"/>
    <w:rsid w:val="00925B2D"/>
    <w:rsid w:val="00925D6B"/>
    <w:rsid w:val="00926073"/>
    <w:rsid w:val="00926800"/>
    <w:rsid w:val="00926840"/>
    <w:rsid w:val="009268D8"/>
    <w:rsid w:val="00926934"/>
    <w:rsid w:val="009269E6"/>
    <w:rsid w:val="0093112E"/>
    <w:rsid w:val="0093139C"/>
    <w:rsid w:val="00931539"/>
    <w:rsid w:val="00931D5E"/>
    <w:rsid w:val="00934DBB"/>
    <w:rsid w:val="00935D39"/>
    <w:rsid w:val="00935F38"/>
    <w:rsid w:val="0093616C"/>
    <w:rsid w:val="00936E6B"/>
    <w:rsid w:val="00937AD8"/>
    <w:rsid w:val="00940479"/>
    <w:rsid w:val="009409FD"/>
    <w:rsid w:val="00941D50"/>
    <w:rsid w:val="00942345"/>
    <w:rsid w:val="00942409"/>
    <w:rsid w:val="00942682"/>
    <w:rsid w:val="00942BFF"/>
    <w:rsid w:val="00943E0A"/>
    <w:rsid w:val="009466CC"/>
    <w:rsid w:val="009469AB"/>
    <w:rsid w:val="009470AA"/>
    <w:rsid w:val="00947896"/>
    <w:rsid w:val="00947EDA"/>
    <w:rsid w:val="00950119"/>
    <w:rsid w:val="00950E01"/>
    <w:rsid w:val="00951739"/>
    <w:rsid w:val="00952153"/>
    <w:rsid w:val="0095218C"/>
    <w:rsid w:val="0095254C"/>
    <w:rsid w:val="00952A6F"/>
    <w:rsid w:val="00952DC5"/>
    <w:rsid w:val="00952F84"/>
    <w:rsid w:val="00953752"/>
    <w:rsid w:val="009537FD"/>
    <w:rsid w:val="009542B0"/>
    <w:rsid w:val="0095497C"/>
    <w:rsid w:val="009558D5"/>
    <w:rsid w:val="00955DBF"/>
    <w:rsid w:val="009560F9"/>
    <w:rsid w:val="009564D7"/>
    <w:rsid w:val="00956D39"/>
    <w:rsid w:val="0096008A"/>
    <w:rsid w:val="00960A5E"/>
    <w:rsid w:val="00960B4F"/>
    <w:rsid w:val="009611B8"/>
    <w:rsid w:val="009624C0"/>
    <w:rsid w:val="00963279"/>
    <w:rsid w:val="00963EA2"/>
    <w:rsid w:val="0096481D"/>
    <w:rsid w:val="00964C97"/>
    <w:rsid w:val="00964D15"/>
    <w:rsid w:val="00965CF6"/>
    <w:rsid w:val="009668F8"/>
    <w:rsid w:val="009675E1"/>
    <w:rsid w:val="00967B30"/>
    <w:rsid w:val="0097018E"/>
    <w:rsid w:val="00971C86"/>
    <w:rsid w:val="00972824"/>
    <w:rsid w:val="00972AB2"/>
    <w:rsid w:val="00973131"/>
    <w:rsid w:val="00973153"/>
    <w:rsid w:val="00973F76"/>
    <w:rsid w:val="009743C4"/>
    <w:rsid w:val="00974518"/>
    <w:rsid w:val="009747ED"/>
    <w:rsid w:val="0097641E"/>
    <w:rsid w:val="00977A64"/>
    <w:rsid w:val="00980054"/>
    <w:rsid w:val="00980C53"/>
    <w:rsid w:val="00981140"/>
    <w:rsid w:val="00982085"/>
    <w:rsid w:val="00982244"/>
    <w:rsid w:val="00982AA4"/>
    <w:rsid w:val="00983761"/>
    <w:rsid w:val="00983C34"/>
    <w:rsid w:val="00983F53"/>
    <w:rsid w:val="009847EF"/>
    <w:rsid w:val="00985678"/>
    <w:rsid w:val="0098592F"/>
    <w:rsid w:val="00985DDA"/>
    <w:rsid w:val="0098676A"/>
    <w:rsid w:val="00986ACC"/>
    <w:rsid w:val="00986EFE"/>
    <w:rsid w:val="00987073"/>
    <w:rsid w:val="009876CB"/>
    <w:rsid w:val="00987C42"/>
    <w:rsid w:val="009904FC"/>
    <w:rsid w:val="0099186D"/>
    <w:rsid w:val="0099303F"/>
    <w:rsid w:val="00993532"/>
    <w:rsid w:val="00994E16"/>
    <w:rsid w:val="009950CF"/>
    <w:rsid w:val="00995C81"/>
    <w:rsid w:val="00996959"/>
    <w:rsid w:val="00997222"/>
    <w:rsid w:val="00997689"/>
    <w:rsid w:val="00997A89"/>
    <w:rsid w:val="009A087F"/>
    <w:rsid w:val="009A0CA5"/>
    <w:rsid w:val="009A0FB5"/>
    <w:rsid w:val="009A1E95"/>
    <w:rsid w:val="009A1FA1"/>
    <w:rsid w:val="009A21DC"/>
    <w:rsid w:val="009A2A67"/>
    <w:rsid w:val="009A2AE4"/>
    <w:rsid w:val="009A31D1"/>
    <w:rsid w:val="009A51BF"/>
    <w:rsid w:val="009A5323"/>
    <w:rsid w:val="009A5788"/>
    <w:rsid w:val="009A58BB"/>
    <w:rsid w:val="009A603B"/>
    <w:rsid w:val="009A6048"/>
    <w:rsid w:val="009A6517"/>
    <w:rsid w:val="009A67B0"/>
    <w:rsid w:val="009A6881"/>
    <w:rsid w:val="009A74E5"/>
    <w:rsid w:val="009A78EA"/>
    <w:rsid w:val="009B12E3"/>
    <w:rsid w:val="009B359B"/>
    <w:rsid w:val="009B42D0"/>
    <w:rsid w:val="009B5319"/>
    <w:rsid w:val="009B582F"/>
    <w:rsid w:val="009B604C"/>
    <w:rsid w:val="009B6152"/>
    <w:rsid w:val="009B7086"/>
    <w:rsid w:val="009B784D"/>
    <w:rsid w:val="009C06AE"/>
    <w:rsid w:val="009C12B1"/>
    <w:rsid w:val="009C137F"/>
    <w:rsid w:val="009C209E"/>
    <w:rsid w:val="009C2E87"/>
    <w:rsid w:val="009C3AD0"/>
    <w:rsid w:val="009C3D1F"/>
    <w:rsid w:val="009C4313"/>
    <w:rsid w:val="009C491C"/>
    <w:rsid w:val="009C4ACC"/>
    <w:rsid w:val="009C4E14"/>
    <w:rsid w:val="009C5D74"/>
    <w:rsid w:val="009C5FDA"/>
    <w:rsid w:val="009C6101"/>
    <w:rsid w:val="009C6857"/>
    <w:rsid w:val="009C6A15"/>
    <w:rsid w:val="009D00AF"/>
    <w:rsid w:val="009D0595"/>
    <w:rsid w:val="009D165A"/>
    <w:rsid w:val="009D1B4C"/>
    <w:rsid w:val="009D2142"/>
    <w:rsid w:val="009D31B5"/>
    <w:rsid w:val="009D38A8"/>
    <w:rsid w:val="009D4979"/>
    <w:rsid w:val="009D5453"/>
    <w:rsid w:val="009D572D"/>
    <w:rsid w:val="009D5C42"/>
    <w:rsid w:val="009D5FE5"/>
    <w:rsid w:val="009D73B3"/>
    <w:rsid w:val="009D7587"/>
    <w:rsid w:val="009D76D8"/>
    <w:rsid w:val="009E0BD8"/>
    <w:rsid w:val="009E1CB6"/>
    <w:rsid w:val="009E214E"/>
    <w:rsid w:val="009E22E4"/>
    <w:rsid w:val="009E2BF2"/>
    <w:rsid w:val="009E37C3"/>
    <w:rsid w:val="009E685B"/>
    <w:rsid w:val="009E6D14"/>
    <w:rsid w:val="009E6E05"/>
    <w:rsid w:val="009E75CA"/>
    <w:rsid w:val="009F06E5"/>
    <w:rsid w:val="009F0EF4"/>
    <w:rsid w:val="009F18B4"/>
    <w:rsid w:val="009F18E5"/>
    <w:rsid w:val="009F3F61"/>
    <w:rsid w:val="009F43E2"/>
    <w:rsid w:val="009F4CF1"/>
    <w:rsid w:val="009F5294"/>
    <w:rsid w:val="009F5733"/>
    <w:rsid w:val="009F5FC4"/>
    <w:rsid w:val="009F6014"/>
    <w:rsid w:val="009F65CD"/>
    <w:rsid w:val="00A00CE1"/>
    <w:rsid w:val="00A01605"/>
    <w:rsid w:val="00A01695"/>
    <w:rsid w:val="00A02883"/>
    <w:rsid w:val="00A03202"/>
    <w:rsid w:val="00A0408A"/>
    <w:rsid w:val="00A051B9"/>
    <w:rsid w:val="00A0758A"/>
    <w:rsid w:val="00A07915"/>
    <w:rsid w:val="00A07DAB"/>
    <w:rsid w:val="00A10ED6"/>
    <w:rsid w:val="00A10FD6"/>
    <w:rsid w:val="00A11417"/>
    <w:rsid w:val="00A11F2E"/>
    <w:rsid w:val="00A12401"/>
    <w:rsid w:val="00A13344"/>
    <w:rsid w:val="00A13676"/>
    <w:rsid w:val="00A147DB"/>
    <w:rsid w:val="00A148FA"/>
    <w:rsid w:val="00A157B6"/>
    <w:rsid w:val="00A15DEB"/>
    <w:rsid w:val="00A16508"/>
    <w:rsid w:val="00A1719D"/>
    <w:rsid w:val="00A17882"/>
    <w:rsid w:val="00A17C57"/>
    <w:rsid w:val="00A17D70"/>
    <w:rsid w:val="00A204D5"/>
    <w:rsid w:val="00A206FF"/>
    <w:rsid w:val="00A209F9"/>
    <w:rsid w:val="00A20AB3"/>
    <w:rsid w:val="00A20D0C"/>
    <w:rsid w:val="00A20DAB"/>
    <w:rsid w:val="00A20EE5"/>
    <w:rsid w:val="00A21296"/>
    <w:rsid w:val="00A21751"/>
    <w:rsid w:val="00A217E0"/>
    <w:rsid w:val="00A21929"/>
    <w:rsid w:val="00A21A76"/>
    <w:rsid w:val="00A21D14"/>
    <w:rsid w:val="00A230B2"/>
    <w:rsid w:val="00A244E5"/>
    <w:rsid w:val="00A2454E"/>
    <w:rsid w:val="00A245AD"/>
    <w:rsid w:val="00A24E90"/>
    <w:rsid w:val="00A2574C"/>
    <w:rsid w:val="00A25F8D"/>
    <w:rsid w:val="00A26381"/>
    <w:rsid w:val="00A2669F"/>
    <w:rsid w:val="00A26A12"/>
    <w:rsid w:val="00A27527"/>
    <w:rsid w:val="00A27610"/>
    <w:rsid w:val="00A2789B"/>
    <w:rsid w:val="00A313C1"/>
    <w:rsid w:val="00A31965"/>
    <w:rsid w:val="00A3291C"/>
    <w:rsid w:val="00A329C5"/>
    <w:rsid w:val="00A34FA4"/>
    <w:rsid w:val="00A3605F"/>
    <w:rsid w:val="00A37B54"/>
    <w:rsid w:val="00A40018"/>
    <w:rsid w:val="00A40FFE"/>
    <w:rsid w:val="00A41285"/>
    <w:rsid w:val="00A417D4"/>
    <w:rsid w:val="00A430BD"/>
    <w:rsid w:val="00A430C1"/>
    <w:rsid w:val="00A43407"/>
    <w:rsid w:val="00A437BC"/>
    <w:rsid w:val="00A43D11"/>
    <w:rsid w:val="00A44C9B"/>
    <w:rsid w:val="00A46570"/>
    <w:rsid w:val="00A468D7"/>
    <w:rsid w:val="00A47B50"/>
    <w:rsid w:val="00A50430"/>
    <w:rsid w:val="00A525C4"/>
    <w:rsid w:val="00A52685"/>
    <w:rsid w:val="00A5291F"/>
    <w:rsid w:val="00A52A56"/>
    <w:rsid w:val="00A52CFD"/>
    <w:rsid w:val="00A531F2"/>
    <w:rsid w:val="00A53C3B"/>
    <w:rsid w:val="00A53F23"/>
    <w:rsid w:val="00A541F0"/>
    <w:rsid w:val="00A5425F"/>
    <w:rsid w:val="00A547C4"/>
    <w:rsid w:val="00A54C4F"/>
    <w:rsid w:val="00A55716"/>
    <w:rsid w:val="00A56B1A"/>
    <w:rsid w:val="00A56D3E"/>
    <w:rsid w:val="00A573AC"/>
    <w:rsid w:val="00A574BF"/>
    <w:rsid w:val="00A57808"/>
    <w:rsid w:val="00A5785E"/>
    <w:rsid w:val="00A57E19"/>
    <w:rsid w:val="00A57F2E"/>
    <w:rsid w:val="00A60223"/>
    <w:rsid w:val="00A605FE"/>
    <w:rsid w:val="00A60898"/>
    <w:rsid w:val="00A60C89"/>
    <w:rsid w:val="00A619D0"/>
    <w:rsid w:val="00A62806"/>
    <w:rsid w:val="00A62A69"/>
    <w:rsid w:val="00A62AC5"/>
    <w:rsid w:val="00A6364F"/>
    <w:rsid w:val="00A64018"/>
    <w:rsid w:val="00A65BAE"/>
    <w:rsid w:val="00A66633"/>
    <w:rsid w:val="00A66C20"/>
    <w:rsid w:val="00A67A34"/>
    <w:rsid w:val="00A67C82"/>
    <w:rsid w:val="00A70638"/>
    <w:rsid w:val="00A70C05"/>
    <w:rsid w:val="00A70DFA"/>
    <w:rsid w:val="00A71688"/>
    <w:rsid w:val="00A72265"/>
    <w:rsid w:val="00A725C0"/>
    <w:rsid w:val="00A72B57"/>
    <w:rsid w:val="00A730A5"/>
    <w:rsid w:val="00A737E0"/>
    <w:rsid w:val="00A739ED"/>
    <w:rsid w:val="00A744ED"/>
    <w:rsid w:val="00A76699"/>
    <w:rsid w:val="00A768F4"/>
    <w:rsid w:val="00A76AFA"/>
    <w:rsid w:val="00A80366"/>
    <w:rsid w:val="00A80990"/>
    <w:rsid w:val="00A81359"/>
    <w:rsid w:val="00A813A6"/>
    <w:rsid w:val="00A8155E"/>
    <w:rsid w:val="00A82B4F"/>
    <w:rsid w:val="00A82FBB"/>
    <w:rsid w:val="00A8304B"/>
    <w:rsid w:val="00A836DF"/>
    <w:rsid w:val="00A83CAA"/>
    <w:rsid w:val="00A84032"/>
    <w:rsid w:val="00A85081"/>
    <w:rsid w:val="00A85CB3"/>
    <w:rsid w:val="00A85EDC"/>
    <w:rsid w:val="00A86208"/>
    <w:rsid w:val="00A86B63"/>
    <w:rsid w:val="00A87122"/>
    <w:rsid w:val="00A87A6B"/>
    <w:rsid w:val="00A90B9F"/>
    <w:rsid w:val="00A90D8B"/>
    <w:rsid w:val="00A948BD"/>
    <w:rsid w:val="00A9492E"/>
    <w:rsid w:val="00A94B52"/>
    <w:rsid w:val="00A94F4E"/>
    <w:rsid w:val="00A951D4"/>
    <w:rsid w:val="00A958AE"/>
    <w:rsid w:val="00A95C00"/>
    <w:rsid w:val="00A96DDB"/>
    <w:rsid w:val="00A96E7E"/>
    <w:rsid w:val="00A97195"/>
    <w:rsid w:val="00A97C4A"/>
    <w:rsid w:val="00AA03FE"/>
    <w:rsid w:val="00AA140A"/>
    <w:rsid w:val="00AA19F3"/>
    <w:rsid w:val="00AA296B"/>
    <w:rsid w:val="00AA3059"/>
    <w:rsid w:val="00AA3710"/>
    <w:rsid w:val="00AA3C4A"/>
    <w:rsid w:val="00AA3D17"/>
    <w:rsid w:val="00AA6DFD"/>
    <w:rsid w:val="00AA7EC8"/>
    <w:rsid w:val="00AB04A7"/>
    <w:rsid w:val="00AB18F5"/>
    <w:rsid w:val="00AB1CDA"/>
    <w:rsid w:val="00AB1DAC"/>
    <w:rsid w:val="00AB1E22"/>
    <w:rsid w:val="00AB2840"/>
    <w:rsid w:val="00AB3C77"/>
    <w:rsid w:val="00AB40EF"/>
    <w:rsid w:val="00AB46C1"/>
    <w:rsid w:val="00AB5E8F"/>
    <w:rsid w:val="00AB6D54"/>
    <w:rsid w:val="00AB77F1"/>
    <w:rsid w:val="00AC0130"/>
    <w:rsid w:val="00AC08F8"/>
    <w:rsid w:val="00AC0AD6"/>
    <w:rsid w:val="00AC1682"/>
    <w:rsid w:val="00AC1A57"/>
    <w:rsid w:val="00AC28DB"/>
    <w:rsid w:val="00AC2D30"/>
    <w:rsid w:val="00AC2D4B"/>
    <w:rsid w:val="00AC390F"/>
    <w:rsid w:val="00AC4C6F"/>
    <w:rsid w:val="00AC4F4B"/>
    <w:rsid w:val="00AC544C"/>
    <w:rsid w:val="00AC5742"/>
    <w:rsid w:val="00AC5D05"/>
    <w:rsid w:val="00AC633D"/>
    <w:rsid w:val="00AD00C7"/>
    <w:rsid w:val="00AD14E5"/>
    <w:rsid w:val="00AD1BB1"/>
    <w:rsid w:val="00AD1BCA"/>
    <w:rsid w:val="00AD2639"/>
    <w:rsid w:val="00AD29A3"/>
    <w:rsid w:val="00AD2E3F"/>
    <w:rsid w:val="00AD2EE8"/>
    <w:rsid w:val="00AD3624"/>
    <w:rsid w:val="00AD5342"/>
    <w:rsid w:val="00AD6125"/>
    <w:rsid w:val="00AD61C1"/>
    <w:rsid w:val="00AD7138"/>
    <w:rsid w:val="00AD71D8"/>
    <w:rsid w:val="00AD7C08"/>
    <w:rsid w:val="00AE0729"/>
    <w:rsid w:val="00AE0958"/>
    <w:rsid w:val="00AE16BC"/>
    <w:rsid w:val="00AE2663"/>
    <w:rsid w:val="00AE3133"/>
    <w:rsid w:val="00AE3760"/>
    <w:rsid w:val="00AE37BB"/>
    <w:rsid w:val="00AE40C0"/>
    <w:rsid w:val="00AE437B"/>
    <w:rsid w:val="00AE4569"/>
    <w:rsid w:val="00AE467E"/>
    <w:rsid w:val="00AE4FF6"/>
    <w:rsid w:val="00AE5EDF"/>
    <w:rsid w:val="00AE62C4"/>
    <w:rsid w:val="00AE6AC9"/>
    <w:rsid w:val="00AF031C"/>
    <w:rsid w:val="00AF0732"/>
    <w:rsid w:val="00AF0CE1"/>
    <w:rsid w:val="00AF19BD"/>
    <w:rsid w:val="00AF1C8A"/>
    <w:rsid w:val="00AF2936"/>
    <w:rsid w:val="00AF2D9A"/>
    <w:rsid w:val="00AF2E93"/>
    <w:rsid w:val="00AF329A"/>
    <w:rsid w:val="00AF3898"/>
    <w:rsid w:val="00AF3F97"/>
    <w:rsid w:val="00AF41CA"/>
    <w:rsid w:val="00AF6895"/>
    <w:rsid w:val="00AF694C"/>
    <w:rsid w:val="00AF74AA"/>
    <w:rsid w:val="00B0078B"/>
    <w:rsid w:val="00B00AC5"/>
    <w:rsid w:val="00B00AEB"/>
    <w:rsid w:val="00B00F75"/>
    <w:rsid w:val="00B01904"/>
    <w:rsid w:val="00B01D34"/>
    <w:rsid w:val="00B024C8"/>
    <w:rsid w:val="00B03EA8"/>
    <w:rsid w:val="00B05AA7"/>
    <w:rsid w:val="00B063EE"/>
    <w:rsid w:val="00B07A2E"/>
    <w:rsid w:val="00B07F6C"/>
    <w:rsid w:val="00B105B4"/>
    <w:rsid w:val="00B11488"/>
    <w:rsid w:val="00B115EC"/>
    <w:rsid w:val="00B1179E"/>
    <w:rsid w:val="00B1191A"/>
    <w:rsid w:val="00B12FB6"/>
    <w:rsid w:val="00B1319E"/>
    <w:rsid w:val="00B13454"/>
    <w:rsid w:val="00B1497B"/>
    <w:rsid w:val="00B14B44"/>
    <w:rsid w:val="00B1516D"/>
    <w:rsid w:val="00B175CF"/>
    <w:rsid w:val="00B17A89"/>
    <w:rsid w:val="00B17B77"/>
    <w:rsid w:val="00B20045"/>
    <w:rsid w:val="00B20453"/>
    <w:rsid w:val="00B207E4"/>
    <w:rsid w:val="00B20CCA"/>
    <w:rsid w:val="00B22943"/>
    <w:rsid w:val="00B23A22"/>
    <w:rsid w:val="00B245D6"/>
    <w:rsid w:val="00B24B27"/>
    <w:rsid w:val="00B2504E"/>
    <w:rsid w:val="00B25127"/>
    <w:rsid w:val="00B2598E"/>
    <w:rsid w:val="00B259FA"/>
    <w:rsid w:val="00B25ADD"/>
    <w:rsid w:val="00B25E4D"/>
    <w:rsid w:val="00B264BC"/>
    <w:rsid w:val="00B265B4"/>
    <w:rsid w:val="00B267C3"/>
    <w:rsid w:val="00B30DF9"/>
    <w:rsid w:val="00B320EF"/>
    <w:rsid w:val="00B3297B"/>
    <w:rsid w:val="00B32DD2"/>
    <w:rsid w:val="00B33940"/>
    <w:rsid w:val="00B33987"/>
    <w:rsid w:val="00B343C5"/>
    <w:rsid w:val="00B3460C"/>
    <w:rsid w:val="00B34C2B"/>
    <w:rsid w:val="00B34EF9"/>
    <w:rsid w:val="00B35076"/>
    <w:rsid w:val="00B356CE"/>
    <w:rsid w:val="00B36141"/>
    <w:rsid w:val="00B366CD"/>
    <w:rsid w:val="00B3771D"/>
    <w:rsid w:val="00B40FE3"/>
    <w:rsid w:val="00B41546"/>
    <w:rsid w:val="00B42863"/>
    <w:rsid w:val="00B42DA0"/>
    <w:rsid w:val="00B42DCB"/>
    <w:rsid w:val="00B436CE"/>
    <w:rsid w:val="00B43A9B"/>
    <w:rsid w:val="00B446EB"/>
    <w:rsid w:val="00B452B3"/>
    <w:rsid w:val="00B45817"/>
    <w:rsid w:val="00B460BD"/>
    <w:rsid w:val="00B4655C"/>
    <w:rsid w:val="00B46E02"/>
    <w:rsid w:val="00B46E59"/>
    <w:rsid w:val="00B473D9"/>
    <w:rsid w:val="00B5079A"/>
    <w:rsid w:val="00B5096A"/>
    <w:rsid w:val="00B50DE3"/>
    <w:rsid w:val="00B520AE"/>
    <w:rsid w:val="00B53146"/>
    <w:rsid w:val="00B532DD"/>
    <w:rsid w:val="00B535F0"/>
    <w:rsid w:val="00B54AAE"/>
    <w:rsid w:val="00B55351"/>
    <w:rsid w:val="00B55576"/>
    <w:rsid w:val="00B55C26"/>
    <w:rsid w:val="00B569EE"/>
    <w:rsid w:val="00B57635"/>
    <w:rsid w:val="00B576FB"/>
    <w:rsid w:val="00B60364"/>
    <w:rsid w:val="00B60A96"/>
    <w:rsid w:val="00B618F9"/>
    <w:rsid w:val="00B61A76"/>
    <w:rsid w:val="00B61BDB"/>
    <w:rsid w:val="00B62C49"/>
    <w:rsid w:val="00B62E59"/>
    <w:rsid w:val="00B63433"/>
    <w:rsid w:val="00B636AF"/>
    <w:rsid w:val="00B638D6"/>
    <w:rsid w:val="00B63903"/>
    <w:rsid w:val="00B643E0"/>
    <w:rsid w:val="00B67A52"/>
    <w:rsid w:val="00B71389"/>
    <w:rsid w:val="00B72EBB"/>
    <w:rsid w:val="00B73195"/>
    <w:rsid w:val="00B73947"/>
    <w:rsid w:val="00B739F2"/>
    <w:rsid w:val="00B73C44"/>
    <w:rsid w:val="00B74EF9"/>
    <w:rsid w:val="00B7538D"/>
    <w:rsid w:val="00B75E5F"/>
    <w:rsid w:val="00B76EA6"/>
    <w:rsid w:val="00B76EC1"/>
    <w:rsid w:val="00B80260"/>
    <w:rsid w:val="00B80FCD"/>
    <w:rsid w:val="00B81370"/>
    <w:rsid w:val="00B82448"/>
    <w:rsid w:val="00B836D7"/>
    <w:rsid w:val="00B8388C"/>
    <w:rsid w:val="00B839AC"/>
    <w:rsid w:val="00B842CB"/>
    <w:rsid w:val="00B87344"/>
    <w:rsid w:val="00B8750E"/>
    <w:rsid w:val="00B902B4"/>
    <w:rsid w:val="00B908DD"/>
    <w:rsid w:val="00B92287"/>
    <w:rsid w:val="00B92FAE"/>
    <w:rsid w:val="00B93CA8"/>
    <w:rsid w:val="00B93EE1"/>
    <w:rsid w:val="00B94A16"/>
    <w:rsid w:val="00B95061"/>
    <w:rsid w:val="00B95DEE"/>
    <w:rsid w:val="00B95EB8"/>
    <w:rsid w:val="00B97282"/>
    <w:rsid w:val="00B97570"/>
    <w:rsid w:val="00B97995"/>
    <w:rsid w:val="00B97D36"/>
    <w:rsid w:val="00BA10A3"/>
    <w:rsid w:val="00BA1834"/>
    <w:rsid w:val="00BA1C5A"/>
    <w:rsid w:val="00BA2074"/>
    <w:rsid w:val="00BA21F9"/>
    <w:rsid w:val="00BA2488"/>
    <w:rsid w:val="00BA2563"/>
    <w:rsid w:val="00BA2A0F"/>
    <w:rsid w:val="00BA4036"/>
    <w:rsid w:val="00BA4B1D"/>
    <w:rsid w:val="00BA55DA"/>
    <w:rsid w:val="00BA6868"/>
    <w:rsid w:val="00BA69B9"/>
    <w:rsid w:val="00BA701E"/>
    <w:rsid w:val="00BA7AC0"/>
    <w:rsid w:val="00BB0142"/>
    <w:rsid w:val="00BB0322"/>
    <w:rsid w:val="00BB09BC"/>
    <w:rsid w:val="00BB0C77"/>
    <w:rsid w:val="00BB1573"/>
    <w:rsid w:val="00BB1590"/>
    <w:rsid w:val="00BB1B97"/>
    <w:rsid w:val="00BB1CD2"/>
    <w:rsid w:val="00BB28AF"/>
    <w:rsid w:val="00BB3104"/>
    <w:rsid w:val="00BB314C"/>
    <w:rsid w:val="00BB331A"/>
    <w:rsid w:val="00BB3DA5"/>
    <w:rsid w:val="00BB4148"/>
    <w:rsid w:val="00BB4AB5"/>
    <w:rsid w:val="00BB58F1"/>
    <w:rsid w:val="00BB5E93"/>
    <w:rsid w:val="00BB715F"/>
    <w:rsid w:val="00BB748E"/>
    <w:rsid w:val="00BC022A"/>
    <w:rsid w:val="00BC10C5"/>
    <w:rsid w:val="00BC1D34"/>
    <w:rsid w:val="00BC1D38"/>
    <w:rsid w:val="00BC2012"/>
    <w:rsid w:val="00BC2151"/>
    <w:rsid w:val="00BC24A5"/>
    <w:rsid w:val="00BC2528"/>
    <w:rsid w:val="00BC38F9"/>
    <w:rsid w:val="00BC3B08"/>
    <w:rsid w:val="00BC3BF8"/>
    <w:rsid w:val="00BC3D90"/>
    <w:rsid w:val="00BC3DFF"/>
    <w:rsid w:val="00BC4BD2"/>
    <w:rsid w:val="00BC4E75"/>
    <w:rsid w:val="00BC570E"/>
    <w:rsid w:val="00BC5A17"/>
    <w:rsid w:val="00BC6E46"/>
    <w:rsid w:val="00BC709A"/>
    <w:rsid w:val="00BC73E5"/>
    <w:rsid w:val="00BC79B6"/>
    <w:rsid w:val="00BC7C90"/>
    <w:rsid w:val="00BC7D36"/>
    <w:rsid w:val="00BC7E39"/>
    <w:rsid w:val="00BD107D"/>
    <w:rsid w:val="00BD1488"/>
    <w:rsid w:val="00BD1ADE"/>
    <w:rsid w:val="00BD1BBB"/>
    <w:rsid w:val="00BD1E74"/>
    <w:rsid w:val="00BD2590"/>
    <w:rsid w:val="00BD29E2"/>
    <w:rsid w:val="00BD31C5"/>
    <w:rsid w:val="00BD43CA"/>
    <w:rsid w:val="00BD4A23"/>
    <w:rsid w:val="00BD4C48"/>
    <w:rsid w:val="00BD4F74"/>
    <w:rsid w:val="00BD63C4"/>
    <w:rsid w:val="00BD6764"/>
    <w:rsid w:val="00BD6C94"/>
    <w:rsid w:val="00BD70AB"/>
    <w:rsid w:val="00BD722C"/>
    <w:rsid w:val="00BD76ED"/>
    <w:rsid w:val="00BD776A"/>
    <w:rsid w:val="00BD7C26"/>
    <w:rsid w:val="00BE1497"/>
    <w:rsid w:val="00BE17BE"/>
    <w:rsid w:val="00BE1F6D"/>
    <w:rsid w:val="00BE24DD"/>
    <w:rsid w:val="00BE2675"/>
    <w:rsid w:val="00BE26FA"/>
    <w:rsid w:val="00BE2D09"/>
    <w:rsid w:val="00BE36FD"/>
    <w:rsid w:val="00BE38BB"/>
    <w:rsid w:val="00BE39FF"/>
    <w:rsid w:val="00BE3E43"/>
    <w:rsid w:val="00BE5FF4"/>
    <w:rsid w:val="00BE663E"/>
    <w:rsid w:val="00BE6F44"/>
    <w:rsid w:val="00BE7060"/>
    <w:rsid w:val="00BE71BC"/>
    <w:rsid w:val="00BE78FA"/>
    <w:rsid w:val="00BF0308"/>
    <w:rsid w:val="00BF065C"/>
    <w:rsid w:val="00BF09F1"/>
    <w:rsid w:val="00BF1183"/>
    <w:rsid w:val="00BF17BF"/>
    <w:rsid w:val="00BF2251"/>
    <w:rsid w:val="00BF2372"/>
    <w:rsid w:val="00BF249A"/>
    <w:rsid w:val="00BF3167"/>
    <w:rsid w:val="00BF32AB"/>
    <w:rsid w:val="00BF378E"/>
    <w:rsid w:val="00BF3B7E"/>
    <w:rsid w:val="00BF5728"/>
    <w:rsid w:val="00BF650A"/>
    <w:rsid w:val="00BF6BE4"/>
    <w:rsid w:val="00BF7716"/>
    <w:rsid w:val="00BF7D71"/>
    <w:rsid w:val="00BF7E49"/>
    <w:rsid w:val="00C00260"/>
    <w:rsid w:val="00C003D9"/>
    <w:rsid w:val="00C00E9B"/>
    <w:rsid w:val="00C03156"/>
    <w:rsid w:val="00C03E0A"/>
    <w:rsid w:val="00C03F34"/>
    <w:rsid w:val="00C03F5C"/>
    <w:rsid w:val="00C03FEE"/>
    <w:rsid w:val="00C0440B"/>
    <w:rsid w:val="00C04E18"/>
    <w:rsid w:val="00C04F62"/>
    <w:rsid w:val="00C07F6C"/>
    <w:rsid w:val="00C102BE"/>
    <w:rsid w:val="00C10664"/>
    <w:rsid w:val="00C10723"/>
    <w:rsid w:val="00C10FAF"/>
    <w:rsid w:val="00C1112C"/>
    <w:rsid w:val="00C111AB"/>
    <w:rsid w:val="00C115D4"/>
    <w:rsid w:val="00C11A4B"/>
    <w:rsid w:val="00C12813"/>
    <w:rsid w:val="00C12D32"/>
    <w:rsid w:val="00C139A4"/>
    <w:rsid w:val="00C13A11"/>
    <w:rsid w:val="00C14BE0"/>
    <w:rsid w:val="00C14F2E"/>
    <w:rsid w:val="00C15050"/>
    <w:rsid w:val="00C15AC2"/>
    <w:rsid w:val="00C168E7"/>
    <w:rsid w:val="00C179EF"/>
    <w:rsid w:val="00C2073F"/>
    <w:rsid w:val="00C21B69"/>
    <w:rsid w:val="00C22588"/>
    <w:rsid w:val="00C22886"/>
    <w:rsid w:val="00C22E7C"/>
    <w:rsid w:val="00C24152"/>
    <w:rsid w:val="00C24706"/>
    <w:rsid w:val="00C248EB"/>
    <w:rsid w:val="00C24DF3"/>
    <w:rsid w:val="00C24E92"/>
    <w:rsid w:val="00C25211"/>
    <w:rsid w:val="00C25B4F"/>
    <w:rsid w:val="00C27736"/>
    <w:rsid w:val="00C27AD9"/>
    <w:rsid w:val="00C30226"/>
    <w:rsid w:val="00C30E4B"/>
    <w:rsid w:val="00C30E9D"/>
    <w:rsid w:val="00C3172C"/>
    <w:rsid w:val="00C318C4"/>
    <w:rsid w:val="00C31D51"/>
    <w:rsid w:val="00C32247"/>
    <w:rsid w:val="00C32CC9"/>
    <w:rsid w:val="00C341DC"/>
    <w:rsid w:val="00C35E80"/>
    <w:rsid w:val="00C3628D"/>
    <w:rsid w:val="00C37FFA"/>
    <w:rsid w:val="00C40687"/>
    <w:rsid w:val="00C40A6B"/>
    <w:rsid w:val="00C41273"/>
    <w:rsid w:val="00C41352"/>
    <w:rsid w:val="00C4202B"/>
    <w:rsid w:val="00C43D44"/>
    <w:rsid w:val="00C451A1"/>
    <w:rsid w:val="00C457C0"/>
    <w:rsid w:val="00C45DAD"/>
    <w:rsid w:val="00C45E13"/>
    <w:rsid w:val="00C4623D"/>
    <w:rsid w:val="00C46515"/>
    <w:rsid w:val="00C46A41"/>
    <w:rsid w:val="00C475B2"/>
    <w:rsid w:val="00C477C4"/>
    <w:rsid w:val="00C47D74"/>
    <w:rsid w:val="00C500EE"/>
    <w:rsid w:val="00C5147D"/>
    <w:rsid w:val="00C5188A"/>
    <w:rsid w:val="00C51E1B"/>
    <w:rsid w:val="00C52D7F"/>
    <w:rsid w:val="00C52FA5"/>
    <w:rsid w:val="00C531D3"/>
    <w:rsid w:val="00C544C8"/>
    <w:rsid w:val="00C54A16"/>
    <w:rsid w:val="00C54F88"/>
    <w:rsid w:val="00C557BB"/>
    <w:rsid w:val="00C55CF9"/>
    <w:rsid w:val="00C56EFC"/>
    <w:rsid w:val="00C57DE4"/>
    <w:rsid w:val="00C60D6B"/>
    <w:rsid w:val="00C61AE6"/>
    <w:rsid w:val="00C62700"/>
    <w:rsid w:val="00C62ACC"/>
    <w:rsid w:val="00C63684"/>
    <w:rsid w:val="00C6397B"/>
    <w:rsid w:val="00C63B87"/>
    <w:rsid w:val="00C64196"/>
    <w:rsid w:val="00C642EB"/>
    <w:rsid w:val="00C65057"/>
    <w:rsid w:val="00C658AC"/>
    <w:rsid w:val="00C65D17"/>
    <w:rsid w:val="00C66E01"/>
    <w:rsid w:val="00C701DE"/>
    <w:rsid w:val="00C70CFD"/>
    <w:rsid w:val="00C70E12"/>
    <w:rsid w:val="00C7220F"/>
    <w:rsid w:val="00C7222D"/>
    <w:rsid w:val="00C72817"/>
    <w:rsid w:val="00C73762"/>
    <w:rsid w:val="00C73B40"/>
    <w:rsid w:val="00C74172"/>
    <w:rsid w:val="00C742DA"/>
    <w:rsid w:val="00C74678"/>
    <w:rsid w:val="00C746DC"/>
    <w:rsid w:val="00C76FE2"/>
    <w:rsid w:val="00C778DA"/>
    <w:rsid w:val="00C8008D"/>
    <w:rsid w:val="00C80A9D"/>
    <w:rsid w:val="00C80D9E"/>
    <w:rsid w:val="00C81474"/>
    <w:rsid w:val="00C81B37"/>
    <w:rsid w:val="00C828E8"/>
    <w:rsid w:val="00C83138"/>
    <w:rsid w:val="00C8313E"/>
    <w:rsid w:val="00C847B4"/>
    <w:rsid w:val="00C8575D"/>
    <w:rsid w:val="00C86697"/>
    <w:rsid w:val="00C874B5"/>
    <w:rsid w:val="00C9046A"/>
    <w:rsid w:val="00C904B4"/>
    <w:rsid w:val="00C9050D"/>
    <w:rsid w:val="00C908B5"/>
    <w:rsid w:val="00C90BA6"/>
    <w:rsid w:val="00C90CF8"/>
    <w:rsid w:val="00C90E43"/>
    <w:rsid w:val="00C913DD"/>
    <w:rsid w:val="00C91D23"/>
    <w:rsid w:val="00C9205A"/>
    <w:rsid w:val="00C92629"/>
    <w:rsid w:val="00C9287E"/>
    <w:rsid w:val="00C92D06"/>
    <w:rsid w:val="00C92F18"/>
    <w:rsid w:val="00C9335F"/>
    <w:rsid w:val="00C93DD9"/>
    <w:rsid w:val="00C942B6"/>
    <w:rsid w:val="00C94540"/>
    <w:rsid w:val="00C94B63"/>
    <w:rsid w:val="00C95136"/>
    <w:rsid w:val="00C95897"/>
    <w:rsid w:val="00C95F32"/>
    <w:rsid w:val="00C96117"/>
    <w:rsid w:val="00C96DD1"/>
    <w:rsid w:val="00C97544"/>
    <w:rsid w:val="00C9754A"/>
    <w:rsid w:val="00CA09C5"/>
    <w:rsid w:val="00CA14E4"/>
    <w:rsid w:val="00CA19B0"/>
    <w:rsid w:val="00CA3C02"/>
    <w:rsid w:val="00CA4440"/>
    <w:rsid w:val="00CA459A"/>
    <w:rsid w:val="00CA48E4"/>
    <w:rsid w:val="00CA4ED5"/>
    <w:rsid w:val="00CA4FE6"/>
    <w:rsid w:val="00CA5C4A"/>
    <w:rsid w:val="00CA6001"/>
    <w:rsid w:val="00CA6261"/>
    <w:rsid w:val="00CA6415"/>
    <w:rsid w:val="00CA7B81"/>
    <w:rsid w:val="00CA7C09"/>
    <w:rsid w:val="00CB0DA9"/>
    <w:rsid w:val="00CB13AB"/>
    <w:rsid w:val="00CB1603"/>
    <w:rsid w:val="00CB2425"/>
    <w:rsid w:val="00CB36E7"/>
    <w:rsid w:val="00CB3AC6"/>
    <w:rsid w:val="00CB4252"/>
    <w:rsid w:val="00CB57A8"/>
    <w:rsid w:val="00CB61CE"/>
    <w:rsid w:val="00CB6331"/>
    <w:rsid w:val="00CB6BB3"/>
    <w:rsid w:val="00CB7001"/>
    <w:rsid w:val="00CC017D"/>
    <w:rsid w:val="00CC04CD"/>
    <w:rsid w:val="00CC09F2"/>
    <w:rsid w:val="00CC161B"/>
    <w:rsid w:val="00CC1CC7"/>
    <w:rsid w:val="00CC26F1"/>
    <w:rsid w:val="00CC4C1A"/>
    <w:rsid w:val="00CC59E8"/>
    <w:rsid w:val="00CC5F81"/>
    <w:rsid w:val="00CC618C"/>
    <w:rsid w:val="00CC7621"/>
    <w:rsid w:val="00CD072E"/>
    <w:rsid w:val="00CD19E6"/>
    <w:rsid w:val="00CD2171"/>
    <w:rsid w:val="00CD319F"/>
    <w:rsid w:val="00CD3846"/>
    <w:rsid w:val="00CD3D60"/>
    <w:rsid w:val="00CD4045"/>
    <w:rsid w:val="00CD4A98"/>
    <w:rsid w:val="00CD52D8"/>
    <w:rsid w:val="00CD57FE"/>
    <w:rsid w:val="00CD70C2"/>
    <w:rsid w:val="00CD75D4"/>
    <w:rsid w:val="00CD7DE1"/>
    <w:rsid w:val="00CE0000"/>
    <w:rsid w:val="00CE2E14"/>
    <w:rsid w:val="00CE3284"/>
    <w:rsid w:val="00CE3D52"/>
    <w:rsid w:val="00CE7166"/>
    <w:rsid w:val="00CF1975"/>
    <w:rsid w:val="00CF1D83"/>
    <w:rsid w:val="00CF2429"/>
    <w:rsid w:val="00CF4EE6"/>
    <w:rsid w:val="00CF5D75"/>
    <w:rsid w:val="00CF6EB3"/>
    <w:rsid w:val="00CF73CE"/>
    <w:rsid w:val="00CF7506"/>
    <w:rsid w:val="00CF7916"/>
    <w:rsid w:val="00D00937"/>
    <w:rsid w:val="00D010DB"/>
    <w:rsid w:val="00D01863"/>
    <w:rsid w:val="00D01AEF"/>
    <w:rsid w:val="00D02856"/>
    <w:rsid w:val="00D029CE"/>
    <w:rsid w:val="00D02D74"/>
    <w:rsid w:val="00D03D6C"/>
    <w:rsid w:val="00D04304"/>
    <w:rsid w:val="00D04668"/>
    <w:rsid w:val="00D04A2E"/>
    <w:rsid w:val="00D05325"/>
    <w:rsid w:val="00D05775"/>
    <w:rsid w:val="00D059AA"/>
    <w:rsid w:val="00D068BA"/>
    <w:rsid w:val="00D068C7"/>
    <w:rsid w:val="00D07E7F"/>
    <w:rsid w:val="00D103F4"/>
    <w:rsid w:val="00D12E21"/>
    <w:rsid w:val="00D1431E"/>
    <w:rsid w:val="00D15DEE"/>
    <w:rsid w:val="00D1677B"/>
    <w:rsid w:val="00D1718C"/>
    <w:rsid w:val="00D17960"/>
    <w:rsid w:val="00D202CE"/>
    <w:rsid w:val="00D206B8"/>
    <w:rsid w:val="00D20DBB"/>
    <w:rsid w:val="00D20FD7"/>
    <w:rsid w:val="00D2180D"/>
    <w:rsid w:val="00D21B17"/>
    <w:rsid w:val="00D21D2C"/>
    <w:rsid w:val="00D225E8"/>
    <w:rsid w:val="00D22D01"/>
    <w:rsid w:val="00D236AA"/>
    <w:rsid w:val="00D237A1"/>
    <w:rsid w:val="00D2661D"/>
    <w:rsid w:val="00D27054"/>
    <w:rsid w:val="00D2741B"/>
    <w:rsid w:val="00D274A9"/>
    <w:rsid w:val="00D27E5E"/>
    <w:rsid w:val="00D27F1B"/>
    <w:rsid w:val="00D30DB1"/>
    <w:rsid w:val="00D32742"/>
    <w:rsid w:val="00D33939"/>
    <w:rsid w:val="00D33C40"/>
    <w:rsid w:val="00D3400C"/>
    <w:rsid w:val="00D341B6"/>
    <w:rsid w:val="00D34510"/>
    <w:rsid w:val="00D34F0D"/>
    <w:rsid w:val="00D3613E"/>
    <w:rsid w:val="00D379EA"/>
    <w:rsid w:val="00D41506"/>
    <w:rsid w:val="00D420DF"/>
    <w:rsid w:val="00D424D9"/>
    <w:rsid w:val="00D42A95"/>
    <w:rsid w:val="00D42BD5"/>
    <w:rsid w:val="00D43B4A"/>
    <w:rsid w:val="00D43B4F"/>
    <w:rsid w:val="00D43DCE"/>
    <w:rsid w:val="00D4528A"/>
    <w:rsid w:val="00D470EF"/>
    <w:rsid w:val="00D47DD9"/>
    <w:rsid w:val="00D51417"/>
    <w:rsid w:val="00D5186C"/>
    <w:rsid w:val="00D553FA"/>
    <w:rsid w:val="00D55724"/>
    <w:rsid w:val="00D55815"/>
    <w:rsid w:val="00D5582A"/>
    <w:rsid w:val="00D57045"/>
    <w:rsid w:val="00D6081C"/>
    <w:rsid w:val="00D60B18"/>
    <w:rsid w:val="00D60FB5"/>
    <w:rsid w:val="00D618E8"/>
    <w:rsid w:val="00D63165"/>
    <w:rsid w:val="00D658DA"/>
    <w:rsid w:val="00D66029"/>
    <w:rsid w:val="00D67611"/>
    <w:rsid w:val="00D70F9C"/>
    <w:rsid w:val="00D71089"/>
    <w:rsid w:val="00D724CF"/>
    <w:rsid w:val="00D72679"/>
    <w:rsid w:val="00D734FE"/>
    <w:rsid w:val="00D73DE3"/>
    <w:rsid w:val="00D75F97"/>
    <w:rsid w:val="00D76F34"/>
    <w:rsid w:val="00D7739D"/>
    <w:rsid w:val="00D800DF"/>
    <w:rsid w:val="00D8042B"/>
    <w:rsid w:val="00D81143"/>
    <w:rsid w:val="00D813DC"/>
    <w:rsid w:val="00D81A06"/>
    <w:rsid w:val="00D81A21"/>
    <w:rsid w:val="00D81F0C"/>
    <w:rsid w:val="00D822D1"/>
    <w:rsid w:val="00D836F6"/>
    <w:rsid w:val="00D83986"/>
    <w:rsid w:val="00D83A7C"/>
    <w:rsid w:val="00D85916"/>
    <w:rsid w:val="00D87006"/>
    <w:rsid w:val="00D87D37"/>
    <w:rsid w:val="00D9036C"/>
    <w:rsid w:val="00D90D7C"/>
    <w:rsid w:val="00D919B9"/>
    <w:rsid w:val="00D91F9A"/>
    <w:rsid w:val="00D921A8"/>
    <w:rsid w:val="00D9246C"/>
    <w:rsid w:val="00D92770"/>
    <w:rsid w:val="00D930AE"/>
    <w:rsid w:val="00D9325E"/>
    <w:rsid w:val="00D93451"/>
    <w:rsid w:val="00D93C96"/>
    <w:rsid w:val="00D93E23"/>
    <w:rsid w:val="00D945ED"/>
    <w:rsid w:val="00D95497"/>
    <w:rsid w:val="00D954A0"/>
    <w:rsid w:val="00D9645A"/>
    <w:rsid w:val="00D96835"/>
    <w:rsid w:val="00D97312"/>
    <w:rsid w:val="00D9766E"/>
    <w:rsid w:val="00D97AC7"/>
    <w:rsid w:val="00D97CF5"/>
    <w:rsid w:val="00DA0354"/>
    <w:rsid w:val="00DA05D9"/>
    <w:rsid w:val="00DA2BD5"/>
    <w:rsid w:val="00DA2C3C"/>
    <w:rsid w:val="00DA302C"/>
    <w:rsid w:val="00DA4EAE"/>
    <w:rsid w:val="00DA4FDC"/>
    <w:rsid w:val="00DA539B"/>
    <w:rsid w:val="00DA5DD0"/>
    <w:rsid w:val="00DA68C3"/>
    <w:rsid w:val="00DA6CAE"/>
    <w:rsid w:val="00DA6E7F"/>
    <w:rsid w:val="00DA6ECF"/>
    <w:rsid w:val="00DA7A82"/>
    <w:rsid w:val="00DB015B"/>
    <w:rsid w:val="00DB2849"/>
    <w:rsid w:val="00DB3355"/>
    <w:rsid w:val="00DB3DA8"/>
    <w:rsid w:val="00DB3F59"/>
    <w:rsid w:val="00DB401F"/>
    <w:rsid w:val="00DB47BD"/>
    <w:rsid w:val="00DB48A6"/>
    <w:rsid w:val="00DB4A8E"/>
    <w:rsid w:val="00DB5138"/>
    <w:rsid w:val="00DB5259"/>
    <w:rsid w:val="00DB5A96"/>
    <w:rsid w:val="00DB6571"/>
    <w:rsid w:val="00DB6DA6"/>
    <w:rsid w:val="00DB7128"/>
    <w:rsid w:val="00DB7281"/>
    <w:rsid w:val="00DC048E"/>
    <w:rsid w:val="00DC1150"/>
    <w:rsid w:val="00DC1389"/>
    <w:rsid w:val="00DC157B"/>
    <w:rsid w:val="00DC2891"/>
    <w:rsid w:val="00DC31CD"/>
    <w:rsid w:val="00DC463A"/>
    <w:rsid w:val="00DC4650"/>
    <w:rsid w:val="00DC535C"/>
    <w:rsid w:val="00DC56E6"/>
    <w:rsid w:val="00DC5C77"/>
    <w:rsid w:val="00DC61B8"/>
    <w:rsid w:val="00DC7307"/>
    <w:rsid w:val="00DC78E4"/>
    <w:rsid w:val="00DC7952"/>
    <w:rsid w:val="00DC7A9D"/>
    <w:rsid w:val="00DC7EF1"/>
    <w:rsid w:val="00DD00F3"/>
    <w:rsid w:val="00DD05B3"/>
    <w:rsid w:val="00DD05C1"/>
    <w:rsid w:val="00DD0CBD"/>
    <w:rsid w:val="00DD0D56"/>
    <w:rsid w:val="00DD1730"/>
    <w:rsid w:val="00DD31F4"/>
    <w:rsid w:val="00DD6222"/>
    <w:rsid w:val="00DD7602"/>
    <w:rsid w:val="00DD7651"/>
    <w:rsid w:val="00DD7E5B"/>
    <w:rsid w:val="00DE165C"/>
    <w:rsid w:val="00DE186A"/>
    <w:rsid w:val="00DE18C6"/>
    <w:rsid w:val="00DE4776"/>
    <w:rsid w:val="00DE6ADD"/>
    <w:rsid w:val="00DE7F69"/>
    <w:rsid w:val="00DF00E2"/>
    <w:rsid w:val="00DF062C"/>
    <w:rsid w:val="00DF231E"/>
    <w:rsid w:val="00DF3470"/>
    <w:rsid w:val="00DF3E18"/>
    <w:rsid w:val="00DF456D"/>
    <w:rsid w:val="00DF46AB"/>
    <w:rsid w:val="00DF53DB"/>
    <w:rsid w:val="00DF5568"/>
    <w:rsid w:val="00DF5F14"/>
    <w:rsid w:val="00DF5FC9"/>
    <w:rsid w:val="00DF625F"/>
    <w:rsid w:val="00DF6DF6"/>
    <w:rsid w:val="00DF7CD8"/>
    <w:rsid w:val="00DF7D83"/>
    <w:rsid w:val="00E000EF"/>
    <w:rsid w:val="00E00419"/>
    <w:rsid w:val="00E005A1"/>
    <w:rsid w:val="00E00642"/>
    <w:rsid w:val="00E0066F"/>
    <w:rsid w:val="00E00EA7"/>
    <w:rsid w:val="00E00EE3"/>
    <w:rsid w:val="00E01021"/>
    <w:rsid w:val="00E014BE"/>
    <w:rsid w:val="00E014DE"/>
    <w:rsid w:val="00E01621"/>
    <w:rsid w:val="00E0322F"/>
    <w:rsid w:val="00E03A51"/>
    <w:rsid w:val="00E03C78"/>
    <w:rsid w:val="00E03DBF"/>
    <w:rsid w:val="00E05127"/>
    <w:rsid w:val="00E062DE"/>
    <w:rsid w:val="00E070C0"/>
    <w:rsid w:val="00E07282"/>
    <w:rsid w:val="00E105FF"/>
    <w:rsid w:val="00E10B30"/>
    <w:rsid w:val="00E114BF"/>
    <w:rsid w:val="00E11632"/>
    <w:rsid w:val="00E11BB7"/>
    <w:rsid w:val="00E11E54"/>
    <w:rsid w:val="00E124C2"/>
    <w:rsid w:val="00E133DA"/>
    <w:rsid w:val="00E13AD9"/>
    <w:rsid w:val="00E13DF9"/>
    <w:rsid w:val="00E14109"/>
    <w:rsid w:val="00E1411A"/>
    <w:rsid w:val="00E14275"/>
    <w:rsid w:val="00E15302"/>
    <w:rsid w:val="00E15521"/>
    <w:rsid w:val="00E155EA"/>
    <w:rsid w:val="00E16733"/>
    <w:rsid w:val="00E17E1E"/>
    <w:rsid w:val="00E219AB"/>
    <w:rsid w:val="00E21B32"/>
    <w:rsid w:val="00E230F2"/>
    <w:rsid w:val="00E23CF0"/>
    <w:rsid w:val="00E2468E"/>
    <w:rsid w:val="00E249C9"/>
    <w:rsid w:val="00E251EC"/>
    <w:rsid w:val="00E259F4"/>
    <w:rsid w:val="00E266CE"/>
    <w:rsid w:val="00E3122C"/>
    <w:rsid w:val="00E3122F"/>
    <w:rsid w:val="00E33255"/>
    <w:rsid w:val="00E33295"/>
    <w:rsid w:val="00E33D0A"/>
    <w:rsid w:val="00E34D8B"/>
    <w:rsid w:val="00E34E58"/>
    <w:rsid w:val="00E35175"/>
    <w:rsid w:val="00E351CC"/>
    <w:rsid w:val="00E36849"/>
    <w:rsid w:val="00E37D5B"/>
    <w:rsid w:val="00E404E8"/>
    <w:rsid w:val="00E41024"/>
    <w:rsid w:val="00E42A8A"/>
    <w:rsid w:val="00E43687"/>
    <w:rsid w:val="00E43AAD"/>
    <w:rsid w:val="00E43D91"/>
    <w:rsid w:val="00E445D7"/>
    <w:rsid w:val="00E447E9"/>
    <w:rsid w:val="00E44DA3"/>
    <w:rsid w:val="00E44E97"/>
    <w:rsid w:val="00E45268"/>
    <w:rsid w:val="00E457BB"/>
    <w:rsid w:val="00E467AC"/>
    <w:rsid w:val="00E47559"/>
    <w:rsid w:val="00E47821"/>
    <w:rsid w:val="00E500EA"/>
    <w:rsid w:val="00E50B9E"/>
    <w:rsid w:val="00E51148"/>
    <w:rsid w:val="00E52123"/>
    <w:rsid w:val="00E5264A"/>
    <w:rsid w:val="00E5292E"/>
    <w:rsid w:val="00E52D6A"/>
    <w:rsid w:val="00E5340E"/>
    <w:rsid w:val="00E55F0E"/>
    <w:rsid w:val="00E56007"/>
    <w:rsid w:val="00E56078"/>
    <w:rsid w:val="00E5647C"/>
    <w:rsid w:val="00E56608"/>
    <w:rsid w:val="00E569BD"/>
    <w:rsid w:val="00E56FC2"/>
    <w:rsid w:val="00E57317"/>
    <w:rsid w:val="00E57A97"/>
    <w:rsid w:val="00E6195D"/>
    <w:rsid w:val="00E61A9E"/>
    <w:rsid w:val="00E61ADB"/>
    <w:rsid w:val="00E63074"/>
    <w:rsid w:val="00E63D8B"/>
    <w:rsid w:val="00E64F17"/>
    <w:rsid w:val="00E65B0D"/>
    <w:rsid w:val="00E6677A"/>
    <w:rsid w:val="00E6690F"/>
    <w:rsid w:val="00E66CE0"/>
    <w:rsid w:val="00E672D3"/>
    <w:rsid w:val="00E7009E"/>
    <w:rsid w:val="00E7066B"/>
    <w:rsid w:val="00E707D8"/>
    <w:rsid w:val="00E70985"/>
    <w:rsid w:val="00E709BA"/>
    <w:rsid w:val="00E729BC"/>
    <w:rsid w:val="00E72A93"/>
    <w:rsid w:val="00E72BFC"/>
    <w:rsid w:val="00E73C74"/>
    <w:rsid w:val="00E7512E"/>
    <w:rsid w:val="00E75C6D"/>
    <w:rsid w:val="00E75EFC"/>
    <w:rsid w:val="00E76C9C"/>
    <w:rsid w:val="00E7778C"/>
    <w:rsid w:val="00E800A2"/>
    <w:rsid w:val="00E80C24"/>
    <w:rsid w:val="00E828FC"/>
    <w:rsid w:val="00E84094"/>
    <w:rsid w:val="00E84244"/>
    <w:rsid w:val="00E84763"/>
    <w:rsid w:val="00E8571B"/>
    <w:rsid w:val="00E87002"/>
    <w:rsid w:val="00E870ED"/>
    <w:rsid w:val="00E871C9"/>
    <w:rsid w:val="00E87951"/>
    <w:rsid w:val="00E901F5"/>
    <w:rsid w:val="00E9041C"/>
    <w:rsid w:val="00E904BC"/>
    <w:rsid w:val="00E917B9"/>
    <w:rsid w:val="00E91FC5"/>
    <w:rsid w:val="00E92371"/>
    <w:rsid w:val="00E92CBD"/>
    <w:rsid w:val="00E9303F"/>
    <w:rsid w:val="00E9383B"/>
    <w:rsid w:val="00E94B65"/>
    <w:rsid w:val="00E959D4"/>
    <w:rsid w:val="00E95B94"/>
    <w:rsid w:val="00E96BE2"/>
    <w:rsid w:val="00E9709E"/>
    <w:rsid w:val="00E972C8"/>
    <w:rsid w:val="00EA0113"/>
    <w:rsid w:val="00EA1236"/>
    <w:rsid w:val="00EA15FB"/>
    <w:rsid w:val="00EA2350"/>
    <w:rsid w:val="00EA263C"/>
    <w:rsid w:val="00EA2C3E"/>
    <w:rsid w:val="00EA2D9A"/>
    <w:rsid w:val="00EA2EF8"/>
    <w:rsid w:val="00EA3AFD"/>
    <w:rsid w:val="00EA42D1"/>
    <w:rsid w:val="00EA5075"/>
    <w:rsid w:val="00EA601A"/>
    <w:rsid w:val="00EA646A"/>
    <w:rsid w:val="00EA64EA"/>
    <w:rsid w:val="00EA688D"/>
    <w:rsid w:val="00EA72F8"/>
    <w:rsid w:val="00EA7950"/>
    <w:rsid w:val="00EA7A51"/>
    <w:rsid w:val="00EA7FE8"/>
    <w:rsid w:val="00EB0713"/>
    <w:rsid w:val="00EB09DA"/>
    <w:rsid w:val="00EB1DDF"/>
    <w:rsid w:val="00EB1E5E"/>
    <w:rsid w:val="00EB1FB1"/>
    <w:rsid w:val="00EB2C70"/>
    <w:rsid w:val="00EB325F"/>
    <w:rsid w:val="00EB3687"/>
    <w:rsid w:val="00EB5189"/>
    <w:rsid w:val="00EB65A1"/>
    <w:rsid w:val="00EB6720"/>
    <w:rsid w:val="00EB6F18"/>
    <w:rsid w:val="00EC08D5"/>
    <w:rsid w:val="00EC0AD6"/>
    <w:rsid w:val="00EC0CBA"/>
    <w:rsid w:val="00EC0E04"/>
    <w:rsid w:val="00EC188C"/>
    <w:rsid w:val="00EC228F"/>
    <w:rsid w:val="00EC304F"/>
    <w:rsid w:val="00EC3A33"/>
    <w:rsid w:val="00EC3D26"/>
    <w:rsid w:val="00EC5577"/>
    <w:rsid w:val="00EC558D"/>
    <w:rsid w:val="00EC6CD9"/>
    <w:rsid w:val="00EC730F"/>
    <w:rsid w:val="00ED0731"/>
    <w:rsid w:val="00ED098A"/>
    <w:rsid w:val="00ED09EF"/>
    <w:rsid w:val="00ED0A55"/>
    <w:rsid w:val="00ED0C4C"/>
    <w:rsid w:val="00ED0FFB"/>
    <w:rsid w:val="00ED1AFE"/>
    <w:rsid w:val="00ED2C15"/>
    <w:rsid w:val="00ED322D"/>
    <w:rsid w:val="00ED44CC"/>
    <w:rsid w:val="00ED5D9E"/>
    <w:rsid w:val="00ED7052"/>
    <w:rsid w:val="00ED7470"/>
    <w:rsid w:val="00ED77B0"/>
    <w:rsid w:val="00EE0950"/>
    <w:rsid w:val="00EE1C92"/>
    <w:rsid w:val="00EE1FDC"/>
    <w:rsid w:val="00EE233F"/>
    <w:rsid w:val="00EE2536"/>
    <w:rsid w:val="00EE28C9"/>
    <w:rsid w:val="00EE298E"/>
    <w:rsid w:val="00EE332F"/>
    <w:rsid w:val="00EE3424"/>
    <w:rsid w:val="00EE3A39"/>
    <w:rsid w:val="00EE465B"/>
    <w:rsid w:val="00EE56E8"/>
    <w:rsid w:val="00EE5D4D"/>
    <w:rsid w:val="00EE611B"/>
    <w:rsid w:val="00EE6958"/>
    <w:rsid w:val="00EE73CF"/>
    <w:rsid w:val="00EE740D"/>
    <w:rsid w:val="00EF0134"/>
    <w:rsid w:val="00EF04F8"/>
    <w:rsid w:val="00EF0BE5"/>
    <w:rsid w:val="00EF158E"/>
    <w:rsid w:val="00EF192D"/>
    <w:rsid w:val="00EF1BCA"/>
    <w:rsid w:val="00EF1F8C"/>
    <w:rsid w:val="00EF2390"/>
    <w:rsid w:val="00EF2795"/>
    <w:rsid w:val="00EF3375"/>
    <w:rsid w:val="00EF39FA"/>
    <w:rsid w:val="00EF3B38"/>
    <w:rsid w:val="00EF5B0C"/>
    <w:rsid w:val="00EF5C26"/>
    <w:rsid w:val="00EF6265"/>
    <w:rsid w:val="00EF656D"/>
    <w:rsid w:val="00EF6D68"/>
    <w:rsid w:val="00EF7392"/>
    <w:rsid w:val="00EF7973"/>
    <w:rsid w:val="00F006BC"/>
    <w:rsid w:val="00F00840"/>
    <w:rsid w:val="00F01599"/>
    <w:rsid w:val="00F016FA"/>
    <w:rsid w:val="00F01BC5"/>
    <w:rsid w:val="00F0316D"/>
    <w:rsid w:val="00F031A8"/>
    <w:rsid w:val="00F03F33"/>
    <w:rsid w:val="00F040D0"/>
    <w:rsid w:val="00F045D3"/>
    <w:rsid w:val="00F05082"/>
    <w:rsid w:val="00F05134"/>
    <w:rsid w:val="00F05452"/>
    <w:rsid w:val="00F060A2"/>
    <w:rsid w:val="00F06271"/>
    <w:rsid w:val="00F06ADC"/>
    <w:rsid w:val="00F07703"/>
    <w:rsid w:val="00F10544"/>
    <w:rsid w:val="00F10991"/>
    <w:rsid w:val="00F1165F"/>
    <w:rsid w:val="00F12369"/>
    <w:rsid w:val="00F12C76"/>
    <w:rsid w:val="00F13105"/>
    <w:rsid w:val="00F147CD"/>
    <w:rsid w:val="00F14F63"/>
    <w:rsid w:val="00F15C94"/>
    <w:rsid w:val="00F164F5"/>
    <w:rsid w:val="00F165E1"/>
    <w:rsid w:val="00F17BFB"/>
    <w:rsid w:val="00F17E99"/>
    <w:rsid w:val="00F20379"/>
    <w:rsid w:val="00F21091"/>
    <w:rsid w:val="00F21ECB"/>
    <w:rsid w:val="00F22856"/>
    <w:rsid w:val="00F23C05"/>
    <w:rsid w:val="00F24EF7"/>
    <w:rsid w:val="00F257C5"/>
    <w:rsid w:val="00F257E1"/>
    <w:rsid w:val="00F26BB3"/>
    <w:rsid w:val="00F270B5"/>
    <w:rsid w:val="00F275CE"/>
    <w:rsid w:val="00F27AB6"/>
    <w:rsid w:val="00F27D81"/>
    <w:rsid w:val="00F30F9E"/>
    <w:rsid w:val="00F31C88"/>
    <w:rsid w:val="00F3270A"/>
    <w:rsid w:val="00F3275E"/>
    <w:rsid w:val="00F32B36"/>
    <w:rsid w:val="00F32E8B"/>
    <w:rsid w:val="00F33608"/>
    <w:rsid w:val="00F33B49"/>
    <w:rsid w:val="00F34B0A"/>
    <w:rsid w:val="00F34F29"/>
    <w:rsid w:val="00F360AC"/>
    <w:rsid w:val="00F369D8"/>
    <w:rsid w:val="00F36B24"/>
    <w:rsid w:val="00F36D12"/>
    <w:rsid w:val="00F373D3"/>
    <w:rsid w:val="00F37A40"/>
    <w:rsid w:val="00F4027B"/>
    <w:rsid w:val="00F40C52"/>
    <w:rsid w:val="00F410B2"/>
    <w:rsid w:val="00F4128A"/>
    <w:rsid w:val="00F4159B"/>
    <w:rsid w:val="00F41FDF"/>
    <w:rsid w:val="00F42794"/>
    <w:rsid w:val="00F42DCF"/>
    <w:rsid w:val="00F42E87"/>
    <w:rsid w:val="00F430F1"/>
    <w:rsid w:val="00F43258"/>
    <w:rsid w:val="00F4356B"/>
    <w:rsid w:val="00F43600"/>
    <w:rsid w:val="00F43625"/>
    <w:rsid w:val="00F45F27"/>
    <w:rsid w:val="00F46012"/>
    <w:rsid w:val="00F466B1"/>
    <w:rsid w:val="00F466BF"/>
    <w:rsid w:val="00F472B8"/>
    <w:rsid w:val="00F47C6E"/>
    <w:rsid w:val="00F50DEF"/>
    <w:rsid w:val="00F518DB"/>
    <w:rsid w:val="00F519C3"/>
    <w:rsid w:val="00F5265B"/>
    <w:rsid w:val="00F527C5"/>
    <w:rsid w:val="00F52AD0"/>
    <w:rsid w:val="00F53E54"/>
    <w:rsid w:val="00F56144"/>
    <w:rsid w:val="00F56A21"/>
    <w:rsid w:val="00F5753E"/>
    <w:rsid w:val="00F577B4"/>
    <w:rsid w:val="00F6036E"/>
    <w:rsid w:val="00F617CA"/>
    <w:rsid w:val="00F6270C"/>
    <w:rsid w:val="00F6275E"/>
    <w:rsid w:val="00F62B39"/>
    <w:rsid w:val="00F62CF4"/>
    <w:rsid w:val="00F63CCA"/>
    <w:rsid w:val="00F648D9"/>
    <w:rsid w:val="00F64FFD"/>
    <w:rsid w:val="00F6525C"/>
    <w:rsid w:val="00F65A93"/>
    <w:rsid w:val="00F65FE1"/>
    <w:rsid w:val="00F66CC5"/>
    <w:rsid w:val="00F67614"/>
    <w:rsid w:val="00F701D0"/>
    <w:rsid w:val="00F70308"/>
    <w:rsid w:val="00F70611"/>
    <w:rsid w:val="00F70809"/>
    <w:rsid w:val="00F70C30"/>
    <w:rsid w:val="00F7384A"/>
    <w:rsid w:val="00F73D1C"/>
    <w:rsid w:val="00F73E79"/>
    <w:rsid w:val="00F755A7"/>
    <w:rsid w:val="00F75AB3"/>
    <w:rsid w:val="00F75B59"/>
    <w:rsid w:val="00F76080"/>
    <w:rsid w:val="00F76979"/>
    <w:rsid w:val="00F770EC"/>
    <w:rsid w:val="00F774AD"/>
    <w:rsid w:val="00F77954"/>
    <w:rsid w:val="00F8009D"/>
    <w:rsid w:val="00F80312"/>
    <w:rsid w:val="00F80F17"/>
    <w:rsid w:val="00F829DE"/>
    <w:rsid w:val="00F82E23"/>
    <w:rsid w:val="00F82EE0"/>
    <w:rsid w:val="00F831DF"/>
    <w:rsid w:val="00F832C0"/>
    <w:rsid w:val="00F8362A"/>
    <w:rsid w:val="00F83AB9"/>
    <w:rsid w:val="00F83AEA"/>
    <w:rsid w:val="00F83E35"/>
    <w:rsid w:val="00F85F57"/>
    <w:rsid w:val="00F86BA9"/>
    <w:rsid w:val="00F871AD"/>
    <w:rsid w:val="00F872C9"/>
    <w:rsid w:val="00F87830"/>
    <w:rsid w:val="00F87DAF"/>
    <w:rsid w:val="00F9063B"/>
    <w:rsid w:val="00F90CB9"/>
    <w:rsid w:val="00F90FD9"/>
    <w:rsid w:val="00F93233"/>
    <w:rsid w:val="00F9386C"/>
    <w:rsid w:val="00F93BDD"/>
    <w:rsid w:val="00F94B86"/>
    <w:rsid w:val="00F956DE"/>
    <w:rsid w:val="00F95F43"/>
    <w:rsid w:val="00F96087"/>
    <w:rsid w:val="00F97783"/>
    <w:rsid w:val="00FA1300"/>
    <w:rsid w:val="00FA1349"/>
    <w:rsid w:val="00FA16A8"/>
    <w:rsid w:val="00FA24D0"/>
    <w:rsid w:val="00FA25D8"/>
    <w:rsid w:val="00FA3170"/>
    <w:rsid w:val="00FA413A"/>
    <w:rsid w:val="00FA53AF"/>
    <w:rsid w:val="00FA66CA"/>
    <w:rsid w:val="00FA6A21"/>
    <w:rsid w:val="00FA6A46"/>
    <w:rsid w:val="00FA75B3"/>
    <w:rsid w:val="00FB01A3"/>
    <w:rsid w:val="00FB049E"/>
    <w:rsid w:val="00FB0E57"/>
    <w:rsid w:val="00FB1325"/>
    <w:rsid w:val="00FB15A1"/>
    <w:rsid w:val="00FB4487"/>
    <w:rsid w:val="00FB52E3"/>
    <w:rsid w:val="00FB5891"/>
    <w:rsid w:val="00FB7D18"/>
    <w:rsid w:val="00FB7E62"/>
    <w:rsid w:val="00FC01D5"/>
    <w:rsid w:val="00FC0E68"/>
    <w:rsid w:val="00FC1000"/>
    <w:rsid w:val="00FC1510"/>
    <w:rsid w:val="00FC16DD"/>
    <w:rsid w:val="00FC2907"/>
    <w:rsid w:val="00FC3B3E"/>
    <w:rsid w:val="00FC449E"/>
    <w:rsid w:val="00FC5EBB"/>
    <w:rsid w:val="00FC6172"/>
    <w:rsid w:val="00FC6364"/>
    <w:rsid w:val="00FC642A"/>
    <w:rsid w:val="00FC6644"/>
    <w:rsid w:val="00FC6FA5"/>
    <w:rsid w:val="00FC7BC1"/>
    <w:rsid w:val="00FC7D7B"/>
    <w:rsid w:val="00FD15C7"/>
    <w:rsid w:val="00FD1737"/>
    <w:rsid w:val="00FD2CA6"/>
    <w:rsid w:val="00FD3B52"/>
    <w:rsid w:val="00FD4B9A"/>
    <w:rsid w:val="00FD4C06"/>
    <w:rsid w:val="00FD4CFD"/>
    <w:rsid w:val="00FD4E04"/>
    <w:rsid w:val="00FD5110"/>
    <w:rsid w:val="00FD57BB"/>
    <w:rsid w:val="00FD6117"/>
    <w:rsid w:val="00FD7208"/>
    <w:rsid w:val="00FD79FE"/>
    <w:rsid w:val="00FD7B85"/>
    <w:rsid w:val="00FE0ED1"/>
    <w:rsid w:val="00FE1796"/>
    <w:rsid w:val="00FE24C3"/>
    <w:rsid w:val="00FE2D99"/>
    <w:rsid w:val="00FE3375"/>
    <w:rsid w:val="00FE3906"/>
    <w:rsid w:val="00FE3FF7"/>
    <w:rsid w:val="00FE55E0"/>
    <w:rsid w:val="00FE59FD"/>
    <w:rsid w:val="00FE5DB8"/>
    <w:rsid w:val="00FE7F54"/>
    <w:rsid w:val="00FF0F53"/>
    <w:rsid w:val="00FF2D60"/>
    <w:rsid w:val="00FF318B"/>
    <w:rsid w:val="00FF37BB"/>
    <w:rsid w:val="00FF52A3"/>
    <w:rsid w:val="00FF562A"/>
    <w:rsid w:val="00FF56BA"/>
    <w:rsid w:val="00FF5DB6"/>
    <w:rsid w:val="00FF6479"/>
    <w:rsid w:val="00FF66B1"/>
    <w:rsid w:val="00FF69EC"/>
    <w:rsid w:val="00FF7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E19E70"/>
  <w15:docId w15:val="{761A5647-50CE-4CBF-90F9-0B4FC3F0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6BC"/>
    <w:rPr>
      <w:sz w:val="24"/>
      <w:szCs w:val="24"/>
    </w:rPr>
  </w:style>
  <w:style w:type="paragraph" w:styleId="Heading1">
    <w:name w:val="heading 1"/>
    <w:basedOn w:val="ACMAHeading1"/>
    <w:next w:val="ACMABodyText"/>
    <w:link w:val="Heading1Char"/>
    <w:uiPriority w:val="99"/>
    <w:qFormat/>
    <w:rsid w:val="003939ED"/>
    <w:pPr>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7241"/>
    <w:rPr>
      <w:rFonts w:ascii="Cambria" w:hAnsi="Cambria" w:cs="Times New Roman"/>
      <w:b/>
      <w:bCs/>
      <w:kern w:val="32"/>
      <w:sz w:val="32"/>
      <w:szCs w:val="32"/>
    </w:rPr>
  </w:style>
  <w:style w:type="paragraph" w:customStyle="1" w:styleId="ACMABodyText">
    <w:name w:val="ACMA Body Text"/>
    <w:uiPriority w:val="99"/>
    <w:rsid w:val="00181920"/>
    <w:pPr>
      <w:suppressAutoHyphens/>
      <w:spacing w:before="80" w:after="120" w:line="280" w:lineRule="atLeast"/>
    </w:pPr>
    <w:rPr>
      <w:rFonts w:ascii="Arial" w:hAnsi="Arial" w:cs="Arial"/>
      <w:lang w:eastAsia="en-US"/>
    </w:rPr>
  </w:style>
  <w:style w:type="paragraph" w:customStyle="1" w:styleId="ACMAHeading1">
    <w:name w:val="ACMA Heading 1"/>
    <w:next w:val="ACMABodyText"/>
    <w:uiPriority w:val="99"/>
    <w:rsid w:val="00C21B69"/>
    <w:pPr>
      <w:keepNext/>
      <w:suppressAutoHyphens/>
      <w:spacing w:before="320"/>
      <w:outlineLvl w:val="1"/>
    </w:pPr>
    <w:rPr>
      <w:rFonts w:ascii="Arial" w:hAnsi="Arial"/>
      <w:b/>
      <w:sz w:val="32"/>
      <w:szCs w:val="32"/>
      <w:lang w:val="en-US" w:eastAsia="en-US"/>
    </w:rPr>
  </w:style>
  <w:style w:type="paragraph" w:customStyle="1" w:styleId="ACMABulletLevel1">
    <w:name w:val="ACMA Bullet Level 1"/>
    <w:uiPriority w:val="99"/>
    <w:rsid w:val="00C21B69"/>
    <w:pPr>
      <w:tabs>
        <w:tab w:val="num" w:pos="1008"/>
      </w:tabs>
      <w:spacing w:after="120"/>
      <w:ind w:left="1008" w:hanging="360"/>
    </w:pPr>
    <w:rPr>
      <w:sz w:val="24"/>
      <w:lang w:eastAsia="en-US"/>
    </w:rPr>
  </w:style>
  <w:style w:type="paragraph" w:customStyle="1" w:styleId="ACMABulletLevel2">
    <w:name w:val="ACMA Bullet Level 2"/>
    <w:uiPriority w:val="99"/>
    <w:rsid w:val="00C21B69"/>
    <w:pPr>
      <w:numPr>
        <w:numId w:val="3"/>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uiPriority w:val="99"/>
    <w:rsid w:val="00C21B69"/>
    <w:pPr>
      <w:keepNext/>
      <w:suppressAutoHyphens/>
      <w:spacing w:before="2160" w:after="480"/>
      <w:outlineLvl w:val="0"/>
    </w:pPr>
    <w:rPr>
      <w:sz w:val="56"/>
      <w:szCs w:val="56"/>
      <w:lang w:eastAsia="en-US"/>
    </w:rPr>
  </w:style>
  <w:style w:type="paragraph" w:customStyle="1" w:styleId="ACMAConclusion">
    <w:name w:val="ACMA Conclusion"/>
    <w:uiPriority w:val="99"/>
    <w:rsid w:val="003939E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uiPriority w:val="99"/>
    <w:rsid w:val="00C21B69"/>
    <w:pPr>
      <w:spacing w:before="2160" w:after="480"/>
    </w:pPr>
    <w:rPr>
      <w:sz w:val="56"/>
      <w:szCs w:val="56"/>
      <w:lang w:val="en-US" w:eastAsia="en-US"/>
    </w:rPr>
  </w:style>
  <w:style w:type="paragraph" w:customStyle="1" w:styleId="ACMAFooterEven">
    <w:name w:val="ACMA Footer (Even)"/>
    <w:uiPriority w:val="99"/>
    <w:rsid w:val="00C21B69"/>
    <w:pPr>
      <w:pBdr>
        <w:top w:val="single" w:sz="2" w:space="4" w:color="auto"/>
      </w:pBdr>
      <w:tabs>
        <w:tab w:val="right" w:pos="8959"/>
      </w:tabs>
    </w:pPr>
    <w:rPr>
      <w:lang w:eastAsia="en-US"/>
    </w:rPr>
  </w:style>
  <w:style w:type="paragraph" w:customStyle="1" w:styleId="ACMAFooterOdd">
    <w:name w:val="ACMA Footer (Odd)"/>
    <w:uiPriority w:val="99"/>
    <w:rsid w:val="00C21B69"/>
    <w:pPr>
      <w:pBdr>
        <w:top w:val="single" w:sz="2" w:space="4" w:color="auto"/>
      </w:pBdr>
      <w:tabs>
        <w:tab w:val="right" w:pos="8959"/>
      </w:tabs>
    </w:pPr>
    <w:rPr>
      <w:lang w:eastAsia="en-US"/>
    </w:rPr>
  </w:style>
  <w:style w:type="paragraph" w:customStyle="1" w:styleId="ACMAFootnote">
    <w:name w:val="ACMA Footnote"/>
    <w:uiPriority w:val="99"/>
    <w:rsid w:val="003939ED"/>
    <w:pPr>
      <w:ind w:left="144" w:hanging="144"/>
    </w:pPr>
    <w:rPr>
      <w:sz w:val="16"/>
      <w:lang w:eastAsia="en-US"/>
    </w:rPr>
  </w:style>
  <w:style w:type="paragraph" w:customStyle="1" w:styleId="ACMAHeaderEven">
    <w:name w:val="ACMA Header (Even)"/>
    <w:uiPriority w:val="99"/>
    <w:rsid w:val="00C21B69"/>
    <w:rPr>
      <w:i/>
      <w:lang w:val="en-US" w:eastAsia="en-US"/>
    </w:rPr>
  </w:style>
  <w:style w:type="paragraph" w:customStyle="1" w:styleId="ACMAHeaderOdd">
    <w:name w:val="ACMA Header (Odd)"/>
    <w:uiPriority w:val="99"/>
    <w:rsid w:val="00C21B69"/>
    <w:pPr>
      <w:jc w:val="right"/>
    </w:pPr>
    <w:rPr>
      <w:i/>
      <w:lang w:val="en-US" w:eastAsia="en-US"/>
    </w:rPr>
  </w:style>
  <w:style w:type="paragraph" w:customStyle="1" w:styleId="ACMAHeading2">
    <w:name w:val="ACMA Heading 2"/>
    <w:next w:val="ACMABodyText"/>
    <w:uiPriority w:val="99"/>
    <w:rsid w:val="00C21B69"/>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uiPriority w:val="99"/>
    <w:rsid w:val="00B842CB"/>
    <w:pPr>
      <w:keepNext/>
      <w:tabs>
        <w:tab w:val="left" w:pos="1701"/>
      </w:tabs>
      <w:suppressAutoHyphens/>
      <w:spacing w:before="240"/>
      <w:outlineLvl w:val="3"/>
    </w:pPr>
    <w:rPr>
      <w:rFonts w:ascii="Arial" w:hAnsi="Arial" w:cs="Arial"/>
      <w:b/>
      <w:lang w:val="en-US" w:eastAsia="en-US"/>
    </w:rPr>
  </w:style>
  <w:style w:type="paragraph" w:customStyle="1" w:styleId="ACMAHeading4">
    <w:name w:val="ACMA Heading 4"/>
    <w:next w:val="ACMABodyText"/>
    <w:uiPriority w:val="99"/>
    <w:rsid w:val="00C21B69"/>
    <w:pPr>
      <w:keepNext/>
      <w:suppressAutoHyphens/>
      <w:spacing w:before="80"/>
      <w:outlineLvl w:val="4"/>
    </w:pPr>
    <w:rPr>
      <w:rFonts w:ascii="Arial" w:hAnsi="Arial"/>
      <w:b/>
      <w:i/>
      <w:lang w:eastAsia="en-US"/>
    </w:rPr>
  </w:style>
  <w:style w:type="paragraph" w:customStyle="1" w:styleId="ACMAletteredlist">
    <w:name w:val="ACMA lettered list"/>
    <w:uiPriority w:val="99"/>
    <w:rsid w:val="003939ED"/>
    <w:pPr>
      <w:numPr>
        <w:numId w:val="1"/>
      </w:numPr>
      <w:tabs>
        <w:tab w:val="clear" w:pos="360"/>
      </w:tabs>
      <w:spacing w:before="20" w:after="20"/>
    </w:pPr>
    <w:rPr>
      <w:sz w:val="24"/>
      <w:lang w:eastAsia="en-US"/>
    </w:rPr>
  </w:style>
  <w:style w:type="paragraph" w:customStyle="1" w:styleId="ACMANumberedList">
    <w:name w:val="ACMA Numbered List"/>
    <w:uiPriority w:val="99"/>
    <w:rsid w:val="003939ED"/>
    <w:pPr>
      <w:numPr>
        <w:numId w:val="2"/>
      </w:numPr>
      <w:tabs>
        <w:tab w:val="clear" w:pos="720"/>
      </w:tabs>
      <w:spacing w:before="20" w:after="20"/>
      <w:ind w:left="360"/>
    </w:pPr>
    <w:rPr>
      <w:sz w:val="24"/>
      <w:lang w:eastAsia="en-US"/>
    </w:rPr>
  </w:style>
  <w:style w:type="paragraph" w:customStyle="1" w:styleId="ACMAQuote">
    <w:name w:val="ACMA Quote"/>
    <w:uiPriority w:val="99"/>
    <w:rsid w:val="003939ED"/>
    <w:pPr>
      <w:spacing w:line="240" w:lineRule="atLeast"/>
      <w:ind w:left="562" w:right="562"/>
    </w:pPr>
    <w:rPr>
      <w:sz w:val="22"/>
      <w:lang w:eastAsia="en-US"/>
    </w:rPr>
  </w:style>
  <w:style w:type="paragraph" w:customStyle="1" w:styleId="ACMAReportDate">
    <w:name w:val="ACMA Report Date"/>
    <w:uiPriority w:val="99"/>
    <w:rsid w:val="00C21B69"/>
    <w:rPr>
      <w:lang w:eastAsia="en-US"/>
    </w:rPr>
  </w:style>
  <w:style w:type="paragraph" w:customStyle="1" w:styleId="ACMAReportImprint">
    <w:name w:val="ACMA Report Imprint"/>
    <w:uiPriority w:val="99"/>
    <w:rsid w:val="00C21B69"/>
    <w:pPr>
      <w:spacing w:after="80"/>
    </w:pPr>
    <w:rPr>
      <w:rFonts w:cs="Arial"/>
      <w:lang w:eastAsia="en-US"/>
    </w:rPr>
  </w:style>
  <w:style w:type="paragraph" w:customStyle="1" w:styleId="ACMAReportSubtitle">
    <w:name w:val="ACMA Report Subtitle"/>
    <w:uiPriority w:val="99"/>
    <w:rsid w:val="00C21B69"/>
    <w:pPr>
      <w:spacing w:before="1440"/>
    </w:pPr>
    <w:rPr>
      <w:sz w:val="36"/>
      <w:lang w:eastAsia="en-US"/>
    </w:rPr>
  </w:style>
  <w:style w:type="paragraph" w:customStyle="1" w:styleId="ACMAReportTitle">
    <w:name w:val="ACMA Report Title"/>
    <w:uiPriority w:val="99"/>
    <w:rsid w:val="00C21B69"/>
    <w:pPr>
      <w:spacing w:before="1980"/>
    </w:pPr>
    <w:rPr>
      <w:sz w:val="80"/>
      <w:lang w:eastAsia="en-US"/>
    </w:rPr>
  </w:style>
  <w:style w:type="paragraph" w:customStyle="1" w:styleId="ACMATableBullet">
    <w:name w:val="ACMA Table Bullet"/>
    <w:uiPriority w:val="99"/>
    <w:rsid w:val="00C21B69"/>
    <w:pPr>
      <w:tabs>
        <w:tab w:val="num" w:pos="1008"/>
      </w:tabs>
      <w:spacing w:before="40" w:after="40"/>
      <w:ind w:left="1008" w:hanging="360"/>
    </w:pPr>
    <w:rPr>
      <w:rFonts w:ascii="Arial" w:hAnsi="Arial"/>
      <w:lang w:eastAsia="en-US"/>
    </w:rPr>
  </w:style>
  <w:style w:type="paragraph" w:customStyle="1" w:styleId="ACMATableCaption">
    <w:name w:val="ACMA Table Caption"/>
    <w:uiPriority w:val="99"/>
    <w:rsid w:val="003939ED"/>
    <w:pPr>
      <w:spacing w:after="120"/>
    </w:pPr>
    <w:rPr>
      <w:rFonts w:ascii="Arial" w:hAnsi="Arial"/>
      <w:lang w:eastAsia="en-US"/>
    </w:rPr>
  </w:style>
  <w:style w:type="paragraph" w:customStyle="1" w:styleId="ACMATableHeading">
    <w:name w:val="ACMA Table Heading"/>
    <w:uiPriority w:val="99"/>
    <w:rsid w:val="003939ED"/>
    <w:pPr>
      <w:spacing w:before="40" w:after="40"/>
    </w:pPr>
    <w:rPr>
      <w:rFonts w:ascii="Arial" w:hAnsi="Arial"/>
      <w:b/>
      <w:lang w:eastAsia="en-US"/>
    </w:rPr>
  </w:style>
  <w:style w:type="paragraph" w:customStyle="1" w:styleId="ACMATableNumber">
    <w:name w:val="ACMA Table Number"/>
    <w:uiPriority w:val="99"/>
    <w:rsid w:val="003939ED"/>
    <w:pPr>
      <w:spacing w:before="160"/>
    </w:pPr>
    <w:rPr>
      <w:rFonts w:ascii="Arial" w:hAnsi="Arial"/>
      <w:b/>
      <w:lang w:eastAsia="en-US"/>
    </w:rPr>
  </w:style>
  <w:style w:type="paragraph" w:customStyle="1" w:styleId="ACMATableText">
    <w:name w:val="ACMA Table Text"/>
    <w:uiPriority w:val="99"/>
    <w:rsid w:val="003939ED"/>
    <w:pPr>
      <w:spacing w:before="40" w:after="40"/>
    </w:pPr>
    <w:rPr>
      <w:rFonts w:ascii="Arial" w:hAnsi="Arial"/>
      <w:lang w:eastAsia="en-US"/>
    </w:rPr>
  </w:style>
  <w:style w:type="paragraph" w:customStyle="1" w:styleId="LegislationLvl1">
    <w:name w:val="Legislation Lvl 1"/>
    <w:rsid w:val="003939ED"/>
    <w:pPr>
      <w:tabs>
        <w:tab w:val="num" w:pos="851"/>
      </w:tabs>
      <w:ind w:left="850" w:hanging="493"/>
    </w:pPr>
    <w:rPr>
      <w:bCs/>
      <w:sz w:val="22"/>
      <w:lang w:eastAsia="en-US"/>
    </w:rPr>
  </w:style>
  <w:style w:type="paragraph" w:customStyle="1" w:styleId="LegislationLvl2">
    <w:name w:val="Legislation Lvl 2"/>
    <w:rsid w:val="003939ED"/>
    <w:pPr>
      <w:tabs>
        <w:tab w:val="num" w:pos="1418"/>
      </w:tabs>
      <w:ind w:left="1418" w:hanging="567"/>
    </w:pPr>
    <w:rPr>
      <w:sz w:val="22"/>
      <w:lang w:eastAsia="en-US"/>
    </w:rPr>
  </w:style>
  <w:style w:type="paragraph" w:customStyle="1" w:styleId="LegislationLvl3">
    <w:name w:val="Legislation Lvl 3"/>
    <w:rsid w:val="003939ED"/>
    <w:pPr>
      <w:tabs>
        <w:tab w:val="num" w:pos="1985"/>
      </w:tabs>
      <w:ind w:left="1985" w:hanging="567"/>
    </w:pPr>
    <w:rPr>
      <w:sz w:val="22"/>
      <w:lang w:eastAsia="en-US"/>
    </w:rPr>
  </w:style>
  <w:style w:type="paragraph" w:customStyle="1" w:styleId="LegislationLvl4">
    <w:name w:val="Legislation Lvl 4"/>
    <w:rsid w:val="003939ED"/>
    <w:pPr>
      <w:tabs>
        <w:tab w:val="num" w:pos="2694"/>
      </w:tabs>
      <w:ind w:left="2694" w:hanging="426"/>
    </w:pPr>
    <w:rPr>
      <w:sz w:val="22"/>
      <w:lang w:eastAsia="en-US"/>
    </w:rPr>
  </w:style>
  <w:style w:type="paragraph" w:styleId="FootnoteText">
    <w:name w:val="footnote text"/>
    <w:aliases w:val="ACMA Footnote Text"/>
    <w:basedOn w:val="Normal"/>
    <w:link w:val="FootnoteTextChar"/>
    <w:uiPriority w:val="99"/>
    <w:rsid w:val="003939ED"/>
    <w:pPr>
      <w:tabs>
        <w:tab w:val="left" w:pos="284"/>
      </w:tabs>
      <w:ind w:left="288" w:hanging="288"/>
    </w:pPr>
    <w:rPr>
      <w:sz w:val="20"/>
      <w:szCs w:val="20"/>
      <w:lang w:eastAsia="en-US"/>
    </w:rPr>
  </w:style>
  <w:style w:type="character" w:customStyle="1" w:styleId="FootnoteTextChar">
    <w:name w:val="Footnote Text Char"/>
    <w:aliases w:val="ACMA Footnote Text Char"/>
    <w:basedOn w:val="DefaultParagraphFont"/>
    <w:link w:val="FootnoteText"/>
    <w:uiPriority w:val="99"/>
    <w:locked/>
    <w:rsid w:val="008400B8"/>
    <w:rPr>
      <w:rFonts w:cs="Times New Roman"/>
      <w:lang w:val="en-AU" w:eastAsia="en-US" w:bidi="ar-SA"/>
    </w:rPr>
  </w:style>
  <w:style w:type="paragraph" w:customStyle="1" w:styleId="Pre-NumberedLegisLvl1">
    <w:name w:val="Pre-Numbered Legis Lvl 1"/>
    <w:uiPriority w:val="99"/>
    <w:rsid w:val="003939ED"/>
    <w:pPr>
      <w:ind w:left="850" w:hanging="493"/>
    </w:pPr>
    <w:rPr>
      <w:sz w:val="22"/>
      <w:lang w:eastAsia="en-US"/>
    </w:rPr>
  </w:style>
  <w:style w:type="paragraph" w:customStyle="1" w:styleId="Pre-NumberedLegisLvl2">
    <w:name w:val="Pre-Numbered Legis Lvl 2"/>
    <w:uiPriority w:val="99"/>
    <w:rsid w:val="003939ED"/>
    <w:pPr>
      <w:ind w:left="1367" w:hanging="516"/>
    </w:pPr>
    <w:rPr>
      <w:sz w:val="22"/>
      <w:lang w:eastAsia="en-US"/>
    </w:rPr>
  </w:style>
  <w:style w:type="paragraph" w:customStyle="1" w:styleId="Pre-NumberedLegisLvl3">
    <w:name w:val="Pre-Numbered Legis Lvl 3"/>
    <w:uiPriority w:val="99"/>
    <w:rsid w:val="003939ED"/>
    <w:pPr>
      <w:ind w:left="1985" w:hanging="567"/>
    </w:pPr>
    <w:rPr>
      <w:sz w:val="22"/>
      <w:lang w:eastAsia="en-US"/>
    </w:rPr>
  </w:style>
  <w:style w:type="paragraph" w:customStyle="1" w:styleId="Pre-NumberedLegisLvl4">
    <w:name w:val="Pre-Numbered Legis Lvl 4"/>
    <w:uiPriority w:val="99"/>
    <w:rsid w:val="003939ED"/>
    <w:pPr>
      <w:ind w:left="2721" w:hanging="680"/>
    </w:pPr>
    <w:rPr>
      <w:sz w:val="22"/>
      <w:lang w:eastAsia="en-US"/>
    </w:rPr>
  </w:style>
  <w:style w:type="paragraph" w:styleId="TOC1">
    <w:name w:val="toc 1"/>
    <w:aliases w:val="ACMA 1"/>
    <w:basedOn w:val="Normal"/>
    <w:uiPriority w:val="99"/>
    <w:rsid w:val="00C21B69"/>
    <w:pPr>
      <w:spacing w:before="360"/>
    </w:pPr>
    <w:rPr>
      <w:rFonts w:ascii="Arial" w:hAnsi="Arial"/>
      <w:b/>
      <w:bCs/>
      <w:caps/>
      <w:sz w:val="20"/>
      <w:szCs w:val="28"/>
      <w:lang w:eastAsia="en-US"/>
    </w:rPr>
  </w:style>
  <w:style w:type="paragraph" w:styleId="TOC2">
    <w:name w:val="toc 2"/>
    <w:aliases w:val="ACMA 2"/>
    <w:basedOn w:val="Normal"/>
    <w:uiPriority w:val="99"/>
    <w:rsid w:val="00C21B69"/>
    <w:pPr>
      <w:spacing w:before="240"/>
    </w:pPr>
    <w:rPr>
      <w:bCs/>
      <w:sz w:val="22"/>
      <w:lang w:eastAsia="en-US"/>
    </w:rPr>
  </w:style>
  <w:style w:type="paragraph" w:styleId="TOC3">
    <w:name w:val="toc 3"/>
    <w:aliases w:val="ACMA 3"/>
    <w:basedOn w:val="Normal"/>
    <w:uiPriority w:val="99"/>
    <w:rsid w:val="00C21B69"/>
    <w:pPr>
      <w:ind w:left="198"/>
    </w:pPr>
    <w:rPr>
      <w:sz w:val="22"/>
      <w:lang w:eastAsia="en-US"/>
    </w:rPr>
  </w:style>
  <w:style w:type="character" w:styleId="Hyperlink">
    <w:name w:val="Hyperlink"/>
    <w:basedOn w:val="DefaultParagraphFont"/>
    <w:uiPriority w:val="99"/>
    <w:rsid w:val="003939ED"/>
    <w:rPr>
      <w:rFonts w:cs="Times New Roman"/>
      <w:color w:val="0000FF"/>
      <w:u w:val="single"/>
    </w:rPr>
  </w:style>
  <w:style w:type="table" w:styleId="TableGrid">
    <w:name w:val="Table Grid"/>
    <w:basedOn w:val="TableNormal"/>
    <w:uiPriority w:val="99"/>
    <w:rsid w:val="00C21B69"/>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uiPriority w:val="99"/>
    <w:rsid w:val="00C21B69"/>
    <w:pPr>
      <w:spacing w:before="480" w:after="420"/>
    </w:pPr>
  </w:style>
  <w:style w:type="paragraph" w:styleId="Footer">
    <w:name w:val="footer"/>
    <w:basedOn w:val="Normal"/>
    <w:link w:val="FooterChar"/>
    <w:uiPriority w:val="99"/>
    <w:rsid w:val="00C21B69"/>
    <w:pPr>
      <w:tabs>
        <w:tab w:val="center" w:pos="4320"/>
        <w:tab w:val="right" w:pos="8640"/>
      </w:tabs>
    </w:pPr>
  </w:style>
  <w:style w:type="character" w:customStyle="1" w:styleId="FooterChar">
    <w:name w:val="Footer Char"/>
    <w:basedOn w:val="DefaultParagraphFont"/>
    <w:link w:val="Footer"/>
    <w:uiPriority w:val="99"/>
    <w:locked/>
    <w:rsid w:val="00A64018"/>
    <w:rPr>
      <w:rFonts w:cs="Times New Roman"/>
      <w:sz w:val="24"/>
      <w:szCs w:val="24"/>
    </w:rPr>
  </w:style>
  <w:style w:type="character" w:styleId="PageNumber">
    <w:name w:val="page number"/>
    <w:basedOn w:val="DefaultParagraphFont"/>
    <w:uiPriority w:val="99"/>
    <w:rsid w:val="00C21B69"/>
    <w:rPr>
      <w:rFonts w:ascii="Times New Roman" w:hAnsi="Times New Roman" w:cs="Times New Roman"/>
      <w:sz w:val="20"/>
      <w:szCs w:val="20"/>
    </w:rPr>
  </w:style>
  <w:style w:type="character" w:styleId="FootnoteReference">
    <w:name w:val="footnote reference"/>
    <w:basedOn w:val="DefaultParagraphFont"/>
    <w:uiPriority w:val="99"/>
    <w:semiHidden/>
    <w:rsid w:val="00C21B69"/>
    <w:rPr>
      <w:rFonts w:cs="Times New Roman"/>
      <w:vertAlign w:val="superscript"/>
    </w:rPr>
  </w:style>
  <w:style w:type="character" w:styleId="CommentReference">
    <w:name w:val="annotation reference"/>
    <w:basedOn w:val="DefaultParagraphFont"/>
    <w:uiPriority w:val="99"/>
    <w:rsid w:val="009D73B3"/>
    <w:rPr>
      <w:rFonts w:cs="Times New Roman"/>
      <w:sz w:val="16"/>
      <w:szCs w:val="16"/>
    </w:rPr>
  </w:style>
  <w:style w:type="paragraph" w:styleId="CommentText">
    <w:name w:val="annotation text"/>
    <w:basedOn w:val="Normal"/>
    <w:link w:val="CommentTextChar"/>
    <w:uiPriority w:val="99"/>
    <w:rsid w:val="009D73B3"/>
    <w:rPr>
      <w:sz w:val="20"/>
      <w:szCs w:val="20"/>
    </w:rPr>
  </w:style>
  <w:style w:type="character" w:customStyle="1" w:styleId="CommentTextChar">
    <w:name w:val="Comment Text Char"/>
    <w:basedOn w:val="DefaultParagraphFont"/>
    <w:link w:val="CommentText"/>
    <w:uiPriority w:val="99"/>
    <w:locked/>
    <w:rsid w:val="002B6050"/>
    <w:rPr>
      <w:rFonts w:cs="Times New Roman"/>
    </w:rPr>
  </w:style>
  <w:style w:type="paragraph" w:styleId="CommentSubject">
    <w:name w:val="annotation subject"/>
    <w:basedOn w:val="CommentText"/>
    <w:next w:val="CommentText"/>
    <w:link w:val="CommentSubjectChar"/>
    <w:uiPriority w:val="99"/>
    <w:semiHidden/>
    <w:rsid w:val="009D73B3"/>
    <w:rPr>
      <w:b/>
      <w:bCs/>
    </w:rPr>
  </w:style>
  <w:style w:type="character" w:customStyle="1" w:styleId="CommentSubjectChar">
    <w:name w:val="Comment Subject Char"/>
    <w:basedOn w:val="CommentTextChar"/>
    <w:link w:val="CommentSubject"/>
    <w:uiPriority w:val="99"/>
    <w:semiHidden/>
    <w:locked/>
    <w:rsid w:val="00517241"/>
    <w:rPr>
      <w:rFonts w:cs="Times New Roman"/>
      <w:b/>
      <w:bCs/>
      <w:sz w:val="20"/>
      <w:szCs w:val="20"/>
    </w:rPr>
  </w:style>
  <w:style w:type="paragraph" w:styleId="BalloonText">
    <w:name w:val="Balloon Text"/>
    <w:basedOn w:val="Normal"/>
    <w:link w:val="BalloonTextChar"/>
    <w:uiPriority w:val="99"/>
    <w:semiHidden/>
    <w:rsid w:val="009D73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241"/>
    <w:rPr>
      <w:rFonts w:cs="Times New Roman"/>
      <w:sz w:val="2"/>
    </w:rPr>
  </w:style>
  <w:style w:type="paragraph" w:customStyle="1" w:styleId="WfxFaxNum">
    <w:name w:val="WfxFaxNum"/>
    <w:basedOn w:val="Normal"/>
    <w:uiPriority w:val="99"/>
    <w:rsid w:val="00042BE1"/>
    <w:rPr>
      <w:rFonts w:ascii="Arial" w:hAnsi="Arial"/>
      <w:szCs w:val="20"/>
      <w:lang w:eastAsia="en-US"/>
    </w:rPr>
  </w:style>
  <w:style w:type="paragraph" w:customStyle="1" w:styleId="RGPara">
    <w:name w:val="RGPara"/>
    <w:aliases w:val="Readers Guide Para"/>
    <w:basedOn w:val="Normal"/>
    <w:rsid w:val="00042BE1"/>
    <w:pPr>
      <w:spacing w:before="120" w:line="260" w:lineRule="exact"/>
      <w:jc w:val="both"/>
    </w:pPr>
    <w:rPr>
      <w:rFonts w:ascii="Times" w:hAnsi="Times"/>
      <w:szCs w:val="20"/>
      <w:lang w:eastAsia="en-US"/>
    </w:rPr>
  </w:style>
  <w:style w:type="paragraph" w:styleId="NormalWeb">
    <w:name w:val="Normal (Web)"/>
    <w:basedOn w:val="Normal"/>
    <w:uiPriority w:val="99"/>
    <w:rsid w:val="007F2F85"/>
    <w:pPr>
      <w:spacing w:before="100" w:beforeAutospacing="1" w:after="100" w:afterAutospacing="1"/>
    </w:pPr>
    <w:rPr>
      <w:rFonts w:ascii="Arial" w:hAnsi="Arial" w:cs="Arial"/>
      <w:color w:val="000000"/>
      <w:sz w:val="20"/>
      <w:szCs w:val="20"/>
    </w:rPr>
  </w:style>
  <w:style w:type="paragraph" w:customStyle="1" w:styleId="P1">
    <w:name w:val="P1"/>
    <w:aliases w:val="(a)"/>
    <w:basedOn w:val="Normal"/>
    <w:rsid w:val="00D63165"/>
    <w:pPr>
      <w:tabs>
        <w:tab w:val="right" w:pos="1191"/>
        <w:tab w:val="left" w:pos="1644"/>
      </w:tabs>
      <w:spacing w:before="60" w:line="260" w:lineRule="exact"/>
      <w:ind w:left="1418" w:hanging="1418"/>
      <w:jc w:val="both"/>
    </w:pPr>
    <w:rPr>
      <w:rFonts w:ascii="Times" w:hAnsi="Times"/>
      <w:szCs w:val="20"/>
      <w:lang w:eastAsia="en-US"/>
    </w:rPr>
  </w:style>
  <w:style w:type="paragraph" w:customStyle="1" w:styleId="R2">
    <w:name w:val="R2"/>
    <w:aliases w:val="(2)"/>
    <w:basedOn w:val="Normal"/>
    <w:rsid w:val="00165DC5"/>
    <w:pPr>
      <w:tabs>
        <w:tab w:val="right" w:pos="794"/>
        <w:tab w:val="left" w:pos="964"/>
      </w:tabs>
      <w:spacing w:before="180" w:line="260" w:lineRule="exact"/>
      <w:ind w:left="964" w:hanging="964"/>
      <w:jc w:val="both"/>
    </w:pPr>
    <w:rPr>
      <w:rFonts w:ascii="Times" w:hAnsi="Times"/>
      <w:szCs w:val="20"/>
      <w:lang w:eastAsia="en-US"/>
    </w:rPr>
  </w:style>
  <w:style w:type="paragraph" w:customStyle="1" w:styleId="P2">
    <w:name w:val="P2"/>
    <w:aliases w:val="(i)"/>
    <w:basedOn w:val="P1"/>
    <w:rsid w:val="00901D1A"/>
    <w:pPr>
      <w:tabs>
        <w:tab w:val="clear" w:pos="1191"/>
        <w:tab w:val="clear" w:pos="1644"/>
        <w:tab w:val="right" w:pos="1758"/>
        <w:tab w:val="left" w:pos="2155"/>
      </w:tabs>
      <w:ind w:left="1985" w:hanging="1985"/>
    </w:pPr>
  </w:style>
  <w:style w:type="character" w:customStyle="1" w:styleId="CharSectno">
    <w:name w:val="CharSectno"/>
    <w:basedOn w:val="DefaultParagraphFont"/>
    <w:rsid w:val="0018189F"/>
    <w:rPr>
      <w:rFonts w:cs="Times New Roman"/>
    </w:rPr>
  </w:style>
  <w:style w:type="paragraph" w:customStyle="1" w:styleId="Hangingindent">
    <w:name w:val="Hanging indent"/>
    <w:uiPriority w:val="99"/>
    <w:rsid w:val="007F1FF0"/>
    <w:pPr>
      <w:tabs>
        <w:tab w:val="left" w:pos="584"/>
      </w:tabs>
      <w:spacing w:after="170"/>
      <w:ind w:left="567" w:hanging="567"/>
    </w:pPr>
    <w:rPr>
      <w:sz w:val="24"/>
      <w:lang w:val="en-US" w:eastAsia="en-US"/>
    </w:rPr>
  </w:style>
  <w:style w:type="paragraph" w:customStyle="1" w:styleId="BodyText1">
    <w:name w:val="Body Text1"/>
    <w:uiPriority w:val="99"/>
    <w:rsid w:val="007F1FF0"/>
    <w:pPr>
      <w:spacing w:after="170"/>
    </w:pPr>
    <w:rPr>
      <w:color w:val="000000"/>
      <w:sz w:val="24"/>
      <w:lang w:val="en-US" w:eastAsia="en-US"/>
    </w:rPr>
  </w:style>
  <w:style w:type="paragraph" w:styleId="ListBullet2">
    <w:name w:val="List Bullet 2"/>
    <w:basedOn w:val="Normal"/>
    <w:autoRedefine/>
    <w:uiPriority w:val="99"/>
    <w:rsid w:val="007F1FF0"/>
    <w:pPr>
      <w:tabs>
        <w:tab w:val="num" w:pos="643"/>
        <w:tab w:val="num" w:pos="1080"/>
      </w:tabs>
      <w:ind w:left="643" w:hanging="360"/>
    </w:pPr>
    <w:rPr>
      <w:sz w:val="20"/>
      <w:szCs w:val="20"/>
      <w:lang w:val="en-US" w:eastAsia="en-US"/>
    </w:rPr>
  </w:style>
  <w:style w:type="paragraph" w:customStyle="1" w:styleId="Headline">
    <w:name w:val="Headline"/>
    <w:uiPriority w:val="99"/>
    <w:rsid w:val="003C7BD6"/>
    <w:pPr>
      <w:spacing w:after="283"/>
    </w:pPr>
    <w:rPr>
      <w:rFonts w:ascii="Arial" w:hAnsi="Arial"/>
      <w:b/>
      <w:sz w:val="60"/>
      <w:lang w:val="en-US" w:eastAsia="en-US"/>
    </w:rPr>
  </w:style>
  <w:style w:type="paragraph" w:styleId="Header">
    <w:name w:val="header"/>
    <w:basedOn w:val="Normal"/>
    <w:link w:val="HeaderChar"/>
    <w:uiPriority w:val="99"/>
    <w:rsid w:val="00532136"/>
    <w:pPr>
      <w:tabs>
        <w:tab w:val="center" w:pos="4153"/>
        <w:tab w:val="right" w:pos="8306"/>
      </w:tabs>
    </w:pPr>
    <w:rPr>
      <w:szCs w:val="20"/>
      <w:lang w:val="en-GB"/>
    </w:rPr>
  </w:style>
  <w:style w:type="character" w:customStyle="1" w:styleId="HeaderChar">
    <w:name w:val="Header Char"/>
    <w:basedOn w:val="DefaultParagraphFont"/>
    <w:link w:val="Header"/>
    <w:uiPriority w:val="99"/>
    <w:locked/>
    <w:rsid w:val="00B97570"/>
    <w:rPr>
      <w:rFonts w:cs="Times New Roman"/>
      <w:sz w:val="24"/>
      <w:lang w:val="en-GB"/>
    </w:rPr>
  </w:style>
  <w:style w:type="paragraph" w:customStyle="1" w:styleId="Divisionheadinglevel">
    <w:name w:val="Division heading level"/>
    <w:basedOn w:val="ACMAHeading3"/>
    <w:uiPriority w:val="99"/>
    <w:rsid w:val="00E672D3"/>
    <w:rPr>
      <w:bCs/>
      <w:sz w:val="22"/>
    </w:rPr>
  </w:style>
  <w:style w:type="paragraph" w:customStyle="1" w:styleId="Partheadinglevel">
    <w:name w:val="Part heading level"/>
    <w:basedOn w:val="ACMAHeading2"/>
    <w:uiPriority w:val="99"/>
    <w:rsid w:val="00E672D3"/>
    <w:rPr>
      <w:bCs/>
      <w:sz w:val="22"/>
    </w:rPr>
  </w:style>
  <w:style w:type="character" w:customStyle="1" w:styleId="CABBackGroundChar1">
    <w:name w:val="CABBackGround Char1"/>
    <w:basedOn w:val="DefaultParagraphFont"/>
    <w:link w:val="CABBackGround"/>
    <w:uiPriority w:val="99"/>
    <w:locked/>
    <w:rsid w:val="008902FC"/>
    <w:rPr>
      <w:rFonts w:cs="Times New Roman"/>
      <w:sz w:val="24"/>
    </w:rPr>
  </w:style>
  <w:style w:type="paragraph" w:customStyle="1" w:styleId="CABBackGround">
    <w:name w:val="CABBackGround"/>
    <w:basedOn w:val="Normal"/>
    <w:link w:val="CABBackGroundChar1"/>
    <w:uiPriority w:val="99"/>
    <w:rsid w:val="008902FC"/>
    <w:pPr>
      <w:spacing w:line="360" w:lineRule="auto"/>
    </w:pPr>
    <w:rPr>
      <w:szCs w:val="20"/>
    </w:rPr>
  </w:style>
  <w:style w:type="paragraph" w:styleId="Revision">
    <w:name w:val="Revision"/>
    <w:hidden/>
    <w:uiPriority w:val="99"/>
    <w:semiHidden/>
    <w:rsid w:val="00F373D3"/>
    <w:rPr>
      <w:sz w:val="24"/>
      <w:szCs w:val="24"/>
    </w:rPr>
  </w:style>
  <w:style w:type="character" w:styleId="FollowedHyperlink">
    <w:name w:val="FollowedHyperlink"/>
    <w:basedOn w:val="DefaultParagraphFont"/>
    <w:uiPriority w:val="99"/>
    <w:rsid w:val="00F031A8"/>
    <w:rPr>
      <w:rFonts w:cs="Times New Roman"/>
      <w:color w:val="800080"/>
      <w:u w:val="single"/>
    </w:rPr>
  </w:style>
  <w:style w:type="character" w:styleId="Strong">
    <w:name w:val="Strong"/>
    <w:basedOn w:val="DefaultParagraphFont"/>
    <w:uiPriority w:val="99"/>
    <w:qFormat/>
    <w:rsid w:val="003F057D"/>
    <w:rPr>
      <w:rFonts w:cs="Times New Roman"/>
      <w:b/>
      <w:bCs/>
    </w:rPr>
  </w:style>
  <w:style w:type="paragraph" w:customStyle="1" w:styleId="definition">
    <w:name w:val="definition"/>
    <w:basedOn w:val="Normal"/>
    <w:rsid w:val="00260432"/>
    <w:pPr>
      <w:spacing w:before="80" w:line="260" w:lineRule="exact"/>
      <w:ind w:left="964"/>
      <w:jc w:val="both"/>
    </w:pPr>
  </w:style>
  <w:style w:type="paragraph" w:styleId="ListParagraph">
    <w:name w:val="List Paragraph"/>
    <w:basedOn w:val="Normal"/>
    <w:uiPriority w:val="34"/>
    <w:qFormat/>
    <w:rsid w:val="007C654B"/>
    <w:pPr>
      <w:spacing w:after="200" w:line="276" w:lineRule="auto"/>
      <w:ind w:left="720"/>
      <w:contextualSpacing/>
    </w:pPr>
    <w:rPr>
      <w:rFonts w:ascii="Calibri" w:hAnsi="Calibri"/>
      <w:sz w:val="22"/>
      <w:szCs w:val="22"/>
      <w:lang w:eastAsia="en-US"/>
    </w:rPr>
  </w:style>
  <w:style w:type="paragraph" w:styleId="ListBullet">
    <w:name w:val="List Bullet"/>
    <w:basedOn w:val="Normal"/>
    <w:uiPriority w:val="99"/>
    <w:semiHidden/>
    <w:rsid w:val="00742EEF"/>
    <w:pPr>
      <w:tabs>
        <w:tab w:val="num" w:pos="360"/>
      </w:tabs>
      <w:ind w:left="360" w:hanging="360"/>
      <w:contextualSpacing/>
    </w:pPr>
  </w:style>
  <w:style w:type="paragraph" w:customStyle="1" w:styleId="R1">
    <w:name w:val="R1"/>
    <w:aliases w:val="1. or 1.(1)"/>
    <w:basedOn w:val="Normal"/>
    <w:next w:val="Normal"/>
    <w:rsid w:val="00636AC3"/>
    <w:pPr>
      <w:keepLines/>
      <w:tabs>
        <w:tab w:val="right" w:pos="794"/>
      </w:tabs>
      <w:spacing w:before="120" w:line="260" w:lineRule="exact"/>
      <w:ind w:left="964" w:hanging="964"/>
      <w:jc w:val="both"/>
    </w:pPr>
  </w:style>
  <w:style w:type="paragraph" w:customStyle="1" w:styleId="Numberedlist">
    <w:name w:val="Numbered list"/>
    <w:basedOn w:val="Normal"/>
    <w:uiPriority w:val="99"/>
    <w:rsid w:val="00AB2840"/>
    <w:pPr>
      <w:numPr>
        <w:numId w:val="17"/>
      </w:numPr>
    </w:pPr>
  </w:style>
  <w:style w:type="paragraph" w:styleId="Title">
    <w:name w:val="Title"/>
    <w:basedOn w:val="Normal"/>
    <w:next w:val="Normal"/>
    <w:link w:val="TitleChar"/>
    <w:qFormat/>
    <w:locked/>
    <w:rsid w:val="00F1310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F13105"/>
    <w:rPr>
      <w:rFonts w:ascii="Cambria" w:hAnsi="Cambria" w:cs="Times New Roman"/>
      <w:b/>
      <w:bCs/>
      <w:kern w:val="28"/>
      <w:sz w:val="32"/>
      <w:szCs w:val="32"/>
    </w:rPr>
  </w:style>
  <w:style w:type="paragraph" w:styleId="Subtitle">
    <w:name w:val="Subtitle"/>
    <w:basedOn w:val="Normal"/>
    <w:next w:val="Normal"/>
    <w:link w:val="SubtitleChar"/>
    <w:uiPriority w:val="99"/>
    <w:qFormat/>
    <w:locked/>
    <w:rsid w:val="00F13105"/>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F13105"/>
    <w:rPr>
      <w:rFonts w:ascii="Cambria" w:hAnsi="Cambria" w:cs="Times New Roman"/>
      <w:sz w:val="24"/>
      <w:szCs w:val="24"/>
    </w:rPr>
  </w:style>
  <w:style w:type="character" w:styleId="Emphasis">
    <w:name w:val="Emphasis"/>
    <w:basedOn w:val="DefaultParagraphFont"/>
    <w:uiPriority w:val="99"/>
    <w:qFormat/>
    <w:locked/>
    <w:rsid w:val="00F13105"/>
    <w:rPr>
      <w:rFonts w:cs="Times New Roman"/>
      <w:i/>
      <w:iCs/>
    </w:rPr>
  </w:style>
  <w:style w:type="character" w:customStyle="1" w:styleId="legtitle1">
    <w:name w:val="legtitle1"/>
    <w:basedOn w:val="DefaultParagraphFont"/>
    <w:uiPriority w:val="99"/>
    <w:rsid w:val="00B36141"/>
    <w:rPr>
      <w:rFonts w:ascii="Arial" w:hAnsi="Arial" w:cs="Arial"/>
      <w:b/>
      <w:bCs/>
      <w:color w:val="10418E"/>
      <w:sz w:val="40"/>
      <w:szCs w:val="40"/>
    </w:rPr>
  </w:style>
  <w:style w:type="paragraph" w:styleId="BodyText3">
    <w:name w:val="Body Text 3"/>
    <w:basedOn w:val="Normal"/>
    <w:link w:val="BodyText3Char"/>
    <w:rsid w:val="00235BBB"/>
    <w:pPr>
      <w:spacing w:after="120"/>
    </w:pPr>
    <w:rPr>
      <w:sz w:val="16"/>
      <w:szCs w:val="16"/>
    </w:rPr>
  </w:style>
  <w:style w:type="character" w:customStyle="1" w:styleId="BodyText3Char">
    <w:name w:val="Body Text 3 Char"/>
    <w:basedOn w:val="DefaultParagraphFont"/>
    <w:link w:val="BodyText3"/>
    <w:rsid w:val="00235BBB"/>
    <w:rPr>
      <w:sz w:val="16"/>
      <w:szCs w:val="16"/>
    </w:rPr>
  </w:style>
  <w:style w:type="paragraph" w:customStyle="1" w:styleId="RGHead">
    <w:name w:val="RGHead"/>
    <w:basedOn w:val="Normal"/>
    <w:next w:val="Normal"/>
    <w:rsid w:val="00235BBB"/>
    <w:pPr>
      <w:keepNext/>
      <w:spacing w:before="360"/>
    </w:pPr>
    <w:rPr>
      <w:rFonts w:ascii="Arial" w:hAnsi="Arial"/>
      <w:b/>
      <w:sz w:val="32"/>
    </w:rPr>
  </w:style>
  <w:style w:type="paragraph" w:customStyle="1" w:styleId="HR">
    <w:name w:val="HR"/>
    <w:aliases w:val="Regulation Heading"/>
    <w:basedOn w:val="Normal"/>
    <w:next w:val="R1"/>
    <w:rsid w:val="006520A8"/>
    <w:pPr>
      <w:keepNext/>
      <w:spacing w:before="360"/>
      <w:ind w:left="964" w:hanging="964"/>
    </w:pPr>
    <w:rPr>
      <w:rFonts w:ascii="Arial" w:hAnsi="Arial"/>
      <w:b/>
    </w:rPr>
  </w:style>
  <w:style w:type="paragraph" w:customStyle="1" w:styleId="ZR1">
    <w:name w:val="ZR1"/>
    <w:basedOn w:val="R1"/>
    <w:rsid w:val="00C111AB"/>
    <w:pPr>
      <w:keepNext/>
    </w:pPr>
  </w:style>
  <w:style w:type="paragraph" w:customStyle="1" w:styleId="Boxpara">
    <w:name w:val="Box para"/>
    <w:basedOn w:val="Normal"/>
    <w:rsid w:val="00B60A96"/>
    <w:pPr>
      <w:spacing w:before="180"/>
      <w:ind w:left="176" w:right="176"/>
    </w:pPr>
    <w:rPr>
      <w:rFonts w:ascii="Arial" w:hAnsi="Arial"/>
      <w:sz w:val="20"/>
      <w:szCs w:val="20"/>
    </w:rPr>
  </w:style>
  <w:style w:type="character" w:customStyle="1" w:styleId="CharDivNo">
    <w:name w:val="CharDivNo"/>
    <w:basedOn w:val="DefaultParagraphFont"/>
    <w:rsid w:val="00236FA7"/>
  </w:style>
  <w:style w:type="character" w:customStyle="1" w:styleId="CharDivText">
    <w:name w:val="CharDivText"/>
    <w:basedOn w:val="DefaultParagraphFont"/>
    <w:rsid w:val="00236FA7"/>
  </w:style>
  <w:style w:type="paragraph" w:customStyle="1" w:styleId="ExampleBody">
    <w:name w:val="Example Body"/>
    <w:basedOn w:val="Normal"/>
    <w:rsid w:val="00236FA7"/>
    <w:pPr>
      <w:spacing w:before="60" w:line="220" w:lineRule="exact"/>
      <w:ind w:left="964"/>
      <w:jc w:val="both"/>
    </w:pPr>
    <w:rPr>
      <w:sz w:val="20"/>
    </w:rPr>
  </w:style>
  <w:style w:type="paragraph" w:customStyle="1" w:styleId="Formula">
    <w:name w:val="Formula"/>
    <w:basedOn w:val="Normal"/>
    <w:next w:val="Normal"/>
    <w:rsid w:val="00236FA7"/>
    <w:pPr>
      <w:spacing w:before="180" w:after="180"/>
      <w:jc w:val="center"/>
    </w:pPr>
  </w:style>
  <w:style w:type="paragraph" w:customStyle="1" w:styleId="HD">
    <w:name w:val="HD"/>
    <w:aliases w:val="Division Heading"/>
    <w:basedOn w:val="Normal"/>
    <w:next w:val="HR"/>
    <w:rsid w:val="00236FA7"/>
    <w:pPr>
      <w:keepNext/>
      <w:spacing w:before="360"/>
      <w:ind w:left="2410" w:hanging="2410"/>
    </w:pPr>
    <w:rPr>
      <w:rFonts w:ascii="Arial" w:hAnsi="Arial"/>
      <w:b/>
      <w:sz w:val="28"/>
    </w:rPr>
  </w:style>
  <w:style w:type="paragraph" w:customStyle="1" w:styleId="Note">
    <w:name w:val="Note"/>
    <w:basedOn w:val="Normal"/>
    <w:rsid w:val="00236FA7"/>
    <w:pPr>
      <w:spacing w:before="120" w:line="220" w:lineRule="exact"/>
      <w:ind w:left="964"/>
      <w:jc w:val="both"/>
    </w:pPr>
    <w:rPr>
      <w:sz w:val="20"/>
    </w:rPr>
  </w:style>
  <w:style w:type="paragraph" w:customStyle="1" w:styleId="Rc">
    <w:name w:val="Rc"/>
    <w:aliases w:val="Rn continued"/>
    <w:basedOn w:val="Normal"/>
    <w:next w:val="R2"/>
    <w:rsid w:val="00236FA7"/>
    <w:pPr>
      <w:spacing w:before="60" w:line="260" w:lineRule="exact"/>
      <w:ind w:left="964"/>
      <w:jc w:val="both"/>
    </w:pPr>
  </w:style>
  <w:style w:type="paragraph" w:customStyle="1" w:styleId="ZP1">
    <w:name w:val="ZP1"/>
    <w:basedOn w:val="P1"/>
    <w:rsid w:val="00236FA7"/>
    <w:pPr>
      <w:keepNext/>
      <w:tabs>
        <w:tab w:val="clear" w:pos="1644"/>
      </w:tabs>
    </w:pPr>
    <w:rPr>
      <w:rFonts w:ascii="Times New Roman" w:hAnsi="Times New Roman"/>
      <w:szCs w:val="24"/>
      <w:lang w:eastAsia="en-AU"/>
    </w:rPr>
  </w:style>
  <w:style w:type="paragraph" w:customStyle="1" w:styleId="ZR2">
    <w:name w:val="ZR2"/>
    <w:basedOn w:val="R2"/>
    <w:rsid w:val="00236FA7"/>
    <w:pPr>
      <w:keepNext/>
      <w:keepLines/>
      <w:tabs>
        <w:tab w:val="clear" w:pos="964"/>
      </w:tabs>
    </w:pPr>
    <w:rPr>
      <w:rFonts w:ascii="Times New Roman" w:hAnsi="Times New Roman"/>
      <w:szCs w:val="24"/>
      <w:lang w:eastAsia="en-AU"/>
    </w:rPr>
  </w:style>
  <w:style w:type="paragraph" w:customStyle="1" w:styleId="ZRcN">
    <w:name w:val="ZRcN"/>
    <w:basedOn w:val="Rc"/>
    <w:rsid w:val="00236FA7"/>
    <w:pPr>
      <w:keepNext/>
    </w:pPr>
  </w:style>
  <w:style w:type="paragraph" w:customStyle="1" w:styleId="HeaderBoldOdd">
    <w:name w:val="HeaderBoldOdd"/>
    <w:basedOn w:val="Normal"/>
    <w:rsid w:val="006A110D"/>
    <w:pPr>
      <w:spacing w:before="120" w:after="60"/>
      <w:jc w:val="right"/>
    </w:pPr>
    <w:rPr>
      <w:rFonts w:ascii="Arial" w:hAnsi="Arial"/>
      <w:b/>
      <w:sz w:val="20"/>
    </w:rPr>
  </w:style>
  <w:style w:type="paragraph" w:styleId="ListNumber5">
    <w:name w:val="List Number 5"/>
    <w:basedOn w:val="Normal"/>
    <w:rsid w:val="009E0BD8"/>
    <w:pPr>
      <w:tabs>
        <w:tab w:val="num" w:pos="1492"/>
      </w:tabs>
      <w:ind w:left="1492" w:hanging="360"/>
    </w:pPr>
  </w:style>
  <w:style w:type="paragraph" w:customStyle="1" w:styleId="Scheduletitle">
    <w:name w:val="Schedule title"/>
    <w:basedOn w:val="Normal"/>
    <w:next w:val="Normal"/>
    <w:rsid w:val="009E0BD8"/>
    <w:pPr>
      <w:keepNext/>
      <w:keepLines/>
      <w:spacing w:before="480"/>
      <w:ind w:left="2410" w:hanging="2410"/>
    </w:pPr>
    <w:rPr>
      <w:rFonts w:ascii="Arial" w:hAnsi="Arial"/>
      <w:b/>
      <w:sz w:val="32"/>
    </w:rPr>
  </w:style>
  <w:style w:type="paragraph" w:customStyle="1" w:styleId="Schedulereference">
    <w:name w:val="Schedule reference"/>
    <w:basedOn w:val="Normal"/>
    <w:next w:val="Normal"/>
    <w:rsid w:val="009E0BD8"/>
    <w:pPr>
      <w:keepNext/>
      <w:keepLines/>
      <w:spacing w:before="60" w:line="200" w:lineRule="exact"/>
      <w:ind w:left="2410"/>
    </w:pPr>
    <w:rPr>
      <w:rFonts w:ascii="Arial" w:hAnsi="Arial"/>
      <w:sz w:val="18"/>
    </w:rPr>
  </w:style>
  <w:style w:type="paragraph" w:customStyle="1" w:styleId="acmaheading20">
    <w:name w:val="acmaheading2"/>
    <w:basedOn w:val="Normal"/>
    <w:rsid w:val="009212B7"/>
    <w:pPr>
      <w:spacing w:before="100" w:beforeAutospacing="1" w:after="100" w:afterAutospacing="1"/>
    </w:pPr>
  </w:style>
  <w:style w:type="paragraph" w:customStyle="1" w:styleId="acmabodytext0">
    <w:name w:val="acmabodytext"/>
    <w:basedOn w:val="Normal"/>
    <w:rsid w:val="009212B7"/>
    <w:pPr>
      <w:spacing w:before="100" w:beforeAutospacing="1" w:after="100" w:afterAutospacing="1"/>
    </w:pPr>
  </w:style>
  <w:style w:type="paragraph" w:customStyle="1" w:styleId="p10">
    <w:name w:val="p1"/>
    <w:basedOn w:val="Normal"/>
    <w:rsid w:val="009212B7"/>
    <w:pPr>
      <w:spacing w:before="100" w:beforeAutospacing="1" w:after="100" w:afterAutospacing="1"/>
    </w:pPr>
  </w:style>
  <w:style w:type="paragraph" w:customStyle="1" w:styleId="acmaheading40">
    <w:name w:val="acmaheading4"/>
    <w:basedOn w:val="Normal"/>
    <w:rsid w:val="009212B7"/>
    <w:pPr>
      <w:spacing w:before="100" w:beforeAutospacing="1" w:after="100" w:afterAutospacing="1"/>
    </w:pPr>
  </w:style>
  <w:style w:type="paragraph" w:customStyle="1" w:styleId="numberedlist0">
    <w:name w:val="numberedlist"/>
    <w:basedOn w:val="Normal"/>
    <w:rsid w:val="009212B7"/>
    <w:pPr>
      <w:spacing w:before="100" w:beforeAutospacing="1" w:after="100" w:afterAutospacing="1"/>
    </w:pPr>
  </w:style>
  <w:style w:type="paragraph" w:customStyle="1" w:styleId="r10">
    <w:name w:val="r1"/>
    <w:basedOn w:val="Normal"/>
    <w:rsid w:val="009212B7"/>
    <w:pPr>
      <w:spacing w:before="100" w:beforeAutospacing="1" w:after="100" w:afterAutospacing="1"/>
    </w:pPr>
  </w:style>
  <w:style w:type="paragraph" w:customStyle="1" w:styleId="LabelBrief">
    <w:name w:val="Label Brief"/>
    <w:basedOn w:val="Normal"/>
    <w:rsid w:val="004D4CDD"/>
    <w:pPr>
      <w:spacing w:line="240" w:lineRule="atLeast"/>
    </w:pPr>
    <w:rPr>
      <w:rFonts w:ascii="Arial" w:eastAsiaTheme="minorHAnsi" w:hAnsi="Arial" w:cs="Arial"/>
      <w:color w:val="3C3C3D"/>
      <w:sz w:val="21"/>
      <w:szCs w:val="21"/>
      <w:lang w:eastAsia="en-US"/>
    </w:rPr>
  </w:style>
  <w:style w:type="paragraph" w:customStyle="1" w:styleId="ACMABodyText1">
    <w:name w:val="ACMA_BodyText"/>
    <w:qFormat/>
    <w:rsid w:val="00761AC6"/>
    <w:pPr>
      <w:suppressAutoHyphens/>
      <w:spacing w:after="240" w:line="240" w:lineRule="atLeast"/>
    </w:pPr>
    <w:rPr>
      <w:rFonts w:ascii="Arial" w:hAnsi="Arial"/>
      <w:snapToGrid w:val="0"/>
      <w:lang w:eastAsia="en-US"/>
    </w:rPr>
  </w:style>
  <w:style w:type="table" w:styleId="TableGrid2">
    <w:name w:val="Table Grid 2"/>
    <w:basedOn w:val="TableNormal"/>
    <w:rsid w:val="00726E8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9379">
      <w:bodyDiv w:val="1"/>
      <w:marLeft w:val="0"/>
      <w:marRight w:val="0"/>
      <w:marTop w:val="0"/>
      <w:marBottom w:val="0"/>
      <w:divBdr>
        <w:top w:val="none" w:sz="0" w:space="0" w:color="auto"/>
        <w:left w:val="none" w:sz="0" w:space="0" w:color="auto"/>
        <w:bottom w:val="none" w:sz="0" w:space="0" w:color="auto"/>
        <w:right w:val="none" w:sz="0" w:space="0" w:color="auto"/>
      </w:divBdr>
    </w:div>
    <w:div w:id="167259709">
      <w:bodyDiv w:val="1"/>
      <w:marLeft w:val="0"/>
      <w:marRight w:val="0"/>
      <w:marTop w:val="0"/>
      <w:marBottom w:val="0"/>
      <w:divBdr>
        <w:top w:val="none" w:sz="0" w:space="0" w:color="auto"/>
        <w:left w:val="none" w:sz="0" w:space="0" w:color="auto"/>
        <w:bottom w:val="none" w:sz="0" w:space="0" w:color="auto"/>
        <w:right w:val="none" w:sz="0" w:space="0" w:color="auto"/>
      </w:divBdr>
      <w:divsChild>
        <w:div w:id="1396776048">
          <w:marLeft w:val="0"/>
          <w:marRight w:val="0"/>
          <w:marTop w:val="0"/>
          <w:marBottom w:val="0"/>
          <w:divBdr>
            <w:top w:val="none" w:sz="0" w:space="0" w:color="auto"/>
            <w:left w:val="none" w:sz="0" w:space="0" w:color="auto"/>
            <w:bottom w:val="none" w:sz="0" w:space="0" w:color="auto"/>
            <w:right w:val="none" w:sz="0" w:space="0" w:color="auto"/>
          </w:divBdr>
          <w:divsChild>
            <w:div w:id="1137722488">
              <w:marLeft w:val="0"/>
              <w:marRight w:val="0"/>
              <w:marTop w:val="0"/>
              <w:marBottom w:val="0"/>
              <w:divBdr>
                <w:top w:val="none" w:sz="0" w:space="0" w:color="auto"/>
                <w:left w:val="none" w:sz="0" w:space="0" w:color="auto"/>
                <w:bottom w:val="none" w:sz="0" w:space="0" w:color="auto"/>
                <w:right w:val="none" w:sz="0" w:space="0" w:color="auto"/>
              </w:divBdr>
              <w:divsChild>
                <w:div w:id="750665787">
                  <w:marLeft w:val="0"/>
                  <w:marRight w:val="0"/>
                  <w:marTop w:val="0"/>
                  <w:marBottom w:val="0"/>
                  <w:divBdr>
                    <w:top w:val="none" w:sz="0" w:space="0" w:color="auto"/>
                    <w:left w:val="none" w:sz="0" w:space="0" w:color="auto"/>
                    <w:bottom w:val="none" w:sz="0" w:space="0" w:color="auto"/>
                    <w:right w:val="none" w:sz="0" w:space="0" w:color="auto"/>
                  </w:divBdr>
                  <w:divsChild>
                    <w:div w:id="1257521471">
                      <w:marLeft w:val="0"/>
                      <w:marRight w:val="0"/>
                      <w:marTop w:val="0"/>
                      <w:marBottom w:val="0"/>
                      <w:divBdr>
                        <w:top w:val="none" w:sz="0" w:space="0" w:color="auto"/>
                        <w:left w:val="none" w:sz="0" w:space="0" w:color="auto"/>
                        <w:bottom w:val="none" w:sz="0" w:space="0" w:color="auto"/>
                        <w:right w:val="none" w:sz="0" w:space="0" w:color="auto"/>
                      </w:divBdr>
                      <w:divsChild>
                        <w:div w:id="816608833">
                          <w:marLeft w:val="0"/>
                          <w:marRight w:val="0"/>
                          <w:marTop w:val="0"/>
                          <w:marBottom w:val="0"/>
                          <w:divBdr>
                            <w:top w:val="none" w:sz="0" w:space="0" w:color="auto"/>
                            <w:left w:val="none" w:sz="0" w:space="0" w:color="auto"/>
                            <w:bottom w:val="none" w:sz="0" w:space="0" w:color="auto"/>
                            <w:right w:val="none" w:sz="0" w:space="0" w:color="auto"/>
                          </w:divBdr>
                          <w:divsChild>
                            <w:div w:id="1734768476">
                              <w:marLeft w:val="0"/>
                              <w:marRight w:val="0"/>
                              <w:marTop w:val="0"/>
                              <w:marBottom w:val="0"/>
                              <w:divBdr>
                                <w:top w:val="single" w:sz="6" w:space="0" w:color="828282"/>
                                <w:left w:val="single" w:sz="6" w:space="0" w:color="828282"/>
                                <w:bottom w:val="single" w:sz="6" w:space="0" w:color="828282"/>
                                <w:right w:val="single" w:sz="6" w:space="0" w:color="828282"/>
                              </w:divBdr>
                              <w:divsChild>
                                <w:div w:id="602109566">
                                  <w:marLeft w:val="0"/>
                                  <w:marRight w:val="0"/>
                                  <w:marTop w:val="0"/>
                                  <w:marBottom w:val="0"/>
                                  <w:divBdr>
                                    <w:top w:val="none" w:sz="0" w:space="0" w:color="auto"/>
                                    <w:left w:val="none" w:sz="0" w:space="0" w:color="auto"/>
                                    <w:bottom w:val="none" w:sz="0" w:space="0" w:color="auto"/>
                                    <w:right w:val="none" w:sz="0" w:space="0" w:color="auto"/>
                                  </w:divBdr>
                                  <w:divsChild>
                                    <w:div w:id="1885171567">
                                      <w:marLeft w:val="0"/>
                                      <w:marRight w:val="0"/>
                                      <w:marTop w:val="0"/>
                                      <w:marBottom w:val="0"/>
                                      <w:divBdr>
                                        <w:top w:val="none" w:sz="0" w:space="0" w:color="auto"/>
                                        <w:left w:val="none" w:sz="0" w:space="0" w:color="auto"/>
                                        <w:bottom w:val="none" w:sz="0" w:space="0" w:color="auto"/>
                                        <w:right w:val="none" w:sz="0" w:space="0" w:color="auto"/>
                                      </w:divBdr>
                                      <w:divsChild>
                                        <w:div w:id="1943370563">
                                          <w:marLeft w:val="0"/>
                                          <w:marRight w:val="0"/>
                                          <w:marTop w:val="0"/>
                                          <w:marBottom w:val="0"/>
                                          <w:divBdr>
                                            <w:top w:val="none" w:sz="0" w:space="0" w:color="auto"/>
                                            <w:left w:val="none" w:sz="0" w:space="0" w:color="auto"/>
                                            <w:bottom w:val="none" w:sz="0" w:space="0" w:color="auto"/>
                                            <w:right w:val="none" w:sz="0" w:space="0" w:color="auto"/>
                                          </w:divBdr>
                                          <w:divsChild>
                                            <w:div w:id="117067781">
                                              <w:marLeft w:val="0"/>
                                              <w:marRight w:val="0"/>
                                              <w:marTop w:val="0"/>
                                              <w:marBottom w:val="0"/>
                                              <w:divBdr>
                                                <w:top w:val="none" w:sz="0" w:space="0" w:color="auto"/>
                                                <w:left w:val="none" w:sz="0" w:space="0" w:color="auto"/>
                                                <w:bottom w:val="none" w:sz="0" w:space="0" w:color="auto"/>
                                                <w:right w:val="none" w:sz="0" w:space="0" w:color="auto"/>
                                              </w:divBdr>
                                              <w:divsChild>
                                                <w:div w:id="1370495695">
                                                  <w:marLeft w:val="0"/>
                                                  <w:marRight w:val="0"/>
                                                  <w:marTop w:val="0"/>
                                                  <w:marBottom w:val="0"/>
                                                  <w:divBdr>
                                                    <w:top w:val="none" w:sz="0" w:space="0" w:color="auto"/>
                                                    <w:left w:val="none" w:sz="0" w:space="0" w:color="auto"/>
                                                    <w:bottom w:val="none" w:sz="0" w:space="0" w:color="auto"/>
                                                    <w:right w:val="none" w:sz="0" w:space="0" w:color="auto"/>
                                                  </w:divBdr>
                                                  <w:divsChild>
                                                    <w:div w:id="5033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2845583">
      <w:bodyDiv w:val="1"/>
      <w:marLeft w:val="0"/>
      <w:marRight w:val="0"/>
      <w:marTop w:val="0"/>
      <w:marBottom w:val="0"/>
      <w:divBdr>
        <w:top w:val="none" w:sz="0" w:space="0" w:color="auto"/>
        <w:left w:val="none" w:sz="0" w:space="0" w:color="auto"/>
        <w:bottom w:val="none" w:sz="0" w:space="0" w:color="auto"/>
        <w:right w:val="none" w:sz="0" w:space="0" w:color="auto"/>
      </w:divBdr>
    </w:div>
    <w:div w:id="680010316">
      <w:bodyDiv w:val="1"/>
      <w:marLeft w:val="0"/>
      <w:marRight w:val="0"/>
      <w:marTop w:val="0"/>
      <w:marBottom w:val="0"/>
      <w:divBdr>
        <w:top w:val="none" w:sz="0" w:space="0" w:color="auto"/>
        <w:left w:val="none" w:sz="0" w:space="0" w:color="auto"/>
        <w:bottom w:val="none" w:sz="0" w:space="0" w:color="auto"/>
        <w:right w:val="none" w:sz="0" w:space="0" w:color="auto"/>
      </w:divBdr>
    </w:div>
    <w:div w:id="1442720201">
      <w:bodyDiv w:val="1"/>
      <w:marLeft w:val="0"/>
      <w:marRight w:val="0"/>
      <w:marTop w:val="0"/>
      <w:marBottom w:val="0"/>
      <w:divBdr>
        <w:top w:val="none" w:sz="0" w:space="0" w:color="auto"/>
        <w:left w:val="none" w:sz="0" w:space="0" w:color="auto"/>
        <w:bottom w:val="none" w:sz="0" w:space="0" w:color="auto"/>
        <w:right w:val="none" w:sz="0" w:space="0" w:color="auto"/>
      </w:divBdr>
    </w:div>
    <w:div w:id="1612320073">
      <w:marLeft w:val="0"/>
      <w:marRight w:val="0"/>
      <w:marTop w:val="0"/>
      <w:marBottom w:val="0"/>
      <w:divBdr>
        <w:top w:val="none" w:sz="0" w:space="0" w:color="auto"/>
        <w:left w:val="none" w:sz="0" w:space="0" w:color="auto"/>
        <w:bottom w:val="none" w:sz="0" w:space="0" w:color="auto"/>
        <w:right w:val="none" w:sz="0" w:space="0" w:color="auto"/>
      </w:divBdr>
    </w:div>
    <w:div w:id="1612320075">
      <w:marLeft w:val="0"/>
      <w:marRight w:val="0"/>
      <w:marTop w:val="0"/>
      <w:marBottom w:val="0"/>
      <w:divBdr>
        <w:top w:val="none" w:sz="0" w:space="0" w:color="auto"/>
        <w:left w:val="none" w:sz="0" w:space="0" w:color="auto"/>
        <w:bottom w:val="none" w:sz="0" w:space="0" w:color="auto"/>
        <w:right w:val="none" w:sz="0" w:space="0" w:color="auto"/>
      </w:divBdr>
    </w:div>
    <w:div w:id="1612320076">
      <w:marLeft w:val="0"/>
      <w:marRight w:val="0"/>
      <w:marTop w:val="0"/>
      <w:marBottom w:val="0"/>
      <w:divBdr>
        <w:top w:val="none" w:sz="0" w:space="0" w:color="auto"/>
        <w:left w:val="none" w:sz="0" w:space="0" w:color="auto"/>
        <w:bottom w:val="none" w:sz="0" w:space="0" w:color="auto"/>
        <w:right w:val="none" w:sz="0" w:space="0" w:color="auto"/>
      </w:divBdr>
    </w:div>
    <w:div w:id="1612320077">
      <w:marLeft w:val="0"/>
      <w:marRight w:val="0"/>
      <w:marTop w:val="0"/>
      <w:marBottom w:val="0"/>
      <w:divBdr>
        <w:top w:val="none" w:sz="0" w:space="0" w:color="auto"/>
        <w:left w:val="none" w:sz="0" w:space="0" w:color="auto"/>
        <w:bottom w:val="none" w:sz="0" w:space="0" w:color="auto"/>
        <w:right w:val="none" w:sz="0" w:space="0" w:color="auto"/>
      </w:divBdr>
    </w:div>
    <w:div w:id="1612320078">
      <w:marLeft w:val="0"/>
      <w:marRight w:val="0"/>
      <w:marTop w:val="0"/>
      <w:marBottom w:val="0"/>
      <w:divBdr>
        <w:top w:val="none" w:sz="0" w:space="0" w:color="auto"/>
        <w:left w:val="none" w:sz="0" w:space="0" w:color="auto"/>
        <w:bottom w:val="none" w:sz="0" w:space="0" w:color="auto"/>
        <w:right w:val="none" w:sz="0" w:space="0" w:color="auto"/>
      </w:divBdr>
    </w:div>
    <w:div w:id="1612320079">
      <w:marLeft w:val="0"/>
      <w:marRight w:val="0"/>
      <w:marTop w:val="0"/>
      <w:marBottom w:val="0"/>
      <w:divBdr>
        <w:top w:val="none" w:sz="0" w:space="0" w:color="auto"/>
        <w:left w:val="none" w:sz="0" w:space="0" w:color="auto"/>
        <w:bottom w:val="none" w:sz="0" w:space="0" w:color="auto"/>
        <w:right w:val="none" w:sz="0" w:space="0" w:color="auto"/>
      </w:divBdr>
    </w:div>
    <w:div w:id="1612320080">
      <w:marLeft w:val="0"/>
      <w:marRight w:val="0"/>
      <w:marTop w:val="0"/>
      <w:marBottom w:val="0"/>
      <w:divBdr>
        <w:top w:val="none" w:sz="0" w:space="0" w:color="auto"/>
        <w:left w:val="none" w:sz="0" w:space="0" w:color="auto"/>
        <w:bottom w:val="none" w:sz="0" w:space="0" w:color="auto"/>
        <w:right w:val="none" w:sz="0" w:space="0" w:color="auto"/>
      </w:divBdr>
    </w:div>
    <w:div w:id="1612320081">
      <w:marLeft w:val="0"/>
      <w:marRight w:val="0"/>
      <w:marTop w:val="0"/>
      <w:marBottom w:val="0"/>
      <w:divBdr>
        <w:top w:val="none" w:sz="0" w:space="0" w:color="auto"/>
        <w:left w:val="none" w:sz="0" w:space="0" w:color="auto"/>
        <w:bottom w:val="none" w:sz="0" w:space="0" w:color="auto"/>
        <w:right w:val="none" w:sz="0" w:space="0" w:color="auto"/>
      </w:divBdr>
    </w:div>
    <w:div w:id="1612320082">
      <w:marLeft w:val="0"/>
      <w:marRight w:val="0"/>
      <w:marTop w:val="0"/>
      <w:marBottom w:val="0"/>
      <w:divBdr>
        <w:top w:val="none" w:sz="0" w:space="0" w:color="auto"/>
        <w:left w:val="none" w:sz="0" w:space="0" w:color="auto"/>
        <w:bottom w:val="none" w:sz="0" w:space="0" w:color="auto"/>
        <w:right w:val="none" w:sz="0" w:space="0" w:color="auto"/>
      </w:divBdr>
    </w:div>
    <w:div w:id="1612320083">
      <w:marLeft w:val="0"/>
      <w:marRight w:val="0"/>
      <w:marTop w:val="0"/>
      <w:marBottom w:val="0"/>
      <w:divBdr>
        <w:top w:val="none" w:sz="0" w:space="0" w:color="auto"/>
        <w:left w:val="none" w:sz="0" w:space="0" w:color="auto"/>
        <w:bottom w:val="none" w:sz="0" w:space="0" w:color="auto"/>
        <w:right w:val="none" w:sz="0" w:space="0" w:color="auto"/>
      </w:divBdr>
    </w:div>
    <w:div w:id="1612320084">
      <w:marLeft w:val="0"/>
      <w:marRight w:val="0"/>
      <w:marTop w:val="0"/>
      <w:marBottom w:val="0"/>
      <w:divBdr>
        <w:top w:val="none" w:sz="0" w:space="0" w:color="auto"/>
        <w:left w:val="none" w:sz="0" w:space="0" w:color="auto"/>
        <w:bottom w:val="none" w:sz="0" w:space="0" w:color="auto"/>
        <w:right w:val="none" w:sz="0" w:space="0" w:color="auto"/>
      </w:divBdr>
    </w:div>
    <w:div w:id="1612320085">
      <w:marLeft w:val="0"/>
      <w:marRight w:val="0"/>
      <w:marTop w:val="0"/>
      <w:marBottom w:val="0"/>
      <w:divBdr>
        <w:top w:val="none" w:sz="0" w:space="0" w:color="auto"/>
        <w:left w:val="none" w:sz="0" w:space="0" w:color="auto"/>
        <w:bottom w:val="none" w:sz="0" w:space="0" w:color="auto"/>
        <w:right w:val="none" w:sz="0" w:space="0" w:color="auto"/>
      </w:divBdr>
    </w:div>
    <w:div w:id="1612320086">
      <w:marLeft w:val="0"/>
      <w:marRight w:val="0"/>
      <w:marTop w:val="0"/>
      <w:marBottom w:val="0"/>
      <w:divBdr>
        <w:top w:val="none" w:sz="0" w:space="0" w:color="auto"/>
        <w:left w:val="none" w:sz="0" w:space="0" w:color="auto"/>
        <w:bottom w:val="none" w:sz="0" w:space="0" w:color="auto"/>
        <w:right w:val="none" w:sz="0" w:space="0" w:color="auto"/>
      </w:divBdr>
    </w:div>
    <w:div w:id="1612320087">
      <w:marLeft w:val="0"/>
      <w:marRight w:val="0"/>
      <w:marTop w:val="0"/>
      <w:marBottom w:val="0"/>
      <w:divBdr>
        <w:top w:val="none" w:sz="0" w:space="0" w:color="auto"/>
        <w:left w:val="none" w:sz="0" w:space="0" w:color="auto"/>
        <w:bottom w:val="none" w:sz="0" w:space="0" w:color="auto"/>
        <w:right w:val="none" w:sz="0" w:space="0" w:color="auto"/>
      </w:divBdr>
    </w:div>
    <w:div w:id="1612320088">
      <w:marLeft w:val="0"/>
      <w:marRight w:val="0"/>
      <w:marTop w:val="0"/>
      <w:marBottom w:val="0"/>
      <w:divBdr>
        <w:top w:val="none" w:sz="0" w:space="0" w:color="auto"/>
        <w:left w:val="none" w:sz="0" w:space="0" w:color="auto"/>
        <w:bottom w:val="none" w:sz="0" w:space="0" w:color="auto"/>
        <w:right w:val="none" w:sz="0" w:space="0" w:color="auto"/>
      </w:divBdr>
    </w:div>
    <w:div w:id="1612320089">
      <w:marLeft w:val="0"/>
      <w:marRight w:val="0"/>
      <w:marTop w:val="0"/>
      <w:marBottom w:val="0"/>
      <w:divBdr>
        <w:top w:val="none" w:sz="0" w:space="0" w:color="auto"/>
        <w:left w:val="none" w:sz="0" w:space="0" w:color="auto"/>
        <w:bottom w:val="none" w:sz="0" w:space="0" w:color="auto"/>
        <w:right w:val="none" w:sz="0" w:space="0" w:color="auto"/>
      </w:divBdr>
    </w:div>
    <w:div w:id="1612320090">
      <w:marLeft w:val="0"/>
      <w:marRight w:val="0"/>
      <w:marTop w:val="0"/>
      <w:marBottom w:val="0"/>
      <w:divBdr>
        <w:top w:val="none" w:sz="0" w:space="0" w:color="auto"/>
        <w:left w:val="none" w:sz="0" w:space="0" w:color="auto"/>
        <w:bottom w:val="none" w:sz="0" w:space="0" w:color="auto"/>
        <w:right w:val="none" w:sz="0" w:space="0" w:color="auto"/>
      </w:divBdr>
    </w:div>
    <w:div w:id="1612320091">
      <w:marLeft w:val="0"/>
      <w:marRight w:val="0"/>
      <w:marTop w:val="0"/>
      <w:marBottom w:val="0"/>
      <w:divBdr>
        <w:top w:val="none" w:sz="0" w:space="0" w:color="auto"/>
        <w:left w:val="none" w:sz="0" w:space="0" w:color="auto"/>
        <w:bottom w:val="none" w:sz="0" w:space="0" w:color="auto"/>
        <w:right w:val="none" w:sz="0" w:space="0" w:color="auto"/>
      </w:divBdr>
      <w:divsChild>
        <w:div w:id="1612320074">
          <w:marLeft w:val="0"/>
          <w:marRight w:val="0"/>
          <w:marTop w:val="0"/>
          <w:marBottom w:val="0"/>
          <w:divBdr>
            <w:top w:val="none" w:sz="0" w:space="0" w:color="auto"/>
            <w:left w:val="none" w:sz="0" w:space="0" w:color="auto"/>
            <w:bottom w:val="none" w:sz="0" w:space="0" w:color="auto"/>
            <w:right w:val="none" w:sz="0" w:space="0" w:color="auto"/>
          </w:divBdr>
        </w:div>
        <w:div w:id="1612320099">
          <w:marLeft w:val="0"/>
          <w:marRight w:val="0"/>
          <w:marTop w:val="0"/>
          <w:marBottom w:val="0"/>
          <w:divBdr>
            <w:top w:val="none" w:sz="0" w:space="0" w:color="auto"/>
            <w:left w:val="none" w:sz="0" w:space="0" w:color="auto"/>
            <w:bottom w:val="none" w:sz="0" w:space="0" w:color="auto"/>
            <w:right w:val="none" w:sz="0" w:space="0" w:color="auto"/>
          </w:divBdr>
        </w:div>
      </w:divsChild>
    </w:div>
    <w:div w:id="1612320092">
      <w:marLeft w:val="0"/>
      <w:marRight w:val="0"/>
      <w:marTop w:val="0"/>
      <w:marBottom w:val="0"/>
      <w:divBdr>
        <w:top w:val="none" w:sz="0" w:space="0" w:color="auto"/>
        <w:left w:val="none" w:sz="0" w:space="0" w:color="auto"/>
        <w:bottom w:val="none" w:sz="0" w:space="0" w:color="auto"/>
        <w:right w:val="none" w:sz="0" w:space="0" w:color="auto"/>
      </w:divBdr>
    </w:div>
    <w:div w:id="1612320093">
      <w:marLeft w:val="0"/>
      <w:marRight w:val="0"/>
      <w:marTop w:val="0"/>
      <w:marBottom w:val="0"/>
      <w:divBdr>
        <w:top w:val="none" w:sz="0" w:space="0" w:color="auto"/>
        <w:left w:val="none" w:sz="0" w:space="0" w:color="auto"/>
        <w:bottom w:val="none" w:sz="0" w:space="0" w:color="auto"/>
        <w:right w:val="none" w:sz="0" w:space="0" w:color="auto"/>
      </w:divBdr>
    </w:div>
    <w:div w:id="1612320094">
      <w:marLeft w:val="0"/>
      <w:marRight w:val="0"/>
      <w:marTop w:val="0"/>
      <w:marBottom w:val="0"/>
      <w:divBdr>
        <w:top w:val="none" w:sz="0" w:space="0" w:color="auto"/>
        <w:left w:val="none" w:sz="0" w:space="0" w:color="auto"/>
        <w:bottom w:val="none" w:sz="0" w:space="0" w:color="auto"/>
        <w:right w:val="none" w:sz="0" w:space="0" w:color="auto"/>
      </w:divBdr>
    </w:div>
    <w:div w:id="1612320095">
      <w:marLeft w:val="0"/>
      <w:marRight w:val="0"/>
      <w:marTop w:val="0"/>
      <w:marBottom w:val="0"/>
      <w:divBdr>
        <w:top w:val="none" w:sz="0" w:space="0" w:color="auto"/>
        <w:left w:val="none" w:sz="0" w:space="0" w:color="auto"/>
        <w:bottom w:val="none" w:sz="0" w:space="0" w:color="auto"/>
        <w:right w:val="none" w:sz="0" w:space="0" w:color="auto"/>
      </w:divBdr>
    </w:div>
    <w:div w:id="1612320096">
      <w:marLeft w:val="0"/>
      <w:marRight w:val="0"/>
      <w:marTop w:val="0"/>
      <w:marBottom w:val="0"/>
      <w:divBdr>
        <w:top w:val="none" w:sz="0" w:space="0" w:color="auto"/>
        <w:left w:val="none" w:sz="0" w:space="0" w:color="auto"/>
        <w:bottom w:val="none" w:sz="0" w:space="0" w:color="auto"/>
        <w:right w:val="none" w:sz="0" w:space="0" w:color="auto"/>
      </w:divBdr>
    </w:div>
    <w:div w:id="1612320097">
      <w:marLeft w:val="0"/>
      <w:marRight w:val="0"/>
      <w:marTop w:val="0"/>
      <w:marBottom w:val="0"/>
      <w:divBdr>
        <w:top w:val="none" w:sz="0" w:space="0" w:color="auto"/>
        <w:left w:val="none" w:sz="0" w:space="0" w:color="auto"/>
        <w:bottom w:val="none" w:sz="0" w:space="0" w:color="auto"/>
        <w:right w:val="none" w:sz="0" w:space="0" w:color="auto"/>
      </w:divBdr>
    </w:div>
    <w:div w:id="1612320098">
      <w:marLeft w:val="0"/>
      <w:marRight w:val="0"/>
      <w:marTop w:val="0"/>
      <w:marBottom w:val="0"/>
      <w:divBdr>
        <w:top w:val="none" w:sz="0" w:space="0" w:color="auto"/>
        <w:left w:val="none" w:sz="0" w:space="0" w:color="auto"/>
        <w:bottom w:val="none" w:sz="0" w:space="0" w:color="auto"/>
        <w:right w:val="none" w:sz="0" w:space="0" w:color="auto"/>
      </w:divBdr>
    </w:div>
    <w:div w:id="1612320100">
      <w:marLeft w:val="0"/>
      <w:marRight w:val="0"/>
      <w:marTop w:val="0"/>
      <w:marBottom w:val="0"/>
      <w:divBdr>
        <w:top w:val="none" w:sz="0" w:space="0" w:color="auto"/>
        <w:left w:val="none" w:sz="0" w:space="0" w:color="auto"/>
        <w:bottom w:val="none" w:sz="0" w:space="0" w:color="auto"/>
        <w:right w:val="none" w:sz="0" w:space="0" w:color="auto"/>
      </w:divBdr>
    </w:div>
    <w:div w:id="1612320101">
      <w:marLeft w:val="0"/>
      <w:marRight w:val="0"/>
      <w:marTop w:val="0"/>
      <w:marBottom w:val="0"/>
      <w:divBdr>
        <w:top w:val="none" w:sz="0" w:space="0" w:color="auto"/>
        <w:left w:val="none" w:sz="0" w:space="0" w:color="auto"/>
        <w:bottom w:val="none" w:sz="0" w:space="0" w:color="auto"/>
        <w:right w:val="none" w:sz="0" w:space="0" w:color="auto"/>
      </w:divBdr>
    </w:div>
    <w:div w:id="1612320102">
      <w:marLeft w:val="0"/>
      <w:marRight w:val="0"/>
      <w:marTop w:val="0"/>
      <w:marBottom w:val="0"/>
      <w:divBdr>
        <w:top w:val="none" w:sz="0" w:space="0" w:color="auto"/>
        <w:left w:val="none" w:sz="0" w:space="0" w:color="auto"/>
        <w:bottom w:val="none" w:sz="0" w:space="0" w:color="auto"/>
        <w:right w:val="none" w:sz="0" w:space="0" w:color="auto"/>
      </w:divBdr>
    </w:div>
    <w:div w:id="1612320103">
      <w:marLeft w:val="0"/>
      <w:marRight w:val="0"/>
      <w:marTop w:val="0"/>
      <w:marBottom w:val="0"/>
      <w:divBdr>
        <w:top w:val="none" w:sz="0" w:space="0" w:color="auto"/>
        <w:left w:val="none" w:sz="0" w:space="0" w:color="auto"/>
        <w:bottom w:val="none" w:sz="0" w:space="0" w:color="auto"/>
        <w:right w:val="none" w:sz="0" w:space="0" w:color="auto"/>
      </w:divBdr>
    </w:div>
    <w:div w:id="1612320104">
      <w:marLeft w:val="0"/>
      <w:marRight w:val="0"/>
      <w:marTop w:val="0"/>
      <w:marBottom w:val="0"/>
      <w:divBdr>
        <w:top w:val="none" w:sz="0" w:space="0" w:color="auto"/>
        <w:left w:val="none" w:sz="0" w:space="0" w:color="auto"/>
        <w:bottom w:val="none" w:sz="0" w:space="0" w:color="auto"/>
        <w:right w:val="none" w:sz="0" w:space="0" w:color="auto"/>
      </w:divBdr>
    </w:div>
    <w:div w:id="1612320105">
      <w:marLeft w:val="0"/>
      <w:marRight w:val="0"/>
      <w:marTop w:val="0"/>
      <w:marBottom w:val="0"/>
      <w:divBdr>
        <w:top w:val="none" w:sz="0" w:space="0" w:color="auto"/>
        <w:left w:val="none" w:sz="0" w:space="0" w:color="auto"/>
        <w:bottom w:val="none" w:sz="0" w:space="0" w:color="auto"/>
        <w:right w:val="none" w:sz="0" w:space="0" w:color="auto"/>
      </w:divBdr>
    </w:div>
    <w:div w:id="1612320106">
      <w:marLeft w:val="0"/>
      <w:marRight w:val="0"/>
      <w:marTop w:val="0"/>
      <w:marBottom w:val="0"/>
      <w:divBdr>
        <w:top w:val="none" w:sz="0" w:space="0" w:color="auto"/>
        <w:left w:val="none" w:sz="0" w:space="0" w:color="auto"/>
        <w:bottom w:val="none" w:sz="0" w:space="0" w:color="auto"/>
        <w:right w:val="none" w:sz="0" w:space="0" w:color="auto"/>
      </w:divBdr>
    </w:div>
    <w:div w:id="1612320107">
      <w:marLeft w:val="0"/>
      <w:marRight w:val="0"/>
      <w:marTop w:val="0"/>
      <w:marBottom w:val="0"/>
      <w:divBdr>
        <w:top w:val="none" w:sz="0" w:space="0" w:color="auto"/>
        <w:left w:val="none" w:sz="0" w:space="0" w:color="auto"/>
        <w:bottom w:val="none" w:sz="0" w:space="0" w:color="auto"/>
        <w:right w:val="none" w:sz="0" w:space="0" w:color="auto"/>
      </w:divBdr>
    </w:div>
    <w:div w:id="1612320108">
      <w:marLeft w:val="0"/>
      <w:marRight w:val="0"/>
      <w:marTop w:val="0"/>
      <w:marBottom w:val="0"/>
      <w:divBdr>
        <w:top w:val="none" w:sz="0" w:space="0" w:color="auto"/>
        <w:left w:val="none" w:sz="0" w:space="0" w:color="auto"/>
        <w:bottom w:val="none" w:sz="0" w:space="0" w:color="auto"/>
        <w:right w:val="none" w:sz="0" w:space="0" w:color="auto"/>
      </w:divBdr>
    </w:div>
    <w:div w:id="1612320109">
      <w:marLeft w:val="0"/>
      <w:marRight w:val="0"/>
      <w:marTop w:val="0"/>
      <w:marBottom w:val="0"/>
      <w:divBdr>
        <w:top w:val="none" w:sz="0" w:space="0" w:color="auto"/>
        <w:left w:val="none" w:sz="0" w:space="0" w:color="auto"/>
        <w:bottom w:val="none" w:sz="0" w:space="0" w:color="auto"/>
        <w:right w:val="none" w:sz="0" w:space="0" w:color="auto"/>
      </w:divBdr>
    </w:div>
    <w:div w:id="1612320110">
      <w:marLeft w:val="0"/>
      <w:marRight w:val="0"/>
      <w:marTop w:val="0"/>
      <w:marBottom w:val="0"/>
      <w:divBdr>
        <w:top w:val="none" w:sz="0" w:space="0" w:color="auto"/>
        <w:left w:val="none" w:sz="0" w:space="0" w:color="auto"/>
        <w:bottom w:val="none" w:sz="0" w:space="0" w:color="auto"/>
        <w:right w:val="none" w:sz="0" w:space="0" w:color="auto"/>
      </w:divBdr>
    </w:div>
    <w:div w:id="1612320111">
      <w:marLeft w:val="0"/>
      <w:marRight w:val="0"/>
      <w:marTop w:val="0"/>
      <w:marBottom w:val="0"/>
      <w:divBdr>
        <w:top w:val="none" w:sz="0" w:space="0" w:color="auto"/>
        <w:left w:val="none" w:sz="0" w:space="0" w:color="auto"/>
        <w:bottom w:val="none" w:sz="0" w:space="0" w:color="auto"/>
        <w:right w:val="none" w:sz="0" w:space="0" w:color="auto"/>
      </w:divBdr>
    </w:div>
    <w:div w:id="1612320113">
      <w:marLeft w:val="0"/>
      <w:marRight w:val="0"/>
      <w:marTop w:val="0"/>
      <w:marBottom w:val="0"/>
      <w:divBdr>
        <w:top w:val="none" w:sz="0" w:space="0" w:color="auto"/>
        <w:left w:val="none" w:sz="0" w:space="0" w:color="auto"/>
        <w:bottom w:val="none" w:sz="0" w:space="0" w:color="auto"/>
        <w:right w:val="none" w:sz="0" w:space="0" w:color="auto"/>
      </w:divBdr>
    </w:div>
    <w:div w:id="1612320114">
      <w:marLeft w:val="0"/>
      <w:marRight w:val="0"/>
      <w:marTop w:val="0"/>
      <w:marBottom w:val="0"/>
      <w:divBdr>
        <w:top w:val="none" w:sz="0" w:space="0" w:color="auto"/>
        <w:left w:val="none" w:sz="0" w:space="0" w:color="auto"/>
        <w:bottom w:val="none" w:sz="0" w:space="0" w:color="auto"/>
        <w:right w:val="none" w:sz="0" w:space="0" w:color="auto"/>
      </w:divBdr>
    </w:div>
    <w:div w:id="1612320116">
      <w:marLeft w:val="0"/>
      <w:marRight w:val="0"/>
      <w:marTop w:val="0"/>
      <w:marBottom w:val="0"/>
      <w:divBdr>
        <w:top w:val="none" w:sz="0" w:space="0" w:color="auto"/>
        <w:left w:val="none" w:sz="0" w:space="0" w:color="auto"/>
        <w:bottom w:val="none" w:sz="0" w:space="0" w:color="auto"/>
        <w:right w:val="none" w:sz="0" w:space="0" w:color="auto"/>
      </w:divBdr>
    </w:div>
    <w:div w:id="1612320117">
      <w:marLeft w:val="0"/>
      <w:marRight w:val="0"/>
      <w:marTop w:val="0"/>
      <w:marBottom w:val="0"/>
      <w:divBdr>
        <w:top w:val="none" w:sz="0" w:space="0" w:color="auto"/>
        <w:left w:val="none" w:sz="0" w:space="0" w:color="auto"/>
        <w:bottom w:val="none" w:sz="0" w:space="0" w:color="auto"/>
        <w:right w:val="none" w:sz="0" w:space="0" w:color="auto"/>
      </w:divBdr>
      <w:divsChild>
        <w:div w:id="1612320121">
          <w:marLeft w:val="0"/>
          <w:marRight w:val="0"/>
          <w:marTop w:val="0"/>
          <w:marBottom w:val="0"/>
          <w:divBdr>
            <w:top w:val="none" w:sz="0" w:space="0" w:color="auto"/>
            <w:left w:val="none" w:sz="0" w:space="0" w:color="auto"/>
            <w:bottom w:val="none" w:sz="0" w:space="0" w:color="auto"/>
            <w:right w:val="none" w:sz="0" w:space="0" w:color="auto"/>
          </w:divBdr>
          <w:divsChild>
            <w:div w:id="1612320118">
              <w:marLeft w:val="0"/>
              <w:marRight w:val="0"/>
              <w:marTop w:val="0"/>
              <w:marBottom w:val="0"/>
              <w:divBdr>
                <w:top w:val="none" w:sz="0" w:space="0" w:color="auto"/>
                <w:left w:val="none" w:sz="0" w:space="0" w:color="auto"/>
                <w:bottom w:val="none" w:sz="0" w:space="0" w:color="auto"/>
                <w:right w:val="none" w:sz="0" w:space="0" w:color="auto"/>
              </w:divBdr>
              <w:divsChild>
                <w:div w:id="1612320115">
                  <w:marLeft w:val="0"/>
                  <w:marRight w:val="0"/>
                  <w:marTop w:val="0"/>
                  <w:marBottom w:val="0"/>
                  <w:divBdr>
                    <w:top w:val="none" w:sz="0" w:space="0" w:color="auto"/>
                    <w:left w:val="none" w:sz="0" w:space="0" w:color="auto"/>
                    <w:bottom w:val="none" w:sz="0" w:space="0" w:color="auto"/>
                    <w:right w:val="none" w:sz="0" w:space="0" w:color="auto"/>
                  </w:divBdr>
                  <w:divsChild>
                    <w:div w:id="1612320120">
                      <w:marLeft w:val="0"/>
                      <w:marRight w:val="0"/>
                      <w:marTop w:val="0"/>
                      <w:marBottom w:val="0"/>
                      <w:divBdr>
                        <w:top w:val="none" w:sz="0" w:space="0" w:color="auto"/>
                        <w:left w:val="none" w:sz="0" w:space="0" w:color="auto"/>
                        <w:bottom w:val="none" w:sz="0" w:space="0" w:color="auto"/>
                        <w:right w:val="none" w:sz="0" w:space="0" w:color="auto"/>
                      </w:divBdr>
                      <w:divsChild>
                        <w:div w:id="1612320119">
                          <w:marLeft w:val="0"/>
                          <w:marRight w:val="0"/>
                          <w:marTop w:val="0"/>
                          <w:marBottom w:val="0"/>
                          <w:divBdr>
                            <w:top w:val="none" w:sz="0" w:space="0" w:color="auto"/>
                            <w:left w:val="none" w:sz="0" w:space="0" w:color="auto"/>
                            <w:bottom w:val="none" w:sz="0" w:space="0" w:color="auto"/>
                            <w:right w:val="none" w:sz="0" w:space="0" w:color="auto"/>
                          </w:divBdr>
                          <w:divsChild>
                            <w:div w:id="16123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69529">
      <w:bodyDiv w:val="1"/>
      <w:marLeft w:val="0"/>
      <w:marRight w:val="0"/>
      <w:marTop w:val="0"/>
      <w:marBottom w:val="0"/>
      <w:divBdr>
        <w:top w:val="none" w:sz="0" w:space="0" w:color="auto"/>
        <w:left w:val="none" w:sz="0" w:space="0" w:color="auto"/>
        <w:bottom w:val="none" w:sz="0" w:space="0" w:color="auto"/>
        <w:right w:val="none" w:sz="0" w:space="0" w:color="auto"/>
      </w:divBdr>
    </w:div>
    <w:div w:id="1797261272">
      <w:bodyDiv w:val="1"/>
      <w:marLeft w:val="0"/>
      <w:marRight w:val="0"/>
      <w:marTop w:val="0"/>
      <w:marBottom w:val="0"/>
      <w:divBdr>
        <w:top w:val="none" w:sz="0" w:space="0" w:color="auto"/>
        <w:left w:val="none" w:sz="0" w:space="0" w:color="auto"/>
        <w:bottom w:val="none" w:sz="0" w:space="0" w:color="auto"/>
        <w:right w:val="none" w:sz="0" w:space="0" w:color="auto"/>
      </w:divBdr>
      <w:divsChild>
        <w:div w:id="500780070">
          <w:marLeft w:val="0"/>
          <w:marRight w:val="0"/>
          <w:marTop w:val="0"/>
          <w:marBottom w:val="0"/>
          <w:divBdr>
            <w:top w:val="none" w:sz="0" w:space="0" w:color="auto"/>
            <w:left w:val="none" w:sz="0" w:space="0" w:color="auto"/>
            <w:bottom w:val="none" w:sz="0" w:space="0" w:color="auto"/>
            <w:right w:val="none" w:sz="0" w:space="0" w:color="auto"/>
          </w:divBdr>
          <w:divsChild>
            <w:div w:id="1970239871">
              <w:marLeft w:val="0"/>
              <w:marRight w:val="0"/>
              <w:marTop w:val="0"/>
              <w:marBottom w:val="0"/>
              <w:divBdr>
                <w:top w:val="none" w:sz="0" w:space="0" w:color="auto"/>
                <w:left w:val="none" w:sz="0" w:space="0" w:color="auto"/>
                <w:bottom w:val="none" w:sz="0" w:space="0" w:color="auto"/>
                <w:right w:val="none" w:sz="0" w:space="0" w:color="auto"/>
              </w:divBdr>
              <w:divsChild>
                <w:div w:id="1170173943">
                  <w:marLeft w:val="0"/>
                  <w:marRight w:val="0"/>
                  <w:marTop w:val="0"/>
                  <w:marBottom w:val="0"/>
                  <w:divBdr>
                    <w:top w:val="none" w:sz="0" w:space="0" w:color="auto"/>
                    <w:left w:val="none" w:sz="0" w:space="0" w:color="auto"/>
                    <w:bottom w:val="none" w:sz="0" w:space="0" w:color="auto"/>
                    <w:right w:val="none" w:sz="0" w:space="0" w:color="auto"/>
                  </w:divBdr>
                  <w:divsChild>
                    <w:div w:id="2005933150">
                      <w:marLeft w:val="0"/>
                      <w:marRight w:val="0"/>
                      <w:marTop w:val="0"/>
                      <w:marBottom w:val="0"/>
                      <w:divBdr>
                        <w:top w:val="none" w:sz="0" w:space="0" w:color="auto"/>
                        <w:left w:val="none" w:sz="0" w:space="0" w:color="auto"/>
                        <w:bottom w:val="none" w:sz="0" w:space="0" w:color="auto"/>
                        <w:right w:val="none" w:sz="0" w:space="0" w:color="auto"/>
                      </w:divBdr>
                      <w:divsChild>
                        <w:div w:id="1633056262">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Industry/Spectrum/Spectrum-projects/1800-MHz-band" TargetMode="External"/><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Industry/Spectrum/Spectrum-projects/1800-MHz-band/previous-1800-mhz-consultation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Industry/Spectrum/Spectrum-projects/1800-MHz-band/comment-sought-on-spectrum-licences-in-the-1800-mhz-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B249543DA164F83827B4AF73A2CE1" ma:contentTypeVersion="0" ma:contentTypeDescription="Create a new document." ma:contentTypeScope="" ma:versionID="e9d476c701fec824fd88386788eaae56">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KNAH4PPFC442-2982-6209</_dlc_DocId>
    <_dlc_DocIdUrl xmlns="6db8f3c6-01a1-4322-b043-a3b2a190f7a8">
      <Url>http://collaboration/organisation/CID/RPB/RLPS/lib/_layouts/DocIdRedir.aspx?ID=KNAH4PPFC442-2982-6209</Url>
      <Description>KNAH4PPFC442-2982-6209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DE88-2248-48F7-A625-264878678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2F53B-D661-4BE6-BD87-09C9F52FBE86}">
  <ds:schemaRefs>
    <ds:schemaRef ds:uri="http://schemas.microsoft.com/sharepoint/v3/contenttype/forms"/>
  </ds:schemaRefs>
</ds:datastoreItem>
</file>

<file path=customXml/itemProps3.xml><?xml version="1.0" encoding="utf-8"?>
<ds:datastoreItem xmlns:ds="http://schemas.openxmlformats.org/officeDocument/2006/customXml" ds:itemID="{E5B58614-B451-4423-BCFE-54E4DCB13F69}">
  <ds:schemaRefs>
    <ds:schemaRef ds:uri="http://schemas.microsoft.com/sharepoint/events"/>
  </ds:schemaRefs>
</ds:datastoreItem>
</file>

<file path=customXml/itemProps4.xml><?xml version="1.0" encoding="utf-8"?>
<ds:datastoreItem xmlns:ds="http://schemas.openxmlformats.org/officeDocument/2006/customXml" ds:itemID="{1644DA91-9665-4856-AC97-127F8D2D3D6E}">
  <ds:schemaRef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6db8f3c6-01a1-4322-b043-a3b2a190f7a8"/>
  </ds:schemaRefs>
</ds:datastoreItem>
</file>

<file path=customXml/itemProps5.xml><?xml version="1.0" encoding="utf-8"?>
<ds:datastoreItem xmlns:ds="http://schemas.openxmlformats.org/officeDocument/2006/customXml" ds:itemID="{7B7760AB-CA5A-475D-B154-83B5BA1B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40</Pages>
  <Words>21229</Words>
  <Characters>108610</Characters>
  <Application>Microsoft Office Word</Application>
  <DocSecurity>0</DocSecurity>
  <Lines>905</Lines>
  <Paragraphs>259</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129580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subject/>
  <dc:creator>showe</dc:creator>
  <cp:keywords/>
  <dc:description/>
  <cp:lastModifiedBy>Alex Kostic</cp:lastModifiedBy>
  <cp:revision>39</cp:revision>
  <cp:lastPrinted>2015-08-24T03:11:00Z</cp:lastPrinted>
  <dcterms:created xsi:type="dcterms:W3CDTF">2015-08-28T00:35:00Z</dcterms:created>
  <dcterms:modified xsi:type="dcterms:W3CDTF">2015-08-28T02:03:00Z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oFAAXzy6TWd89pgTCkOBvX4APqjmVQuOpAR2903i3LwIan+bh7TLCHLM7SHVvkjLLxI2M/BN99RI3QXy+cBuzKtJe1uc6I9nFN7cVNjcPCTLWmQICRMM8yZ4v7vDp65kAnFODNMVlYDk3kk/xcFu0OmgbtUX9LBTwN6ccp4En9EqwbOvxUz4+ypB4ePdV0IMMzVrzAiesoLtcky2996nwmq1BTw1BDBvFimaB+7vrOTET3/4A9GQggW50</vt:lpwstr>
  </property>
  <property fmtid="{D5CDD505-2E9C-101B-9397-08002B2CF9AE}" pid="3" name="RESPONSE_SENDER_NAME">
    <vt:lpwstr>sAAAE34RQVAK31k/J1MzZIF3w9rFG/n6WbOIo+NkNSP7esA=</vt:lpwstr>
  </property>
  <property fmtid="{D5CDD505-2E9C-101B-9397-08002B2CF9AE}" pid="4" name="EMAIL_OWNER_ADDRESS">
    <vt:lpwstr>ABAAJXrvhtoYpC6Avsn/wSOSV0DEHKT2vQPZBhTvS3PPYP6CXSFsOGuKv9gH8egcXTLV</vt:lpwstr>
  </property>
  <property fmtid="{D5CDD505-2E9C-101B-9397-08002B2CF9AE}" pid="5" name="MAIL_MSG_ID2">
    <vt:lpwstr>GGeydQdprmGoe/5AyZMFQ9RF3oJLczIbJpyqUhxIT0Ntg47lNZ8uT245+vjm0SrlSdIR+iBTbQ99nTodu2hmXaF7wTBoFRAQEZ9AhwMpSkW</vt:lpwstr>
  </property>
  <property fmtid="{D5CDD505-2E9C-101B-9397-08002B2CF9AE}" pid="6" name="ContentTypeId">
    <vt:lpwstr>0x010100BEDB249543DA164F83827B4AF73A2CE1</vt:lpwstr>
  </property>
  <property fmtid="{D5CDD505-2E9C-101B-9397-08002B2CF9AE}" pid="7" name="_dlc_DocIdItemGuid">
    <vt:lpwstr>749fc7a0-2940-44c5-a6fc-996f47e1ac26</vt:lpwstr>
  </property>
</Properties>
</file>