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29B" w:rsidRPr="003124F3" w:rsidRDefault="0067029B" w:rsidP="0067029B">
      <w:pPr>
        <w:ind w:right="372"/>
        <w:jc w:val="center"/>
        <w:rPr>
          <w:b/>
          <w:bCs/>
        </w:rPr>
      </w:pPr>
      <w:r w:rsidRPr="003124F3">
        <w:rPr>
          <w:b/>
          <w:bCs/>
          <w:u w:val="single"/>
        </w:rPr>
        <w:t>EXPLANATORY STATEMENT</w:t>
      </w:r>
    </w:p>
    <w:p w:rsidR="0067029B" w:rsidRPr="003124F3" w:rsidRDefault="0067029B" w:rsidP="0067029B">
      <w:pPr>
        <w:ind w:right="372"/>
        <w:jc w:val="center"/>
        <w:rPr>
          <w:b/>
          <w:bCs/>
          <w:u w:val="single"/>
        </w:rPr>
      </w:pPr>
      <w:r w:rsidRPr="003124F3">
        <w:rPr>
          <w:b/>
          <w:bCs/>
          <w:u w:val="single"/>
        </w:rPr>
        <w:t xml:space="preserve">Select Legislative Instrument </w:t>
      </w:r>
      <w:r w:rsidR="00B16A0A">
        <w:rPr>
          <w:b/>
          <w:bCs/>
          <w:u w:val="single"/>
        </w:rPr>
        <w:t xml:space="preserve">No. 151, </w:t>
      </w:r>
      <w:r w:rsidRPr="003124F3">
        <w:rPr>
          <w:b/>
          <w:bCs/>
          <w:u w:val="single"/>
        </w:rPr>
        <w:t>201</w:t>
      </w:r>
      <w:r>
        <w:rPr>
          <w:b/>
          <w:bCs/>
          <w:u w:val="single"/>
        </w:rPr>
        <w:t>5</w:t>
      </w:r>
    </w:p>
    <w:p w:rsidR="0067029B" w:rsidRPr="00D02468" w:rsidRDefault="0067029B" w:rsidP="0067029B">
      <w:pPr>
        <w:ind w:right="372"/>
        <w:jc w:val="center"/>
      </w:pPr>
      <w:r>
        <w:t>Issued by the a</w:t>
      </w:r>
      <w:r w:rsidRPr="00D02468">
        <w:t xml:space="preserve">uthority of the </w:t>
      </w:r>
      <w:r w:rsidR="0042766E">
        <w:t>Minister for Finance</w:t>
      </w:r>
    </w:p>
    <w:p w:rsidR="0067029B" w:rsidRPr="003124F3" w:rsidRDefault="0042766E" w:rsidP="0067029B">
      <w:pPr>
        <w:jc w:val="center"/>
        <w:rPr>
          <w:i/>
        </w:rPr>
      </w:pPr>
      <w:r w:rsidRPr="006810E3">
        <w:rPr>
          <w:i/>
        </w:rPr>
        <w:t>Judges’ Pensions Act 1968</w:t>
      </w:r>
    </w:p>
    <w:p w:rsidR="0067029B" w:rsidRPr="003124F3" w:rsidRDefault="0042766E" w:rsidP="0067029B">
      <w:pPr>
        <w:jc w:val="center"/>
        <w:rPr>
          <w:i/>
        </w:rPr>
      </w:pPr>
      <w:bookmarkStart w:id="0" w:name="_GoBack"/>
      <w:r w:rsidRPr="00D34F34">
        <w:rPr>
          <w:i/>
        </w:rPr>
        <w:t>Judges’ Pensions Amendment (Age Factors) Regulation 2015</w:t>
      </w:r>
      <w:bookmarkEnd w:id="0"/>
    </w:p>
    <w:p w:rsidR="0067029B" w:rsidRDefault="0067029B"/>
    <w:p w:rsidR="000D62D2" w:rsidRPr="000D62D2" w:rsidRDefault="000D62D2" w:rsidP="000B1592">
      <w:pPr>
        <w:spacing w:before="240"/>
        <w:rPr>
          <w:u w:val="single"/>
        </w:rPr>
      </w:pPr>
      <w:r w:rsidRPr="000D62D2">
        <w:rPr>
          <w:u w:val="single"/>
        </w:rPr>
        <w:t>Purpose of the Regulation</w:t>
      </w:r>
    </w:p>
    <w:p w:rsidR="00776311" w:rsidRDefault="00776311" w:rsidP="00776311">
      <w:r>
        <w:t>T</w:t>
      </w:r>
      <w:r w:rsidRPr="00676966">
        <w:t xml:space="preserve">he </w:t>
      </w:r>
      <w:r w:rsidRPr="006810E3">
        <w:rPr>
          <w:i/>
        </w:rPr>
        <w:t>Judges’ Pensions Act 1968</w:t>
      </w:r>
      <w:r>
        <w:t xml:space="preserve"> </w:t>
      </w:r>
      <w:r w:rsidRPr="00AB1261">
        <w:t>(Judges’ Act)</w:t>
      </w:r>
      <w:r w:rsidRPr="00503E44">
        <w:t xml:space="preserve"> </w:t>
      </w:r>
      <w:r>
        <w:t>establishes t</w:t>
      </w:r>
      <w:r w:rsidRPr="00676966">
        <w:t xml:space="preserve">he </w:t>
      </w:r>
      <w:r>
        <w:t>Judges’ Pension</w:t>
      </w:r>
      <w:r w:rsidR="006C35F4">
        <w:t>s</w:t>
      </w:r>
      <w:r>
        <w:t xml:space="preserve"> Scheme (JPS) which </w:t>
      </w:r>
      <w:r w:rsidRPr="00676966">
        <w:t xml:space="preserve">provides superannuation benefits for </w:t>
      </w:r>
      <w:r>
        <w:t>office holders who fall under the definition of “Judge” in that Act</w:t>
      </w:r>
      <w:r w:rsidRPr="00676966">
        <w:t>.</w:t>
      </w:r>
    </w:p>
    <w:p w:rsidR="00542E91" w:rsidRPr="005A0CB6" w:rsidRDefault="00542E91" w:rsidP="00542E91">
      <w:pPr>
        <w:pStyle w:val="NumberList"/>
        <w:numPr>
          <w:ilvl w:val="0"/>
          <w:numId w:val="0"/>
        </w:numPr>
        <w:tabs>
          <w:tab w:val="clear" w:pos="1985"/>
          <w:tab w:val="left" w:pos="426"/>
        </w:tabs>
        <w:spacing w:before="0" w:after="120"/>
      </w:pPr>
      <w:r w:rsidRPr="005A0CB6">
        <w:t xml:space="preserve">Judges who commenced service </w:t>
      </w:r>
      <w:r>
        <w:t>after 20 August 1996 and before 1 July 2005 are subject to</w:t>
      </w:r>
      <w:r w:rsidRPr="005A0CB6">
        <w:t xml:space="preserve"> the </w:t>
      </w:r>
      <w:r>
        <w:t>s</w:t>
      </w:r>
      <w:r w:rsidRPr="005A0CB6">
        <w:t xml:space="preserve">uperannuation </w:t>
      </w:r>
      <w:r>
        <w:t>c</w:t>
      </w:r>
      <w:r w:rsidRPr="005A0CB6">
        <w:t xml:space="preserve">ontributions </w:t>
      </w:r>
      <w:r>
        <w:t>s</w:t>
      </w:r>
      <w:r w:rsidRPr="005A0CB6">
        <w:t>urcharge (</w:t>
      </w:r>
      <w:r>
        <w:t>s</w:t>
      </w:r>
      <w:r w:rsidRPr="005A0CB6">
        <w:t>urcharge)</w:t>
      </w:r>
      <w:r>
        <w:t>, which</w:t>
      </w:r>
      <w:r w:rsidRPr="00B035D9">
        <w:t xml:space="preserve"> </w:t>
      </w:r>
      <w:r>
        <w:t>is an additional tax on certain contributions made to a superannuation fund</w:t>
      </w:r>
      <w:r w:rsidRPr="00BF4027">
        <w:t xml:space="preserve"> </w:t>
      </w:r>
      <w:r w:rsidRPr="005A0CB6">
        <w:t xml:space="preserve">between </w:t>
      </w:r>
      <w:r>
        <w:t>those dates</w:t>
      </w:r>
      <w:r w:rsidRPr="005A0CB6">
        <w:t xml:space="preserve">. The </w:t>
      </w:r>
      <w:r w:rsidRPr="00AB1261">
        <w:t>Judges’ Act</w:t>
      </w:r>
      <w:r w:rsidRPr="005A0CB6">
        <w:t xml:space="preserve"> gives retiring </w:t>
      </w:r>
      <w:r>
        <w:t>J</w:t>
      </w:r>
      <w:r w:rsidRPr="005A0CB6">
        <w:t xml:space="preserve">udges the option of </w:t>
      </w:r>
      <w:r>
        <w:t xml:space="preserve">making a payment </w:t>
      </w:r>
      <w:r w:rsidRPr="005A0CB6">
        <w:t xml:space="preserve">from their JPS entitlements to </w:t>
      </w:r>
      <w:r>
        <w:t xml:space="preserve">discharge </w:t>
      </w:r>
      <w:r w:rsidRPr="005A0CB6">
        <w:t xml:space="preserve">their </w:t>
      </w:r>
      <w:r>
        <w:t>s</w:t>
      </w:r>
      <w:r w:rsidRPr="005A0CB6">
        <w:t>urcharge liability</w:t>
      </w:r>
      <w:r>
        <w:t xml:space="preserve"> and accepting a permanent reduction in their </w:t>
      </w:r>
      <w:r w:rsidRPr="005A0CB6">
        <w:t>JPS pension</w:t>
      </w:r>
      <w:r>
        <w:t>. A</w:t>
      </w:r>
      <w:r w:rsidRPr="005A0CB6">
        <w:t>ge</w:t>
      </w:r>
      <w:r>
        <w:t xml:space="preserve"> </w:t>
      </w:r>
      <w:r w:rsidRPr="005A0CB6">
        <w:t xml:space="preserve">factors specified in regulations made under the </w:t>
      </w:r>
      <w:r w:rsidRPr="00AB1261">
        <w:t>Judges’ Act</w:t>
      </w:r>
      <w:r w:rsidRPr="005A0CB6">
        <w:t xml:space="preserve"> </w:t>
      </w:r>
      <w:r>
        <w:t xml:space="preserve">are used to </w:t>
      </w:r>
      <w:r w:rsidR="003B2904">
        <w:t>work out</w:t>
      </w:r>
      <w:r>
        <w:t xml:space="preserve"> this reduction</w:t>
      </w:r>
      <w:r w:rsidRPr="005A0CB6">
        <w:t>.</w:t>
      </w:r>
    </w:p>
    <w:p w:rsidR="00606225" w:rsidRDefault="00606225" w:rsidP="00606225">
      <w:r w:rsidRPr="00073DB6">
        <w:t xml:space="preserve">The </w:t>
      </w:r>
      <w:r w:rsidRPr="00D34F34">
        <w:rPr>
          <w:i/>
        </w:rPr>
        <w:t>Judges’ Pensions Amendment (Age Factors) Regulation 2015</w:t>
      </w:r>
      <w:r w:rsidRPr="00073DB6">
        <w:t xml:space="preserve"> </w:t>
      </w:r>
      <w:r>
        <w:t xml:space="preserve">(the Regulation) amends the </w:t>
      </w:r>
      <w:r w:rsidRPr="00503AB8">
        <w:rPr>
          <w:i/>
        </w:rPr>
        <w:t>Judges’ Pensions Regulations 1998</w:t>
      </w:r>
      <w:r w:rsidRPr="004746C5">
        <w:t xml:space="preserve"> to provide for updated age factors</w:t>
      </w:r>
      <w:r>
        <w:t xml:space="preserve">. </w:t>
      </w:r>
      <w:r w:rsidR="00610D54">
        <w:t xml:space="preserve">These </w:t>
      </w:r>
      <w:r w:rsidR="000B3A01">
        <w:t xml:space="preserve">age </w:t>
      </w:r>
      <w:r w:rsidR="00610D54">
        <w:t xml:space="preserve">factors were prepared by </w:t>
      </w:r>
      <w:r w:rsidR="004D19AE">
        <w:t xml:space="preserve">the </w:t>
      </w:r>
      <w:r w:rsidR="00610D54" w:rsidRPr="005A0CB6">
        <w:t>Australian Government Actuary</w:t>
      </w:r>
      <w:r w:rsidR="00610D54">
        <w:rPr>
          <w:szCs w:val="24"/>
        </w:rPr>
        <w:t xml:space="preserve"> (AGA) and</w:t>
      </w:r>
      <w:r w:rsidR="007726CE">
        <w:rPr>
          <w:szCs w:val="24"/>
        </w:rPr>
        <w:t xml:space="preserve"> </w:t>
      </w:r>
      <w:r>
        <w:t xml:space="preserve">reflect assumptions regarding </w:t>
      </w:r>
      <w:r w:rsidRPr="008769E6">
        <w:rPr>
          <w:bCs/>
        </w:rPr>
        <w:t xml:space="preserve">life expectancies </w:t>
      </w:r>
      <w:r>
        <w:t xml:space="preserve">which were adopted by </w:t>
      </w:r>
      <w:r w:rsidRPr="005A0CB6">
        <w:t>the AGA</w:t>
      </w:r>
      <w:r>
        <w:t xml:space="preserve"> in the 2014 Long Term Cost Report for the JPS.</w:t>
      </w:r>
    </w:p>
    <w:p w:rsidR="00606225" w:rsidRDefault="00606225" w:rsidP="00606225">
      <w:r w:rsidRPr="00C41C2B">
        <w:rPr>
          <w:bCs/>
        </w:rPr>
        <w:t xml:space="preserve">Increasing life expectancies mean that </w:t>
      </w:r>
      <w:r w:rsidR="00BE117A">
        <w:rPr>
          <w:bCs/>
        </w:rPr>
        <w:t>J</w:t>
      </w:r>
      <w:r>
        <w:rPr>
          <w:bCs/>
        </w:rPr>
        <w:t xml:space="preserve">udges’ </w:t>
      </w:r>
      <w:r w:rsidRPr="00C41C2B">
        <w:rPr>
          <w:bCs/>
        </w:rPr>
        <w:t>surcharge debt</w:t>
      </w:r>
      <w:r>
        <w:rPr>
          <w:bCs/>
        </w:rPr>
        <w:t>s</w:t>
      </w:r>
      <w:r w:rsidRPr="00C41C2B">
        <w:rPr>
          <w:bCs/>
        </w:rPr>
        <w:t xml:space="preserve"> </w:t>
      </w:r>
      <w:r>
        <w:rPr>
          <w:bCs/>
        </w:rPr>
        <w:t>will be</w:t>
      </w:r>
      <w:r w:rsidRPr="00C41C2B">
        <w:rPr>
          <w:bCs/>
        </w:rPr>
        <w:t xml:space="preserve"> discharged over a longer period of time, </w:t>
      </w:r>
      <w:r w:rsidR="00566AFC">
        <w:rPr>
          <w:bCs/>
        </w:rPr>
        <w:t>so</w:t>
      </w:r>
      <w:r w:rsidRPr="00C41C2B">
        <w:rPr>
          <w:bCs/>
        </w:rPr>
        <w:t xml:space="preserve"> </w:t>
      </w:r>
      <w:r>
        <w:rPr>
          <w:bCs/>
        </w:rPr>
        <w:t xml:space="preserve">affected </w:t>
      </w:r>
      <w:r w:rsidR="00BE117A">
        <w:rPr>
          <w:bCs/>
        </w:rPr>
        <w:t>J</w:t>
      </w:r>
      <w:r w:rsidRPr="00C41C2B">
        <w:rPr>
          <w:bCs/>
        </w:rPr>
        <w:t>udges will receive marginally higher pen</w:t>
      </w:r>
      <w:r>
        <w:rPr>
          <w:bCs/>
        </w:rPr>
        <w:t>s</w:t>
      </w:r>
      <w:r w:rsidRPr="00C41C2B">
        <w:rPr>
          <w:bCs/>
        </w:rPr>
        <w:t>ion payments. The effect of this chan</w:t>
      </w:r>
      <w:r>
        <w:rPr>
          <w:bCs/>
        </w:rPr>
        <w:t>g</w:t>
      </w:r>
      <w:r w:rsidRPr="00C41C2B">
        <w:rPr>
          <w:bCs/>
        </w:rPr>
        <w:t xml:space="preserve">e </w:t>
      </w:r>
      <w:r>
        <w:rPr>
          <w:bCs/>
        </w:rPr>
        <w:t>will be minimal due to</w:t>
      </w:r>
      <w:r w:rsidR="00BE117A">
        <w:rPr>
          <w:bCs/>
        </w:rPr>
        <w:t xml:space="preserve"> the small number of remaining J</w:t>
      </w:r>
      <w:r>
        <w:rPr>
          <w:bCs/>
        </w:rPr>
        <w:t>udges who have a surcharge debt.</w:t>
      </w:r>
    </w:p>
    <w:p w:rsidR="000B1592" w:rsidRPr="000B1592" w:rsidRDefault="000B1592" w:rsidP="000B1592">
      <w:pPr>
        <w:spacing w:before="240"/>
        <w:rPr>
          <w:u w:val="single"/>
        </w:rPr>
      </w:pPr>
      <w:r w:rsidRPr="000B1592">
        <w:rPr>
          <w:u w:val="single"/>
        </w:rPr>
        <w:t xml:space="preserve">Authority for the </w:t>
      </w:r>
      <w:r w:rsidR="006D47F1" w:rsidRPr="000D62D2">
        <w:rPr>
          <w:u w:val="single"/>
        </w:rPr>
        <w:t>Regulation</w:t>
      </w:r>
    </w:p>
    <w:p w:rsidR="00483413" w:rsidRDefault="00483413" w:rsidP="00483413">
      <w:pPr>
        <w:rPr>
          <w:szCs w:val="24"/>
        </w:rPr>
      </w:pPr>
      <w:r>
        <w:t>S</w:t>
      </w:r>
      <w:r w:rsidRPr="00503E44">
        <w:t xml:space="preserve">ection </w:t>
      </w:r>
      <w:r>
        <w:t xml:space="preserve">21 </w:t>
      </w:r>
      <w:r w:rsidRPr="00503E44">
        <w:t>of the</w:t>
      </w:r>
      <w:r>
        <w:t xml:space="preserve"> </w:t>
      </w:r>
      <w:r w:rsidRPr="00AB1261">
        <w:t>Judges’ Act</w:t>
      </w:r>
      <w:r w:rsidRPr="00503E44">
        <w:t xml:space="preserve"> provides that the Governor-General may make regulations prescribing matters required or permitted by the Act to be prescribed, or necessary or convenient to be prescribed for carrying out or giving effect to the Act.</w:t>
      </w:r>
    </w:p>
    <w:p w:rsidR="00CA309C" w:rsidRDefault="00BD79B0" w:rsidP="00BD79B0">
      <w:r>
        <w:t xml:space="preserve">The authority to prescribe the age factors in the regulations derives from subsection 6C(4) of the </w:t>
      </w:r>
      <w:r w:rsidRPr="00AB1261">
        <w:t>Judges’ Act</w:t>
      </w:r>
      <w:r>
        <w:t xml:space="preserve">. The authority to amend the age factors derives from </w:t>
      </w:r>
      <w:r w:rsidR="00CA309C">
        <w:t>s</w:t>
      </w:r>
      <w:r w:rsidR="00CA309C" w:rsidRPr="00CA309C">
        <w:rPr>
          <w:szCs w:val="24"/>
        </w:rPr>
        <w:t xml:space="preserve">ubsection 33(3) of the </w:t>
      </w:r>
      <w:r w:rsidR="00CA309C" w:rsidRPr="00CA309C">
        <w:rPr>
          <w:i/>
          <w:szCs w:val="24"/>
        </w:rPr>
        <w:t>Acts Interpretation Act 1901</w:t>
      </w:r>
      <w:r w:rsidR="00CA309C" w:rsidRPr="00CA309C">
        <w:rPr>
          <w:szCs w:val="24"/>
        </w:rPr>
        <w:t xml:space="preserve"> </w:t>
      </w:r>
      <w:r w:rsidR="00CA309C">
        <w:rPr>
          <w:szCs w:val="24"/>
        </w:rPr>
        <w:t xml:space="preserve">which </w:t>
      </w:r>
      <w:r w:rsidR="00CA309C" w:rsidRPr="00CA309C">
        <w:rPr>
          <w:szCs w:val="24"/>
        </w:rPr>
        <w:t>provides, among other things, that where an Act confers power to make regulations the power shall, unless the contrary intention appears, be construed as including a power, exercisable in like manner, to amend the regulations. No such contrary intention appears in the Judges’ Act.</w:t>
      </w:r>
    </w:p>
    <w:p w:rsidR="00923995" w:rsidRDefault="00923995" w:rsidP="00923995">
      <w:r>
        <w:t xml:space="preserve">The </w:t>
      </w:r>
      <w:r w:rsidRPr="00AB1261">
        <w:t>Judges’ Act</w:t>
      </w:r>
      <w:r w:rsidRPr="00503E44">
        <w:t xml:space="preserve"> </w:t>
      </w:r>
      <w:r>
        <w:t>does not specify any conditions that need to be satisfied before the power to make the Regulation may be exercised.</w:t>
      </w:r>
    </w:p>
    <w:p w:rsidR="00DF7BBD" w:rsidRDefault="00DF7BBD" w:rsidP="00923995"/>
    <w:p w:rsidR="00212E41" w:rsidRDefault="00212E41" w:rsidP="00923995"/>
    <w:p w:rsidR="00212E41" w:rsidRPr="00212E41" w:rsidRDefault="00212E41" w:rsidP="00212E41">
      <w:pPr>
        <w:spacing w:before="240"/>
        <w:rPr>
          <w:u w:val="single"/>
        </w:rPr>
      </w:pPr>
      <w:r w:rsidRPr="00212E41">
        <w:rPr>
          <w:u w:val="single"/>
        </w:rPr>
        <w:lastRenderedPageBreak/>
        <w:t>Legislative Instruments Act 2003</w:t>
      </w:r>
    </w:p>
    <w:p w:rsidR="00DF3623" w:rsidRDefault="00DF3623" w:rsidP="00DF3623">
      <w:r>
        <w:t xml:space="preserve">The Regulation is a legislative instrument for the purposes of the </w:t>
      </w:r>
      <w:r w:rsidRPr="00A57210">
        <w:rPr>
          <w:i/>
        </w:rPr>
        <w:t>Legislative Instruments Act 2003</w:t>
      </w:r>
      <w:r w:rsidR="00153043">
        <w:t xml:space="preserve"> (LIA).</w:t>
      </w:r>
      <w:r w:rsidR="0017496C">
        <w:t xml:space="preserve"> </w:t>
      </w:r>
      <w:r w:rsidR="0017496C">
        <w:rPr>
          <w:szCs w:val="24"/>
        </w:rPr>
        <w:t>However, the Regulation is exempted from sunsetting</w:t>
      </w:r>
      <w:r w:rsidR="0017496C" w:rsidRPr="001261C9">
        <w:rPr>
          <w:szCs w:val="24"/>
        </w:rPr>
        <w:t xml:space="preserve"> </w:t>
      </w:r>
      <w:r w:rsidR="0017496C">
        <w:rPr>
          <w:szCs w:val="24"/>
        </w:rPr>
        <w:t xml:space="preserve">by item </w:t>
      </w:r>
      <w:r w:rsidR="003913C6">
        <w:rPr>
          <w:szCs w:val="24"/>
        </w:rPr>
        <w:t>21</w:t>
      </w:r>
      <w:r w:rsidR="0017496C">
        <w:rPr>
          <w:szCs w:val="24"/>
        </w:rPr>
        <w:t xml:space="preserve"> of the table </w:t>
      </w:r>
      <w:r w:rsidR="0017496C" w:rsidRPr="001D7BE3">
        <w:t xml:space="preserve">in </w:t>
      </w:r>
      <w:r w:rsidR="009E3FE9">
        <w:t>S</w:t>
      </w:r>
      <w:r w:rsidR="003913C6">
        <w:t>chedule 3</w:t>
      </w:r>
      <w:r w:rsidR="0017496C" w:rsidRPr="001D7BE3">
        <w:t xml:space="preserve"> of the</w:t>
      </w:r>
      <w:r w:rsidR="0017496C">
        <w:t xml:space="preserve"> </w:t>
      </w:r>
      <w:r w:rsidR="003913C6" w:rsidRPr="003913C6">
        <w:rPr>
          <w:i/>
        </w:rPr>
        <w:t>Legislative Instruments Regulations 2004</w:t>
      </w:r>
      <w:r w:rsidR="0017496C" w:rsidRPr="001D7BE3">
        <w:t>.</w:t>
      </w:r>
    </w:p>
    <w:p w:rsidR="003E5F97" w:rsidRPr="00212E41" w:rsidRDefault="003E5F97" w:rsidP="003E5F97">
      <w:pPr>
        <w:spacing w:before="240"/>
        <w:rPr>
          <w:u w:val="single"/>
        </w:rPr>
      </w:pPr>
      <w:r w:rsidRPr="003E5F97">
        <w:rPr>
          <w:u w:val="single"/>
        </w:rPr>
        <w:t>Consultation</w:t>
      </w:r>
    </w:p>
    <w:p w:rsidR="00DF3623" w:rsidRDefault="00F87FF6" w:rsidP="00B448BE">
      <w:pPr>
        <w:rPr>
          <w:szCs w:val="24"/>
        </w:rPr>
      </w:pPr>
      <w:r>
        <w:rPr>
          <w:szCs w:val="24"/>
        </w:rPr>
        <w:t xml:space="preserve">Consistent with paragraph 18(2)(a) of the LIA, consultation was considered </w:t>
      </w:r>
      <w:r w:rsidR="007264D8">
        <w:rPr>
          <w:szCs w:val="24"/>
        </w:rPr>
        <w:t>un</w:t>
      </w:r>
      <w:r>
        <w:rPr>
          <w:szCs w:val="24"/>
        </w:rPr>
        <w:t>necessary as the Regulation</w:t>
      </w:r>
      <w:r w:rsidRPr="00B448BE">
        <w:rPr>
          <w:szCs w:val="24"/>
        </w:rPr>
        <w:t xml:space="preserve"> is of a minor or machinery nature and does not substantially alter existing arrangements</w:t>
      </w:r>
      <w:r w:rsidR="00B720C7">
        <w:rPr>
          <w:szCs w:val="24"/>
        </w:rPr>
        <w:t>.</w:t>
      </w:r>
    </w:p>
    <w:p w:rsidR="003E5F97" w:rsidRPr="003E5F97" w:rsidRDefault="003E5F97" w:rsidP="003E5F97">
      <w:pPr>
        <w:spacing w:before="240"/>
        <w:rPr>
          <w:u w:val="single"/>
        </w:rPr>
      </w:pPr>
      <w:r w:rsidRPr="003E5F97">
        <w:rPr>
          <w:u w:val="single"/>
        </w:rPr>
        <w:t>Regulatory impact analysis</w:t>
      </w:r>
    </w:p>
    <w:p w:rsidR="00DF3623" w:rsidRDefault="00DF3623" w:rsidP="00186C6E">
      <w:r w:rsidRPr="00D2522C">
        <w:t xml:space="preserve">A </w:t>
      </w:r>
      <w:r w:rsidRPr="00186C6E">
        <w:rPr>
          <w:szCs w:val="24"/>
        </w:rPr>
        <w:t>Regulation</w:t>
      </w:r>
      <w:r w:rsidRPr="00D2522C">
        <w:t xml:space="preserve"> Impact Statement </w:t>
      </w:r>
      <w:r w:rsidR="006226AD">
        <w:t xml:space="preserve">(RIS) </w:t>
      </w:r>
      <w:r w:rsidRPr="00D2522C">
        <w:t>was not prepared for th</w:t>
      </w:r>
      <w:r w:rsidR="00B4430B">
        <w:t>e</w:t>
      </w:r>
      <w:r w:rsidRPr="00D2522C">
        <w:t xml:space="preserve"> Regulation because </w:t>
      </w:r>
      <w:r w:rsidR="006226AD">
        <w:t xml:space="preserve">the </w:t>
      </w:r>
      <w:r w:rsidR="00B4430B">
        <w:t>amendment</w:t>
      </w:r>
      <w:r w:rsidR="00565279">
        <w:t>s</w:t>
      </w:r>
      <w:r w:rsidR="006226AD">
        <w:t xml:space="preserve"> only </w:t>
      </w:r>
      <w:r w:rsidR="00BB7E22">
        <w:t xml:space="preserve">affect </w:t>
      </w:r>
      <w:r w:rsidR="00E92B3B">
        <w:t>members of the JPS</w:t>
      </w:r>
      <w:r w:rsidR="006226AD">
        <w:t xml:space="preserve"> and will have a nil or minor impact on business, community organisations and individuals. </w:t>
      </w:r>
      <w:r w:rsidRPr="00D2522C">
        <w:t>Th</w:t>
      </w:r>
      <w:r w:rsidR="006226AD">
        <w:t>e</w:t>
      </w:r>
      <w:r w:rsidRPr="00D2522C">
        <w:t xml:space="preserve"> Office of Best Practice Regulation </w:t>
      </w:r>
      <w:r w:rsidR="00B4430B">
        <w:t xml:space="preserve">(OBPR) </w:t>
      </w:r>
      <w:r w:rsidR="006226AD">
        <w:t xml:space="preserve">has confirmed that a RIS is not required </w:t>
      </w:r>
      <w:r w:rsidRPr="00D2522C">
        <w:t>(OBPR ref</w:t>
      </w:r>
      <w:r w:rsidR="00405EC2">
        <w:t>.</w:t>
      </w:r>
      <w:r w:rsidRPr="00D2522C">
        <w:t xml:space="preserve"> </w:t>
      </w:r>
      <w:r w:rsidR="006226AD" w:rsidRPr="006226AD">
        <w:t>18367</w:t>
      </w:r>
      <w:r w:rsidRPr="00D2522C">
        <w:t>).</w:t>
      </w:r>
    </w:p>
    <w:p w:rsidR="00C4732F" w:rsidRPr="00C4732F" w:rsidRDefault="00C4732F" w:rsidP="00C4732F">
      <w:pPr>
        <w:spacing w:before="240"/>
        <w:rPr>
          <w:u w:val="single"/>
        </w:rPr>
      </w:pPr>
      <w:r>
        <w:rPr>
          <w:u w:val="single"/>
        </w:rPr>
        <w:t>Other issues</w:t>
      </w:r>
    </w:p>
    <w:p w:rsidR="00AD1270" w:rsidRDefault="00AD1270" w:rsidP="00AD1270">
      <w:r>
        <w:t xml:space="preserve">Details of </w:t>
      </w:r>
      <w:r w:rsidRPr="00C973F0">
        <w:rPr>
          <w:bCs/>
        </w:rPr>
        <w:t>the</w:t>
      </w:r>
      <w:r>
        <w:t xml:space="preserve"> amendments are set out in </w:t>
      </w:r>
      <w:r w:rsidRPr="004D3E52">
        <w:rPr>
          <w:u w:val="single"/>
        </w:rPr>
        <w:t>Attachment A</w:t>
      </w:r>
      <w:r>
        <w:t>.</w:t>
      </w:r>
    </w:p>
    <w:p w:rsidR="00AD1270" w:rsidRDefault="00AD1270" w:rsidP="00AD1270">
      <w:r>
        <w:t xml:space="preserve">A statement of Compatibility with Human Rights is at </w:t>
      </w:r>
      <w:r w:rsidRPr="008E593F">
        <w:rPr>
          <w:u w:val="single"/>
        </w:rPr>
        <w:t>Attachment B</w:t>
      </w:r>
      <w:r>
        <w:t>.</w:t>
      </w:r>
    </w:p>
    <w:p w:rsidR="00DF3623" w:rsidRDefault="00212E41" w:rsidP="00186C6E">
      <w:pPr>
        <w:rPr>
          <w:i/>
        </w:rPr>
      </w:pPr>
      <w:r w:rsidRPr="00EF1F66">
        <w:rPr>
          <w:szCs w:val="24"/>
        </w:rPr>
        <w:t xml:space="preserve">The </w:t>
      </w:r>
      <w:r w:rsidR="00CB37B6">
        <w:rPr>
          <w:szCs w:val="24"/>
        </w:rPr>
        <w:t>Regulation</w:t>
      </w:r>
      <w:r>
        <w:rPr>
          <w:szCs w:val="24"/>
        </w:rPr>
        <w:t xml:space="preserve"> commences </w:t>
      </w:r>
      <w:r w:rsidRPr="00EF1F66">
        <w:rPr>
          <w:szCs w:val="24"/>
        </w:rPr>
        <w:t>on the day after it is registered.</w:t>
      </w:r>
    </w:p>
    <w:p w:rsidR="001D1AEE" w:rsidRDefault="001D1AEE" w:rsidP="00F550BE">
      <w:r>
        <w:br w:type="page"/>
      </w:r>
    </w:p>
    <w:p w:rsidR="00280393" w:rsidRPr="00CB6726" w:rsidRDefault="00280393" w:rsidP="00280393">
      <w:pPr>
        <w:spacing w:before="360" w:after="360"/>
        <w:jc w:val="right"/>
        <w:rPr>
          <w:b/>
          <w:u w:val="single"/>
        </w:rPr>
      </w:pPr>
      <w:r w:rsidRPr="00CB6726">
        <w:rPr>
          <w:b/>
          <w:u w:val="single"/>
        </w:rPr>
        <w:lastRenderedPageBreak/>
        <w:t>A</w:t>
      </w:r>
      <w:r w:rsidR="00FC7C15">
        <w:rPr>
          <w:b/>
          <w:u w:val="single"/>
        </w:rPr>
        <w:t xml:space="preserve">ttachment </w:t>
      </w:r>
      <w:r w:rsidRPr="00CB6726">
        <w:rPr>
          <w:b/>
          <w:u w:val="single"/>
        </w:rPr>
        <w:t>A</w:t>
      </w:r>
    </w:p>
    <w:p w:rsidR="001D1AEE" w:rsidRPr="00CB6726" w:rsidRDefault="001D1AEE" w:rsidP="001D1AEE">
      <w:pPr>
        <w:spacing w:before="360" w:after="360"/>
        <w:rPr>
          <w:b/>
          <w:i/>
          <w:u w:val="single"/>
        </w:rPr>
      </w:pPr>
      <w:r w:rsidRPr="00CB6726">
        <w:rPr>
          <w:b/>
          <w:u w:val="single"/>
        </w:rPr>
        <w:t xml:space="preserve">Details of the </w:t>
      </w:r>
      <w:r w:rsidR="00A12E6E" w:rsidRPr="00A12E6E">
        <w:rPr>
          <w:b/>
          <w:i/>
          <w:u w:val="single"/>
        </w:rPr>
        <w:t>Judges’ Pensions Amendment (Age Factors) Regulation 2015</w:t>
      </w:r>
    </w:p>
    <w:p w:rsidR="001D1AEE" w:rsidRDefault="0095521B" w:rsidP="00F24D40">
      <w:pPr>
        <w:spacing w:before="240"/>
        <w:rPr>
          <w:u w:val="single"/>
        </w:rPr>
      </w:pPr>
      <w:r>
        <w:rPr>
          <w:u w:val="single"/>
        </w:rPr>
        <w:t>Section</w:t>
      </w:r>
      <w:r w:rsidRPr="00F20465">
        <w:rPr>
          <w:u w:val="single"/>
        </w:rPr>
        <w:t xml:space="preserve"> </w:t>
      </w:r>
      <w:r w:rsidR="001D1AEE" w:rsidRPr="00F20465">
        <w:rPr>
          <w:u w:val="single"/>
        </w:rPr>
        <w:t>1</w:t>
      </w:r>
      <w:r w:rsidR="00B71F93">
        <w:rPr>
          <w:u w:val="single"/>
        </w:rPr>
        <w:t xml:space="preserve"> </w:t>
      </w:r>
      <w:r w:rsidR="001D1AEE">
        <w:rPr>
          <w:u w:val="single"/>
        </w:rPr>
        <w:t>–</w:t>
      </w:r>
      <w:r w:rsidR="00B71F93">
        <w:rPr>
          <w:u w:val="single"/>
        </w:rPr>
        <w:t xml:space="preserve"> </w:t>
      </w:r>
      <w:r w:rsidR="001D1AEE">
        <w:rPr>
          <w:u w:val="single"/>
        </w:rPr>
        <w:t>Name of Regulation</w:t>
      </w:r>
    </w:p>
    <w:p w:rsidR="001D1AEE" w:rsidRDefault="002C1E6C" w:rsidP="00F24D40">
      <w:pPr>
        <w:spacing w:before="0"/>
      </w:pPr>
      <w:r>
        <w:t xml:space="preserve">This </w:t>
      </w:r>
      <w:r w:rsidR="0095521B">
        <w:t>section</w:t>
      </w:r>
      <w:r w:rsidR="00D919DB">
        <w:t xml:space="preserve"> </w:t>
      </w:r>
      <w:r>
        <w:t xml:space="preserve">provides </w:t>
      </w:r>
      <w:r w:rsidR="00A277E1">
        <w:t xml:space="preserve">that </w:t>
      </w:r>
      <w:r>
        <w:t xml:space="preserve">the name of the Regulation is the </w:t>
      </w:r>
      <w:r w:rsidR="00C73A71" w:rsidRPr="00C73A71">
        <w:rPr>
          <w:i/>
        </w:rPr>
        <w:t>Judges’ Pensions Amendment (Age Factors) Regulation 2015</w:t>
      </w:r>
      <w:r>
        <w:t xml:space="preserve"> (the Regulation).</w:t>
      </w:r>
    </w:p>
    <w:p w:rsidR="002C1E6C" w:rsidRDefault="0095521B" w:rsidP="00F24D40">
      <w:pPr>
        <w:spacing w:before="240"/>
        <w:rPr>
          <w:u w:val="single"/>
        </w:rPr>
      </w:pPr>
      <w:r>
        <w:rPr>
          <w:u w:val="single"/>
        </w:rPr>
        <w:t>Section</w:t>
      </w:r>
      <w:r w:rsidRPr="002C1E6C">
        <w:rPr>
          <w:u w:val="single"/>
        </w:rPr>
        <w:t xml:space="preserve"> </w:t>
      </w:r>
      <w:r w:rsidR="002C1E6C" w:rsidRPr="002C1E6C">
        <w:rPr>
          <w:u w:val="single"/>
        </w:rPr>
        <w:t>2</w:t>
      </w:r>
      <w:r w:rsidR="00B71F93">
        <w:rPr>
          <w:u w:val="single"/>
        </w:rPr>
        <w:t xml:space="preserve"> </w:t>
      </w:r>
      <w:r w:rsidR="002C1E6C" w:rsidRPr="002C1E6C">
        <w:rPr>
          <w:u w:val="single"/>
        </w:rPr>
        <w:t>–</w:t>
      </w:r>
      <w:r w:rsidR="00B71F93">
        <w:rPr>
          <w:u w:val="single"/>
        </w:rPr>
        <w:t xml:space="preserve"> </w:t>
      </w:r>
      <w:r w:rsidR="002C1E6C" w:rsidRPr="002C1E6C">
        <w:rPr>
          <w:u w:val="single"/>
        </w:rPr>
        <w:t>Commencement</w:t>
      </w:r>
    </w:p>
    <w:p w:rsidR="003E4B5E" w:rsidRDefault="00977E66" w:rsidP="00F24D40">
      <w:pPr>
        <w:spacing w:before="0"/>
      </w:pPr>
      <w:r>
        <w:t>This section provides that the Regulation will commence the day after it is registered.</w:t>
      </w:r>
    </w:p>
    <w:p w:rsidR="003E4B5E" w:rsidRDefault="0095521B" w:rsidP="00F24D40">
      <w:pPr>
        <w:spacing w:before="240"/>
        <w:rPr>
          <w:u w:val="single"/>
        </w:rPr>
      </w:pPr>
      <w:r>
        <w:rPr>
          <w:u w:val="single"/>
        </w:rPr>
        <w:t>Section</w:t>
      </w:r>
      <w:r w:rsidRPr="003E4B5E">
        <w:rPr>
          <w:u w:val="single"/>
        </w:rPr>
        <w:t xml:space="preserve"> </w:t>
      </w:r>
      <w:r w:rsidR="003E4B5E" w:rsidRPr="003E4B5E">
        <w:rPr>
          <w:u w:val="single"/>
        </w:rPr>
        <w:t>3</w:t>
      </w:r>
      <w:r w:rsidR="00B71F93">
        <w:rPr>
          <w:u w:val="single"/>
        </w:rPr>
        <w:t xml:space="preserve"> </w:t>
      </w:r>
      <w:r w:rsidR="003E4B5E" w:rsidRPr="003E4B5E">
        <w:rPr>
          <w:u w:val="single"/>
        </w:rPr>
        <w:t>–</w:t>
      </w:r>
      <w:r w:rsidR="00B71F93">
        <w:rPr>
          <w:u w:val="single"/>
        </w:rPr>
        <w:t xml:space="preserve"> </w:t>
      </w:r>
      <w:r w:rsidR="003E4B5E">
        <w:rPr>
          <w:u w:val="single"/>
        </w:rPr>
        <w:t>Authority</w:t>
      </w:r>
    </w:p>
    <w:p w:rsidR="003E4B5E" w:rsidRDefault="00F550BE" w:rsidP="00F24D40">
      <w:pPr>
        <w:spacing w:before="0"/>
      </w:pPr>
      <w:r>
        <w:t xml:space="preserve">This </w:t>
      </w:r>
      <w:r w:rsidR="0095521B">
        <w:t xml:space="preserve">section </w:t>
      </w:r>
      <w:r>
        <w:t>provides that the R</w:t>
      </w:r>
      <w:r w:rsidR="003E4B5E" w:rsidRPr="003E4B5E">
        <w:t xml:space="preserve">egulation is made under the </w:t>
      </w:r>
      <w:r w:rsidR="00DD40F5" w:rsidRPr="006810E3">
        <w:rPr>
          <w:i/>
        </w:rPr>
        <w:t>Judges’ Pensions Act 1968</w:t>
      </w:r>
      <w:r w:rsidR="00DD40F5">
        <w:t xml:space="preserve"> </w:t>
      </w:r>
      <w:r w:rsidR="00DD40F5" w:rsidRPr="00AB1261">
        <w:t>(Judges’ Act)</w:t>
      </w:r>
      <w:r w:rsidR="003E4B5E">
        <w:t>.</w:t>
      </w:r>
    </w:p>
    <w:p w:rsidR="003E4B5E" w:rsidRPr="003E4B5E" w:rsidRDefault="0095521B" w:rsidP="00F24D40">
      <w:pPr>
        <w:spacing w:before="240"/>
        <w:rPr>
          <w:u w:val="single"/>
        </w:rPr>
      </w:pPr>
      <w:r>
        <w:rPr>
          <w:u w:val="single"/>
        </w:rPr>
        <w:t>Section</w:t>
      </w:r>
      <w:r w:rsidRPr="003E4B5E">
        <w:rPr>
          <w:u w:val="single"/>
        </w:rPr>
        <w:t xml:space="preserve"> </w:t>
      </w:r>
      <w:r w:rsidR="003E4B5E" w:rsidRPr="003E4B5E">
        <w:rPr>
          <w:u w:val="single"/>
        </w:rPr>
        <w:t>4</w:t>
      </w:r>
      <w:r w:rsidR="00B71F93">
        <w:rPr>
          <w:u w:val="single"/>
        </w:rPr>
        <w:t xml:space="preserve"> </w:t>
      </w:r>
      <w:r w:rsidR="003E4B5E" w:rsidRPr="003E4B5E">
        <w:rPr>
          <w:u w:val="single"/>
        </w:rPr>
        <w:t>–</w:t>
      </w:r>
      <w:r w:rsidR="00B71F93">
        <w:rPr>
          <w:u w:val="single"/>
        </w:rPr>
        <w:t xml:space="preserve"> </w:t>
      </w:r>
      <w:r w:rsidR="003E4B5E" w:rsidRPr="003E4B5E">
        <w:rPr>
          <w:u w:val="single"/>
        </w:rPr>
        <w:t>Schedule(s)</w:t>
      </w:r>
    </w:p>
    <w:p w:rsidR="00997E48" w:rsidRDefault="00997E48" w:rsidP="00F24D40">
      <w:pPr>
        <w:spacing w:before="0"/>
      </w:pPr>
      <w:r w:rsidRPr="00997E48">
        <w:t>This section provides for the operation of Schedule 1 to the Regulation</w:t>
      </w:r>
      <w:r w:rsidR="009E3F85">
        <w:t xml:space="preserve">, which amends </w:t>
      </w:r>
      <w:r w:rsidRPr="00997E48">
        <w:t xml:space="preserve">the </w:t>
      </w:r>
      <w:r w:rsidR="009E3F85" w:rsidRPr="00503AB8">
        <w:rPr>
          <w:i/>
        </w:rPr>
        <w:t>Judges’ Pensions Regulations 1998</w:t>
      </w:r>
      <w:r w:rsidRPr="00997E48">
        <w:t>.</w:t>
      </w:r>
    </w:p>
    <w:p w:rsidR="001D1AEE" w:rsidRDefault="003E4B5E" w:rsidP="00F24D40">
      <w:pPr>
        <w:spacing w:before="240"/>
        <w:rPr>
          <w:b/>
        </w:rPr>
      </w:pPr>
      <w:r w:rsidRPr="003E4B5E">
        <w:rPr>
          <w:b/>
        </w:rPr>
        <w:t>Schedule 1</w:t>
      </w:r>
      <w:r w:rsidR="00F31CD2">
        <w:rPr>
          <w:b/>
        </w:rPr>
        <w:t xml:space="preserve"> </w:t>
      </w:r>
      <w:r w:rsidR="00B71F93">
        <w:rPr>
          <w:b/>
        </w:rPr>
        <w:t>–</w:t>
      </w:r>
      <w:r w:rsidR="00F31CD2">
        <w:rPr>
          <w:b/>
        </w:rPr>
        <w:t xml:space="preserve"> </w:t>
      </w:r>
      <w:r w:rsidRPr="003E4B5E">
        <w:rPr>
          <w:b/>
        </w:rPr>
        <w:t>Amendments</w:t>
      </w:r>
    </w:p>
    <w:p w:rsidR="00ED719C" w:rsidRDefault="002A0271" w:rsidP="00F24D40">
      <w:pPr>
        <w:spacing w:before="0"/>
      </w:pPr>
      <w:r>
        <w:rPr>
          <w:u w:val="single"/>
        </w:rPr>
        <w:t>Item 1</w:t>
      </w:r>
      <w:r w:rsidRPr="002A0271">
        <w:t xml:space="preserve"> </w:t>
      </w:r>
      <w:r w:rsidR="004E6694">
        <w:t xml:space="preserve">repeals Schedule 1A of the </w:t>
      </w:r>
      <w:r w:rsidR="004E6694" w:rsidRPr="00503AB8">
        <w:rPr>
          <w:i/>
        </w:rPr>
        <w:t>Judges’ Pensions Regulations 1998</w:t>
      </w:r>
      <w:r w:rsidR="004E6694">
        <w:rPr>
          <w:i/>
        </w:rPr>
        <w:t xml:space="preserve"> </w:t>
      </w:r>
      <w:r w:rsidR="004E6694" w:rsidRPr="004E6694">
        <w:t>and substitutes a new Schedule 1A.</w:t>
      </w:r>
      <w:r w:rsidR="001A533C">
        <w:t xml:space="preserve"> The new Schedule </w:t>
      </w:r>
      <w:r w:rsidR="00240169">
        <w:t xml:space="preserve">1A </w:t>
      </w:r>
      <w:r w:rsidR="00D5226C">
        <w:t xml:space="preserve">includes a </w:t>
      </w:r>
      <w:r w:rsidR="001A533C">
        <w:t xml:space="preserve">table </w:t>
      </w:r>
      <w:r w:rsidR="00D5226C">
        <w:t>which specifies the</w:t>
      </w:r>
      <w:r w:rsidR="001A533C">
        <w:t xml:space="preserve"> updated </w:t>
      </w:r>
      <w:r w:rsidR="00D5226C">
        <w:t xml:space="preserve">factors </w:t>
      </w:r>
      <w:r w:rsidR="00644BD7">
        <w:t>to be used for the purposes of regulation 3A.</w:t>
      </w:r>
    </w:p>
    <w:p w:rsidR="00ED719C" w:rsidRDefault="00AE256B" w:rsidP="00ED719C">
      <w:pPr>
        <w:pStyle w:val="ListParagraph"/>
        <w:numPr>
          <w:ilvl w:val="0"/>
          <w:numId w:val="9"/>
        </w:numPr>
        <w:spacing w:before="0"/>
        <w:ind w:left="714" w:hanging="357"/>
        <w:contextualSpacing w:val="0"/>
      </w:pPr>
      <w:r>
        <w:t xml:space="preserve">Regulation 3A </w:t>
      </w:r>
      <w:r w:rsidR="00512D71">
        <w:t xml:space="preserve">provides a formula which is used </w:t>
      </w:r>
      <w:r w:rsidR="00512D71" w:rsidRPr="000A5AD9">
        <w:t xml:space="preserve">to </w:t>
      </w:r>
      <w:r w:rsidR="00FA7697">
        <w:t>work out</w:t>
      </w:r>
      <w:r w:rsidR="00512D71" w:rsidRPr="000A5AD9">
        <w:t xml:space="preserve"> </w:t>
      </w:r>
      <w:r w:rsidR="00512D71">
        <w:t>the age f</w:t>
      </w:r>
      <w:r w:rsidR="00B858FC">
        <w:t>actor which applies to a Judge.</w:t>
      </w:r>
    </w:p>
    <w:p w:rsidR="00512D71" w:rsidRDefault="00512D71" w:rsidP="00ED719C">
      <w:pPr>
        <w:pStyle w:val="ListParagraph"/>
        <w:numPr>
          <w:ilvl w:val="0"/>
          <w:numId w:val="9"/>
        </w:numPr>
        <w:spacing w:before="0"/>
        <w:ind w:left="714" w:hanging="357"/>
        <w:contextualSpacing w:val="0"/>
      </w:pPr>
      <w:r>
        <w:t xml:space="preserve">This age factor </w:t>
      </w:r>
      <w:r w:rsidR="00EE115A">
        <w:t xml:space="preserve">is </w:t>
      </w:r>
      <w:r>
        <w:t xml:space="preserve">then </w:t>
      </w:r>
      <w:r w:rsidR="00826FE1">
        <w:t>used in section 6C of the</w:t>
      </w:r>
      <w:r w:rsidR="009E1123">
        <w:t xml:space="preserve"> </w:t>
      </w:r>
      <w:r w:rsidR="009E1123" w:rsidRPr="00AB1261">
        <w:t>Judges’ Act</w:t>
      </w:r>
      <w:r w:rsidR="00826FE1">
        <w:t xml:space="preserve"> </w:t>
      </w:r>
      <w:r w:rsidR="00542E91">
        <w:t xml:space="preserve">to </w:t>
      </w:r>
      <w:r w:rsidR="003B2904">
        <w:t>work out</w:t>
      </w:r>
      <w:r>
        <w:t xml:space="preserve"> the </w:t>
      </w:r>
      <w:r w:rsidRPr="000A5AD9">
        <w:t xml:space="preserve">reduction in </w:t>
      </w:r>
      <w:r>
        <w:t xml:space="preserve">the </w:t>
      </w:r>
      <w:r w:rsidR="00B05C05">
        <w:t>J</w:t>
      </w:r>
      <w:r>
        <w:t>udge’s</w:t>
      </w:r>
      <w:r w:rsidRPr="000A5AD9">
        <w:t xml:space="preserve"> pension in order to </w:t>
      </w:r>
      <w:r>
        <w:t>discharge</w:t>
      </w:r>
      <w:r w:rsidRPr="000A5AD9">
        <w:t xml:space="preserve"> </w:t>
      </w:r>
      <w:r>
        <w:t>the</w:t>
      </w:r>
      <w:r w:rsidRPr="000A5AD9">
        <w:t xml:space="preserve"> </w:t>
      </w:r>
      <w:r w:rsidR="00047CC5">
        <w:t>J</w:t>
      </w:r>
      <w:r w:rsidRPr="000A5AD9">
        <w:t xml:space="preserve">udge’s </w:t>
      </w:r>
      <w:r w:rsidR="00542E91">
        <w:t>s</w:t>
      </w:r>
      <w:r w:rsidRPr="000A5AD9">
        <w:t>urcharge</w:t>
      </w:r>
      <w:r>
        <w:t xml:space="preserve"> liability</w:t>
      </w:r>
      <w:r w:rsidRPr="000A5AD9">
        <w:t>.</w:t>
      </w:r>
    </w:p>
    <w:p w:rsidR="004E6694" w:rsidRDefault="004E6694" w:rsidP="00F24D40">
      <w:pPr>
        <w:spacing w:before="0"/>
      </w:pPr>
    </w:p>
    <w:p w:rsidR="002F7E31" w:rsidRDefault="002F7E31">
      <w:pPr>
        <w:spacing w:before="0" w:after="0"/>
        <w:rPr>
          <w:szCs w:val="24"/>
        </w:rPr>
      </w:pPr>
      <w:r>
        <w:rPr>
          <w:szCs w:val="24"/>
        </w:rPr>
        <w:br w:type="page"/>
      </w:r>
    </w:p>
    <w:p w:rsidR="002F7E31" w:rsidRPr="00CB6726" w:rsidRDefault="00D85C51" w:rsidP="008E593F">
      <w:pPr>
        <w:spacing w:before="360" w:after="360"/>
        <w:jc w:val="right"/>
        <w:rPr>
          <w:u w:val="single"/>
        </w:rPr>
      </w:pPr>
      <w:r w:rsidRPr="00CB6726">
        <w:rPr>
          <w:b/>
          <w:u w:val="single"/>
        </w:rPr>
        <w:t>A</w:t>
      </w:r>
      <w:r w:rsidR="008D2444">
        <w:rPr>
          <w:b/>
          <w:u w:val="single"/>
        </w:rPr>
        <w:t>ttachment</w:t>
      </w:r>
      <w:r w:rsidRPr="00CB6726">
        <w:rPr>
          <w:b/>
          <w:u w:val="single"/>
        </w:rPr>
        <w:t xml:space="preserve"> B</w:t>
      </w:r>
    </w:p>
    <w:p w:rsidR="002F7E31" w:rsidRDefault="002F7E31" w:rsidP="002F7E31">
      <w:pPr>
        <w:pStyle w:val="Heading3"/>
        <w:jc w:val="center"/>
      </w:pPr>
      <w:r>
        <w:t>Statement of Compatibility with Human Rights</w:t>
      </w:r>
    </w:p>
    <w:p w:rsidR="002F7E31" w:rsidRDefault="002F7E31" w:rsidP="002F7E31">
      <w:pPr>
        <w:jc w:val="center"/>
        <w:rPr>
          <w:i/>
        </w:rPr>
      </w:pPr>
      <w:r w:rsidRPr="00E4438C">
        <w:rPr>
          <w:i/>
        </w:rPr>
        <w:t>Prepared in accordance with Part 3 of the</w:t>
      </w:r>
      <w:r w:rsidR="000A3F0E">
        <w:rPr>
          <w:i/>
        </w:rPr>
        <w:br/>
      </w:r>
      <w:r w:rsidRPr="00E4438C">
        <w:rPr>
          <w:i/>
        </w:rPr>
        <w:t>Human Rights (Parliamentary Scrutiny) Act 2011</w:t>
      </w:r>
    </w:p>
    <w:p w:rsidR="00E44961" w:rsidRPr="00E4438C" w:rsidRDefault="00E44961" w:rsidP="002F7E31">
      <w:pPr>
        <w:jc w:val="center"/>
        <w:rPr>
          <w:i/>
        </w:rPr>
      </w:pPr>
    </w:p>
    <w:p w:rsidR="002F7E31" w:rsidRPr="00E4438C" w:rsidRDefault="00564A5D" w:rsidP="002F7E31">
      <w:pPr>
        <w:jc w:val="center"/>
        <w:rPr>
          <w:b/>
        </w:rPr>
      </w:pPr>
      <w:r w:rsidRPr="00564A5D">
        <w:rPr>
          <w:b/>
        </w:rPr>
        <w:t>Judges’ Pensions Amendment (Age Factors) Regulation 2015</w:t>
      </w:r>
    </w:p>
    <w:p w:rsidR="00E44961" w:rsidRDefault="00E44961" w:rsidP="002F7E31"/>
    <w:p w:rsidR="002F7E31" w:rsidRDefault="002F7E31" w:rsidP="002F7E31">
      <w:r>
        <w:t xml:space="preserve">This Legislative Instrument is compatible with the human rights and freedoms recognised or declared in the international instruments listed in section 3 of the </w:t>
      </w:r>
      <w:r w:rsidRPr="00E4438C">
        <w:rPr>
          <w:i/>
        </w:rPr>
        <w:t>Human Rights (Parliamentary Scrutiny) Act 2011</w:t>
      </w:r>
      <w:r>
        <w:t>.</w:t>
      </w:r>
    </w:p>
    <w:p w:rsidR="002F7E31" w:rsidRDefault="002F7E31" w:rsidP="00365124">
      <w:pPr>
        <w:pStyle w:val="Heading4"/>
        <w:keepNext w:val="0"/>
        <w:spacing w:before="240"/>
      </w:pPr>
      <w:r>
        <w:t xml:space="preserve">Overview of the </w:t>
      </w:r>
      <w:r w:rsidRPr="00E4438C">
        <w:t>Legislative</w:t>
      </w:r>
      <w:r>
        <w:t xml:space="preserve"> Instrument</w:t>
      </w:r>
    </w:p>
    <w:p w:rsidR="000A5AD9" w:rsidRDefault="002223AA" w:rsidP="003653EA">
      <w:r>
        <w:t>This Legislative Instrument</w:t>
      </w:r>
      <w:r w:rsidRPr="000A5AD9">
        <w:t xml:space="preserve"> </w:t>
      </w:r>
      <w:r w:rsidR="000A5AD9" w:rsidRPr="000A5AD9">
        <w:t>update</w:t>
      </w:r>
      <w:r w:rsidR="004C6D6B">
        <w:t xml:space="preserve">s the </w:t>
      </w:r>
      <w:r w:rsidR="000A5AD9" w:rsidRPr="000A5AD9">
        <w:t xml:space="preserve">age factors </w:t>
      </w:r>
      <w:r w:rsidR="004C6D6B">
        <w:t xml:space="preserve">used </w:t>
      </w:r>
      <w:r w:rsidR="000A5AD9" w:rsidRPr="000A5AD9">
        <w:t xml:space="preserve">to </w:t>
      </w:r>
      <w:r w:rsidR="00FA7697">
        <w:t>work out</w:t>
      </w:r>
      <w:r w:rsidR="000A5AD9" w:rsidRPr="000A5AD9">
        <w:t xml:space="preserve"> the reduction in a </w:t>
      </w:r>
      <w:r w:rsidR="00B858FC">
        <w:t>J</w:t>
      </w:r>
      <w:r w:rsidR="00B858FC" w:rsidRPr="000A5AD9">
        <w:t xml:space="preserve">udge’s </w:t>
      </w:r>
      <w:r w:rsidR="000A5AD9" w:rsidRPr="000A5AD9">
        <w:t xml:space="preserve">pension in order to </w:t>
      </w:r>
      <w:r w:rsidR="00E438EC">
        <w:t>discharge</w:t>
      </w:r>
      <w:r w:rsidR="000A5AD9" w:rsidRPr="000A5AD9">
        <w:t xml:space="preserve"> </w:t>
      </w:r>
      <w:r w:rsidR="00B858FC">
        <w:t>the</w:t>
      </w:r>
      <w:r w:rsidR="000A5AD9" w:rsidRPr="000A5AD9">
        <w:t xml:space="preserve"> </w:t>
      </w:r>
      <w:r w:rsidR="00520459">
        <w:t>J</w:t>
      </w:r>
      <w:r w:rsidR="000A5AD9" w:rsidRPr="000A5AD9">
        <w:t xml:space="preserve">udge’s </w:t>
      </w:r>
      <w:r w:rsidR="00542E91">
        <w:t>s</w:t>
      </w:r>
      <w:r w:rsidR="000A5AD9" w:rsidRPr="000A5AD9">
        <w:t xml:space="preserve">uperannuation </w:t>
      </w:r>
      <w:r w:rsidR="00542E91">
        <w:t>c</w:t>
      </w:r>
      <w:r w:rsidR="000A5AD9" w:rsidRPr="000A5AD9">
        <w:t xml:space="preserve">ontributions </w:t>
      </w:r>
      <w:r w:rsidR="00542E91">
        <w:t>s</w:t>
      </w:r>
      <w:r w:rsidR="000A5AD9" w:rsidRPr="000A5AD9">
        <w:t>urcharge</w:t>
      </w:r>
      <w:r w:rsidR="00434C6F">
        <w:t xml:space="preserve"> liability</w:t>
      </w:r>
      <w:r w:rsidR="000A5AD9" w:rsidRPr="000A5AD9">
        <w:t>.</w:t>
      </w:r>
    </w:p>
    <w:p w:rsidR="002F7E31" w:rsidRDefault="002F7E31" w:rsidP="00365124">
      <w:pPr>
        <w:pStyle w:val="Heading4"/>
        <w:keepNext w:val="0"/>
        <w:spacing w:before="240"/>
      </w:pPr>
      <w:r>
        <w:t>Human rights implications</w:t>
      </w:r>
    </w:p>
    <w:p w:rsidR="002F7E31" w:rsidRDefault="002F7E31" w:rsidP="002F7E31">
      <w:r>
        <w:t>This Legislative Instrument does not engage any of the applicable rights or freedoms.</w:t>
      </w:r>
    </w:p>
    <w:p w:rsidR="002F7E31" w:rsidRDefault="002F7E31" w:rsidP="00365124">
      <w:pPr>
        <w:pStyle w:val="Heading4"/>
        <w:keepNext w:val="0"/>
        <w:spacing w:before="240"/>
      </w:pPr>
      <w:r>
        <w:t>Conclusion</w:t>
      </w:r>
    </w:p>
    <w:p w:rsidR="002F7E31" w:rsidRDefault="002F7E31" w:rsidP="002F7E31">
      <w:r>
        <w:t>This Legislative Instrument is compatible with human rights as it does not raise any human rights issues.</w:t>
      </w:r>
    </w:p>
    <w:p w:rsidR="00D504A0" w:rsidRDefault="00D504A0" w:rsidP="002F7E31"/>
    <w:p w:rsidR="00D504A0" w:rsidRPr="000636AD" w:rsidRDefault="00415C3D" w:rsidP="00D504A0">
      <w:pPr>
        <w:jc w:val="center"/>
        <w:rPr>
          <w:b/>
          <w:szCs w:val="24"/>
        </w:rPr>
      </w:pPr>
      <w:r w:rsidRPr="00415C3D">
        <w:rPr>
          <w:b/>
          <w:szCs w:val="24"/>
        </w:rPr>
        <w:t>Senator the Hon Mathias Cormann</w:t>
      </w:r>
    </w:p>
    <w:p w:rsidR="00D504A0" w:rsidRPr="00E4135E" w:rsidRDefault="00D504A0" w:rsidP="00D504A0">
      <w:pPr>
        <w:jc w:val="center"/>
        <w:rPr>
          <w:szCs w:val="24"/>
        </w:rPr>
      </w:pPr>
      <w:r w:rsidRPr="000636AD">
        <w:rPr>
          <w:b/>
          <w:szCs w:val="24"/>
        </w:rPr>
        <w:t>Minister for Finance</w:t>
      </w:r>
    </w:p>
    <w:p w:rsidR="006E5892" w:rsidRPr="00771D70" w:rsidRDefault="006E5892" w:rsidP="004624A1">
      <w:pPr>
        <w:spacing w:before="100" w:beforeAutospacing="1" w:after="100" w:afterAutospacing="1"/>
        <w:rPr>
          <w:szCs w:val="24"/>
        </w:rPr>
      </w:pPr>
    </w:p>
    <w:sectPr w:rsidR="006E5892" w:rsidRPr="00771D70" w:rsidSect="00392BBA">
      <w:footerReference w:type="default" r:id="rId12"/>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AFC" w:rsidRDefault="00566AFC" w:rsidP="00300B82">
      <w:pPr>
        <w:spacing w:before="0" w:after="0"/>
      </w:pPr>
      <w:r>
        <w:separator/>
      </w:r>
    </w:p>
  </w:endnote>
  <w:endnote w:type="continuationSeparator" w:id="0">
    <w:p w:rsidR="00566AFC" w:rsidRDefault="00566AFC" w:rsidP="00300B82">
      <w:pPr>
        <w:spacing w:before="0" w:after="0"/>
      </w:pPr>
      <w:r>
        <w:continuationSeparator/>
      </w:r>
    </w:p>
  </w:endnote>
  <w:endnote w:type="continuationNotice" w:id="1">
    <w:p w:rsidR="00566AFC" w:rsidRDefault="00566AF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7871372"/>
      <w:docPartObj>
        <w:docPartGallery w:val="Page Numbers (Bottom of Page)"/>
        <w:docPartUnique/>
      </w:docPartObj>
    </w:sdtPr>
    <w:sdtEndPr>
      <w:rPr>
        <w:noProof/>
      </w:rPr>
    </w:sdtEndPr>
    <w:sdtContent>
      <w:p w:rsidR="00566AFC" w:rsidRDefault="00B16A0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566AFC" w:rsidRDefault="00566A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AFC" w:rsidRDefault="00566AFC" w:rsidP="00300B82">
      <w:pPr>
        <w:spacing w:before="0" w:after="0"/>
      </w:pPr>
      <w:r>
        <w:separator/>
      </w:r>
    </w:p>
  </w:footnote>
  <w:footnote w:type="continuationSeparator" w:id="0">
    <w:p w:rsidR="00566AFC" w:rsidRDefault="00566AFC" w:rsidP="00300B82">
      <w:pPr>
        <w:spacing w:before="0" w:after="0"/>
      </w:pPr>
      <w:r>
        <w:continuationSeparator/>
      </w:r>
    </w:p>
  </w:footnote>
  <w:footnote w:type="continuationNotice" w:id="1">
    <w:p w:rsidR="00566AFC" w:rsidRDefault="00566AFC">
      <w:pPr>
        <w:spacing w:before="0"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1">
    <w:nsid w:val="4444287C"/>
    <w:multiLevelType w:val="hybridMultilevel"/>
    <w:tmpl w:val="917CE45E"/>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A56592E"/>
    <w:multiLevelType w:val="multilevel"/>
    <w:tmpl w:val="C778BCD0"/>
    <w:lvl w:ilvl="0">
      <w:start w:val="2"/>
      <w:numFmt w:val="decimal"/>
      <w:pStyle w:val="NumberList"/>
      <w:lvlText w:val="%1."/>
      <w:lvlJc w:val="left"/>
      <w:pPr>
        <w:tabs>
          <w:tab w:val="num" w:pos="1778"/>
        </w:tabs>
        <w:ind w:left="1418" w:firstLine="0"/>
      </w:pPr>
      <w:rPr>
        <w:rFonts w:hint="default"/>
      </w:rPr>
    </w:lvl>
    <w:lvl w:ilvl="1">
      <w:start w:val="1"/>
      <w:numFmt w:val="lowerLetter"/>
      <w:pStyle w:val="NumberListSub"/>
      <w:lvlText w:val="(%2)"/>
      <w:lvlJc w:val="left"/>
      <w:pPr>
        <w:tabs>
          <w:tab w:val="num" w:pos="1985"/>
        </w:tabs>
        <w:ind w:left="1985" w:hanging="567"/>
      </w:pPr>
      <w:rPr>
        <w:rFonts w:hint="default"/>
      </w:rPr>
    </w:lvl>
    <w:lvl w:ilvl="2">
      <w:start w:val="1"/>
      <w:numFmt w:val="lowerRoman"/>
      <w:lvlText w:val="(%3)"/>
      <w:lvlJc w:val="left"/>
      <w:pPr>
        <w:tabs>
          <w:tab w:val="num" w:pos="3065"/>
        </w:tabs>
        <w:ind w:left="2552" w:hanging="567"/>
      </w:pPr>
      <w:rPr>
        <w:rFonts w:hint="default"/>
      </w:rPr>
    </w:lvl>
    <w:lvl w:ilvl="3">
      <w:start w:val="1"/>
      <w:numFmt w:val="decimal"/>
      <w:lvlText w:val="(%4)"/>
      <w:lvlJc w:val="left"/>
      <w:pPr>
        <w:tabs>
          <w:tab w:val="num" w:pos="2858"/>
        </w:tabs>
        <w:ind w:left="2858" w:hanging="360"/>
      </w:pPr>
      <w:rPr>
        <w:rFonts w:hint="default"/>
      </w:rPr>
    </w:lvl>
    <w:lvl w:ilvl="4">
      <w:start w:val="1"/>
      <w:numFmt w:val="lowerLetter"/>
      <w:lvlText w:val="(%5)"/>
      <w:lvlJc w:val="left"/>
      <w:pPr>
        <w:tabs>
          <w:tab w:val="num" w:pos="3218"/>
        </w:tabs>
        <w:ind w:left="3218" w:hanging="360"/>
      </w:pPr>
      <w:rPr>
        <w:rFonts w:hint="default"/>
      </w:rPr>
    </w:lvl>
    <w:lvl w:ilvl="5">
      <w:start w:val="1"/>
      <w:numFmt w:val="lowerRoman"/>
      <w:lvlText w:val="(%6)"/>
      <w:lvlJc w:val="left"/>
      <w:pPr>
        <w:tabs>
          <w:tab w:val="num" w:pos="3578"/>
        </w:tabs>
        <w:ind w:left="3578" w:hanging="360"/>
      </w:pPr>
      <w:rPr>
        <w:rFonts w:hint="default"/>
      </w:rPr>
    </w:lvl>
    <w:lvl w:ilvl="6">
      <w:start w:val="1"/>
      <w:numFmt w:val="decimal"/>
      <w:lvlText w:val="%7."/>
      <w:lvlJc w:val="left"/>
      <w:pPr>
        <w:tabs>
          <w:tab w:val="num" w:pos="3938"/>
        </w:tabs>
        <w:ind w:left="3938" w:hanging="360"/>
      </w:pPr>
      <w:rPr>
        <w:rFonts w:hint="default"/>
      </w:rPr>
    </w:lvl>
    <w:lvl w:ilvl="7">
      <w:start w:val="1"/>
      <w:numFmt w:val="lowerLetter"/>
      <w:lvlText w:val="%8."/>
      <w:lvlJc w:val="left"/>
      <w:pPr>
        <w:tabs>
          <w:tab w:val="num" w:pos="4298"/>
        </w:tabs>
        <w:ind w:left="4298" w:hanging="360"/>
      </w:pPr>
      <w:rPr>
        <w:rFonts w:hint="default"/>
      </w:rPr>
    </w:lvl>
    <w:lvl w:ilvl="8">
      <w:start w:val="1"/>
      <w:numFmt w:val="lowerRoman"/>
      <w:lvlText w:val="%9."/>
      <w:lvlJc w:val="left"/>
      <w:pPr>
        <w:tabs>
          <w:tab w:val="num" w:pos="4658"/>
        </w:tabs>
        <w:ind w:left="4658" w:hanging="360"/>
      </w:pPr>
      <w:rPr>
        <w:rFonts w:hint="default"/>
      </w:rPr>
    </w:lvl>
  </w:abstractNum>
  <w:abstractNum w:abstractNumId="3">
    <w:nsid w:val="5F5F7CED"/>
    <w:multiLevelType w:val="hybridMultilevel"/>
    <w:tmpl w:val="D960E7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67A43C0B"/>
    <w:multiLevelType w:val="multilevel"/>
    <w:tmpl w:val="0CFC97FC"/>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A7E2E8A"/>
    <w:multiLevelType w:val="hybridMultilevel"/>
    <w:tmpl w:val="4DCCDC9C"/>
    <w:lvl w:ilvl="0" w:tplc="31D055A8">
      <w:start w:val="2"/>
      <w:numFmt w:val="decimal"/>
      <w:lvlText w:val="%1."/>
      <w:lvlJc w:val="left"/>
      <w:pPr>
        <w:ind w:left="360" w:hanging="360"/>
      </w:pPr>
      <w:rPr>
        <w:rFonts w:hint="default"/>
        <w:b w:val="0"/>
        <w:color w:val="auto"/>
      </w:rPr>
    </w:lvl>
    <w:lvl w:ilvl="1" w:tplc="90324442">
      <w:start w:val="1"/>
      <w:numFmt w:val="lowerLetter"/>
      <w:lvlText w:val="(%2)"/>
      <w:lvlJc w:val="left"/>
      <w:pPr>
        <w:ind w:left="1080" w:hanging="360"/>
      </w:pPr>
      <w:rPr>
        <w:rFonts w:hint="default"/>
      </w:rPr>
    </w:lvl>
    <w:lvl w:ilvl="2" w:tplc="EB7219B8">
      <w:start w:val="1"/>
      <w:numFmt w:val="lowerRoman"/>
      <w:lvlText w:val="%3."/>
      <w:lvlJc w:val="right"/>
      <w:pPr>
        <w:ind w:left="1800" w:hanging="180"/>
      </w:pPr>
    </w:lvl>
    <w:lvl w:ilvl="3" w:tplc="F866E9A6" w:tentative="1">
      <w:start w:val="1"/>
      <w:numFmt w:val="decimal"/>
      <w:lvlText w:val="%4."/>
      <w:lvlJc w:val="left"/>
      <w:pPr>
        <w:ind w:left="2520" w:hanging="360"/>
      </w:pPr>
    </w:lvl>
    <w:lvl w:ilvl="4" w:tplc="31503DA6" w:tentative="1">
      <w:start w:val="1"/>
      <w:numFmt w:val="lowerLetter"/>
      <w:lvlText w:val="%5."/>
      <w:lvlJc w:val="left"/>
      <w:pPr>
        <w:ind w:left="3240" w:hanging="360"/>
      </w:pPr>
    </w:lvl>
    <w:lvl w:ilvl="5" w:tplc="8CC86DA6" w:tentative="1">
      <w:start w:val="1"/>
      <w:numFmt w:val="lowerRoman"/>
      <w:lvlText w:val="%6."/>
      <w:lvlJc w:val="right"/>
      <w:pPr>
        <w:ind w:left="3960" w:hanging="180"/>
      </w:pPr>
    </w:lvl>
    <w:lvl w:ilvl="6" w:tplc="E95E5D70" w:tentative="1">
      <w:start w:val="1"/>
      <w:numFmt w:val="decimal"/>
      <w:lvlText w:val="%7."/>
      <w:lvlJc w:val="left"/>
      <w:pPr>
        <w:ind w:left="4680" w:hanging="360"/>
      </w:pPr>
    </w:lvl>
    <w:lvl w:ilvl="7" w:tplc="E6120478" w:tentative="1">
      <w:start w:val="1"/>
      <w:numFmt w:val="lowerLetter"/>
      <w:lvlText w:val="%8."/>
      <w:lvlJc w:val="left"/>
      <w:pPr>
        <w:ind w:left="5400" w:hanging="360"/>
      </w:pPr>
    </w:lvl>
    <w:lvl w:ilvl="8" w:tplc="C95208B0" w:tentative="1">
      <w:start w:val="1"/>
      <w:numFmt w:val="lowerRoman"/>
      <w:lvlText w:val="%9."/>
      <w:lvlJc w:val="right"/>
      <w:pPr>
        <w:ind w:left="6120" w:hanging="180"/>
      </w:pPr>
    </w:lvl>
  </w:abstractNum>
  <w:num w:numId="1">
    <w:abstractNumId w:val="0"/>
  </w:num>
  <w:num w:numId="2">
    <w:abstractNumId w:val="4"/>
  </w:num>
  <w:num w:numId="3">
    <w:abstractNumId w:val="4"/>
  </w:num>
  <w:num w:numId="4">
    <w:abstractNumId w:val="4"/>
  </w:num>
  <w:num w:numId="5">
    <w:abstractNumId w:val="4"/>
  </w:num>
  <w:num w:numId="6">
    <w:abstractNumId w:val="3"/>
  </w:num>
  <w:num w:numId="7">
    <w:abstractNumId w:val="2"/>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3749FE"/>
    <w:rsid w:val="00016EA2"/>
    <w:rsid w:val="00023925"/>
    <w:rsid w:val="0002553E"/>
    <w:rsid w:val="00025C01"/>
    <w:rsid w:val="00035133"/>
    <w:rsid w:val="00047CC5"/>
    <w:rsid w:val="0005040C"/>
    <w:rsid w:val="00051C4B"/>
    <w:rsid w:val="00053F0D"/>
    <w:rsid w:val="0005461A"/>
    <w:rsid w:val="0005585B"/>
    <w:rsid w:val="00057736"/>
    <w:rsid w:val="000642E1"/>
    <w:rsid w:val="000732F2"/>
    <w:rsid w:val="00073DB6"/>
    <w:rsid w:val="00074504"/>
    <w:rsid w:val="00075504"/>
    <w:rsid w:val="00076CE0"/>
    <w:rsid w:val="000859B7"/>
    <w:rsid w:val="00091FE1"/>
    <w:rsid w:val="00095211"/>
    <w:rsid w:val="00095AA6"/>
    <w:rsid w:val="000A3F0E"/>
    <w:rsid w:val="000A5AD9"/>
    <w:rsid w:val="000B1592"/>
    <w:rsid w:val="000B3A01"/>
    <w:rsid w:val="000B5353"/>
    <w:rsid w:val="000B6108"/>
    <w:rsid w:val="000C10DF"/>
    <w:rsid w:val="000C4017"/>
    <w:rsid w:val="000C6677"/>
    <w:rsid w:val="000D62D2"/>
    <w:rsid w:val="000E4236"/>
    <w:rsid w:val="000F12BA"/>
    <w:rsid w:val="000F471A"/>
    <w:rsid w:val="000F4A42"/>
    <w:rsid w:val="000F7239"/>
    <w:rsid w:val="00100BA3"/>
    <w:rsid w:val="00103608"/>
    <w:rsid w:val="00112C1B"/>
    <w:rsid w:val="0011321F"/>
    <w:rsid w:val="00113B45"/>
    <w:rsid w:val="00115D9D"/>
    <w:rsid w:val="00117313"/>
    <w:rsid w:val="00135977"/>
    <w:rsid w:val="00137E4A"/>
    <w:rsid w:val="00153043"/>
    <w:rsid w:val="00156C20"/>
    <w:rsid w:val="00166009"/>
    <w:rsid w:val="001664F8"/>
    <w:rsid w:val="0017496C"/>
    <w:rsid w:val="00186C6E"/>
    <w:rsid w:val="001940BE"/>
    <w:rsid w:val="00194C30"/>
    <w:rsid w:val="001A533C"/>
    <w:rsid w:val="001A558C"/>
    <w:rsid w:val="001B647B"/>
    <w:rsid w:val="001D1AEE"/>
    <w:rsid w:val="001E20C6"/>
    <w:rsid w:val="001E238D"/>
    <w:rsid w:val="001E2FC6"/>
    <w:rsid w:val="001E6A74"/>
    <w:rsid w:val="001F1D77"/>
    <w:rsid w:val="001F41D0"/>
    <w:rsid w:val="00212E41"/>
    <w:rsid w:val="00215ABA"/>
    <w:rsid w:val="00216295"/>
    <w:rsid w:val="002203DD"/>
    <w:rsid w:val="00220F16"/>
    <w:rsid w:val="002223AA"/>
    <w:rsid w:val="0022257C"/>
    <w:rsid w:val="002229A5"/>
    <w:rsid w:val="002250DF"/>
    <w:rsid w:val="002272DB"/>
    <w:rsid w:val="00227A5E"/>
    <w:rsid w:val="00227E58"/>
    <w:rsid w:val="00240169"/>
    <w:rsid w:val="002427B2"/>
    <w:rsid w:val="00251F81"/>
    <w:rsid w:val="00254C5B"/>
    <w:rsid w:val="00256882"/>
    <w:rsid w:val="00265742"/>
    <w:rsid w:val="002705B4"/>
    <w:rsid w:val="00272FC1"/>
    <w:rsid w:val="002752D4"/>
    <w:rsid w:val="00280393"/>
    <w:rsid w:val="00282531"/>
    <w:rsid w:val="0028446F"/>
    <w:rsid w:val="00292A3A"/>
    <w:rsid w:val="002A0271"/>
    <w:rsid w:val="002A17D7"/>
    <w:rsid w:val="002A2B60"/>
    <w:rsid w:val="002C1E6C"/>
    <w:rsid w:val="002C5C7E"/>
    <w:rsid w:val="002D5130"/>
    <w:rsid w:val="002E67E1"/>
    <w:rsid w:val="002F385E"/>
    <w:rsid w:val="002F7E31"/>
    <w:rsid w:val="00300B82"/>
    <w:rsid w:val="003141B2"/>
    <w:rsid w:val="0031637A"/>
    <w:rsid w:val="00324178"/>
    <w:rsid w:val="003245CC"/>
    <w:rsid w:val="0032654A"/>
    <w:rsid w:val="00327F7B"/>
    <w:rsid w:val="003342CD"/>
    <w:rsid w:val="00335042"/>
    <w:rsid w:val="003372E2"/>
    <w:rsid w:val="0034079F"/>
    <w:rsid w:val="003475C8"/>
    <w:rsid w:val="00356715"/>
    <w:rsid w:val="00361329"/>
    <w:rsid w:val="003623F2"/>
    <w:rsid w:val="0036379D"/>
    <w:rsid w:val="00365124"/>
    <w:rsid w:val="003653EA"/>
    <w:rsid w:val="003749FE"/>
    <w:rsid w:val="003773E2"/>
    <w:rsid w:val="003831B9"/>
    <w:rsid w:val="0038432F"/>
    <w:rsid w:val="00391267"/>
    <w:rsid w:val="003913C6"/>
    <w:rsid w:val="00392BBA"/>
    <w:rsid w:val="003A5972"/>
    <w:rsid w:val="003A7C48"/>
    <w:rsid w:val="003B1F28"/>
    <w:rsid w:val="003B2904"/>
    <w:rsid w:val="003C3893"/>
    <w:rsid w:val="003C64E7"/>
    <w:rsid w:val="003C7BAC"/>
    <w:rsid w:val="003D0738"/>
    <w:rsid w:val="003E0B8F"/>
    <w:rsid w:val="003E4B5E"/>
    <w:rsid w:val="003E56B8"/>
    <w:rsid w:val="003E5F97"/>
    <w:rsid w:val="003F75A3"/>
    <w:rsid w:val="00401167"/>
    <w:rsid w:val="00405869"/>
    <w:rsid w:val="00405EC2"/>
    <w:rsid w:val="00406EFD"/>
    <w:rsid w:val="004158C1"/>
    <w:rsid w:val="00415C3D"/>
    <w:rsid w:val="00416831"/>
    <w:rsid w:val="00417982"/>
    <w:rsid w:val="004235FE"/>
    <w:rsid w:val="00423861"/>
    <w:rsid w:val="00425038"/>
    <w:rsid w:val="0042766E"/>
    <w:rsid w:val="004335BC"/>
    <w:rsid w:val="00434C6F"/>
    <w:rsid w:val="0044696E"/>
    <w:rsid w:val="00447721"/>
    <w:rsid w:val="00460446"/>
    <w:rsid w:val="004624A1"/>
    <w:rsid w:val="004746C5"/>
    <w:rsid w:val="00476611"/>
    <w:rsid w:val="004776CC"/>
    <w:rsid w:val="00480168"/>
    <w:rsid w:val="00483413"/>
    <w:rsid w:val="0048684E"/>
    <w:rsid w:val="004875D2"/>
    <w:rsid w:val="00493687"/>
    <w:rsid w:val="004B6B09"/>
    <w:rsid w:val="004B7A19"/>
    <w:rsid w:val="004C171D"/>
    <w:rsid w:val="004C6D6B"/>
    <w:rsid w:val="004D05EB"/>
    <w:rsid w:val="004D19AE"/>
    <w:rsid w:val="004D3E52"/>
    <w:rsid w:val="004E39E1"/>
    <w:rsid w:val="004E6694"/>
    <w:rsid w:val="004F7397"/>
    <w:rsid w:val="00503AB8"/>
    <w:rsid w:val="00503E44"/>
    <w:rsid w:val="00512D71"/>
    <w:rsid w:val="00515283"/>
    <w:rsid w:val="005170C0"/>
    <w:rsid w:val="00520459"/>
    <w:rsid w:val="005255C2"/>
    <w:rsid w:val="005315C3"/>
    <w:rsid w:val="00542E91"/>
    <w:rsid w:val="005525E3"/>
    <w:rsid w:val="0055675D"/>
    <w:rsid w:val="00560B63"/>
    <w:rsid w:val="005610F8"/>
    <w:rsid w:val="005626DF"/>
    <w:rsid w:val="00564A5D"/>
    <w:rsid w:val="00565279"/>
    <w:rsid w:val="00566AFC"/>
    <w:rsid w:val="00573244"/>
    <w:rsid w:val="00575AAA"/>
    <w:rsid w:val="0058018B"/>
    <w:rsid w:val="00580A8D"/>
    <w:rsid w:val="005833BE"/>
    <w:rsid w:val="0058629F"/>
    <w:rsid w:val="00591883"/>
    <w:rsid w:val="005972C7"/>
    <w:rsid w:val="005A67F8"/>
    <w:rsid w:val="005B7CBF"/>
    <w:rsid w:val="005C5608"/>
    <w:rsid w:val="005D7D5A"/>
    <w:rsid w:val="005E59B9"/>
    <w:rsid w:val="005F0AB4"/>
    <w:rsid w:val="005F4C79"/>
    <w:rsid w:val="0060130D"/>
    <w:rsid w:val="00601C2B"/>
    <w:rsid w:val="0060425A"/>
    <w:rsid w:val="00605BA5"/>
    <w:rsid w:val="00606225"/>
    <w:rsid w:val="00610D54"/>
    <w:rsid w:val="00611BFD"/>
    <w:rsid w:val="00617F1A"/>
    <w:rsid w:val="006226AD"/>
    <w:rsid w:val="00622E78"/>
    <w:rsid w:val="006379E6"/>
    <w:rsid w:val="0064129F"/>
    <w:rsid w:val="00642A63"/>
    <w:rsid w:val="0064421C"/>
    <w:rsid w:val="006446A9"/>
    <w:rsid w:val="00644BD7"/>
    <w:rsid w:val="006515C1"/>
    <w:rsid w:val="006563F2"/>
    <w:rsid w:val="00661188"/>
    <w:rsid w:val="006677B9"/>
    <w:rsid w:val="0067029B"/>
    <w:rsid w:val="00676966"/>
    <w:rsid w:val="00677ABF"/>
    <w:rsid w:val="00682D0C"/>
    <w:rsid w:val="006919F1"/>
    <w:rsid w:val="0069613B"/>
    <w:rsid w:val="006B035E"/>
    <w:rsid w:val="006B19C5"/>
    <w:rsid w:val="006C35F4"/>
    <w:rsid w:val="006D42AC"/>
    <w:rsid w:val="006D47F1"/>
    <w:rsid w:val="006D4997"/>
    <w:rsid w:val="006E0DE5"/>
    <w:rsid w:val="006E44DA"/>
    <w:rsid w:val="006E5892"/>
    <w:rsid w:val="006E73D8"/>
    <w:rsid w:val="006F5BFA"/>
    <w:rsid w:val="007032E2"/>
    <w:rsid w:val="00705B6D"/>
    <w:rsid w:val="007079BB"/>
    <w:rsid w:val="00721729"/>
    <w:rsid w:val="00721838"/>
    <w:rsid w:val="007264D8"/>
    <w:rsid w:val="00733F08"/>
    <w:rsid w:val="00734F42"/>
    <w:rsid w:val="007435CB"/>
    <w:rsid w:val="0076149D"/>
    <w:rsid w:val="0076218C"/>
    <w:rsid w:val="00767927"/>
    <w:rsid w:val="00771D70"/>
    <w:rsid w:val="007726CE"/>
    <w:rsid w:val="00776311"/>
    <w:rsid w:val="0077778C"/>
    <w:rsid w:val="00780EDC"/>
    <w:rsid w:val="00782B27"/>
    <w:rsid w:val="007878C5"/>
    <w:rsid w:val="0079362C"/>
    <w:rsid w:val="007943A2"/>
    <w:rsid w:val="00796866"/>
    <w:rsid w:val="0079705F"/>
    <w:rsid w:val="007A26E2"/>
    <w:rsid w:val="007A4F74"/>
    <w:rsid w:val="007A66F8"/>
    <w:rsid w:val="007B069D"/>
    <w:rsid w:val="007B535C"/>
    <w:rsid w:val="007C3B71"/>
    <w:rsid w:val="007C7515"/>
    <w:rsid w:val="007E018D"/>
    <w:rsid w:val="007E19D1"/>
    <w:rsid w:val="007F024D"/>
    <w:rsid w:val="007F24BA"/>
    <w:rsid w:val="007F4416"/>
    <w:rsid w:val="007F5289"/>
    <w:rsid w:val="008004D2"/>
    <w:rsid w:val="00807E7D"/>
    <w:rsid w:val="00810490"/>
    <w:rsid w:val="00816F59"/>
    <w:rsid w:val="0081756C"/>
    <w:rsid w:val="0082102E"/>
    <w:rsid w:val="00826FE1"/>
    <w:rsid w:val="00831675"/>
    <w:rsid w:val="008476CF"/>
    <w:rsid w:val="008505D2"/>
    <w:rsid w:val="008517AF"/>
    <w:rsid w:val="00851F27"/>
    <w:rsid w:val="008561B6"/>
    <w:rsid w:val="008561D8"/>
    <w:rsid w:val="00857514"/>
    <w:rsid w:val="00874C33"/>
    <w:rsid w:val="00876CC0"/>
    <w:rsid w:val="0088467C"/>
    <w:rsid w:val="0088479F"/>
    <w:rsid w:val="0089388E"/>
    <w:rsid w:val="008938E0"/>
    <w:rsid w:val="008A24D8"/>
    <w:rsid w:val="008B0F6A"/>
    <w:rsid w:val="008D16F7"/>
    <w:rsid w:val="008D2444"/>
    <w:rsid w:val="008D4BA7"/>
    <w:rsid w:val="008D697F"/>
    <w:rsid w:val="008E02F9"/>
    <w:rsid w:val="008E593F"/>
    <w:rsid w:val="008F16A5"/>
    <w:rsid w:val="008F5E3B"/>
    <w:rsid w:val="008F7611"/>
    <w:rsid w:val="0091025B"/>
    <w:rsid w:val="009221CB"/>
    <w:rsid w:val="00923995"/>
    <w:rsid w:val="00924F6E"/>
    <w:rsid w:val="009313FB"/>
    <w:rsid w:val="00932461"/>
    <w:rsid w:val="00936DB9"/>
    <w:rsid w:val="00942A70"/>
    <w:rsid w:val="0094728E"/>
    <w:rsid w:val="0095521B"/>
    <w:rsid w:val="009631F3"/>
    <w:rsid w:val="00977E66"/>
    <w:rsid w:val="00990538"/>
    <w:rsid w:val="00992B4A"/>
    <w:rsid w:val="00993C53"/>
    <w:rsid w:val="00997E48"/>
    <w:rsid w:val="009A621D"/>
    <w:rsid w:val="009B1F20"/>
    <w:rsid w:val="009B3ACC"/>
    <w:rsid w:val="009C1D4E"/>
    <w:rsid w:val="009D041F"/>
    <w:rsid w:val="009D5B7D"/>
    <w:rsid w:val="009E1123"/>
    <w:rsid w:val="009E2F86"/>
    <w:rsid w:val="009E2FE6"/>
    <w:rsid w:val="009E3F85"/>
    <w:rsid w:val="009E3FE9"/>
    <w:rsid w:val="009E4655"/>
    <w:rsid w:val="009E4A14"/>
    <w:rsid w:val="009E7A0A"/>
    <w:rsid w:val="00A0309B"/>
    <w:rsid w:val="00A12209"/>
    <w:rsid w:val="00A12E6E"/>
    <w:rsid w:val="00A17C24"/>
    <w:rsid w:val="00A277E1"/>
    <w:rsid w:val="00A27A45"/>
    <w:rsid w:val="00A36DF3"/>
    <w:rsid w:val="00A4140E"/>
    <w:rsid w:val="00A43F66"/>
    <w:rsid w:val="00A442F2"/>
    <w:rsid w:val="00A4618B"/>
    <w:rsid w:val="00A532DD"/>
    <w:rsid w:val="00A5339F"/>
    <w:rsid w:val="00A57210"/>
    <w:rsid w:val="00A578ED"/>
    <w:rsid w:val="00A60073"/>
    <w:rsid w:val="00A63C34"/>
    <w:rsid w:val="00A64C79"/>
    <w:rsid w:val="00A6773F"/>
    <w:rsid w:val="00A67E70"/>
    <w:rsid w:val="00A704A2"/>
    <w:rsid w:val="00A709FD"/>
    <w:rsid w:val="00A72875"/>
    <w:rsid w:val="00A80BCF"/>
    <w:rsid w:val="00A85615"/>
    <w:rsid w:val="00A95A62"/>
    <w:rsid w:val="00AA077B"/>
    <w:rsid w:val="00AA084A"/>
    <w:rsid w:val="00AA0E4E"/>
    <w:rsid w:val="00AA0F11"/>
    <w:rsid w:val="00AA17E1"/>
    <w:rsid w:val="00AA6EF8"/>
    <w:rsid w:val="00AB1261"/>
    <w:rsid w:val="00AC6A09"/>
    <w:rsid w:val="00AD1270"/>
    <w:rsid w:val="00AE256B"/>
    <w:rsid w:val="00AE4352"/>
    <w:rsid w:val="00AE7A95"/>
    <w:rsid w:val="00B05C05"/>
    <w:rsid w:val="00B07B0C"/>
    <w:rsid w:val="00B15991"/>
    <w:rsid w:val="00B16A0A"/>
    <w:rsid w:val="00B243DE"/>
    <w:rsid w:val="00B24C87"/>
    <w:rsid w:val="00B4430B"/>
    <w:rsid w:val="00B448BE"/>
    <w:rsid w:val="00B47058"/>
    <w:rsid w:val="00B55AD2"/>
    <w:rsid w:val="00B60F91"/>
    <w:rsid w:val="00B64C46"/>
    <w:rsid w:val="00B71F93"/>
    <w:rsid w:val="00B720C7"/>
    <w:rsid w:val="00B7217E"/>
    <w:rsid w:val="00B761CB"/>
    <w:rsid w:val="00B77FC0"/>
    <w:rsid w:val="00B802F9"/>
    <w:rsid w:val="00B858FC"/>
    <w:rsid w:val="00B94A18"/>
    <w:rsid w:val="00B9529C"/>
    <w:rsid w:val="00BB1D06"/>
    <w:rsid w:val="00BB7E22"/>
    <w:rsid w:val="00BC0212"/>
    <w:rsid w:val="00BC39E0"/>
    <w:rsid w:val="00BC4B61"/>
    <w:rsid w:val="00BC5D4B"/>
    <w:rsid w:val="00BC7151"/>
    <w:rsid w:val="00BD11DE"/>
    <w:rsid w:val="00BD1A5F"/>
    <w:rsid w:val="00BD61A2"/>
    <w:rsid w:val="00BD79B0"/>
    <w:rsid w:val="00BE117A"/>
    <w:rsid w:val="00BE484D"/>
    <w:rsid w:val="00BF290E"/>
    <w:rsid w:val="00BF29E2"/>
    <w:rsid w:val="00BF4814"/>
    <w:rsid w:val="00BF5208"/>
    <w:rsid w:val="00C0440A"/>
    <w:rsid w:val="00C06E20"/>
    <w:rsid w:val="00C07302"/>
    <w:rsid w:val="00C309BC"/>
    <w:rsid w:val="00C331B1"/>
    <w:rsid w:val="00C37E05"/>
    <w:rsid w:val="00C4732F"/>
    <w:rsid w:val="00C5369C"/>
    <w:rsid w:val="00C55655"/>
    <w:rsid w:val="00C55D29"/>
    <w:rsid w:val="00C6043F"/>
    <w:rsid w:val="00C66E65"/>
    <w:rsid w:val="00C73A71"/>
    <w:rsid w:val="00C74DB5"/>
    <w:rsid w:val="00C772F8"/>
    <w:rsid w:val="00C915A3"/>
    <w:rsid w:val="00C958EA"/>
    <w:rsid w:val="00C973F0"/>
    <w:rsid w:val="00CA0391"/>
    <w:rsid w:val="00CA309C"/>
    <w:rsid w:val="00CB2817"/>
    <w:rsid w:val="00CB3387"/>
    <w:rsid w:val="00CB37B6"/>
    <w:rsid w:val="00CB6726"/>
    <w:rsid w:val="00CC0A0A"/>
    <w:rsid w:val="00CC2756"/>
    <w:rsid w:val="00CC37FD"/>
    <w:rsid w:val="00CC70D0"/>
    <w:rsid w:val="00CD64A1"/>
    <w:rsid w:val="00CE1FFF"/>
    <w:rsid w:val="00D14FFC"/>
    <w:rsid w:val="00D200A8"/>
    <w:rsid w:val="00D30D15"/>
    <w:rsid w:val="00D34626"/>
    <w:rsid w:val="00D347BB"/>
    <w:rsid w:val="00D35797"/>
    <w:rsid w:val="00D378C0"/>
    <w:rsid w:val="00D4257A"/>
    <w:rsid w:val="00D43475"/>
    <w:rsid w:val="00D46AC5"/>
    <w:rsid w:val="00D504A0"/>
    <w:rsid w:val="00D50A41"/>
    <w:rsid w:val="00D5226C"/>
    <w:rsid w:val="00D53DFC"/>
    <w:rsid w:val="00D61673"/>
    <w:rsid w:val="00D85C51"/>
    <w:rsid w:val="00D919DB"/>
    <w:rsid w:val="00D92DA5"/>
    <w:rsid w:val="00D932F8"/>
    <w:rsid w:val="00D9539F"/>
    <w:rsid w:val="00D97B6B"/>
    <w:rsid w:val="00DA1DB8"/>
    <w:rsid w:val="00DA61FE"/>
    <w:rsid w:val="00DC0CDE"/>
    <w:rsid w:val="00DC7879"/>
    <w:rsid w:val="00DD0F5C"/>
    <w:rsid w:val="00DD40F5"/>
    <w:rsid w:val="00DE5912"/>
    <w:rsid w:val="00DE5E3D"/>
    <w:rsid w:val="00DF3623"/>
    <w:rsid w:val="00DF7BBD"/>
    <w:rsid w:val="00E024B1"/>
    <w:rsid w:val="00E0624D"/>
    <w:rsid w:val="00E071D3"/>
    <w:rsid w:val="00E33088"/>
    <w:rsid w:val="00E33A17"/>
    <w:rsid w:val="00E341CF"/>
    <w:rsid w:val="00E436BD"/>
    <w:rsid w:val="00E438EC"/>
    <w:rsid w:val="00E4438C"/>
    <w:rsid w:val="00E44961"/>
    <w:rsid w:val="00E457F3"/>
    <w:rsid w:val="00E5041C"/>
    <w:rsid w:val="00E556D9"/>
    <w:rsid w:val="00E640E8"/>
    <w:rsid w:val="00E656BD"/>
    <w:rsid w:val="00E92B3B"/>
    <w:rsid w:val="00E96C43"/>
    <w:rsid w:val="00EB1573"/>
    <w:rsid w:val="00EB7E71"/>
    <w:rsid w:val="00EC3918"/>
    <w:rsid w:val="00ED719C"/>
    <w:rsid w:val="00EE115A"/>
    <w:rsid w:val="00EF0FFA"/>
    <w:rsid w:val="00F04687"/>
    <w:rsid w:val="00F10279"/>
    <w:rsid w:val="00F109D4"/>
    <w:rsid w:val="00F24D40"/>
    <w:rsid w:val="00F27B49"/>
    <w:rsid w:val="00F30ED3"/>
    <w:rsid w:val="00F31CD2"/>
    <w:rsid w:val="00F3319F"/>
    <w:rsid w:val="00F446E6"/>
    <w:rsid w:val="00F45D57"/>
    <w:rsid w:val="00F51C97"/>
    <w:rsid w:val="00F53129"/>
    <w:rsid w:val="00F550BE"/>
    <w:rsid w:val="00F602EB"/>
    <w:rsid w:val="00F71F9B"/>
    <w:rsid w:val="00F87FF6"/>
    <w:rsid w:val="00F91E37"/>
    <w:rsid w:val="00FA2113"/>
    <w:rsid w:val="00FA7697"/>
    <w:rsid w:val="00FB4ABE"/>
    <w:rsid w:val="00FB662D"/>
    <w:rsid w:val="00FB6BE6"/>
    <w:rsid w:val="00FC7C15"/>
    <w:rsid w:val="00FD276F"/>
    <w:rsid w:val="00FD48B0"/>
    <w:rsid w:val="00FD72F1"/>
    <w:rsid w:val="00FD78CA"/>
    <w:rsid w:val="00FD795D"/>
    <w:rsid w:val="00FE1BE5"/>
    <w:rsid w:val="00FF1057"/>
    <w:rsid w:val="00FF37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uiPriority w:val="99"/>
    <w:qFormat/>
    <w:rsid w:val="00392BBA"/>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qFormat/>
    <w:rsid w:val="00E4438C"/>
    <w:pPr>
      <w:spacing w:before="120"/>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E457F3"/>
    <w:rPr>
      <w:rFonts w:ascii="Helvetica" w:hAnsi="Helvetica"/>
      <w:b/>
      <w:kern w:val="28"/>
      <w:sz w:val="24"/>
    </w:rPr>
  </w:style>
  <w:style w:type="character" w:styleId="CommentReference">
    <w:name w:val="annotation reference"/>
    <w:basedOn w:val="DefaultParagraphFont"/>
    <w:uiPriority w:val="99"/>
    <w:semiHidden/>
    <w:unhideWhenUsed/>
    <w:rsid w:val="006F5BFA"/>
    <w:rPr>
      <w:sz w:val="16"/>
      <w:szCs w:val="16"/>
    </w:rPr>
  </w:style>
  <w:style w:type="paragraph" w:styleId="CommentText">
    <w:name w:val="annotation text"/>
    <w:basedOn w:val="Normal"/>
    <w:link w:val="CommentTextChar"/>
    <w:uiPriority w:val="99"/>
    <w:semiHidden/>
    <w:unhideWhenUsed/>
    <w:rsid w:val="006F5BFA"/>
    <w:rPr>
      <w:sz w:val="20"/>
    </w:rPr>
  </w:style>
  <w:style w:type="character" w:customStyle="1" w:styleId="CommentTextChar">
    <w:name w:val="Comment Text Char"/>
    <w:basedOn w:val="DefaultParagraphFont"/>
    <w:link w:val="CommentText"/>
    <w:uiPriority w:val="99"/>
    <w:semiHidden/>
    <w:rsid w:val="006F5BFA"/>
  </w:style>
  <w:style w:type="paragraph" w:styleId="CommentSubject">
    <w:name w:val="annotation subject"/>
    <w:basedOn w:val="CommentText"/>
    <w:next w:val="CommentText"/>
    <w:link w:val="CommentSubjectChar"/>
    <w:uiPriority w:val="99"/>
    <w:semiHidden/>
    <w:unhideWhenUsed/>
    <w:rsid w:val="006F5BFA"/>
    <w:rPr>
      <w:b/>
      <w:bCs/>
    </w:rPr>
  </w:style>
  <w:style w:type="character" w:customStyle="1" w:styleId="CommentSubjectChar">
    <w:name w:val="Comment Subject Char"/>
    <w:basedOn w:val="CommentTextChar"/>
    <w:link w:val="CommentSubject"/>
    <w:uiPriority w:val="99"/>
    <w:semiHidden/>
    <w:rsid w:val="006F5BFA"/>
    <w:rPr>
      <w:b/>
      <w:bCs/>
    </w:rPr>
  </w:style>
  <w:style w:type="paragraph" w:styleId="Header">
    <w:name w:val="header"/>
    <w:basedOn w:val="Normal"/>
    <w:link w:val="HeaderChar"/>
    <w:uiPriority w:val="99"/>
    <w:unhideWhenUsed/>
    <w:rsid w:val="00300B82"/>
    <w:pPr>
      <w:tabs>
        <w:tab w:val="center" w:pos="4513"/>
        <w:tab w:val="right" w:pos="9026"/>
      </w:tabs>
      <w:spacing w:before="0" w:after="0"/>
    </w:pPr>
  </w:style>
  <w:style w:type="character" w:customStyle="1" w:styleId="HeaderChar">
    <w:name w:val="Header Char"/>
    <w:basedOn w:val="DefaultParagraphFont"/>
    <w:link w:val="Header"/>
    <w:uiPriority w:val="99"/>
    <w:rsid w:val="00300B82"/>
    <w:rPr>
      <w:sz w:val="24"/>
    </w:rPr>
  </w:style>
  <w:style w:type="paragraph" w:styleId="Footer">
    <w:name w:val="footer"/>
    <w:basedOn w:val="Normal"/>
    <w:link w:val="FooterChar"/>
    <w:uiPriority w:val="99"/>
    <w:unhideWhenUsed/>
    <w:rsid w:val="00300B82"/>
    <w:pPr>
      <w:tabs>
        <w:tab w:val="center" w:pos="4513"/>
        <w:tab w:val="right" w:pos="9026"/>
      </w:tabs>
      <w:spacing w:before="0" w:after="0"/>
    </w:pPr>
  </w:style>
  <w:style w:type="character" w:customStyle="1" w:styleId="FooterChar">
    <w:name w:val="Footer Char"/>
    <w:basedOn w:val="DefaultParagraphFont"/>
    <w:link w:val="Footer"/>
    <w:uiPriority w:val="99"/>
    <w:rsid w:val="00300B82"/>
    <w:rPr>
      <w:sz w:val="24"/>
    </w:rPr>
  </w:style>
  <w:style w:type="paragraph" w:customStyle="1" w:styleId="NumberList">
    <w:name w:val="Number List"/>
    <w:basedOn w:val="Normal"/>
    <w:rsid w:val="000C4017"/>
    <w:pPr>
      <w:numPr>
        <w:numId w:val="7"/>
      </w:numPr>
      <w:tabs>
        <w:tab w:val="left" w:pos="1985"/>
      </w:tabs>
      <w:spacing w:before="240" w:after="0" w:line="240" w:lineRule="atLeast"/>
    </w:pPr>
    <w:rPr>
      <w:szCs w:val="24"/>
      <w:lang w:eastAsia="en-US"/>
    </w:rPr>
  </w:style>
  <w:style w:type="paragraph" w:customStyle="1" w:styleId="NumberListSub">
    <w:name w:val="Number List Sub"/>
    <w:basedOn w:val="NumberList"/>
    <w:rsid w:val="000C4017"/>
    <w:pPr>
      <w:numPr>
        <w:ilvl w:val="1"/>
      </w:numPr>
      <w:tabs>
        <w:tab w:val="left" w:pos="2552"/>
      </w:tabs>
    </w:pPr>
  </w:style>
  <w:style w:type="paragraph" w:styleId="ListParagraph">
    <w:name w:val="List Paragraph"/>
    <w:basedOn w:val="Normal"/>
    <w:uiPriority w:val="34"/>
    <w:qFormat/>
    <w:rsid w:val="00ED71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92BBA"/>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qFormat/>
    <w:rsid w:val="00E4438C"/>
    <w:pPr>
      <w:spacing w:before="120"/>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E457F3"/>
    <w:rPr>
      <w:rFonts w:ascii="Helvetica" w:hAnsi="Helvetica"/>
      <w:b/>
      <w:kern w:val="28"/>
      <w:sz w:val="24"/>
    </w:rPr>
  </w:style>
  <w:style w:type="character" w:styleId="CommentReference">
    <w:name w:val="annotation reference"/>
    <w:basedOn w:val="DefaultParagraphFont"/>
    <w:uiPriority w:val="99"/>
    <w:semiHidden/>
    <w:unhideWhenUsed/>
    <w:rsid w:val="006F5BFA"/>
    <w:rPr>
      <w:sz w:val="16"/>
      <w:szCs w:val="16"/>
    </w:rPr>
  </w:style>
  <w:style w:type="paragraph" w:styleId="CommentText">
    <w:name w:val="annotation text"/>
    <w:basedOn w:val="Normal"/>
    <w:link w:val="CommentTextChar"/>
    <w:uiPriority w:val="99"/>
    <w:semiHidden/>
    <w:unhideWhenUsed/>
    <w:rsid w:val="006F5BFA"/>
    <w:rPr>
      <w:sz w:val="20"/>
    </w:rPr>
  </w:style>
  <w:style w:type="character" w:customStyle="1" w:styleId="CommentTextChar">
    <w:name w:val="Comment Text Char"/>
    <w:basedOn w:val="DefaultParagraphFont"/>
    <w:link w:val="CommentText"/>
    <w:uiPriority w:val="99"/>
    <w:semiHidden/>
    <w:rsid w:val="006F5BFA"/>
  </w:style>
  <w:style w:type="paragraph" w:styleId="CommentSubject">
    <w:name w:val="annotation subject"/>
    <w:basedOn w:val="CommentText"/>
    <w:next w:val="CommentText"/>
    <w:link w:val="CommentSubjectChar"/>
    <w:uiPriority w:val="99"/>
    <w:semiHidden/>
    <w:unhideWhenUsed/>
    <w:rsid w:val="006F5BFA"/>
    <w:rPr>
      <w:b/>
      <w:bCs/>
    </w:rPr>
  </w:style>
  <w:style w:type="character" w:customStyle="1" w:styleId="CommentSubjectChar">
    <w:name w:val="Comment Subject Char"/>
    <w:basedOn w:val="CommentTextChar"/>
    <w:link w:val="CommentSubject"/>
    <w:uiPriority w:val="99"/>
    <w:semiHidden/>
    <w:rsid w:val="006F5BFA"/>
    <w:rPr>
      <w:b/>
      <w:bCs/>
    </w:rPr>
  </w:style>
  <w:style w:type="paragraph" w:styleId="Header">
    <w:name w:val="header"/>
    <w:basedOn w:val="Normal"/>
    <w:link w:val="HeaderChar"/>
    <w:uiPriority w:val="99"/>
    <w:unhideWhenUsed/>
    <w:rsid w:val="00300B82"/>
    <w:pPr>
      <w:tabs>
        <w:tab w:val="center" w:pos="4513"/>
        <w:tab w:val="right" w:pos="9026"/>
      </w:tabs>
      <w:spacing w:before="0" w:after="0"/>
    </w:pPr>
  </w:style>
  <w:style w:type="character" w:customStyle="1" w:styleId="HeaderChar">
    <w:name w:val="Header Char"/>
    <w:basedOn w:val="DefaultParagraphFont"/>
    <w:link w:val="Header"/>
    <w:uiPriority w:val="99"/>
    <w:rsid w:val="00300B82"/>
    <w:rPr>
      <w:sz w:val="24"/>
    </w:rPr>
  </w:style>
  <w:style w:type="paragraph" w:styleId="Footer">
    <w:name w:val="footer"/>
    <w:basedOn w:val="Normal"/>
    <w:link w:val="FooterChar"/>
    <w:uiPriority w:val="99"/>
    <w:unhideWhenUsed/>
    <w:rsid w:val="00300B82"/>
    <w:pPr>
      <w:tabs>
        <w:tab w:val="center" w:pos="4513"/>
        <w:tab w:val="right" w:pos="9026"/>
      </w:tabs>
      <w:spacing w:before="0" w:after="0"/>
    </w:pPr>
  </w:style>
  <w:style w:type="character" w:customStyle="1" w:styleId="FooterChar">
    <w:name w:val="Footer Char"/>
    <w:basedOn w:val="DefaultParagraphFont"/>
    <w:link w:val="Footer"/>
    <w:uiPriority w:val="99"/>
    <w:rsid w:val="00300B8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609369">
      <w:bodyDiv w:val="1"/>
      <w:marLeft w:val="0"/>
      <w:marRight w:val="0"/>
      <w:marTop w:val="0"/>
      <w:marBottom w:val="0"/>
      <w:divBdr>
        <w:top w:val="none" w:sz="0" w:space="0" w:color="auto"/>
        <w:left w:val="none" w:sz="0" w:space="0" w:color="auto"/>
        <w:bottom w:val="none" w:sz="0" w:space="0" w:color="auto"/>
        <w:right w:val="none" w:sz="0" w:space="0" w:color="auto"/>
      </w:divBdr>
    </w:div>
    <w:div w:id="959532157">
      <w:bodyDiv w:val="1"/>
      <w:marLeft w:val="0"/>
      <w:marRight w:val="0"/>
      <w:marTop w:val="0"/>
      <w:marBottom w:val="0"/>
      <w:divBdr>
        <w:top w:val="none" w:sz="0" w:space="0" w:color="auto"/>
        <w:left w:val="none" w:sz="0" w:space="0" w:color="auto"/>
        <w:bottom w:val="none" w:sz="0" w:space="0" w:color="auto"/>
        <w:right w:val="none" w:sz="0" w:space="0" w:color="auto"/>
      </w:divBdr>
      <w:divsChild>
        <w:div w:id="1952740822">
          <w:marLeft w:val="0"/>
          <w:marRight w:val="0"/>
          <w:marTop w:val="0"/>
          <w:marBottom w:val="0"/>
          <w:divBdr>
            <w:top w:val="none" w:sz="0" w:space="0" w:color="auto"/>
            <w:left w:val="none" w:sz="0" w:space="0" w:color="auto"/>
            <w:bottom w:val="none" w:sz="0" w:space="0" w:color="auto"/>
            <w:right w:val="none" w:sz="0" w:space="0" w:color="auto"/>
          </w:divBdr>
          <w:divsChild>
            <w:div w:id="237784509">
              <w:marLeft w:val="0"/>
              <w:marRight w:val="0"/>
              <w:marTop w:val="0"/>
              <w:marBottom w:val="0"/>
              <w:divBdr>
                <w:top w:val="none" w:sz="0" w:space="0" w:color="auto"/>
                <w:left w:val="none" w:sz="0" w:space="0" w:color="auto"/>
                <w:bottom w:val="none" w:sz="0" w:space="0" w:color="auto"/>
                <w:right w:val="none" w:sz="0" w:space="0" w:color="auto"/>
              </w:divBdr>
              <w:divsChild>
                <w:div w:id="1032144491">
                  <w:marLeft w:val="0"/>
                  <w:marRight w:val="0"/>
                  <w:marTop w:val="0"/>
                  <w:marBottom w:val="0"/>
                  <w:divBdr>
                    <w:top w:val="none" w:sz="0" w:space="0" w:color="auto"/>
                    <w:left w:val="none" w:sz="0" w:space="0" w:color="auto"/>
                    <w:bottom w:val="none" w:sz="0" w:space="0" w:color="auto"/>
                    <w:right w:val="none" w:sz="0" w:space="0" w:color="auto"/>
                  </w:divBdr>
                  <w:divsChild>
                    <w:div w:id="445006601">
                      <w:marLeft w:val="0"/>
                      <w:marRight w:val="0"/>
                      <w:marTop w:val="0"/>
                      <w:marBottom w:val="0"/>
                      <w:divBdr>
                        <w:top w:val="none" w:sz="0" w:space="0" w:color="auto"/>
                        <w:left w:val="none" w:sz="0" w:space="0" w:color="auto"/>
                        <w:bottom w:val="none" w:sz="0" w:space="0" w:color="auto"/>
                        <w:right w:val="none" w:sz="0" w:space="0" w:color="auto"/>
                      </w:divBdr>
                      <w:divsChild>
                        <w:div w:id="1920211690">
                          <w:marLeft w:val="0"/>
                          <w:marRight w:val="0"/>
                          <w:marTop w:val="0"/>
                          <w:marBottom w:val="0"/>
                          <w:divBdr>
                            <w:top w:val="single" w:sz="6" w:space="0" w:color="828282"/>
                            <w:left w:val="single" w:sz="6" w:space="0" w:color="828282"/>
                            <w:bottom w:val="single" w:sz="6" w:space="0" w:color="828282"/>
                            <w:right w:val="single" w:sz="6" w:space="0" w:color="828282"/>
                          </w:divBdr>
                          <w:divsChild>
                            <w:div w:id="438575166">
                              <w:marLeft w:val="0"/>
                              <w:marRight w:val="0"/>
                              <w:marTop w:val="0"/>
                              <w:marBottom w:val="0"/>
                              <w:divBdr>
                                <w:top w:val="none" w:sz="0" w:space="0" w:color="auto"/>
                                <w:left w:val="none" w:sz="0" w:space="0" w:color="auto"/>
                                <w:bottom w:val="none" w:sz="0" w:space="0" w:color="auto"/>
                                <w:right w:val="none" w:sz="0" w:space="0" w:color="auto"/>
                              </w:divBdr>
                              <w:divsChild>
                                <w:div w:id="1007440008">
                                  <w:marLeft w:val="0"/>
                                  <w:marRight w:val="0"/>
                                  <w:marTop w:val="0"/>
                                  <w:marBottom w:val="0"/>
                                  <w:divBdr>
                                    <w:top w:val="none" w:sz="0" w:space="0" w:color="auto"/>
                                    <w:left w:val="none" w:sz="0" w:space="0" w:color="auto"/>
                                    <w:bottom w:val="none" w:sz="0" w:space="0" w:color="auto"/>
                                    <w:right w:val="none" w:sz="0" w:space="0" w:color="auto"/>
                                  </w:divBdr>
                                  <w:divsChild>
                                    <w:div w:id="234433108">
                                      <w:marLeft w:val="0"/>
                                      <w:marRight w:val="0"/>
                                      <w:marTop w:val="0"/>
                                      <w:marBottom w:val="0"/>
                                      <w:divBdr>
                                        <w:top w:val="none" w:sz="0" w:space="0" w:color="auto"/>
                                        <w:left w:val="none" w:sz="0" w:space="0" w:color="auto"/>
                                        <w:bottom w:val="none" w:sz="0" w:space="0" w:color="auto"/>
                                        <w:right w:val="none" w:sz="0" w:space="0" w:color="auto"/>
                                      </w:divBdr>
                                      <w:divsChild>
                                        <w:div w:id="1742484641">
                                          <w:marLeft w:val="0"/>
                                          <w:marRight w:val="0"/>
                                          <w:marTop w:val="0"/>
                                          <w:marBottom w:val="0"/>
                                          <w:divBdr>
                                            <w:top w:val="none" w:sz="0" w:space="0" w:color="auto"/>
                                            <w:left w:val="none" w:sz="0" w:space="0" w:color="auto"/>
                                            <w:bottom w:val="none" w:sz="0" w:space="0" w:color="auto"/>
                                            <w:right w:val="none" w:sz="0" w:space="0" w:color="auto"/>
                                          </w:divBdr>
                                          <w:divsChild>
                                            <w:div w:id="1987004327">
                                              <w:marLeft w:val="0"/>
                                              <w:marRight w:val="0"/>
                                              <w:marTop w:val="0"/>
                                              <w:marBottom w:val="0"/>
                                              <w:divBdr>
                                                <w:top w:val="none" w:sz="0" w:space="0" w:color="auto"/>
                                                <w:left w:val="none" w:sz="0" w:space="0" w:color="auto"/>
                                                <w:bottom w:val="none" w:sz="0" w:space="0" w:color="auto"/>
                                                <w:right w:val="none" w:sz="0" w:space="0" w:color="auto"/>
                                              </w:divBdr>
                                              <w:divsChild>
                                                <w:div w:id="3461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4253119">
      <w:bodyDiv w:val="1"/>
      <w:marLeft w:val="0"/>
      <w:marRight w:val="0"/>
      <w:marTop w:val="0"/>
      <w:marBottom w:val="0"/>
      <w:divBdr>
        <w:top w:val="none" w:sz="0" w:space="0" w:color="auto"/>
        <w:left w:val="none" w:sz="0" w:space="0" w:color="auto"/>
        <w:bottom w:val="none" w:sz="0" w:space="0" w:color="auto"/>
        <w:right w:val="none" w:sz="0" w:space="0" w:color="auto"/>
      </w:divBdr>
      <w:divsChild>
        <w:div w:id="1893610671">
          <w:marLeft w:val="0"/>
          <w:marRight w:val="0"/>
          <w:marTop w:val="0"/>
          <w:marBottom w:val="0"/>
          <w:divBdr>
            <w:top w:val="none" w:sz="0" w:space="0" w:color="auto"/>
            <w:left w:val="none" w:sz="0" w:space="0" w:color="auto"/>
            <w:bottom w:val="none" w:sz="0" w:space="0" w:color="auto"/>
            <w:right w:val="none" w:sz="0" w:space="0" w:color="auto"/>
          </w:divBdr>
          <w:divsChild>
            <w:div w:id="1614629336">
              <w:marLeft w:val="0"/>
              <w:marRight w:val="0"/>
              <w:marTop w:val="0"/>
              <w:marBottom w:val="0"/>
              <w:divBdr>
                <w:top w:val="none" w:sz="0" w:space="0" w:color="auto"/>
                <w:left w:val="none" w:sz="0" w:space="0" w:color="auto"/>
                <w:bottom w:val="none" w:sz="0" w:space="0" w:color="auto"/>
                <w:right w:val="none" w:sz="0" w:space="0" w:color="auto"/>
              </w:divBdr>
              <w:divsChild>
                <w:div w:id="511914370">
                  <w:marLeft w:val="0"/>
                  <w:marRight w:val="0"/>
                  <w:marTop w:val="0"/>
                  <w:marBottom w:val="0"/>
                  <w:divBdr>
                    <w:top w:val="none" w:sz="0" w:space="0" w:color="auto"/>
                    <w:left w:val="none" w:sz="0" w:space="0" w:color="auto"/>
                    <w:bottom w:val="none" w:sz="0" w:space="0" w:color="auto"/>
                    <w:right w:val="none" w:sz="0" w:space="0" w:color="auto"/>
                  </w:divBdr>
                  <w:divsChild>
                    <w:div w:id="475607705">
                      <w:marLeft w:val="0"/>
                      <w:marRight w:val="0"/>
                      <w:marTop w:val="0"/>
                      <w:marBottom w:val="0"/>
                      <w:divBdr>
                        <w:top w:val="none" w:sz="0" w:space="0" w:color="auto"/>
                        <w:left w:val="none" w:sz="0" w:space="0" w:color="auto"/>
                        <w:bottom w:val="none" w:sz="0" w:space="0" w:color="auto"/>
                        <w:right w:val="none" w:sz="0" w:space="0" w:color="auto"/>
                      </w:divBdr>
                      <w:divsChild>
                        <w:div w:id="1543250363">
                          <w:marLeft w:val="0"/>
                          <w:marRight w:val="0"/>
                          <w:marTop w:val="0"/>
                          <w:marBottom w:val="0"/>
                          <w:divBdr>
                            <w:top w:val="single" w:sz="6" w:space="0" w:color="828282"/>
                            <w:left w:val="single" w:sz="6" w:space="0" w:color="828282"/>
                            <w:bottom w:val="single" w:sz="6" w:space="0" w:color="828282"/>
                            <w:right w:val="single" w:sz="6" w:space="0" w:color="828282"/>
                          </w:divBdr>
                          <w:divsChild>
                            <w:div w:id="270940386">
                              <w:marLeft w:val="0"/>
                              <w:marRight w:val="0"/>
                              <w:marTop w:val="0"/>
                              <w:marBottom w:val="0"/>
                              <w:divBdr>
                                <w:top w:val="none" w:sz="0" w:space="0" w:color="auto"/>
                                <w:left w:val="none" w:sz="0" w:space="0" w:color="auto"/>
                                <w:bottom w:val="none" w:sz="0" w:space="0" w:color="auto"/>
                                <w:right w:val="none" w:sz="0" w:space="0" w:color="auto"/>
                              </w:divBdr>
                              <w:divsChild>
                                <w:div w:id="1026101897">
                                  <w:marLeft w:val="0"/>
                                  <w:marRight w:val="0"/>
                                  <w:marTop w:val="0"/>
                                  <w:marBottom w:val="0"/>
                                  <w:divBdr>
                                    <w:top w:val="none" w:sz="0" w:space="0" w:color="auto"/>
                                    <w:left w:val="none" w:sz="0" w:space="0" w:color="auto"/>
                                    <w:bottom w:val="none" w:sz="0" w:space="0" w:color="auto"/>
                                    <w:right w:val="none" w:sz="0" w:space="0" w:color="auto"/>
                                  </w:divBdr>
                                  <w:divsChild>
                                    <w:div w:id="814688112">
                                      <w:marLeft w:val="0"/>
                                      <w:marRight w:val="0"/>
                                      <w:marTop w:val="0"/>
                                      <w:marBottom w:val="0"/>
                                      <w:divBdr>
                                        <w:top w:val="none" w:sz="0" w:space="0" w:color="auto"/>
                                        <w:left w:val="none" w:sz="0" w:space="0" w:color="auto"/>
                                        <w:bottom w:val="none" w:sz="0" w:space="0" w:color="auto"/>
                                        <w:right w:val="none" w:sz="0" w:space="0" w:color="auto"/>
                                      </w:divBdr>
                                      <w:divsChild>
                                        <w:div w:id="151607574">
                                          <w:marLeft w:val="0"/>
                                          <w:marRight w:val="0"/>
                                          <w:marTop w:val="0"/>
                                          <w:marBottom w:val="0"/>
                                          <w:divBdr>
                                            <w:top w:val="none" w:sz="0" w:space="0" w:color="auto"/>
                                            <w:left w:val="none" w:sz="0" w:space="0" w:color="auto"/>
                                            <w:bottom w:val="none" w:sz="0" w:space="0" w:color="auto"/>
                                            <w:right w:val="none" w:sz="0" w:space="0" w:color="auto"/>
                                          </w:divBdr>
                                          <w:divsChild>
                                            <w:div w:id="979382122">
                                              <w:marLeft w:val="0"/>
                                              <w:marRight w:val="0"/>
                                              <w:marTop w:val="0"/>
                                              <w:marBottom w:val="0"/>
                                              <w:divBdr>
                                                <w:top w:val="none" w:sz="0" w:space="0" w:color="auto"/>
                                                <w:left w:val="none" w:sz="0" w:space="0" w:color="auto"/>
                                                <w:bottom w:val="none" w:sz="0" w:space="0" w:color="auto"/>
                                                <w:right w:val="none" w:sz="0" w:space="0" w:color="auto"/>
                                              </w:divBdr>
                                              <w:divsChild>
                                                <w:div w:id="203241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125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ExCo-Explanatory%20Stat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AE73A1997214AE4D97E31774AEF89933" ma:contentTypeVersion="" ma:contentTypeDescription="PDMS Documentation Content Type" ma:contentTypeScope="" ma:versionID="0a237e0c69816e39913bd9e5deb6eb5e">
  <xsd:schema xmlns:xsd="http://www.w3.org/2001/XMLSchema" xmlns:xs="http://www.w3.org/2001/XMLSchema" xmlns:p="http://schemas.microsoft.com/office/2006/metadata/properties" xmlns:ns2="69C57E85-9E5F-4171-B443-7D6E2902042E" targetNamespace="http://schemas.microsoft.com/office/2006/metadata/properties" ma:root="true" ma:fieldsID="7e30640ec572e1c5c6efd7b2b8dc9c61" ns2:_="">
    <xsd:import namespace="69C57E85-9E5F-4171-B443-7D6E2902042E"/>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57E85-9E5F-4171-B443-7D6E2902042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dms_AttachedBy xmlns="69C57E85-9E5F-4171-B443-7D6E2902042E" xsi:nil="true"/>
    <pdms_SecurityClassification xmlns="69C57E85-9E5F-4171-B443-7D6E2902042E" xsi:nil="true"/>
    <SecurityClassification xmlns="69C57E85-9E5F-4171-B443-7D6E2902042E" xsi:nil="true"/>
    <pdms_DocumentType xmlns="69C57E85-9E5F-4171-B443-7D6E2902042E" xsi:nil="true"/>
    <pdms_Reason xmlns="69C57E85-9E5F-4171-B443-7D6E2902042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6C98A-4D81-4D4E-9D64-9F09669C5C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57E85-9E5F-4171-B443-7D6E290204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AF245B-E09B-4C5C-AA9E-EEE31E716035}">
  <ds:schemaRefs>
    <ds:schemaRef ds:uri="http://schemas.microsoft.com/sharepoint/v3/contenttype/forms"/>
  </ds:schemaRefs>
</ds:datastoreItem>
</file>

<file path=customXml/itemProps3.xml><?xml version="1.0" encoding="utf-8"?>
<ds:datastoreItem xmlns:ds="http://schemas.openxmlformats.org/officeDocument/2006/customXml" ds:itemID="{9B594E86-6029-4528-A0B4-64F60D3FDB2E}">
  <ds:schemaRefs>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69C57E85-9E5F-4171-B443-7D6E2902042E"/>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6438895A-5064-4037-84D2-B1CB4E647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ExCo-Explanatory Statement.dotm</Template>
  <TotalTime>0</TotalTime>
  <Pages>4</Pages>
  <Words>872</Words>
  <Characters>4781</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5642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Hoyle, Bart</dc:creator>
  <cp:lastModifiedBy>Alabaster, John</cp:lastModifiedBy>
  <cp:revision>2</cp:revision>
  <cp:lastPrinted>2015-07-09T00:08:00Z</cp:lastPrinted>
  <dcterms:created xsi:type="dcterms:W3CDTF">2015-09-02T05:37:00Z</dcterms:created>
  <dcterms:modified xsi:type="dcterms:W3CDTF">2015-09-02T05:37:00Z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-1900541636</vt:i4>
  </property>
  <property fmtid="{D5CDD505-2E9C-101B-9397-08002B2CF9AE}" pid="3" name="_NewReviewCycle">
    <vt:lpwstr/>
  </property>
  <property fmtid="{D5CDD505-2E9C-101B-9397-08002B2CF9AE}" pid="4" name="_EmailSubject">
    <vt:lpwstr>For ExCo draft clearance: Corporations Amendment (Financial Advice) Regulation 2015 </vt:lpwstr>
  </property>
  <property fmtid="{D5CDD505-2E9C-101B-9397-08002B2CF9AE}" pid="5" name="_AuthorEmail">
    <vt:lpwstr>Lisa.Cantlon@TREASURY.GOV.AU</vt:lpwstr>
  </property>
  <property fmtid="{D5CDD505-2E9C-101B-9397-08002B2CF9AE}" pid="6" name="_AuthorEmailDisplayName">
    <vt:lpwstr>Cantlon, Lisa</vt:lpwstr>
  </property>
  <property fmtid="{D5CDD505-2E9C-101B-9397-08002B2CF9AE}" pid="7" name="ContentTypeId">
    <vt:lpwstr>0x010100266966F133664895A6EE3632470D45F50100AE73A1997214AE4D97E31774AEF89933</vt:lpwstr>
  </property>
  <property fmtid="{D5CDD505-2E9C-101B-9397-08002B2CF9AE}" pid="8" name="TSYRecordClass">
    <vt:lpwstr>11;#TSY RA-9237 - Destroy 5 years after action completed|9f1a030e-81bf-44c5-98eb-4d5d869a40d5</vt:lpwstr>
  </property>
  <property fmtid="{D5CDD505-2E9C-101B-9397-08002B2CF9AE}" pid="9" name="_dlc_DocIdItemGuid">
    <vt:lpwstr>7b1636d5-c45b-4768-820a-d1226fd49199</vt:lpwstr>
  </property>
  <property fmtid="{D5CDD505-2E9C-101B-9397-08002B2CF9AE}" pid="10" name="_PreviousAdHocReviewCycleID">
    <vt:i4>-437559809</vt:i4>
  </property>
  <property fmtid="{D5CDD505-2E9C-101B-9397-08002B2CF9AE}" pid="11" name="_ReviewingToolsShownOnce">
    <vt:lpwstr/>
  </property>
</Properties>
</file>