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C2" w:rsidRPr="00866C07" w:rsidRDefault="00E26B8C" w:rsidP="00ED4AC2">
      <w:pPr>
        <w:pStyle w:val="Heading1"/>
      </w:pPr>
      <w:r w:rsidRPr="00ED4AC2">
        <w:t>EXPLANATORY STATEMENT</w:t>
      </w:r>
    </w:p>
    <w:p w:rsidR="00E26B8C" w:rsidRDefault="00E26B8C" w:rsidP="001C2945">
      <w:pPr>
        <w:tabs>
          <w:tab w:val="left" w:pos="1800"/>
        </w:tabs>
        <w:jc w:val="center"/>
        <w:rPr>
          <w:sz w:val="20"/>
          <w:szCs w:val="20"/>
        </w:rPr>
      </w:pPr>
    </w:p>
    <w:p w:rsidR="00E26B8C" w:rsidRDefault="00E26B8C" w:rsidP="001C2945">
      <w:pPr>
        <w:jc w:val="center"/>
        <w:rPr>
          <w:u w:val="single"/>
        </w:rPr>
      </w:pPr>
      <w:r>
        <w:rPr>
          <w:u w:val="single"/>
        </w:rPr>
        <w:t xml:space="preserve">Issued by the Authority of </w:t>
      </w:r>
      <w:r w:rsidR="008E5B3D">
        <w:rPr>
          <w:u w:val="single"/>
        </w:rPr>
        <w:t>the Minister for Finance</w:t>
      </w:r>
    </w:p>
    <w:p w:rsidR="00E26B8C" w:rsidRDefault="00E26B8C" w:rsidP="001C2945">
      <w:pPr>
        <w:jc w:val="center"/>
        <w:rPr>
          <w:u w:val="single"/>
        </w:rPr>
      </w:pPr>
    </w:p>
    <w:p w:rsidR="00E26B8C" w:rsidRPr="00ED4AC2" w:rsidRDefault="008E5B3D" w:rsidP="00ED4AC2">
      <w:pPr>
        <w:pStyle w:val="Subtitle"/>
      </w:pPr>
      <w:r w:rsidRPr="00ED4AC2">
        <w:t>Medical Research Future Fund Act 2015</w:t>
      </w:r>
    </w:p>
    <w:p w:rsidR="008E5B3D" w:rsidRDefault="008E5B3D" w:rsidP="001C2945">
      <w:pPr>
        <w:jc w:val="center"/>
      </w:pPr>
    </w:p>
    <w:p w:rsidR="00176A33" w:rsidRPr="008E5B3D" w:rsidRDefault="00176A33" w:rsidP="001C2945">
      <w:pPr>
        <w:jc w:val="center"/>
      </w:pPr>
    </w:p>
    <w:p w:rsidR="00E26B8C" w:rsidRPr="00ED4AC2" w:rsidRDefault="008E5B3D" w:rsidP="00ED4AC2">
      <w:pPr>
        <w:pStyle w:val="Heading2"/>
      </w:pPr>
      <w:bookmarkStart w:id="0" w:name="Citation"/>
      <w:r w:rsidRPr="00ED4AC2">
        <w:t>Medical Research Future Fund (</w:t>
      </w:r>
      <w:r w:rsidR="00D6627D">
        <w:t xml:space="preserve">Amount to be Transferred from the </w:t>
      </w:r>
      <w:r w:rsidR="00C52908">
        <w:t>Health and Hospitals Fund</w:t>
      </w:r>
      <w:r w:rsidRPr="00ED4AC2">
        <w:t xml:space="preserve">) Determination </w:t>
      </w:r>
      <w:bookmarkEnd w:id="0"/>
      <w:r w:rsidRPr="00ED4AC2">
        <w:t>2015</w:t>
      </w:r>
    </w:p>
    <w:p w:rsidR="00E26B8C" w:rsidRDefault="00E26B8C" w:rsidP="001C2945">
      <w:pPr>
        <w:rPr>
          <w:b/>
        </w:rPr>
      </w:pPr>
    </w:p>
    <w:p w:rsidR="00176A33" w:rsidRDefault="00176A33" w:rsidP="001C2945">
      <w:pPr>
        <w:rPr>
          <w:b/>
        </w:rPr>
      </w:pPr>
    </w:p>
    <w:p w:rsidR="00E26B8C" w:rsidRPr="008E5B3D" w:rsidRDefault="00AA1B25" w:rsidP="001C2945">
      <w:pPr>
        <w:rPr>
          <w:highlight w:val="yellow"/>
        </w:rPr>
      </w:pPr>
      <w:r>
        <w:t>Section</w:t>
      </w:r>
      <w:r w:rsidR="00D6627D">
        <w:t xml:space="preserve"> </w:t>
      </w:r>
      <w:r w:rsidR="00C52908">
        <w:t>12</w:t>
      </w:r>
      <w:r w:rsidR="00C52908" w:rsidRPr="0028587D">
        <w:t xml:space="preserve"> (1) (a) </w:t>
      </w:r>
      <w:r>
        <w:t>of</w:t>
      </w:r>
      <w:r w:rsidR="001C2945" w:rsidRPr="0028587D">
        <w:t xml:space="preserve"> the </w:t>
      </w:r>
      <w:r w:rsidR="001C2945" w:rsidRPr="00374958">
        <w:rPr>
          <w:i/>
        </w:rPr>
        <w:t xml:space="preserve">Medical </w:t>
      </w:r>
      <w:r w:rsidR="001C2945" w:rsidRPr="001C2945">
        <w:rPr>
          <w:i/>
        </w:rPr>
        <w:t>Research Future Fund Act 2015</w:t>
      </w:r>
      <w:r w:rsidR="001C2945" w:rsidRPr="001C2945">
        <w:t xml:space="preserve"> </w:t>
      </w:r>
      <w:r w:rsidR="00E26B8C" w:rsidRPr="001C2945">
        <w:t>(the Act) provides that</w:t>
      </w:r>
      <w:r w:rsidR="001C2945" w:rsidRPr="001C2945">
        <w:t xml:space="preserve"> </w:t>
      </w:r>
      <w:r w:rsidR="00E26B8C" w:rsidRPr="001C2945">
        <w:t xml:space="preserve">the </w:t>
      </w:r>
      <w:r w:rsidR="00D6627D">
        <w:t xml:space="preserve">Minister for Finance </w:t>
      </w:r>
      <w:r w:rsidR="00E26B8C" w:rsidRPr="001C2945">
        <w:t>m</w:t>
      </w:r>
      <w:r w:rsidR="00D6627D">
        <w:t>ust</w:t>
      </w:r>
      <w:r w:rsidR="00E26B8C" w:rsidRPr="001C2945">
        <w:t xml:space="preserve"> determine by writing </w:t>
      </w:r>
      <w:r w:rsidR="00C52908">
        <w:t>an amount to be transferred from the Health and Hospitals Fund to the Medical Research Future Fund.</w:t>
      </w:r>
    </w:p>
    <w:p w:rsidR="00E26B8C" w:rsidRPr="008E5B3D" w:rsidRDefault="00E26B8C" w:rsidP="001C2945">
      <w:pPr>
        <w:rPr>
          <w:highlight w:val="yellow"/>
        </w:rPr>
      </w:pPr>
    </w:p>
    <w:p w:rsidR="00E26B8C" w:rsidRDefault="00E26B8C" w:rsidP="001C2945">
      <w:r w:rsidRPr="001C2945">
        <w:t>The purpose of th</w:t>
      </w:r>
      <w:r w:rsidR="00274BB8">
        <w:t>e</w:t>
      </w:r>
      <w:r w:rsidRPr="001C2945">
        <w:t xml:space="preserve"> </w:t>
      </w:r>
      <w:r w:rsidR="008E5B3D" w:rsidRPr="001C2945">
        <w:t>Medical Research Future Fund (</w:t>
      </w:r>
      <w:r w:rsidR="00152271">
        <w:t>Amount to be Transferred from the</w:t>
      </w:r>
      <w:r w:rsidR="00C52908">
        <w:t xml:space="preserve"> Health and Hospitals Fund</w:t>
      </w:r>
      <w:r w:rsidR="008E5B3D" w:rsidRPr="001C2945">
        <w:t>) Determination 2015</w:t>
      </w:r>
      <w:r w:rsidRPr="001C2945">
        <w:t xml:space="preserve"> </w:t>
      </w:r>
      <w:r w:rsidR="00580242">
        <w:t xml:space="preserve">(the Determination) </w:t>
      </w:r>
      <w:r w:rsidRPr="001C2945">
        <w:t xml:space="preserve">is to specify that </w:t>
      </w:r>
      <w:r w:rsidRPr="00DE2C20">
        <w:t>$</w:t>
      </w:r>
      <w:r w:rsidR="00DE2C20" w:rsidRPr="00DE2C20">
        <w:rPr>
          <w:rStyle w:val="HelpText"/>
          <w:color w:val="auto"/>
        </w:rPr>
        <w:t xml:space="preserve">1,010,000,000 </w:t>
      </w:r>
      <w:r w:rsidRPr="00DE2C20">
        <w:t>is</w:t>
      </w:r>
      <w:r w:rsidRPr="001C2945">
        <w:t xml:space="preserve"> to </w:t>
      </w:r>
      <w:r w:rsidR="00C52908" w:rsidRPr="0028587D">
        <w:t xml:space="preserve">be </w:t>
      </w:r>
      <w:r w:rsidR="00C52908">
        <w:t xml:space="preserve">transferred from the Health and Hospitals Fund to the Medical Research Future Fund. </w:t>
      </w:r>
      <w:r w:rsidRPr="001C2945">
        <w:t xml:space="preserve">This amount consists of </w:t>
      </w:r>
      <w:r w:rsidR="00C52908">
        <w:t>the value of the uncommitted funds in the Health and Hospitals Fund.</w:t>
      </w:r>
    </w:p>
    <w:p w:rsidR="00C52908" w:rsidRDefault="00C52908" w:rsidP="001C2945"/>
    <w:p w:rsidR="00E26B8C" w:rsidRDefault="006E66D8" w:rsidP="006E66D8">
      <w:pPr>
        <w:rPr>
          <w:lang w:eastAsia="en-AU"/>
        </w:rPr>
      </w:pPr>
      <w:r>
        <w:rPr>
          <w:lang w:eastAsia="en-AU"/>
        </w:rPr>
        <w:t xml:space="preserve">The Future Fund Board of Guardians will have 28 days from the date this </w:t>
      </w:r>
      <w:r w:rsidR="00580242">
        <w:rPr>
          <w:lang w:eastAsia="en-AU"/>
        </w:rPr>
        <w:t>D</w:t>
      </w:r>
      <w:r>
        <w:rPr>
          <w:lang w:eastAsia="en-AU"/>
        </w:rPr>
        <w:t xml:space="preserve">etermination commences to </w:t>
      </w:r>
      <w:proofErr w:type="gramStart"/>
      <w:r>
        <w:rPr>
          <w:lang w:eastAsia="en-AU"/>
        </w:rPr>
        <w:t>effect</w:t>
      </w:r>
      <w:proofErr w:type="gramEnd"/>
      <w:r>
        <w:rPr>
          <w:lang w:eastAsia="en-AU"/>
        </w:rPr>
        <w:t xml:space="preserve"> a transfer of financial assets to the value of</w:t>
      </w:r>
      <w:r w:rsidR="00176A33">
        <w:rPr>
          <w:lang w:eastAsia="en-AU"/>
        </w:rPr>
        <w:t xml:space="preserve"> the amount determined in this D</w:t>
      </w:r>
      <w:r>
        <w:rPr>
          <w:lang w:eastAsia="en-AU"/>
        </w:rPr>
        <w:t>etermination. During this period the Future Fund Board of Guardians will identify the assets to be transferred and make whatever commercial arrangements are required to manage these assets as investments of the Medical Research Future Fund.</w:t>
      </w:r>
    </w:p>
    <w:p w:rsidR="00C52908" w:rsidRDefault="00C52908" w:rsidP="001C2945"/>
    <w:p w:rsidR="00176A33" w:rsidRDefault="00AA1B25" w:rsidP="00274BB8">
      <w:r>
        <w:t>Section</w:t>
      </w:r>
      <w:r w:rsidR="00152271">
        <w:t xml:space="preserve"> 12(</w:t>
      </w:r>
      <w:r w:rsidR="00176A33">
        <w:t>2) of the Act provides that the</w:t>
      </w:r>
      <w:r w:rsidR="00C52908">
        <w:t xml:space="preserve"> </w:t>
      </w:r>
      <w:r w:rsidR="00580242">
        <w:t>D</w:t>
      </w:r>
      <w:r w:rsidR="00C52908" w:rsidRPr="001C2945">
        <w:t xml:space="preserve">etermination is a legislative instrument for the purpose of the </w:t>
      </w:r>
      <w:r w:rsidR="00C52908" w:rsidRPr="001C2945">
        <w:rPr>
          <w:i/>
        </w:rPr>
        <w:t>Legislative Instruments</w:t>
      </w:r>
      <w:r w:rsidR="00C52908" w:rsidRPr="001C2945">
        <w:t xml:space="preserve"> </w:t>
      </w:r>
      <w:r w:rsidR="00C52908" w:rsidRPr="001C2945">
        <w:rPr>
          <w:i/>
        </w:rPr>
        <w:t>Act 2003</w:t>
      </w:r>
      <w:r w:rsidR="00152271">
        <w:t xml:space="preserve"> but is not subject to disallowance under section 42 of the </w:t>
      </w:r>
      <w:r w:rsidR="002F7799" w:rsidRPr="002F7799">
        <w:rPr>
          <w:i/>
        </w:rPr>
        <w:t>Legislative Instruments Act 2003</w:t>
      </w:r>
      <w:r w:rsidR="00274BB8">
        <w:t>.</w:t>
      </w:r>
      <w:r w:rsidR="00C52908" w:rsidRPr="001C2945">
        <w:t xml:space="preserve"> </w:t>
      </w:r>
    </w:p>
    <w:p w:rsidR="00176A33" w:rsidRDefault="00176A33" w:rsidP="00274BB8"/>
    <w:p w:rsidR="00274BB8" w:rsidRDefault="00274BB8" w:rsidP="00274BB8">
      <w:r>
        <w:t>The D</w:t>
      </w:r>
      <w:r w:rsidRPr="001C2945">
        <w:t>etermination commences on the day it is registered on the Federal Register of Legislative Instruments.</w:t>
      </w:r>
    </w:p>
    <w:p w:rsidR="00E26B8C" w:rsidRDefault="00E26B8C" w:rsidP="001C2945"/>
    <w:p w:rsidR="00E26B8C" w:rsidRDefault="001C2945" w:rsidP="00F643E0">
      <w:pPr>
        <w:pStyle w:val="Heading3"/>
      </w:pPr>
      <w:r w:rsidRPr="001C2945">
        <w:t xml:space="preserve">Consultation </w:t>
      </w:r>
    </w:p>
    <w:p w:rsidR="007228B1" w:rsidRDefault="007228B1" w:rsidP="007228B1">
      <w:r>
        <w:t xml:space="preserve">The Government announced the </w:t>
      </w:r>
      <w:r w:rsidRPr="00ED4AC2">
        <w:t>Medical Research Future Fund</w:t>
      </w:r>
      <w:r>
        <w:t xml:space="preserve"> and the applicable credits in the 2014-15 Budget. </w:t>
      </w:r>
    </w:p>
    <w:p w:rsidR="00152271" w:rsidRDefault="00152271" w:rsidP="007228B1"/>
    <w:p w:rsidR="007228B1" w:rsidRDefault="00152271" w:rsidP="007228B1">
      <w:r>
        <w:t xml:space="preserve">The Future Fund </w:t>
      </w:r>
      <w:r w:rsidR="00176A33">
        <w:t>Board of Guardians</w:t>
      </w:r>
      <w:r>
        <w:t xml:space="preserve"> who have responsibility for the Health and Hospitals Fund were consulted on the amount to be transferred.</w:t>
      </w:r>
    </w:p>
    <w:p w:rsidR="006E66D8" w:rsidRDefault="006E66D8" w:rsidP="007228B1"/>
    <w:p w:rsidR="00176A33" w:rsidRDefault="00176A33" w:rsidP="00176A33">
      <w:pPr>
        <w:rPr>
          <w:rFonts w:eastAsia="Arial"/>
        </w:rPr>
      </w:pPr>
      <w:r>
        <w:rPr>
          <w:rFonts w:eastAsia="Arial"/>
        </w:rPr>
        <w:t>The Office of Best Practice Regulation (</w:t>
      </w:r>
      <w:proofErr w:type="spellStart"/>
      <w:r>
        <w:rPr>
          <w:rFonts w:eastAsia="Arial"/>
        </w:rPr>
        <w:t>OBPR</w:t>
      </w:r>
      <w:proofErr w:type="spellEnd"/>
      <w:r>
        <w:rPr>
          <w:rFonts w:eastAsia="Arial"/>
        </w:rPr>
        <w:t xml:space="preserve">) assessed that the impact of the changes made by the Determination are minor and do not require a Regulation Impact Statement </w:t>
      </w:r>
      <w:r w:rsidRPr="00B47ACE">
        <w:rPr>
          <w:rFonts w:eastAsia="Arial"/>
        </w:rPr>
        <w:t>(</w:t>
      </w:r>
      <w:proofErr w:type="spellStart"/>
      <w:r w:rsidRPr="00B47ACE">
        <w:rPr>
          <w:rFonts w:eastAsia="Arial"/>
        </w:rPr>
        <w:t>OBPR</w:t>
      </w:r>
      <w:proofErr w:type="spellEnd"/>
      <w:r w:rsidRPr="00B47ACE">
        <w:rPr>
          <w:rFonts w:eastAsia="Arial"/>
        </w:rPr>
        <w:t xml:space="preserve"> ID: </w:t>
      </w:r>
      <w:r w:rsidR="00B47ACE" w:rsidRPr="00B47ACE">
        <w:rPr>
          <w:rFonts w:eastAsia="Arial"/>
        </w:rPr>
        <w:t>19553</w:t>
      </w:r>
      <w:r w:rsidRPr="00B47ACE">
        <w:rPr>
          <w:rFonts w:eastAsia="Arial"/>
        </w:rPr>
        <w:t>).</w:t>
      </w:r>
    </w:p>
    <w:p w:rsidR="00176A33" w:rsidRDefault="00176A33" w:rsidP="007228B1"/>
    <w:p w:rsidR="00085A65" w:rsidRPr="00F643E0" w:rsidRDefault="00085A65" w:rsidP="00085A65">
      <w:pPr>
        <w:pStyle w:val="Heading3"/>
      </w:pPr>
      <w:r w:rsidRPr="00F643E0">
        <w:t>Statement of compatibility with Human Rights</w:t>
      </w:r>
    </w:p>
    <w:p w:rsidR="00085A65" w:rsidRDefault="00085A65" w:rsidP="00085A65">
      <w:pPr>
        <w:rPr>
          <w:rFonts w:eastAsia="Arial"/>
        </w:rPr>
      </w:pPr>
      <w:r w:rsidRPr="00D90150">
        <w:rPr>
          <w:rFonts w:eastAsia="Arial"/>
        </w:rPr>
        <w:t xml:space="preserve">The </w:t>
      </w:r>
      <w:r>
        <w:rPr>
          <w:rFonts w:eastAsia="Arial"/>
        </w:rPr>
        <w:t xml:space="preserve">legislative instrument does </w:t>
      </w:r>
      <w:r w:rsidRPr="00D90150">
        <w:rPr>
          <w:rFonts w:eastAsia="Arial"/>
        </w:rPr>
        <w:t>not:</w:t>
      </w:r>
    </w:p>
    <w:p w:rsidR="00085A65" w:rsidRPr="00A13D1D" w:rsidRDefault="00085A65" w:rsidP="00085A65">
      <w:pPr>
        <w:pStyle w:val="paragraph"/>
        <w:numPr>
          <w:ilvl w:val="0"/>
          <w:numId w:val="2"/>
        </w:numPr>
        <w:rPr>
          <w:sz w:val="24"/>
          <w:szCs w:val="24"/>
        </w:rPr>
      </w:pPr>
      <w:r w:rsidRPr="00A13D1D">
        <w:rPr>
          <w:sz w:val="24"/>
          <w:szCs w:val="24"/>
        </w:rPr>
        <w:t xml:space="preserve">engage any of the applicable rights or freedoms outlined in the </w:t>
      </w:r>
      <w:r w:rsidRPr="00A13D1D">
        <w:rPr>
          <w:i/>
          <w:sz w:val="24"/>
          <w:szCs w:val="24"/>
        </w:rPr>
        <w:t>Human Rights (Parliamentary Scrutiny) Act 2011</w:t>
      </w:r>
      <w:r w:rsidRPr="00A13D1D">
        <w:rPr>
          <w:sz w:val="24"/>
          <w:szCs w:val="24"/>
        </w:rPr>
        <w:t>, such as encompassed in the International Covenant on Civil and Political Rights; or</w:t>
      </w:r>
    </w:p>
    <w:p w:rsidR="00085A65" w:rsidRPr="00A13D1D" w:rsidRDefault="00085A65" w:rsidP="00085A65">
      <w:pPr>
        <w:pStyle w:val="paragraph"/>
        <w:numPr>
          <w:ilvl w:val="0"/>
          <w:numId w:val="2"/>
        </w:numPr>
        <w:spacing w:after="240"/>
        <w:rPr>
          <w:sz w:val="24"/>
          <w:szCs w:val="24"/>
        </w:rPr>
      </w:pPr>
      <w:proofErr w:type="gramStart"/>
      <w:r w:rsidRPr="00A13D1D">
        <w:rPr>
          <w:sz w:val="24"/>
          <w:szCs w:val="24"/>
        </w:rPr>
        <w:lastRenderedPageBreak/>
        <w:t>limit</w:t>
      </w:r>
      <w:proofErr w:type="gramEnd"/>
      <w:r w:rsidRPr="00A13D1D">
        <w:rPr>
          <w:sz w:val="24"/>
          <w:szCs w:val="24"/>
        </w:rPr>
        <w:t xml:space="preserve"> any human rights, nor propose any offences or penalties.</w:t>
      </w:r>
    </w:p>
    <w:p w:rsidR="00E26B8C" w:rsidRDefault="00085A65" w:rsidP="001C2945">
      <w:pPr>
        <w:rPr>
          <w:rFonts w:eastAsia="Arial"/>
        </w:rPr>
      </w:pPr>
      <w:r w:rsidRPr="00D90150">
        <w:rPr>
          <w:rFonts w:eastAsia="Arial"/>
        </w:rPr>
        <w:t>Th</w:t>
      </w:r>
      <w:r>
        <w:rPr>
          <w:rFonts w:eastAsia="Arial"/>
        </w:rPr>
        <w:t>is</w:t>
      </w:r>
      <w:r w:rsidRPr="00D90150">
        <w:rPr>
          <w:rFonts w:eastAsia="Arial"/>
        </w:rPr>
        <w:t xml:space="preserve"> </w:t>
      </w:r>
      <w:r>
        <w:rPr>
          <w:rFonts w:eastAsia="Arial"/>
        </w:rPr>
        <w:t>legislative instrument</w:t>
      </w:r>
      <w:r w:rsidRPr="00D90150">
        <w:rPr>
          <w:rFonts w:eastAsia="Arial"/>
        </w:rPr>
        <w:t xml:space="preserve"> is therefore compatible with the human rights and freedoms recognised or declared in the international instruments listed in subsection 3(1) of the </w:t>
      </w:r>
      <w:r w:rsidRPr="00D90150">
        <w:rPr>
          <w:rFonts w:eastAsia="Arial"/>
          <w:i/>
        </w:rPr>
        <w:t>Human Rights (Parliamentary Scrutiny) Act 2011</w:t>
      </w:r>
      <w:r w:rsidRPr="00D90150">
        <w:rPr>
          <w:rFonts w:eastAsia="Arial"/>
        </w:rPr>
        <w:t>.</w:t>
      </w:r>
    </w:p>
    <w:p w:rsidR="00580242" w:rsidRDefault="00580242" w:rsidP="001C2945">
      <w:pPr>
        <w:rPr>
          <w:rFonts w:eastAsia="Arial"/>
        </w:rPr>
      </w:pPr>
    </w:p>
    <w:p w:rsidR="00580242" w:rsidRDefault="00580242" w:rsidP="00580242">
      <w:pPr>
        <w:rPr>
          <w:rFonts w:eastAsia="Arial"/>
        </w:rPr>
      </w:pPr>
    </w:p>
    <w:p w:rsidR="00580242" w:rsidRPr="001C2945" w:rsidRDefault="00580242" w:rsidP="00580242"/>
    <w:sectPr w:rsidR="00580242" w:rsidRPr="001C2945" w:rsidSect="006E66D8">
      <w:headerReference w:type="default" r:id="rId8"/>
      <w:footerReference w:type="default" r:id="rId9"/>
      <w:pgSz w:w="11906" w:h="16838"/>
      <w:pgMar w:top="1134" w:right="1416" w:bottom="1560" w:left="1418"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116" w:rsidRDefault="00947116">
      <w:r>
        <w:separator/>
      </w:r>
    </w:p>
  </w:endnote>
  <w:endnote w:type="continuationSeparator" w:id="0">
    <w:p w:rsidR="00947116" w:rsidRDefault="0094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256102"/>
      <w:docPartObj>
        <w:docPartGallery w:val="Page Numbers (Bottom of Page)"/>
        <w:docPartUnique/>
      </w:docPartObj>
    </w:sdtPr>
    <w:sdtContent>
      <w:p w:rsidR="006E66D8" w:rsidRDefault="00AF6610">
        <w:pPr>
          <w:pStyle w:val="Footer"/>
          <w:jc w:val="right"/>
        </w:pPr>
        <w:fldSimple w:instr=" PAGE   \* MERGEFORMAT ">
          <w:r w:rsidR="00DE2C20">
            <w:rPr>
              <w:noProof/>
            </w:rPr>
            <w:t>1</w:t>
          </w:r>
        </w:fldSimple>
      </w:p>
      <w:p w:rsidR="006E66D8" w:rsidRDefault="006E66D8">
        <w:pPr>
          <w:pStyle w:val="Footer"/>
          <w:jc w:val="right"/>
        </w:pPr>
      </w:p>
      <w:p w:rsidR="006E66D8" w:rsidRDefault="00AF6610">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116" w:rsidRDefault="00947116">
      <w:r>
        <w:separator/>
      </w:r>
    </w:p>
  </w:footnote>
  <w:footnote w:type="continuationSeparator" w:id="0">
    <w:p w:rsidR="00947116" w:rsidRDefault="00947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D8" w:rsidRDefault="006E66D8">
    <w:pPr>
      <w:pStyle w:val="Header"/>
      <w:jc w:val="right"/>
    </w:pPr>
  </w:p>
  <w:p w:rsidR="006E66D8" w:rsidRDefault="006E66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3769"/>
    <w:multiLevelType w:val="hybridMultilevel"/>
    <w:tmpl w:val="E68E9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4F11A6F"/>
    <w:multiLevelType w:val="hybridMultilevel"/>
    <w:tmpl w:val="0B446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4"/>
  <w:defaultTabStop w:val="720"/>
  <w:characterSpacingControl w:val="doNotCompress"/>
  <w:footnotePr>
    <w:footnote w:id="-1"/>
    <w:footnote w:id="0"/>
  </w:footnotePr>
  <w:endnotePr>
    <w:endnote w:id="-1"/>
    <w:endnote w:id="0"/>
  </w:endnotePr>
  <w:compat/>
  <w:rsids>
    <w:rsidRoot w:val="00E26B8C"/>
    <w:rsid w:val="000269F9"/>
    <w:rsid w:val="00085A65"/>
    <w:rsid w:val="00152271"/>
    <w:rsid w:val="00176A33"/>
    <w:rsid w:val="00183B0A"/>
    <w:rsid w:val="001C2945"/>
    <w:rsid w:val="001F4B83"/>
    <w:rsid w:val="00274BB8"/>
    <w:rsid w:val="002B5434"/>
    <w:rsid w:val="002E562A"/>
    <w:rsid w:val="002F7799"/>
    <w:rsid w:val="004306BC"/>
    <w:rsid w:val="004351C9"/>
    <w:rsid w:val="00580242"/>
    <w:rsid w:val="005E150F"/>
    <w:rsid w:val="006504D7"/>
    <w:rsid w:val="006E66D8"/>
    <w:rsid w:val="007228B1"/>
    <w:rsid w:val="007F0C4B"/>
    <w:rsid w:val="0081401D"/>
    <w:rsid w:val="008E5B3D"/>
    <w:rsid w:val="00947116"/>
    <w:rsid w:val="00A97FBF"/>
    <w:rsid w:val="00AA1B25"/>
    <w:rsid w:val="00AA5286"/>
    <w:rsid w:val="00AF6610"/>
    <w:rsid w:val="00B47ACE"/>
    <w:rsid w:val="00B64DA7"/>
    <w:rsid w:val="00C52908"/>
    <w:rsid w:val="00D6627D"/>
    <w:rsid w:val="00D7448C"/>
    <w:rsid w:val="00DE2C20"/>
    <w:rsid w:val="00E26B8C"/>
    <w:rsid w:val="00ED4AC2"/>
    <w:rsid w:val="00F643E0"/>
    <w:rsid w:val="00F67F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C2"/>
    <w:pPr>
      <w:spacing w:line="240" w:lineRule="atLeast"/>
    </w:pPr>
    <w:rPr>
      <w:sz w:val="24"/>
      <w:szCs w:val="24"/>
      <w:lang w:eastAsia="en-US"/>
    </w:rPr>
  </w:style>
  <w:style w:type="paragraph" w:styleId="Heading1">
    <w:name w:val="heading 1"/>
    <w:basedOn w:val="Normal"/>
    <w:next w:val="Normal"/>
    <w:link w:val="Heading1Char"/>
    <w:uiPriority w:val="9"/>
    <w:qFormat/>
    <w:rsid w:val="00ED4AC2"/>
    <w:pPr>
      <w:tabs>
        <w:tab w:val="left" w:pos="1800"/>
      </w:tabs>
      <w:jc w:val="center"/>
      <w:outlineLvl w:val="0"/>
    </w:pPr>
    <w:rPr>
      <w:b/>
      <w:sz w:val="28"/>
      <w:szCs w:val="28"/>
    </w:rPr>
  </w:style>
  <w:style w:type="paragraph" w:styleId="Heading2">
    <w:name w:val="heading 2"/>
    <w:basedOn w:val="Normal"/>
    <w:next w:val="Normal"/>
    <w:link w:val="Heading2Char"/>
    <w:uiPriority w:val="9"/>
    <w:unhideWhenUsed/>
    <w:qFormat/>
    <w:rsid w:val="00ED4AC2"/>
    <w:pPr>
      <w:jc w:val="center"/>
      <w:outlineLvl w:val="1"/>
    </w:pPr>
    <w:rPr>
      <w:b/>
      <w:bCs/>
    </w:rPr>
  </w:style>
  <w:style w:type="paragraph" w:styleId="Heading3">
    <w:name w:val="heading 3"/>
    <w:basedOn w:val="bids2heading"/>
    <w:next w:val="Normal"/>
    <w:link w:val="Heading3Char"/>
    <w:uiPriority w:val="9"/>
    <w:unhideWhenUsed/>
    <w:qFormat/>
    <w:rsid w:val="00F643E0"/>
    <w:pPr>
      <w:spacing w:after="120"/>
      <w:outlineLvl w:val="2"/>
    </w:pPr>
    <w:rPr>
      <w:rFonts w:ascii="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B8C"/>
    <w:pPr>
      <w:tabs>
        <w:tab w:val="center" w:pos="4153"/>
        <w:tab w:val="right" w:pos="8306"/>
      </w:tabs>
    </w:pPr>
  </w:style>
  <w:style w:type="paragraph" w:styleId="Footer">
    <w:name w:val="footer"/>
    <w:basedOn w:val="Normal"/>
    <w:link w:val="FooterChar"/>
    <w:uiPriority w:val="99"/>
    <w:rsid w:val="00E26B8C"/>
    <w:pPr>
      <w:tabs>
        <w:tab w:val="center" w:pos="4153"/>
        <w:tab w:val="right" w:pos="8306"/>
      </w:tabs>
    </w:pPr>
  </w:style>
  <w:style w:type="character" w:styleId="CommentReference">
    <w:name w:val="annotation reference"/>
    <w:basedOn w:val="DefaultParagraphFont"/>
    <w:uiPriority w:val="99"/>
    <w:semiHidden/>
    <w:unhideWhenUsed/>
    <w:rsid w:val="001C2945"/>
    <w:rPr>
      <w:sz w:val="16"/>
      <w:szCs w:val="16"/>
    </w:rPr>
  </w:style>
  <w:style w:type="paragraph" w:styleId="CommentText">
    <w:name w:val="annotation text"/>
    <w:basedOn w:val="Normal"/>
    <w:link w:val="CommentTextChar"/>
    <w:uiPriority w:val="99"/>
    <w:semiHidden/>
    <w:unhideWhenUsed/>
    <w:rsid w:val="001C2945"/>
    <w:pPr>
      <w:spacing w:line="240" w:lineRule="auto"/>
    </w:pPr>
    <w:rPr>
      <w:sz w:val="20"/>
      <w:szCs w:val="20"/>
    </w:rPr>
  </w:style>
  <w:style w:type="character" w:customStyle="1" w:styleId="CommentTextChar">
    <w:name w:val="Comment Text Char"/>
    <w:basedOn w:val="DefaultParagraphFont"/>
    <w:link w:val="CommentText"/>
    <w:uiPriority w:val="99"/>
    <w:semiHidden/>
    <w:rsid w:val="001C2945"/>
    <w:rPr>
      <w:lang w:eastAsia="en-US"/>
    </w:rPr>
  </w:style>
  <w:style w:type="paragraph" w:styleId="CommentSubject">
    <w:name w:val="annotation subject"/>
    <w:basedOn w:val="CommentText"/>
    <w:next w:val="CommentText"/>
    <w:link w:val="CommentSubjectChar"/>
    <w:uiPriority w:val="99"/>
    <w:semiHidden/>
    <w:unhideWhenUsed/>
    <w:rsid w:val="001C2945"/>
    <w:rPr>
      <w:b/>
      <w:bCs/>
    </w:rPr>
  </w:style>
  <w:style w:type="character" w:customStyle="1" w:styleId="CommentSubjectChar">
    <w:name w:val="Comment Subject Char"/>
    <w:basedOn w:val="CommentTextChar"/>
    <w:link w:val="CommentSubject"/>
    <w:uiPriority w:val="99"/>
    <w:semiHidden/>
    <w:rsid w:val="001C2945"/>
    <w:rPr>
      <w:b/>
      <w:bCs/>
    </w:rPr>
  </w:style>
  <w:style w:type="paragraph" w:styleId="BalloonText">
    <w:name w:val="Balloon Text"/>
    <w:basedOn w:val="Normal"/>
    <w:link w:val="BalloonTextChar"/>
    <w:uiPriority w:val="99"/>
    <w:semiHidden/>
    <w:unhideWhenUsed/>
    <w:rsid w:val="001C2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45"/>
    <w:rPr>
      <w:rFonts w:ascii="Tahoma" w:hAnsi="Tahoma" w:cs="Tahoma"/>
      <w:sz w:val="16"/>
      <w:szCs w:val="16"/>
      <w:lang w:eastAsia="en-US"/>
    </w:rPr>
  </w:style>
  <w:style w:type="paragraph" w:customStyle="1" w:styleId="bids2heading">
    <w:name w:val="bids 2 heading"/>
    <w:basedOn w:val="Normal"/>
    <w:rsid w:val="001C2945"/>
    <w:pPr>
      <w:autoSpaceDE w:val="0"/>
      <w:autoSpaceDN w:val="0"/>
      <w:spacing w:line="240" w:lineRule="auto"/>
    </w:pPr>
    <w:rPr>
      <w:rFonts w:ascii="Arial" w:hAnsi="Arial" w:cs="Arial"/>
      <w:b/>
      <w:bCs/>
      <w:lang w:val="en-GB"/>
    </w:rPr>
  </w:style>
  <w:style w:type="paragraph" w:customStyle="1" w:styleId="paragraph">
    <w:name w:val="paragraph"/>
    <w:aliases w:val="a"/>
    <w:basedOn w:val="Normal"/>
    <w:link w:val="paragraphChar"/>
    <w:rsid w:val="001C2945"/>
    <w:pPr>
      <w:tabs>
        <w:tab w:val="right" w:pos="1531"/>
      </w:tabs>
      <w:spacing w:before="40" w:line="240" w:lineRule="auto"/>
      <w:ind w:left="1644" w:hanging="1644"/>
    </w:pPr>
    <w:rPr>
      <w:sz w:val="22"/>
      <w:szCs w:val="20"/>
      <w:lang w:eastAsia="en-AU"/>
    </w:rPr>
  </w:style>
  <w:style w:type="character" w:customStyle="1" w:styleId="paragraphChar">
    <w:name w:val="paragraph Char"/>
    <w:aliases w:val="a Char"/>
    <w:link w:val="paragraph"/>
    <w:locked/>
    <w:rsid w:val="001C2945"/>
    <w:rPr>
      <w:sz w:val="22"/>
    </w:rPr>
  </w:style>
  <w:style w:type="character" w:customStyle="1" w:styleId="Heading1Char">
    <w:name w:val="Heading 1 Char"/>
    <w:basedOn w:val="DefaultParagraphFont"/>
    <w:link w:val="Heading1"/>
    <w:uiPriority w:val="9"/>
    <w:rsid w:val="00ED4AC2"/>
    <w:rPr>
      <w:b/>
      <w:sz w:val="28"/>
      <w:szCs w:val="28"/>
      <w:lang w:eastAsia="en-US"/>
    </w:rPr>
  </w:style>
  <w:style w:type="paragraph" w:styleId="Subtitle">
    <w:name w:val="Subtitle"/>
    <w:basedOn w:val="Normal"/>
    <w:next w:val="Normal"/>
    <w:link w:val="SubtitleChar"/>
    <w:uiPriority w:val="11"/>
    <w:qFormat/>
    <w:rsid w:val="00ED4AC2"/>
    <w:pPr>
      <w:jc w:val="center"/>
    </w:pPr>
    <w:rPr>
      <w:i/>
    </w:rPr>
  </w:style>
  <w:style w:type="character" w:customStyle="1" w:styleId="SubtitleChar">
    <w:name w:val="Subtitle Char"/>
    <w:basedOn w:val="DefaultParagraphFont"/>
    <w:link w:val="Subtitle"/>
    <w:uiPriority w:val="11"/>
    <w:rsid w:val="00ED4AC2"/>
    <w:rPr>
      <w:i/>
      <w:sz w:val="24"/>
      <w:szCs w:val="24"/>
      <w:lang w:eastAsia="en-US"/>
    </w:rPr>
  </w:style>
  <w:style w:type="character" w:customStyle="1" w:styleId="Heading2Char">
    <w:name w:val="Heading 2 Char"/>
    <w:basedOn w:val="DefaultParagraphFont"/>
    <w:link w:val="Heading2"/>
    <w:uiPriority w:val="9"/>
    <w:rsid w:val="00ED4AC2"/>
    <w:rPr>
      <w:b/>
      <w:bCs/>
      <w:sz w:val="24"/>
      <w:szCs w:val="24"/>
      <w:lang w:eastAsia="en-US"/>
    </w:rPr>
  </w:style>
  <w:style w:type="character" w:customStyle="1" w:styleId="Heading3Char">
    <w:name w:val="Heading 3 Char"/>
    <w:basedOn w:val="DefaultParagraphFont"/>
    <w:link w:val="Heading3"/>
    <w:uiPriority w:val="9"/>
    <w:rsid w:val="00F643E0"/>
    <w:rPr>
      <w:b/>
      <w:bCs/>
      <w:sz w:val="24"/>
      <w:szCs w:val="24"/>
      <w:lang w:eastAsia="en-US"/>
    </w:rPr>
  </w:style>
  <w:style w:type="paragraph" w:customStyle="1" w:styleId="Default">
    <w:name w:val="Default"/>
    <w:rsid w:val="00085A65"/>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E66D8"/>
    <w:rPr>
      <w:sz w:val="24"/>
      <w:szCs w:val="24"/>
      <w:lang w:eastAsia="en-US"/>
    </w:rPr>
  </w:style>
  <w:style w:type="character" w:customStyle="1" w:styleId="FooterChar">
    <w:name w:val="Footer Char"/>
    <w:basedOn w:val="DefaultParagraphFont"/>
    <w:link w:val="Footer"/>
    <w:uiPriority w:val="99"/>
    <w:rsid w:val="006E66D8"/>
    <w:rPr>
      <w:sz w:val="24"/>
      <w:szCs w:val="24"/>
      <w:lang w:eastAsia="en-US"/>
    </w:rPr>
  </w:style>
  <w:style w:type="character" w:customStyle="1" w:styleId="HelpText">
    <w:name w:val="Help Text"/>
    <w:basedOn w:val="DefaultParagraphFont"/>
    <w:semiHidden/>
    <w:rsid w:val="00DE2C20"/>
    <w:rPr>
      <w:color w:val="808080"/>
    </w:rPr>
  </w:style>
</w:styles>
</file>

<file path=word/webSettings.xml><?xml version="1.0" encoding="utf-8"?>
<w:webSettings xmlns:r="http://schemas.openxmlformats.org/officeDocument/2006/relationships" xmlns:w="http://schemas.openxmlformats.org/wordprocessingml/2006/main">
  <w:divs>
    <w:div w:id="1190872167">
      <w:bodyDiv w:val="1"/>
      <w:marLeft w:val="0"/>
      <w:marRight w:val="0"/>
      <w:marTop w:val="0"/>
      <w:marBottom w:val="0"/>
      <w:divBdr>
        <w:top w:val="none" w:sz="0" w:space="0" w:color="auto"/>
        <w:left w:val="none" w:sz="0" w:space="0" w:color="auto"/>
        <w:bottom w:val="none" w:sz="0" w:space="0" w:color="auto"/>
        <w:right w:val="none" w:sz="0" w:space="0" w:color="auto"/>
      </w:divBdr>
      <w:divsChild>
        <w:div w:id="1143161656">
          <w:marLeft w:val="0"/>
          <w:marRight w:val="0"/>
          <w:marTop w:val="0"/>
          <w:marBottom w:val="0"/>
          <w:divBdr>
            <w:top w:val="none" w:sz="0" w:space="0" w:color="auto"/>
            <w:left w:val="none" w:sz="0" w:space="0" w:color="auto"/>
            <w:bottom w:val="none" w:sz="0" w:space="0" w:color="auto"/>
            <w:right w:val="none" w:sz="0" w:space="0" w:color="auto"/>
          </w:divBdr>
          <w:divsChild>
            <w:div w:id="422798305">
              <w:marLeft w:val="0"/>
              <w:marRight w:val="0"/>
              <w:marTop w:val="0"/>
              <w:marBottom w:val="0"/>
              <w:divBdr>
                <w:top w:val="none" w:sz="0" w:space="0" w:color="auto"/>
                <w:left w:val="none" w:sz="0" w:space="0" w:color="auto"/>
                <w:bottom w:val="none" w:sz="0" w:space="0" w:color="auto"/>
                <w:right w:val="none" w:sz="0" w:space="0" w:color="auto"/>
              </w:divBdr>
              <w:divsChild>
                <w:div w:id="1172988218">
                  <w:marLeft w:val="0"/>
                  <w:marRight w:val="0"/>
                  <w:marTop w:val="0"/>
                  <w:marBottom w:val="0"/>
                  <w:divBdr>
                    <w:top w:val="none" w:sz="0" w:space="0" w:color="auto"/>
                    <w:left w:val="none" w:sz="0" w:space="0" w:color="auto"/>
                    <w:bottom w:val="none" w:sz="0" w:space="0" w:color="auto"/>
                    <w:right w:val="none" w:sz="0" w:space="0" w:color="auto"/>
                  </w:divBdr>
                  <w:divsChild>
                    <w:div w:id="1572764512">
                      <w:marLeft w:val="0"/>
                      <w:marRight w:val="0"/>
                      <w:marTop w:val="0"/>
                      <w:marBottom w:val="0"/>
                      <w:divBdr>
                        <w:top w:val="none" w:sz="0" w:space="0" w:color="auto"/>
                        <w:left w:val="none" w:sz="0" w:space="0" w:color="auto"/>
                        <w:bottom w:val="none" w:sz="0" w:space="0" w:color="auto"/>
                        <w:right w:val="none" w:sz="0" w:space="0" w:color="auto"/>
                      </w:divBdr>
                      <w:divsChild>
                        <w:div w:id="1189835266">
                          <w:marLeft w:val="0"/>
                          <w:marRight w:val="0"/>
                          <w:marTop w:val="0"/>
                          <w:marBottom w:val="0"/>
                          <w:divBdr>
                            <w:top w:val="none" w:sz="0" w:space="0" w:color="auto"/>
                            <w:left w:val="none" w:sz="0" w:space="0" w:color="auto"/>
                            <w:bottom w:val="none" w:sz="0" w:space="0" w:color="auto"/>
                            <w:right w:val="none" w:sz="0" w:space="0" w:color="auto"/>
                          </w:divBdr>
                          <w:divsChild>
                            <w:div w:id="1175340989">
                              <w:marLeft w:val="0"/>
                              <w:marRight w:val="0"/>
                              <w:marTop w:val="0"/>
                              <w:marBottom w:val="0"/>
                              <w:divBdr>
                                <w:top w:val="none" w:sz="0" w:space="0" w:color="auto"/>
                                <w:left w:val="none" w:sz="0" w:space="0" w:color="auto"/>
                                <w:bottom w:val="none" w:sz="0" w:space="0" w:color="auto"/>
                                <w:right w:val="none" w:sz="0" w:space="0" w:color="auto"/>
                              </w:divBdr>
                              <w:divsChild>
                                <w:div w:id="421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121336">
      <w:bodyDiv w:val="1"/>
      <w:marLeft w:val="0"/>
      <w:marRight w:val="0"/>
      <w:marTop w:val="0"/>
      <w:marBottom w:val="0"/>
      <w:divBdr>
        <w:top w:val="none" w:sz="0" w:space="0" w:color="auto"/>
        <w:left w:val="none" w:sz="0" w:space="0" w:color="auto"/>
        <w:bottom w:val="none" w:sz="0" w:space="0" w:color="auto"/>
        <w:right w:val="none" w:sz="0" w:space="0" w:color="auto"/>
      </w:divBdr>
    </w:div>
    <w:div w:id="15736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E0163A-A93A-4735-8D17-2210556C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dcterms:created xsi:type="dcterms:W3CDTF">2015-08-19T00:05:00Z</dcterms:created>
  <dcterms:modified xsi:type="dcterms:W3CDTF">2015-08-20T00:45:00Z</dcterms:modified>
</cp:coreProperties>
</file>