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ED" w:rsidRPr="008E62FF" w:rsidRDefault="007C4FED" w:rsidP="000917D6">
      <w:pPr>
        <w:pStyle w:val="ESTitle"/>
        <w:spacing w:line="276" w:lineRule="auto"/>
      </w:pPr>
      <w:r w:rsidRPr="008E62FF">
        <w:t>EXPLANATORY STATEMENT</w:t>
      </w:r>
      <w:r w:rsidR="00370598">
        <w:t xml:space="preserve">  </w:t>
      </w:r>
    </w:p>
    <w:p w:rsidR="007C4FED" w:rsidRPr="008E62FF" w:rsidRDefault="007C4FED" w:rsidP="000917D6">
      <w:pPr>
        <w:pStyle w:val="ESSubtitle"/>
        <w:rPr>
          <w:b/>
        </w:rPr>
      </w:pPr>
      <w:r w:rsidRPr="008E62FF">
        <w:t xml:space="preserve">Carbon Credits (Carbon Farming Initiative) Act </w:t>
      </w:r>
      <w:r w:rsidRPr="00BE17E7">
        <w:t>2011</w:t>
      </w:r>
    </w:p>
    <w:p w:rsidR="00806B54" w:rsidRDefault="00D97741" w:rsidP="000917D6">
      <w:pPr>
        <w:jc w:val="center"/>
        <w:rPr>
          <w:b/>
          <w:highlight w:val="yellow"/>
        </w:rPr>
      </w:pPr>
      <w:r w:rsidRPr="00836611">
        <w:rPr>
          <w:bCs/>
          <w:i/>
          <w:iCs/>
          <w:color w:val="000000" w:themeColor="text1"/>
          <w:kern w:val="36"/>
          <w:szCs w:val="24"/>
          <w:lang w:eastAsia="en-AU"/>
        </w:rPr>
        <w:t>Carbon Credits (Carbon Farming Initiative—Industrial Electricity and Fuel Efficiency) Methodolog</w:t>
      </w:r>
      <w:r>
        <w:rPr>
          <w:bCs/>
          <w:i/>
          <w:iCs/>
          <w:color w:val="000000" w:themeColor="text1"/>
          <w:kern w:val="36"/>
          <w:szCs w:val="24"/>
          <w:lang w:eastAsia="en-AU"/>
        </w:rPr>
        <w:t>y Variation 2015</w:t>
      </w:r>
    </w:p>
    <w:p w:rsidR="00806B54" w:rsidRDefault="00806B54" w:rsidP="000917D6">
      <w:pPr>
        <w:pStyle w:val="ESHeading"/>
        <w:spacing w:line="276" w:lineRule="auto"/>
      </w:pPr>
      <w:r w:rsidRPr="002C0D2D">
        <w:t>Purpose</w:t>
      </w:r>
      <w:r w:rsidR="002A550A">
        <w:t xml:space="preserve"> </w:t>
      </w:r>
    </w:p>
    <w:p w:rsidR="00806B54" w:rsidRDefault="00806B54" w:rsidP="000917D6">
      <w:pPr>
        <w:pStyle w:val="ShortT"/>
        <w:spacing w:line="276" w:lineRule="auto"/>
        <w:rPr>
          <w:rFonts w:eastAsia="Calibri"/>
          <w:b w:val="0"/>
          <w:bCs/>
          <w:i/>
          <w:iCs/>
          <w:color w:val="000000" w:themeColor="text1"/>
          <w:kern w:val="36"/>
          <w:sz w:val="24"/>
          <w:szCs w:val="24"/>
        </w:rPr>
      </w:pPr>
      <w:r w:rsidRPr="002C0D2D">
        <w:rPr>
          <w:rFonts w:eastAsia="Calibri"/>
          <w:b w:val="0"/>
          <w:sz w:val="24"/>
          <w:szCs w:val="22"/>
        </w:rPr>
        <w:t>The</w:t>
      </w:r>
      <w:r w:rsidRPr="002C0D2D">
        <w:t xml:space="preserve"> </w:t>
      </w:r>
      <w:r w:rsidR="00B24DB9" w:rsidRPr="00B24DB9">
        <w:rPr>
          <w:rFonts w:eastAsia="Calibri"/>
          <w:b w:val="0"/>
          <w:bCs/>
          <w:i/>
          <w:iCs/>
          <w:color w:val="000000" w:themeColor="text1"/>
          <w:kern w:val="36"/>
          <w:sz w:val="24"/>
          <w:szCs w:val="24"/>
        </w:rPr>
        <w:t>Carbon Credits (Carbon Farming Initiative—Industrial Electricity and Fuel Efficiency) Methodology Variation 2015</w:t>
      </w:r>
      <w:r w:rsidR="00B24DB9" w:rsidRPr="002C0D2D">
        <w:rPr>
          <w:rFonts w:eastAsia="Calibri"/>
          <w:b w:val="0"/>
          <w:sz w:val="24"/>
          <w:szCs w:val="22"/>
        </w:rPr>
        <w:t xml:space="preserve"> </w:t>
      </w:r>
      <w:r w:rsidRPr="002C0D2D">
        <w:rPr>
          <w:rFonts w:eastAsia="Calibri"/>
          <w:b w:val="0"/>
          <w:sz w:val="24"/>
          <w:szCs w:val="22"/>
        </w:rPr>
        <w:t xml:space="preserve">(the Variation) </w:t>
      </w:r>
      <w:r w:rsidR="005A7FEE">
        <w:rPr>
          <w:rFonts w:eastAsia="Calibri"/>
          <w:b w:val="0"/>
          <w:sz w:val="24"/>
          <w:szCs w:val="22"/>
        </w:rPr>
        <w:t>amend</w:t>
      </w:r>
      <w:r w:rsidR="00B81E79">
        <w:rPr>
          <w:rFonts w:eastAsia="Calibri"/>
          <w:b w:val="0"/>
          <w:sz w:val="24"/>
          <w:szCs w:val="22"/>
        </w:rPr>
        <w:t>s</w:t>
      </w:r>
      <w:r w:rsidRPr="002C0D2D">
        <w:rPr>
          <w:rFonts w:eastAsia="Calibri"/>
          <w:b w:val="0"/>
          <w:sz w:val="24"/>
          <w:szCs w:val="22"/>
        </w:rPr>
        <w:t xml:space="preserve"> the </w:t>
      </w:r>
      <w:r w:rsidRPr="002C0D2D">
        <w:rPr>
          <w:rFonts w:eastAsia="Calibri"/>
          <w:b w:val="0"/>
          <w:bCs/>
          <w:i/>
          <w:iCs/>
          <w:color w:val="000000" w:themeColor="text1"/>
          <w:kern w:val="36"/>
          <w:sz w:val="24"/>
          <w:szCs w:val="24"/>
        </w:rPr>
        <w:t>Carbon Credits (Carbon Farming Initiative—Industrial Electricity and Fuel Efficiency) Methodology Determination 2015</w:t>
      </w:r>
      <w:r>
        <w:rPr>
          <w:rFonts w:eastAsia="Calibri"/>
          <w:b w:val="0"/>
          <w:bCs/>
          <w:i/>
          <w:iCs/>
          <w:color w:val="000000" w:themeColor="text1"/>
          <w:kern w:val="36"/>
          <w:sz w:val="24"/>
          <w:szCs w:val="24"/>
        </w:rPr>
        <w:t xml:space="preserve"> </w:t>
      </w:r>
      <w:r w:rsidRPr="001A0110">
        <w:rPr>
          <w:rFonts w:eastAsia="Calibri"/>
          <w:b w:val="0"/>
          <w:sz w:val="24"/>
          <w:szCs w:val="22"/>
        </w:rPr>
        <w:t xml:space="preserve">(the Determination). </w:t>
      </w:r>
    </w:p>
    <w:p w:rsidR="00806B54" w:rsidRDefault="00806B54" w:rsidP="000917D6">
      <w:pPr>
        <w:rPr>
          <w:lang w:eastAsia="en-AU"/>
        </w:rPr>
      </w:pPr>
      <w:r>
        <w:rPr>
          <w:lang w:eastAsia="en-AU"/>
        </w:rPr>
        <w:t xml:space="preserve">The Variation </w:t>
      </w:r>
      <w:r w:rsidR="00DB7716">
        <w:rPr>
          <w:lang w:eastAsia="en-AU"/>
        </w:rPr>
        <w:t>implements</w:t>
      </w:r>
      <w:r>
        <w:rPr>
          <w:lang w:eastAsia="en-AU"/>
        </w:rPr>
        <w:t xml:space="preserve"> two changes. Firstly, </w:t>
      </w:r>
      <w:r w:rsidR="00B81E79">
        <w:rPr>
          <w:lang w:eastAsia="en-AU"/>
        </w:rPr>
        <w:t xml:space="preserve">it </w:t>
      </w:r>
      <w:r w:rsidR="00CF29F9">
        <w:rPr>
          <w:lang w:eastAsia="en-AU"/>
        </w:rPr>
        <w:t>ensure</w:t>
      </w:r>
      <w:r w:rsidR="00DB7716">
        <w:rPr>
          <w:lang w:eastAsia="en-AU"/>
        </w:rPr>
        <w:t>s</w:t>
      </w:r>
      <w:r>
        <w:rPr>
          <w:lang w:eastAsia="en-AU"/>
        </w:rPr>
        <w:t xml:space="preserve"> that the coverage of biomass</w:t>
      </w:r>
      <w:r w:rsidR="00687163">
        <w:rPr>
          <w:lang w:eastAsia="en-AU"/>
        </w:rPr>
        <w:t xml:space="preserve"> </w:t>
      </w:r>
      <w:r>
        <w:rPr>
          <w:lang w:eastAsia="en-AU"/>
        </w:rPr>
        <w:t>under the</w:t>
      </w:r>
      <w:r w:rsidRPr="001A0110">
        <w:rPr>
          <w:lang w:eastAsia="en-AU"/>
        </w:rPr>
        <w:t xml:space="preserve"> Determination</w:t>
      </w:r>
      <w:r>
        <w:rPr>
          <w:bCs/>
          <w:i/>
          <w:iCs/>
          <w:color w:val="000000" w:themeColor="text1"/>
          <w:kern w:val="36"/>
          <w:szCs w:val="24"/>
          <w:lang w:eastAsia="en-AU"/>
        </w:rPr>
        <w:t xml:space="preserve"> </w:t>
      </w:r>
      <w:r w:rsidRPr="001A0110">
        <w:rPr>
          <w:lang w:eastAsia="en-AU"/>
        </w:rPr>
        <w:t>is consistent</w:t>
      </w:r>
      <w:r>
        <w:rPr>
          <w:lang w:eastAsia="en-AU"/>
        </w:rPr>
        <w:t xml:space="preserve"> with the recently amended </w:t>
      </w:r>
      <w:r w:rsidRPr="001A0110">
        <w:rPr>
          <w:lang w:eastAsia="en-AU"/>
        </w:rPr>
        <w:t>Renewable Energy Target (RET) scheme</w:t>
      </w:r>
      <w:r>
        <w:rPr>
          <w:lang w:eastAsia="en-AU"/>
        </w:rPr>
        <w:t>.</w:t>
      </w:r>
      <w:r w:rsidR="00411D8F">
        <w:rPr>
          <w:lang w:eastAsia="en-AU"/>
        </w:rPr>
        <w:t xml:space="preserve"> By referencing the RET scheme, the Variation applies that scheme’s controls around the use of biomass.</w:t>
      </w:r>
      <w:r>
        <w:rPr>
          <w:lang w:eastAsia="en-AU"/>
        </w:rPr>
        <w:t xml:space="preserve"> Secondly, </w:t>
      </w:r>
      <w:r w:rsidR="008F5843">
        <w:rPr>
          <w:lang w:eastAsia="en-AU"/>
        </w:rPr>
        <w:t xml:space="preserve">it </w:t>
      </w:r>
      <w:r w:rsidR="00DB7716">
        <w:rPr>
          <w:lang w:eastAsia="en-AU"/>
        </w:rPr>
        <w:t>introduces</w:t>
      </w:r>
      <w:r>
        <w:rPr>
          <w:lang w:eastAsia="en-AU"/>
        </w:rPr>
        <w:t xml:space="preserve"> two values in the table in </w:t>
      </w:r>
      <w:r w:rsidR="005A7FEE">
        <w:rPr>
          <w:lang w:eastAsia="en-AU"/>
        </w:rPr>
        <w:t>subsection</w:t>
      </w:r>
      <w:r>
        <w:rPr>
          <w:lang w:eastAsia="en-AU"/>
        </w:rPr>
        <w:t xml:space="preserve"> 51</w:t>
      </w:r>
      <w:r w:rsidR="005A7FEE">
        <w:rPr>
          <w:lang w:eastAsia="en-AU"/>
        </w:rPr>
        <w:t>(5)</w:t>
      </w:r>
      <w:r>
        <w:rPr>
          <w:lang w:eastAsia="en-AU"/>
        </w:rPr>
        <w:t xml:space="preserve"> to ensure </w:t>
      </w:r>
      <w:r w:rsidR="00176212">
        <w:rPr>
          <w:lang w:eastAsia="en-AU"/>
        </w:rPr>
        <w:t xml:space="preserve">that </w:t>
      </w:r>
      <w:r>
        <w:rPr>
          <w:lang w:eastAsia="en-AU"/>
        </w:rPr>
        <w:t xml:space="preserve">project proponents using sub-method 2 </w:t>
      </w:r>
      <w:r w:rsidR="00094ACE">
        <w:rPr>
          <w:lang w:eastAsia="en-AU"/>
        </w:rPr>
        <w:t xml:space="preserve">who choose to delay the start of their crediting period </w:t>
      </w:r>
      <w:r>
        <w:rPr>
          <w:lang w:eastAsia="en-AU"/>
        </w:rPr>
        <w:t xml:space="preserve">are able to calculate </w:t>
      </w:r>
      <w:r w:rsidRPr="00201D81">
        <w:rPr>
          <w:b/>
          <w:i/>
          <w:lang w:eastAsia="en-AU"/>
        </w:rPr>
        <w:t xml:space="preserve">decay </w:t>
      </w:r>
      <w:r w:rsidR="005A7FEE" w:rsidRPr="00201D81">
        <w:rPr>
          <w:b/>
          <w:i/>
          <w:lang w:eastAsia="en-AU"/>
        </w:rPr>
        <w:t>factors</w:t>
      </w:r>
      <w:r>
        <w:rPr>
          <w:lang w:eastAsia="en-AU"/>
        </w:rPr>
        <w:t xml:space="preserve"> </w:t>
      </w:r>
      <w:r w:rsidR="00094ACE">
        <w:rPr>
          <w:lang w:eastAsia="en-AU"/>
        </w:rPr>
        <w:t>for their full crediting period</w:t>
      </w:r>
      <w:r>
        <w:rPr>
          <w:lang w:eastAsia="en-AU"/>
        </w:rPr>
        <w:t xml:space="preserve">. </w:t>
      </w:r>
    </w:p>
    <w:p w:rsidR="006875C2" w:rsidRDefault="006875C2" w:rsidP="000917D6">
      <w:pPr>
        <w:rPr>
          <w:b/>
          <w:bCs/>
        </w:rPr>
      </w:pPr>
    </w:p>
    <w:p w:rsidR="006875C2" w:rsidRPr="002C0D2D" w:rsidRDefault="006875C2" w:rsidP="000917D6">
      <w:pPr>
        <w:rPr>
          <w:lang w:eastAsia="en-AU"/>
        </w:rPr>
      </w:pPr>
      <w:r>
        <w:rPr>
          <w:b/>
          <w:bCs/>
        </w:rPr>
        <w:t xml:space="preserve">Legislative provisions </w:t>
      </w:r>
    </w:p>
    <w:p w:rsidR="006875C2" w:rsidRDefault="006875C2" w:rsidP="000917D6">
      <w:r>
        <w:rPr>
          <w:lang w:eastAsia="en-AU"/>
        </w:rPr>
        <w:t xml:space="preserve">The </w:t>
      </w:r>
      <w:r w:rsidRPr="001A0110">
        <w:rPr>
          <w:lang w:eastAsia="en-AU"/>
        </w:rPr>
        <w:t>Determination</w:t>
      </w:r>
      <w:r>
        <w:rPr>
          <w:lang w:eastAsia="en-AU"/>
        </w:rPr>
        <w:t xml:space="preserve"> was made under subsection 106(1) of the </w:t>
      </w:r>
      <w:r>
        <w:rPr>
          <w:i/>
          <w:iCs/>
        </w:rPr>
        <w:t xml:space="preserve">Carbon Credits (Carbon </w:t>
      </w:r>
      <w:proofErr w:type="gramStart"/>
      <w:r>
        <w:rPr>
          <w:i/>
          <w:iCs/>
        </w:rPr>
        <w:t>Farming Initiative) Act 2011</w:t>
      </w:r>
      <w:r>
        <w:t xml:space="preserve"> (the Act).</w:t>
      </w:r>
      <w:proofErr w:type="gramEnd"/>
    </w:p>
    <w:p w:rsidR="006875C2" w:rsidRDefault="006875C2" w:rsidP="000917D6">
      <w:r>
        <w:t xml:space="preserve">The Variation </w:t>
      </w:r>
      <w:r w:rsidR="00DB7716">
        <w:t>amends</w:t>
      </w:r>
      <w:r>
        <w:t xml:space="preserve"> the Determination, and </w:t>
      </w:r>
      <w:r w:rsidR="00DB7716">
        <w:t>is made</w:t>
      </w:r>
      <w:r>
        <w:t xml:space="preserve"> under subsection 114(1) of the Act</w:t>
      </w:r>
      <w:r w:rsidR="008F5843">
        <w:t>,</w:t>
      </w:r>
      <w:r>
        <w:t xml:space="preserve"> which empowers the Minister to vary, by legislative instrument, a methodology determination.</w:t>
      </w:r>
    </w:p>
    <w:p w:rsidR="006875C2" w:rsidRDefault="006875C2" w:rsidP="000917D6">
      <w:pPr>
        <w:rPr>
          <w:lang w:eastAsia="en-AU"/>
        </w:rPr>
      </w:pPr>
    </w:p>
    <w:p w:rsidR="006875C2" w:rsidRPr="006875C2" w:rsidRDefault="006875C2" w:rsidP="000917D6">
      <w:pPr>
        <w:rPr>
          <w:b/>
          <w:bCs/>
        </w:rPr>
      </w:pPr>
      <w:r w:rsidRPr="006875C2">
        <w:rPr>
          <w:b/>
          <w:bCs/>
        </w:rPr>
        <w:t>Bac</w:t>
      </w:r>
      <w:r>
        <w:rPr>
          <w:b/>
          <w:bCs/>
        </w:rPr>
        <w:t>kground</w:t>
      </w:r>
    </w:p>
    <w:p w:rsidR="00252F9A" w:rsidRPr="008E62FF" w:rsidRDefault="00252F9A" w:rsidP="000917D6">
      <w:pPr>
        <w:spacing w:after="120"/>
        <w:rPr>
          <w:szCs w:val="24"/>
        </w:rPr>
      </w:pPr>
      <w:r w:rsidRPr="008E62FF">
        <w:rPr>
          <w:szCs w:val="24"/>
        </w:rPr>
        <w:t xml:space="preserve">The </w:t>
      </w:r>
      <w:r>
        <w:rPr>
          <w:szCs w:val="24"/>
        </w:rPr>
        <w:t>Act</w:t>
      </w:r>
      <w:r w:rsidRPr="008E62FF">
        <w:rPr>
          <w:szCs w:val="24"/>
        </w:rPr>
        <w:t xml:space="preserve"> enables the crediting of greenhouse gas abatement from emissions reduction activities across the economy. Greenhouse gas abatement is achieved </w:t>
      </w:r>
      <w:r>
        <w:rPr>
          <w:szCs w:val="24"/>
        </w:rPr>
        <w:t xml:space="preserve">either </w:t>
      </w:r>
      <w:r w:rsidRPr="008E62FF">
        <w:rPr>
          <w:szCs w:val="24"/>
        </w:rPr>
        <w:t>by reducing or avoiding emissions or by removing carbon from the atmosphere and storing it in soil or trees.</w:t>
      </w:r>
    </w:p>
    <w:p w:rsidR="00252F9A" w:rsidRPr="008B22D7" w:rsidRDefault="00252F9A" w:rsidP="000917D6">
      <w:pPr>
        <w:rPr>
          <w:szCs w:val="24"/>
        </w:rPr>
      </w:pPr>
      <w:r w:rsidRPr="008B22D7">
        <w:rPr>
          <w:szCs w:val="24"/>
        </w:rPr>
        <w:t>Emissions reduction activities are undertaken as offsets projects. The process involved in</w:t>
      </w:r>
      <w:r>
        <w:rPr>
          <w:szCs w:val="24"/>
        </w:rPr>
        <w:t xml:space="preserve"> </w:t>
      </w:r>
      <w:r w:rsidRPr="008B22D7">
        <w:rPr>
          <w:szCs w:val="24"/>
        </w:rPr>
        <w:t>establishing an offsets project is set out in Part 3 of the Act. An offsets project must be</w:t>
      </w:r>
      <w:r>
        <w:rPr>
          <w:szCs w:val="24"/>
        </w:rPr>
        <w:t xml:space="preserve"> </w:t>
      </w:r>
      <w:r w:rsidRPr="008B22D7">
        <w:rPr>
          <w:szCs w:val="24"/>
        </w:rPr>
        <w:t xml:space="preserve">covered by, and undertaken in accordance with, a </w:t>
      </w:r>
      <w:r>
        <w:rPr>
          <w:szCs w:val="24"/>
        </w:rPr>
        <w:t>methodology determination</w:t>
      </w:r>
      <w:r w:rsidRPr="008B22D7">
        <w:rPr>
          <w:szCs w:val="24"/>
        </w:rPr>
        <w:t>.</w:t>
      </w:r>
    </w:p>
    <w:p w:rsidR="006875C2" w:rsidRDefault="00252F9A" w:rsidP="00314225">
      <w:pPr>
        <w:rPr>
          <w:szCs w:val="24"/>
          <w:lang w:eastAsia="en-AU"/>
        </w:rPr>
      </w:pPr>
      <w:r w:rsidRPr="008B22D7">
        <w:rPr>
          <w:szCs w:val="24"/>
        </w:rPr>
        <w:t>Subsection 106(1) of the Act empowers the Minister to make, by legislative instrument, a</w:t>
      </w:r>
      <w:r>
        <w:rPr>
          <w:szCs w:val="24"/>
        </w:rPr>
        <w:t xml:space="preserve"> methodology determination</w:t>
      </w:r>
      <w:r w:rsidRPr="008B22D7">
        <w:rPr>
          <w:szCs w:val="24"/>
        </w:rPr>
        <w:t xml:space="preserve">. The purpose of a </w:t>
      </w:r>
      <w:r>
        <w:rPr>
          <w:szCs w:val="24"/>
        </w:rPr>
        <w:t>methodology determination</w:t>
      </w:r>
      <w:r w:rsidRPr="008B22D7">
        <w:rPr>
          <w:szCs w:val="24"/>
        </w:rPr>
        <w:t xml:space="preserve"> is to establish</w:t>
      </w:r>
      <w:r>
        <w:rPr>
          <w:szCs w:val="24"/>
        </w:rPr>
        <w:t xml:space="preserve"> </w:t>
      </w:r>
      <w:r w:rsidRPr="008B22D7">
        <w:rPr>
          <w:szCs w:val="24"/>
        </w:rPr>
        <w:t>procedures for estimating abatement (emissions avoidance or sequestration) from eligible</w:t>
      </w:r>
      <w:r>
        <w:rPr>
          <w:szCs w:val="24"/>
        </w:rPr>
        <w:t xml:space="preserve"> </w:t>
      </w:r>
      <w:r w:rsidRPr="008B22D7">
        <w:rPr>
          <w:szCs w:val="24"/>
        </w:rPr>
        <w:t>projects</w:t>
      </w:r>
      <w:r w:rsidR="006F334E">
        <w:rPr>
          <w:szCs w:val="24"/>
        </w:rPr>
        <w:t>,</w:t>
      </w:r>
      <w:r w:rsidRPr="008B22D7">
        <w:rPr>
          <w:szCs w:val="24"/>
        </w:rPr>
        <w:t xml:space="preserve"> and rules for monitoring, record keeping and reporting. These </w:t>
      </w:r>
      <w:r>
        <w:rPr>
          <w:szCs w:val="24"/>
        </w:rPr>
        <w:t xml:space="preserve">determinations </w:t>
      </w:r>
      <w:r w:rsidR="008B2D8A">
        <w:rPr>
          <w:szCs w:val="24"/>
        </w:rPr>
        <w:t>help</w:t>
      </w:r>
      <w:r>
        <w:rPr>
          <w:szCs w:val="24"/>
        </w:rPr>
        <w:t xml:space="preserve"> </w:t>
      </w:r>
      <w:r w:rsidRPr="008B22D7">
        <w:rPr>
          <w:szCs w:val="24"/>
        </w:rPr>
        <w:t>ensure that emissions reductions are genuine—that they are both real and additional to</w:t>
      </w:r>
      <w:r>
        <w:rPr>
          <w:szCs w:val="24"/>
        </w:rPr>
        <w:t xml:space="preserve"> </w:t>
      </w:r>
      <w:r w:rsidRPr="008B22D7">
        <w:rPr>
          <w:szCs w:val="24"/>
        </w:rPr>
        <w:t>business as usual.</w:t>
      </w:r>
    </w:p>
    <w:p w:rsidR="002A550A" w:rsidRDefault="006875C2" w:rsidP="00BF6B09">
      <w:pPr>
        <w:rPr>
          <w:szCs w:val="24"/>
          <w:lang w:eastAsia="en-AU"/>
        </w:rPr>
      </w:pPr>
      <w:r>
        <w:rPr>
          <w:szCs w:val="24"/>
          <w:lang w:eastAsia="en-AU"/>
        </w:rPr>
        <w:lastRenderedPageBreak/>
        <w:t>The Determination</w:t>
      </w:r>
      <w:r w:rsidR="002A550A">
        <w:rPr>
          <w:szCs w:val="24"/>
          <w:lang w:eastAsia="en-AU"/>
        </w:rPr>
        <w:t xml:space="preserve"> was made on 25 March 2015, and</w:t>
      </w:r>
      <w:r>
        <w:rPr>
          <w:szCs w:val="24"/>
          <w:lang w:eastAsia="en-AU"/>
        </w:rPr>
        <w:t xml:space="preserve"> sets out the detailed rules for implementing and monitoring industrial electricity and fuel efficiency</w:t>
      </w:r>
      <w:r w:rsidR="00B66BB6">
        <w:rPr>
          <w:szCs w:val="24"/>
          <w:lang w:eastAsia="en-AU"/>
        </w:rPr>
        <w:t xml:space="preserve"> </w:t>
      </w:r>
      <w:r w:rsidR="006B6F2D">
        <w:rPr>
          <w:szCs w:val="24"/>
          <w:lang w:eastAsia="en-AU"/>
        </w:rPr>
        <w:t xml:space="preserve">projects. </w:t>
      </w:r>
    </w:p>
    <w:p w:rsidR="00366EE5" w:rsidRDefault="00366EE5" w:rsidP="000917D6">
      <w:pPr>
        <w:pStyle w:val="ESHeading"/>
        <w:spacing w:line="276" w:lineRule="auto"/>
      </w:pPr>
      <w:r w:rsidRPr="00366EE5">
        <w:t>Operation</w:t>
      </w:r>
    </w:p>
    <w:p w:rsidR="00366EE5" w:rsidRDefault="00706B70" w:rsidP="000917D6">
      <w:pPr>
        <w:rPr>
          <w:lang w:eastAsia="en-AU"/>
        </w:rPr>
      </w:pPr>
      <w:r>
        <w:rPr>
          <w:lang w:eastAsia="en-AU"/>
        </w:rPr>
        <w:t>The V</w:t>
      </w:r>
      <w:r w:rsidR="00366EE5">
        <w:rPr>
          <w:lang w:eastAsia="en-AU"/>
        </w:rPr>
        <w:t xml:space="preserve">ariation </w:t>
      </w:r>
      <w:r w:rsidR="00B81E79">
        <w:rPr>
          <w:lang w:eastAsia="en-AU"/>
        </w:rPr>
        <w:t>amends</w:t>
      </w:r>
      <w:r w:rsidR="00366EE5" w:rsidRPr="00347681">
        <w:rPr>
          <w:lang w:eastAsia="en-AU"/>
        </w:rPr>
        <w:t xml:space="preserve"> sections </w:t>
      </w:r>
      <w:r w:rsidR="00FA6343" w:rsidRPr="00347681">
        <w:rPr>
          <w:lang w:eastAsia="en-AU"/>
        </w:rPr>
        <w:t xml:space="preserve">5, </w:t>
      </w:r>
      <w:r w:rsidR="00366EE5" w:rsidRPr="00347681">
        <w:rPr>
          <w:lang w:eastAsia="en-AU"/>
        </w:rPr>
        <w:t>11</w:t>
      </w:r>
      <w:r w:rsidR="00FA6343" w:rsidRPr="00347681">
        <w:rPr>
          <w:lang w:eastAsia="en-AU"/>
        </w:rPr>
        <w:t>, 13, 51</w:t>
      </w:r>
      <w:r w:rsidR="00366EE5" w:rsidRPr="00347681">
        <w:rPr>
          <w:lang w:eastAsia="en-AU"/>
        </w:rPr>
        <w:t xml:space="preserve"> and 5</w:t>
      </w:r>
      <w:r w:rsidR="00FA6343" w:rsidRPr="00347681">
        <w:rPr>
          <w:lang w:eastAsia="en-AU"/>
        </w:rPr>
        <w:t>3</w:t>
      </w:r>
      <w:r w:rsidRPr="00347681">
        <w:rPr>
          <w:lang w:eastAsia="en-AU"/>
        </w:rPr>
        <w:t xml:space="preserve"> of the Determination</w:t>
      </w:r>
      <w:r w:rsidR="00366EE5" w:rsidRPr="00347681">
        <w:rPr>
          <w:lang w:eastAsia="en-AU"/>
        </w:rPr>
        <w:t>. The amendment</w:t>
      </w:r>
      <w:r w:rsidR="00FA6343" w:rsidRPr="00347681">
        <w:rPr>
          <w:lang w:eastAsia="en-AU"/>
        </w:rPr>
        <w:t>s</w:t>
      </w:r>
      <w:r w:rsidR="00366EE5" w:rsidRPr="00347681">
        <w:rPr>
          <w:lang w:eastAsia="en-AU"/>
        </w:rPr>
        <w:t xml:space="preserve"> to section</w:t>
      </w:r>
      <w:r w:rsidR="00FA6343" w:rsidRPr="00347681">
        <w:rPr>
          <w:lang w:eastAsia="en-AU"/>
        </w:rPr>
        <w:t>s 5 and</w:t>
      </w:r>
      <w:r w:rsidR="00366EE5" w:rsidRPr="00347681">
        <w:rPr>
          <w:lang w:eastAsia="en-AU"/>
        </w:rPr>
        <w:t xml:space="preserve"> 11 ensure</w:t>
      </w:r>
      <w:r w:rsidR="00FA6343" w:rsidRPr="00347681">
        <w:rPr>
          <w:lang w:eastAsia="en-AU"/>
        </w:rPr>
        <w:t xml:space="preserve"> that</w:t>
      </w:r>
      <w:r w:rsidR="00366EE5" w:rsidRPr="00347681">
        <w:rPr>
          <w:lang w:eastAsia="en-AU"/>
        </w:rPr>
        <w:t xml:space="preserve"> the Determination’s coverage of </w:t>
      </w:r>
      <w:r w:rsidR="007101AB" w:rsidRPr="00347681">
        <w:rPr>
          <w:lang w:eastAsia="en-AU"/>
        </w:rPr>
        <w:t>biomass</w:t>
      </w:r>
      <w:r w:rsidR="00366EE5" w:rsidRPr="00347681">
        <w:rPr>
          <w:lang w:eastAsia="en-AU"/>
        </w:rPr>
        <w:t xml:space="preserve"> is consistent wi</w:t>
      </w:r>
      <w:r w:rsidR="00A61856" w:rsidRPr="00347681">
        <w:rPr>
          <w:lang w:eastAsia="en-AU"/>
        </w:rPr>
        <w:t xml:space="preserve">th the </w:t>
      </w:r>
      <w:r w:rsidR="00314225">
        <w:rPr>
          <w:lang w:eastAsia="en-AU"/>
        </w:rPr>
        <w:t>RET</w:t>
      </w:r>
      <w:r w:rsidR="00A61856" w:rsidRPr="00347681">
        <w:rPr>
          <w:lang w:eastAsia="en-AU"/>
        </w:rPr>
        <w:t xml:space="preserve"> s</w:t>
      </w:r>
      <w:r w:rsidR="00366EE5" w:rsidRPr="00347681">
        <w:rPr>
          <w:lang w:eastAsia="en-AU"/>
        </w:rPr>
        <w:t>cheme</w:t>
      </w:r>
      <w:r w:rsidR="00BF15CC">
        <w:rPr>
          <w:lang w:eastAsia="en-AU"/>
        </w:rPr>
        <w:t>. These amendments are</w:t>
      </w:r>
      <w:r w:rsidR="008D268C" w:rsidRPr="00347681">
        <w:rPr>
          <w:lang w:eastAsia="en-AU"/>
        </w:rPr>
        <w:t xml:space="preserve"> supported by amendments to </w:t>
      </w:r>
      <w:r w:rsidR="007B4635" w:rsidRPr="00347681">
        <w:rPr>
          <w:lang w:eastAsia="en-AU"/>
        </w:rPr>
        <w:t>the associated</w:t>
      </w:r>
      <w:r w:rsidR="008D268C" w:rsidRPr="00347681">
        <w:rPr>
          <w:lang w:eastAsia="en-AU"/>
        </w:rPr>
        <w:t xml:space="preserve"> application and reporting </w:t>
      </w:r>
      <w:r w:rsidR="00FA6343" w:rsidRPr="00347681">
        <w:rPr>
          <w:lang w:eastAsia="en-AU"/>
        </w:rPr>
        <w:t>requirements set out</w:t>
      </w:r>
      <w:r w:rsidR="008D268C" w:rsidRPr="00347681">
        <w:rPr>
          <w:lang w:eastAsia="en-AU"/>
        </w:rPr>
        <w:t xml:space="preserve"> in sections 13 and 53 respectively</w:t>
      </w:r>
      <w:r w:rsidR="00366EE5" w:rsidRPr="00347681">
        <w:rPr>
          <w:lang w:eastAsia="en-AU"/>
        </w:rPr>
        <w:t xml:space="preserve">. The amendment to section </w:t>
      </w:r>
      <w:r w:rsidR="00D1260D" w:rsidRPr="00347681">
        <w:rPr>
          <w:lang w:eastAsia="en-AU"/>
        </w:rPr>
        <w:t>51</w:t>
      </w:r>
      <w:r w:rsidR="009F4CA1" w:rsidRPr="00347681">
        <w:rPr>
          <w:lang w:eastAsia="en-AU"/>
        </w:rPr>
        <w:t xml:space="preserve"> includes two further decay coefficients to </w:t>
      </w:r>
      <w:r w:rsidR="00A470C9" w:rsidRPr="00347681">
        <w:rPr>
          <w:lang w:eastAsia="en-AU"/>
        </w:rPr>
        <w:t xml:space="preserve">ensure </w:t>
      </w:r>
      <w:r w:rsidR="00176212" w:rsidRPr="00347681">
        <w:rPr>
          <w:lang w:eastAsia="en-AU"/>
        </w:rPr>
        <w:t xml:space="preserve">that </w:t>
      </w:r>
      <w:r w:rsidR="00A470C9" w:rsidRPr="00347681">
        <w:rPr>
          <w:lang w:eastAsia="en-AU"/>
        </w:rPr>
        <w:t xml:space="preserve">decay factors can be calculated </w:t>
      </w:r>
      <w:r w:rsidR="00094ACE">
        <w:rPr>
          <w:szCs w:val="24"/>
        </w:rPr>
        <w:t>where a project proponent chooses to delay the start of their</w:t>
      </w:r>
      <w:r w:rsidR="001E617E">
        <w:rPr>
          <w:szCs w:val="24"/>
        </w:rPr>
        <w:t xml:space="preserve"> crediting period</w:t>
      </w:r>
      <w:r w:rsidR="00A470C9" w:rsidRPr="00347681">
        <w:rPr>
          <w:lang w:eastAsia="en-AU"/>
        </w:rPr>
        <w:t>.</w:t>
      </w:r>
      <w:r w:rsidR="00A470C9">
        <w:rPr>
          <w:lang w:eastAsia="en-AU"/>
        </w:rPr>
        <w:t xml:space="preserve"> </w:t>
      </w:r>
      <w:r w:rsidR="009F4CA1">
        <w:rPr>
          <w:lang w:eastAsia="en-AU"/>
        </w:rPr>
        <w:t xml:space="preserve"> </w:t>
      </w:r>
      <w:r w:rsidR="00D1260D">
        <w:rPr>
          <w:lang w:eastAsia="en-AU"/>
        </w:rPr>
        <w:t xml:space="preserve"> </w:t>
      </w:r>
    </w:p>
    <w:p w:rsidR="00A00899" w:rsidRPr="00366EE5" w:rsidRDefault="00A00899" w:rsidP="000917D6">
      <w:pPr>
        <w:rPr>
          <w:lang w:eastAsia="en-AU"/>
        </w:rPr>
      </w:pPr>
      <w:r>
        <w:t xml:space="preserve">The Variation </w:t>
      </w:r>
      <w:r w:rsidR="00BF15CC" w:rsidRPr="008F5843">
        <w:t>does</w:t>
      </w:r>
      <w:r>
        <w:t xml:space="preserve"> not affect projects that are already registered and using the existing Determination. Even after a determination has been varied, an eligible offsets project already registered can continue to use the </w:t>
      </w:r>
      <w:r w:rsidR="006072EA">
        <w:t>d</w:t>
      </w:r>
      <w:r>
        <w:t>etermination in the form it was at the time the project was registered under section 126 of the Act. The project proponent may also choose to apply to the</w:t>
      </w:r>
      <w:r w:rsidR="00BF15CC">
        <w:t xml:space="preserve"> Clean Energy</w:t>
      </w:r>
      <w:r>
        <w:t xml:space="preserve"> Regulator for approval to move to the varied determination under section 128 of the Act. All decisions to approve eligible offsets projects after the commencement of the Variation will need to comply with the Determination as varied by the Variation, even if the applications were submitted before the Variation commenced.</w:t>
      </w:r>
    </w:p>
    <w:p w:rsidR="00EF0810" w:rsidRPr="00EF0810" w:rsidRDefault="00EF0810" w:rsidP="00EF0810">
      <w:pPr>
        <w:pStyle w:val="ESHeading"/>
        <w:spacing w:line="276" w:lineRule="auto"/>
      </w:pPr>
      <w:r w:rsidRPr="00EF0810">
        <w:t xml:space="preserve">Public consultation </w:t>
      </w:r>
    </w:p>
    <w:p w:rsidR="00EF0810" w:rsidRDefault="00EF0810" w:rsidP="00EF0810">
      <w:pPr>
        <w:rPr>
          <w:lang w:eastAsia="en-AU"/>
        </w:rPr>
      </w:pPr>
      <w:r w:rsidRPr="00EF0810">
        <w:rPr>
          <w:lang w:eastAsia="en-AU"/>
        </w:rPr>
        <w:t xml:space="preserve">The </w:t>
      </w:r>
      <w:r w:rsidR="00706B70">
        <w:rPr>
          <w:lang w:eastAsia="en-AU"/>
        </w:rPr>
        <w:t>V</w:t>
      </w:r>
      <w:r>
        <w:rPr>
          <w:lang w:eastAsia="en-AU"/>
        </w:rPr>
        <w:t>ariation</w:t>
      </w:r>
      <w:r w:rsidRPr="00EF0810">
        <w:rPr>
          <w:lang w:eastAsia="en-AU"/>
        </w:rPr>
        <w:t xml:space="preserve"> has been developed by the Department of the Environment</w:t>
      </w:r>
      <w:r>
        <w:rPr>
          <w:lang w:eastAsia="en-AU"/>
        </w:rPr>
        <w:t xml:space="preserve">. </w:t>
      </w:r>
    </w:p>
    <w:p w:rsidR="00EF0810" w:rsidRDefault="00AA3CDB" w:rsidP="00EF0810">
      <w:pPr>
        <w:rPr>
          <w:lang w:eastAsia="en-AU"/>
        </w:rPr>
      </w:pPr>
      <w:r>
        <w:rPr>
          <w:lang w:eastAsia="en-AU"/>
        </w:rPr>
        <w:t>An</w:t>
      </w:r>
      <w:r w:rsidRPr="00EF0810">
        <w:rPr>
          <w:lang w:eastAsia="en-AU"/>
        </w:rPr>
        <w:t xml:space="preserve"> </w:t>
      </w:r>
      <w:r w:rsidR="00EF0810" w:rsidRPr="00EF0810">
        <w:rPr>
          <w:lang w:eastAsia="en-AU"/>
        </w:rPr>
        <w:t xml:space="preserve">exposure draft of the </w:t>
      </w:r>
      <w:r w:rsidR="00EF0810">
        <w:rPr>
          <w:lang w:eastAsia="en-AU"/>
        </w:rPr>
        <w:t>Variation</w:t>
      </w:r>
      <w:r w:rsidR="00EF0810" w:rsidRPr="00EF0810">
        <w:rPr>
          <w:lang w:eastAsia="en-AU"/>
        </w:rPr>
        <w:t xml:space="preserve"> </w:t>
      </w:r>
      <w:r w:rsidR="00BF15CC">
        <w:rPr>
          <w:lang w:eastAsia="en-AU"/>
        </w:rPr>
        <w:t>was</w:t>
      </w:r>
      <w:r w:rsidR="00EF0810" w:rsidRPr="00EF0810">
        <w:rPr>
          <w:lang w:eastAsia="en-AU"/>
        </w:rPr>
        <w:t xml:space="preserve"> published on the Department’s website for public consultation from </w:t>
      </w:r>
      <w:r w:rsidR="0078083E">
        <w:rPr>
          <w:lang w:eastAsia="en-AU"/>
        </w:rPr>
        <w:t>5</w:t>
      </w:r>
      <w:r w:rsidR="00687163" w:rsidRPr="00AA396C">
        <w:rPr>
          <w:lang w:eastAsia="en-AU"/>
        </w:rPr>
        <w:t xml:space="preserve"> August</w:t>
      </w:r>
      <w:r w:rsidR="00EF0810" w:rsidRPr="00AA396C">
        <w:rPr>
          <w:lang w:eastAsia="en-AU"/>
        </w:rPr>
        <w:t xml:space="preserve"> 2015 to </w:t>
      </w:r>
      <w:r w:rsidR="009D795F">
        <w:rPr>
          <w:lang w:eastAsia="en-AU"/>
        </w:rPr>
        <w:t>19</w:t>
      </w:r>
      <w:r w:rsidR="00687163" w:rsidRPr="00AA396C">
        <w:rPr>
          <w:lang w:eastAsia="en-AU"/>
        </w:rPr>
        <w:t xml:space="preserve"> </w:t>
      </w:r>
      <w:r w:rsidR="00EF0810" w:rsidRPr="00AA396C">
        <w:rPr>
          <w:lang w:eastAsia="en-AU"/>
        </w:rPr>
        <w:t>August 2015</w:t>
      </w:r>
      <w:r w:rsidR="00EF0810" w:rsidRPr="00EF0810">
        <w:rPr>
          <w:lang w:eastAsia="en-AU"/>
        </w:rPr>
        <w:t>.</w:t>
      </w:r>
      <w:r w:rsidR="00BF15CC">
        <w:rPr>
          <w:lang w:eastAsia="en-AU"/>
        </w:rPr>
        <w:t xml:space="preserve"> </w:t>
      </w:r>
      <w:r w:rsidR="00BF15CC" w:rsidRPr="00794147">
        <w:rPr>
          <w:lang w:eastAsia="en-AU"/>
        </w:rPr>
        <w:t xml:space="preserve">Stakeholders and members of the public who asked to be </w:t>
      </w:r>
      <w:r w:rsidR="004D3DF0" w:rsidRPr="00794147">
        <w:rPr>
          <w:lang w:eastAsia="en-AU"/>
        </w:rPr>
        <w:t>included</w:t>
      </w:r>
      <w:r w:rsidR="00BF15CC" w:rsidRPr="00794147">
        <w:rPr>
          <w:lang w:eastAsia="en-AU"/>
        </w:rPr>
        <w:t xml:space="preserve"> on the </w:t>
      </w:r>
      <w:r w:rsidR="004D3DF0" w:rsidRPr="00794147">
        <w:rPr>
          <w:lang w:eastAsia="en-AU"/>
        </w:rPr>
        <w:t xml:space="preserve">Emissions Reduction Fund mailing list </w:t>
      </w:r>
      <w:r w:rsidR="00BF15CC" w:rsidRPr="00794147">
        <w:rPr>
          <w:lang w:eastAsia="en-AU"/>
        </w:rPr>
        <w:t>were notified of the public consultation period.</w:t>
      </w:r>
      <w:r w:rsidR="004D3DF0">
        <w:rPr>
          <w:lang w:eastAsia="en-AU"/>
        </w:rPr>
        <w:t xml:space="preserve"> The Technical Working Group and Reference Group involved in the development of the Determination were also notified of the public consultation period. </w:t>
      </w:r>
      <w:r w:rsidR="002A5397">
        <w:rPr>
          <w:lang w:eastAsia="en-AU"/>
        </w:rPr>
        <w:t>One submission was</w:t>
      </w:r>
      <w:r w:rsidR="002A5397" w:rsidRPr="002A5397">
        <w:rPr>
          <w:lang w:eastAsia="en-AU"/>
        </w:rPr>
        <w:t xml:space="preserve"> received. Details of non-confidential submissions are provided on the Department of the Environment website, www.environment.gov.au</w:t>
      </w:r>
      <w:r w:rsidR="00BF15CC" w:rsidRPr="00794147">
        <w:rPr>
          <w:lang w:eastAsia="en-AU"/>
        </w:rPr>
        <w:t>.</w:t>
      </w:r>
      <w:r w:rsidR="00BF15CC">
        <w:rPr>
          <w:lang w:eastAsia="en-AU"/>
        </w:rPr>
        <w:t xml:space="preserve"> </w:t>
      </w:r>
    </w:p>
    <w:p w:rsidR="007C4FED" w:rsidRPr="008E62FF" w:rsidRDefault="00BA7F6B" w:rsidP="000917D6">
      <w:pPr>
        <w:pStyle w:val="ESHeading"/>
        <w:spacing w:line="276" w:lineRule="auto"/>
      </w:pPr>
      <w:r>
        <w:t>D</w:t>
      </w:r>
      <w:r w:rsidR="003B2B0A">
        <w:t>etermination</w:t>
      </w:r>
      <w:r w:rsidR="007C4FED" w:rsidRPr="008E62FF">
        <w:t xml:space="preserve"> details</w:t>
      </w:r>
    </w:p>
    <w:p w:rsidR="007C4FED" w:rsidRPr="008E62FF" w:rsidRDefault="007C4FED" w:rsidP="000917D6">
      <w:pPr>
        <w:spacing w:after="120"/>
        <w:rPr>
          <w:szCs w:val="24"/>
        </w:rPr>
      </w:pPr>
      <w:r w:rsidRPr="008E62FF">
        <w:rPr>
          <w:szCs w:val="24"/>
        </w:rPr>
        <w:t xml:space="preserve">Details of the </w:t>
      </w:r>
      <w:r w:rsidR="00A75D47">
        <w:rPr>
          <w:lang w:eastAsia="en-AU"/>
        </w:rPr>
        <w:t>V</w:t>
      </w:r>
      <w:r w:rsidR="00A75D47">
        <w:rPr>
          <w:szCs w:val="24"/>
        </w:rPr>
        <w:t>ariation</w:t>
      </w:r>
      <w:r w:rsidRPr="008E62FF">
        <w:rPr>
          <w:szCs w:val="24"/>
        </w:rPr>
        <w:t xml:space="preserve"> are at </w:t>
      </w:r>
      <w:r w:rsidRPr="008E62FF">
        <w:rPr>
          <w:szCs w:val="24"/>
          <w:u w:val="single"/>
        </w:rPr>
        <w:t>Attachment A</w:t>
      </w:r>
      <w:r w:rsidRPr="008E62FF">
        <w:rPr>
          <w:szCs w:val="24"/>
        </w:rPr>
        <w:t xml:space="preserve">. Numbered sections </w:t>
      </w:r>
      <w:r w:rsidR="008F24FD">
        <w:rPr>
          <w:szCs w:val="24"/>
        </w:rPr>
        <w:t xml:space="preserve">and items </w:t>
      </w:r>
      <w:r w:rsidRPr="008E62FF">
        <w:rPr>
          <w:szCs w:val="24"/>
        </w:rPr>
        <w:t xml:space="preserve">in </w:t>
      </w:r>
      <w:r w:rsidR="00CD4268">
        <w:rPr>
          <w:szCs w:val="24"/>
        </w:rPr>
        <w:t>th</w:t>
      </w:r>
      <w:r w:rsidR="00A04E0A">
        <w:rPr>
          <w:szCs w:val="24"/>
        </w:rPr>
        <w:t>is</w:t>
      </w:r>
      <w:r w:rsidR="00CD4268">
        <w:rPr>
          <w:szCs w:val="24"/>
        </w:rPr>
        <w:t xml:space="preserve"> </w:t>
      </w:r>
      <w:r w:rsidR="00A04E0A">
        <w:rPr>
          <w:szCs w:val="24"/>
        </w:rPr>
        <w:t>e</w:t>
      </w:r>
      <w:r w:rsidR="00CD4268">
        <w:rPr>
          <w:szCs w:val="24"/>
        </w:rPr>
        <w:t xml:space="preserve">xplanatory </w:t>
      </w:r>
      <w:r w:rsidR="00A04E0A">
        <w:rPr>
          <w:szCs w:val="24"/>
        </w:rPr>
        <w:t>s</w:t>
      </w:r>
      <w:r w:rsidRPr="008E62FF">
        <w:rPr>
          <w:szCs w:val="24"/>
        </w:rPr>
        <w:t xml:space="preserve">tatement align with the relevant sections </w:t>
      </w:r>
      <w:r w:rsidR="008F24FD">
        <w:rPr>
          <w:szCs w:val="24"/>
        </w:rPr>
        <w:t xml:space="preserve">and items </w:t>
      </w:r>
      <w:r w:rsidRPr="008E62FF">
        <w:rPr>
          <w:szCs w:val="24"/>
        </w:rPr>
        <w:t xml:space="preserve">of the </w:t>
      </w:r>
      <w:r w:rsidR="00A75D47">
        <w:rPr>
          <w:szCs w:val="24"/>
        </w:rPr>
        <w:t>Variation</w:t>
      </w:r>
      <w:r w:rsidR="008F24FD">
        <w:rPr>
          <w:szCs w:val="24"/>
        </w:rPr>
        <w:t xml:space="preserve"> and the Schedule</w:t>
      </w:r>
      <w:r w:rsidRPr="008E62FF">
        <w:rPr>
          <w:szCs w:val="24"/>
        </w:rPr>
        <w:t xml:space="preserve">. </w:t>
      </w:r>
      <w:r w:rsidRPr="008F24FD">
        <w:rPr>
          <w:szCs w:val="24"/>
        </w:rPr>
        <w:t xml:space="preserve">The definition of terms highlighted in </w:t>
      </w:r>
      <w:r w:rsidRPr="008F24FD">
        <w:rPr>
          <w:b/>
          <w:i/>
          <w:szCs w:val="24"/>
        </w:rPr>
        <w:t>bold italics</w:t>
      </w:r>
      <w:r w:rsidRPr="008F24FD">
        <w:rPr>
          <w:szCs w:val="24"/>
        </w:rPr>
        <w:t xml:space="preserve"> can be found in the </w:t>
      </w:r>
      <w:r w:rsidR="00A75D47" w:rsidRPr="008F24FD">
        <w:rPr>
          <w:szCs w:val="24"/>
        </w:rPr>
        <w:t>Variation</w:t>
      </w:r>
      <w:r w:rsidR="008F24FD" w:rsidRPr="008F24FD">
        <w:rPr>
          <w:szCs w:val="24"/>
        </w:rPr>
        <w:t xml:space="preserve"> or the Determination</w:t>
      </w:r>
      <w:r w:rsidRPr="008F24FD">
        <w:rPr>
          <w:szCs w:val="24"/>
        </w:rPr>
        <w:t>.</w:t>
      </w:r>
    </w:p>
    <w:p w:rsidR="00E65DEA" w:rsidRDefault="007C4FED" w:rsidP="000917D6">
      <w:pPr>
        <w:spacing w:after="120"/>
        <w:rPr>
          <w:szCs w:val="24"/>
        </w:rPr>
      </w:pPr>
      <w:r w:rsidRPr="00900BF9">
        <w:rPr>
          <w:szCs w:val="24"/>
        </w:rPr>
        <w:t xml:space="preserve">For </w:t>
      </w:r>
      <w:r w:rsidR="0091434F" w:rsidRPr="00900BF9">
        <w:rPr>
          <w:szCs w:val="24"/>
        </w:rPr>
        <w:t xml:space="preserve">the purpose of subsections </w:t>
      </w:r>
      <w:r w:rsidR="009A79EC" w:rsidRPr="004A5031">
        <w:rPr>
          <w:szCs w:val="24"/>
        </w:rPr>
        <w:t>114(2)</w:t>
      </w:r>
      <w:r w:rsidR="0091434F" w:rsidRPr="004A5031">
        <w:rPr>
          <w:szCs w:val="24"/>
        </w:rPr>
        <w:t>,</w:t>
      </w:r>
      <w:r w:rsidRPr="004A5031">
        <w:rPr>
          <w:szCs w:val="24"/>
        </w:rPr>
        <w:t xml:space="preserve"> </w:t>
      </w:r>
      <w:r w:rsidR="009A79EC" w:rsidRPr="004A5031">
        <w:rPr>
          <w:szCs w:val="24"/>
        </w:rPr>
        <w:t>(2A)</w:t>
      </w:r>
      <w:r w:rsidRPr="004A5031">
        <w:rPr>
          <w:szCs w:val="24"/>
        </w:rPr>
        <w:t xml:space="preserve"> and</w:t>
      </w:r>
      <w:r w:rsidR="0091434F" w:rsidRPr="004A5031">
        <w:rPr>
          <w:szCs w:val="24"/>
        </w:rPr>
        <w:t xml:space="preserve"> </w:t>
      </w:r>
      <w:r w:rsidR="009A79EC" w:rsidRPr="004A5031">
        <w:rPr>
          <w:szCs w:val="24"/>
        </w:rPr>
        <w:t>(7B)</w:t>
      </w:r>
      <w:r w:rsidRPr="00900BF9">
        <w:rPr>
          <w:szCs w:val="24"/>
        </w:rPr>
        <w:t xml:space="preserve"> of the Act, in </w:t>
      </w:r>
      <w:r w:rsidR="00836611" w:rsidRPr="00900BF9">
        <w:rPr>
          <w:szCs w:val="24"/>
        </w:rPr>
        <w:t>varying</w:t>
      </w:r>
      <w:r w:rsidRPr="00900BF9">
        <w:rPr>
          <w:szCs w:val="24"/>
        </w:rPr>
        <w:t xml:space="preserve"> </w:t>
      </w:r>
      <w:r w:rsidR="00B32150" w:rsidRPr="00900BF9">
        <w:rPr>
          <w:szCs w:val="24"/>
        </w:rPr>
        <w:t xml:space="preserve">a </w:t>
      </w:r>
      <w:r w:rsidR="006F5E31" w:rsidRPr="00900BF9">
        <w:rPr>
          <w:szCs w:val="24"/>
        </w:rPr>
        <w:t>methodology</w:t>
      </w:r>
      <w:r w:rsidR="003B2B0A" w:rsidRPr="00900BF9">
        <w:rPr>
          <w:szCs w:val="24"/>
        </w:rPr>
        <w:t xml:space="preserve"> determination</w:t>
      </w:r>
      <w:r w:rsidRPr="00900BF9">
        <w:rPr>
          <w:szCs w:val="24"/>
        </w:rPr>
        <w:t xml:space="preserve"> the Minister </w:t>
      </w:r>
      <w:r w:rsidR="00A92559" w:rsidRPr="00900BF9">
        <w:rPr>
          <w:szCs w:val="24"/>
        </w:rPr>
        <w:t>must have regard to, and agree</w:t>
      </w:r>
      <w:r w:rsidRPr="00900BF9">
        <w:rPr>
          <w:szCs w:val="24"/>
        </w:rPr>
        <w:t xml:space="preserve"> with, the advice of the </w:t>
      </w:r>
      <w:r w:rsidR="00A61856">
        <w:rPr>
          <w:szCs w:val="24"/>
        </w:rPr>
        <w:t>Emissions Reduction Assurance Committee (</w:t>
      </w:r>
      <w:r w:rsidR="00E112CA" w:rsidRPr="00900BF9">
        <w:rPr>
          <w:szCs w:val="24"/>
        </w:rPr>
        <w:t>ERAC</w:t>
      </w:r>
      <w:r w:rsidR="00A61856">
        <w:rPr>
          <w:szCs w:val="24"/>
        </w:rPr>
        <w:t>)</w:t>
      </w:r>
      <w:r w:rsidRPr="00900BF9">
        <w:rPr>
          <w:szCs w:val="24"/>
        </w:rPr>
        <w:t xml:space="preserve"> that the </w:t>
      </w:r>
      <w:r w:rsidR="00836611" w:rsidRPr="00900BF9">
        <w:rPr>
          <w:szCs w:val="24"/>
        </w:rPr>
        <w:t xml:space="preserve">varied </w:t>
      </w:r>
      <w:r w:rsidR="00FD767C" w:rsidRPr="00900BF9">
        <w:rPr>
          <w:szCs w:val="24"/>
        </w:rPr>
        <w:t xml:space="preserve">methodology </w:t>
      </w:r>
      <w:r w:rsidR="003B2B0A" w:rsidRPr="00900BF9">
        <w:rPr>
          <w:szCs w:val="24"/>
        </w:rPr>
        <w:t>determination</w:t>
      </w:r>
      <w:r w:rsidRPr="00900BF9">
        <w:rPr>
          <w:szCs w:val="24"/>
        </w:rPr>
        <w:t xml:space="preserve"> complies with the offsets integrity standards and that the </w:t>
      </w:r>
      <w:r w:rsidR="00836611" w:rsidRPr="00900BF9">
        <w:rPr>
          <w:szCs w:val="24"/>
        </w:rPr>
        <w:t xml:space="preserve">varied </w:t>
      </w:r>
      <w:r w:rsidR="00FD767C" w:rsidRPr="00900BF9">
        <w:rPr>
          <w:szCs w:val="24"/>
        </w:rPr>
        <w:t xml:space="preserve">methodology </w:t>
      </w:r>
      <w:r w:rsidR="003B2B0A" w:rsidRPr="00900BF9">
        <w:rPr>
          <w:szCs w:val="24"/>
        </w:rPr>
        <w:t>determination</w:t>
      </w:r>
      <w:r w:rsidRPr="00900BF9">
        <w:rPr>
          <w:szCs w:val="24"/>
        </w:rPr>
        <w:t xml:space="preserve"> should be made. The Minister</w:t>
      </w:r>
      <w:r w:rsidR="00A92559" w:rsidRPr="00900BF9">
        <w:rPr>
          <w:szCs w:val="24"/>
        </w:rPr>
        <w:t xml:space="preserve"> must be</w:t>
      </w:r>
      <w:r w:rsidRPr="00900BF9">
        <w:rPr>
          <w:szCs w:val="24"/>
        </w:rPr>
        <w:t xml:space="preserve"> satisfied that the carbon abatement used in ascertaining the carbon dioxide equivalent net abatement amount for a project is eligible carbon abatement from the project. The Minister also </w:t>
      </w:r>
      <w:r w:rsidR="00A92559" w:rsidRPr="00900BF9">
        <w:rPr>
          <w:szCs w:val="24"/>
        </w:rPr>
        <w:t>must have</w:t>
      </w:r>
      <w:r w:rsidRPr="00900BF9">
        <w:rPr>
          <w:szCs w:val="24"/>
        </w:rPr>
        <w:t xml:space="preserve"> regard to whether any adverse environmental, </w:t>
      </w:r>
      <w:r w:rsidRPr="00900BF9">
        <w:rPr>
          <w:szCs w:val="24"/>
        </w:rPr>
        <w:lastRenderedPageBreak/>
        <w:t xml:space="preserve">economic or social impacts are likely to arise from the carrying out of the kind of project to which the </w:t>
      </w:r>
      <w:r w:rsidR="00836611" w:rsidRPr="00900BF9">
        <w:rPr>
          <w:szCs w:val="24"/>
        </w:rPr>
        <w:t xml:space="preserve">varied </w:t>
      </w:r>
      <w:r w:rsidR="006F5E31" w:rsidRPr="00900BF9">
        <w:rPr>
          <w:szCs w:val="24"/>
        </w:rPr>
        <w:t>methodology</w:t>
      </w:r>
      <w:r w:rsidR="003B2B0A" w:rsidRPr="00900BF9">
        <w:rPr>
          <w:szCs w:val="24"/>
        </w:rPr>
        <w:t xml:space="preserve"> determination</w:t>
      </w:r>
      <w:r w:rsidRPr="00900BF9">
        <w:rPr>
          <w:szCs w:val="24"/>
        </w:rPr>
        <w:t xml:space="preserve"> applies and other relevant considerations.</w:t>
      </w:r>
    </w:p>
    <w:p w:rsidR="00611765" w:rsidRDefault="00611765" w:rsidP="000917D6">
      <w:pPr>
        <w:spacing w:after="120"/>
        <w:rPr>
          <w:szCs w:val="24"/>
        </w:rPr>
      </w:pPr>
      <w:r>
        <w:t xml:space="preserve">A Statement of Compatibility prepared in accordance with the </w:t>
      </w:r>
      <w:r>
        <w:rPr>
          <w:i/>
          <w:iCs/>
        </w:rPr>
        <w:t>Human Rights (Parliamentary Scrutiny) Act 2011</w:t>
      </w:r>
      <w:r>
        <w:t xml:space="preserve"> is at </w:t>
      </w:r>
      <w:r>
        <w:rPr>
          <w:u w:val="single"/>
        </w:rPr>
        <w:t>Attachment B</w:t>
      </w:r>
      <w:r>
        <w:t>.</w:t>
      </w:r>
    </w:p>
    <w:p w:rsidR="00F117C1" w:rsidRPr="00D045C1" w:rsidRDefault="00F117C1" w:rsidP="000917D6">
      <w:pPr>
        <w:spacing w:after="120"/>
        <w:rPr>
          <w:color w:val="808080"/>
          <w:szCs w:val="24"/>
        </w:rPr>
        <w:sectPr w:rsidR="00F117C1" w:rsidRPr="00D045C1" w:rsidSect="00CF3436">
          <w:footerReference w:type="default" r:id="rId13"/>
          <w:footerReference w:type="first" r:id="rId14"/>
          <w:pgSz w:w="11906" w:h="16838" w:code="9"/>
          <w:pgMar w:top="1440" w:right="1440" w:bottom="1440" w:left="1418" w:header="709" w:footer="709" w:gutter="0"/>
          <w:cols w:space="708"/>
          <w:docGrid w:linePitch="360"/>
        </w:sectPr>
      </w:pPr>
    </w:p>
    <w:p w:rsidR="007C4FED" w:rsidRPr="008E62FF" w:rsidRDefault="007C4FED" w:rsidP="000917D6">
      <w:pPr>
        <w:pStyle w:val="ESA1Title"/>
        <w:spacing w:line="276" w:lineRule="auto"/>
      </w:pPr>
      <w:r w:rsidRPr="008E62FF">
        <w:lastRenderedPageBreak/>
        <w:t xml:space="preserve">Details of the </w:t>
      </w:r>
      <w:r w:rsidR="00836611">
        <w:t xml:space="preserve">Variation </w:t>
      </w:r>
    </w:p>
    <w:p w:rsidR="007C4FED" w:rsidRPr="005A5304" w:rsidRDefault="007C4FED" w:rsidP="000917D6">
      <w:pPr>
        <w:pStyle w:val="ESA4Section"/>
        <w:tabs>
          <w:tab w:val="left" w:pos="5970"/>
        </w:tabs>
        <w:spacing w:line="276" w:lineRule="auto"/>
      </w:pPr>
      <w:r w:rsidRPr="005A5304">
        <w:t>1</w:t>
      </w:r>
      <w:r w:rsidRPr="005A5304">
        <w:tab/>
        <w:t>Name</w:t>
      </w:r>
    </w:p>
    <w:p w:rsidR="007C4FED" w:rsidRDefault="007C4FED" w:rsidP="000917D6">
      <w:pPr>
        <w:spacing w:after="120"/>
        <w:rPr>
          <w:bCs/>
          <w:i/>
          <w:iCs/>
          <w:color w:val="000000" w:themeColor="text1"/>
          <w:kern w:val="36"/>
          <w:szCs w:val="24"/>
          <w:lang w:eastAsia="en-AU"/>
        </w:rPr>
      </w:pPr>
      <w:proofErr w:type="gramStart"/>
      <w:r w:rsidRPr="005A5304">
        <w:rPr>
          <w:szCs w:val="24"/>
        </w:rPr>
        <w:t xml:space="preserve">Section 1 sets out the full name of the </w:t>
      </w:r>
      <w:r w:rsidR="00836611">
        <w:rPr>
          <w:lang w:eastAsia="en-AU"/>
        </w:rPr>
        <w:t>Variation</w:t>
      </w:r>
      <w:r w:rsidRPr="005A5304">
        <w:rPr>
          <w:szCs w:val="24"/>
        </w:rPr>
        <w:t xml:space="preserve">, which is the </w:t>
      </w:r>
      <w:r w:rsidR="00836611" w:rsidRPr="00836611">
        <w:rPr>
          <w:bCs/>
          <w:i/>
          <w:iCs/>
          <w:color w:val="000000" w:themeColor="text1"/>
          <w:kern w:val="36"/>
          <w:szCs w:val="24"/>
          <w:lang w:eastAsia="en-AU"/>
        </w:rPr>
        <w:t>Carbon Credits (Carbon Farming Initiative—Industrial Electricity and Fuel Efficiency) Methodolog</w:t>
      </w:r>
      <w:r w:rsidR="00D97741">
        <w:rPr>
          <w:bCs/>
          <w:i/>
          <w:iCs/>
          <w:color w:val="000000" w:themeColor="text1"/>
          <w:kern w:val="36"/>
          <w:szCs w:val="24"/>
          <w:lang w:eastAsia="en-AU"/>
        </w:rPr>
        <w:t>y Variation 2015</w:t>
      </w:r>
      <w:r w:rsidRPr="00836611">
        <w:rPr>
          <w:bCs/>
          <w:i/>
          <w:iCs/>
          <w:color w:val="000000" w:themeColor="text1"/>
          <w:kern w:val="36"/>
          <w:szCs w:val="24"/>
          <w:lang w:eastAsia="en-AU"/>
        </w:rPr>
        <w:t>.</w:t>
      </w:r>
      <w:proofErr w:type="gramEnd"/>
    </w:p>
    <w:p w:rsidR="008F24FD" w:rsidRPr="008500ED" w:rsidRDefault="008F24FD" w:rsidP="000917D6">
      <w:pPr>
        <w:spacing w:after="120"/>
        <w:rPr>
          <w:i/>
          <w:szCs w:val="24"/>
        </w:rPr>
      </w:pPr>
    </w:p>
    <w:p w:rsidR="007C4FED" w:rsidRPr="005A5304" w:rsidRDefault="007C4FED" w:rsidP="000917D6">
      <w:pPr>
        <w:pStyle w:val="ESA4Section"/>
        <w:spacing w:line="276" w:lineRule="auto"/>
      </w:pPr>
      <w:r w:rsidRPr="005A5304">
        <w:t>2</w:t>
      </w:r>
      <w:r w:rsidRPr="005A5304">
        <w:tab/>
        <w:t>Commencement</w:t>
      </w:r>
    </w:p>
    <w:p w:rsidR="009F1A22" w:rsidRDefault="007C4FED" w:rsidP="000917D6">
      <w:pPr>
        <w:spacing w:after="120"/>
        <w:rPr>
          <w:szCs w:val="24"/>
        </w:rPr>
      </w:pPr>
      <w:r w:rsidRPr="005A5304">
        <w:rPr>
          <w:szCs w:val="24"/>
        </w:rPr>
        <w:t xml:space="preserve">Section 2 </w:t>
      </w:r>
      <w:r w:rsidR="0004477A">
        <w:rPr>
          <w:szCs w:val="24"/>
        </w:rPr>
        <w:t>provides</w:t>
      </w:r>
      <w:r w:rsidRPr="005A5304">
        <w:rPr>
          <w:szCs w:val="24"/>
        </w:rPr>
        <w:t xml:space="preserve"> that the</w:t>
      </w:r>
      <w:r w:rsidR="003735B7">
        <w:rPr>
          <w:lang w:eastAsia="en-AU"/>
        </w:rPr>
        <w:t xml:space="preserve"> </w:t>
      </w:r>
      <w:r w:rsidR="007E295C">
        <w:rPr>
          <w:szCs w:val="24"/>
        </w:rPr>
        <w:t>Variation</w:t>
      </w:r>
      <w:r w:rsidRPr="005A5304">
        <w:rPr>
          <w:szCs w:val="24"/>
        </w:rPr>
        <w:t xml:space="preserve"> </w:t>
      </w:r>
      <w:r w:rsidR="0085321C">
        <w:rPr>
          <w:szCs w:val="24"/>
        </w:rPr>
        <w:t>commences</w:t>
      </w:r>
      <w:r w:rsidR="007E295C">
        <w:rPr>
          <w:szCs w:val="24"/>
        </w:rPr>
        <w:t xml:space="preserve"> </w:t>
      </w:r>
      <w:r w:rsidRPr="005A5304">
        <w:rPr>
          <w:szCs w:val="24"/>
        </w:rPr>
        <w:t>on the day after it is registered on the Federal Register of Legislative Instruments</w:t>
      </w:r>
      <w:r w:rsidR="00937BF3">
        <w:rPr>
          <w:szCs w:val="24"/>
        </w:rPr>
        <w:t>.</w:t>
      </w:r>
    </w:p>
    <w:p w:rsidR="008F24FD" w:rsidRDefault="008F24FD" w:rsidP="000917D6">
      <w:pPr>
        <w:spacing w:after="120"/>
        <w:rPr>
          <w:szCs w:val="24"/>
        </w:rPr>
      </w:pPr>
    </w:p>
    <w:p w:rsidR="007C4FED" w:rsidRPr="005A5304" w:rsidRDefault="007C4FED" w:rsidP="000917D6">
      <w:pPr>
        <w:pStyle w:val="ESA4Section"/>
        <w:spacing w:line="276" w:lineRule="auto"/>
      </w:pPr>
      <w:r w:rsidRPr="005A5304">
        <w:t>3</w:t>
      </w:r>
      <w:r w:rsidRPr="005A5304">
        <w:tab/>
        <w:t>Authority</w:t>
      </w:r>
    </w:p>
    <w:p w:rsidR="007C4FED" w:rsidRDefault="007C4FED" w:rsidP="000917D6">
      <w:pPr>
        <w:spacing w:after="120"/>
        <w:rPr>
          <w:szCs w:val="24"/>
        </w:rPr>
      </w:pPr>
      <w:r w:rsidRPr="005A5304">
        <w:rPr>
          <w:szCs w:val="24"/>
        </w:rPr>
        <w:t xml:space="preserve">Section 3 </w:t>
      </w:r>
      <w:r w:rsidR="0004477A">
        <w:rPr>
          <w:szCs w:val="24"/>
        </w:rPr>
        <w:t>provides</w:t>
      </w:r>
      <w:r w:rsidRPr="005A5304">
        <w:rPr>
          <w:szCs w:val="24"/>
        </w:rPr>
        <w:t xml:space="preserve"> that the</w:t>
      </w:r>
      <w:r w:rsidR="003735B7" w:rsidRPr="009D2318">
        <w:rPr>
          <w:szCs w:val="24"/>
        </w:rPr>
        <w:t xml:space="preserve"> </w:t>
      </w:r>
      <w:r w:rsidR="009D2318">
        <w:rPr>
          <w:szCs w:val="24"/>
        </w:rPr>
        <w:t>Variation</w:t>
      </w:r>
      <w:r w:rsidR="003735B7">
        <w:rPr>
          <w:szCs w:val="24"/>
        </w:rPr>
        <w:t xml:space="preserve"> </w:t>
      </w:r>
      <w:r w:rsidR="0085321C">
        <w:rPr>
          <w:szCs w:val="24"/>
        </w:rPr>
        <w:t>is</w:t>
      </w:r>
      <w:r w:rsidR="009D2318">
        <w:rPr>
          <w:szCs w:val="24"/>
        </w:rPr>
        <w:t xml:space="preserve"> made under subsection </w:t>
      </w:r>
      <w:r w:rsidR="009D2318" w:rsidRPr="0080777C">
        <w:rPr>
          <w:szCs w:val="24"/>
        </w:rPr>
        <w:t>114</w:t>
      </w:r>
      <w:r w:rsidRPr="0080777C">
        <w:rPr>
          <w:szCs w:val="24"/>
        </w:rPr>
        <w:t>(1)</w:t>
      </w:r>
      <w:r w:rsidRPr="005A5304">
        <w:rPr>
          <w:szCs w:val="24"/>
        </w:rPr>
        <w:t xml:space="preserve"> of the Act.</w:t>
      </w:r>
    </w:p>
    <w:p w:rsidR="008F24FD" w:rsidRPr="005A5304" w:rsidRDefault="008F24FD" w:rsidP="000917D6">
      <w:pPr>
        <w:spacing w:after="120"/>
        <w:rPr>
          <w:szCs w:val="24"/>
        </w:rPr>
      </w:pPr>
    </w:p>
    <w:p w:rsidR="001E6A08" w:rsidRPr="00EE7213" w:rsidRDefault="007C4FED" w:rsidP="000917D6">
      <w:pPr>
        <w:pStyle w:val="ESA4Section"/>
        <w:spacing w:line="276" w:lineRule="auto"/>
        <w:rPr>
          <w:rFonts w:eastAsia="Calibri"/>
          <w:bCs w:val="0"/>
          <w:iCs w:val="0"/>
          <w:color w:val="auto"/>
        </w:rPr>
      </w:pPr>
      <w:r w:rsidRPr="00EE7213">
        <w:rPr>
          <w:rFonts w:eastAsia="Calibri"/>
          <w:bCs w:val="0"/>
          <w:iCs w:val="0"/>
          <w:color w:val="auto"/>
        </w:rPr>
        <w:t>4</w:t>
      </w:r>
      <w:r w:rsidRPr="00EE7213">
        <w:rPr>
          <w:rFonts w:eastAsia="Calibri"/>
          <w:bCs w:val="0"/>
          <w:iCs w:val="0"/>
          <w:color w:val="auto"/>
        </w:rPr>
        <w:tab/>
      </w:r>
      <w:r w:rsidR="001E6A08" w:rsidRPr="00EE7213">
        <w:rPr>
          <w:rFonts w:eastAsia="Calibri"/>
          <w:bCs w:val="0"/>
          <w:iCs w:val="0"/>
          <w:color w:val="auto"/>
        </w:rPr>
        <w:t>Amendme</w:t>
      </w:r>
      <w:r w:rsidR="00FE6611">
        <w:rPr>
          <w:rFonts w:eastAsia="Calibri"/>
          <w:bCs w:val="0"/>
          <w:iCs w:val="0"/>
          <w:color w:val="auto"/>
        </w:rPr>
        <w:t>nt of methodology determination</w:t>
      </w:r>
    </w:p>
    <w:p w:rsidR="00604F0D" w:rsidRDefault="001E6A08" w:rsidP="000917D6">
      <w:pPr>
        <w:spacing w:after="120"/>
        <w:rPr>
          <w:szCs w:val="24"/>
        </w:rPr>
      </w:pPr>
      <w:r w:rsidRPr="00EE7213">
        <w:rPr>
          <w:szCs w:val="24"/>
        </w:rPr>
        <w:t>Section 4 provides</w:t>
      </w:r>
      <w:r>
        <w:t xml:space="preserve"> that the </w:t>
      </w:r>
      <w:r w:rsidRPr="001E6A08">
        <w:rPr>
          <w:bCs/>
          <w:i/>
          <w:iCs/>
          <w:color w:val="000000" w:themeColor="text1"/>
          <w:kern w:val="36"/>
          <w:szCs w:val="24"/>
        </w:rPr>
        <w:t>Carbon Credits (Carbon Farming Initiative—Industrial Electricity and Fuel Efficiency) Methodology Determination 2015</w:t>
      </w:r>
      <w:r w:rsidR="00FE6611">
        <w:t xml:space="preserve"> is amended as set out in Schedule 1 of the </w:t>
      </w:r>
      <w:r w:rsidR="00C55B52">
        <w:t>Variation</w:t>
      </w:r>
      <w:r w:rsidR="00FE6611">
        <w:t xml:space="preserve">. </w:t>
      </w:r>
    </w:p>
    <w:p w:rsidR="00817B67" w:rsidRDefault="00817B67" w:rsidP="000917D6"/>
    <w:p w:rsidR="00817B67" w:rsidRDefault="00817B67" w:rsidP="000917D6">
      <w:pPr>
        <w:spacing w:before="0"/>
        <w:rPr>
          <w:b/>
          <w:bCs/>
          <w:color w:val="000000" w:themeColor="text1"/>
          <w:szCs w:val="24"/>
          <w:lang w:eastAsia="en-AU"/>
        </w:rPr>
      </w:pPr>
      <w:r>
        <w:br w:type="page"/>
      </w:r>
    </w:p>
    <w:p w:rsidR="00F25AB2" w:rsidRDefault="00F25AB2" w:rsidP="000917D6">
      <w:pPr>
        <w:pStyle w:val="h1Chap"/>
        <w:spacing w:line="276" w:lineRule="auto"/>
      </w:pPr>
      <w:r>
        <w:lastRenderedPageBreak/>
        <w:t>Schedule 1</w:t>
      </w:r>
      <w:r>
        <w:tab/>
      </w:r>
    </w:p>
    <w:p w:rsidR="008F24FD" w:rsidRPr="00FE6611" w:rsidRDefault="00FE6611" w:rsidP="008F24FD">
      <w:pPr>
        <w:pStyle w:val="ESA4Section"/>
        <w:spacing w:line="276" w:lineRule="auto"/>
        <w:rPr>
          <w:b/>
          <w:sz w:val="36"/>
          <w:szCs w:val="36"/>
          <w:highlight w:val="yellow"/>
          <w:u w:val="none"/>
        </w:rPr>
      </w:pPr>
      <w:r w:rsidRPr="00FE6611">
        <w:rPr>
          <w:b/>
          <w:sz w:val="36"/>
          <w:szCs w:val="36"/>
          <w:u w:val="none"/>
        </w:rPr>
        <w:t xml:space="preserve">Amendments </w:t>
      </w:r>
      <w:r w:rsidR="00E1619E">
        <w:rPr>
          <w:b/>
          <w:sz w:val="36"/>
          <w:szCs w:val="36"/>
          <w:u w:val="none"/>
        </w:rPr>
        <w:t xml:space="preserve">of </w:t>
      </w:r>
      <w:r w:rsidRPr="00FE6611">
        <w:rPr>
          <w:b/>
          <w:sz w:val="36"/>
          <w:szCs w:val="36"/>
          <w:u w:val="none"/>
        </w:rPr>
        <w:t xml:space="preserve">the </w:t>
      </w:r>
      <w:r w:rsidRPr="00FE6611">
        <w:rPr>
          <w:b/>
          <w:bCs w:val="0"/>
          <w:i/>
          <w:iCs w:val="0"/>
          <w:kern w:val="36"/>
          <w:sz w:val="36"/>
          <w:szCs w:val="36"/>
          <w:u w:val="none"/>
        </w:rPr>
        <w:t>Carbon Credits (Carbon Farming Initiative—Industrial Electricity and Fuel Efficiency) Methodology Determination 2015</w:t>
      </w:r>
    </w:p>
    <w:p w:rsidR="00FE6611" w:rsidRDefault="00FE6611" w:rsidP="008F24FD">
      <w:pPr>
        <w:pStyle w:val="ESA4Section"/>
        <w:spacing w:line="276" w:lineRule="auto"/>
      </w:pPr>
    </w:p>
    <w:p w:rsidR="008F24FD" w:rsidRPr="000A44FE" w:rsidRDefault="008F24FD" w:rsidP="008F24FD">
      <w:pPr>
        <w:pStyle w:val="ESA4Section"/>
        <w:spacing w:line="276" w:lineRule="auto"/>
      </w:pPr>
      <w:r>
        <w:t>[1]</w:t>
      </w:r>
      <w:r>
        <w:tab/>
        <w:t>Section 5</w:t>
      </w:r>
    </w:p>
    <w:p w:rsidR="00E17071" w:rsidRDefault="00E17071" w:rsidP="008F24FD">
      <w:r>
        <w:t xml:space="preserve">Section 5 of the Determination defines a number terms used in the Determination. </w:t>
      </w:r>
    </w:p>
    <w:p w:rsidR="00E17071" w:rsidRDefault="008F24FD" w:rsidP="008F24FD">
      <w:r>
        <w:t xml:space="preserve">Item [1] amends section 5 of the Determination by inserting </w:t>
      </w:r>
      <w:r w:rsidR="00106F0E">
        <w:t xml:space="preserve">the following </w:t>
      </w:r>
      <w:r w:rsidR="00E17071">
        <w:t xml:space="preserve">two </w:t>
      </w:r>
      <w:r>
        <w:t>definition</w:t>
      </w:r>
      <w:r w:rsidR="00664057">
        <w:t>s</w:t>
      </w:r>
      <w:r>
        <w:t xml:space="preserve">. </w:t>
      </w:r>
    </w:p>
    <w:p w:rsidR="00C55B89" w:rsidRDefault="00C55B89" w:rsidP="0007283B">
      <w:pPr>
        <w:rPr>
          <w:b/>
          <w:i/>
        </w:rPr>
      </w:pPr>
    </w:p>
    <w:p w:rsidR="0007283B" w:rsidRPr="0007283B" w:rsidRDefault="008F24FD" w:rsidP="0007283B">
      <w:r w:rsidRPr="00E17071">
        <w:rPr>
          <w:b/>
          <w:i/>
        </w:rPr>
        <w:t>Biomass</w:t>
      </w:r>
      <w:r>
        <w:t xml:space="preserve"> means organic matter other than </w:t>
      </w:r>
      <w:r w:rsidR="00D53A68">
        <w:t>fossil fuel</w:t>
      </w:r>
      <w:r>
        <w:t xml:space="preserve"> (e.g. </w:t>
      </w:r>
      <w:r w:rsidR="00D53A68">
        <w:t>coal, lignite, petroleum or natural gas</w:t>
      </w:r>
      <w:r>
        <w:t xml:space="preserve">) and </w:t>
      </w:r>
      <w:proofErr w:type="spellStart"/>
      <w:r>
        <w:t>biofuel</w:t>
      </w:r>
      <w:proofErr w:type="spellEnd"/>
      <w:r>
        <w:t xml:space="preserve"> (e.g. ethanol or biodiesel). </w:t>
      </w:r>
      <w:r w:rsidR="0007283B">
        <w:t xml:space="preserve"> </w:t>
      </w:r>
      <w:r w:rsidR="0007283B" w:rsidRPr="0007283B">
        <w:t xml:space="preserve">Fossil fuels are excluded to avoid any doubt that they are biomass due to the presence of organic matter. </w:t>
      </w:r>
      <w:proofErr w:type="spellStart"/>
      <w:r w:rsidR="0007283B" w:rsidRPr="0007283B">
        <w:t>Biofuels</w:t>
      </w:r>
      <w:proofErr w:type="spellEnd"/>
      <w:r w:rsidR="0007283B" w:rsidRPr="0007283B">
        <w:t xml:space="preserve"> are excluded because for these processed fuels, often used in </w:t>
      </w:r>
      <w:proofErr w:type="gramStart"/>
      <w:r w:rsidR="0007283B" w:rsidRPr="0007283B">
        <w:t>transport,</w:t>
      </w:r>
      <w:proofErr w:type="gramEnd"/>
      <w:r w:rsidR="0007283B" w:rsidRPr="0007283B">
        <w:t xml:space="preserve"> it is generally impractical for a proponent to verify the sources of the fuels.</w:t>
      </w:r>
    </w:p>
    <w:p w:rsidR="0007283B" w:rsidRDefault="0007283B" w:rsidP="008F24FD"/>
    <w:p w:rsidR="00A20DB2" w:rsidRDefault="007211B7" w:rsidP="00A20DB2">
      <w:r>
        <w:rPr>
          <w:b/>
          <w:i/>
        </w:rPr>
        <w:t xml:space="preserve">Eligible renewable energy </w:t>
      </w:r>
      <w:r w:rsidR="00E17071" w:rsidRPr="00E17071">
        <w:rPr>
          <w:b/>
          <w:i/>
        </w:rPr>
        <w:t>source</w:t>
      </w:r>
      <w:r w:rsidR="00E17071">
        <w:t xml:space="preserve"> means</w:t>
      </w:r>
      <w:r w:rsidR="008F24FD">
        <w:t xml:space="preserve"> </w:t>
      </w:r>
      <w:r w:rsidR="00E17071">
        <w:t xml:space="preserve">an eligible renewable energy source for the purpose of the </w:t>
      </w:r>
      <w:r w:rsidR="00E17071" w:rsidRPr="00FE6611">
        <w:rPr>
          <w:i/>
        </w:rPr>
        <w:t>Renewable Energy (Electricity) Act</w:t>
      </w:r>
      <w:r w:rsidR="00E17071">
        <w:t xml:space="preserve"> </w:t>
      </w:r>
      <w:r w:rsidR="00E17071" w:rsidRPr="001E617E">
        <w:rPr>
          <w:i/>
        </w:rPr>
        <w:t>2000</w:t>
      </w:r>
      <w:r w:rsidR="00E17071">
        <w:t xml:space="preserve">. </w:t>
      </w:r>
      <w:r w:rsidR="00A20DB2" w:rsidRPr="00A20DB2">
        <w:t xml:space="preserve">That concept is defined in section 17 of the </w:t>
      </w:r>
      <w:r w:rsidR="00A20DB2" w:rsidRPr="00FE6611">
        <w:rPr>
          <w:i/>
        </w:rPr>
        <w:t>Renewable Energy (Electricity) Act</w:t>
      </w:r>
      <w:r w:rsidR="00A20DB2">
        <w:t xml:space="preserve"> </w:t>
      </w:r>
      <w:r w:rsidR="00A20DB2" w:rsidRPr="001E617E">
        <w:rPr>
          <w:i/>
        </w:rPr>
        <w:t>2000</w:t>
      </w:r>
      <w:r w:rsidR="00A20DB2">
        <w:t xml:space="preserve"> </w:t>
      </w:r>
      <w:r w:rsidR="00A20DB2" w:rsidRPr="00A20DB2">
        <w:t xml:space="preserve">and is subject to a number of regulations which include additional requirements for whether a particular source is eligible or not under the </w:t>
      </w:r>
      <w:r w:rsidR="00314225">
        <w:t>Renewable Energy Target (</w:t>
      </w:r>
      <w:r w:rsidR="00A20DB2" w:rsidRPr="00A20DB2">
        <w:t>RET</w:t>
      </w:r>
      <w:r w:rsidR="00314225">
        <w:t>)</w:t>
      </w:r>
      <w:r w:rsidR="00A20DB2" w:rsidRPr="00A20DB2">
        <w:t xml:space="preserve"> scheme.</w:t>
      </w:r>
      <w:r w:rsidR="00A20DB2">
        <w:t xml:space="preserve"> </w:t>
      </w:r>
    </w:p>
    <w:p w:rsidR="008F24FD" w:rsidRDefault="008F24FD" w:rsidP="008F24FD"/>
    <w:p w:rsidR="008F24FD" w:rsidRPr="009B64A1" w:rsidRDefault="008F24FD" w:rsidP="008F24FD">
      <w:pPr>
        <w:pStyle w:val="ESA4Section"/>
        <w:spacing w:line="276" w:lineRule="auto"/>
      </w:pPr>
      <w:r w:rsidRPr="009B64A1">
        <w:t>[2]</w:t>
      </w:r>
      <w:r w:rsidRPr="009B64A1">
        <w:tab/>
        <w:t>At the end of subsection 11(3)</w:t>
      </w:r>
    </w:p>
    <w:p w:rsidR="00E1619E" w:rsidRDefault="00613564" w:rsidP="008F24FD">
      <w:r>
        <w:t>Subsection 11(3) of the Determination set</w:t>
      </w:r>
      <w:r w:rsidR="001A1DDF">
        <w:t>s</w:t>
      </w:r>
      <w:r>
        <w:t xml:space="preserve"> out a list of activities that are not eligible </w:t>
      </w:r>
      <w:r w:rsidR="001D0102">
        <w:t xml:space="preserve">under </w:t>
      </w:r>
      <w:r>
        <w:t xml:space="preserve">the Determination. </w:t>
      </w:r>
      <w:r w:rsidR="008F24FD">
        <w:t xml:space="preserve">Item [2] amends </w:t>
      </w:r>
      <w:r>
        <w:t>sub</w:t>
      </w:r>
      <w:r w:rsidR="008F24FD">
        <w:t>section 11</w:t>
      </w:r>
      <w:r>
        <w:t>(3</w:t>
      </w:r>
      <w:r w:rsidR="007B4635">
        <w:t>) of</w:t>
      </w:r>
      <w:r w:rsidR="008F24FD">
        <w:t xml:space="preserve"> the Determination by adding the new paragraphs </w:t>
      </w:r>
      <w:r w:rsidR="008F24FD" w:rsidRPr="00AC1A6E">
        <w:t>11(3</w:t>
      </w:r>
      <w:proofErr w:type="gramStart"/>
      <w:r w:rsidR="008F24FD" w:rsidRPr="00AC1A6E">
        <w:t>)(</w:t>
      </w:r>
      <w:proofErr w:type="gramEnd"/>
      <w:r w:rsidR="008F24FD" w:rsidRPr="00AC1A6E">
        <w:t>d)</w:t>
      </w:r>
      <w:r w:rsidR="000E7B70">
        <w:t xml:space="preserve"> and</w:t>
      </w:r>
      <w:r w:rsidR="002E249C">
        <w:t xml:space="preserve"> </w:t>
      </w:r>
      <w:r w:rsidR="008F24FD" w:rsidRPr="00AC1A6E">
        <w:t>11(3)(e)</w:t>
      </w:r>
      <w:r w:rsidR="000E7B70">
        <w:t>, as well as</w:t>
      </w:r>
      <w:r w:rsidR="00106F0E">
        <w:t xml:space="preserve"> the new</w:t>
      </w:r>
      <w:r w:rsidR="000E7B70">
        <w:t xml:space="preserve"> subparagraphs </w:t>
      </w:r>
      <w:r w:rsidR="002E249C" w:rsidRPr="00AC1A6E">
        <w:t>11(3)(f)</w:t>
      </w:r>
      <w:r w:rsidR="000E7B70">
        <w:t>(</w:t>
      </w:r>
      <w:proofErr w:type="spellStart"/>
      <w:r w:rsidR="000E7B70">
        <w:t>i</w:t>
      </w:r>
      <w:proofErr w:type="spellEnd"/>
      <w:r w:rsidR="000E7B70">
        <w:t xml:space="preserve">) and </w:t>
      </w:r>
      <w:r w:rsidR="000E7B70" w:rsidRPr="00AC1A6E">
        <w:t>11(3)(f)</w:t>
      </w:r>
      <w:r w:rsidR="000E7B70">
        <w:t xml:space="preserve">(ii) </w:t>
      </w:r>
      <w:r w:rsidR="008F24FD">
        <w:t xml:space="preserve">at the end of subsection </w:t>
      </w:r>
      <w:r w:rsidR="00361635">
        <w:t>11</w:t>
      </w:r>
      <w:r w:rsidR="008F24FD">
        <w:t xml:space="preserve">(3). </w:t>
      </w:r>
      <w:r w:rsidR="000E7B70">
        <w:t>These amendments add</w:t>
      </w:r>
      <w:r w:rsidR="002E249C">
        <w:t xml:space="preserve"> a number of </w:t>
      </w:r>
      <w:r w:rsidR="008F24FD">
        <w:t>types of activities to th</w:t>
      </w:r>
      <w:r w:rsidR="00751BDC">
        <w:t>is</w:t>
      </w:r>
      <w:r w:rsidR="008F24FD">
        <w:t xml:space="preserve"> list of </w:t>
      </w:r>
      <w:r w:rsidR="00751BDC">
        <w:t xml:space="preserve">ineligible </w:t>
      </w:r>
      <w:r w:rsidR="008F24FD">
        <w:t>activities</w:t>
      </w:r>
      <w:r w:rsidR="00EA67D1">
        <w:t xml:space="preserve"> in order to ensure consistent co</w:t>
      </w:r>
      <w:r w:rsidR="00106F0E">
        <w:t>verage of biomass with the RET s</w:t>
      </w:r>
      <w:r w:rsidR="00EA67D1">
        <w:t xml:space="preserve">cheme. </w:t>
      </w:r>
      <w:r w:rsidR="008F24FD">
        <w:t xml:space="preserve"> </w:t>
      </w:r>
    </w:p>
    <w:p w:rsidR="008F24FD" w:rsidRDefault="008F24FD" w:rsidP="008F24FD">
      <w:r>
        <w:t>Paragraph 11(3</w:t>
      </w:r>
      <w:proofErr w:type="gramStart"/>
      <w:r>
        <w:t>)(</w:t>
      </w:r>
      <w:proofErr w:type="gramEnd"/>
      <w:r w:rsidR="002E249C">
        <w:t>d</w:t>
      </w:r>
      <w:r>
        <w:t>) excludes activities that</w:t>
      </w:r>
      <w:r w:rsidR="00751BDC">
        <w:t xml:space="preserve"> directly</w:t>
      </w:r>
      <w:r>
        <w:t xml:space="preserve"> involve the use of biomass</w:t>
      </w:r>
      <w:r w:rsidR="001D0102">
        <w:t xml:space="preserve"> as an energy source where the biomass </w:t>
      </w:r>
      <w:r>
        <w:t xml:space="preserve">is not an eligible renewable energy source for the purposes of the </w:t>
      </w:r>
      <w:r w:rsidRPr="00AA4A31">
        <w:rPr>
          <w:i/>
        </w:rPr>
        <w:t>Renewable Energy (Electricity) Act 2000</w:t>
      </w:r>
      <w:r w:rsidRPr="00AA4A31">
        <w:t>. For example,</w:t>
      </w:r>
      <w:r>
        <w:t xml:space="preserve"> an </w:t>
      </w:r>
      <w:r w:rsidR="007B4635">
        <w:t>activity</w:t>
      </w:r>
      <w:r>
        <w:t xml:space="preserve"> involving </w:t>
      </w:r>
      <w:r w:rsidRPr="00AA4A31">
        <w:t xml:space="preserve">changing the fuel source for a furnace from coal to </w:t>
      </w:r>
      <w:r w:rsidR="00317228">
        <w:t xml:space="preserve">RET-ineligible biomass </w:t>
      </w:r>
      <w:r>
        <w:t xml:space="preserve">is not covered by the Determination. </w:t>
      </w:r>
    </w:p>
    <w:p w:rsidR="002E29B6" w:rsidRDefault="008F24FD" w:rsidP="00EC53EF">
      <w:r>
        <w:t>Paragraph11(3)(</w:t>
      </w:r>
      <w:r w:rsidR="00EC53EF">
        <w:t>e</w:t>
      </w:r>
      <w:r>
        <w:t xml:space="preserve">) excludes activities that </w:t>
      </w:r>
      <w:r w:rsidR="003C7587">
        <w:t>relate</w:t>
      </w:r>
      <w:r>
        <w:t xml:space="preserve"> to </w:t>
      </w:r>
      <w:r w:rsidR="00EC53EF">
        <w:t xml:space="preserve">the use of off-grid electricity, heat, steam or cooling that is produced using biomass </w:t>
      </w:r>
      <w:r w:rsidR="00FF48FC">
        <w:t xml:space="preserve">that </w:t>
      </w:r>
      <w:r w:rsidR="00EC53EF">
        <w:t xml:space="preserve">is not an eligible renewable energy source for the purposes of the </w:t>
      </w:r>
      <w:r w:rsidR="00EC53EF" w:rsidRPr="00AA4A31">
        <w:rPr>
          <w:i/>
        </w:rPr>
        <w:t>Renewable Energy (Electricity) Act 2000</w:t>
      </w:r>
      <w:r w:rsidR="00EC53EF" w:rsidRPr="00AA4A31">
        <w:t>.</w:t>
      </w:r>
      <w:r w:rsidR="00EC53EF">
        <w:t xml:space="preserve"> Paragraph</w:t>
      </w:r>
      <w:r w:rsidR="00A00899">
        <w:t xml:space="preserve"> </w:t>
      </w:r>
      <w:r w:rsidR="00EC53EF">
        <w:t xml:space="preserve">11(3)(e) </w:t>
      </w:r>
      <w:r w:rsidR="00AA3134">
        <w:t>excludes</w:t>
      </w:r>
      <w:r w:rsidR="00EC53EF">
        <w:t xml:space="preserve"> </w:t>
      </w:r>
      <w:r w:rsidR="00EC53EF" w:rsidRPr="00534F93">
        <w:rPr>
          <w:b/>
          <w:i/>
        </w:rPr>
        <w:lastRenderedPageBreak/>
        <w:t>implementations</w:t>
      </w:r>
      <w:r w:rsidR="00EC53EF">
        <w:t xml:space="preserve"> under which crediting </w:t>
      </w:r>
      <w:r w:rsidR="00AA3134">
        <w:t>will be</w:t>
      </w:r>
      <w:r w:rsidR="00EC53EF">
        <w:t xml:space="preserve"> sought for a reduction in emissions that comes about </w:t>
      </w:r>
      <w:r w:rsidR="00AC1A6E">
        <w:t>by</w:t>
      </w:r>
      <w:r w:rsidR="00EC53EF">
        <w:t xml:space="preserve"> switching from electricity, heat, steam or cooling that is generated from one source, to off-grid electricity, heat, steam or cooling that is generated from </w:t>
      </w:r>
      <w:r w:rsidR="00AC1A6E">
        <w:t>RET-ineligible biomass.</w:t>
      </w:r>
      <w:r w:rsidR="00EC53EF">
        <w:t xml:space="preserve"> For example, a project proponent could </w:t>
      </w:r>
      <w:r w:rsidR="00FF48FC">
        <w:t>not establish an activity that involves switching from grid-supplied electricity, to electricity supplied from a</w:t>
      </w:r>
      <w:r w:rsidR="00AA3134">
        <w:t>n off-grid generator</w:t>
      </w:r>
      <w:r w:rsidR="00D36121">
        <w:t xml:space="preserve"> </w:t>
      </w:r>
      <w:r w:rsidR="00FF48FC">
        <w:t>that</w:t>
      </w:r>
      <w:r w:rsidR="00AA3134">
        <w:t xml:space="preserve"> </w:t>
      </w:r>
      <w:r w:rsidR="00FF48FC">
        <w:t>uses RET-ineligible biomass</w:t>
      </w:r>
      <w:r w:rsidR="00FF48FC" w:rsidRPr="00AA4A31">
        <w:t>.</w:t>
      </w:r>
      <w:r w:rsidR="002E29B6">
        <w:t xml:space="preserve"> </w:t>
      </w:r>
    </w:p>
    <w:p w:rsidR="00D36121" w:rsidRDefault="002E29B6" w:rsidP="00EC53EF">
      <w:r>
        <w:t>Similarly, the new paragraph 11(3)(e) would exclude implementations that seek to reduce emissions</w:t>
      </w:r>
      <w:r w:rsidR="005F609D">
        <w:t xml:space="preserve"> by moving from, for example, </w:t>
      </w:r>
      <w:r w:rsidR="005845DD">
        <w:t xml:space="preserve">a gas-generated heat source to </w:t>
      </w:r>
      <w:r>
        <w:t xml:space="preserve">the capture and utilisation of waste heat from a device that consumes RET-ineligible biomass. </w:t>
      </w:r>
    </w:p>
    <w:p w:rsidR="00334CCF" w:rsidRPr="0048465B" w:rsidRDefault="00AC4392" w:rsidP="00EC53EF">
      <w:r w:rsidRPr="0048465B">
        <w:t>In this Variation, off-</w:t>
      </w:r>
      <w:r w:rsidR="00AF7A3F">
        <w:t>grid</w:t>
      </w:r>
      <w:r w:rsidR="00AF7A3F" w:rsidRPr="0048465B">
        <w:t xml:space="preserve"> </w:t>
      </w:r>
      <w:r w:rsidRPr="0048465B">
        <w:t xml:space="preserve">electricity means the supply of electricity through a dedicated power line as opposed to the supply of electricity through an interconnected network of generators that </w:t>
      </w:r>
      <w:r w:rsidR="006F7628">
        <w:t>are</w:t>
      </w:r>
      <w:r w:rsidRPr="0048465B">
        <w:t xml:space="preserve"> governed by the ordinary market arrangements of the major grids</w:t>
      </w:r>
      <w:r w:rsidR="00E3282A" w:rsidRPr="0048465B">
        <w:t xml:space="preserve">. </w:t>
      </w:r>
    </w:p>
    <w:p w:rsidR="00AC4392" w:rsidRDefault="00E3282A" w:rsidP="00EC53EF">
      <w:r w:rsidRPr="0048465B">
        <w:t>O</w:t>
      </w:r>
      <w:r w:rsidR="00334CCF" w:rsidRPr="0048465B">
        <w:t>ff-</w:t>
      </w:r>
      <w:r w:rsidR="00AF7A3F">
        <w:t>grid</w:t>
      </w:r>
      <w:r w:rsidR="00AF7A3F" w:rsidRPr="0048465B">
        <w:t xml:space="preserve"> </w:t>
      </w:r>
      <w:r w:rsidRPr="0048465B">
        <w:t>electricity is intended to cover electricity sourced directly from a generator even if there are other users of the electricity. For example, electricity would be considered off-</w:t>
      </w:r>
      <w:r w:rsidR="00AF7A3F">
        <w:t>grid</w:t>
      </w:r>
      <w:r w:rsidR="00AF7A3F" w:rsidRPr="0048465B">
        <w:t xml:space="preserve"> </w:t>
      </w:r>
      <w:r w:rsidRPr="0048465B">
        <w:t>electricity if it were produced at the site of the implementation or at a nearby site.</w:t>
      </w:r>
      <w:r>
        <w:t xml:space="preserve"> </w:t>
      </w:r>
    </w:p>
    <w:p w:rsidR="006465F7" w:rsidRDefault="00FF48FC" w:rsidP="006465F7">
      <w:r>
        <w:t>Subparagraph 11(3)(f)(</w:t>
      </w:r>
      <w:proofErr w:type="spellStart"/>
      <w:r>
        <w:t>i</w:t>
      </w:r>
      <w:proofErr w:type="spellEnd"/>
      <w:r>
        <w:t>) excludes activities</w:t>
      </w:r>
      <w:r w:rsidR="00574B6F">
        <w:t xml:space="preserve"> that </w:t>
      </w:r>
      <w:r w:rsidR="006465F7">
        <w:t>relate</w:t>
      </w:r>
      <w:r w:rsidR="00574B6F">
        <w:t xml:space="preserve"> to</w:t>
      </w:r>
      <w:r w:rsidR="006465F7" w:rsidRPr="006465F7">
        <w:rPr>
          <w:b/>
          <w:i/>
        </w:rPr>
        <w:t xml:space="preserve"> </w:t>
      </w:r>
      <w:r w:rsidR="006465F7" w:rsidRPr="00355F22">
        <w:rPr>
          <w:b/>
          <w:i/>
        </w:rPr>
        <w:t>energy-consuming equipment</w:t>
      </w:r>
      <w:r w:rsidR="006465F7">
        <w:t xml:space="preserve"> if the equipment utilises, as an energy source, a form of biomass that is not considered an eligible renewable energy source for the purposes of the </w:t>
      </w:r>
      <w:r w:rsidR="006465F7" w:rsidRPr="007A36F3">
        <w:rPr>
          <w:i/>
        </w:rPr>
        <w:t>Renewable Energy (Electricity) Act 2000</w:t>
      </w:r>
      <w:r w:rsidR="006465F7">
        <w:t xml:space="preserve">. For example, an activity that improves the efficiency of a </w:t>
      </w:r>
      <w:r w:rsidR="006465F7" w:rsidRPr="0069262F">
        <w:t xml:space="preserve">furnace or boiler fuelled </w:t>
      </w:r>
      <w:r w:rsidR="00DD546B">
        <w:t>by RET</w:t>
      </w:r>
      <w:r w:rsidR="00965CF4">
        <w:t xml:space="preserve">-ineligible biomass </w:t>
      </w:r>
      <w:r w:rsidR="006465F7" w:rsidRPr="0069262F">
        <w:t xml:space="preserve">would not be </w:t>
      </w:r>
      <w:r w:rsidR="006465F7">
        <w:t xml:space="preserve">an eligible activity under </w:t>
      </w:r>
      <w:r w:rsidR="006465F7" w:rsidRPr="0069262F">
        <w:t>the</w:t>
      </w:r>
      <w:r w:rsidR="006465F7">
        <w:t xml:space="preserve"> Determination. </w:t>
      </w:r>
    </w:p>
    <w:p w:rsidR="006465F7" w:rsidRDefault="006465F7" w:rsidP="006465F7">
      <w:r>
        <w:t xml:space="preserve">Subparagraph 11(3)(f)(ii) excludes activities that relate to </w:t>
      </w:r>
      <w:r w:rsidRPr="006465F7">
        <w:rPr>
          <w:i/>
        </w:rPr>
        <w:t>energy-consuming equipment</w:t>
      </w:r>
      <w:r>
        <w:rPr>
          <w:i/>
        </w:rPr>
        <w:t xml:space="preserve"> </w:t>
      </w:r>
      <w:r w:rsidRPr="006465F7">
        <w:t>that</w:t>
      </w:r>
      <w:r>
        <w:rPr>
          <w:i/>
        </w:rPr>
        <w:t xml:space="preserve"> </w:t>
      </w:r>
      <w:r w:rsidRPr="006465F7">
        <w:t>receives</w:t>
      </w:r>
      <w:r>
        <w:t xml:space="preserve"> </w:t>
      </w:r>
      <w:r w:rsidR="00965CF4">
        <w:t xml:space="preserve">off-grid </w:t>
      </w:r>
      <w:r>
        <w:t xml:space="preserve">electricity, heat, steam or cooling that is produced using biomass that is not an eligible renewable energy source for the purposes of the </w:t>
      </w:r>
      <w:r w:rsidRPr="00AA4A31">
        <w:rPr>
          <w:i/>
        </w:rPr>
        <w:t>Renewable Energy (Electricity) Act 2000</w:t>
      </w:r>
      <w:r w:rsidRPr="00AA4A31">
        <w:t>. For example,</w:t>
      </w:r>
      <w:r>
        <w:t xml:space="preserve"> an activity that involves upgrading a cooling system for a cold storage facility would not be eligible if electricity or cooling were supplied to the cooling system by a tri-generation unit that consumes</w:t>
      </w:r>
      <w:r w:rsidR="00965CF4">
        <w:t xml:space="preserve"> RET-ineligible biomass. </w:t>
      </w:r>
    </w:p>
    <w:p w:rsidR="008F24FD" w:rsidRDefault="00D236EF" w:rsidP="00D236EF">
      <w:r w:rsidRPr="00D236EF">
        <w:t>These</w:t>
      </w:r>
      <w:r w:rsidR="0071050A">
        <w:t xml:space="preserve"> amendments align the Determination’s coverage of biomass wi</w:t>
      </w:r>
      <w:r w:rsidR="00355F22">
        <w:t xml:space="preserve">th the </w:t>
      </w:r>
      <w:r w:rsidR="00314225">
        <w:t>RET</w:t>
      </w:r>
      <w:r w:rsidR="00355F22">
        <w:t xml:space="preserve"> s</w:t>
      </w:r>
      <w:r w:rsidR="0071050A">
        <w:t>cheme.</w:t>
      </w:r>
      <w:r w:rsidR="00D85F76">
        <w:t xml:space="preserve"> The RET scheme covers a number of forms of biomass, and applies several tests and </w:t>
      </w:r>
      <w:r w:rsidR="00756903">
        <w:t>constraints</w:t>
      </w:r>
      <w:r w:rsidR="00D85F76">
        <w:t xml:space="preserve"> to </w:t>
      </w:r>
      <w:r w:rsidR="00C4225D">
        <w:t>limit the risk of</w:t>
      </w:r>
      <w:r w:rsidR="00D85F76">
        <w:t xml:space="preserve"> adverse impacts</w:t>
      </w:r>
      <w:r w:rsidR="00A6175D">
        <w:t xml:space="preserve"> in relation to </w:t>
      </w:r>
      <w:r w:rsidR="00C4225D">
        <w:t>their</w:t>
      </w:r>
      <w:r w:rsidR="00A6175D">
        <w:t xml:space="preserve"> use</w:t>
      </w:r>
      <w:r w:rsidR="00D85F76">
        <w:t xml:space="preserve">. </w:t>
      </w:r>
      <w:r w:rsidR="0071050A">
        <w:t>Comparable provisions in other relevant methodology determinations will also align with these requirements.</w:t>
      </w:r>
    </w:p>
    <w:p w:rsidR="00613564" w:rsidRDefault="00613564" w:rsidP="008F24FD"/>
    <w:p w:rsidR="008F24FD" w:rsidRPr="009B64A1" w:rsidRDefault="008F24FD" w:rsidP="008F24FD">
      <w:pPr>
        <w:rPr>
          <w:u w:val="single"/>
        </w:rPr>
      </w:pPr>
      <w:r w:rsidRPr="009B64A1">
        <w:rPr>
          <w:u w:val="single"/>
        </w:rPr>
        <w:t>[3]</w:t>
      </w:r>
      <w:r w:rsidRPr="009B64A1">
        <w:rPr>
          <w:u w:val="single"/>
        </w:rPr>
        <w:tab/>
      </w:r>
      <w:r w:rsidR="00477FB0">
        <w:rPr>
          <w:u w:val="single"/>
        </w:rPr>
        <w:t>Subp</w:t>
      </w:r>
      <w:r w:rsidRPr="009B64A1">
        <w:rPr>
          <w:u w:val="single"/>
        </w:rPr>
        <w:t>aragraph 13</w:t>
      </w:r>
      <w:r>
        <w:rPr>
          <w:u w:val="single"/>
        </w:rPr>
        <w:t>(1</w:t>
      </w:r>
      <w:proofErr w:type="gramStart"/>
      <w:r>
        <w:rPr>
          <w:u w:val="single"/>
        </w:rPr>
        <w:t>)</w:t>
      </w:r>
      <w:r w:rsidRPr="009B64A1">
        <w:rPr>
          <w:u w:val="single"/>
        </w:rPr>
        <w:t>(</w:t>
      </w:r>
      <w:proofErr w:type="gramEnd"/>
      <w:r w:rsidRPr="009B64A1">
        <w:rPr>
          <w:u w:val="single"/>
        </w:rPr>
        <w:t>a)(ii)</w:t>
      </w:r>
    </w:p>
    <w:p w:rsidR="008F24FD" w:rsidRDefault="002D31BC" w:rsidP="008F24FD">
      <w:r>
        <w:t>Item [3] adds the word ‘and’</w:t>
      </w:r>
      <w:r w:rsidR="008F24FD">
        <w:t xml:space="preserve"> to connect </w:t>
      </w:r>
      <w:r w:rsidR="00477FB0">
        <w:t>sub</w:t>
      </w:r>
      <w:r w:rsidR="008F24FD">
        <w:t>paragraph 13(1</w:t>
      </w:r>
      <w:proofErr w:type="gramStart"/>
      <w:r w:rsidR="008F24FD">
        <w:t>)(</w:t>
      </w:r>
      <w:proofErr w:type="gramEnd"/>
      <w:r w:rsidR="008F24FD">
        <w:t xml:space="preserve">a)(ii) and the new </w:t>
      </w:r>
      <w:r w:rsidR="00477FB0">
        <w:t>sub</w:t>
      </w:r>
      <w:r w:rsidR="008F24FD">
        <w:t xml:space="preserve">paragraph 13(1)(a)(iii). </w:t>
      </w:r>
    </w:p>
    <w:p w:rsidR="008F24FD" w:rsidRPr="000A44FE" w:rsidRDefault="008F24FD" w:rsidP="008F24FD"/>
    <w:p w:rsidR="008F24FD" w:rsidRPr="009B64A1" w:rsidRDefault="008F24FD" w:rsidP="008F24FD">
      <w:pPr>
        <w:rPr>
          <w:u w:val="single"/>
        </w:rPr>
      </w:pPr>
      <w:r w:rsidRPr="009B64A1">
        <w:rPr>
          <w:u w:val="single"/>
        </w:rPr>
        <w:t>[4]</w:t>
      </w:r>
      <w:r w:rsidRPr="009B64A1">
        <w:rPr>
          <w:u w:val="single"/>
        </w:rPr>
        <w:tab/>
        <w:t xml:space="preserve">After </w:t>
      </w:r>
      <w:r w:rsidR="00477FB0">
        <w:rPr>
          <w:u w:val="single"/>
        </w:rPr>
        <w:t>sub</w:t>
      </w:r>
      <w:r w:rsidRPr="009B64A1">
        <w:rPr>
          <w:u w:val="single"/>
        </w:rPr>
        <w:t>paragraph 13</w:t>
      </w:r>
      <w:r>
        <w:rPr>
          <w:u w:val="single"/>
        </w:rPr>
        <w:t>(1</w:t>
      </w:r>
      <w:proofErr w:type="gramStart"/>
      <w:r>
        <w:rPr>
          <w:u w:val="single"/>
        </w:rPr>
        <w:t>)</w:t>
      </w:r>
      <w:r w:rsidRPr="009B64A1">
        <w:rPr>
          <w:u w:val="single"/>
        </w:rPr>
        <w:t>(</w:t>
      </w:r>
      <w:proofErr w:type="gramEnd"/>
      <w:r w:rsidRPr="009B64A1">
        <w:rPr>
          <w:u w:val="single"/>
        </w:rPr>
        <w:t>a)(ii)</w:t>
      </w:r>
    </w:p>
    <w:p w:rsidR="008F24FD" w:rsidRDefault="00D16C73" w:rsidP="008F24FD">
      <w:proofErr w:type="gramStart"/>
      <w:r>
        <w:lastRenderedPageBreak/>
        <w:t xml:space="preserve">Section 13 of the Determination sets out the </w:t>
      </w:r>
      <w:r w:rsidR="007B4635">
        <w:t>requirements</w:t>
      </w:r>
      <w:r>
        <w:t xml:space="preserve"> for information that must be included in an application for declaration </w:t>
      </w:r>
      <w:r w:rsidR="00044C6F">
        <w:t xml:space="preserve">of </w:t>
      </w:r>
      <w:r>
        <w:t>a project.</w:t>
      </w:r>
      <w:proofErr w:type="gramEnd"/>
      <w:r>
        <w:t xml:space="preserve"> </w:t>
      </w:r>
      <w:r w:rsidR="008F24FD">
        <w:t xml:space="preserve">Item [4] amends </w:t>
      </w:r>
      <w:r>
        <w:t xml:space="preserve">section 13 </w:t>
      </w:r>
      <w:r w:rsidR="005863D1">
        <w:t xml:space="preserve">of </w:t>
      </w:r>
      <w:r w:rsidR="008F24FD">
        <w:t xml:space="preserve">the Determination by inserting the new </w:t>
      </w:r>
      <w:r w:rsidR="00477FB0">
        <w:t>sub</w:t>
      </w:r>
      <w:r w:rsidR="008F24FD">
        <w:t>paragraph 13(1</w:t>
      </w:r>
      <w:proofErr w:type="gramStart"/>
      <w:r w:rsidR="008F24FD">
        <w:t>)(</w:t>
      </w:r>
      <w:proofErr w:type="gramEnd"/>
      <w:r w:rsidR="008F24FD">
        <w:t xml:space="preserve">a)(iii) after </w:t>
      </w:r>
      <w:r w:rsidR="00477FB0">
        <w:t>sub</w:t>
      </w:r>
      <w:r w:rsidR="008F24FD">
        <w:t xml:space="preserve">paragraph 13(1)(a)(ii). The new </w:t>
      </w:r>
      <w:r w:rsidR="00477FB0">
        <w:t>sub</w:t>
      </w:r>
      <w:r w:rsidR="008F24FD">
        <w:t>paragraph 13(1</w:t>
      </w:r>
      <w:proofErr w:type="gramStart"/>
      <w:r w:rsidR="008F24FD">
        <w:t>)(</w:t>
      </w:r>
      <w:proofErr w:type="gramEnd"/>
      <w:r w:rsidR="008F24FD">
        <w:t xml:space="preserve">a)(iii) requires that, if biomass will be, or is likely to be, used in </w:t>
      </w:r>
      <w:r w:rsidR="008F24FD" w:rsidRPr="001619B6">
        <w:rPr>
          <w:b/>
          <w:i/>
        </w:rPr>
        <w:t>implementation equipment</w:t>
      </w:r>
      <w:r w:rsidR="00183197">
        <w:t xml:space="preserve"> as an energy source</w:t>
      </w:r>
      <w:r w:rsidR="008F24FD">
        <w:t xml:space="preserve">, </w:t>
      </w:r>
      <w:r w:rsidR="006D1FEE">
        <w:t>or used to produce off-grid electricity, heat, steam or cooling that will be use</w:t>
      </w:r>
      <w:r w:rsidR="007C09C9">
        <w:t>d</w:t>
      </w:r>
      <w:r w:rsidR="006D1FEE">
        <w:t xml:space="preserve"> by implementation equipment, </w:t>
      </w:r>
      <w:r w:rsidR="008F24FD">
        <w:t xml:space="preserve">a proponent must include a </w:t>
      </w:r>
      <w:r w:rsidR="00537F91">
        <w:t xml:space="preserve">declaration that </w:t>
      </w:r>
      <w:r w:rsidR="00183197">
        <w:t>the biomass will satisfy the definition of eligible renewable energy source</w:t>
      </w:r>
      <w:r w:rsidR="008F24FD">
        <w:t xml:space="preserve">. This information assists assessment of the application </w:t>
      </w:r>
      <w:r w:rsidR="00044C6F">
        <w:t xml:space="preserve">in relation to </w:t>
      </w:r>
      <w:r w:rsidR="008F24FD">
        <w:t>whether the biomass meets the eligibility requirements set out in the new paragraphs 11(3)(d) and 11(3)(e)</w:t>
      </w:r>
      <w:r w:rsidR="00881FA6">
        <w:t xml:space="preserve">, as well as </w:t>
      </w:r>
      <w:r w:rsidR="006D1FEE">
        <w:t>subparagraphs11(3)(f)</w:t>
      </w:r>
      <w:r w:rsidR="003B5690">
        <w:t>(</w:t>
      </w:r>
      <w:proofErr w:type="spellStart"/>
      <w:r w:rsidR="003B5690">
        <w:t>i</w:t>
      </w:r>
      <w:proofErr w:type="spellEnd"/>
      <w:r w:rsidR="003B5690">
        <w:t xml:space="preserve">) </w:t>
      </w:r>
      <w:r w:rsidR="006D1FEE">
        <w:t>and</w:t>
      </w:r>
      <w:r w:rsidR="003B5690">
        <w:t xml:space="preserve"> </w:t>
      </w:r>
      <w:r w:rsidR="006D1FEE">
        <w:t>11(3)(f)(ii)</w:t>
      </w:r>
      <w:r w:rsidR="008F24FD">
        <w:t xml:space="preserve">.   </w:t>
      </w:r>
    </w:p>
    <w:p w:rsidR="008F24FD" w:rsidRPr="000A44FE" w:rsidRDefault="008F24FD" w:rsidP="008F24FD"/>
    <w:p w:rsidR="0097177A" w:rsidRDefault="0097177A" w:rsidP="008F24FD">
      <w:pPr>
        <w:rPr>
          <w:u w:val="single"/>
        </w:rPr>
      </w:pPr>
      <w:r w:rsidRPr="008F24FD">
        <w:rPr>
          <w:u w:val="single"/>
        </w:rPr>
        <w:t>[5]</w:t>
      </w:r>
      <w:r w:rsidRPr="008F24FD">
        <w:rPr>
          <w:u w:val="single"/>
        </w:rPr>
        <w:tab/>
        <w:t>Subsection 51(5)</w:t>
      </w:r>
    </w:p>
    <w:p w:rsidR="00FD1059" w:rsidRPr="00FD1059" w:rsidRDefault="00FD1059" w:rsidP="008F24FD">
      <w:pPr>
        <w:rPr>
          <w:szCs w:val="24"/>
        </w:rPr>
      </w:pPr>
      <w:r w:rsidRPr="00FD1059">
        <w:rPr>
          <w:szCs w:val="24"/>
        </w:rPr>
        <w:t xml:space="preserve">Under sub-method 2 of the Determination, net abatement for an </w:t>
      </w:r>
      <w:r w:rsidRPr="00534F93">
        <w:rPr>
          <w:szCs w:val="24"/>
        </w:rPr>
        <w:t>implementation</w:t>
      </w:r>
      <w:r w:rsidRPr="00FD1059">
        <w:rPr>
          <w:szCs w:val="24"/>
        </w:rPr>
        <w:t xml:space="preserve"> is determined using an operating emissions model. </w:t>
      </w:r>
      <w:r w:rsidRPr="00201D81">
        <w:rPr>
          <w:szCs w:val="24"/>
        </w:rPr>
        <w:t>Decay factors</w:t>
      </w:r>
      <w:r w:rsidRPr="00FD1059">
        <w:rPr>
          <w:szCs w:val="24"/>
        </w:rPr>
        <w:t xml:space="preserve"> are applied to the </w:t>
      </w:r>
      <w:r w:rsidR="009C1CB9">
        <w:rPr>
          <w:szCs w:val="24"/>
        </w:rPr>
        <w:t xml:space="preserve">abatement </w:t>
      </w:r>
      <w:r w:rsidRPr="00FD1059">
        <w:rPr>
          <w:szCs w:val="24"/>
        </w:rPr>
        <w:t>calculation</w:t>
      </w:r>
      <w:r w:rsidR="009C1CB9">
        <w:rPr>
          <w:szCs w:val="24"/>
        </w:rPr>
        <w:t>s</w:t>
      </w:r>
      <w:r w:rsidRPr="00FD1059">
        <w:rPr>
          <w:szCs w:val="24"/>
        </w:rPr>
        <w:t xml:space="preserve"> to account for the </w:t>
      </w:r>
      <w:r w:rsidR="009C1CB9">
        <w:rPr>
          <w:szCs w:val="24"/>
        </w:rPr>
        <w:t>fact that reporting period energy use and associated emissions levels are modelled as opposed to directly measured.</w:t>
      </w:r>
      <w:r w:rsidRPr="00FD1059">
        <w:rPr>
          <w:szCs w:val="24"/>
        </w:rPr>
        <w:t xml:space="preserve"> These factors also account for the gradual reduction in the </w:t>
      </w:r>
      <w:r w:rsidR="00C013B5">
        <w:rPr>
          <w:szCs w:val="24"/>
        </w:rPr>
        <w:t>efficiency</w:t>
      </w:r>
      <w:r w:rsidR="00C013B5" w:rsidRPr="00FD1059">
        <w:rPr>
          <w:szCs w:val="24"/>
        </w:rPr>
        <w:t xml:space="preserve"> </w:t>
      </w:r>
      <w:r w:rsidRPr="00FD1059">
        <w:rPr>
          <w:szCs w:val="24"/>
        </w:rPr>
        <w:t>of equipment and process</w:t>
      </w:r>
      <w:r w:rsidR="00C013B5">
        <w:rPr>
          <w:szCs w:val="24"/>
        </w:rPr>
        <w:t>es</w:t>
      </w:r>
      <w:r w:rsidRPr="00FD1059">
        <w:rPr>
          <w:szCs w:val="24"/>
        </w:rPr>
        <w:t>.</w:t>
      </w:r>
    </w:p>
    <w:p w:rsidR="008F24FD" w:rsidRDefault="00FD1059" w:rsidP="008C77F1">
      <w:pPr>
        <w:rPr>
          <w:rFonts w:eastAsiaTheme="minorHAnsi"/>
          <w:szCs w:val="24"/>
        </w:rPr>
      </w:pPr>
      <w:r>
        <w:rPr>
          <w:rFonts w:eastAsiaTheme="minorHAnsi"/>
          <w:szCs w:val="24"/>
        </w:rPr>
        <w:t xml:space="preserve">Under </w:t>
      </w:r>
      <w:r w:rsidRPr="000B217A">
        <w:rPr>
          <w:rFonts w:eastAsiaTheme="minorHAnsi"/>
          <w:szCs w:val="24"/>
        </w:rPr>
        <w:t>section 51</w:t>
      </w:r>
      <w:r w:rsidR="002D31BC">
        <w:rPr>
          <w:rFonts w:eastAsiaTheme="minorHAnsi"/>
          <w:szCs w:val="24"/>
        </w:rPr>
        <w:t xml:space="preserve"> </w:t>
      </w:r>
      <w:r w:rsidRPr="000B217A">
        <w:rPr>
          <w:rFonts w:eastAsiaTheme="minorHAnsi"/>
          <w:szCs w:val="24"/>
        </w:rPr>
        <w:t>of the Determination</w:t>
      </w:r>
      <w:r>
        <w:rPr>
          <w:rFonts w:eastAsiaTheme="minorHAnsi"/>
          <w:szCs w:val="24"/>
        </w:rPr>
        <w:t>, d</w:t>
      </w:r>
      <w:r w:rsidR="008F24FD">
        <w:rPr>
          <w:rFonts w:eastAsiaTheme="minorHAnsi"/>
          <w:szCs w:val="24"/>
        </w:rPr>
        <w:t>ecay f</w:t>
      </w:r>
      <w:r w:rsidR="008F24FD" w:rsidRPr="000B217A">
        <w:rPr>
          <w:rFonts w:eastAsiaTheme="minorHAnsi"/>
          <w:szCs w:val="24"/>
        </w:rPr>
        <w:t xml:space="preserve">actors </w:t>
      </w:r>
      <w:r>
        <w:rPr>
          <w:rFonts w:eastAsiaTheme="minorHAnsi"/>
          <w:szCs w:val="24"/>
        </w:rPr>
        <w:t>can be</w:t>
      </w:r>
      <w:r w:rsidR="008F24FD" w:rsidRPr="000B217A">
        <w:rPr>
          <w:rFonts w:eastAsiaTheme="minorHAnsi"/>
          <w:szCs w:val="24"/>
        </w:rPr>
        <w:t xml:space="preserve"> calculated using either the default </w:t>
      </w:r>
      <w:r w:rsidR="008F24FD" w:rsidRPr="007F7E36">
        <w:rPr>
          <w:rFonts w:eastAsiaTheme="minorHAnsi"/>
          <w:b/>
          <w:i/>
          <w:szCs w:val="24"/>
        </w:rPr>
        <w:t>decay coefficients</w:t>
      </w:r>
      <w:r w:rsidR="008F24FD" w:rsidRPr="000B217A">
        <w:rPr>
          <w:rFonts w:eastAsiaTheme="minorHAnsi"/>
          <w:szCs w:val="24"/>
        </w:rPr>
        <w:t xml:space="preserve"> in the table in subsection 51(5) of the Determination, or through the use of a </w:t>
      </w:r>
      <w:r w:rsidR="008F24FD" w:rsidRPr="00201D81">
        <w:rPr>
          <w:rFonts w:eastAsiaTheme="minorHAnsi"/>
          <w:b/>
          <w:i/>
          <w:szCs w:val="24"/>
        </w:rPr>
        <w:t>persistence model tool</w:t>
      </w:r>
      <w:r w:rsidR="008F24FD" w:rsidRPr="000B217A">
        <w:rPr>
          <w:rFonts w:eastAsiaTheme="minorHAnsi"/>
          <w:szCs w:val="24"/>
        </w:rPr>
        <w:t xml:space="preserve"> published by the Department of the Environm</w:t>
      </w:r>
      <w:r>
        <w:rPr>
          <w:rFonts w:eastAsiaTheme="minorHAnsi"/>
          <w:szCs w:val="24"/>
        </w:rPr>
        <w:t>ent</w:t>
      </w:r>
      <w:r w:rsidR="008F24FD">
        <w:rPr>
          <w:rFonts w:eastAsiaTheme="minorHAnsi"/>
          <w:szCs w:val="24"/>
        </w:rPr>
        <w:t>.</w:t>
      </w:r>
      <w:r w:rsidR="00513741">
        <w:rPr>
          <w:rFonts w:eastAsiaTheme="minorHAnsi"/>
          <w:szCs w:val="24"/>
        </w:rPr>
        <w:t xml:space="preserve"> The table in subsection </w:t>
      </w:r>
      <w:r w:rsidR="008C77F1">
        <w:rPr>
          <w:rFonts w:eastAsiaTheme="minorHAnsi"/>
          <w:szCs w:val="24"/>
        </w:rPr>
        <w:t xml:space="preserve">51(5) covers seven </w:t>
      </w:r>
      <w:r w:rsidR="007F7E36" w:rsidRPr="007F7E36">
        <w:rPr>
          <w:rFonts w:eastAsiaTheme="minorHAnsi"/>
          <w:b/>
          <w:i/>
          <w:szCs w:val="24"/>
        </w:rPr>
        <w:t xml:space="preserve">decay coefficient </w:t>
      </w:r>
      <w:r w:rsidR="008C77F1" w:rsidRPr="007F7E36">
        <w:rPr>
          <w:rFonts w:eastAsiaTheme="minorHAnsi"/>
          <w:b/>
          <w:i/>
          <w:szCs w:val="24"/>
        </w:rPr>
        <w:t>years</w:t>
      </w:r>
      <w:r w:rsidR="008C77F1">
        <w:rPr>
          <w:rFonts w:eastAsiaTheme="minorHAnsi"/>
          <w:szCs w:val="24"/>
        </w:rPr>
        <w:t xml:space="preserve"> and provides a </w:t>
      </w:r>
      <w:r w:rsidR="00C013B5">
        <w:rPr>
          <w:rFonts w:eastAsiaTheme="minorHAnsi"/>
          <w:szCs w:val="24"/>
        </w:rPr>
        <w:t>corresponding decay coefficient</w:t>
      </w:r>
      <w:r w:rsidR="008C77F1">
        <w:rPr>
          <w:rFonts w:eastAsiaTheme="minorHAnsi"/>
          <w:szCs w:val="24"/>
        </w:rPr>
        <w:t xml:space="preserve"> for each year. I</w:t>
      </w:r>
      <w:r w:rsidR="008F24FD" w:rsidRPr="000B217A">
        <w:rPr>
          <w:rFonts w:eastAsiaTheme="minorHAnsi"/>
          <w:szCs w:val="24"/>
        </w:rPr>
        <w:t xml:space="preserve">n a very limited set of circumstances, a project could </w:t>
      </w:r>
      <w:r w:rsidR="008C77F1">
        <w:rPr>
          <w:rFonts w:eastAsiaTheme="minorHAnsi"/>
          <w:szCs w:val="24"/>
        </w:rPr>
        <w:t xml:space="preserve">go beyond the seven year period covered by the table </w:t>
      </w:r>
      <w:r w:rsidR="008A6E22">
        <w:rPr>
          <w:rFonts w:eastAsiaTheme="minorHAnsi"/>
          <w:szCs w:val="24"/>
        </w:rPr>
        <w:t>by</w:t>
      </w:r>
      <w:r w:rsidR="008C77F1">
        <w:rPr>
          <w:rFonts w:eastAsiaTheme="minorHAnsi"/>
          <w:szCs w:val="24"/>
        </w:rPr>
        <w:t xml:space="preserve"> </w:t>
      </w:r>
      <w:r w:rsidR="008F24FD" w:rsidRPr="000B217A">
        <w:rPr>
          <w:rFonts w:eastAsiaTheme="minorHAnsi"/>
          <w:szCs w:val="24"/>
        </w:rPr>
        <w:t xml:space="preserve">up to 18 months </w:t>
      </w:r>
      <w:r w:rsidR="008F24FD">
        <w:rPr>
          <w:rFonts w:eastAsiaTheme="minorHAnsi"/>
          <w:szCs w:val="24"/>
        </w:rPr>
        <w:t xml:space="preserve">at the end </w:t>
      </w:r>
      <w:r w:rsidR="008F24FD" w:rsidRPr="000B217A">
        <w:rPr>
          <w:rFonts w:eastAsiaTheme="minorHAnsi"/>
          <w:szCs w:val="24"/>
        </w:rPr>
        <w:t xml:space="preserve">of </w:t>
      </w:r>
      <w:r w:rsidR="008C77F1">
        <w:rPr>
          <w:rFonts w:eastAsiaTheme="minorHAnsi"/>
          <w:szCs w:val="24"/>
        </w:rPr>
        <w:t>its</w:t>
      </w:r>
      <w:r w:rsidR="008F24FD" w:rsidRPr="000B217A">
        <w:rPr>
          <w:rFonts w:eastAsiaTheme="minorHAnsi"/>
          <w:szCs w:val="24"/>
        </w:rPr>
        <w:t xml:space="preserve"> crediting period. This </w:t>
      </w:r>
      <w:r w:rsidR="008C77F1">
        <w:rPr>
          <w:rFonts w:eastAsiaTheme="minorHAnsi"/>
          <w:szCs w:val="24"/>
        </w:rPr>
        <w:t>would</w:t>
      </w:r>
      <w:r w:rsidR="008F24FD" w:rsidRPr="000B217A">
        <w:rPr>
          <w:rFonts w:eastAsiaTheme="minorHAnsi"/>
          <w:szCs w:val="24"/>
        </w:rPr>
        <w:t xml:space="preserve"> occur only if all of the following circumstance</w:t>
      </w:r>
      <w:r w:rsidR="008F24FD">
        <w:rPr>
          <w:rFonts w:eastAsiaTheme="minorHAnsi"/>
          <w:szCs w:val="24"/>
        </w:rPr>
        <w:t>s</w:t>
      </w:r>
      <w:r w:rsidR="008F24FD" w:rsidRPr="000B217A">
        <w:rPr>
          <w:rFonts w:eastAsiaTheme="minorHAnsi"/>
          <w:szCs w:val="24"/>
        </w:rPr>
        <w:t xml:space="preserve"> arise</w:t>
      </w:r>
      <w:r w:rsidR="008F24FD">
        <w:rPr>
          <w:rFonts w:eastAsiaTheme="minorHAnsi"/>
          <w:szCs w:val="24"/>
        </w:rPr>
        <w:t>:</w:t>
      </w:r>
    </w:p>
    <w:p w:rsidR="008F24FD" w:rsidRPr="000B217A" w:rsidRDefault="008F24FD" w:rsidP="008F24FD">
      <w:pPr>
        <w:pStyle w:val="ListParagraph"/>
        <w:numPr>
          <w:ilvl w:val="0"/>
          <w:numId w:val="34"/>
        </w:numPr>
        <w:autoSpaceDE w:val="0"/>
        <w:autoSpaceDN w:val="0"/>
        <w:adjustRightInd w:val="0"/>
        <w:spacing w:before="0"/>
        <w:contextualSpacing/>
        <w:rPr>
          <w:rFonts w:ascii="Times New Roman" w:eastAsiaTheme="minorHAnsi" w:hAnsi="Times New Roman"/>
          <w:sz w:val="24"/>
          <w:szCs w:val="24"/>
        </w:rPr>
      </w:pPr>
      <w:r w:rsidRPr="000B217A">
        <w:rPr>
          <w:rFonts w:ascii="Times New Roman" w:eastAsiaTheme="minorHAnsi" w:hAnsi="Times New Roman"/>
          <w:sz w:val="24"/>
          <w:szCs w:val="24"/>
        </w:rPr>
        <w:t>sub-method 2 is used;</w:t>
      </w:r>
    </w:p>
    <w:p w:rsidR="008F24FD" w:rsidRPr="000B217A" w:rsidRDefault="008F24FD" w:rsidP="008F24FD">
      <w:pPr>
        <w:pStyle w:val="ListParagraph"/>
        <w:numPr>
          <w:ilvl w:val="0"/>
          <w:numId w:val="34"/>
        </w:numPr>
        <w:autoSpaceDE w:val="0"/>
        <w:autoSpaceDN w:val="0"/>
        <w:adjustRightInd w:val="0"/>
        <w:spacing w:before="0"/>
        <w:contextualSpacing/>
        <w:rPr>
          <w:rFonts w:ascii="Times New Roman" w:eastAsiaTheme="minorHAnsi" w:hAnsi="Times New Roman"/>
          <w:sz w:val="24"/>
          <w:szCs w:val="24"/>
        </w:rPr>
      </w:pPr>
      <w:r>
        <w:rPr>
          <w:rFonts w:ascii="Times New Roman" w:eastAsiaTheme="minorHAnsi" w:hAnsi="Times New Roman"/>
          <w:sz w:val="24"/>
          <w:szCs w:val="24"/>
        </w:rPr>
        <w:t>t</w:t>
      </w:r>
      <w:r w:rsidRPr="000B217A">
        <w:rPr>
          <w:rFonts w:ascii="Times New Roman" w:eastAsiaTheme="minorHAnsi" w:hAnsi="Times New Roman"/>
          <w:sz w:val="24"/>
          <w:szCs w:val="24"/>
        </w:rPr>
        <w:t>he persistence model tool is not used to calculate decay factors;</w:t>
      </w:r>
    </w:p>
    <w:p w:rsidR="008F24FD" w:rsidRPr="000B217A" w:rsidRDefault="008F24FD" w:rsidP="008F24FD">
      <w:pPr>
        <w:pStyle w:val="ListParagraph"/>
        <w:numPr>
          <w:ilvl w:val="0"/>
          <w:numId w:val="34"/>
        </w:numPr>
        <w:autoSpaceDE w:val="0"/>
        <w:autoSpaceDN w:val="0"/>
        <w:adjustRightInd w:val="0"/>
        <w:spacing w:before="0"/>
        <w:contextualSpacing/>
        <w:rPr>
          <w:rFonts w:ascii="Times New Roman" w:eastAsiaTheme="minorHAnsi" w:hAnsi="Times New Roman"/>
          <w:sz w:val="24"/>
          <w:szCs w:val="24"/>
        </w:rPr>
      </w:pPr>
      <w:r>
        <w:rPr>
          <w:rFonts w:ascii="Times New Roman" w:eastAsiaTheme="minorHAnsi" w:hAnsi="Times New Roman"/>
          <w:sz w:val="24"/>
          <w:szCs w:val="24"/>
        </w:rPr>
        <w:t>t</w:t>
      </w:r>
      <w:r w:rsidRPr="000B217A">
        <w:rPr>
          <w:rFonts w:ascii="Times New Roman" w:eastAsiaTheme="minorHAnsi" w:hAnsi="Times New Roman"/>
          <w:sz w:val="24"/>
          <w:szCs w:val="24"/>
        </w:rPr>
        <w:t xml:space="preserve">he proponent starts their crediting period after the start of their </w:t>
      </w:r>
      <w:r w:rsidRPr="00201D81">
        <w:rPr>
          <w:rFonts w:ascii="Times New Roman" w:eastAsiaTheme="minorHAnsi" w:hAnsi="Times New Roman"/>
          <w:b/>
          <w:i/>
          <w:sz w:val="24"/>
          <w:szCs w:val="24"/>
        </w:rPr>
        <w:t>operating measurement</w:t>
      </w:r>
      <w:r w:rsidR="009C1CB9" w:rsidRPr="00201D81">
        <w:rPr>
          <w:rFonts w:ascii="Times New Roman" w:eastAsiaTheme="minorHAnsi" w:hAnsi="Times New Roman"/>
          <w:b/>
          <w:i/>
          <w:sz w:val="24"/>
          <w:szCs w:val="24"/>
        </w:rPr>
        <w:t xml:space="preserve"> period</w:t>
      </w:r>
      <w:r w:rsidRPr="000B217A">
        <w:rPr>
          <w:rFonts w:ascii="Times New Roman" w:eastAsiaTheme="minorHAnsi" w:hAnsi="Times New Roman"/>
          <w:sz w:val="24"/>
          <w:szCs w:val="24"/>
        </w:rPr>
        <w:t xml:space="preserve">; and </w:t>
      </w:r>
    </w:p>
    <w:p w:rsidR="008F24FD" w:rsidRPr="00A31647" w:rsidRDefault="008F24FD" w:rsidP="00A31647">
      <w:pPr>
        <w:pStyle w:val="ListParagraph"/>
        <w:numPr>
          <w:ilvl w:val="0"/>
          <w:numId w:val="34"/>
        </w:numPr>
        <w:autoSpaceDE w:val="0"/>
        <w:autoSpaceDN w:val="0"/>
        <w:adjustRightInd w:val="0"/>
        <w:spacing w:before="0"/>
        <w:contextualSpacing/>
        <w:rPr>
          <w:rFonts w:ascii="Times New Roman" w:eastAsiaTheme="minorHAnsi" w:hAnsi="Times New Roman"/>
          <w:sz w:val="24"/>
          <w:szCs w:val="24"/>
        </w:rPr>
      </w:pPr>
      <w:proofErr w:type="gramStart"/>
      <w:r w:rsidRPr="00A31647">
        <w:rPr>
          <w:rFonts w:ascii="Times New Roman" w:eastAsiaTheme="minorHAnsi" w:hAnsi="Times New Roman"/>
          <w:sz w:val="24"/>
          <w:szCs w:val="24"/>
        </w:rPr>
        <w:t>the</w:t>
      </w:r>
      <w:proofErr w:type="gramEnd"/>
      <w:r w:rsidRPr="00A31647">
        <w:rPr>
          <w:rFonts w:ascii="Times New Roman" w:eastAsiaTheme="minorHAnsi" w:hAnsi="Times New Roman"/>
          <w:sz w:val="24"/>
          <w:szCs w:val="24"/>
        </w:rPr>
        <w:t xml:space="preserve"> proponent does not update their operating emissions model in order to reset the decay coefficient year to 1.</w:t>
      </w:r>
    </w:p>
    <w:p w:rsidR="00A31647" w:rsidRDefault="00A31647" w:rsidP="008F24FD">
      <w:pPr>
        <w:rPr>
          <w:rFonts w:eastAsiaTheme="minorHAnsi"/>
          <w:szCs w:val="24"/>
        </w:rPr>
      </w:pPr>
      <w:r w:rsidRPr="000B217A">
        <w:rPr>
          <w:rFonts w:eastAsiaTheme="minorHAnsi"/>
          <w:szCs w:val="24"/>
        </w:rPr>
        <w:t xml:space="preserve">The period within which a proponent may not be able to source decay coefficients from the table in subsection 51(5) of the Determination is limited to 18 months. This is because the crediting period of a project is required to start within 18 months of the project being declared an eligible offsets project, </w:t>
      </w:r>
      <w:r w:rsidR="000C73D9">
        <w:rPr>
          <w:rFonts w:eastAsiaTheme="minorHAnsi"/>
          <w:szCs w:val="24"/>
        </w:rPr>
        <w:t xml:space="preserve">while </w:t>
      </w:r>
      <w:r w:rsidRPr="000B217A">
        <w:rPr>
          <w:rFonts w:eastAsiaTheme="minorHAnsi"/>
          <w:szCs w:val="24"/>
        </w:rPr>
        <w:t>the operating measurement period</w:t>
      </w:r>
      <w:r w:rsidR="000C73D9">
        <w:rPr>
          <w:rFonts w:eastAsiaTheme="minorHAnsi"/>
          <w:szCs w:val="24"/>
        </w:rPr>
        <w:t xml:space="preserve">, </w:t>
      </w:r>
      <w:r w:rsidRPr="000B217A">
        <w:rPr>
          <w:rFonts w:eastAsiaTheme="minorHAnsi"/>
          <w:szCs w:val="24"/>
        </w:rPr>
        <w:t>which sets the start date of the first decay coefficient year</w:t>
      </w:r>
      <w:r w:rsidR="000C73D9">
        <w:rPr>
          <w:rFonts w:eastAsiaTheme="minorHAnsi"/>
          <w:szCs w:val="24"/>
        </w:rPr>
        <w:t xml:space="preserve">, could start as soon as </w:t>
      </w:r>
      <w:r w:rsidRPr="000B217A">
        <w:rPr>
          <w:rFonts w:eastAsiaTheme="minorHAnsi"/>
          <w:szCs w:val="24"/>
        </w:rPr>
        <w:t>the project is declare</w:t>
      </w:r>
      <w:r>
        <w:rPr>
          <w:rFonts w:eastAsiaTheme="minorHAnsi"/>
          <w:szCs w:val="24"/>
        </w:rPr>
        <w:t>d</w:t>
      </w:r>
      <w:r w:rsidR="003B5690">
        <w:rPr>
          <w:rFonts w:eastAsiaTheme="minorHAnsi"/>
          <w:szCs w:val="24"/>
        </w:rPr>
        <w:t xml:space="preserve"> an </w:t>
      </w:r>
      <w:r w:rsidR="003B5690">
        <w:t>eligible offsets project</w:t>
      </w:r>
      <w:r>
        <w:rPr>
          <w:rFonts w:eastAsiaTheme="minorHAnsi"/>
          <w:szCs w:val="24"/>
        </w:rPr>
        <w:t xml:space="preserve">. This means that, should a project proponent start </w:t>
      </w:r>
      <w:r w:rsidR="00A1341C">
        <w:rPr>
          <w:rFonts w:eastAsiaTheme="minorHAnsi"/>
          <w:szCs w:val="24"/>
        </w:rPr>
        <w:t>the</w:t>
      </w:r>
      <w:r>
        <w:rPr>
          <w:rFonts w:eastAsiaTheme="minorHAnsi"/>
          <w:szCs w:val="24"/>
        </w:rPr>
        <w:t xml:space="preserve"> operating measurement period on the day of project declaration</w:t>
      </w:r>
      <w:r w:rsidR="006C5704">
        <w:rPr>
          <w:rFonts w:eastAsiaTheme="minorHAnsi"/>
          <w:szCs w:val="24"/>
        </w:rPr>
        <w:t>,</w:t>
      </w:r>
      <w:r>
        <w:rPr>
          <w:rFonts w:eastAsiaTheme="minorHAnsi"/>
          <w:szCs w:val="24"/>
        </w:rPr>
        <w:t xml:space="preserve"> and delay the start of the crediting period by 18 months, </w:t>
      </w:r>
      <w:r w:rsidR="00A1341C">
        <w:rPr>
          <w:rFonts w:eastAsiaTheme="minorHAnsi"/>
          <w:szCs w:val="24"/>
        </w:rPr>
        <w:t>the project would</w:t>
      </w:r>
      <w:r>
        <w:rPr>
          <w:rFonts w:eastAsiaTheme="minorHAnsi"/>
          <w:szCs w:val="24"/>
        </w:rPr>
        <w:t xml:space="preserve"> be without decay coefficients for the last 18 months of </w:t>
      </w:r>
      <w:r w:rsidR="00A1341C">
        <w:rPr>
          <w:rFonts w:eastAsiaTheme="minorHAnsi"/>
          <w:szCs w:val="24"/>
        </w:rPr>
        <w:t>its</w:t>
      </w:r>
      <w:r>
        <w:rPr>
          <w:rFonts w:eastAsiaTheme="minorHAnsi"/>
          <w:szCs w:val="24"/>
        </w:rPr>
        <w:t xml:space="preserve"> crediting period.</w:t>
      </w:r>
    </w:p>
    <w:p w:rsidR="00A31647" w:rsidRDefault="00A31647" w:rsidP="008F24FD">
      <w:pPr>
        <w:rPr>
          <w:szCs w:val="24"/>
        </w:rPr>
      </w:pPr>
      <w:r>
        <w:rPr>
          <w:szCs w:val="24"/>
        </w:rPr>
        <w:t xml:space="preserve">To </w:t>
      </w:r>
      <w:r w:rsidR="002D31BC">
        <w:rPr>
          <w:szCs w:val="24"/>
        </w:rPr>
        <w:t>enable calculation of decay factors under all circumstances</w:t>
      </w:r>
      <w:r>
        <w:rPr>
          <w:szCs w:val="24"/>
        </w:rPr>
        <w:t>, i</w:t>
      </w:r>
      <w:r w:rsidRPr="000B217A">
        <w:rPr>
          <w:szCs w:val="24"/>
        </w:rPr>
        <w:t xml:space="preserve">tem </w:t>
      </w:r>
      <w:r w:rsidRPr="00A31647">
        <w:rPr>
          <w:szCs w:val="24"/>
        </w:rPr>
        <w:t>[5]</w:t>
      </w:r>
      <w:r w:rsidRPr="000B217A">
        <w:rPr>
          <w:szCs w:val="24"/>
        </w:rPr>
        <w:t xml:space="preserve"> amends subsection 51(5) to include two further decay coefficient years</w:t>
      </w:r>
      <w:r w:rsidR="000C4EFB">
        <w:rPr>
          <w:szCs w:val="24"/>
        </w:rPr>
        <w:t>—years eight and nine</w:t>
      </w:r>
      <w:r w:rsidR="000C4EFB" w:rsidRPr="000B217A">
        <w:rPr>
          <w:szCs w:val="24"/>
        </w:rPr>
        <w:t>—</w:t>
      </w:r>
      <w:r w:rsidRPr="000B217A">
        <w:rPr>
          <w:szCs w:val="24"/>
        </w:rPr>
        <w:t xml:space="preserve">and two </w:t>
      </w:r>
      <w:r w:rsidRPr="000B217A">
        <w:rPr>
          <w:szCs w:val="24"/>
        </w:rPr>
        <w:lastRenderedPageBreak/>
        <w:t>corresponding decay coefficient values. The value used for year eight—0.125—is consistent with the decrease in decay coefficients in years one to seven</w:t>
      </w:r>
      <w:r>
        <w:rPr>
          <w:szCs w:val="24"/>
        </w:rPr>
        <w:t>, and is held constant in the ninth year.</w:t>
      </w:r>
    </w:p>
    <w:p w:rsidR="00725827" w:rsidRDefault="00725827" w:rsidP="008F24FD">
      <w:pPr>
        <w:rPr>
          <w:szCs w:val="24"/>
        </w:rPr>
      </w:pPr>
      <w:r>
        <w:rPr>
          <w:szCs w:val="24"/>
        </w:rPr>
        <w:t>As a result of this amendment, the table in subsection 51(5) will appear as follows:</w:t>
      </w:r>
    </w:p>
    <w:p w:rsidR="00725827" w:rsidRDefault="00725827" w:rsidP="008F24FD">
      <w:pPr>
        <w:rPr>
          <w:szCs w:val="24"/>
        </w:rPr>
      </w:pPr>
    </w:p>
    <w:tbl>
      <w:tblPr>
        <w:tblW w:w="5103" w:type="dxa"/>
        <w:tblBorders>
          <w:top w:val="single" w:sz="4" w:space="0" w:color="auto"/>
          <w:bottom w:val="single" w:sz="2" w:space="0" w:color="auto"/>
          <w:insideH w:val="single" w:sz="4" w:space="0" w:color="auto"/>
        </w:tblBorders>
        <w:tblLayout w:type="fixed"/>
        <w:tblLook w:val="0000"/>
      </w:tblPr>
      <w:tblGrid>
        <w:gridCol w:w="709"/>
        <w:gridCol w:w="2126"/>
        <w:gridCol w:w="2268"/>
      </w:tblGrid>
      <w:tr w:rsidR="00725827" w:rsidRPr="00667743" w:rsidTr="00854E37">
        <w:trPr>
          <w:tblHeader/>
        </w:trPr>
        <w:tc>
          <w:tcPr>
            <w:tcW w:w="5103" w:type="dxa"/>
            <w:gridSpan w:val="3"/>
            <w:tcBorders>
              <w:top w:val="single" w:sz="12" w:space="0" w:color="auto"/>
              <w:bottom w:val="single" w:sz="6" w:space="0" w:color="auto"/>
            </w:tcBorders>
            <w:shd w:val="clear" w:color="auto" w:fill="auto"/>
          </w:tcPr>
          <w:p w:rsidR="00725827" w:rsidRPr="00667743" w:rsidRDefault="00725827" w:rsidP="00854E37">
            <w:pPr>
              <w:pStyle w:val="TableHeading"/>
            </w:pPr>
            <w:r w:rsidRPr="00667743">
              <w:t>Decay coefficients</w:t>
            </w:r>
          </w:p>
        </w:tc>
      </w:tr>
      <w:tr w:rsidR="00725827" w:rsidRPr="00667743" w:rsidTr="00854E37">
        <w:trPr>
          <w:tblHeader/>
        </w:trPr>
        <w:tc>
          <w:tcPr>
            <w:tcW w:w="709" w:type="dxa"/>
            <w:tcBorders>
              <w:top w:val="single" w:sz="6" w:space="0" w:color="auto"/>
              <w:bottom w:val="single" w:sz="12" w:space="0" w:color="auto"/>
            </w:tcBorders>
            <w:shd w:val="clear" w:color="auto" w:fill="auto"/>
          </w:tcPr>
          <w:p w:rsidR="00725827" w:rsidRPr="00667743" w:rsidRDefault="00725827" w:rsidP="00725827">
            <w:pPr>
              <w:pStyle w:val="TableHeading"/>
            </w:pPr>
            <w:r w:rsidRPr="00667743">
              <w:t>Item</w:t>
            </w:r>
          </w:p>
        </w:tc>
        <w:tc>
          <w:tcPr>
            <w:tcW w:w="2126" w:type="dxa"/>
            <w:tcBorders>
              <w:top w:val="single" w:sz="6" w:space="0" w:color="auto"/>
              <w:bottom w:val="single" w:sz="12" w:space="0" w:color="auto"/>
            </w:tcBorders>
            <w:shd w:val="clear" w:color="auto" w:fill="auto"/>
          </w:tcPr>
          <w:p w:rsidR="00725827" w:rsidRPr="00667743" w:rsidRDefault="00725827" w:rsidP="00725827">
            <w:pPr>
              <w:pStyle w:val="TableHeading"/>
            </w:pPr>
            <w:r w:rsidRPr="00667743">
              <w:t>Decay coefficient year</w:t>
            </w:r>
          </w:p>
        </w:tc>
        <w:tc>
          <w:tcPr>
            <w:tcW w:w="2268" w:type="dxa"/>
            <w:tcBorders>
              <w:top w:val="single" w:sz="6" w:space="0" w:color="auto"/>
              <w:bottom w:val="single" w:sz="12" w:space="0" w:color="auto"/>
            </w:tcBorders>
            <w:shd w:val="clear" w:color="auto" w:fill="auto"/>
          </w:tcPr>
          <w:p w:rsidR="00725827" w:rsidRPr="00667743" w:rsidRDefault="00725827" w:rsidP="00725827">
            <w:pPr>
              <w:pStyle w:val="TableHeading"/>
              <w:jc w:val="right"/>
            </w:pPr>
            <w:r w:rsidRPr="00667743">
              <w:t>Decay coefficient</w:t>
            </w:r>
          </w:p>
        </w:tc>
      </w:tr>
      <w:tr w:rsidR="00725827" w:rsidRPr="00667743" w:rsidTr="00854E37">
        <w:tc>
          <w:tcPr>
            <w:tcW w:w="709" w:type="dxa"/>
            <w:tcBorders>
              <w:top w:val="single" w:sz="12" w:space="0" w:color="auto"/>
            </w:tcBorders>
            <w:shd w:val="clear" w:color="auto" w:fill="auto"/>
          </w:tcPr>
          <w:p w:rsidR="00725827" w:rsidRPr="00667743" w:rsidRDefault="00725827" w:rsidP="00725827">
            <w:pPr>
              <w:pStyle w:val="Tabletext"/>
            </w:pPr>
            <w:r w:rsidRPr="00667743">
              <w:t>1</w:t>
            </w:r>
          </w:p>
        </w:tc>
        <w:tc>
          <w:tcPr>
            <w:tcW w:w="2126" w:type="dxa"/>
            <w:tcBorders>
              <w:top w:val="single" w:sz="12" w:space="0" w:color="auto"/>
            </w:tcBorders>
            <w:shd w:val="clear" w:color="auto" w:fill="auto"/>
          </w:tcPr>
          <w:p w:rsidR="00725827" w:rsidRPr="00667743" w:rsidRDefault="00725827" w:rsidP="00725827">
            <w:pPr>
              <w:pStyle w:val="Tabletext"/>
              <w:jc w:val="right"/>
            </w:pPr>
            <w:r w:rsidRPr="00667743">
              <w:t>1</w:t>
            </w:r>
          </w:p>
        </w:tc>
        <w:tc>
          <w:tcPr>
            <w:tcW w:w="2268" w:type="dxa"/>
            <w:tcBorders>
              <w:top w:val="single" w:sz="12" w:space="0" w:color="auto"/>
            </w:tcBorders>
            <w:shd w:val="clear" w:color="auto" w:fill="auto"/>
          </w:tcPr>
          <w:p w:rsidR="00725827" w:rsidRPr="00667743" w:rsidRDefault="00725827" w:rsidP="00725827">
            <w:pPr>
              <w:pStyle w:val="Tabletext"/>
              <w:jc w:val="right"/>
            </w:pPr>
            <w:r w:rsidRPr="00667743">
              <w:t>1.000</w:t>
            </w:r>
          </w:p>
        </w:tc>
      </w:tr>
      <w:tr w:rsidR="00725827" w:rsidRPr="00667743" w:rsidTr="00854E37">
        <w:tc>
          <w:tcPr>
            <w:tcW w:w="709" w:type="dxa"/>
            <w:shd w:val="clear" w:color="auto" w:fill="auto"/>
          </w:tcPr>
          <w:p w:rsidR="00725827" w:rsidRPr="00667743" w:rsidRDefault="00725827" w:rsidP="00725827">
            <w:pPr>
              <w:pStyle w:val="Tabletext"/>
            </w:pPr>
            <w:r w:rsidRPr="00667743">
              <w:t>2</w:t>
            </w:r>
          </w:p>
        </w:tc>
        <w:tc>
          <w:tcPr>
            <w:tcW w:w="2126" w:type="dxa"/>
            <w:shd w:val="clear" w:color="auto" w:fill="auto"/>
          </w:tcPr>
          <w:p w:rsidR="00725827" w:rsidRPr="00667743" w:rsidRDefault="00725827" w:rsidP="00725827">
            <w:pPr>
              <w:pStyle w:val="Tabletext"/>
              <w:jc w:val="right"/>
            </w:pPr>
            <w:r w:rsidRPr="00667743">
              <w:t>2</w:t>
            </w:r>
          </w:p>
        </w:tc>
        <w:tc>
          <w:tcPr>
            <w:tcW w:w="2268" w:type="dxa"/>
            <w:shd w:val="clear" w:color="auto" w:fill="auto"/>
          </w:tcPr>
          <w:p w:rsidR="00725827" w:rsidRPr="00667743" w:rsidRDefault="00725827" w:rsidP="00725827">
            <w:pPr>
              <w:pStyle w:val="Tabletext"/>
              <w:jc w:val="right"/>
            </w:pPr>
            <w:r w:rsidRPr="00667743">
              <w:t>0.875</w:t>
            </w:r>
          </w:p>
        </w:tc>
      </w:tr>
      <w:tr w:rsidR="00725827" w:rsidRPr="00667743" w:rsidTr="00854E37">
        <w:tc>
          <w:tcPr>
            <w:tcW w:w="709" w:type="dxa"/>
            <w:shd w:val="clear" w:color="auto" w:fill="auto"/>
          </w:tcPr>
          <w:p w:rsidR="00725827" w:rsidRPr="00667743" w:rsidRDefault="00725827" w:rsidP="00725827">
            <w:pPr>
              <w:pStyle w:val="Tabletext"/>
            </w:pPr>
            <w:r w:rsidRPr="00667743">
              <w:t>3</w:t>
            </w:r>
          </w:p>
        </w:tc>
        <w:tc>
          <w:tcPr>
            <w:tcW w:w="2126" w:type="dxa"/>
            <w:shd w:val="clear" w:color="auto" w:fill="auto"/>
          </w:tcPr>
          <w:p w:rsidR="00725827" w:rsidRPr="00667743" w:rsidRDefault="00725827" w:rsidP="00725827">
            <w:pPr>
              <w:pStyle w:val="Tabletext"/>
              <w:jc w:val="right"/>
            </w:pPr>
            <w:r w:rsidRPr="00667743">
              <w:t>3</w:t>
            </w:r>
          </w:p>
        </w:tc>
        <w:tc>
          <w:tcPr>
            <w:tcW w:w="2268" w:type="dxa"/>
            <w:shd w:val="clear" w:color="auto" w:fill="auto"/>
          </w:tcPr>
          <w:p w:rsidR="00725827" w:rsidRPr="00667743" w:rsidRDefault="00725827" w:rsidP="00725827">
            <w:pPr>
              <w:pStyle w:val="Tabletext"/>
              <w:jc w:val="right"/>
            </w:pPr>
            <w:r w:rsidRPr="00667743">
              <w:t>0.750</w:t>
            </w:r>
          </w:p>
        </w:tc>
      </w:tr>
      <w:tr w:rsidR="00725827" w:rsidRPr="00667743" w:rsidTr="00854E37">
        <w:tc>
          <w:tcPr>
            <w:tcW w:w="709" w:type="dxa"/>
            <w:shd w:val="clear" w:color="auto" w:fill="auto"/>
          </w:tcPr>
          <w:p w:rsidR="00725827" w:rsidRPr="00667743" w:rsidRDefault="00725827" w:rsidP="00725827">
            <w:pPr>
              <w:pStyle w:val="Tabletext"/>
            </w:pPr>
            <w:r w:rsidRPr="00667743">
              <w:t>4</w:t>
            </w:r>
          </w:p>
        </w:tc>
        <w:tc>
          <w:tcPr>
            <w:tcW w:w="2126" w:type="dxa"/>
            <w:shd w:val="clear" w:color="auto" w:fill="auto"/>
          </w:tcPr>
          <w:p w:rsidR="00725827" w:rsidRPr="00667743" w:rsidRDefault="00725827" w:rsidP="00725827">
            <w:pPr>
              <w:pStyle w:val="Tabletext"/>
              <w:jc w:val="right"/>
            </w:pPr>
            <w:r w:rsidRPr="00667743">
              <w:t>4</w:t>
            </w:r>
          </w:p>
        </w:tc>
        <w:tc>
          <w:tcPr>
            <w:tcW w:w="2268" w:type="dxa"/>
            <w:shd w:val="clear" w:color="auto" w:fill="auto"/>
          </w:tcPr>
          <w:p w:rsidR="00725827" w:rsidRPr="00667743" w:rsidRDefault="00725827" w:rsidP="00725827">
            <w:pPr>
              <w:pStyle w:val="Tabletext"/>
              <w:jc w:val="right"/>
            </w:pPr>
            <w:r w:rsidRPr="00667743">
              <w:t>0.625</w:t>
            </w:r>
          </w:p>
        </w:tc>
      </w:tr>
      <w:tr w:rsidR="00725827" w:rsidRPr="00667743" w:rsidTr="00854E37">
        <w:tc>
          <w:tcPr>
            <w:tcW w:w="709" w:type="dxa"/>
            <w:shd w:val="clear" w:color="auto" w:fill="auto"/>
          </w:tcPr>
          <w:p w:rsidR="00725827" w:rsidRPr="00667743" w:rsidRDefault="00725827" w:rsidP="00725827">
            <w:pPr>
              <w:pStyle w:val="Tabletext"/>
            </w:pPr>
            <w:r w:rsidRPr="00667743">
              <w:t>5</w:t>
            </w:r>
          </w:p>
        </w:tc>
        <w:tc>
          <w:tcPr>
            <w:tcW w:w="2126" w:type="dxa"/>
            <w:shd w:val="clear" w:color="auto" w:fill="auto"/>
          </w:tcPr>
          <w:p w:rsidR="00725827" w:rsidRPr="00667743" w:rsidRDefault="00725827" w:rsidP="00725827">
            <w:pPr>
              <w:pStyle w:val="Tabletext"/>
              <w:jc w:val="right"/>
            </w:pPr>
            <w:r w:rsidRPr="00667743">
              <w:t>5</w:t>
            </w:r>
          </w:p>
        </w:tc>
        <w:tc>
          <w:tcPr>
            <w:tcW w:w="2268" w:type="dxa"/>
            <w:shd w:val="clear" w:color="auto" w:fill="auto"/>
          </w:tcPr>
          <w:p w:rsidR="00725827" w:rsidRPr="00667743" w:rsidRDefault="00725827" w:rsidP="00725827">
            <w:pPr>
              <w:pStyle w:val="Tabletext"/>
              <w:jc w:val="right"/>
            </w:pPr>
            <w:r w:rsidRPr="00667743">
              <w:t>0.500</w:t>
            </w:r>
          </w:p>
        </w:tc>
      </w:tr>
      <w:tr w:rsidR="00725827" w:rsidRPr="00667743" w:rsidTr="00854E37">
        <w:tc>
          <w:tcPr>
            <w:tcW w:w="709" w:type="dxa"/>
            <w:tcBorders>
              <w:bottom w:val="single" w:sz="4" w:space="0" w:color="auto"/>
            </w:tcBorders>
            <w:shd w:val="clear" w:color="auto" w:fill="auto"/>
          </w:tcPr>
          <w:p w:rsidR="00725827" w:rsidRPr="00667743" w:rsidRDefault="00725827" w:rsidP="00725827">
            <w:pPr>
              <w:pStyle w:val="Tabletext"/>
            </w:pPr>
            <w:r w:rsidRPr="00667743">
              <w:t>6</w:t>
            </w:r>
          </w:p>
        </w:tc>
        <w:tc>
          <w:tcPr>
            <w:tcW w:w="2126" w:type="dxa"/>
            <w:tcBorders>
              <w:bottom w:val="single" w:sz="4" w:space="0" w:color="auto"/>
            </w:tcBorders>
            <w:shd w:val="clear" w:color="auto" w:fill="auto"/>
          </w:tcPr>
          <w:p w:rsidR="00725827" w:rsidRPr="00667743" w:rsidRDefault="00725827" w:rsidP="00725827">
            <w:pPr>
              <w:pStyle w:val="Tabletext"/>
              <w:jc w:val="right"/>
            </w:pPr>
            <w:r w:rsidRPr="00667743">
              <w:t>6</w:t>
            </w:r>
          </w:p>
        </w:tc>
        <w:tc>
          <w:tcPr>
            <w:tcW w:w="2268" w:type="dxa"/>
            <w:tcBorders>
              <w:bottom w:val="single" w:sz="4" w:space="0" w:color="auto"/>
            </w:tcBorders>
            <w:shd w:val="clear" w:color="auto" w:fill="auto"/>
          </w:tcPr>
          <w:p w:rsidR="00725827" w:rsidRPr="00667743" w:rsidRDefault="00725827" w:rsidP="00725827">
            <w:pPr>
              <w:pStyle w:val="Tabletext"/>
              <w:jc w:val="right"/>
            </w:pPr>
            <w:r w:rsidRPr="00667743">
              <w:t>0.375</w:t>
            </w:r>
          </w:p>
        </w:tc>
      </w:tr>
      <w:tr w:rsidR="00725827" w:rsidRPr="00667743" w:rsidTr="00854E37">
        <w:tc>
          <w:tcPr>
            <w:tcW w:w="709" w:type="dxa"/>
            <w:shd w:val="clear" w:color="auto" w:fill="auto"/>
          </w:tcPr>
          <w:p w:rsidR="00725827" w:rsidRPr="00667743" w:rsidRDefault="00725827" w:rsidP="00725827">
            <w:pPr>
              <w:pStyle w:val="Tabletext"/>
            </w:pPr>
            <w:r w:rsidRPr="00667743">
              <w:t>7</w:t>
            </w:r>
          </w:p>
        </w:tc>
        <w:tc>
          <w:tcPr>
            <w:tcW w:w="2126" w:type="dxa"/>
            <w:shd w:val="clear" w:color="auto" w:fill="auto"/>
          </w:tcPr>
          <w:p w:rsidR="00725827" w:rsidRPr="00667743" w:rsidRDefault="00725827" w:rsidP="00725827">
            <w:pPr>
              <w:pStyle w:val="Tabletext"/>
              <w:jc w:val="right"/>
            </w:pPr>
            <w:r w:rsidRPr="00667743">
              <w:t>7</w:t>
            </w:r>
          </w:p>
        </w:tc>
        <w:tc>
          <w:tcPr>
            <w:tcW w:w="2268" w:type="dxa"/>
            <w:shd w:val="clear" w:color="auto" w:fill="auto"/>
          </w:tcPr>
          <w:p w:rsidR="00725827" w:rsidRPr="00667743" w:rsidRDefault="00725827" w:rsidP="00725827">
            <w:pPr>
              <w:pStyle w:val="Tabletext"/>
              <w:jc w:val="right"/>
            </w:pPr>
            <w:r w:rsidRPr="00667743">
              <w:t>0.250</w:t>
            </w:r>
          </w:p>
        </w:tc>
      </w:tr>
      <w:tr w:rsidR="00725827" w:rsidRPr="00667743" w:rsidTr="00854E37">
        <w:tc>
          <w:tcPr>
            <w:tcW w:w="709" w:type="dxa"/>
            <w:shd w:val="clear" w:color="auto" w:fill="auto"/>
          </w:tcPr>
          <w:p w:rsidR="00725827" w:rsidRPr="00667743" w:rsidRDefault="00725827" w:rsidP="00725827">
            <w:pPr>
              <w:pStyle w:val="Tabletext"/>
            </w:pPr>
            <w:r>
              <w:t>8</w:t>
            </w:r>
          </w:p>
        </w:tc>
        <w:tc>
          <w:tcPr>
            <w:tcW w:w="2126" w:type="dxa"/>
            <w:shd w:val="clear" w:color="auto" w:fill="auto"/>
          </w:tcPr>
          <w:p w:rsidR="00725827" w:rsidRPr="00667743" w:rsidRDefault="00725827" w:rsidP="00725827">
            <w:pPr>
              <w:pStyle w:val="Tabletext"/>
              <w:jc w:val="right"/>
            </w:pPr>
            <w:r>
              <w:t>8</w:t>
            </w:r>
          </w:p>
        </w:tc>
        <w:tc>
          <w:tcPr>
            <w:tcW w:w="2268" w:type="dxa"/>
            <w:shd w:val="clear" w:color="auto" w:fill="auto"/>
          </w:tcPr>
          <w:p w:rsidR="00725827" w:rsidRPr="00667743" w:rsidRDefault="00725827" w:rsidP="00725827">
            <w:pPr>
              <w:pStyle w:val="Tabletext"/>
              <w:jc w:val="right"/>
            </w:pPr>
            <w:r>
              <w:t>0.125</w:t>
            </w:r>
          </w:p>
        </w:tc>
      </w:tr>
      <w:tr w:rsidR="00725827" w:rsidRPr="00667743" w:rsidTr="00854E37">
        <w:tc>
          <w:tcPr>
            <w:tcW w:w="709" w:type="dxa"/>
            <w:tcBorders>
              <w:bottom w:val="single" w:sz="12" w:space="0" w:color="auto"/>
            </w:tcBorders>
            <w:shd w:val="clear" w:color="auto" w:fill="auto"/>
          </w:tcPr>
          <w:p w:rsidR="00725827" w:rsidRPr="00667743" w:rsidRDefault="00725827" w:rsidP="00725827">
            <w:pPr>
              <w:pStyle w:val="Tabletext"/>
            </w:pPr>
            <w:r>
              <w:t>9</w:t>
            </w:r>
          </w:p>
        </w:tc>
        <w:tc>
          <w:tcPr>
            <w:tcW w:w="2126" w:type="dxa"/>
            <w:tcBorders>
              <w:bottom w:val="single" w:sz="12" w:space="0" w:color="auto"/>
            </w:tcBorders>
            <w:shd w:val="clear" w:color="auto" w:fill="auto"/>
          </w:tcPr>
          <w:p w:rsidR="00725827" w:rsidRPr="00667743" w:rsidRDefault="00725827" w:rsidP="00725827">
            <w:pPr>
              <w:pStyle w:val="Tabletext"/>
              <w:jc w:val="right"/>
            </w:pPr>
            <w:r>
              <w:t>9</w:t>
            </w:r>
          </w:p>
        </w:tc>
        <w:tc>
          <w:tcPr>
            <w:tcW w:w="2268" w:type="dxa"/>
            <w:tcBorders>
              <w:bottom w:val="single" w:sz="12" w:space="0" w:color="auto"/>
            </w:tcBorders>
            <w:shd w:val="clear" w:color="auto" w:fill="auto"/>
          </w:tcPr>
          <w:p w:rsidR="00725827" w:rsidRPr="00667743" w:rsidRDefault="00725827" w:rsidP="00725827">
            <w:pPr>
              <w:pStyle w:val="Tabletext"/>
              <w:jc w:val="right"/>
            </w:pPr>
            <w:r>
              <w:t>0.125</w:t>
            </w:r>
          </w:p>
        </w:tc>
      </w:tr>
    </w:tbl>
    <w:p w:rsidR="00725827" w:rsidRDefault="00725827" w:rsidP="008F24FD">
      <w:pPr>
        <w:rPr>
          <w:szCs w:val="24"/>
        </w:rPr>
      </w:pPr>
    </w:p>
    <w:p w:rsidR="00D16C73" w:rsidRDefault="00D16C73" w:rsidP="006F59C8">
      <w:pPr>
        <w:keepNext/>
        <w:keepLines/>
        <w:rPr>
          <w:u w:val="single"/>
        </w:rPr>
      </w:pPr>
      <w:r>
        <w:rPr>
          <w:u w:val="single"/>
        </w:rPr>
        <w:t>[6</w:t>
      </w:r>
      <w:r w:rsidRPr="008F24FD">
        <w:rPr>
          <w:u w:val="single"/>
        </w:rPr>
        <w:t>]</w:t>
      </w:r>
      <w:r w:rsidRPr="008F24FD">
        <w:rPr>
          <w:u w:val="single"/>
        </w:rPr>
        <w:tab/>
      </w:r>
      <w:r>
        <w:rPr>
          <w:u w:val="single"/>
        </w:rPr>
        <w:t>At the end of subsection 53(2)</w:t>
      </w:r>
    </w:p>
    <w:p w:rsidR="00392144" w:rsidRDefault="00D06D56" w:rsidP="006F59C8">
      <w:pPr>
        <w:keepNext/>
        <w:keepLines/>
      </w:pPr>
      <w:r>
        <w:t xml:space="preserve">Further to </w:t>
      </w:r>
      <w:r w:rsidR="00EC5158">
        <w:t xml:space="preserve">the </w:t>
      </w:r>
      <w:r w:rsidR="007B4635">
        <w:t xml:space="preserve">general </w:t>
      </w:r>
      <w:r>
        <w:t xml:space="preserve">requirements </w:t>
      </w:r>
      <w:r w:rsidR="006F59C8">
        <w:t xml:space="preserve">set out </w:t>
      </w:r>
      <w:r>
        <w:t xml:space="preserve">under the </w:t>
      </w:r>
      <w:r w:rsidRPr="007C22A3">
        <w:t>Act</w:t>
      </w:r>
      <w:r>
        <w:t>,</w:t>
      </w:r>
      <w:r w:rsidR="006F59C8">
        <w:t xml:space="preserve"> including legislative rules made under it,</w:t>
      </w:r>
      <w:r>
        <w:t xml:space="preserve"> s</w:t>
      </w:r>
      <w:r w:rsidR="00D16C73" w:rsidRPr="00D16C73">
        <w:t xml:space="preserve">ection </w:t>
      </w:r>
      <w:r w:rsidR="00D16C73">
        <w:t xml:space="preserve">53 of the Determination sets out </w:t>
      </w:r>
      <w:r>
        <w:t>specific additional information that must be included in an offsets report. Item [6] amends section 53</w:t>
      </w:r>
      <w:r w:rsidR="00392144">
        <w:t xml:space="preserve"> by adding new </w:t>
      </w:r>
      <w:r w:rsidR="00EC5158">
        <w:t>sub</w:t>
      </w:r>
      <w:r w:rsidR="00392144">
        <w:t>paragraphs 53(2</w:t>
      </w:r>
      <w:proofErr w:type="gramStart"/>
      <w:r w:rsidR="00392144">
        <w:t>)(</w:t>
      </w:r>
      <w:proofErr w:type="gramEnd"/>
      <w:r w:rsidR="00392144">
        <w:t>d)</w:t>
      </w:r>
      <w:r w:rsidR="00EC5158">
        <w:t>(</w:t>
      </w:r>
      <w:proofErr w:type="spellStart"/>
      <w:r w:rsidR="00EC5158">
        <w:t>i</w:t>
      </w:r>
      <w:proofErr w:type="spellEnd"/>
      <w:r w:rsidR="00EC5158">
        <w:t>) and 53(2)(d</w:t>
      </w:r>
      <w:r w:rsidR="00392144">
        <w:t>)</w:t>
      </w:r>
      <w:r w:rsidR="00EC5158">
        <w:t>(ii)</w:t>
      </w:r>
      <w:r w:rsidR="00392144">
        <w:t xml:space="preserve"> at the end of subsection 53(2). This amendment add</w:t>
      </w:r>
      <w:r w:rsidR="007B4635">
        <w:t>s</w:t>
      </w:r>
      <w:r w:rsidR="00392144">
        <w:t xml:space="preserve"> new requirements for information provided in an offsets report. </w:t>
      </w:r>
    </w:p>
    <w:p w:rsidR="00506765" w:rsidRPr="00506765" w:rsidRDefault="00EC5158" w:rsidP="00AA396C">
      <w:pPr>
        <w:rPr>
          <w:rFonts w:eastAsiaTheme="minorHAnsi"/>
          <w:szCs w:val="24"/>
        </w:rPr>
      </w:pPr>
      <w:r>
        <w:t>These new subparagraphs require</w:t>
      </w:r>
      <w:r w:rsidR="00392144">
        <w:t xml:space="preserve"> that if biomass was used </w:t>
      </w:r>
      <w:r w:rsidR="00D72F49">
        <w:t xml:space="preserve">as an energy source </w:t>
      </w:r>
      <w:r w:rsidR="00392144">
        <w:t xml:space="preserve">during the reporting period in </w:t>
      </w:r>
      <w:r w:rsidR="00392144" w:rsidRPr="00392144">
        <w:t>implementation equipment</w:t>
      </w:r>
      <w:r w:rsidR="00B570A1">
        <w:t xml:space="preserve">, </w:t>
      </w:r>
      <w:r w:rsidR="00540C3A">
        <w:t xml:space="preserve">or if biomass was used to </w:t>
      </w:r>
      <w:r w:rsidR="007C09C9">
        <w:t xml:space="preserve">produce </w:t>
      </w:r>
      <w:r w:rsidR="00540C3A">
        <w:t xml:space="preserve">off-grid electricity, heat, steam or cooling that was used in implementation equipment, </w:t>
      </w:r>
      <w:r w:rsidR="00B570A1">
        <w:t>the</w:t>
      </w:r>
      <w:r w:rsidR="00392144">
        <w:t xml:space="preserve"> proponent must include</w:t>
      </w:r>
      <w:r w:rsidR="00B570A1">
        <w:t xml:space="preserve"> in the offsets report</w:t>
      </w:r>
      <w:r w:rsidR="00AA396C">
        <w:rPr>
          <w:rFonts w:eastAsiaTheme="minorHAnsi"/>
          <w:szCs w:val="24"/>
        </w:rPr>
        <w:t xml:space="preserve"> </w:t>
      </w:r>
      <w:r w:rsidR="00506765" w:rsidRPr="00506765">
        <w:rPr>
          <w:rFonts w:eastAsiaTheme="minorHAnsi"/>
          <w:szCs w:val="24"/>
        </w:rPr>
        <w:t xml:space="preserve">a </w:t>
      </w:r>
      <w:r w:rsidR="00FC7BB1">
        <w:rPr>
          <w:rFonts w:eastAsiaTheme="minorHAnsi"/>
          <w:szCs w:val="24"/>
        </w:rPr>
        <w:t>declaration</w:t>
      </w:r>
      <w:r w:rsidR="00506765" w:rsidRPr="00506765">
        <w:rPr>
          <w:rFonts w:eastAsiaTheme="minorHAnsi"/>
          <w:szCs w:val="24"/>
        </w:rPr>
        <w:t xml:space="preserve"> that the biomass used in the reporting period complied with the definition of eligible renewable energy source</w:t>
      </w:r>
      <w:r w:rsidR="00506765">
        <w:rPr>
          <w:rFonts w:eastAsiaTheme="minorHAnsi"/>
          <w:szCs w:val="24"/>
        </w:rPr>
        <w:t xml:space="preserve">. </w:t>
      </w:r>
    </w:p>
    <w:p w:rsidR="00B570A1" w:rsidRDefault="009D548E" w:rsidP="000917D6">
      <w:r>
        <w:t>This</w:t>
      </w:r>
      <w:r w:rsidR="001C3C2B">
        <w:t xml:space="preserve"> required information</w:t>
      </w:r>
      <w:r>
        <w:t xml:space="preserve"> assists assessment of compliance </w:t>
      </w:r>
      <w:r w:rsidR="00B570A1">
        <w:t xml:space="preserve">with </w:t>
      </w:r>
      <w:r w:rsidR="00881FA6">
        <w:t xml:space="preserve">the </w:t>
      </w:r>
      <w:r w:rsidR="002D31BC">
        <w:t>requirements for</w:t>
      </w:r>
      <w:r w:rsidR="00B570A1">
        <w:t xml:space="preserve"> </w:t>
      </w:r>
      <w:r w:rsidR="00881FA6">
        <w:t xml:space="preserve">the </w:t>
      </w:r>
      <w:r w:rsidR="00534F93">
        <w:t xml:space="preserve">use </w:t>
      </w:r>
      <w:r w:rsidR="00A1341C">
        <w:t>of</w:t>
      </w:r>
      <w:r w:rsidR="00B570A1">
        <w:t xml:space="preserve"> </w:t>
      </w:r>
      <w:r w:rsidR="002D31BC">
        <w:t xml:space="preserve">eligible </w:t>
      </w:r>
      <w:r w:rsidR="00B570A1">
        <w:t>biomass.</w:t>
      </w:r>
    </w:p>
    <w:p w:rsidR="00B364E9" w:rsidRDefault="00B364E9" w:rsidP="000917D6">
      <w:pPr>
        <w:rPr>
          <w:szCs w:val="24"/>
        </w:rPr>
        <w:sectPr w:rsidR="00B364E9" w:rsidSect="00CF3436">
          <w:headerReference w:type="even" r:id="rId15"/>
          <w:headerReference w:type="default" r:id="rId16"/>
          <w:headerReference w:type="first" r:id="rId17"/>
          <w:pgSz w:w="11906" w:h="16838" w:code="9"/>
          <w:pgMar w:top="1440" w:right="1440" w:bottom="1440" w:left="1418" w:header="709" w:footer="709" w:gutter="0"/>
          <w:cols w:space="708"/>
          <w:titlePg/>
          <w:docGrid w:linePitch="360"/>
        </w:sectPr>
      </w:pPr>
    </w:p>
    <w:p w:rsidR="00922D3C" w:rsidRPr="007C4FED" w:rsidRDefault="0019355A" w:rsidP="000917D6">
      <w:pPr>
        <w:rPr>
          <w:szCs w:val="24"/>
        </w:rPr>
      </w:pPr>
      <w:r>
        <w:rPr>
          <w:noProof/>
          <w:szCs w:val="24"/>
          <w:lang w:eastAsia="en-AU"/>
        </w:rPr>
        <w:lastRenderedPageBreak/>
        <w:pict>
          <v:rect id="_x0000_s1026" style="position:absolute;margin-left:-16.2pt;margin-top:-4.05pt;width:481.8pt;height:583.05pt;z-index:251658240" strokeweight="6pt">
            <v:stroke linestyle="thickBetweenThin"/>
            <v:textbox style="mso-next-textbox:#_x0000_s1026" inset="5mm,,5mm">
              <w:txbxContent>
                <w:p w:rsidR="00A6175D" w:rsidRPr="00E4135E" w:rsidRDefault="00A6175D" w:rsidP="00B364E9">
                  <w:pPr>
                    <w:spacing w:before="360" w:after="120"/>
                    <w:jc w:val="center"/>
                    <w:rPr>
                      <w:b/>
                      <w:sz w:val="28"/>
                      <w:szCs w:val="28"/>
                    </w:rPr>
                  </w:pPr>
                  <w:r w:rsidRPr="00E4135E">
                    <w:rPr>
                      <w:b/>
                      <w:sz w:val="28"/>
                      <w:szCs w:val="28"/>
                    </w:rPr>
                    <w:t>Statement of Compatibility with Human Rights</w:t>
                  </w:r>
                </w:p>
                <w:p w:rsidR="00A6175D" w:rsidRDefault="00A6175D" w:rsidP="00B364E9">
                  <w:pPr>
                    <w:spacing w:after="120"/>
                    <w:jc w:val="center"/>
                    <w:rPr>
                      <w:i/>
                      <w:szCs w:val="24"/>
                    </w:rPr>
                  </w:pPr>
                  <w:r w:rsidRPr="00E4135E">
                    <w:rPr>
                      <w:i/>
                      <w:szCs w:val="24"/>
                    </w:rPr>
                    <w:t>Prepared in accordance with Part 3 of the Human Rights (Parliamentary Scrutiny) Act 2011</w:t>
                  </w:r>
                </w:p>
                <w:p w:rsidR="00A6175D" w:rsidRPr="00584CB6" w:rsidRDefault="00A6175D" w:rsidP="00B364E9">
                  <w:pPr>
                    <w:spacing w:after="120"/>
                    <w:jc w:val="center"/>
                    <w:rPr>
                      <w:sz w:val="4"/>
                      <w:szCs w:val="24"/>
                    </w:rPr>
                  </w:pPr>
                </w:p>
                <w:p w:rsidR="00A6175D" w:rsidRPr="00941D1E" w:rsidRDefault="00A6175D" w:rsidP="00B364E9">
                  <w:pPr>
                    <w:spacing w:after="120"/>
                    <w:jc w:val="center"/>
                    <w:rPr>
                      <w:b/>
                      <w:bCs/>
                      <w:i/>
                      <w:iCs/>
                      <w:color w:val="000000"/>
                      <w:kern w:val="36"/>
                      <w:szCs w:val="24"/>
                    </w:rPr>
                  </w:pPr>
                  <w:r w:rsidRPr="00941D1E">
                    <w:rPr>
                      <w:b/>
                      <w:bCs/>
                      <w:i/>
                      <w:iCs/>
                      <w:color w:val="000000"/>
                      <w:kern w:val="36"/>
                      <w:szCs w:val="24"/>
                    </w:rPr>
                    <w:t>Carbon Credits (Carbon Farming Initiative—Industrial Electricity and Fuel Efficiency) Methodology Variation 2015</w:t>
                  </w:r>
                </w:p>
                <w:p w:rsidR="00A6175D" w:rsidRPr="00584CB6" w:rsidRDefault="00A6175D" w:rsidP="00B364E9">
                  <w:pPr>
                    <w:spacing w:after="120"/>
                    <w:jc w:val="center"/>
                    <w:rPr>
                      <w:sz w:val="4"/>
                      <w:szCs w:val="24"/>
                    </w:rPr>
                  </w:pPr>
                </w:p>
                <w:p w:rsidR="00A6175D" w:rsidRPr="00E4135E" w:rsidRDefault="00A6175D" w:rsidP="00B364E9">
                  <w:pPr>
                    <w:spacing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A6175D" w:rsidRPr="00E4135E" w:rsidRDefault="00A6175D" w:rsidP="00B364E9">
                  <w:pPr>
                    <w:spacing w:after="120"/>
                    <w:jc w:val="both"/>
                    <w:rPr>
                      <w:b/>
                      <w:szCs w:val="24"/>
                    </w:rPr>
                  </w:pPr>
                  <w:r w:rsidRPr="00E4135E">
                    <w:rPr>
                      <w:b/>
                      <w:szCs w:val="24"/>
                    </w:rPr>
                    <w:t>Overview of the Legislative Instrument</w:t>
                  </w:r>
                </w:p>
                <w:p w:rsidR="00A6175D" w:rsidRDefault="00A6175D" w:rsidP="00B364E9">
                  <w:pPr>
                    <w:pStyle w:val="ShortT"/>
                    <w:spacing w:line="276" w:lineRule="auto"/>
                    <w:rPr>
                      <w:rFonts w:eastAsia="Calibri"/>
                      <w:b w:val="0"/>
                      <w:sz w:val="24"/>
                      <w:szCs w:val="24"/>
                    </w:rPr>
                  </w:pPr>
                  <w:r w:rsidRPr="00584CB6">
                    <w:rPr>
                      <w:rFonts w:eastAsia="Calibri"/>
                      <w:b w:val="0"/>
                      <w:sz w:val="24"/>
                      <w:szCs w:val="24"/>
                    </w:rPr>
                    <w:t>The</w:t>
                  </w:r>
                  <w:r w:rsidRPr="00584CB6">
                    <w:rPr>
                      <w:sz w:val="24"/>
                      <w:szCs w:val="24"/>
                    </w:rPr>
                    <w:t xml:space="preserve"> </w:t>
                  </w:r>
                  <w:r w:rsidRPr="00941D1E">
                    <w:rPr>
                      <w:rFonts w:eastAsia="Calibri"/>
                      <w:b w:val="0"/>
                      <w:bCs/>
                      <w:i/>
                      <w:iCs/>
                      <w:color w:val="000000"/>
                      <w:kern w:val="36"/>
                      <w:sz w:val="24"/>
                      <w:szCs w:val="24"/>
                    </w:rPr>
                    <w:t>Carbon Credits (Carbon Farming Initiative—Industrial Electricity and Fuel Efficiency) Methodology Variation 2015</w:t>
                  </w:r>
                  <w:r w:rsidRPr="00584CB6">
                    <w:rPr>
                      <w:rFonts w:eastAsia="Calibri"/>
                      <w:b w:val="0"/>
                      <w:sz w:val="24"/>
                      <w:szCs w:val="24"/>
                    </w:rPr>
                    <w:t xml:space="preserve"> (the Variation) amends the </w:t>
                  </w:r>
                  <w:r w:rsidRPr="00941D1E">
                    <w:rPr>
                      <w:rFonts w:eastAsia="Calibri"/>
                      <w:b w:val="0"/>
                      <w:bCs/>
                      <w:i/>
                      <w:iCs/>
                      <w:color w:val="000000"/>
                      <w:kern w:val="36"/>
                      <w:sz w:val="24"/>
                      <w:szCs w:val="24"/>
                    </w:rPr>
                    <w:t xml:space="preserve">Carbon Credits (Carbon Farming Initiative—Industrial Electricity and Fuel Efficiency) Methodology Determination 2015 </w:t>
                  </w:r>
                  <w:r>
                    <w:rPr>
                      <w:rFonts w:eastAsia="Calibri"/>
                      <w:b w:val="0"/>
                      <w:sz w:val="24"/>
                      <w:szCs w:val="24"/>
                    </w:rPr>
                    <w:t xml:space="preserve">(the </w:t>
                  </w:r>
                  <w:bookmarkStart w:id="0" w:name="OLE_LINK1"/>
                  <w:bookmarkStart w:id="1" w:name="OLE_LINK2"/>
                  <w:r>
                    <w:rPr>
                      <w:rFonts w:eastAsia="Calibri"/>
                      <w:b w:val="0"/>
                      <w:sz w:val="24"/>
                      <w:szCs w:val="24"/>
                    </w:rPr>
                    <w:t>Determination</w:t>
                  </w:r>
                  <w:bookmarkEnd w:id="0"/>
                  <w:bookmarkEnd w:id="1"/>
                  <w:r>
                    <w:rPr>
                      <w:rFonts w:eastAsia="Calibri"/>
                      <w:b w:val="0"/>
                      <w:sz w:val="24"/>
                      <w:szCs w:val="24"/>
                    </w:rPr>
                    <w:t xml:space="preserve">). The Variation ensures the Determination applies the </w:t>
                  </w:r>
                  <w:r w:rsidRPr="00430D3D">
                    <w:rPr>
                      <w:rFonts w:eastAsia="Calibri"/>
                      <w:b w:val="0"/>
                      <w:sz w:val="24"/>
                      <w:szCs w:val="24"/>
                    </w:rPr>
                    <w:t>same principles to the coverage of biomass fuel sources and biomass-derived energy as those under the Renewable Energy Target (RET) scheme</w:t>
                  </w:r>
                  <w:r>
                    <w:rPr>
                      <w:rFonts w:eastAsia="Calibri"/>
                      <w:b w:val="0"/>
                      <w:sz w:val="24"/>
                      <w:szCs w:val="24"/>
                    </w:rPr>
                    <w:t xml:space="preserve">. The Variation also applies in the Determination two further </w:t>
                  </w:r>
                  <w:r w:rsidRPr="00430D3D">
                    <w:rPr>
                      <w:rFonts w:eastAsia="Calibri"/>
                      <w:b w:val="0"/>
                      <w:sz w:val="24"/>
                      <w:szCs w:val="24"/>
                    </w:rPr>
                    <w:t>decay coefficient years and decay coefficients</w:t>
                  </w:r>
                  <w:r>
                    <w:rPr>
                      <w:rFonts w:eastAsia="Calibri"/>
                      <w:b w:val="0"/>
                      <w:sz w:val="24"/>
                      <w:szCs w:val="24"/>
                    </w:rPr>
                    <w:t xml:space="preserve"> to ensure that decay factors can be calculated where a project proponent chooses to delay the start of their crediting period. </w:t>
                  </w:r>
                </w:p>
                <w:p w:rsidR="00A6175D" w:rsidRPr="00E4135E" w:rsidRDefault="00A6175D" w:rsidP="00B364E9">
                  <w:pPr>
                    <w:spacing w:after="120"/>
                    <w:rPr>
                      <w:b/>
                      <w:szCs w:val="24"/>
                    </w:rPr>
                  </w:pPr>
                  <w:r w:rsidRPr="00E4135E">
                    <w:rPr>
                      <w:b/>
                      <w:szCs w:val="24"/>
                    </w:rPr>
                    <w:t>Human rights implications</w:t>
                  </w:r>
                </w:p>
                <w:p w:rsidR="00A6175D" w:rsidRDefault="00A6175D" w:rsidP="00B364E9">
                  <w:pPr>
                    <w:spacing w:after="120"/>
                    <w:rPr>
                      <w:szCs w:val="24"/>
                    </w:rPr>
                  </w:pPr>
                  <w:r w:rsidRPr="00E4135E">
                    <w:rPr>
                      <w:szCs w:val="24"/>
                    </w:rPr>
                    <w:t>This Legislative Instrument does not engage any of the applicable rights or freedoms.</w:t>
                  </w:r>
                </w:p>
                <w:p w:rsidR="00A6175D" w:rsidRPr="00E4135E" w:rsidRDefault="00A6175D" w:rsidP="00B364E9">
                  <w:pPr>
                    <w:spacing w:after="120"/>
                    <w:rPr>
                      <w:b/>
                      <w:szCs w:val="24"/>
                    </w:rPr>
                  </w:pPr>
                  <w:r w:rsidRPr="00E4135E">
                    <w:rPr>
                      <w:b/>
                      <w:szCs w:val="24"/>
                    </w:rPr>
                    <w:t>Conclusion</w:t>
                  </w:r>
                </w:p>
                <w:p w:rsidR="00A6175D" w:rsidRPr="00E4135E" w:rsidRDefault="00A6175D" w:rsidP="00B364E9">
                  <w:pPr>
                    <w:spacing w:after="120"/>
                    <w:rPr>
                      <w:szCs w:val="24"/>
                    </w:rPr>
                  </w:pPr>
                  <w:r w:rsidRPr="00E4135E">
                    <w:rPr>
                      <w:szCs w:val="24"/>
                    </w:rPr>
                    <w:t>This Legislative Instrument is compatible with human rights as it does not raise any human rights issues.</w:t>
                  </w:r>
                </w:p>
                <w:p w:rsidR="00A6175D" w:rsidRDefault="00A6175D" w:rsidP="00B364E9">
                  <w:pPr>
                    <w:spacing w:after="120"/>
                    <w:jc w:val="center"/>
                    <w:rPr>
                      <w:szCs w:val="24"/>
                    </w:rPr>
                  </w:pPr>
                </w:p>
                <w:p w:rsidR="00A6175D" w:rsidRPr="00E4135E" w:rsidRDefault="00A6175D" w:rsidP="00B364E9">
                  <w:pPr>
                    <w:spacing w:after="120"/>
                    <w:jc w:val="center"/>
                    <w:rPr>
                      <w:szCs w:val="24"/>
                    </w:rPr>
                  </w:pPr>
                </w:p>
                <w:p w:rsidR="00A6175D" w:rsidRDefault="00A6175D" w:rsidP="00B364E9">
                  <w:pPr>
                    <w:spacing w:after="120"/>
                    <w:jc w:val="center"/>
                    <w:rPr>
                      <w:b/>
                      <w:szCs w:val="24"/>
                    </w:rPr>
                  </w:pPr>
                  <w:r>
                    <w:rPr>
                      <w:b/>
                      <w:szCs w:val="24"/>
                    </w:rPr>
                    <w:t xml:space="preserve">Greg Hunt, Minister for the Environment </w:t>
                  </w:r>
                </w:p>
                <w:p w:rsidR="00A6175D" w:rsidRDefault="00A6175D" w:rsidP="00B364E9">
                  <w:pPr>
                    <w:spacing w:after="120"/>
                    <w:jc w:val="center"/>
                    <w:rPr>
                      <w:b/>
                      <w:szCs w:val="24"/>
                    </w:rPr>
                  </w:pPr>
                </w:p>
                <w:p w:rsidR="00A6175D" w:rsidRDefault="00A6175D" w:rsidP="00B364E9">
                  <w:pPr>
                    <w:spacing w:after="120"/>
                    <w:jc w:val="center"/>
                    <w:rPr>
                      <w:b/>
                      <w:szCs w:val="24"/>
                    </w:rPr>
                  </w:pPr>
                </w:p>
                <w:p w:rsidR="00A6175D" w:rsidRDefault="00A6175D" w:rsidP="00B364E9">
                  <w:pPr>
                    <w:spacing w:after="120"/>
                    <w:jc w:val="center"/>
                    <w:rPr>
                      <w:b/>
                      <w:szCs w:val="24"/>
                    </w:rPr>
                  </w:pPr>
                </w:p>
                <w:p w:rsidR="00A6175D" w:rsidRPr="00E4135E" w:rsidRDefault="00A6175D" w:rsidP="00B364E9">
                  <w:pPr>
                    <w:spacing w:after="120"/>
                    <w:jc w:val="center"/>
                    <w:rPr>
                      <w:szCs w:val="24"/>
                    </w:rPr>
                  </w:pPr>
                </w:p>
              </w:txbxContent>
            </v:textbox>
          </v:rect>
        </w:pict>
      </w:r>
    </w:p>
    <w:sectPr w:rsidR="00922D3C" w:rsidRPr="007C4FED" w:rsidSect="00CF3436">
      <w:headerReference w:type="first" r:id="rId18"/>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5D" w:rsidRDefault="00A6175D" w:rsidP="00621DDE">
      <w:r>
        <w:separator/>
      </w:r>
    </w:p>
    <w:p w:rsidR="00A6175D" w:rsidRDefault="00A6175D"/>
  </w:endnote>
  <w:endnote w:type="continuationSeparator" w:id="0">
    <w:p w:rsidR="00A6175D" w:rsidRDefault="00A6175D" w:rsidP="00621DDE">
      <w:r>
        <w:continuationSeparator/>
      </w:r>
    </w:p>
    <w:p w:rsidR="00A6175D" w:rsidRDefault="00A6175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Pr="00A6607F" w:rsidRDefault="00A6175D" w:rsidP="00A6607F">
    <w:pPr>
      <w:pStyle w:val="Footer"/>
    </w:pPr>
    <w:r>
      <w:tab/>
    </w:r>
    <w:fldSimple w:instr=" PAGE   \* MERGEFORMAT ">
      <w:r w:rsidR="00F56FD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Pr="00DF56D7" w:rsidRDefault="00A6175D" w:rsidP="00DF56D7">
    <w:pPr>
      <w:pStyle w:val="Footer"/>
      <w:tabs>
        <w:tab w:val="clear" w:pos="9026"/>
        <w:tab w:val="right" w:pos="9048"/>
        <w:tab w:val="right" w:pos="15309"/>
      </w:tabs>
    </w:pPr>
    <w:r>
      <w:tab/>
    </w:r>
    <w:fldSimple w:instr=" PAGE   \* MERGEFORMAT ">
      <w:r w:rsidR="00F56FD5">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5D" w:rsidRDefault="00A6175D" w:rsidP="00621DDE">
      <w:r>
        <w:separator/>
      </w:r>
    </w:p>
    <w:p w:rsidR="00A6175D" w:rsidRDefault="00A6175D"/>
  </w:footnote>
  <w:footnote w:type="continuationSeparator" w:id="0">
    <w:p w:rsidR="00A6175D" w:rsidRDefault="00A6175D" w:rsidP="00621DDE">
      <w:r>
        <w:continuationSeparator/>
      </w:r>
    </w:p>
    <w:p w:rsidR="00A6175D" w:rsidRDefault="00A617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Default="00A61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Default="00A617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Pr="00BC05C8" w:rsidRDefault="00A6175D" w:rsidP="00D045C1">
    <w:pPr>
      <w:jc w:val="right"/>
      <w:rPr>
        <w:u w:val="single"/>
      </w:rPr>
    </w:pPr>
    <w:r>
      <w:rPr>
        <w:u w:val="single"/>
      </w:rPr>
      <w:t>Attachment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5D" w:rsidRPr="00BC05C8" w:rsidRDefault="00A6175D" w:rsidP="00D045C1">
    <w:pPr>
      <w:jc w:val="right"/>
      <w:rPr>
        <w:u w:val="single"/>
      </w:rPr>
    </w:pPr>
    <w:r>
      <w:rPr>
        <w:u w:val="single"/>
      </w:rPr>
      <w:t>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549580"/>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35D3096"/>
    <w:multiLevelType w:val="hybridMultilevel"/>
    <w:tmpl w:val="3226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C4056"/>
    <w:multiLevelType w:val="hybridMultilevel"/>
    <w:tmpl w:val="C0E6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5022DB"/>
    <w:multiLevelType w:val="hybridMultilevel"/>
    <w:tmpl w:val="CADE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93D622B"/>
    <w:multiLevelType w:val="hybridMultilevel"/>
    <w:tmpl w:val="8E2E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BD10BA"/>
    <w:multiLevelType w:val="hybridMultilevel"/>
    <w:tmpl w:val="B0CC0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45BC2"/>
    <w:multiLevelType w:val="multilevel"/>
    <w:tmpl w:val="E5E89F92"/>
    <w:numStyleLink w:val="BulletList"/>
  </w:abstractNum>
  <w:abstractNum w:abstractNumId="9">
    <w:nsid w:val="20866268"/>
    <w:multiLevelType w:val="hybridMultilevel"/>
    <w:tmpl w:val="DC8A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952268"/>
    <w:multiLevelType w:val="hybridMultilevel"/>
    <w:tmpl w:val="2A8815D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52599D"/>
    <w:multiLevelType w:val="hybridMultilevel"/>
    <w:tmpl w:val="30F21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3">
    <w:nsid w:val="34FF5B67"/>
    <w:multiLevelType w:val="hybridMultilevel"/>
    <w:tmpl w:val="7C2C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A9C355A"/>
    <w:multiLevelType w:val="hybridMultilevel"/>
    <w:tmpl w:val="01E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243068"/>
    <w:multiLevelType w:val="hybridMultilevel"/>
    <w:tmpl w:val="FFE0F7B8"/>
    <w:lvl w:ilvl="0" w:tplc="CE4E325A">
      <w:start w:val="1"/>
      <w:numFmt w:val="decimal"/>
      <w:lvlText w:val="%1."/>
      <w:lvlJc w:val="left"/>
      <w:pPr>
        <w:ind w:left="839" w:hanging="360"/>
      </w:pPr>
      <w:rPr>
        <w:rFonts w:hint="default"/>
      </w:r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9">
    <w:nsid w:val="463C3EE3"/>
    <w:multiLevelType w:val="hybridMultilevel"/>
    <w:tmpl w:val="8758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D13F02"/>
    <w:multiLevelType w:val="hybridMultilevel"/>
    <w:tmpl w:val="FC6AF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5B29F7"/>
    <w:multiLevelType w:val="hybridMultilevel"/>
    <w:tmpl w:val="59160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B476AF4"/>
    <w:multiLevelType w:val="hybridMultilevel"/>
    <w:tmpl w:val="C34EF9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1751708"/>
    <w:multiLevelType w:val="hybridMultilevel"/>
    <w:tmpl w:val="99FA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456429"/>
    <w:multiLevelType w:val="multilevel"/>
    <w:tmpl w:val="E898CC72"/>
    <w:numStyleLink w:val="KeyPoints"/>
  </w:abstractNum>
  <w:abstractNum w:abstractNumId="26">
    <w:nsid w:val="670026AA"/>
    <w:multiLevelType w:val="hybridMultilevel"/>
    <w:tmpl w:val="037289CC"/>
    <w:lvl w:ilvl="0" w:tplc="07FCA870">
      <w:numFmt w:val="bullet"/>
      <w:lvlText w:val="•"/>
      <w:lvlJc w:val="left"/>
      <w:pPr>
        <w:ind w:left="720" w:hanging="360"/>
      </w:pPr>
      <w:rPr>
        <w:rFonts w:ascii="Times New Roman" w:eastAsia="Times New Roman" w:hAnsi="Times New Roman" w:hint="default"/>
      </w:rPr>
    </w:lvl>
    <w:lvl w:ilvl="1" w:tplc="6B2C125C" w:tentative="1">
      <w:start w:val="1"/>
      <w:numFmt w:val="bullet"/>
      <w:lvlText w:val="o"/>
      <w:lvlJc w:val="left"/>
      <w:pPr>
        <w:ind w:left="1440" w:hanging="360"/>
      </w:pPr>
      <w:rPr>
        <w:rFonts w:ascii="Courier New" w:hAnsi="Courier New" w:hint="default"/>
      </w:rPr>
    </w:lvl>
    <w:lvl w:ilvl="2" w:tplc="A7E226F8" w:tentative="1">
      <w:start w:val="1"/>
      <w:numFmt w:val="bullet"/>
      <w:lvlText w:val=""/>
      <w:lvlJc w:val="left"/>
      <w:pPr>
        <w:ind w:left="2160" w:hanging="360"/>
      </w:pPr>
      <w:rPr>
        <w:rFonts w:ascii="Wingdings" w:hAnsi="Wingdings" w:hint="default"/>
      </w:rPr>
    </w:lvl>
    <w:lvl w:ilvl="3" w:tplc="3C725A72" w:tentative="1">
      <w:start w:val="1"/>
      <w:numFmt w:val="bullet"/>
      <w:lvlText w:val=""/>
      <w:lvlJc w:val="left"/>
      <w:pPr>
        <w:ind w:left="2880" w:hanging="360"/>
      </w:pPr>
      <w:rPr>
        <w:rFonts w:ascii="Symbol" w:hAnsi="Symbol" w:hint="default"/>
      </w:rPr>
    </w:lvl>
    <w:lvl w:ilvl="4" w:tplc="3856A61A" w:tentative="1">
      <w:start w:val="1"/>
      <w:numFmt w:val="bullet"/>
      <w:lvlText w:val="o"/>
      <w:lvlJc w:val="left"/>
      <w:pPr>
        <w:ind w:left="3600" w:hanging="360"/>
      </w:pPr>
      <w:rPr>
        <w:rFonts w:ascii="Courier New" w:hAnsi="Courier New" w:hint="default"/>
      </w:rPr>
    </w:lvl>
    <w:lvl w:ilvl="5" w:tplc="B8BC8222" w:tentative="1">
      <w:start w:val="1"/>
      <w:numFmt w:val="bullet"/>
      <w:lvlText w:val=""/>
      <w:lvlJc w:val="left"/>
      <w:pPr>
        <w:ind w:left="4320" w:hanging="360"/>
      </w:pPr>
      <w:rPr>
        <w:rFonts w:ascii="Wingdings" w:hAnsi="Wingdings" w:hint="default"/>
      </w:rPr>
    </w:lvl>
    <w:lvl w:ilvl="6" w:tplc="BD0CEBF2" w:tentative="1">
      <w:start w:val="1"/>
      <w:numFmt w:val="bullet"/>
      <w:lvlText w:val=""/>
      <w:lvlJc w:val="left"/>
      <w:pPr>
        <w:ind w:left="5040" w:hanging="360"/>
      </w:pPr>
      <w:rPr>
        <w:rFonts w:ascii="Symbol" w:hAnsi="Symbol" w:hint="default"/>
      </w:rPr>
    </w:lvl>
    <w:lvl w:ilvl="7" w:tplc="69C0801A" w:tentative="1">
      <w:start w:val="1"/>
      <w:numFmt w:val="bullet"/>
      <w:lvlText w:val="o"/>
      <w:lvlJc w:val="left"/>
      <w:pPr>
        <w:ind w:left="5760" w:hanging="360"/>
      </w:pPr>
      <w:rPr>
        <w:rFonts w:ascii="Courier New" w:hAnsi="Courier New" w:hint="default"/>
      </w:rPr>
    </w:lvl>
    <w:lvl w:ilvl="8" w:tplc="C630BAB2" w:tentative="1">
      <w:start w:val="1"/>
      <w:numFmt w:val="bullet"/>
      <w:lvlText w:val=""/>
      <w:lvlJc w:val="left"/>
      <w:pPr>
        <w:ind w:left="6480" w:hanging="360"/>
      </w:pPr>
      <w:rPr>
        <w:rFonts w:ascii="Wingdings" w:hAnsi="Wingdings" w:hint="default"/>
      </w:rPr>
    </w:lvl>
  </w:abstractNum>
  <w:abstractNum w:abstractNumId="27">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8">
    <w:nsid w:val="6F8C1424"/>
    <w:multiLevelType w:val="hybridMultilevel"/>
    <w:tmpl w:val="C6123438"/>
    <w:lvl w:ilvl="0" w:tplc="BAAE48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746B0A7B"/>
    <w:multiLevelType w:val="hybridMultilevel"/>
    <w:tmpl w:val="6BC0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nsid w:val="7F3D2B6C"/>
    <w:multiLevelType w:val="hybridMultilevel"/>
    <w:tmpl w:val="1DE8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7F6DB6"/>
    <w:multiLevelType w:val="hybridMultilevel"/>
    <w:tmpl w:val="3668A3E4"/>
    <w:lvl w:ilvl="0" w:tplc="0DF84910">
      <w:start w:val="1"/>
      <w:numFmt w:val="bullet"/>
      <w:lvlText w:val=""/>
      <w:lvlJc w:val="left"/>
      <w:pPr>
        <w:ind w:left="720" w:hanging="360"/>
      </w:pPr>
      <w:rPr>
        <w:rFonts w:ascii="Symbol" w:hAnsi="Symbol" w:hint="default"/>
      </w:rPr>
    </w:lvl>
    <w:lvl w:ilvl="1" w:tplc="4E92A98C" w:tentative="1">
      <w:start w:val="1"/>
      <w:numFmt w:val="bullet"/>
      <w:lvlText w:val="o"/>
      <w:lvlJc w:val="left"/>
      <w:pPr>
        <w:ind w:left="1440" w:hanging="360"/>
      </w:pPr>
      <w:rPr>
        <w:rFonts w:ascii="Courier New" w:hAnsi="Courier New" w:cs="Courier New" w:hint="default"/>
      </w:rPr>
    </w:lvl>
    <w:lvl w:ilvl="2" w:tplc="E5883F92" w:tentative="1">
      <w:start w:val="1"/>
      <w:numFmt w:val="bullet"/>
      <w:lvlText w:val=""/>
      <w:lvlJc w:val="left"/>
      <w:pPr>
        <w:ind w:left="2160" w:hanging="360"/>
      </w:pPr>
      <w:rPr>
        <w:rFonts w:ascii="Wingdings" w:hAnsi="Wingdings" w:hint="default"/>
      </w:rPr>
    </w:lvl>
    <w:lvl w:ilvl="3" w:tplc="40E28C08" w:tentative="1">
      <w:start w:val="1"/>
      <w:numFmt w:val="bullet"/>
      <w:lvlText w:val=""/>
      <w:lvlJc w:val="left"/>
      <w:pPr>
        <w:ind w:left="2880" w:hanging="360"/>
      </w:pPr>
      <w:rPr>
        <w:rFonts w:ascii="Symbol" w:hAnsi="Symbol" w:hint="default"/>
      </w:rPr>
    </w:lvl>
    <w:lvl w:ilvl="4" w:tplc="B5BA0F6A" w:tentative="1">
      <w:start w:val="1"/>
      <w:numFmt w:val="bullet"/>
      <w:lvlText w:val="o"/>
      <w:lvlJc w:val="left"/>
      <w:pPr>
        <w:ind w:left="3600" w:hanging="360"/>
      </w:pPr>
      <w:rPr>
        <w:rFonts w:ascii="Courier New" w:hAnsi="Courier New" w:cs="Courier New" w:hint="default"/>
      </w:rPr>
    </w:lvl>
    <w:lvl w:ilvl="5" w:tplc="AC48E3BA" w:tentative="1">
      <w:start w:val="1"/>
      <w:numFmt w:val="bullet"/>
      <w:lvlText w:val=""/>
      <w:lvlJc w:val="left"/>
      <w:pPr>
        <w:ind w:left="4320" w:hanging="360"/>
      </w:pPr>
      <w:rPr>
        <w:rFonts w:ascii="Wingdings" w:hAnsi="Wingdings" w:hint="default"/>
      </w:rPr>
    </w:lvl>
    <w:lvl w:ilvl="6" w:tplc="0D002A1A" w:tentative="1">
      <w:start w:val="1"/>
      <w:numFmt w:val="bullet"/>
      <w:lvlText w:val=""/>
      <w:lvlJc w:val="left"/>
      <w:pPr>
        <w:ind w:left="5040" w:hanging="360"/>
      </w:pPr>
      <w:rPr>
        <w:rFonts w:ascii="Symbol" w:hAnsi="Symbol" w:hint="default"/>
      </w:rPr>
    </w:lvl>
    <w:lvl w:ilvl="7" w:tplc="77627266" w:tentative="1">
      <w:start w:val="1"/>
      <w:numFmt w:val="bullet"/>
      <w:lvlText w:val="o"/>
      <w:lvlJc w:val="left"/>
      <w:pPr>
        <w:ind w:left="5760" w:hanging="360"/>
      </w:pPr>
      <w:rPr>
        <w:rFonts w:ascii="Courier New" w:hAnsi="Courier New" w:cs="Courier New" w:hint="default"/>
      </w:rPr>
    </w:lvl>
    <w:lvl w:ilvl="8" w:tplc="4B9E7BDC"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1"/>
  </w:num>
  <w:num w:numId="4">
    <w:abstractNumId w:val="1"/>
  </w:num>
  <w:num w:numId="5">
    <w:abstractNumId w:val="14"/>
  </w:num>
  <w:num w:numId="6">
    <w:abstractNumId w:val="25"/>
  </w:num>
  <w:num w:numId="7">
    <w:abstractNumId w:val="8"/>
  </w:num>
  <w:num w:numId="8">
    <w:abstractNumId w:val="26"/>
  </w:num>
  <w:num w:numId="9">
    <w:abstractNumId w:val="33"/>
  </w:num>
  <w:num w:numId="10">
    <w:abstractNumId w:val="5"/>
  </w:num>
  <w:num w:numId="11">
    <w:abstractNumId w:val="23"/>
  </w:num>
  <w:num w:numId="12">
    <w:abstractNumId w:val="9"/>
  </w:num>
  <w:num w:numId="13">
    <w:abstractNumId w:val="18"/>
  </w:num>
  <w:num w:numId="14">
    <w:abstractNumId w:val="21"/>
  </w:num>
  <w:num w:numId="15">
    <w:abstractNumId w:val="22"/>
  </w:num>
  <w:num w:numId="16">
    <w:abstractNumId w:val="20"/>
  </w:num>
  <w:num w:numId="17">
    <w:abstractNumId w:val="24"/>
  </w:num>
  <w:num w:numId="18">
    <w:abstractNumId w:val="13"/>
  </w:num>
  <w:num w:numId="19">
    <w:abstractNumId w:val="3"/>
  </w:num>
  <w:num w:numId="20">
    <w:abstractNumId w:val="29"/>
  </w:num>
  <w:num w:numId="21">
    <w:abstractNumId w:val="29"/>
  </w:num>
  <w:num w:numId="22">
    <w:abstractNumId w:val="7"/>
  </w:num>
  <w:num w:numId="23">
    <w:abstractNumId w:val="6"/>
  </w:num>
  <w:num w:numId="24">
    <w:abstractNumId w:val="17"/>
  </w:num>
  <w:num w:numId="25">
    <w:abstractNumId w:val="2"/>
  </w:num>
  <w:num w:numId="26">
    <w:abstractNumId w:val="4"/>
  </w:num>
  <w:num w:numId="27">
    <w:abstractNumId w:val="15"/>
  </w:num>
  <w:num w:numId="28">
    <w:abstractNumId w:val="30"/>
  </w:num>
  <w:num w:numId="29">
    <w:abstractNumId w:val="11"/>
  </w:num>
  <w:num w:numId="30">
    <w:abstractNumId w:val="19"/>
  </w:num>
  <w:num w:numId="31">
    <w:abstractNumId w:val="16"/>
  </w:num>
  <w:num w:numId="32">
    <w:abstractNumId w:val="10"/>
  </w:num>
  <w:num w:numId="33">
    <w:abstractNumId w:val="28"/>
  </w:num>
  <w:num w:numId="34">
    <w:abstractNumId w:val="32"/>
  </w:num>
  <w:num w:numId="35">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1028"/>
  <w:stylePaneSortMethod w:val="0000"/>
  <w:trackRevisions/>
  <w:doNotTrackFormatting/>
  <w:defaultTabStop w:val="720"/>
  <w:drawingGridHorizontalSpacing w:val="120"/>
  <w:displayHorizontalDrawingGridEvery w:val="2"/>
  <w:doNotShadeFormData/>
  <w:characterSpacingControl w:val="doNotCompress"/>
  <w:hdrShapeDefaults>
    <o:shapedefaults v:ext="edit" spidmax="100353"/>
  </w:hdrShapeDefaults>
  <w:footnotePr>
    <w:footnote w:id="-1"/>
    <w:footnote w:id="0"/>
  </w:footnotePr>
  <w:endnotePr>
    <w:endnote w:id="-1"/>
    <w:endnote w:id="0"/>
  </w:endnotePr>
  <w:compat/>
  <w:rsids>
    <w:rsidRoot w:val="00A57799"/>
    <w:rsid w:val="0000025A"/>
    <w:rsid w:val="00001CDD"/>
    <w:rsid w:val="00002908"/>
    <w:rsid w:val="000035A2"/>
    <w:rsid w:val="00005399"/>
    <w:rsid w:val="000056C0"/>
    <w:rsid w:val="00005701"/>
    <w:rsid w:val="00007156"/>
    <w:rsid w:val="000072D2"/>
    <w:rsid w:val="00007323"/>
    <w:rsid w:val="00007D1D"/>
    <w:rsid w:val="0001095D"/>
    <w:rsid w:val="00010EB4"/>
    <w:rsid w:val="00010FF8"/>
    <w:rsid w:val="000117CD"/>
    <w:rsid w:val="00011B30"/>
    <w:rsid w:val="00011C13"/>
    <w:rsid w:val="000125B2"/>
    <w:rsid w:val="0001274A"/>
    <w:rsid w:val="000138A0"/>
    <w:rsid w:val="00015FB6"/>
    <w:rsid w:val="0001687B"/>
    <w:rsid w:val="00016B16"/>
    <w:rsid w:val="00017CCD"/>
    <w:rsid w:val="00017F38"/>
    <w:rsid w:val="00020055"/>
    <w:rsid w:val="0002096F"/>
    <w:rsid w:val="00020CD3"/>
    <w:rsid w:val="000218C0"/>
    <w:rsid w:val="00021E9F"/>
    <w:rsid w:val="000228D3"/>
    <w:rsid w:val="00023365"/>
    <w:rsid w:val="00023835"/>
    <w:rsid w:val="00023C79"/>
    <w:rsid w:val="00023F52"/>
    <w:rsid w:val="00024BAB"/>
    <w:rsid w:val="00025877"/>
    <w:rsid w:val="00025C0F"/>
    <w:rsid w:val="0002619A"/>
    <w:rsid w:val="00026AA6"/>
    <w:rsid w:val="00026D62"/>
    <w:rsid w:val="00026F47"/>
    <w:rsid w:val="00030056"/>
    <w:rsid w:val="000302F7"/>
    <w:rsid w:val="000304C0"/>
    <w:rsid w:val="00030DC5"/>
    <w:rsid w:val="00032305"/>
    <w:rsid w:val="000326C3"/>
    <w:rsid w:val="00032C01"/>
    <w:rsid w:val="00032E42"/>
    <w:rsid w:val="00032EBE"/>
    <w:rsid w:val="0003333F"/>
    <w:rsid w:val="000338D6"/>
    <w:rsid w:val="00034279"/>
    <w:rsid w:val="0003474E"/>
    <w:rsid w:val="00034F23"/>
    <w:rsid w:val="0003511C"/>
    <w:rsid w:val="0003516A"/>
    <w:rsid w:val="00035A0B"/>
    <w:rsid w:val="00036128"/>
    <w:rsid w:val="0003613D"/>
    <w:rsid w:val="0003616F"/>
    <w:rsid w:val="00036E9F"/>
    <w:rsid w:val="0003786B"/>
    <w:rsid w:val="0004004E"/>
    <w:rsid w:val="00040212"/>
    <w:rsid w:val="000411C7"/>
    <w:rsid w:val="0004128E"/>
    <w:rsid w:val="000413E2"/>
    <w:rsid w:val="000417C6"/>
    <w:rsid w:val="00041FFC"/>
    <w:rsid w:val="000420F2"/>
    <w:rsid w:val="00042435"/>
    <w:rsid w:val="00042633"/>
    <w:rsid w:val="0004268A"/>
    <w:rsid w:val="000427C1"/>
    <w:rsid w:val="00042C4B"/>
    <w:rsid w:val="000431A9"/>
    <w:rsid w:val="00043236"/>
    <w:rsid w:val="000435CA"/>
    <w:rsid w:val="000439C8"/>
    <w:rsid w:val="00044385"/>
    <w:rsid w:val="000443E5"/>
    <w:rsid w:val="00044431"/>
    <w:rsid w:val="0004477A"/>
    <w:rsid w:val="0004490C"/>
    <w:rsid w:val="00044C6F"/>
    <w:rsid w:val="00044D22"/>
    <w:rsid w:val="00045E28"/>
    <w:rsid w:val="000460D7"/>
    <w:rsid w:val="000465D0"/>
    <w:rsid w:val="00047C06"/>
    <w:rsid w:val="000500EC"/>
    <w:rsid w:val="0005046E"/>
    <w:rsid w:val="00051D53"/>
    <w:rsid w:val="00051FE6"/>
    <w:rsid w:val="0005212E"/>
    <w:rsid w:val="000528DD"/>
    <w:rsid w:val="00052FAD"/>
    <w:rsid w:val="00053937"/>
    <w:rsid w:val="0005569F"/>
    <w:rsid w:val="0005585F"/>
    <w:rsid w:val="00057551"/>
    <w:rsid w:val="00057663"/>
    <w:rsid w:val="000618CD"/>
    <w:rsid w:val="00061A30"/>
    <w:rsid w:val="00062053"/>
    <w:rsid w:val="00062A29"/>
    <w:rsid w:val="00062BBF"/>
    <w:rsid w:val="00062CE3"/>
    <w:rsid w:val="000632DC"/>
    <w:rsid w:val="00063614"/>
    <w:rsid w:val="00063DBB"/>
    <w:rsid w:val="00064B6A"/>
    <w:rsid w:val="00064D23"/>
    <w:rsid w:val="00064E18"/>
    <w:rsid w:val="00065A89"/>
    <w:rsid w:val="00065C07"/>
    <w:rsid w:val="00065CB4"/>
    <w:rsid w:val="00065FF7"/>
    <w:rsid w:val="000667DB"/>
    <w:rsid w:val="00066BFC"/>
    <w:rsid w:val="000677D8"/>
    <w:rsid w:val="000702AB"/>
    <w:rsid w:val="00070626"/>
    <w:rsid w:val="00070BEE"/>
    <w:rsid w:val="00071634"/>
    <w:rsid w:val="000716AB"/>
    <w:rsid w:val="0007283B"/>
    <w:rsid w:val="00073371"/>
    <w:rsid w:val="0007375A"/>
    <w:rsid w:val="0007385A"/>
    <w:rsid w:val="00073BF5"/>
    <w:rsid w:val="00074182"/>
    <w:rsid w:val="00074500"/>
    <w:rsid w:val="000751CD"/>
    <w:rsid w:val="000756E4"/>
    <w:rsid w:val="000764CD"/>
    <w:rsid w:val="000767E8"/>
    <w:rsid w:val="000769F2"/>
    <w:rsid w:val="00076B50"/>
    <w:rsid w:val="00076BF8"/>
    <w:rsid w:val="00077095"/>
    <w:rsid w:val="000774C1"/>
    <w:rsid w:val="0008048E"/>
    <w:rsid w:val="00080C79"/>
    <w:rsid w:val="00080CE0"/>
    <w:rsid w:val="00080D9A"/>
    <w:rsid w:val="00080FE9"/>
    <w:rsid w:val="0008121E"/>
    <w:rsid w:val="000819BE"/>
    <w:rsid w:val="00081B55"/>
    <w:rsid w:val="000822CF"/>
    <w:rsid w:val="000822E2"/>
    <w:rsid w:val="000855F0"/>
    <w:rsid w:val="00085855"/>
    <w:rsid w:val="00086355"/>
    <w:rsid w:val="00086515"/>
    <w:rsid w:val="000870E8"/>
    <w:rsid w:val="0008730F"/>
    <w:rsid w:val="000875D5"/>
    <w:rsid w:val="00087B83"/>
    <w:rsid w:val="00087BD5"/>
    <w:rsid w:val="000903E8"/>
    <w:rsid w:val="0009062C"/>
    <w:rsid w:val="000917D6"/>
    <w:rsid w:val="00091AA9"/>
    <w:rsid w:val="00091DF6"/>
    <w:rsid w:val="0009205E"/>
    <w:rsid w:val="00092852"/>
    <w:rsid w:val="00093293"/>
    <w:rsid w:val="00094661"/>
    <w:rsid w:val="00094ACE"/>
    <w:rsid w:val="00094C2F"/>
    <w:rsid w:val="00095BF5"/>
    <w:rsid w:val="00096064"/>
    <w:rsid w:val="00096619"/>
    <w:rsid w:val="00096C07"/>
    <w:rsid w:val="000971F1"/>
    <w:rsid w:val="0009737B"/>
    <w:rsid w:val="0009799F"/>
    <w:rsid w:val="000A00A9"/>
    <w:rsid w:val="000A1221"/>
    <w:rsid w:val="000A1673"/>
    <w:rsid w:val="000A1F23"/>
    <w:rsid w:val="000A259B"/>
    <w:rsid w:val="000A2966"/>
    <w:rsid w:val="000A29B4"/>
    <w:rsid w:val="000A2EFA"/>
    <w:rsid w:val="000A40E0"/>
    <w:rsid w:val="000A4748"/>
    <w:rsid w:val="000A6C66"/>
    <w:rsid w:val="000A7112"/>
    <w:rsid w:val="000A79E3"/>
    <w:rsid w:val="000A7B9D"/>
    <w:rsid w:val="000B0108"/>
    <w:rsid w:val="000B0324"/>
    <w:rsid w:val="000B03F4"/>
    <w:rsid w:val="000B0D6E"/>
    <w:rsid w:val="000B1A2F"/>
    <w:rsid w:val="000B1ECA"/>
    <w:rsid w:val="000B217A"/>
    <w:rsid w:val="000B220D"/>
    <w:rsid w:val="000B2B98"/>
    <w:rsid w:val="000B365E"/>
    <w:rsid w:val="000B37F2"/>
    <w:rsid w:val="000B3A3D"/>
    <w:rsid w:val="000B4376"/>
    <w:rsid w:val="000B44B5"/>
    <w:rsid w:val="000B4A03"/>
    <w:rsid w:val="000B5356"/>
    <w:rsid w:val="000B55F8"/>
    <w:rsid w:val="000B6684"/>
    <w:rsid w:val="000B66BD"/>
    <w:rsid w:val="000B72BA"/>
    <w:rsid w:val="000B7333"/>
    <w:rsid w:val="000B74F9"/>
    <w:rsid w:val="000B7C94"/>
    <w:rsid w:val="000B7F6A"/>
    <w:rsid w:val="000C2977"/>
    <w:rsid w:val="000C2A65"/>
    <w:rsid w:val="000C319A"/>
    <w:rsid w:val="000C332B"/>
    <w:rsid w:val="000C3DCA"/>
    <w:rsid w:val="000C403B"/>
    <w:rsid w:val="000C407B"/>
    <w:rsid w:val="000C415C"/>
    <w:rsid w:val="000C42ED"/>
    <w:rsid w:val="000C42F0"/>
    <w:rsid w:val="000C4EFB"/>
    <w:rsid w:val="000C5E44"/>
    <w:rsid w:val="000C6007"/>
    <w:rsid w:val="000C6377"/>
    <w:rsid w:val="000C6E0A"/>
    <w:rsid w:val="000C73D9"/>
    <w:rsid w:val="000D0A80"/>
    <w:rsid w:val="000D1A62"/>
    <w:rsid w:val="000D313B"/>
    <w:rsid w:val="000D344E"/>
    <w:rsid w:val="000D3815"/>
    <w:rsid w:val="000D40C6"/>
    <w:rsid w:val="000D40DE"/>
    <w:rsid w:val="000D428A"/>
    <w:rsid w:val="000D4835"/>
    <w:rsid w:val="000D5160"/>
    <w:rsid w:val="000D5647"/>
    <w:rsid w:val="000D5B81"/>
    <w:rsid w:val="000D7ABC"/>
    <w:rsid w:val="000E094A"/>
    <w:rsid w:val="000E0A6A"/>
    <w:rsid w:val="000E0B2B"/>
    <w:rsid w:val="000E1326"/>
    <w:rsid w:val="000E1CEF"/>
    <w:rsid w:val="000E2636"/>
    <w:rsid w:val="000E2688"/>
    <w:rsid w:val="000E2C4A"/>
    <w:rsid w:val="000E2F16"/>
    <w:rsid w:val="000E3331"/>
    <w:rsid w:val="000E47CC"/>
    <w:rsid w:val="000E4C9E"/>
    <w:rsid w:val="000E59B9"/>
    <w:rsid w:val="000E6B98"/>
    <w:rsid w:val="000E6FE1"/>
    <w:rsid w:val="000E752F"/>
    <w:rsid w:val="000E7B70"/>
    <w:rsid w:val="000F0066"/>
    <w:rsid w:val="000F029F"/>
    <w:rsid w:val="000F037B"/>
    <w:rsid w:val="000F0469"/>
    <w:rsid w:val="000F0F7A"/>
    <w:rsid w:val="000F2188"/>
    <w:rsid w:val="000F2BC7"/>
    <w:rsid w:val="000F2F4A"/>
    <w:rsid w:val="000F340F"/>
    <w:rsid w:val="000F3FCD"/>
    <w:rsid w:val="000F40C5"/>
    <w:rsid w:val="000F4AA2"/>
    <w:rsid w:val="000F4F39"/>
    <w:rsid w:val="000F5C9D"/>
    <w:rsid w:val="000F5FD7"/>
    <w:rsid w:val="000F6000"/>
    <w:rsid w:val="000F6397"/>
    <w:rsid w:val="000F6E5B"/>
    <w:rsid w:val="000F737D"/>
    <w:rsid w:val="000F79CB"/>
    <w:rsid w:val="0010160B"/>
    <w:rsid w:val="00101D54"/>
    <w:rsid w:val="001023CD"/>
    <w:rsid w:val="001028AC"/>
    <w:rsid w:val="00102BE6"/>
    <w:rsid w:val="00103C61"/>
    <w:rsid w:val="00104196"/>
    <w:rsid w:val="00104583"/>
    <w:rsid w:val="00106067"/>
    <w:rsid w:val="00106090"/>
    <w:rsid w:val="00106521"/>
    <w:rsid w:val="00106F0E"/>
    <w:rsid w:val="00107139"/>
    <w:rsid w:val="00107785"/>
    <w:rsid w:val="0010783B"/>
    <w:rsid w:val="001101CA"/>
    <w:rsid w:val="00111C7B"/>
    <w:rsid w:val="00111E99"/>
    <w:rsid w:val="0011264E"/>
    <w:rsid w:val="00112830"/>
    <w:rsid w:val="00112A2A"/>
    <w:rsid w:val="00112AD1"/>
    <w:rsid w:val="00113027"/>
    <w:rsid w:val="001131B9"/>
    <w:rsid w:val="00113A00"/>
    <w:rsid w:val="00114722"/>
    <w:rsid w:val="00114949"/>
    <w:rsid w:val="00115283"/>
    <w:rsid w:val="001157E7"/>
    <w:rsid w:val="00116876"/>
    <w:rsid w:val="001168A1"/>
    <w:rsid w:val="00116A3E"/>
    <w:rsid w:val="00116D3C"/>
    <w:rsid w:val="00116FC2"/>
    <w:rsid w:val="00117783"/>
    <w:rsid w:val="00117D39"/>
    <w:rsid w:val="00117EAD"/>
    <w:rsid w:val="00120047"/>
    <w:rsid w:val="0012034F"/>
    <w:rsid w:val="0012081F"/>
    <w:rsid w:val="0012174D"/>
    <w:rsid w:val="00121D29"/>
    <w:rsid w:val="00121FEF"/>
    <w:rsid w:val="00122288"/>
    <w:rsid w:val="001222B0"/>
    <w:rsid w:val="00122554"/>
    <w:rsid w:val="0012429A"/>
    <w:rsid w:val="00125031"/>
    <w:rsid w:val="001250A6"/>
    <w:rsid w:val="0012624E"/>
    <w:rsid w:val="00127496"/>
    <w:rsid w:val="00127555"/>
    <w:rsid w:val="001279C8"/>
    <w:rsid w:val="00130448"/>
    <w:rsid w:val="001309AA"/>
    <w:rsid w:val="00130E38"/>
    <w:rsid w:val="0013107F"/>
    <w:rsid w:val="001316DA"/>
    <w:rsid w:val="00132367"/>
    <w:rsid w:val="0013263E"/>
    <w:rsid w:val="001326CF"/>
    <w:rsid w:val="00133478"/>
    <w:rsid w:val="001336AE"/>
    <w:rsid w:val="0013391A"/>
    <w:rsid w:val="00133E53"/>
    <w:rsid w:val="00133F4A"/>
    <w:rsid w:val="0013436E"/>
    <w:rsid w:val="001346EE"/>
    <w:rsid w:val="00135304"/>
    <w:rsid w:val="00135748"/>
    <w:rsid w:val="00135884"/>
    <w:rsid w:val="00135CB6"/>
    <w:rsid w:val="00136240"/>
    <w:rsid w:val="00136C4D"/>
    <w:rsid w:val="00136F33"/>
    <w:rsid w:val="00137328"/>
    <w:rsid w:val="001375DF"/>
    <w:rsid w:val="00137923"/>
    <w:rsid w:val="00137968"/>
    <w:rsid w:val="001403F3"/>
    <w:rsid w:val="0014075D"/>
    <w:rsid w:val="0014141F"/>
    <w:rsid w:val="00141745"/>
    <w:rsid w:val="00141AE1"/>
    <w:rsid w:val="001422C9"/>
    <w:rsid w:val="0014261B"/>
    <w:rsid w:val="00142819"/>
    <w:rsid w:val="0014399C"/>
    <w:rsid w:val="00143FE6"/>
    <w:rsid w:val="001443B6"/>
    <w:rsid w:val="001445B4"/>
    <w:rsid w:val="001446CE"/>
    <w:rsid w:val="00144D47"/>
    <w:rsid w:val="0014543F"/>
    <w:rsid w:val="00145961"/>
    <w:rsid w:val="00145EFB"/>
    <w:rsid w:val="001462F7"/>
    <w:rsid w:val="00146DCD"/>
    <w:rsid w:val="00146FA7"/>
    <w:rsid w:val="00147090"/>
    <w:rsid w:val="001473C6"/>
    <w:rsid w:val="00147AFF"/>
    <w:rsid w:val="00150170"/>
    <w:rsid w:val="001503E0"/>
    <w:rsid w:val="001504A6"/>
    <w:rsid w:val="001518DE"/>
    <w:rsid w:val="00152043"/>
    <w:rsid w:val="001534B5"/>
    <w:rsid w:val="00154010"/>
    <w:rsid w:val="0015482E"/>
    <w:rsid w:val="0015492E"/>
    <w:rsid w:val="00154E19"/>
    <w:rsid w:val="00154FF9"/>
    <w:rsid w:val="001552BF"/>
    <w:rsid w:val="0015534B"/>
    <w:rsid w:val="00155752"/>
    <w:rsid w:val="00155BC8"/>
    <w:rsid w:val="00156605"/>
    <w:rsid w:val="00156E43"/>
    <w:rsid w:val="001570F0"/>
    <w:rsid w:val="00160264"/>
    <w:rsid w:val="00161103"/>
    <w:rsid w:val="001613F8"/>
    <w:rsid w:val="00161AAD"/>
    <w:rsid w:val="00161E72"/>
    <w:rsid w:val="00162535"/>
    <w:rsid w:val="001628ED"/>
    <w:rsid w:val="0016339A"/>
    <w:rsid w:val="00163594"/>
    <w:rsid w:val="00163BC1"/>
    <w:rsid w:val="00163D7F"/>
    <w:rsid w:val="001642E7"/>
    <w:rsid w:val="001645EF"/>
    <w:rsid w:val="00164843"/>
    <w:rsid w:val="00164A10"/>
    <w:rsid w:val="00164C12"/>
    <w:rsid w:val="00164CA5"/>
    <w:rsid w:val="00164E25"/>
    <w:rsid w:val="001660E3"/>
    <w:rsid w:val="0016677B"/>
    <w:rsid w:val="00166C3A"/>
    <w:rsid w:val="00166FBE"/>
    <w:rsid w:val="0016703E"/>
    <w:rsid w:val="00167688"/>
    <w:rsid w:val="001678BF"/>
    <w:rsid w:val="0016792D"/>
    <w:rsid w:val="00167998"/>
    <w:rsid w:val="00167A3E"/>
    <w:rsid w:val="001701E7"/>
    <w:rsid w:val="001707AE"/>
    <w:rsid w:val="001707E8"/>
    <w:rsid w:val="00170DF0"/>
    <w:rsid w:val="001713BD"/>
    <w:rsid w:val="00173107"/>
    <w:rsid w:val="0017339F"/>
    <w:rsid w:val="001735EC"/>
    <w:rsid w:val="00173648"/>
    <w:rsid w:val="001737B1"/>
    <w:rsid w:val="00173B0A"/>
    <w:rsid w:val="00173DCB"/>
    <w:rsid w:val="00175155"/>
    <w:rsid w:val="00175443"/>
    <w:rsid w:val="00175A80"/>
    <w:rsid w:val="00176018"/>
    <w:rsid w:val="00176212"/>
    <w:rsid w:val="00176B65"/>
    <w:rsid w:val="00177011"/>
    <w:rsid w:val="0017756B"/>
    <w:rsid w:val="001775B7"/>
    <w:rsid w:val="001807B0"/>
    <w:rsid w:val="00180C2D"/>
    <w:rsid w:val="00180E10"/>
    <w:rsid w:val="001810B6"/>
    <w:rsid w:val="00181B12"/>
    <w:rsid w:val="00183197"/>
    <w:rsid w:val="0018344C"/>
    <w:rsid w:val="00183A0A"/>
    <w:rsid w:val="00183E93"/>
    <w:rsid w:val="001849F1"/>
    <w:rsid w:val="00184A83"/>
    <w:rsid w:val="0018535B"/>
    <w:rsid w:val="0018599C"/>
    <w:rsid w:val="00186B1B"/>
    <w:rsid w:val="00186E01"/>
    <w:rsid w:val="00186ECE"/>
    <w:rsid w:val="00186EE0"/>
    <w:rsid w:val="00187651"/>
    <w:rsid w:val="00187D6C"/>
    <w:rsid w:val="001907D8"/>
    <w:rsid w:val="00190830"/>
    <w:rsid w:val="0019095C"/>
    <w:rsid w:val="001929A8"/>
    <w:rsid w:val="001930A2"/>
    <w:rsid w:val="0019355A"/>
    <w:rsid w:val="00193B71"/>
    <w:rsid w:val="00194971"/>
    <w:rsid w:val="0019533B"/>
    <w:rsid w:val="001955B5"/>
    <w:rsid w:val="00195EDD"/>
    <w:rsid w:val="00196164"/>
    <w:rsid w:val="001961B4"/>
    <w:rsid w:val="001966E7"/>
    <w:rsid w:val="0019770A"/>
    <w:rsid w:val="001977E5"/>
    <w:rsid w:val="001A0110"/>
    <w:rsid w:val="001A075F"/>
    <w:rsid w:val="001A0B36"/>
    <w:rsid w:val="001A1DDF"/>
    <w:rsid w:val="001A3A64"/>
    <w:rsid w:val="001A3B3E"/>
    <w:rsid w:val="001A3FAD"/>
    <w:rsid w:val="001A4543"/>
    <w:rsid w:val="001A4661"/>
    <w:rsid w:val="001A46E2"/>
    <w:rsid w:val="001A49CF"/>
    <w:rsid w:val="001A4FB4"/>
    <w:rsid w:val="001A55EF"/>
    <w:rsid w:val="001A5DD9"/>
    <w:rsid w:val="001A636C"/>
    <w:rsid w:val="001A7597"/>
    <w:rsid w:val="001A7A9C"/>
    <w:rsid w:val="001A7BBA"/>
    <w:rsid w:val="001B0BE6"/>
    <w:rsid w:val="001B0C2C"/>
    <w:rsid w:val="001B0E1A"/>
    <w:rsid w:val="001B1008"/>
    <w:rsid w:val="001B11F0"/>
    <w:rsid w:val="001B13EE"/>
    <w:rsid w:val="001B1471"/>
    <w:rsid w:val="001B16B5"/>
    <w:rsid w:val="001B1E8D"/>
    <w:rsid w:val="001B24A4"/>
    <w:rsid w:val="001B2B87"/>
    <w:rsid w:val="001B2CE1"/>
    <w:rsid w:val="001B2FBE"/>
    <w:rsid w:val="001B3DA1"/>
    <w:rsid w:val="001B457F"/>
    <w:rsid w:val="001B5572"/>
    <w:rsid w:val="001B55E1"/>
    <w:rsid w:val="001B569F"/>
    <w:rsid w:val="001B5F1F"/>
    <w:rsid w:val="001B671C"/>
    <w:rsid w:val="001C0A13"/>
    <w:rsid w:val="001C131C"/>
    <w:rsid w:val="001C1E04"/>
    <w:rsid w:val="001C1EEE"/>
    <w:rsid w:val="001C1F90"/>
    <w:rsid w:val="001C1FE0"/>
    <w:rsid w:val="001C2039"/>
    <w:rsid w:val="001C298B"/>
    <w:rsid w:val="001C2D61"/>
    <w:rsid w:val="001C33B1"/>
    <w:rsid w:val="001C35BA"/>
    <w:rsid w:val="001C3857"/>
    <w:rsid w:val="001C3C2B"/>
    <w:rsid w:val="001C3DFF"/>
    <w:rsid w:val="001C401C"/>
    <w:rsid w:val="001C426A"/>
    <w:rsid w:val="001C4F4D"/>
    <w:rsid w:val="001C5314"/>
    <w:rsid w:val="001C695E"/>
    <w:rsid w:val="001C6E48"/>
    <w:rsid w:val="001C77A2"/>
    <w:rsid w:val="001D0102"/>
    <w:rsid w:val="001D1214"/>
    <w:rsid w:val="001D1969"/>
    <w:rsid w:val="001D1D96"/>
    <w:rsid w:val="001D3C0D"/>
    <w:rsid w:val="001D3C5D"/>
    <w:rsid w:val="001D3E6E"/>
    <w:rsid w:val="001D4F87"/>
    <w:rsid w:val="001D5BA8"/>
    <w:rsid w:val="001D5F82"/>
    <w:rsid w:val="001D65D9"/>
    <w:rsid w:val="001D6F3D"/>
    <w:rsid w:val="001D7000"/>
    <w:rsid w:val="001D72AE"/>
    <w:rsid w:val="001D77AA"/>
    <w:rsid w:val="001D7900"/>
    <w:rsid w:val="001E0058"/>
    <w:rsid w:val="001E0114"/>
    <w:rsid w:val="001E0DAF"/>
    <w:rsid w:val="001E107B"/>
    <w:rsid w:val="001E195D"/>
    <w:rsid w:val="001E2DA6"/>
    <w:rsid w:val="001E3771"/>
    <w:rsid w:val="001E4674"/>
    <w:rsid w:val="001E55A6"/>
    <w:rsid w:val="001E617E"/>
    <w:rsid w:val="001E629C"/>
    <w:rsid w:val="001E6A08"/>
    <w:rsid w:val="001E77A3"/>
    <w:rsid w:val="001E7987"/>
    <w:rsid w:val="001F0044"/>
    <w:rsid w:val="001F0792"/>
    <w:rsid w:val="001F0962"/>
    <w:rsid w:val="001F1699"/>
    <w:rsid w:val="001F1939"/>
    <w:rsid w:val="001F2B92"/>
    <w:rsid w:val="001F2D71"/>
    <w:rsid w:val="001F39F2"/>
    <w:rsid w:val="001F4C09"/>
    <w:rsid w:val="001F6667"/>
    <w:rsid w:val="001F6803"/>
    <w:rsid w:val="001F6E16"/>
    <w:rsid w:val="001F7286"/>
    <w:rsid w:val="001F748C"/>
    <w:rsid w:val="001F74E2"/>
    <w:rsid w:val="001F75BA"/>
    <w:rsid w:val="00200551"/>
    <w:rsid w:val="0020112E"/>
    <w:rsid w:val="002012AB"/>
    <w:rsid w:val="00201D81"/>
    <w:rsid w:val="002022A3"/>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490"/>
    <w:rsid w:val="00214038"/>
    <w:rsid w:val="00215230"/>
    <w:rsid w:val="0021603A"/>
    <w:rsid w:val="002161AE"/>
    <w:rsid w:val="002166C0"/>
    <w:rsid w:val="00216746"/>
    <w:rsid w:val="0021677C"/>
    <w:rsid w:val="00217082"/>
    <w:rsid w:val="002175C6"/>
    <w:rsid w:val="002200F3"/>
    <w:rsid w:val="002204ED"/>
    <w:rsid w:val="00221059"/>
    <w:rsid w:val="00221322"/>
    <w:rsid w:val="00221778"/>
    <w:rsid w:val="00221995"/>
    <w:rsid w:val="002219D1"/>
    <w:rsid w:val="00221A1D"/>
    <w:rsid w:val="00222092"/>
    <w:rsid w:val="0022259F"/>
    <w:rsid w:val="00223982"/>
    <w:rsid w:val="00223AB4"/>
    <w:rsid w:val="00224912"/>
    <w:rsid w:val="00224FCE"/>
    <w:rsid w:val="002250C9"/>
    <w:rsid w:val="00225113"/>
    <w:rsid w:val="002260B2"/>
    <w:rsid w:val="002262B8"/>
    <w:rsid w:val="002267CA"/>
    <w:rsid w:val="00227545"/>
    <w:rsid w:val="002307E7"/>
    <w:rsid w:val="00230DEA"/>
    <w:rsid w:val="00232CB0"/>
    <w:rsid w:val="00232D5B"/>
    <w:rsid w:val="0023402E"/>
    <w:rsid w:val="0023407C"/>
    <w:rsid w:val="0023446C"/>
    <w:rsid w:val="00234ADE"/>
    <w:rsid w:val="00237140"/>
    <w:rsid w:val="00240094"/>
    <w:rsid w:val="002400BD"/>
    <w:rsid w:val="00240104"/>
    <w:rsid w:val="002406B7"/>
    <w:rsid w:val="00240927"/>
    <w:rsid w:val="0024096C"/>
    <w:rsid w:val="002417AA"/>
    <w:rsid w:val="00241904"/>
    <w:rsid w:val="002419B8"/>
    <w:rsid w:val="00241F1D"/>
    <w:rsid w:val="0024216C"/>
    <w:rsid w:val="00243131"/>
    <w:rsid w:val="00243A93"/>
    <w:rsid w:val="00243B0F"/>
    <w:rsid w:val="00243D8E"/>
    <w:rsid w:val="00243EE6"/>
    <w:rsid w:val="0024431E"/>
    <w:rsid w:val="0024500C"/>
    <w:rsid w:val="0024563A"/>
    <w:rsid w:val="002459C4"/>
    <w:rsid w:val="00245C29"/>
    <w:rsid w:val="00246B92"/>
    <w:rsid w:val="00246BFB"/>
    <w:rsid w:val="00246F14"/>
    <w:rsid w:val="00246F90"/>
    <w:rsid w:val="00247076"/>
    <w:rsid w:val="002473F7"/>
    <w:rsid w:val="00247789"/>
    <w:rsid w:val="0025005E"/>
    <w:rsid w:val="00251253"/>
    <w:rsid w:val="002522D6"/>
    <w:rsid w:val="00252868"/>
    <w:rsid w:val="00252B99"/>
    <w:rsid w:val="00252F9A"/>
    <w:rsid w:val="00253A1B"/>
    <w:rsid w:val="00253A41"/>
    <w:rsid w:val="00253E2D"/>
    <w:rsid w:val="00254583"/>
    <w:rsid w:val="00254C83"/>
    <w:rsid w:val="00254FAB"/>
    <w:rsid w:val="00255692"/>
    <w:rsid w:val="0025575C"/>
    <w:rsid w:val="002561F9"/>
    <w:rsid w:val="002565DF"/>
    <w:rsid w:val="0025688A"/>
    <w:rsid w:val="00261676"/>
    <w:rsid w:val="00261F81"/>
    <w:rsid w:val="0026240F"/>
    <w:rsid w:val="0026250B"/>
    <w:rsid w:val="00262729"/>
    <w:rsid w:val="00263157"/>
    <w:rsid w:val="0026394B"/>
    <w:rsid w:val="00263995"/>
    <w:rsid w:val="00264957"/>
    <w:rsid w:val="00264D3C"/>
    <w:rsid w:val="002652CC"/>
    <w:rsid w:val="0026595D"/>
    <w:rsid w:val="0026619D"/>
    <w:rsid w:val="0026770C"/>
    <w:rsid w:val="00267AED"/>
    <w:rsid w:val="002701E3"/>
    <w:rsid w:val="00270506"/>
    <w:rsid w:val="002709DF"/>
    <w:rsid w:val="00270B63"/>
    <w:rsid w:val="00270D8A"/>
    <w:rsid w:val="00270DD3"/>
    <w:rsid w:val="00271B4F"/>
    <w:rsid w:val="00272564"/>
    <w:rsid w:val="00273480"/>
    <w:rsid w:val="0027431D"/>
    <w:rsid w:val="00274503"/>
    <w:rsid w:val="00274BBD"/>
    <w:rsid w:val="002750CB"/>
    <w:rsid w:val="002766A5"/>
    <w:rsid w:val="0027733D"/>
    <w:rsid w:val="00277C5B"/>
    <w:rsid w:val="00277C91"/>
    <w:rsid w:val="00277EDC"/>
    <w:rsid w:val="002804C9"/>
    <w:rsid w:val="00280669"/>
    <w:rsid w:val="00281084"/>
    <w:rsid w:val="00281183"/>
    <w:rsid w:val="002815B3"/>
    <w:rsid w:val="00281737"/>
    <w:rsid w:val="00281814"/>
    <w:rsid w:val="002818ED"/>
    <w:rsid w:val="00281E82"/>
    <w:rsid w:val="00281FB5"/>
    <w:rsid w:val="00282CA4"/>
    <w:rsid w:val="00282D81"/>
    <w:rsid w:val="00282F52"/>
    <w:rsid w:val="0028363D"/>
    <w:rsid w:val="00284294"/>
    <w:rsid w:val="0028495C"/>
    <w:rsid w:val="00284D7F"/>
    <w:rsid w:val="00284FDA"/>
    <w:rsid w:val="0028560F"/>
    <w:rsid w:val="00285883"/>
    <w:rsid w:val="00285899"/>
    <w:rsid w:val="00286545"/>
    <w:rsid w:val="0028705A"/>
    <w:rsid w:val="00290327"/>
    <w:rsid w:val="002904F7"/>
    <w:rsid w:val="0029055C"/>
    <w:rsid w:val="002917BD"/>
    <w:rsid w:val="002919F4"/>
    <w:rsid w:val="0029213E"/>
    <w:rsid w:val="002923BC"/>
    <w:rsid w:val="00292AF2"/>
    <w:rsid w:val="00292DFC"/>
    <w:rsid w:val="00293ABF"/>
    <w:rsid w:val="00293C29"/>
    <w:rsid w:val="00293CA4"/>
    <w:rsid w:val="00295302"/>
    <w:rsid w:val="0029550F"/>
    <w:rsid w:val="00295E4E"/>
    <w:rsid w:val="002971F0"/>
    <w:rsid w:val="00297FA1"/>
    <w:rsid w:val="002A0454"/>
    <w:rsid w:val="002A04C8"/>
    <w:rsid w:val="002A0A13"/>
    <w:rsid w:val="002A1044"/>
    <w:rsid w:val="002A188F"/>
    <w:rsid w:val="002A1BC8"/>
    <w:rsid w:val="002A2303"/>
    <w:rsid w:val="002A3461"/>
    <w:rsid w:val="002A3B81"/>
    <w:rsid w:val="002A4140"/>
    <w:rsid w:val="002A4BC2"/>
    <w:rsid w:val="002A5397"/>
    <w:rsid w:val="002A5470"/>
    <w:rsid w:val="002A550A"/>
    <w:rsid w:val="002A5940"/>
    <w:rsid w:val="002A602B"/>
    <w:rsid w:val="002A69D8"/>
    <w:rsid w:val="002A73A3"/>
    <w:rsid w:val="002A7B9C"/>
    <w:rsid w:val="002B0067"/>
    <w:rsid w:val="002B0840"/>
    <w:rsid w:val="002B0B86"/>
    <w:rsid w:val="002B0CA0"/>
    <w:rsid w:val="002B153D"/>
    <w:rsid w:val="002B17EF"/>
    <w:rsid w:val="002B18E3"/>
    <w:rsid w:val="002B1F4E"/>
    <w:rsid w:val="002B204D"/>
    <w:rsid w:val="002B2584"/>
    <w:rsid w:val="002B3D1B"/>
    <w:rsid w:val="002B3F22"/>
    <w:rsid w:val="002B46B8"/>
    <w:rsid w:val="002B4D31"/>
    <w:rsid w:val="002B4F11"/>
    <w:rsid w:val="002B520C"/>
    <w:rsid w:val="002B5B50"/>
    <w:rsid w:val="002B5F07"/>
    <w:rsid w:val="002B64D6"/>
    <w:rsid w:val="002B677F"/>
    <w:rsid w:val="002B6F1D"/>
    <w:rsid w:val="002B6F27"/>
    <w:rsid w:val="002C0B12"/>
    <w:rsid w:val="002C0D2D"/>
    <w:rsid w:val="002C1A0B"/>
    <w:rsid w:val="002C1F46"/>
    <w:rsid w:val="002C239E"/>
    <w:rsid w:val="002C24FA"/>
    <w:rsid w:val="002C2C2F"/>
    <w:rsid w:val="002C38B9"/>
    <w:rsid w:val="002C44BA"/>
    <w:rsid w:val="002C4A9C"/>
    <w:rsid w:val="002C4EA6"/>
    <w:rsid w:val="002C51D9"/>
    <w:rsid w:val="002C5544"/>
    <w:rsid w:val="002C554F"/>
    <w:rsid w:val="002C67C0"/>
    <w:rsid w:val="002C69F3"/>
    <w:rsid w:val="002C6AF2"/>
    <w:rsid w:val="002C6CBA"/>
    <w:rsid w:val="002C704C"/>
    <w:rsid w:val="002C778A"/>
    <w:rsid w:val="002C77A5"/>
    <w:rsid w:val="002C7A80"/>
    <w:rsid w:val="002C7B68"/>
    <w:rsid w:val="002D06D5"/>
    <w:rsid w:val="002D0812"/>
    <w:rsid w:val="002D0D4F"/>
    <w:rsid w:val="002D0D9D"/>
    <w:rsid w:val="002D175E"/>
    <w:rsid w:val="002D1A8D"/>
    <w:rsid w:val="002D2285"/>
    <w:rsid w:val="002D23C0"/>
    <w:rsid w:val="002D31BC"/>
    <w:rsid w:val="002D3593"/>
    <w:rsid w:val="002D428E"/>
    <w:rsid w:val="002D44BC"/>
    <w:rsid w:val="002D46A5"/>
    <w:rsid w:val="002D5334"/>
    <w:rsid w:val="002D549F"/>
    <w:rsid w:val="002D5F1F"/>
    <w:rsid w:val="002D6088"/>
    <w:rsid w:val="002D7236"/>
    <w:rsid w:val="002D7347"/>
    <w:rsid w:val="002D7828"/>
    <w:rsid w:val="002E00BD"/>
    <w:rsid w:val="002E0A43"/>
    <w:rsid w:val="002E0C01"/>
    <w:rsid w:val="002E149E"/>
    <w:rsid w:val="002E1587"/>
    <w:rsid w:val="002E17CA"/>
    <w:rsid w:val="002E249C"/>
    <w:rsid w:val="002E24F3"/>
    <w:rsid w:val="002E29B6"/>
    <w:rsid w:val="002E2E0C"/>
    <w:rsid w:val="002E3FBF"/>
    <w:rsid w:val="002E41E8"/>
    <w:rsid w:val="002E59CE"/>
    <w:rsid w:val="002E59E6"/>
    <w:rsid w:val="002E5A9F"/>
    <w:rsid w:val="002E67E6"/>
    <w:rsid w:val="002E791D"/>
    <w:rsid w:val="002F012D"/>
    <w:rsid w:val="002F06E1"/>
    <w:rsid w:val="002F1170"/>
    <w:rsid w:val="002F1345"/>
    <w:rsid w:val="002F1517"/>
    <w:rsid w:val="002F16D8"/>
    <w:rsid w:val="002F2151"/>
    <w:rsid w:val="002F2A33"/>
    <w:rsid w:val="002F38E1"/>
    <w:rsid w:val="002F4742"/>
    <w:rsid w:val="002F4A08"/>
    <w:rsid w:val="002F4B3F"/>
    <w:rsid w:val="002F54C9"/>
    <w:rsid w:val="002F58C0"/>
    <w:rsid w:val="002F5B5F"/>
    <w:rsid w:val="002F5DC8"/>
    <w:rsid w:val="002F5DFB"/>
    <w:rsid w:val="002F701F"/>
    <w:rsid w:val="002F7165"/>
    <w:rsid w:val="002F71A7"/>
    <w:rsid w:val="002F767F"/>
    <w:rsid w:val="002F7A31"/>
    <w:rsid w:val="002F7BEC"/>
    <w:rsid w:val="002F7D19"/>
    <w:rsid w:val="00300BE2"/>
    <w:rsid w:val="00300C16"/>
    <w:rsid w:val="003021DA"/>
    <w:rsid w:val="0030256E"/>
    <w:rsid w:val="0030268C"/>
    <w:rsid w:val="00302B3C"/>
    <w:rsid w:val="00303120"/>
    <w:rsid w:val="003042BB"/>
    <w:rsid w:val="003043A7"/>
    <w:rsid w:val="003044FD"/>
    <w:rsid w:val="00304552"/>
    <w:rsid w:val="00304793"/>
    <w:rsid w:val="00304C24"/>
    <w:rsid w:val="00305B10"/>
    <w:rsid w:val="003060FC"/>
    <w:rsid w:val="00306162"/>
    <w:rsid w:val="00306229"/>
    <w:rsid w:val="00306A78"/>
    <w:rsid w:val="003073EC"/>
    <w:rsid w:val="003075D9"/>
    <w:rsid w:val="00307CEA"/>
    <w:rsid w:val="00311A88"/>
    <w:rsid w:val="00312039"/>
    <w:rsid w:val="00312B8D"/>
    <w:rsid w:val="003131BF"/>
    <w:rsid w:val="0031368F"/>
    <w:rsid w:val="00313ADD"/>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E7B"/>
    <w:rsid w:val="00320E4F"/>
    <w:rsid w:val="00321C83"/>
    <w:rsid w:val="00322955"/>
    <w:rsid w:val="003243BC"/>
    <w:rsid w:val="003248DB"/>
    <w:rsid w:val="00324AFA"/>
    <w:rsid w:val="00324B45"/>
    <w:rsid w:val="0032509D"/>
    <w:rsid w:val="00325262"/>
    <w:rsid w:val="003252CF"/>
    <w:rsid w:val="00325380"/>
    <w:rsid w:val="00326040"/>
    <w:rsid w:val="00326812"/>
    <w:rsid w:val="003273C7"/>
    <w:rsid w:val="00327863"/>
    <w:rsid w:val="00330E5A"/>
    <w:rsid w:val="003315E7"/>
    <w:rsid w:val="00331D72"/>
    <w:rsid w:val="00331FC1"/>
    <w:rsid w:val="0033333F"/>
    <w:rsid w:val="0033399D"/>
    <w:rsid w:val="003343E6"/>
    <w:rsid w:val="00334CCF"/>
    <w:rsid w:val="00335D25"/>
    <w:rsid w:val="00335F5E"/>
    <w:rsid w:val="003363CF"/>
    <w:rsid w:val="003364EE"/>
    <w:rsid w:val="00336C3D"/>
    <w:rsid w:val="00337BC1"/>
    <w:rsid w:val="00337E29"/>
    <w:rsid w:val="00340544"/>
    <w:rsid w:val="00340C84"/>
    <w:rsid w:val="00340DBF"/>
    <w:rsid w:val="00341D19"/>
    <w:rsid w:val="003427E6"/>
    <w:rsid w:val="003447E0"/>
    <w:rsid w:val="00344EAD"/>
    <w:rsid w:val="00347101"/>
    <w:rsid w:val="00347681"/>
    <w:rsid w:val="003511C2"/>
    <w:rsid w:val="0035139B"/>
    <w:rsid w:val="00351EF3"/>
    <w:rsid w:val="00352413"/>
    <w:rsid w:val="00352B1A"/>
    <w:rsid w:val="0035350D"/>
    <w:rsid w:val="00353EDB"/>
    <w:rsid w:val="00353F86"/>
    <w:rsid w:val="003542B6"/>
    <w:rsid w:val="003542D7"/>
    <w:rsid w:val="003547A1"/>
    <w:rsid w:val="00355F22"/>
    <w:rsid w:val="0035776C"/>
    <w:rsid w:val="00357963"/>
    <w:rsid w:val="00357C49"/>
    <w:rsid w:val="00357D4B"/>
    <w:rsid w:val="003603DB"/>
    <w:rsid w:val="00360509"/>
    <w:rsid w:val="00360ADA"/>
    <w:rsid w:val="00360CCE"/>
    <w:rsid w:val="00361635"/>
    <w:rsid w:val="00362E78"/>
    <w:rsid w:val="003632C3"/>
    <w:rsid w:val="003639CB"/>
    <w:rsid w:val="0036484F"/>
    <w:rsid w:val="0036494E"/>
    <w:rsid w:val="003655ED"/>
    <w:rsid w:val="00365A7A"/>
    <w:rsid w:val="00365D05"/>
    <w:rsid w:val="00366C7B"/>
    <w:rsid w:val="00366EE5"/>
    <w:rsid w:val="0036753E"/>
    <w:rsid w:val="00367860"/>
    <w:rsid w:val="00370476"/>
    <w:rsid w:val="00370598"/>
    <w:rsid w:val="00372138"/>
    <w:rsid w:val="00372DD2"/>
    <w:rsid w:val="003735B7"/>
    <w:rsid w:val="00373902"/>
    <w:rsid w:val="00373B5D"/>
    <w:rsid w:val="00373C66"/>
    <w:rsid w:val="00373FB5"/>
    <w:rsid w:val="00374ACF"/>
    <w:rsid w:val="0037592C"/>
    <w:rsid w:val="0037644A"/>
    <w:rsid w:val="00376B7E"/>
    <w:rsid w:val="00377653"/>
    <w:rsid w:val="00377AB9"/>
    <w:rsid w:val="0038171A"/>
    <w:rsid w:val="00381992"/>
    <w:rsid w:val="003821CE"/>
    <w:rsid w:val="003825F8"/>
    <w:rsid w:val="00382632"/>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E6"/>
    <w:rsid w:val="00387CB0"/>
    <w:rsid w:val="003909B1"/>
    <w:rsid w:val="00390B02"/>
    <w:rsid w:val="003919C0"/>
    <w:rsid w:val="00391E6F"/>
    <w:rsid w:val="00391ECD"/>
    <w:rsid w:val="00392144"/>
    <w:rsid w:val="00392E97"/>
    <w:rsid w:val="0039301C"/>
    <w:rsid w:val="00393EE4"/>
    <w:rsid w:val="00393F1E"/>
    <w:rsid w:val="003941A7"/>
    <w:rsid w:val="00394605"/>
    <w:rsid w:val="003959A3"/>
    <w:rsid w:val="0039635D"/>
    <w:rsid w:val="00396A80"/>
    <w:rsid w:val="00396D71"/>
    <w:rsid w:val="003974E4"/>
    <w:rsid w:val="00397E8B"/>
    <w:rsid w:val="003A0442"/>
    <w:rsid w:val="003A0C38"/>
    <w:rsid w:val="003A0F2C"/>
    <w:rsid w:val="003A11C1"/>
    <w:rsid w:val="003A1E50"/>
    <w:rsid w:val="003A2CA5"/>
    <w:rsid w:val="003A2D18"/>
    <w:rsid w:val="003A2E69"/>
    <w:rsid w:val="003A3A79"/>
    <w:rsid w:val="003A3C08"/>
    <w:rsid w:val="003A3DF4"/>
    <w:rsid w:val="003A41F2"/>
    <w:rsid w:val="003A4A11"/>
    <w:rsid w:val="003A4B1E"/>
    <w:rsid w:val="003A5685"/>
    <w:rsid w:val="003A5730"/>
    <w:rsid w:val="003A5B96"/>
    <w:rsid w:val="003A5C0E"/>
    <w:rsid w:val="003A60BC"/>
    <w:rsid w:val="003A6E79"/>
    <w:rsid w:val="003B0365"/>
    <w:rsid w:val="003B07AC"/>
    <w:rsid w:val="003B086F"/>
    <w:rsid w:val="003B224C"/>
    <w:rsid w:val="003B267B"/>
    <w:rsid w:val="003B2B0A"/>
    <w:rsid w:val="003B2C27"/>
    <w:rsid w:val="003B4DF8"/>
    <w:rsid w:val="003B5202"/>
    <w:rsid w:val="003B5690"/>
    <w:rsid w:val="003B5BFC"/>
    <w:rsid w:val="003B5CB1"/>
    <w:rsid w:val="003B5CB8"/>
    <w:rsid w:val="003B6072"/>
    <w:rsid w:val="003B62F7"/>
    <w:rsid w:val="003B66A8"/>
    <w:rsid w:val="003B72C4"/>
    <w:rsid w:val="003B731A"/>
    <w:rsid w:val="003B7D6B"/>
    <w:rsid w:val="003B7DA6"/>
    <w:rsid w:val="003C0531"/>
    <w:rsid w:val="003C11DB"/>
    <w:rsid w:val="003C1636"/>
    <w:rsid w:val="003C2154"/>
    <w:rsid w:val="003C21A7"/>
    <w:rsid w:val="003C2A30"/>
    <w:rsid w:val="003C34F4"/>
    <w:rsid w:val="003C3A8B"/>
    <w:rsid w:val="003C46D1"/>
    <w:rsid w:val="003C478D"/>
    <w:rsid w:val="003C522E"/>
    <w:rsid w:val="003C5F80"/>
    <w:rsid w:val="003C7127"/>
    <w:rsid w:val="003C72A2"/>
    <w:rsid w:val="003C741F"/>
    <w:rsid w:val="003C7587"/>
    <w:rsid w:val="003C76B5"/>
    <w:rsid w:val="003C7EB6"/>
    <w:rsid w:val="003C7F84"/>
    <w:rsid w:val="003D0559"/>
    <w:rsid w:val="003D08A2"/>
    <w:rsid w:val="003D16A5"/>
    <w:rsid w:val="003D1ABB"/>
    <w:rsid w:val="003D1F6E"/>
    <w:rsid w:val="003D24DF"/>
    <w:rsid w:val="003D2AB9"/>
    <w:rsid w:val="003D2B5F"/>
    <w:rsid w:val="003D37B0"/>
    <w:rsid w:val="003D411F"/>
    <w:rsid w:val="003D4284"/>
    <w:rsid w:val="003D46FA"/>
    <w:rsid w:val="003D4A2F"/>
    <w:rsid w:val="003D5D70"/>
    <w:rsid w:val="003D6045"/>
    <w:rsid w:val="003D61DB"/>
    <w:rsid w:val="003D6966"/>
    <w:rsid w:val="003D7873"/>
    <w:rsid w:val="003D7DC2"/>
    <w:rsid w:val="003E08E4"/>
    <w:rsid w:val="003E0DAF"/>
    <w:rsid w:val="003E1C2C"/>
    <w:rsid w:val="003E1DAA"/>
    <w:rsid w:val="003E1F52"/>
    <w:rsid w:val="003E2AEC"/>
    <w:rsid w:val="003E3022"/>
    <w:rsid w:val="003E3936"/>
    <w:rsid w:val="003E3AEF"/>
    <w:rsid w:val="003E3B53"/>
    <w:rsid w:val="003E3C92"/>
    <w:rsid w:val="003E3F77"/>
    <w:rsid w:val="003E4316"/>
    <w:rsid w:val="003E4886"/>
    <w:rsid w:val="003E5683"/>
    <w:rsid w:val="003E6D04"/>
    <w:rsid w:val="003E6D3F"/>
    <w:rsid w:val="003E79F5"/>
    <w:rsid w:val="003E7D2E"/>
    <w:rsid w:val="003F09D8"/>
    <w:rsid w:val="003F0CC2"/>
    <w:rsid w:val="003F161D"/>
    <w:rsid w:val="003F1815"/>
    <w:rsid w:val="003F1C3D"/>
    <w:rsid w:val="003F2797"/>
    <w:rsid w:val="003F3214"/>
    <w:rsid w:val="003F361D"/>
    <w:rsid w:val="003F408E"/>
    <w:rsid w:val="003F40DF"/>
    <w:rsid w:val="003F41A7"/>
    <w:rsid w:val="003F422B"/>
    <w:rsid w:val="003F46DC"/>
    <w:rsid w:val="003F54BE"/>
    <w:rsid w:val="003F589E"/>
    <w:rsid w:val="003F5BF1"/>
    <w:rsid w:val="003F68B0"/>
    <w:rsid w:val="003F71D1"/>
    <w:rsid w:val="003F731D"/>
    <w:rsid w:val="003F7461"/>
    <w:rsid w:val="003F7AA6"/>
    <w:rsid w:val="003F7F09"/>
    <w:rsid w:val="004000CD"/>
    <w:rsid w:val="0040046A"/>
    <w:rsid w:val="00400B1F"/>
    <w:rsid w:val="004016BC"/>
    <w:rsid w:val="004017D3"/>
    <w:rsid w:val="00401C56"/>
    <w:rsid w:val="004026B0"/>
    <w:rsid w:val="00402E32"/>
    <w:rsid w:val="00403629"/>
    <w:rsid w:val="00404965"/>
    <w:rsid w:val="00404C15"/>
    <w:rsid w:val="0040520B"/>
    <w:rsid w:val="00405400"/>
    <w:rsid w:val="00405562"/>
    <w:rsid w:val="00405716"/>
    <w:rsid w:val="00405CD6"/>
    <w:rsid w:val="00406164"/>
    <w:rsid w:val="004066E8"/>
    <w:rsid w:val="004068B7"/>
    <w:rsid w:val="0040716E"/>
    <w:rsid w:val="0040734B"/>
    <w:rsid w:val="004077BB"/>
    <w:rsid w:val="004103EF"/>
    <w:rsid w:val="00410BEF"/>
    <w:rsid w:val="00411711"/>
    <w:rsid w:val="00411D8F"/>
    <w:rsid w:val="00411F8A"/>
    <w:rsid w:val="00412306"/>
    <w:rsid w:val="00412376"/>
    <w:rsid w:val="004123C7"/>
    <w:rsid w:val="0041358B"/>
    <w:rsid w:val="00413AA4"/>
    <w:rsid w:val="00413E26"/>
    <w:rsid w:val="00413E29"/>
    <w:rsid w:val="004142DA"/>
    <w:rsid w:val="00414417"/>
    <w:rsid w:val="00414931"/>
    <w:rsid w:val="00415264"/>
    <w:rsid w:val="00415619"/>
    <w:rsid w:val="00416F30"/>
    <w:rsid w:val="004178E1"/>
    <w:rsid w:val="00417FCB"/>
    <w:rsid w:val="00420F37"/>
    <w:rsid w:val="00421FB6"/>
    <w:rsid w:val="0042323D"/>
    <w:rsid w:val="00423993"/>
    <w:rsid w:val="00424FDB"/>
    <w:rsid w:val="0042563A"/>
    <w:rsid w:val="004259B8"/>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E0"/>
    <w:rsid w:val="00431532"/>
    <w:rsid w:val="00431626"/>
    <w:rsid w:val="00431D72"/>
    <w:rsid w:val="004324DC"/>
    <w:rsid w:val="004325E2"/>
    <w:rsid w:val="00432ED4"/>
    <w:rsid w:val="00433101"/>
    <w:rsid w:val="00433478"/>
    <w:rsid w:val="0043368B"/>
    <w:rsid w:val="00433CA2"/>
    <w:rsid w:val="0043431A"/>
    <w:rsid w:val="0043457C"/>
    <w:rsid w:val="00434841"/>
    <w:rsid w:val="00434A63"/>
    <w:rsid w:val="00434D25"/>
    <w:rsid w:val="004360B1"/>
    <w:rsid w:val="00436283"/>
    <w:rsid w:val="00436528"/>
    <w:rsid w:val="00436B7A"/>
    <w:rsid w:val="0043742D"/>
    <w:rsid w:val="004374CB"/>
    <w:rsid w:val="00441872"/>
    <w:rsid w:val="004433DF"/>
    <w:rsid w:val="0044470C"/>
    <w:rsid w:val="00445A24"/>
    <w:rsid w:val="00445CE7"/>
    <w:rsid w:val="00446B85"/>
    <w:rsid w:val="00447AC0"/>
    <w:rsid w:val="0045053F"/>
    <w:rsid w:val="00450DB9"/>
    <w:rsid w:val="0045117C"/>
    <w:rsid w:val="00451399"/>
    <w:rsid w:val="004513C5"/>
    <w:rsid w:val="004513F3"/>
    <w:rsid w:val="00452459"/>
    <w:rsid w:val="00454C6F"/>
    <w:rsid w:val="00454E83"/>
    <w:rsid w:val="00455636"/>
    <w:rsid w:val="0045581D"/>
    <w:rsid w:val="00455DCD"/>
    <w:rsid w:val="00456611"/>
    <w:rsid w:val="004567CD"/>
    <w:rsid w:val="0045683E"/>
    <w:rsid w:val="00456D15"/>
    <w:rsid w:val="004571EA"/>
    <w:rsid w:val="004573BB"/>
    <w:rsid w:val="0045743E"/>
    <w:rsid w:val="00457A76"/>
    <w:rsid w:val="00457F76"/>
    <w:rsid w:val="0046167D"/>
    <w:rsid w:val="00461C14"/>
    <w:rsid w:val="00461EA1"/>
    <w:rsid w:val="00462237"/>
    <w:rsid w:val="00462481"/>
    <w:rsid w:val="00462BD0"/>
    <w:rsid w:val="00462D4B"/>
    <w:rsid w:val="0046343A"/>
    <w:rsid w:val="0046518F"/>
    <w:rsid w:val="004668B4"/>
    <w:rsid w:val="0046711C"/>
    <w:rsid w:val="00467137"/>
    <w:rsid w:val="004673A3"/>
    <w:rsid w:val="0046755B"/>
    <w:rsid w:val="00467E76"/>
    <w:rsid w:val="004706AC"/>
    <w:rsid w:val="004711CE"/>
    <w:rsid w:val="0047180A"/>
    <w:rsid w:val="0047188A"/>
    <w:rsid w:val="00472C95"/>
    <w:rsid w:val="004737AC"/>
    <w:rsid w:val="00474900"/>
    <w:rsid w:val="0047576B"/>
    <w:rsid w:val="004777C0"/>
    <w:rsid w:val="00477FB0"/>
    <w:rsid w:val="0048020B"/>
    <w:rsid w:val="00481ADB"/>
    <w:rsid w:val="00481E58"/>
    <w:rsid w:val="00482247"/>
    <w:rsid w:val="00482593"/>
    <w:rsid w:val="00482B02"/>
    <w:rsid w:val="00482DE8"/>
    <w:rsid w:val="00482E8C"/>
    <w:rsid w:val="00483595"/>
    <w:rsid w:val="00483631"/>
    <w:rsid w:val="004838FD"/>
    <w:rsid w:val="00484163"/>
    <w:rsid w:val="0048465B"/>
    <w:rsid w:val="00484A4D"/>
    <w:rsid w:val="00484DFE"/>
    <w:rsid w:val="0048546C"/>
    <w:rsid w:val="00485B60"/>
    <w:rsid w:val="00486371"/>
    <w:rsid w:val="00486F1F"/>
    <w:rsid w:val="0048722A"/>
    <w:rsid w:val="00487B2C"/>
    <w:rsid w:val="004905BB"/>
    <w:rsid w:val="00490BE8"/>
    <w:rsid w:val="00490C3F"/>
    <w:rsid w:val="00491CB8"/>
    <w:rsid w:val="00492019"/>
    <w:rsid w:val="0049214B"/>
    <w:rsid w:val="0049251B"/>
    <w:rsid w:val="0049295C"/>
    <w:rsid w:val="00492985"/>
    <w:rsid w:val="00493697"/>
    <w:rsid w:val="00494081"/>
    <w:rsid w:val="004946FF"/>
    <w:rsid w:val="00494CB0"/>
    <w:rsid w:val="00494ECC"/>
    <w:rsid w:val="004950D9"/>
    <w:rsid w:val="00495C21"/>
    <w:rsid w:val="00495EDC"/>
    <w:rsid w:val="004961A9"/>
    <w:rsid w:val="004963FE"/>
    <w:rsid w:val="00496E0E"/>
    <w:rsid w:val="00496F1C"/>
    <w:rsid w:val="00497ABA"/>
    <w:rsid w:val="004A00B6"/>
    <w:rsid w:val="004A0D87"/>
    <w:rsid w:val="004A1DCF"/>
    <w:rsid w:val="004A29A3"/>
    <w:rsid w:val="004A2E8B"/>
    <w:rsid w:val="004A42E8"/>
    <w:rsid w:val="004A48AD"/>
    <w:rsid w:val="004A4EA6"/>
    <w:rsid w:val="004A4F4C"/>
    <w:rsid w:val="004A5031"/>
    <w:rsid w:val="004A56A4"/>
    <w:rsid w:val="004A5F66"/>
    <w:rsid w:val="004A610B"/>
    <w:rsid w:val="004A6270"/>
    <w:rsid w:val="004A643B"/>
    <w:rsid w:val="004A7A0C"/>
    <w:rsid w:val="004B1043"/>
    <w:rsid w:val="004B1347"/>
    <w:rsid w:val="004B15EB"/>
    <w:rsid w:val="004B1DDD"/>
    <w:rsid w:val="004B246B"/>
    <w:rsid w:val="004B28E6"/>
    <w:rsid w:val="004B2C98"/>
    <w:rsid w:val="004B3953"/>
    <w:rsid w:val="004B3AF1"/>
    <w:rsid w:val="004B4171"/>
    <w:rsid w:val="004B47E0"/>
    <w:rsid w:val="004B5284"/>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F1A"/>
    <w:rsid w:val="004C207F"/>
    <w:rsid w:val="004C20D8"/>
    <w:rsid w:val="004C2532"/>
    <w:rsid w:val="004C3286"/>
    <w:rsid w:val="004C3A56"/>
    <w:rsid w:val="004C4971"/>
    <w:rsid w:val="004C4E46"/>
    <w:rsid w:val="004C4EE8"/>
    <w:rsid w:val="004C50BB"/>
    <w:rsid w:val="004C55D4"/>
    <w:rsid w:val="004C5B60"/>
    <w:rsid w:val="004C6199"/>
    <w:rsid w:val="004C77C6"/>
    <w:rsid w:val="004C7AA9"/>
    <w:rsid w:val="004C7CF5"/>
    <w:rsid w:val="004D013B"/>
    <w:rsid w:val="004D0147"/>
    <w:rsid w:val="004D0187"/>
    <w:rsid w:val="004D0734"/>
    <w:rsid w:val="004D29E5"/>
    <w:rsid w:val="004D3275"/>
    <w:rsid w:val="004D32D3"/>
    <w:rsid w:val="004D3564"/>
    <w:rsid w:val="004D3688"/>
    <w:rsid w:val="004D3DF0"/>
    <w:rsid w:val="004D3F85"/>
    <w:rsid w:val="004D4254"/>
    <w:rsid w:val="004D5C87"/>
    <w:rsid w:val="004D608D"/>
    <w:rsid w:val="004D6263"/>
    <w:rsid w:val="004D6DF4"/>
    <w:rsid w:val="004D7202"/>
    <w:rsid w:val="004D76DC"/>
    <w:rsid w:val="004D7782"/>
    <w:rsid w:val="004D7A17"/>
    <w:rsid w:val="004D7D4F"/>
    <w:rsid w:val="004E0287"/>
    <w:rsid w:val="004E0300"/>
    <w:rsid w:val="004E082C"/>
    <w:rsid w:val="004E2136"/>
    <w:rsid w:val="004E2252"/>
    <w:rsid w:val="004E225B"/>
    <w:rsid w:val="004E2744"/>
    <w:rsid w:val="004E2E77"/>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70ED"/>
    <w:rsid w:val="004E7178"/>
    <w:rsid w:val="004E717D"/>
    <w:rsid w:val="004E7C7F"/>
    <w:rsid w:val="004E7D2D"/>
    <w:rsid w:val="004F0615"/>
    <w:rsid w:val="004F07C6"/>
    <w:rsid w:val="004F0939"/>
    <w:rsid w:val="004F2141"/>
    <w:rsid w:val="004F2304"/>
    <w:rsid w:val="004F30CB"/>
    <w:rsid w:val="004F33DD"/>
    <w:rsid w:val="004F4DC2"/>
    <w:rsid w:val="004F630F"/>
    <w:rsid w:val="004F631D"/>
    <w:rsid w:val="004F6900"/>
    <w:rsid w:val="004F7753"/>
    <w:rsid w:val="004F7763"/>
    <w:rsid w:val="005007D0"/>
    <w:rsid w:val="00501350"/>
    <w:rsid w:val="0050142D"/>
    <w:rsid w:val="00501F95"/>
    <w:rsid w:val="0050254D"/>
    <w:rsid w:val="00503A7C"/>
    <w:rsid w:val="00503E28"/>
    <w:rsid w:val="00503E7B"/>
    <w:rsid w:val="00505449"/>
    <w:rsid w:val="0050567F"/>
    <w:rsid w:val="005056EF"/>
    <w:rsid w:val="00506765"/>
    <w:rsid w:val="00506DD5"/>
    <w:rsid w:val="00507F8F"/>
    <w:rsid w:val="005100CA"/>
    <w:rsid w:val="00510657"/>
    <w:rsid w:val="00510A6B"/>
    <w:rsid w:val="0051127C"/>
    <w:rsid w:val="0051166A"/>
    <w:rsid w:val="00511B7E"/>
    <w:rsid w:val="00512481"/>
    <w:rsid w:val="0051330B"/>
    <w:rsid w:val="0051362E"/>
    <w:rsid w:val="00513741"/>
    <w:rsid w:val="00514F9F"/>
    <w:rsid w:val="00514FE7"/>
    <w:rsid w:val="0051575F"/>
    <w:rsid w:val="00516D89"/>
    <w:rsid w:val="00516EF1"/>
    <w:rsid w:val="005175DA"/>
    <w:rsid w:val="0052011E"/>
    <w:rsid w:val="005206B3"/>
    <w:rsid w:val="00520D9D"/>
    <w:rsid w:val="00521384"/>
    <w:rsid w:val="005222C7"/>
    <w:rsid w:val="0052302A"/>
    <w:rsid w:val="00523863"/>
    <w:rsid w:val="00523C7C"/>
    <w:rsid w:val="00524168"/>
    <w:rsid w:val="005271F6"/>
    <w:rsid w:val="0052749F"/>
    <w:rsid w:val="00527648"/>
    <w:rsid w:val="00527DE0"/>
    <w:rsid w:val="00530748"/>
    <w:rsid w:val="00531A6A"/>
    <w:rsid w:val="005325AD"/>
    <w:rsid w:val="00532852"/>
    <w:rsid w:val="0053349D"/>
    <w:rsid w:val="005336D5"/>
    <w:rsid w:val="00533FE1"/>
    <w:rsid w:val="00534422"/>
    <w:rsid w:val="00534F93"/>
    <w:rsid w:val="00535061"/>
    <w:rsid w:val="005354C5"/>
    <w:rsid w:val="00535CC5"/>
    <w:rsid w:val="00536B3A"/>
    <w:rsid w:val="0053719D"/>
    <w:rsid w:val="00537259"/>
    <w:rsid w:val="00537F91"/>
    <w:rsid w:val="00537FC8"/>
    <w:rsid w:val="005400A4"/>
    <w:rsid w:val="00540495"/>
    <w:rsid w:val="00540B56"/>
    <w:rsid w:val="00540C3A"/>
    <w:rsid w:val="00540E1B"/>
    <w:rsid w:val="0054110C"/>
    <w:rsid w:val="00541197"/>
    <w:rsid w:val="005411D3"/>
    <w:rsid w:val="00541C83"/>
    <w:rsid w:val="00541F4B"/>
    <w:rsid w:val="00542336"/>
    <w:rsid w:val="00545B4D"/>
    <w:rsid w:val="00546384"/>
    <w:rsid w:val="00546D08"/>
    <w:rsid w:val="00546EB2"/>
    <w:rsid w:val="00546FB4"/>
    <w:rsid w:val="00547D21"/>
    <w:rsid w:val="0055029F"/>
    <w:rsid w:val="0055051C"/>
    <w:rsid w:val="0055081E"/>
    <w:rsid w:val="00551022"/>
    <w:rsid w:val="00551192"/>
    <w:rsid w:val="00551602"/>
    <w:rsid w:val="00551621"/>
    <w:rsid w:val="0055229E"/>
    <w:rsid w:val="0055277E"/>
    <w:rsid w:val="005529D9"/>
    <w:rsid w:val="005531E6"/>
    <w:rsid w:val="0055358D"/>
    <w:rsid w:val="00553710"/>
    <w:rsid w:val="00553843"/>
    <w:rsid w:val="005539BD"/>
    <w:rsid w:val="00553EF0"/>
    <w:rsid w:val="00553F8B"/>
    <w:rsid w:val="005542F1"/>
    <w:rsid w:val="00554627"/>
    <w:rsid w:val="00554EE7"/>
    <w:rsid w:val="00555133"/>
    <w:rsid w:val="005565CC"/>
    <w:rsid w:val="005572FB"/>
    <w:rsid w:val="0055768A"/>
    <w:rsid w:val="00560A5B"/>
    <w:rsid w:val="00560B6F"/>
    <w:rsid w:val="005615DC"/>
    <w:rsid w:val="00561AEF"/>
    <w:rsid w:val="00561E42"/>
    <w:rsid w:val="00562158"/>
    <w:rsid w:val="0056254D"/>
    <w:rsid w:val="005626F9"/>
    <w:rsid w:val="005628EA"/>
    <w:rsid w:val="00562F99"/>
    <w:rsid w:val="00563285"/>
    <w:rsid w:val="005641D8"/>
    <w:rsid w:val="005643A6"/>
    <w:rsid w:val="00564564"/>
    <w:rsid w:val="00564DB4"/>
    <w:rsid w:val="0056507F"/>
    <w:rsid w:val="0056532F"/>
    <w:rsid w:val="00565A85"/>
    <w:rsid w:val="0056611E"/>
    <w:rsid w:val="00566305"/>
    <w:rsid w:val="00567A3F"/>
    <w:rsid w:val="00570214"/>
    <w:rsid w:val="00570568"/>
    <w:rsid w:val="00571681"/>
    <w:rsid w:val="00571C81"/>
    <w:rsid w:val="005720B8"/>
    <w:rsid w:val="00572299"/>
    <w:rsid w:val="005726B3"/>
    <w:rsid w:val="00572AF1"/>
    <w:rsid w:val="00572E35"/>
    <w:rsid w:val="00573C2B"/>
    <w:rsid w:val="00574B6F"/>
    <w:rsid w:val="005752F7"/>
    <w:rsid w:val="0057588D"/>
    <w:rsid w:val="00576803"/>
    <w:rsid w:val="0057684E"/>
    <w:rsid w:val="00576B12"/>
    <w:rsid w:val="0057765E"/>
    <w:rsid w:val="0057771B"/>
    <w:rsid w:val="00577861"/>
    <w:rsid w:val="005804A9"/>
    <w:rsid w:val="00580BFA"/>
    <w:rsid w:val="00580E82"/>
    <w:rsid w:val="005811EF"/>
    <w:rsid w:val="00581457"/>
    <w:rsid w:val="00581697"/>
    <w:rsid w:val="00582366"/>
    <w:rsid w:val="005823CF"/>
    <w:rsid w:val="00582575"/>
    <w:rsid w:val="00582F80"/>
    <w:rsid w:val="00583A07"/>
    <w:rsid w:val="005845DD"/>
    <w:rsid w:val="00584B76"/>
    <w:rsid w:val="0058553B"/>
    <w:rsid w:val="005863D1"/>
    <w:rsid w:val="005867D1"/>
    <w:rsid w:val="005869E0"/>
    <w:rsid w:val="005871DC"/>
    <w:rsid w:val="00587AE7"/>
    <w:rsid w:val="00590023"/>
    <w:rsid w:val="0059156C"/>
    <w:rsid w:val="005924B6"/>
    <w:rsid w:val="005925D0"/>
    <w:rsid w:val="005927CF"/>
    <w:rsid w:val="00592BF9"/>
    <w:rsid w:val="00592D42"/>
    <w:rsid w:val="00594182"/>
    <w:rsid w:val="005945CD"/>
    <w:rsid w:val="0059483B"/>
    <w:rsid w:val="00595E58"/>
    <w:rsid w:val="00595FA3"/>
    <w:rsid w:val="005973FC"/>
    <w:rsid w:val="005979D4"/>
    <w:rsid w:val="00597BA5"/>
    <w:rsid w:val="005A0DF3"/>
    <w:rsid w:val="005A0E8F"/>
    <w:rsid w:val="005A11E2"/>
    <w:rsid w:val="005A1270"/>
    <w:rsid w:val="005A1A24"/>
    <w:rsid w:val="005A2B0C"/>
    <w:rsid w:val="005A3323"/>
    <w:rsid w:val="005A345C"/>
    <w:rsid w:val="005A38D2"/>
    <w:rsid w:val="005A3A87"/>
    <w:rsid w:val="005A3E49"/>
    <w:rsid w:val="005A5304"/>
    <w:rsid w:val="005A57A3"/>
    <w:rsid w:val="005A63C8"/>
    <w:rsid w:val="005A667F"/>
    <w:rsid w:val="005A69E9"/>
    <w:rsid w:val="005A7444"/>
    <w:rsid w:val="005A7708"/>
    <w:rsid w:val="005A778D"/>
    <w:rsid w:val="005A7ECA"/>
    <w:rsid w:val="005A7FEE"/>
    <w:rsid w:val="005B0400"/>
    <w:rsid w:val="005B0F2B"/>
    <w:rsid w:val="005B1538"/>
    <w:rsid w:val="005B1716"/>
    <w:rsid w:val="005B1C05"/>
    <w:rsid w:val="005B1EC3"/>
    <w:rsid w:val="005B21F7"/>
    <w:rsid w:val="005B2350"/>
    <w:rsid w:val="005B2A42"/>
    <w:rsid w:val="005B2E7D"/>
    <w:rsid w:val="005B3455"/>
    <w:rsid w:val="005B3732"/>
    <w:rsid w:val="005B4588"/>
    <w:rsid w:val="005B4C69"/>
    <w:rsid w:val="005B4D4F"/>
    <w:rsid w:val="005B5C6A"/>
    <w:rsid w:val="005B5FFA"/>
    <w:rsid w:val="005B666D"/>
    <w:rsid w:val="005B6C8F"/>
    <w:rsid w:val="005B710D"/>
    <w:rsid w:val="005B77D0"/>
    <w:rsid w:val="005B780B"/>
    <w:rsid w:val="005B78AA"/>
    <w:rsid w:val="005B7A5E"/>
    <w:rsid w:val="005B7B0D"/>
    <w:rsid w:val="005B7B59"/>
    <w:rsid w:val="005C01A2"/>
    <w:rsid w:val="005C047E"/>
    <w:rsid w:val="005C0D4E"/>
    <w:rsid w:val="005C24C0"/>
    <w:rsid w:val="005C275B"/>
    <w:rsid w:val="005C28C8"/>
    <w:rsid w:val="005C2973"/>
    <w:rsid w:val="005C3D42"/>
    <w:rsid w:val="005C51ED"/>
    <w:rsid w:val="005C55F4"/>
    <w:rsid w:val="005C562F"/>
    <w:rsid w:val="005C6300"/>
    <w:rsid w:val="005C6904"/>
    <w:rsid w:val="005C74FE"/>
    <w:rsid w:val="005C7E1C"/>
    <w:rsid w:val="005D0A2C"/>
    <w:rsid w:val="005D117E"/>
    <w:rsid w:val="005D171B"/>
    <w:rsid w:val="005D1914"/>
    <w:rsid w:val="005D1A85"/>
    <w:rsid w:val="005D1CC0"/>
    <w:rsid w:val="005D3087"/>
    <w:rsid w:val="005D3252"/>
    <w:rsid w:val="005D39DB"/>
    <w:rsid w:val="005D4255"/>
    <w:rsid w:val="005D5026"/>
    <w:rsid w:val="005D5F11"/>
    <w:rsid w:val="005D70C6"/>
    <w:rsid w:val="005D738A"/>
    <w:rsid w:val="005D73AC"/>
    <w:rsid w:val="005D76E6"/>
    <w:rsid w:val="005E1E90"/>
    <w:rsid w:val="005E2823"/>
    <w:rsid w:val="005E319E"/>
    <w:rsid w:val="005E3283"/>
    <w:rsid w:val="005E33FE"/>
    <w:rsid w:val="005E34F3"/>
    <w:rsid w:val="005E4062"/>
    <w:rsid w:val="005E40BB"/>
    <w:rsid w:val="005E5A39"/>
    <w:rsid w:val="005E619A"/>
    <w:rsid w:val="005E62F7"/>
    <w:rsid w:val="005E6C9A"/>
    <w:rsid w:val="005E71A8"/>
    <w:rsid w:val="005E735F"/>
    <w:rsid w:val="005F08B4"/>
    <w:rsid w:val="005F0CD0"/>
    <w:rsid w:val="005F1587"/>
    <w:rsid w:val="005F17AC"/>
    <w:rsid w:val="005F182A"/>
    <w:rsid w:val="005F1C33"/>
    <w:rsid w:val="005F1CE5"/>
    <w:rsid w:val="005F1F0B"/>
    <w:rsid w:val="005F20DD"/>
    <w:rsid w:val="005F31CA"/>
    <w:rsid w:val="005F331B"/>
    <w:rsid w:val="005F38CA"/>
    <w:rsid w:val="005F4018"/>
    <w:rsid w:val="005F5271"/>
    <w:rsid w:val="005F5661"/>
    <w:rsid w:val="005F609D"/>
    <w:rsid w:val="005F6118"/>
    <w:rsid w:val="005F6CB2"/>
    <w:rsid w:val="005F6DF0"/>
    <w:rsid w:val="005F78B3"/>
    <w:rsid w:val="0060066F"/>
    <w:rsid w:val="0060074B"/>
    <w:rsid w:val="00600773"/>
    <w:rsid w:val="006007F6"/>
    <w:rsid w:val="00600DE3"/>
    <w:rsid w:val="0060147E"/>
    <w:rsid w:val="00601914"/>
    <w:rsid w:val="00601FA5"/>
    <w:rsid w:val="00602BE3"/>
    <w:rsid w:val="00602D32"/>
    <w:rsid w:val="00603034"/>
    <w:rsid w:val="00603872"/>
    <w:rsid w:val="00603EA4"/>
    <w:rsid w:val="00604167"/>
    <w:rsid w:val="00604F0D"/>
    <w:rsid w:val="006058D5"/>
    <w:rsid w:val="00605EE0"/>
    <w:rsid w:val="006065C1"/>
    <w:rsid w:val="00606DA6"/>
    <w:rsid w:val="00606F1D"/>
    <w:rsid w:val="006072EA"/>
    <w:rsid w:val="0061084D"/>
    <w:rsid w:val="00610B14"/>
    <w:rsid w:val="0061139A"/>
    <w:rsid w:val="00611765"/>
    <w:rsid w:val="0061177F"/>
    <w:rsid w:val="0061240F"/>
    <w:rsid w:val="006127D4"/>
    <w:rsid w:val="00613564"/>
    <w:rsid w:val="006138FF"/>
    <w:rsid w:val="00613991"/>
    <w:rsid w:val="00613B06"/>
    <w:rsid w:val="00615735"/>
    <w:rsid w:val="0061659C"/>
    <w:rsid w:val="006177EA"/>
    <w:rsid w:val="006201D5"/>
    <w:rsid w:val="00620809"/>
    <w:rsid w:val="00620FE3"/>
    <w:rsid w:val="006210C6"/>
    <w:rsid w:val="006213FF"/>
    <w:rsid w:val="00621DDE"/>
    <w:rsid w:val="00622562"/>
    <w:rsid w:val="00622B44"/>
    <w:rsid w:val="00622C2D"/>
    <w:rsid w:val="00622D5B"/>
    <w:rsid w:val="00622DF3"/>
    <w:rsid w:val="00622E81"/>
    <w:rsid w:val="006235F7"/>
    <w:rsid w:val="00624D53"/>
    <w:rsid w:val="00625133"/>
    <w:rsid w:val="00625144"/>
    <w:rsid w:val="0062567C"/>
    <w:rsid w:val="00626DC8"/>
    <w:rsid w:val="0063050D"/>
    <w:rsid w:val="00630808"/>
    <w:rsid w:val="00631165"/>
    <w:rsid w:val="00631DAB"/>
    <w:rsid w:val="00631FAF"/>
    <w:rsid w:val="006320D3"/>
    <w:rsid w:val="0063236F"/>
    <w:rsid w:val="006323B2"/>
    <w:rsid w:val="006324C1"/>
    <w:rsid w:val="00634699"/>
    <w:rsid w:val="00634DD3"/>
    <w:rsid w:val="0063588D"/>
    <w:rsid w:val="00635FD5"/>
    <w:rsid w:val="00637157"/>
    <w:rsid w:val="006379E7"/>
    <w:rsid w:val="00637B29"/>
    <w:rsid w:val="00637F76"/>
    <w:rsid w:val="00640372"/>
    <w:rsid w:val="006415F1"/>
    <w:rsid w:val="00641897"/>
    <w:rsid w:val="00642340"/>
    <w:rsid w:val="006429A8"/>
    <w:rsid w:val="00642A28"/>
    <w:rsid w:val="00642DFC"/>
    <w:rsid w:val="00642EC6"/>
    <w:rsid w:val="006437E9"/>
    <w:rsid w:val="00643C20"/>
    <w:rsid w:val="00643DD3"/>
    <w:rsid w:val="00643FB5"/>
    <w:rsid w:val="006442FD"/>
    <w:rsid w:val="006447EC"/>
    <w:rsid w:val="00644DC0"/>
    <w:rsid w:val="00645620"/>
    <w:rsid w:val="00645AC5"/>
    <w:rsid w:val="006462DC"/>
    <w:rsid w:val="006465F7"/>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340B"/>
    <w:rsid w:val="00653649"/>
    <w:rsid w:val="00653782"/>
    <w:rsid w:val="00654BC3"/>
    <w:rsid w:val="00655474"/>
    <w:rsid w:val="00655D34"/>
    <w:rsid w:val="006564FF"/>
    <w:rsid w:val="00656607"/>
    <w:rsid w:val="006567D6"/>
    <w:rsid w:val="006572C0"/>
    <w:rsid w:val="006575AA"/>
    <w:rsid w:val="00657721"/>
    <w:rsid w:val="00657CF9"/>
    <w:rsid w:val="0066015E"/>
    <w:rsid w:val="00660A72"/>
    <w:rsid w:val="006610E5"/>
    <w:rsid w:val="00661953"/>
    <w:rsid w:val="00661E91"/>
    <w:rsid w:val="00662469"/>
    <w:rsid w:val="00664041"/>
    <w:rsid w:val="00664057"/>
    <w:rsid w:val="006647E2"/>
    <w:rsid w:val="00664B91"/>
    <w:rsid w:val="00664E53"/>
    <w:rsid w:val="00665A1C"/>
    <w:rsid w:val="00666393"/>
    <w:rsid w:val="006665FD"/>
    <w:rsid w:val="006670FA"/>
    <w:rsid w:val="006673EE"/>
    <w:rsid w:val="00667689"/>
    <w:rsid w:val="00667B8E"/>
    <w:rsid w:val="00670666"/>
    <w:rsid w:val="0067073B"/>
    <w:rsid w:val="00670C22"/>
    <w:rsid w:val="00670F95"/>
    <w:rsid w:val="00671895"/>
    <w:rsid w:val="00671AB3"/>
    <w:rsid w:val="006721D4"/>
    <w:rsid w:val="00672958"/>
    <w:rsid w:val="0067310A"/>
    <w:rsid w:val="00673172"/>
    <w:rsid w:val="00673AFC"/>
    <w:rsid w:val="00673E0F"/>
    <w:rsid w:val="00673F3B"/>
    <w:rsid w:val="00674A99"/>
    <w:rsid w:val="00674E3B"/>
    <w:rsid w:val="00675018"/>
    <w:rsid w:val="0067514A"/>
    <w:rsid w:val="00675A6E"/>
    <w:rsid w:val="00675B18"/>
    <w:rsid w:val="00676232"/>
    <w:rsid w:val="00676293"/>
    <w:rsid w:val="00676680"/>
    <w:rsid w:val="006769D5"/>
    <w:rsid w:val="006771CD"/>
    <w:rsid w:val="006772DE"/>
    <w:rsid w:val="006776B4"/>
    <w:rsid w:val="006802B7"/>
    <w:rsid w:val="00680433"/>
    <w:rsid w:val="006805F2"/>
    <w:rsid w:val="00680D21"/>
    <w:rsid w:val="00680EB4"/>
    <w:rsid w:val="006817A5"/>
    <w:rsid w:val="00681E1F"/>
    <w:rsid w:val="0068233A"/>
    <w:rsid w:val="00682851"/>
    <w:rsid w:val="00682F9E"/>
    <w:rsid w:val="00683530"/>
    <w:rsid w:val="0068417D"/>
    <w:rsid w:val="00684F4A"/>
    <w:rsid w:val="0068571A"/>
    <w:rsid w:val="00686AAB"/>
    <w:rsid w:val="00686BB5"/>
    <w:rsid w:val="00686C75"/>
    <w:rsid w:val="00687163"/>
    <w:rsid w:val="006875C2"/>
    <w:rsid w:val="00687710"/>
    <w:rsid w:val="006911F1"/>
    <w:rsid w:val="006916C5"/>
    <w:rsid w:val="00691845"/>
    <w:rsid w:val="00693009"/>
    <w:rsid w:val="006933BB"/>
    <w:rsid w:val="00693F5A"/>
    <w:rsid w:val="00693F95"/>
    <w:rsid w:val="00693FDE"/>
    <w:rsid w:val="00694970"/>
    <w:rsid w:val="00695D45"/>
    <w:rsid w:val="00695EC8"/>
    <w:rsid w:val="006969B7"/>
    <w:rsid w:val="00696B12"/>
    <w:rsid w:val="00696BA5"/>
    <w:rsid w:val="00696FC9"/>
    <w:rsid w:val="006972B4"/>
    <w:rsid w:val="00697331"/>
    <w:rsid w:val="00697C89"/>
    <w:rsid w:val="006A0D12"/>
    <w:rsid w:val="006A227C"/>
    <w:rsid w:val="006A2BE9"/>
    <w:rsid w:val="006A33A6"/>
    <w:rsid w:val="006A3C84"/>
    <w:rsid w:val="006A3DD6"/>
    <w:rsid w:val="006A44CF"/>
    <w:rsid w:val="006A457C"/>
    <w:rsid w:val="006A46E5"/>
    <w:rsid w:val="006A4DD2"/>
    <w:rsid w:val="006A4FE2"/>
    <w:rsid w:val="006A6042"/>
    <w:rsid w:val="006A6693"/>
    <w:rsid w:val="006A74A8"/>
    <w:rsid w:val="006A7D3F"/>
    <w:rsid w:val="006B0B78"/>
    <w:rsid w:val="006B0C38"/>
    <w:rsid w:val="006B0DA4"/>
    <w:rsid w:val="006B17F2"/>
    <w:rsid w:val="006B1D6E"/>
    <w:rsid w:val="006B2230"/>
    <w:rsid w:val="006B2F09"/>
    <w:rsid w:val="006B3114"/>
    <w:rsid w:val="006B345D"/>
    <w:rsid w:val="006B4858"/>
    <w:rsid w:val="006B50A3"/>
    <w:rsid w:val="006B50DA"/>
    <w:rsid w:val="006B5528"/>
    <w:rsid w:val="006B63BA"/>
    <w:rsid w:val="006B66B2"/>
    <w:rsid w:val="006B6F2D"/>
    <w:rsid w:val="006B75A4"/>
    <w:rsid w:val="006B78B6"/>
    <w:rsid w:val="006B7B14"/>
    <w:rsid w:val="006C0D1E"/>
    <w:rsid w:val="006C134D"/>
    <w:rsid w:val="006C149E"/>
    <w:rsid w:val="006C16BE"/>
    <w:rsid w:val="006C23B6"/>
    <w:rsid w:val="006C2F2B"/>
    <w:rsid w:val="006C3030"/>
    <w:rsid w:val="006C35BD"/>
    <w:rsid w:val="006C3C38"/>
    <w:rsid w:val="006C4162"/>
    <w:rsid w:val="006C453B"/>
    <w:rsid w:val="006C461D"/>
    <w:rsid w:val="006C4FC0"/>
    <w:rsid w:val="006C5622"/>
    <w:rsid w:val="006C5704"/>
    <w:rsid w:val="006C5991"/>
    <w:rsid w:val="006C632F"/>
    <w:rsid w:val="006C63BC"/>
    <w:rsid w:val="006C704B"/>
    <w:rsid w:val="006C71C4"/>
    <w:rsid w:val="006D064A"/>
    <w:rsid w:val="006D075E"/>
    <w:rsid w:val="006D080E"/>
    <w:rsid w:val="006D13B8"/>
    <w:rsid w:val="006D1FEE"/>
    <w:rsid w:val="006D218E"/>
    <w:rsid w:val="006D25B4"/>
    <w:rsid w:val="006D2E19"/>
    <w:rsid w:val="006D547D"/>
    <w:rsid w:val="006D5943"/>
    <w:rsid w:val="006D76D8"/>
    <w:rsid w:val="006E0B4F"/>
    <w:rsid w:val="006E0D20"/>
    <w:rsid w:val="006E0FC7"/>
    <w:rsid w:val="006E16F3"/>
    <w:rsid w:val="006E17B9"/>
    <w:rsid w:val="006E18DF"/>
    <w:rsid w:val="006E18FF"/>
    <w:rsid w:val="006E1C9A"/>
    <w:rsid w:val="006E2093"/>
    <w:rsid w:val="006E28EA"/>
    <w:rsid w:val="006E2D59"/>
    <w:rsid w:val="006E2DDB"/>
    <w:rsid w:val="006E2F23"/>
    <w:rsid w:val="006E35BB"/>
    <w:rsid w:val="006E37A2"/>
    <w:rsid w:val="006E39A4"/>
    <w:rsid w:val="006E420E"/>
    <w:rsid w:val="006E4E9B"/>
    <w:rsid w:val="006E6022"/>
    <w:rsid w:val="006E6172"/>
    <w:rsid w:val="006E629F"/>
    <w:rsid w:val="006E6A7A"/>
    <w:rsid w:val="006F07D3"/>
    <w:rsid w:val="006F10B5"/>
    <w:rsid w:val="006F12F2"/>
    <w:rsid w:val="006F1FC6"/>
    <w:rsid w:val="006F2605"/>
    <w:rsid w:val="006F2A0A"/>
    <w:rsid w:val="006F2D2F"/>
    <w:rsid w:val="006F334E"/>
    <w:rsid w:val="006F34A3"/>
    <w:rsid w:val="006F36EC"/>
    <w:rsid w:val="006F37C6"/>
    <w:rsid w:val="006F4555"/>
    <w:rsid w:val="006F4C2F"/>
    <w:rsid w:val="006F4D0A"/>
    <w:rsid w:val="006F4DDD"/>
    <w:rsid w:val="006F59C8"/>
    <w:rsid w:val="006F5E31"/>
    <w:rsid w:val="006F6454"/>
    <w:rsid w:val="006F6905"/>
    <w:rsid w:val="006F6B2D"/>
    <w:rsid w:val="006F6D69"/>
    <w:rsid w:val="006F7628"/>
    <w:rsid w:val="006F77CC"/>
    <w:rsid w:val="006F7F5B"/>
    <w:rsid w:val="00700397"/>
    <w:rsid w:val="00700AE9"/>
    <w:rsid w:val="00700E8D"/>
    <w:rsid w:val="00700EA8"/>
    <w:rsid w:val="007019D4"/>
    <w:rsid w:val="00701CF3"/>
    <w:rsid w:val="00702078"/>
    <w:rsid w:val="00703131"/>
    <w:rsid w:val="00703863"/>
    <w:rsid w:val="00703A83"/>
    <w:rsid w:val="00703C15"/>
    <w:rsid w:val="007040CE"/>
    <w:rsid w:val="00705AEA"/>
    <w:rsid w:val="00706596"/>
    <w:rsid w:val="00706B70"/>
    <w:rsid w:val="00706EB6"/>
    <w:rsid w:val="007071CB"/>
    <w:rsid w:val="00707205"/>
    <w:rsid w:val="00707270"/>
    <w:rsid w:val="007078E4"/>
    <w:rsid w:val="00707DB4"/>
    <w:rsid w:val="007101AB"/>
    <w:rsid w:val="0071050A"/>
    <w:rsid w:val="00710DC4"/>
    <w:rsid w:val="0071142E"/>
    <w:rsid w:val="00712AC9"/>
    <w:rsid w:val="00712EDC"/>
    <w:rsid w:val="0071378D"/>
    <w:rsid w:val="00713B51"/>
    <w:rsid w:val="007141C0"/>
    <w:rsid w:val="00714690"/>
    <w:rsid w:val="00714839"/>
    <w:rsid w:val="00714F58"/>
    <w:rsid w:val="00715150"/>
    <w:rsid w:val="00715355"/>
    <w:rsid w:val="0071588B"/>
    <w:rsid w:val="0071597A"/>
    <w:rsid w:val="00716D3A"/>
    <w:rsid w:val="007173ED"/>
    <w:rsid w:val="00717D2B"/>
    <w:rsid w:val="007205D9"/>
    <w:rsid w:val="007211B7"/>
    <w:rsid w:val="00721260"/>
    <w:rsid w:val="00721C8C"/>
    <w:rsid w:val="00721C9E"/>
    <w:rsid w:val="00721D12"/>
    <w:rsid w:val="00721FD9"/>
    <w:rsid w:val="007221CD"/>
    <w:rsid w:val="0072254E"/>
    <w:rsid w:val="0072275A"/>
    <w:rsid w:val="00722987"/>
    <w:rsid w:val="00722BA8"/>
    <w:rsid w:val="007245AE"/>
    <w:rsid w:val="00725827"/>
    <w:rsid w:val="00725CA7"/>
    <w:rsid w:val="00725D7A"/>
    <w:rsid w:val="007266D8"/>
    <w:rsid w:val="007267BD"/>
    <w:rsid w:val="007279C9"/>
    <w:rsid w:val="007306FC"/>
    <w:rsid w:val="00730B1E"/>
    <w:rsid w:val="00730CF7"/>
    <w:rsid w:val="0073187E"/>
    <w:rsid w:val="00731D27"/>
    <w:rsid w:val="00731EBC"/>
    <w:rsid w:val="00732412"/>
    <w:rsid w:val="00732658"/>
    <w:rsid w:val="007327C7"/>
    <w:rsid w:val="0073310D"/>
    <w:rsid w:val="0073457D"/>
    <w:rsid w:val="00734ACE"/>
    <w:rsid w:val="00734B99"/>
    <w:rsid w:val="00734F87"/>
    <w:rsid w:val="00736C1C"/>
    <w:rsid w:val="00736C1E"/>
    <w:rsid w:val="00736CC4"/>
    <w:rsid w:val="00736DF1"/>
    <w:rsid w:val="0073780B"/>
    <w:rsid w:val="00737C07"/>
    <w:rsid w:val="00737F45"/>
    <w:rsid w:val="007404D1"/>
    <w:rsid w:val="00740DF4"/>
    <w:rsid w:val="00741704"/>
    <w:rsid w:val="00741D28"/>
    <w:rsid w:val="00741EC8"/>
    <w:rsid w:val="00742213"/>
    <w:rsid w:val="007422C8"/>
    <w:rsid w:val="007429FB"/>
    <w:rsid w:val="00742FF4"/>
    <w:rsid w:val="00743EAA"/>
    <w:rsid w:val="00744470"/>
    <w:rsid w:val="0074476E"/>
    <w:rsid w:val="00744F4F"/>
    <w:rsid w:val="007456FB"/>
    <w:rsid w:val="00745AA5"/>
    <w:rsid w:val="0074683B"/>
    <w:rsid w:val="007502FC"/>
    <w:rsid w:val="00750410"/>
    <w:rsid w:val="00750CAB"/>
    <w:rsid w:val="00751137"/>
    <w:rsid w:val="00751B35"/>
    <w:rsid w:val="00751BDC"/>
    <w:rsid w:val="00751D6C"/>
    <w:rsid w:val="00752496"/>
    <w:rsid w:val="007528E7"/>
    <w:rsid w:val="0075305C"/>
    <w:rsid w:val="0075394C"/>
    <w:rsid w:val="00753E1D"/>
    <w:rsid w:val="007549D6"/>
    <w:rsid w:val="00755011"/>
    <w:rsid w:val="007559F4"/>
    <w:rsid w:val="00755BC5"/>
    <w:rsid w:val="00755D84"/>
    <w:rsid w:val="007560F0"/>
    <w:rsid w:val="00756903"/>
    <w:rsid w:val="00757239"/>
    <w:rsid w:val="0075745F"/>
    <w:rsid w:val="007577F8"/>
    <w:rsid w:val="007578AE"/>
    <w:rsid w:val="00757FBB"/>
    <w:rsid w:val="007607F2"/>
    <w:rsid w:val="00761962"/>
    <w:rsid w:val="00761ABE"/>
    <w:rsid w:val="00761AD5"/>
    <w:rsid w:val="00761D6A"/>
    <w:rsid w:val="00761DEB"/>
    <w:rsid w:val="007623AC"/>
    <w:rsid w:val="00762D57"/>
    <w:rsid w:val="007630AE"/>
    <w:rsid w:val="007631B7"/>
    <w:rsid w:val="00763E4F"/>
    <w:rsid w:val="007644AA"/>
    <w:rsid w:val="00764E7A"/>
    <w:rsid w:val="00765AAE"/>
    <w:rsid w:val="00765DFB"/>
    <w:rsid w:val="0076650B"/>
    <w:rsid w:val="0077051D"/>
    <w:rsid w:val="00770AE5"/>
    <w:rsid w:val="00770BD5"/>
    <w:rsid w:val="0077147E"/>
    <w:rsid w:val="00773507"/>
    <w:rsid w:val="007736E6"/>
    <w:rsid w:val="00774004"/>
    <w:rsid w:val="00774E11"/>
    <w:rsid w:val="0077593B"/>
    <w:rsid w:val="007766C0"/>
    <w:rsid w:val="007767A1"/>
    <w:rsid w:val="00776DC9"/>
    <w:rsid w:val="00776F6B"/>
    <w:rsid w:val="00777788"/>
    <w:rsid w:val="007778F0"/>
    <w:rsid w:val="00780755"/>
    <w:rsid w:val="0078083E"/>
    <w:rsid w:val="007813F7"/>
    <w:rsid w:val="007818AA"/>
    <w:rsid w:val="00781967"/>
    <w:rsid w:val="00781DC8"/>
    <w:rsid w:val="00781EE5"/>
    <w:rsid w:val="00782353"/>
    <w:rsid w:val="00782977"/>
    <w:rsid w:val="00782A8A"/>
    <w:rsid w:val="00783491"/>
    <w:rsid w:val="00783CBD"/>
    <w:rsid w:val="0078484F"/>
    <w:rsid w:val="00784A58"/>
    <w:rsid w:val="00785124"/>
    <w:rsid w:val="007851F5"/>
    <w:rsid w:val="00786956"/>
    <w:rsid w:val="00791757"/>
    <w:rsid w:val="00791BFB"/>
    <w:rsid w:val="00792C0B"/>
    <w:rsid w:val="00792E5C"/>
    <w:rsid w:val="00793469"/>
    <w:rsid w:val="00793778"/>
    <w:rsid w:val="00794147"/>
    <w:rsid w:val="0079429E"/>
    <w:rsid w:val="00795B03"/>
    <w:rsid w:val="00795B75"/>
    <w:rsid w:val="00797A3C"/>
    <w:rsid w:val="007A0123"/>
    <w:rsid w:val="007A0280"/>
    <w:rsid w:val="007A0582"/>
    <w:rsid w:val="007A0D41"/>
    <w:rsid w:val="007A1955"/>
    <w:rsid w:val="007A24D6"/>
    <w:rsid w:val="007A2570"/>
    <w:rsid w:val="007A25EE"/>
    <w:rsid w:val="007A2BB9"/>
    <w:rsid w:val="007A2EE4"/>
    <w:rsid w:val="007A3606"/>
    <w:rsid w:val="007A360F"/>
    <w:rsid w:val="007A3953"/>
    <w:rsid w:val="007A3C27"/>
    <w:rsid w:val="007A41B3"/>
    <w:rsid w:val="007A5139"/>
    <w:rsid w:val="007A62AA"/>
    <w:rsid w:val="007A6345"/>
    <w:rsid w:val="007A6DED"/>
    <w:rsid w:val="007A7842"/>
    <w:rsid w:val="007A785B"/>
    <w:rsid w:val="007B065B"/>
    <w:rsid w:val="007B0770"/>
    <w:rsid w:val="007B0F5F"/>
    <w:rsid w:val="007B1363"/>
    <w:rsid w:val="007B170E"/>
    <w:rsid w:val="007B1B4A"/>
    <w:rsid w:val="007B27F3"/>
    <w:rsid w:val="007B2D03"/>
    <w:rsid w:val="007B35DF"/>
    <w:rsid w:val="007B39FF"/>
    <w:rsid w:val="007B3B90"/>
    <w:rsid w:val="007B4635"/>
    <w:rsid w:val="007B4852"/>
    <w:rsid w:val="007B4EEB"/>
    <w:rsid w:val="007B4F90"/>
    <w:rsid w:val="007B526D"/>
    <w:rsid w:val="007B558F"/>
    <w:rsid w:val="007B5C27"/>
    <w:rsid w:val="007B7866"/>
    <w:rsid w:val="007B7AB9"/>
    <w:rsid w:val="007C0105"/>
    <w:rsid w:val="007C08E9"/>
    <w:rsid w:val="007C09C9"/>
    <w:rsid w:val="007C118B"/>
    <w:rsid w:val="007C1742"/>
    <w:rsid w:val="007C22A3"/>
    <w:rsid w:val="007C2844"/>
    <w:rsid w:val="007C2ED3"/>
    <w:rsid w:val="007C2F32"/>
    <w:rsid w:val="007C3AD5"/>
    <w:rsid w:val="007C4203"/>
    <w:rsid w:val="007C4FED"/>
    <w:rsid w:val="007C574B"/>
    <w:rsid w:val="007C5A78"/>
    <w:rsid w:val="007C6067"/>
    <w:rsid w:val="007C61A3"/>
    <w:rsid w:val="007C6B6E"/>
    <w:rsid w:val="007C7C6B"/>
    <w:rsid w:val="007C7E81"/>
    <w:rsid w:val="007C7FAD"/>
    <w:rsid w:val="007D13FA"/>
    <w:rsid w:val="007D17A7"/>
    <w:rsid w:val="007D2B14"/>
    <w:rsid w:val="007D2C53"/>
    <w:rsid w:val="007D33F9"/>
    <w:rsid w:val="007D3D72"/>
    <w:rsid w:val="007D4960"/>
    <w:rsid w:val="007D4D8C"/>
    <w:rsid w:val="007D4F43"/>
    <w:rsid w:val="007D5098"/>
    <w:rsid w:val="007D50E7"/>
    <w:rsid w:val="007D55C9"/>
    <w:rsid w:val="007D5FC1"/>
    <w:rsid w:val="007D60E6"/>
    <w:rsid w:val="007D62FF"/>
    <w:rsid w:val="007D682F"/>
    <w:rsid w:val="007D6916"/>
    <w:rsid w:val="007D6C82"/>
    <w:rsid w:val="007D6D8C"/>
    <w:rsid w:val="007D72B0"/>
    <w:rsid w:val="007D73BF"/>
    <w:rsid w:val="007D76D6"/>
    <w:rsid w:val="007D789B"/>
    <w:rsid w:val="007E0248"/>
    <w:rsid w:val="007E0289"/>
    <w:rsid w:val="007E0631"/>
    <w:rsid w:val="007E0F19"/>
    <w:rsid w:val="007E295C"/>
    <w:rsid w:val="007E2B47"/>
    <w:rsid w:val="007E3D27"/>
    <w:rsid w:val="007E423D"/>
    <w:rsid w:val="007E45CF"/>
    <w:rsid w:val="007E4864"/>
    <w:rsid w:val="007E5059"/>
    <w:rsid w:val="007E5C86"/>
    <w:rsid w:val="007E6ABD"/>
    <w:rsid w:val="007E6E86"/>
    <w:rsid w:val="007E7221"/>
    <w:rsid w:val="007F0626"/>
    <w:rsid w:val="007F08CC"/>
    <w:rsid w:val="007F0E1D"/>
    <w:rsid w:val="007F10E9"/>
    <w:rsid w:val="007F1834"/>
    <w:rsid w:val="007F1CDF"/>
    <w:rsid w:val="007F2081"/>
    <w:rsid w:val="007F22DE"/>
    <w:rsid w:val="007F27D0"/>
    <w:rsid w:val="007F2A79"/>
    <w:rsid w:val="007F3A63"/>
    <w:rsid w:val="007F42C6"/>
    <w:rsid w:val="007F4A83"/>
    <w:rsid w:val="007F51C5"/>
    <w:rsid w:val="007F6241"/>
    <w:rsid w:val="007F7D6C"/>
    <w:rsid w:val="007F7E36"/>
    <w:rsid w:val="00800061"/>
    <w:rsid w:val="008001DA"/>
    <w:rsid w:val="00800679"/>
    <w:rsid w:val="0080190E"/>
    <w:rsid w:val="008039A5"/>
    <w:rsid w:val="00804E3B"/>
    <w:rsid w:val="00805703"/>
    <w:rsid w:val="00805DD1"/>
    <w:rsid w:val="0080665A"/>
    <w:rsid w:val="00806A15"/>
    <w:rsid w:val="00806B54"/>
    <w:rsid w:val="00807287"/>
    <w:rsid w:val="0080754F"/>
    <w:rsid w:val="0080777C"/>
    <w:rsid w:val="0081045F"/>
    <w:rsid w:val="008107E1"/>
    <w:rsid w:val="00811D0A"/>
    <w:rsid w:val="00812339"/>
    <w:rsid w:val="00812E00"/>
    <w:rsid w:val="00814004"/>
    <w:rsid w:val="00814598"/>
    <w:rsid w:val="00814D6E"/>
    <w:rsid w:val="0081535D"/>
    <w:rsid w:val="00815810"/>
    <w:rsid w:val="00815E72"/>
    <w:rsid w:val="00816945"/>
    <w:rsid w:val="00816D11"/>
    <w:rsid w:val="00817994"/>
    <w:rsid w:val="00817B67"/>
    <w:rsid w:val="00820773"/>
    <w:rsid w:val="008207C4"/>
    <w:rsid w:val="00820A73"/>
    <w:rsid w:val="00821218"/>
    <w:rsid w:val="00821EEE"/>
    <w:rsid w:val="00823766"/>
    <w:rsid w:val="00823BAC"/>
    <w:rsid w:val="00824399"/>
    <w:rsid w:val="00824BDD"/>
    <w:rsid w:val="00824BEC"/>
    <w:rsid w:val="00824E89"/>
    <w:rsid w:val="00825880"/>
    <w:rsid w:val="00825924"/>
    <w:rsid w:val="00825C46"/>
    <w:rsid w:val="0082640A"/>
    <w:rsid w:val="008267A0"/>
    <w:rsid w:val="00826AEF"/>
    <w:rsid w:val="00826F6D"/>
    <w:rsid w:val="00827510"/>
    <w:rsid w:val="00827A9D"/>
    <w:rsid w:val="00827B56"/>
    <w:rsid w:val="00827BD2"/>
    <w:rsid w:val="00827FF9"/>
    <w:rsid w:val="008311E2"/>
    <w:rsid w:val="00831489"/>
    <w:rsid w:val="0083159A"/>
    <w:rsid w:val="0083208C"/>
    <w:rsid w:val="00832119"/>
    <w:rsid w:val="008339DC"/>
    <w:rsid w:val="008350AE"/>
    <w:rsid w:val="008351F9"/>
    <w:rsid w:val="008355EC"/>
    <w:rsid w:val="00836611"/>
    <w:rsid w:val="00837004"/>
    <w:rsid w:val="008377A2"/>
    <w:rsid w:val="008378A7"/>
    <w:rsid w:val="00837F6B"/>
    <w:rsid w:val="008404BC"/>
    <w:rsid w:val="00840501"/>
    <w:rsid w:val="00840729"/>
    <w:rsid w:val="00840D2C"/>
    <w:rsid w:val="008411A5"/>
    <w:rsid w:val="00843206"/>
    <w:rsid w:val="008433FD"/>
    <w:rsid w:val="00843B52"/>
    <w:rsid w:val="00843C84"/>
    <w:rsid w:val="00844340"/>
    <w:rsid w:val="00844459"/>
    <w:rsid w:val="00844762"/>
    <w:rsid w:val="00844B61"/>
    <w:rsid w:val="00845BEB"/>
    <w:rsid w:val="00845F6B"/>
    <w:rsid w:val="00846563"/>
    <w:rsid w:val="00846EE6"/>
    <w:rsid w:val="008470D8"/>
    <w:rsid w:val="00847555"/>
    <w:rsid w:val="00847AA9"/>
    <w:rsid w:val="00847F05"/>
    <w:rsid w:val="008500ED"/>
    <w:rsid w:val="008502D7"/>
    <w:rsid w:val="008503C0"/>
    <w:rsid w:val="008504E8"/>
    <w:rsid w:val="0085077B"/>
    <w:rsid w:val="0085093B"/>
    <w:rsid w:val="00850CF9"/>
    <w:rsid w:val="00850FE1"/>
    <w:rsid w:val="00851323"/>
    <w:rsid w:val="00851E10"/>
    <w:rsid w:val="00851F3B"/>
    <w:rsid w:val="00852144"/>
    <w:rsid w:val="0085321C"/>
    <w:rsid w:val="008533A1"/>
    <w:rsid w:val="0085342C"/>
    <w:rsid w:val="00853A72"/>
    <w:rsid w:val="00854762"/>
    <w:rsid w:val="00854E37"/>
    <w:rsid w:val="008559FB"/>
    <w:rsid w:val="008567A3"/>
    <w:rsid w:val="00857D50"/>
    <w:rsid w:val="00857E56"/>
    <w:rsid w:val="008602A7"/>
    <w:rsid w:val="00860B90"/>
    <w:rsid w:val="00860F81"/>
    <w:rsid w:val="00861226"/>
    <w:rsid w:val="0086144F"/>
    <w:rsid w:val="0086179A"/>
    <w:rsid w:val="00861990"/>
    <w:rsid w:val="00861BD5"/>
    <w:rsid w:val="00861F91"/>
    <w:rsid w:val="00862D83"/>
    <w:rsid w:val="00863142"/>
    <w:rsid w:val="008635CA"/>
    <w:rsid w:val="008635FC"/>
    <w:rsid w:val="00863BBF"/>
    <w:rsid w:val="00863BC7"/>
    <w:rsid w:val="008640EC"/>
    <w:rsid w:val="00865E97"/>
    <w:rsid w:val="00866635"/>
    <w:rsid w:val="00866854"/>
    <w:rsid w:val="00866CFA"/>
    <w:rsid w:val="00867589"/>
    <w:rsid w:val="008678D5"/>
    <w:rsid w:val="00867AA1"/>
    <w:rsid w:val="008700E3"/>
    <w:rsid w:val="00870BFB"/>
    <w:rsid w:val="00872144"/>
    <w:rsid w:val="00872650"/>
    <w:rsid w:val="00872A6D"/>
    <w:rsid w:val="00873529"/>
    <w:rsid w:val="008737D6"/>
    <w:rsid w:val="008739A2"/>
    <w:rsid w:val="00873EB4"/>
    <w:rsid w:val="00874260"/>
    <w:rsid w:val="008748F1"/>
    <w:rsid w:val="00875475"/>
    <w:rsid w:val="008756DC"/>
    <w:rsid w:val="00875F10"/>
    <w:rsid w:val="0087630F"/>
    <w:rsid w:val="008771E6"/>
    <w:rsid w:val="00877D8B"/>
    <w:rsid w:val="00880557"/>
    <w:rsid w:val="0088147D"/>
    <w:rsid w:val="0088198A"/>
    <w:rsid w:val="00881F03"/>
    <w:rsid w:val="00881F5D"/>
    <w:rsid w:val="00881FA6"/>
    <w:rsid w:val="00882147"/>
    <w:rsid w:val="00882434"/>
    <w:rsid w:val="008825E2"/>
    <w:rsid w:val="008830E1"/>
    <w:rsid w:val="008835E2"/>
    <w:rsid w:val="00883645"/>
    <w:rsid w:val="00883A8A"/>
    <w:rsid w:val="008841F4"/>
    <w:rsid w:val="008856EB"/>
    <w:rsid w:val="008858CC"/>
    <w:rsid w:val="00885CF4"/>
    <w:rsid w:val="0088608D"/>
    <w:rsid w:val="008871E3"/>
    <w:rsid w:val="00887486"/>
    <w:rsid w:val="00887698"/>
    <w:rsid w:val="008879AC"/>
    <w:rsid w:val="008903C1"/>
    <w:rsid w:val="00890C49"/>
    <w:rsid w:val="008912DE"/>
    <w:rsid w:val="00891424"/>
    <w:rsid w:val="008915C8"/>
    <w:rsid w:val="008918F2"/>
    <w:rsid w:val="00891F21"/>
    <w:rsid w:val="0089216A"/>
    <w:rsid w:val="00893950"/>
    <w:rsid w:val="008939C7"/>
    <w:rsid w:val="008947DC"/>
    <w:rsid w:val="00894978"/>
    <w:rsid w:val="008949D4"/>
    <w:rsid w:val="00895276"/>
    <w:rsid w:val="00895387"/>
    <w:rsid w:val="00895462"/>
    <w:rsid w:val="00895722"/>
    <w:rsid w:val="00895A86"/>
    <w:rsid w:val="0089604A"/>
    <w:rsid w:val="00896691"/>
    <w:rsid w:val="00896DE3"/>
    <w:rsid w:val="00897C04"/>
    <w:rsid w:val="008A0FAB"/>
    <w:rsid w:val="008A1155"/>
    <w:rsid w:val="008A35D1"/>
    <w:rsid w:val="008A3F3E"/>
    <w:rsid w:val="008A4381"/>
    <w:rsid w:val="008A43FF"/>
    <w:rsid w:val="008A49E4"/>
    <w:rsid w:val="008A4C06"/>
    <w:rsid w:val="008A4C88"/>
    <w:rsid w:val="008A5B1A"/>
    <w:rsid w:val="008A5D20"/>
    <w:rsid w:val="008A60A0"/>
    <w:rsid w:val="008A6177"/>
    <w:rsid w:val="008A6523"/>
    <w:rsid w:val="008A6E22"/>
    <w:rsid w:val="008A75D4"/>
    <w:rsid w:val="008A75EB"/>
    <w:rsid w:val="008B00B1"/>
    <w:rsid w:val="008B068B"/>
    <w:rsid w:val="008B0A60"/>
    <w:rsid w:val="008B0B75"/>
    <w:rsid w:val="008B16B7"/>
    <w:rsid w:val="008B22D7"/>
    <w:rsid w:val="008B2492"/>
    <w:rsid w:val="008B26C1"/>
    <w:rsid w:val="008B280C"/>
    <w:rsid w:val="008B2D8A"/>
    <w:rsid w:val="008B3136"/>
    <w:rsid w:val="008B3535"/>
    <w:rsid w:val="008B3BE1"/>
    <w:rsid w:val="008B4DA0"/>
    <w:rsid w:val="008B61D5"/>
    <w:rsid w:val="008B61DC"/>
    <w:rsid w:val="008B6241"/>
    <w:rsid w:val="008B76D4"/>
    <w:rsid w:val="008C07AA"/>
    <w:rsid w:val="008C0C37"/>
    <w:rsid w:val="008C116B"/>
    <w:rsid w:val="008C15E5"/>
    <w:rsid w:val="008C1626"/>
    <w:rsid w:val="008C1E82"/>
    <w:rsid w:val="008C2C70"/>
    <w:rsid w:val="008C2F5B"/>
    <w:rsid w:val="008C2FF3"/>
    <w:rsid w:val="008C3078"/>
    <w:rsid w:val="008C3423"/>
    <w:rsid w:val="008C4104"/>
    <w:rsid w:val="008C41CD"/>
    <w:rsid w:val="008C48B2"/>
    <w:rsid w:val="008C4C4E"/>
    <w:rsid w:val="008C5531"/>
    <w:rsid w:val="008C5EC1"/>
    <w:rsid w:val="008C6557"/>
    <w:rsid w:val="008C7368"/>
    <w:rsid w:val="008C74C7"/>
    <w:rsid w:val="008C77F1"/>
    <w:rsid w:val="008C7B79"/>
    <w:rsid w:val="008D0097"/>
    <w:rsid w:val="008D0A0E"/>
    <w:rsid w:val="008D16AA"/>
    <w:rsid w:val="008D268C"/>
    <w:rsid w:val="008D269E"/>
    <w:rsid w:val="008D27DC"/>
    <w:rsid w:val="008D2B01"/>
    <w:rsid w:val="008D2D3C"/>
    <w:rsid w:val="008D34AA"/>
    <w:rsid w:val="008D4A82"/>
    <w:rsid w:val="008D4AAF"/>
    <w:rsid w:val="008D4B05"/>
    <w:rsid w:val="008D4C00"/>
    <w:rsid w:val="008D68FF"/>
    <w:rsid w:val="008D691E"/>
    <w:rsid w:val="008D6B91"/>
    <w:rsid w:val="008E1081"/>
    <w:rsid w:val="008E1389"/>
    <w:rsid w:val="008E14A7"/>
    <w:rsid w:val="008E19E2"/>
    <w:rsid w:val="008E1A4F"/>
    <w:rsid w:val="008E1EC1"/>
    <w:rsid w:val="008E270E"/>
    <w:rsid w:val="008E27B9"/>
    <w:rsid w:val="008E293F"/>
    <w:rsid w:val="008E3B83"/>
    <w:rsid w:val="008E3D6D"/>
    <w:rsid w:val="008E3E1B"/>
    <w:rsid w:val="008E49AB"/>
    <w:rsid w:val="008E522C"/>
    <w:rsid w:val="008E62FF"/>
    <w:rsid w:val="008E735C"/>
    <w:rsid w:val="008E73DA"/>
    <w:rsid w:val="008E7A72"/>
    <w:rsid w:val="008E7B67"/>
    <w:rsid w:val="008E7C60"/>
    <w:rsid w:val="008F05E6"/>
    <w:rsid w:val="008F0C52"/>
    <w:rsid w:val="008F0C57"/>
    <w:rsid w:val="008F2042"/>
    <w:rsid w:val="008F24FD"/>
    <w:rsid w:val="008F2521"/>
    <w:rsid w:val="008F289E"/>
    <w:rsid w:val="008F2A04"/>
    <w:rsid w:val="008F2D1A"/>
    <w:rsid w:val="008F2DAA"/>
    <w:rsid w:val="008F3295"/>
    <w:rsid w:val="008F3BCD"/>
    <w:rsid w:val="008F423C"/>
    <w:rsid w:val="008F4A99"/>
    <w:rsid w:val="008F5843"/>
    <w:rsid w:val="008F58A9"/>
    <w:rsid w:val="008F6FEF"/>
    <w:rsid w:val="008F734F"/>
    <w:rsid w:val="008F73CE"/>
    <w:rsid w:val="00900244"/>
    <w:rsid w:val="00900BF9"/>
    <w:rsid w:val="00901054"/>
    <w:rsid w:val="00901163"/>
    <w:rsid w:val="009011BD"/>
    <w:rsid w:val="009025D4"/>
    <w:rsid w:val="00902655"/>
    <w:rsid w:val="00902C5F"/>
    <w:rsid w:val="00902D43"/>
    <w:rsid w:val="00903176"/>
    <w:rsid w:val="00903AAB"/>
    <w:rsid w:val="00903C55"/>
    <w:rsid w:val="009045B7"/>
    <w:rsid w:val="0090498F"/>
    <w:rsid w:val="00905200"/>
    <w:rsid w:val="00905795"/>
    <w:rsid w:val="00905D81"/>
    <w:rsid w:val="00905D89"/>
    <w:rsid w:val="009064E2"/>
    <w:rsid w:val="00906542"/>
    <w:rsid w:val="00910BC1"/>
    <w:rsid w:val="00910E3B"/>
    <w:rsid w:val="009128CB"/>
    <w:rsid w:val="00913271"/>
    <w:rsid w:val="00913FBD"/>
    <w:rsid w:val="0091434F"/>
    <w:rsid w:val="00914DBE"/>
    <w:rsid w:val="00915310"/>
    <w:rsid w:val="009157B2"/>
    <w:rsid w:val="00915BA3"/>
    <w:rsid w:val="00915BEF"/>
    <w:rsid w:val="00916006"/>
    <w:rsid w:val="009172D2"/>
    <w:rsid w:val="00917B58"/>
    <w:rsid w:val="00917F91"/>
    <w:rsid w:val="00917FDA"/>
    <w:rsid w:val="0092001A"/>
    <w:rsid w:val="009205DA"/>
    <w:rsid w:val="0092137A"/>
    <w:rsid w:val="0092138B"/>
    <w:rsid w:val="009217B2"/>
    <w:rsid w:val="00921A5A"/>
    <w:rsid w:val="00921D15"/>
    <w:rsid w:val="00922277"/>
    <w:rsid w:val="0092279A"/>
    <w:rsid w:val="00922B25"/>
    <w:rsid w:val="00922C25"/>
    <w:rsid w:val="00922D3C"/>
    <w:rsid w:val="009237DC"/>
    <w:rsid w:val="00923822"/>
    <w:rsid w:val="009238DC"/>
    <w:rsid w:val="00923ACD"/>
    <w:rsid w:val="00923C43"/>
    <w:rsid w:val="00924023"/>
    <w:rsid w:val="00924B7F"/>
    <w:rsid w:val="00924E08"/>
    <w:rsid w:val="00924F0D"/>
    <w:rsid w:val="00925257"/>
    <w:rsid w:val="009252EF"/>
    <w:rsid w:val="00925426"/>
    <w:rsid w:val="00925FFB"/>
    <w:rsid w:val="00926450"/>
    <w:rsid w:val="00926792"/>
    <w:rsid w:val="009267DB"/>
    <w:rsid w:val="00926B85"/>
    <w:rsid w:val="00926F25"/>
    <w:rsid w:val="00927A8F"/>
    <w:rsid w:val="00930D5D"/>
    <w:rsid w:val="0093119D"/>
    <w:rsid w:val="00931351"/>
    <w:rsid w:val="00931353"/>
    <w:rsid w:val="009315AE"/>
    <w:rsid w:val="009318C9"/>
    <w:rsid w:val="00931994"/>
    <w:rsid w:val="009322A7"/>
    <w:rsid w:val="00932357"/>
    <w:rsid w:val="0093254D"/>
    <w:rsid w:val="00932592"/>
    <w:rsid w:val="00932D34"/>
    <w:rsid w:val="00933339"/>
    <w:rsid w:val="00935274"/>
    <w:rsid w:val="00935539"/>
    <w:rsid w:val="00935C8B"/>
    <w:rsid w:val="00935CAC"/>
    <w:rsid w:val="00937521"/>
    <w:rsid w:val="00937BF3"/>
    <w:rsid w:val="00937DA5"/>
    <w:rsid w:val="00940137"/>
    <w:rsid w:val="0094041E"/>
    <w:rsid w:val="00940733"/>
    <w:rsid w:val="00940763"/>
    <w:rsid w:val="00940D80"/>
    <w:rsid w:val="009410F0"/>
    <w:rsid w:val="00941674"/>
    <w:rsid w:val="00941C1D"/>
    <w:rsid w:val="009421DE"/>
    <w:rsid w:val="00942BA5"/>
    <w:rsid w:val="00942FBA"/>
    <w:rsid w:val="00943682"/>
    <w:rsid w:val="00943E3C"/>
    <w:rsid w:val="00944095"/>
    <w:rsid w:val="009440AB"/>
    <w:rsid w:val="009443E6"/>
    <w:rsid w:val="00944618"/>
    <w:rsid w:val="009448E8"/>
    <w:rsid w:val="009459F7"/>
    <w:rsid w:val="00945A98"/>
    <w:rsid w:val="0094676B"/>
    <w:rsid w:val="00946ADD"/>
    <w:rsid w:val="009471F5"/>
    <w:rsid w:val="009501DA"/>
    <w:rsid w:val="0095047E"/>
    <w:rsid w:val="0095094C"/>
    <w:rsid w:val="009509ED"/>
    <w:rsid w:val="009516C0"/>
    <w:rsid w:val="00951AC5"/>
    <w:rsid w:val="00951CDC"/>
    <w:rsid w:val="009525D0"/>
    <w:rsid w:val="0095285F"/>
    <w:rsid w:val="00952B1C"/>
    <w:rsid w:val="009533BF"/>
    <w:rsid w:val="0095341E"/>
    <w:rsid w:val="009538C7"/>
    <w:rsid w:val="009539B5"/>
    <w:rsid w:val="00953AD3"/>
    <w:rsid w:val="00953B8D"/>
    <w:rsid w:val="00953BA8"/>
    <w:rsid w:val="00954EFC"/>
    <w:rsid w:val="00955003"/>
    <w:rsid w:val="00955657"/>
    <w:rsid w:val="00955FF9"/>
    <w:rsid w:val="0095613C"/>
    <w:rsid w:val="009562F2"/>
    <w:rsid w:val="00956751"/>
    <w:rsid w:val="009572FB"/>
    <w:rsid w:val="00957332"/>
    <w:rsid w:val="00960BBF"/>
    <w:rsid w:val="009611BF"/>
    <w:rsid w:val="0096144A"/>
    <w:rsid w:val="00961C35"/>
    <w:rsid w:val="00961CB4"/>
    <w:rsid w:val="0096264B"/>
    <w:rsid w:val="0096288E"/>
    <w:rsid w:val="009631AF"/>
    <w:rsid w:val="00963870"/>
    <w:rsid w:val="00963AE6"/>
    <w:rsid w:val="00963F94"/>
    <w:rsid w:val="009648BF"/>
    <w:rsid w:val="00964E77"/>
    <w:rsid w:val="009651EE"/>
    <w:rsid w:val="00965BA6"/>
    <w:rsid w:val="00965CF4"/>
    <w:rsid w:val="009666EE"/>
    <w:rsid w:val="00966F64"/>
    <w:rsid w:val="009671D6"/>
    <w:rsid w:val="00967940"/>
    <w:rsid w:val="00967D56"/>
    <w:rsid w:val="00970A38"/>
    <w:rsid w:val="0097177A"/>
    <w:rsid w:val="00971F0E"/>
    <w:rsid w:val="00971FCC"/>
    <w:rsid w:val="009721CD"/>
    <w:rsid w:val="00972933"/>
    <w:rsid w:val="009741D8"/>
    <w:rsid w:val="0097430A"/>
    <w:rsid w:val="0097435E"/>
    <w:rsid w:val="009743C6"/>
    <w:rsid w:val="00975288"/>
    <w:rsid w:val="00976110"/>
    <w:rsid w:val="0097679C"/>
    <w:rsid w:val="00976C36"/>
    <w:rsid w:val="0097715B"/>
    <w:rsid w:val="00977236"/>
    <w:rsid w:val="0097757F"/>
    <w:rsid w:val="009800EF"/>
    <w:rsid w:val="0098042E"/>
    <w:rsid w:val="009804FE"/>
    <w:rsid w:val="00980849"/>
    <w:rsid w:val="00980A11"/>
    <w:rsid w:val="00980D55"/>
    <w:rsid w:val="00981509"/>
    <w:rsid w:val="00981C9B"/>
    <w:rsid w:val="009824CB"/>
    <w:rsid w:val="009831F3"/>
    <w:rsid w:val="009839E8"/>
    <w:rsid w:val="00984022"/>
    <w:rsid w:val="0098485A"/>
    <w:rsid w:val="00984D4C"/>
    <w:rsid w:val="00985C9E"/>
    <w:rsid w:val="00986460"/>
    <w:rsid w:val="009865C9"/>
    <w:rsid w:val="00986CDA"/>
    <w:rsid w:val="00986D81"/>
    <w:rsid w:val="00987E1D"/>
    <w:rsid w:val="00990B06"/>
    <w:rsid w:val="00992171"/>
    <w:rsid w:val="009927F6"/>
    <w:rsid w:val="009928EA"/>
    <w:rsid w:val="0099311B"/>
    <w:rsid w:val="00993968"/>
    <w:rsid w:val="00994A02"/>
    <w:rsid w:val="00994A11"/>
    <w:rsid w:val="00995305"/>
    <w:rsid w:val="0099531E"/>
    <w:rsid w:val="009958D5"/>
    <w:rsid w:val="009968AF"/>
    <w:rsid w:val="00996A5A"/>
    <w:rsid w:val="00997336"/>
    <w:rsid w:val="009976B9"/>
    <w:rsid w:val="009A0F0A"/>
    <w:rsid w:val="009A0FA8"/>
    <w:rsid w:val="009A1284"/>
    <w:rsid w:val="009A1989"/>
    <w:rsid w:val="009A1B2B"/>
    <w:rsid w:val="009A1EB8"/>
    <w:rsid w:val="009A29A1"/>
    <w:rsid w:val="009A2BC6"/>
    <w:rsid w:val="009A331A"/>
    <w:rsid w:val="009A4424"/>
    <w:rsid w:val="009A4494"/>
    <w:rsid w:val="009A4C3F"/>
    <w:rsid w:val="009A5174"/>
    <w:rsid w:val="009A5244"/>
    <w:rsid w:val="009A6C83"/>
    <w:rsid w:val="009A6F03"/>
    <w:rsid w:val="009A73F1"/>
    <w:rsid w:val="009A7934"/>
    <w:rsid w:val="009A79EC"/>
    <w:rsid w:val="009A7ADF"/>
    <w:rsid w:val="009B05DE"/>
    <w:rsid w:val="009B0B38"/>
    <w:rsid w:val="009B0FA9"/>
    <w:rsid w:val="009B135B"/>
    <w:rsid w:val="009B22AD"/>
    <w:rsid w:val="009B22CA"/>
    <w:rsid w:val="009B2334"/>
    <w:rsid w:val="009B2571"/>
    <w:rsid w:val="009B2924"/>
    <w:rsid w:val="009B29AD"/>
    <w:rsid w:val="009B2D89"/>
    <w:rsid w:val="009B30C2"/>
    <w:rsid w:val="009B372D"/>
    <w:rsid w:val="009B3A03"/>
    <w:rsid w:val="009B3B05"/>
    <w:rsid w:val="009B424A"/>
    <w:rsid w:val="009B427A"/>
    <w:rsid w:val="009B48CE"/>
    <w:rsid w:val="009B4DA8"/>
    <w:rsid w:val="009B4EA3"/>
    <w:rsid w:val="009B5033"/>
    <w:rsid w:val="009B520E"/>
    <w:rsid w:val="009B5AA8"/>
    <w:rsid w:val="009B5D23"/>
    <w:rsid w:val="009B64B6"/>
    <w:rsid w:val="009B65DF"/>
    <w:rsid w:val="009B6CB4"/>
    <w:rsid w:val="009B718A"/>
    <w:rsid w:val="009B79DB"/>
    <w:rsid w:val="009C040A"/>
    <w:rsid w:val="009C097F"/>
    <w:rsid w:val="009C1A6B"/>
    <w:rsid w:val="009C1CB9"/>
    <w:rsid w:val="009C22AB"/>
    <w:rsid w:val="009C25D1"/>
    <w:rsid w:val="009C29BD"/>
    <w:rsid w:val="009C31B2"/>
    <w:rsid w:val="009C32E2"/>
    <w:rsid w:val="009C35C0"/>
    <w:rsid w:val="009C4650"/>
    <w:rsid w:val="009C58FD"/>
    <w:rsid w:val="009C64CC"/>
    <w:rsid w:val="009C66FE"/>
    <w:rsid w:val="009C6B31"/>
    <w:rsid w:val="009C6C4C"/>
    <w:rsid w:val="009C6FED"/>
    <w:rsid w:val="009C73C0"/>
    <w:rsid w:val="009C73D5"/>
    <w:rsid w:val="009D05E5"/>
    <w:rsid w:val="009D19BF"/>
    <w:rsid w:val="009D2188"/>
    <w:rsid w:val="009D22AD"/>
    <w:rsid w:val="009D2318"/>
    <w:rsid w:val="009D2522"/>
    <w:rsid w:val="009D267C"/>
    <w:rsid w:val="009D2BA1"/>
    <w:rsid w:val="009D3529"/>
    <w:rsid w:val="009D4306"/>
    <w:rsid w:val="009D4B14"/>
    <w:rsid w:val="009D52C1"/>
    <w:rsid w:val="009D548E"/>
    <w:rsid w:val="009D5743"/>
    <w:rsid w:val="009D5E10"/>
    <w:rsid w:val="009D795F"/>
    <w:rsid w:val="009E038A"/>
    <w:rsid w:val="009E0658"/>
    <w:rsid w:val="009E12D4"/>
    <w:rsid w:val="009E1864"/>
    <w:rsid w:val="009E1C47"/>
    <w:rsid w:val="009E2C13"/>
    <w:rsid w:val="009E33B5"/>
    <w:rsid w:val="009E425D"/>
    <w:rsid w:val="009E4400"/>
    <w:rsid w:val="009E4531"/>
    <w:rsid w:val="009E4D52"/>
    <w:rsid w:val="009E4F07"/>
    <w:rsid w:val="009E52DB"/>
    <w:rsid w:val="009E5BDE"/>
    <w:rsid w:val="009E5DB4"/>
    <w:rsid w:val="009E63F3"/>
    <w:rsid w:val="009E6FDF"/>
    <w:rsid w:val="009E72BB"/>
    <w:rsid w:val="009E751D"/>
    <w:rsid w:val="009E761B"/>
    <w:rsid w:val="009E7AD7"/>
    <w:rsid w:val="009F026F"/>
    <w:rsid w:val="009F0DEF"/>
    <w:rsid w:val="009F0E5A"/>
    <w:rsid w:val="009F0FAE"/>
    <w:rsid w:val="009F17B6"/>
    <w:rsid w:val="009F1A22"/>
    <w:rsid w:val="009F289F"/>
    <w:rsid w:val="009F2EE9"/>
    <w:rsid w:val="009F3C96"/>
    <w:rsid w:val="009F3D62"/>
    <w:rsid w:val="009F471B"/>
    <w:rsid w:val="009F4CA1"/>
    <w:rsid w:val="009F4FF5"/>
    <w:rsid w:val="009F5870"/>
    <w:rsid w:val="009F5F0D"/>
    <w:rsid w:val="009F63BD"/>
    <w:rsid w:val="009F6BCD"/>
    <w:rsid w:val="009F6FE9"/>
    <w:rsid w:val="009F70E1"/>
    <w:rsid w:val="009F7D65"/>
    <w:rsid w:val="00A00776"/>
    <w:rsid w:val="00A007CC"/>
    <w:rsid w:val="00A00899"/>
    <w:rsid w:val="00A00A35"/>
    <w:rsid w:val="00A00DE7"/>
    <w:rsid w:val="00A00E41"/>
    <w:rsid w:val="00A0153D"/>
    <w:rsid w:val="00A0226E"/>
    <w:rsid w:val="00A027CB"/>
    <w:rsid w:val="00A03372"/>
    <w:rsid w:val="00A03990"/>
    <w:rsid w:val="00A04230"/>
    <w:rsid w:val="00A04982"/>
    <w:rsid w:val="00A04E0A"/>
    <w:rsid w:val="00A04F12"/>
    <w:rsid w:val="00A0512B"/>
    <w:rsid w:val="00A05151"/>
    <w:rsid w:val="00A05985"/>
    <w:rsid w:val="00A05FB6"/>
    <w:rsid w:val="00A063DE"/>
    <w:rsid w:val="00A065DC"/>
    <w:rsid w:val="00A068DD"/>
    <w:rsid w:val="00A06A44"/>
    <w:rsid w:val="00A06CD8"/>
    <w:rsid w:val="00A07158"/>
    <w:rsid w:val="00A0786E"/>
    <w:rsid w:val="00A07AD6"/>
    <w:rsid w:val="00A07C8B"/>
    <w:rsid w:val="00A11C11"/>
    <w:rsid w:val="00A1226B"/>
    <w:rsid w:val="00A12629"/>
    <w:rsid w:val="00A1341C"/>
    <w:rsid w:val="00A146E7"/>
    <w:rsid w:val="00A1544F"/>
    <w:rsid w:val="00A15D99"/>
    <w:rsid w:val="00A15E38"/>
    <w:rsid w:val="00A16448"/>
    <w:rsid w:val="00A16689"/>
    <w:rsid w:val="00A168C1"/>
    <w:rsid w:val="00A169EC"/>
    <w:rsid w:val="00A1720B"/>
    <w:rsid w:val="00A174C5"/>
    <w:rsid w:val="00A20312"/>
    <w:rsid w:val="00A2032E"/>
    <w:rsid w:val="00A20DB2"/>
    <w:rsid w:val="00A2171B"/>
    <w:rsid w:val="00A22580"/>
    <w:rsid w:val="00A22C9B"/>
    <w:rsid w:val="00A22F49"/>
    <w:rsid w:val="00A230D7"/>
    <w:rsid w:val="00A24229"/>
    <w:rsid w:val="00A244B9"/>
    <w:rsid w:val="00A24EB8"/>
    <w:rsid w:val="00A2570F"/>
    <w:rsid w:val="00A25AF3"/>
    <w:rsid w:val="00A25E75"/>
    <w:rsid w:val="00A2613A"/>
    <w:rsid w:val="00A262C5"/>
    <w:rsid w:val="00A264E4"/>
    <w:rsid w:val="00A26772"/>
    <w:rsid w:val="00A26A56"/>
    <w:rsid w:val="00A279AE"/>
    <w:rsid w:val="00A302B3"/>
    <w:rsid w:val="00A307B6"/>
    <w:rsid w:val="00A307ED"/>
    <w:rsid w:val="00A30E40"/>
    <w:rsid w:val="00A31463"/>
    <w:rsid w:val="00A31647"/>
    <w:rsid w:val="00A31700"/>
    <w:rsid w:val="00A320AF"/>
    <w:rsid w:val="00A32112"/>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D21"/>
    <w:rsid w:val="00A4116B"/>
    <w:rsid w:val="00A42C57"/>
    <w:rsid w:val="00A4343D"/>
    <w:rsid w:val="00A43AF1"/>
    <w:rsid w:val="00A43F4B"/>
    <w:rsid w:val="00A44300"/>
    <w:rsid w:val="00A4487C"/>
    <w:rsid w:val="00A44B54"/>
    <w:rsid w:val="00A45468"/>
    <w:rsid w:val="00A46035"/>
    <w:rsid w:val="00A46C48"/>
    <w:rsid w:val="00A46E06"/>
    <w:rsid w:val="00A470C9"/>
    <w:rsid w:val="00A474A5"/>
    <w:rsid w:val="00A4760F"/>
    <w:rsid w:val="00A47DE0"/>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860"/>
    <w:rsid w:val="00A54BB3"/>
    <w:rsid w:val="00A54C94"/>
    <w:rsid w:val="00A55402"/>
    <w:rsid w:val="00A555B0"/>
    <w:rsid w:val="00A56BBA"/>
    <w:rsid w:val="00A57630"/>
    <w:rsid w:val="00A57799"/>
    <w:rsid w:val="00A57A0A"/>
    <w:rsid w:val="00A6080D"/>
    <w:rsid w:val="00A608B1"/>
    <w:rsid w:val="00A60C28"/>
    <w:rsid w:val="00A612DA"/>
    <w:rsid w:val="00A6175D"/>
    <w:rsid w:val="00A61856"/>
    <w:rsid w:val="00A61BDE"/>
    <w:rsid w:val="00A6267F"/>
    <w:rsid w:val="00A6272D"/>
    <w:rsid w:val="00A62E9F"/>
    <w:rsid w:val="00A62FBD"/>
    <w:rsid w:val="00A6318D"/>
    <w:rsid w:val="00A63866"/>
    <w:rsid w:val="00A63C01"/>
    <w:rsid w:val="00A65154"/>
    <w:rsid w:val="00A65743"/>
    <w:rsid w:val="00A65769"/>
    <w:rsid w:val="00A65A55"/>
    <w:rsid w:val="00A65A5E"/>
    <w:rsid w:val="00A6607F"/>
    <w:rsid w:val="00A66729"/>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BF5"/>
    <w:rsid w:val="00A71D2E"/>
    <w:rsid w:val="00A7240B"/>
    <w:rsid w:val="00A72501"/>
    <w:rsid w:val="00A729DF"/>
    <w:rsid w:val="00A72AAA"/>
    <w:rsid w:val="00A7351E"/>
    <w:rsid w:val="00A736CD"/>
    <w:rsid w:val="00A73986"/>
    <w:rsid w:val="00A73BB9"/>
    <w:rsid w:val="00A73F71"/>
    <w:rsid w:val="00A757DE"/>
    <w:rsid w:val="00A75D47"/>
    <w:rsid w:val="00A767EB"/>
    <w:rsid w:val="00A76B79"/>
    <w:rsid w:val="00A77AB0"/>
    <w:rsid w:val="00A77AE9"/>
    <w:rsid w:val="00A8033A"/>
    <w:rsid w:val="00A81476"/>
    <w:rsid w:val="00A8198C"/>
    <w:rsid w:val="00A81AC9"/>
    <w:rsid w:val="00A825D1"/>
    <w:rsid w:val="00A82959"/>
    <w:rsid w:val="00A82F16"/>
    <w:rsid w:val="00A8327A"/>
    <w:rsid w:val="00A83D45"/>
    <w:rsid w:val="00A84C06"/>
    <w:rsid w:val="00A8668B"/>
    <w:rsid w:val="00A86920"/>
    <w:rsid w:val="00A87142"/>
    <w:rsid w:val="00A87E23"/>
    <w:rsid w:val="00A90249"/>
    <w:rsid w:val="00A90287"/>
    <w:rsid w:val="00A9033E"/>
    <w:rsid w:val="00A913EC"/>
    <w:rsid w:val="00A915F9"/>
    <w:rsid w:val="00A91710"/>
    <w:rsid w:val="00A92559"/>
    <w:rsid w:val="00A9287F"/>
    <w:rsid w:val="00A92BD9"/>
    <w:rsid w:val="00A92D5B"/>
    <w:rsid w:val="00A92E4C"/>
    <w:rsid w:val="00A92F14"/>
    <w:rsid w:val="00A95C83"/>
    <w:rsid w:val="00A95EF4"/>
    <w:rsid w:val="00A95F31"/>
    <w:rsid w:val="00A9633F"/>
    <w:rsid w:val="00A96664"/>
    <w:rsid w:val="00A96890"/>
    <w:rsid w:val="00A9775E"/>
    <w:rsid w:val="00A97809"/>
    <w:rsid w:val="00A9794F"/>
    <w:rsid w:val="00A979ED"/>
    <w:rsid w:val="00AA0A42"/>
    <w:rsid w:val="00AA0C42"/>
    <w:rsid w:val="00AA0EE5"/>
    <w:rsid w:val="00AA13B8"/>
    <w:rsid w:val="00AA205B"/>
    <w:rsid w:val="00AA268D"/>
    <w:rsid w:val="00AA294D"/>
    <w:rsid w:val="00AA2E3E"/>
    <w:rsid w:val="00AA3134"/>
    <w:rsid w:val="00AA35DF"/>
    <w:rsid w:val="00AA3669"/>
    <w:rsid w:val="00AA396C"/>
    <w:rsid w:val="00AA3A8D"/>
    <w:rsid w:val="00AA3CDB"/>
    <w:rsid w:val="00AA41BC"/>
    <w:rsid w:val="00AA4B6D"/>
    <w:rsid w:val="00AA4E60"/>
    <w:rsid w:val="00AA4F7E"/>
    <w:rsid w:val="00AA4FE4"/>
    <w:rsid w:val="00AA5131"/>
    <w:rsid w:val="00AA575C"/>
    <w:rsid w:val="00AA6186"/>
    <w:rsid w:val="00AA7DA6"/>
    <w:rsid w:val="00AB037E"/>
    <w:rsid w:val="00AB0618"/>
    <w:rsid w:val="00AB0DF9"/>
    <w:rsid w:val="00AB0E83"/>
    <w:rsid w:val="00AB1185"/>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D31"/>
    <w:rsid w:val="00AB6DE2"/>
    <w:rsid w:val="00AB7BD5"/>
    <w:rsid w:val="00AC02CD"/>
    <w:rsid w:val="00AC0420"/>
    <w:rsid w:val="00AC0593"/>
    <w:rsid w:val="00AC0612"/>
    <w:rsid w:val="00AC064B"/>
    <w:rsid w:val="00AC0AEB"/>
    <w:rsid w:val="00AC13A7"/>
    <w:rsid w:val="00AC1866"/>
    <w:rsid w:val="00AC1A6E"/>
    <w:rsid w:val="00AC2EEF"/>
    <w:rsid w:val="00AC3163"/>
    <w:rsid w:val="00AC3490"/>
    <w:rsid w:val="00AC4392"/>
    <w:rsid w:val="00AC4565"/>
    <w:rsid w:val="00AC4AF4"/>
    <w:rsid w:val="00AC5F79"/>
    <w:rsid w:val="00AC69AC"/>
    <w:rsid w:val="00AC6AE6"/>
    <w:rsid w:val="00AC6C64"/>
    <w:rsid w:val="00AC6FED"/>
    <w:rsid w:val="00AC7DBD"/>
    <w:rsid w:val="00AD0BD8"/>
    <w:rsid w:val="00AD14F1"/>
    <w:rsid w:val="00AD1B5E"/>
    <w:rsid w:val="00AD1B90"/>
    <w:rsid w:val="00AD1F78"/>
    <w:rsid w:val="00AD22C2"/>
    <w:rsid w:val="00AD25FD"/>
    <w:rsid w:val="00AD266E"/>
    <w:rsid w:val="00AD2B13"/>
    <w:rsid w:val="00AD3046"/>
    <w:rsid w:val="00AD3981"/>
    <w:rsid w:val="00AD5D7D"/>
    <w:rsid w:val="00AD6042"/>
    <w:rsid w:val="00AD6385"/>
    <w:rsid w:val="00AD688C"/>
    <w:rsid w:val="00AD6C02"/>
    <w:rsid w:val="00AD7036"/>
    <w:rsid w:val="00AE008F"/>
    <w:rsid w:val="00AE011F"/>
    <w:rsid w:val="00AE0628"/>
    <w:rsid w:val="00AE0F3D"/>
    <w:rsid w:val="00AE12FB"/>
    <w:rsid w:val="00AE1A2A"/>
    <w:rsid w:val="00AE1D82"/>
    <w:rsid w:val="00AE1E7A"/>
    <w:rsid w:val="00AE2F0F"/>
    <w:rsid w:val="00AE5A7C"/>
    <w:rsid w:val="00AE5C00"/>
    <w:rsid w:val="00AE6882"/>
    <w:rsid w:val="00AE6DA4"/>
    <w:rsid w:val="00AE6DAB"/>
    <w:rsid w:val="00AE6FF8"/>
    <w:rsid w:val="00AE7521"/>
    <w:rsid w:val="00AE7A3E"/>
    <w:rsid w:val="00AE7B84"/>
    <w:rsid w:val="00AE7C81"/>
    <w:rsid w:val="00AF01B4"/>
    <w:rsid w:val="00AF0AD9"/>
    <w:rsid w:val="00AF116F"/>
    <w:rsid w:val="00AF187A"/>
    <w:rsid w:val="00AF1F55"/>
    <w:rsid w:val="00AF25E5"/>
    <w:rsid w:val="00AF263F"/>
    <w:rsid w:val="00AF2917"/>
    <w:rsid w:val="00AF2B58"/>
    <w:rsid w:val="00AF2C61"/>
    <w:rsid w:val="00AF2C7F"/>
    <w:rsid w:val="00AF315A"/>
    <w:rsid w:val="00AF32B5"/>
    <w:rsid w:val="00AF370D"/>
    <w:rsid w:val="00AF3AEE"/>
    <w:rsid w:val="00AF43AC"/>
    <w:rsid w:val="00AF5A3F"/>
    <w:rsid w:val="00AF672E"/>
    <w:rsid w:val="00AF7A3F"/>
    <w:rsid w:val="00AF7A8D"/>
    <w:rsid w:val="00B00CA6"/>
    <w:rsid w:val="00B00EB2"/>
    <w:rsid w:val="00B00EF2"/>
    <w:rsid w:val="00B0134B"/>
    <w:rsid w:val="00B0197E"/>
    <w:rsid w:val="00B028E1"/>
    <w:rsid w:val="00B02B2D"/>
    <w:rsid w:val="00B02F88"/>
    <w:rsid w:val="00B04B32"/>
    <w:rsid w:val="00B05714"/>
    <w:rsid w:val="00B05C52"/>
    <w:rsid w:val="00B060C2"/>
    <w:rsid w:val="00B06438"/>
    <w:rsid w:val="00B0673E"/>
    <w:rsid w:val="00B0676C"/>
    <w:rsid w:val="00B06A9E"/>
    <w:rsid w:val="00B0730E"/>
    <w:rsid w:val="00B075B1"/>
    <w:rsid w:val="00B103A6"/>
    <w:rsid w:val="00B10438"/>
    <w:rsid w:val="00B106FF"/>
    <w:rsid w:val="00B1084D"/>
    <w:rsid w:val="00B110E3"/>
    <w:rsid w:val="00B1176B"/>
    <w:rsid w:val="00B11C16"/>
    <w:rsid w:val="00B12691"/>
    <w:rsid w:val="00B127AD"/>
    <w:rsid w:val="00B12ACF"/>
    <w:rsid w:val="00B12D12"/>
    <w:rsid w:val="00B137F9"/>
    <w:rsid w:val="00B13C10"/>
    <w:rsid w:val="00B14742"/>
    <w:rsid w:val="00B14F5D"/>
    <w:rsid w:val="00B14FE6"/>
    <w:rsid w:val="00B15F86"/>
    <w:rsid w:val="00B16154"/>
    <w:rsid w:val="00B164C5"/>
    <w:rsid w:val="00B165B6"/>
    <w:rsid w:val="00B16E2E"/>
    <w:rsid w:val="00B2011D"/>
    <w:rsid w:val="00B20488"/>
    <w:rsid w:val="00B21EA4"/>
    <w:rsid w:val="00B22022"/>
    <w:rsid w:val="00B22064"/>
    <w:rsid w:val="00B22619"/>
    <w:rsid w:val="00B22C23"/>
    <w:rsid w:val="00B23327"/>
    <w:rsid w:val="00B23982"/>
    <w:rsid w:val="00B23B81"/>
    <w:rsid w:val="00B23F8D"/>
    <w:rsid w:val="00B24297"/>
    <w:rsid w:val="00B24796"/>
    <w:rsid w:val="00B24810"/>
    <w:rsid w:val="00B24DB9"/>
    <w:rsid w:val="00B2500E"/>
    <w:rsid w:val="00B25EA8"/>
    <w:rsid w:val="00B2647F"/>
    <w:rsid w:val="00B267C1"/>
    <w:rsid w:val="00B27041"/>
    <w:rsid w:val="00B273A3"/>
    <w:rsid w:val="00B30799"/>
    <w:rsid w:val="00B30E67"/>
    <w:rsid w:val="00B30FEB"/>
    <w:rsid w:val="00B3151C"/>
    <w:rsid w:val="00B3184D"/>
    <w:rsid w:val="00B31932"/>
    <w:rsid w:val="00B32150"/>
    <w:rsid w:val="00B32498"/>
    <w:rsid w:val="00B32569"/>
    <w:rsid w:val="00B339D1"/>
    <w:rsid w:val="00B33C39"/>
    <w:rsid w:val="00B33E59"/>
    <w:rsid w:val="00B3465C"/>
    <w:rsid w:val="00B34D55"/>
    <w:rsid w:val="00B3605D"/>
    <w:rsid w:val="00B363D5"/>
    <w:rsid w:val="00B364E9"/>
    <w:rsid w:val="00B36938"/>
    <w:rsid w:val="00B36B3C"/>
    <w:rsid w:val="00B36CC9"/>
    <w:rsid w:val="00B371AB"/>
    <w:rsid w:val="00B37E83"/>
    <w:rsid w:val="00B4048F"/>
    <w:rsid w:val="00B41267"/>
    <w:rsid w:val="00B41590"/>
    <w:rsid w:val="00B419F7"/>
    <w:rsid w:val="00B41C3A"/>
    <w:rsid w:val="00B4258F"/>
    <w:rsid w:val="00B425F5"/>
    <w:rsid w:val="00B43628"/>
    <w:rsid w:val="00B4364B"/>
    <w:rsid w:val="00B439B9"/>
    <w:rsid w:val="00B43CBC"/>
    <w:rsid w:val="00B43CDA"/>
    <w:rsid w:val="00B43F56"/>
    <w:rsid w:val="00B44566"/>
    <w:rsid w:val="00B447D6"/>
    <w:rsid w:val="00B45755"/>
    <w:rsid w:val="00B45FDD"/>
    <w:rsid w:val="00B46009"/>
    <w:rsid w:val="00B46021"/>
    <w:rsid w:val="00B471EA"/>
    <w:rsid w:val="00B473A8"/>
    <w:rsid w:val="00B47C9C"/>
    <w:rsid w:val="00B47DDA"/>
    <w:rsid w:val="00B50B33"/>
    <w:rsid w:val="00B511EC"/>
    <w:rsid w:val="00B512CA"/>
    <w:rsid w:val="00B512F8"/>
    <w:rsid w:val="00B514BC"/>
    <w:rsid w:val="00B52155"/>
    <w:rsid w:val="00B5257D"/>
    <w:rsid w:val="00B52F43"/>
    <w:rsid w:val="00B53488"/>
    <w:rsid w:val="00B53523"/>
    <w:rsid w:val="00B53790"/>
    <w:rsid w:val="00B53AC3"/>
    <w:rsid w:val="00B53D16"/>
    <w:rsid w:val="00B54C9F"/>
    <w:rsid w:val="00B55697"/>
    <w:rsid w:val="00B55A28"/>
    <w:rsid w:val="00B55A5C"/>
    <w:rsid w:val="00B55E68"/>
    <w:rsid w:val="00B570A1"/>
    <w:rsid w:val="00B5718E"/>
    <w:rsid w:val="00B573F7"/>
    <w:rsid w:val="00B57F89"/>
    <w:rsid w:val="00B60C0B"/>
    <w:rsid w:val="00B615A2"/>
    <w:rsid w:val="00B61B76"/>
    <w:rsid w:val="00B6289F"/>
    <w:rsid w:val="00B63467"/>
    <w:rsid w:val="00B634F5"/>
    <w:rsid w:val="00B637C0"/>
    <w:rsid w:val="00B637C5"/>
    <w:rsid w:val="00B64584"/>
    <w:rsid w:val="00B66084"/>
    <w:rsid w:val="00B66536"/>
    <w:rsid w:val="00B66BB6"/>
    <w:rsid w:val="00B67706"/>
    <w:rsid w:val="00B67A69"/>
    <w:rsid w:val="00B70381"/>
    <w:rsid w:val="00B70867"/>
    <w:rsid w:val="00B70F7A"/>
    <w:rsid w:val="00B71640"/>
    <w:rsid w:val="00B7165B"/>
    <w:rsid w:val="00B71D9F"/>
    <w:rsid w:val="00B72081"/>
    <w:rsid w:val="00B7237B"/>
    <w:rsid w:val="00B72C57"/>
    <w:rsid w:val="00B74B20"/>
    <w:rsid w:val="00B74C46"/>
    <w:rsid w:val="00B74C8C"/>
    <w:rsid w:val="00B753CD"/>
    <w:rsid w:val="00B754AF"/>
    <w:rsid w:val="00B76A86"/>
    <w:rsid w:val="00B76C25"/>
    <w:rsid w:val="00B77017"/>
    <w:rsid w:val="00B7723D"/>
    <w:rsid w:val="00B776EF"/>
    <w:rsid w:val="00B80422"/>
    <w:rsid w:val="00B8071E"/>
    <w:rsid w:val="00B8075B"/>
    <w:rsid w:val="00B808A2"/>
    <w:rsid w:val="00B80C1D"/>
    <w:rsid w:val="00B81157"/>
    <w:rsid w:val="00B814C3"/>
    <w:rsid w:val="00B81E79"/>
    <w:rsid w:val="00B81FE6"/>
    <w:rsid w:val="00B82844"/>
    <w:rsid w:val="00B828C3"/>
    <w:rsid w:val="00B82C65"/>
    <w:rsid w:val="00B833AA"/>
    <w:rsid w:val="00B83A5A"/>
    <w:rsid w:val="00B84371"/>
    <w:rsid w:val="00B847C1"/>
    <w:rsid w:val="00B84B20"/>
    <w:rsid w:val="00B856CF"/>
    <w:rsid w:val="00B85752"/>
    <w:rsid w:val="00B857F1"/>
    <w:rsid w:val="00B85A4E"/>
    <w:rsid w:val="00B8694A"/>
    <w:rsid w:val="00B86A5E"/>
    <w:rsid w:val="00B86CE3"/>
    <w:rsid w:val="00B90BB1"/>
    <w:rsid w:val="00B911DB"/>
    <w:rsid w:val="00B9127E"/>
    <w:rsid w:val="00B915E5"/>
    <w:rsid w:val="00B91934"/>
    <w:rsid w:val="00B91D25"/>
    <w:rsid w:val="00B928A1"/>
    <w:rsid w:val="00B92942"/>
    <w:rsid w:val="00B92F60"/>
    <w:rsid w:val="00B93281"/>
    <w:rsid w:val="00B93292"/>
    <w:rsid w:val="00B93A5A"/>
    <w:rsid w:val="00B94220"/>
    <w:rsid w:val="00B94413"/>
    <w:rsid w:val="00B945EA"/>
    <w:rsid w:val="00B94BB9"/>
    <w:rsid w:val="00B95216"/>
    <w:rsid w:val="00B952B9"/>
    <w:rsid w:val="00B956FB"/>
    <w:rsid w:val="00B95871"/>
    <w:rsid w:val="00B95B2D"/>
    <w:rsid w:val="00B960D4"/>
    <w:rsid w:val="00B961C6"/>
    <w:rsid w:val="00B96645"/>
    <w:rsid w:val="00B966B5"/>
    <w:rsid w:val="00B97391"/>
    <w:rsid w:val="00B97A8F"/>
    <w:rsid w:val="00BA04CE"/>
    <w:rsid w:val="00BA073F"/>
    <w:rsid w:val="00BA10A4"/>
    <w:rsid w:val="00BA12F4"/>
    <w:rsid w:val="00BA1548"/>
    <w:rsid w:val="00BA15B4"/>
    <w:rsid w:val="00BA2D08"/>
    <w:rsid w:val="00BA37AF"/>
    <w:rsid w:val="00BA406C"/>
    <w:rsid w:val="00BA504F"/>
    <w:rsid w:val="00BA56D5"/>
    <w:rsid w:val="00BA62E0"/>
    <w:rsid w:val="00BA6A5D"/>
    <w:rsid w:val="00BA789A"/>
    <w:rsid w:val="00BA7F6B"/>
    <w:rsid w:val="00BB0132"/>
    <w:rsid w:val="00BB0413"/>
    <w:rsid w:val="00BB144B"/>
    <w:rsid w:val="00BB1459"/>
    <w:rsid w:val="00BB183A"/>
    <w:rsid w:val="00BB1B26"/>
    <w:rsid w:val="00BB2419"/>
    <w:rsid w:val="00BB271E"/>
    <w:rsid w:val="00BB2998"/>
    <w:rsid w:val="00BB2EA9"/>
    <w:rsid w:val="00BB33EC"/>
    <w:rsid w:val="00BB49D7"/>
    <w:rsid w:val="00BB4A36"/>
    <w:rsid w:val="00BB4E18"/>
    <w:rsid w:val="00BB5C7E"/>
    <w:rsid w:val="00BB5F9B"/>
    <w:rsid w:val="00BB60A4"/>
    <w:rsid w:val="00BB6A6D"/>
    <w:rsid w:val="00BB6FA6"/>
    <w:rsid w:val="00BB7243"/>
    <w:rsid w:val="00BC0248"/>
    <w:rsid w:val="00BC05C8"/>
    <w:rsid w:val="00BC0A86"/>
    <w:rsid w:val="00BC0F10"/>
    <w:rsid w:val="00BC1D32"/>
    <w:rsid w:val="00BC1F4B"/>
    <w:rsid w:val="00BC275A"/>
    <w:rsid w:val="00BC33AF"/>
    <w:rsid w:val="00BC3894"/>
    <w:rsid w:val="00BC3965"/>
    <w:rsid w:val="00BC3D86"/>
    <w:rsid w:val="00BC417A"/>
    <w:rsid w:val="00BC42B7"/>
    <w:rsid w:val="00BC463F"/>
    <w:rsid w:val="00BC465A"/>
    <w:rsid w:val="00BC4AE6"/>
    <w:rsid w:val="00BC511D"/>
    <w:rsid w:val="00BC5676"/>
    <w:rsid w:val="00BC65FB"/>
    <w:rsid w:val="00BC6BBD"/>
    <w:rsid w:val="00BC71EE"/>
    <w:rsid w:val="00BC7D56"/>
    <w:rsid w:val="00BD0EAC"/>
    <w:rsid w:val="00BD1EA2"/>
    <w:rsid w:val="00BD2069"/>
    <w:rsid w:val="00BD28BE"/>
    <w:rsid w:val="00BD2AC6"/>
    <w:rsid w:val="00BD634A"/>
    <w:rsid w:val="00BD6554"/>
    <w:rsid w:val="00BD7185"/>
    <w:rsid w:val="00BD7784"/>
    <w:rsid w:val="00BD79E3"/>
    <w:rsid w:val="00BD7A1E"/>
    <w:rsid w:val="00BE00D0"/>
    <w:rsid w:val="00BE1770"/>
    <w:rsid w:val="00BE17E7"/>
    <w:rsid w:val="00BE2412"/>
    <w:rsid w:val="00BE2F78"/>
    <w:rsid w:val="00BE44C5"/>
    <w:rsid w:val="00BE4541"/>
    <w:rsid w:val="00BE46D9"/>
    <w:rsid w:val="00BE480F"/>
    <w:rsid w:val="00BE4926"/>
    <w:rsid w:val="00BE5769"/>
    <w:rsid w:val="00BE7778"/>
    <w:rsid w:val="00BF0850"/>
    <w:rsid w:val="00BF0A47"/>
    <w:rsid w:val="00BF0E8B"/>
    <w:rsid w:val="00BF109B"/>
    <w:rsid w:val="00BF1386"/>
    <w:rsid w:val="00BF14DD"/>
    <w:rsid w:val="00BF15CC"/>
    <w:rsid w:val="00BF1D45"/>
    <w:rsid w:val="00BF2068"/>
    <w:rsid w:val="00BF2692"/>
    <w:rsid w:val="00BF2AB3"/>
    <w:rsid w:val="00BF2E23"/>
    <w:rsid w:val="00BF4933"/>
    <w:rsid w:val="00BF4C36"/>
    <w:rsid w:val="00BF4D7A"/>
    <w:rsid w:val="00BF51C9"/>
    <w:rsid w:val="00BF5B10"/>
    <w:rsid w:val="00BF6A03"/>
    <w:rsid w:val="00BF6B09"/>
    <w:rsid w:val="00BF6FC7"/>
    <w:rsid w:val="00BF7566"/>
    <w:rsid w:val="00BF7D2E"/>
    <w:rsid w:val="00C00DB6"/>
    <w:rsid w:val="00C012C0"/>
    <w:rsid w:val="00C013B5"/>
    <w:rsid w:val="00C019A9"/>
    <w:rsid w:val="00C021C9"/>
    <w:rsid w:val="00C0231C"/>
    <w:rsid w:val="00C0326D"/>
    <w:rsid w:val="00C039A2"/>
    <w:rsid w:val="00C03D22"/>
    <w:rsid w:val="00C04425"/>
    <w:rsid w:val="00C04B8E"/>
    <w:rsid w:val="00C05BE8"/>
    <w:rsid w:val="00C0623A"/>
    <w:rsid w:val="00C0734D"/>
    <w:rsid w:val="00C07AEA"/>
    <w:rsid w:val="00C101C5"/>
    <w:rsid w:val="00C1028F"/>
    <w:rsid w:val="00C10668"/>
    <w:rsid w:val="00C111BA"/>
    <w:rsid w:val="00C11589"/>
    <w:rsid w:val="00C117B1"/>
    <w:rsid w:val="00C119E3"/>
    <w:rsid w:val="00C11D99"/>
    <w:rsid w:val="00C11E45"/>
    <w:rsid w:val="00C12FDB"/>
    <w:rsid w:val="00C1306E"/>
    <w:rsid w:val="00C13432"/>
    <w:rsid w:val="00C13F94"/>
    <w:rsid w:val="00C143BB"/>
    <w:rsid w:val="00C14C5B"/>
    <w:rsid w:val="00C15560"/>
    <w:rsid w:val="00C156AB"/>
    <w:rsid w:val="00C157DC"/>
    <w:rsid w:val="00C16908"/>
    <w:rsid w:val="00C16AA8"/>
    <w:rsid w:val="00C16EA6"/>
    <w:rsid w:val="00C17EDC"/>
    <w:rsid w:val="00C203F1"/>
    <w:rsid w:val="00C208D4"/>
    <w:rsid w:val="00C20A70"/>
    <w:rsid w:val="00C21CE9"/>
    <w:rsid w:val="00C223CC"/>
    <w:rsid w:val="00C2277D"/>
    <w:rsid w:val="00C22816"/>
    <w:rsid w:val="00C22AEF"/>
    <w:rsid w:val="00C23209"/>
    <w:rsid w:val="00C2457C"/>
    <w:rsid w:val="00C24FAB"/>
    <w:rsid w:val="00C2503F"/>
    <w:rsid w:val="00C25D8D"/>
    <w:rsid w:val="00C26312"/>
    <w:rsid w:val="00C26347"/>
    <w:rsid w:val="00C2684D"/>
    <w:rsid w:val="00C26A51"/>
    <w:rsid w:val="00C26B37"/>
    <w:rsid w:val="00C27B00"/>
    <w:rsid w:val="00C305AB"/>
    <w:rsid w:val="00C30A94"/>
    <w:rsid w:val="00C30BA9"/>
    <w:rsid w:val="00C30D56"/>
    <w:rsid w:val="00C316F3"/>
    <w:rsid w:val="00C318E3"/>
    <w:rsid w:val="00C31D0F"/>
    <w:rsid w:val="00C31FD4"/>
    <w:rsid w:val="00C32087"/>
    <w:rsid w:val="00C32953"/>
    <w:rsid w:val="00C32C75"/>
    <w:rsid w:val="00C3384E"/>
    <w:rsid w:val="00C34196"/>
    <w:rsid w:val="00C3495C"/>
    <w:rsid w:val="00C353CA"/>
    <w:rsid w:val="00C35FA4"/>
    <w:rsid w:val="00C36700"/>
    <w:rsid w:val="00C36749"/>
    <w:rsid w:val="00C36BF6"/>
    <w:rsid w:val="00C36C20"/>
    <w:rsid w:val="00C36D9A"/>
    <w:rsid w:val="00C36F10"/>
    <w:rsid w:val="00C370F1"/>
    <w:rsid w:val="00C37230"/>
    <w:rsid w:val="00C37894"/>
    <w:rsid w:val="00C40640"/>
    <w:rsid w:val="00C408C1"/>
    <w:rsid w:val="00C40F35"/>
    <w:rsid w:val="00C411A5"/>
    <w:rsid w:val="00C41617"/>
    <w:rsid w:val="00C4169D"/>
    <w:rsid w:val="00C4197D"/>
    <w:rsid w:val="00C41BDD"/>
    <w:rsid w:val="00C4225D"/>
    <w:rsid w:val="00C42D36"/>
    <w:rsid w:val="00C43DC5"/>
    <w:rsid w:val="00C44122"/>
    <w:rsid w:val="00C450CB"/>
    <w:rsid w:val="00C455AD"/>
    <w:rsid w:val="00C45CD1"/>
    <w:rsid w:val="00C465D6"/>
    <w:rsid w:val="00C4703F"/>
    <w:rsid w:val="00C4756C"/>
    <w:rsid w:val="00C4789D"/>
    <w:rsid w:val="00C512D6"/>
    <w:rsid w:val="00C51771"/>
    <w:rsid w:val="00C52293"/>
    <w:rsid w:val="00C527AE"/>
    <w:rsid w:val="00C52E9A"/>
    <w:rsid w:val="00C53059"/>
    <w:rsid w:val="00C53439"/>
    <w:rsid w:val="00C53643"/>
    <w:rsid w:val="00C53D15"/>
    <w:rsid w:val="00C54093"/>
    <w:rsid w:val="00C5461D"/>
    <w:rsid w:val="00C548D5"/>
    <w:rsid w:val="00C54AE9"/>
    <w:rsid w:val="00C54EBB"/>
    <w:rsid w:val="00C55B52"/>
    <w:rsid w:val="00C55B89"/>
    <w:rsid w:val="00C56C47"/>
    <w:rsid w:val="00C571CD"/>
    <w:rsid w:val="00C57971"/>
    <w:rsid w:val="00C609DA"/>
    <w:rsid w:val="00C61693"/>
    <w:rsid w:val="00C619E7"/>
    <w:rsid w:val="00C61C0C"/>
    <w:rsid w:val="00C624D8"/>
    <w:rsid w:val="00C6314C"/>
    <w:rsid w:val="00C6344D"/>
    <w:rsid w:val="00C66008"/>
    <w:rsid w:val="00C66586"/>
    <w:rsid w:val="00C6694E"/>
    <w:rsid w:val="00C66B89"/>
    <w:rsid w:val="00C66FAB"/>
    <w:rsid w:val="00C671EE"/>
    <w:rsid w:val="00C67296"/>
    <w:rsid w:val="00C676C4"/>
    <w:rsid w:val="00C679E2"/>
    <w:rsid w:val="00C704B8"/>
    <w:rsid w:val="00C7068B"/>
    <w:rsid w:val="00C70828"/>
    <w:rsid w:val="00C70EBC"/>
    <w:rsid w:val="00C7115F"/>
    <w:rsid w:val="00C71E93"/>
    <w:rsid w:val="00C7234B"/>
    <w:rsid w:val="00C727AC"/>
    <w:rsid w:val="00C730DC"/>
    <w:rsid w:val="00C732BD"/>
    <w:rsid w:val="00C734DA"/>
    <w:rsid w:val="00C735A8"/>
    <w:rsid w:val="00C74481"/>
    <w:rsid w:val="00C74FB2"/>
    <w:rsid w:val="00C7581E"/>
    <w:rsid w:val="00C75EA3"/>
    <w:rsid w:val="00C7669A"/>
    <w:rsid w:val="00C76CB6"/>
    <w:rsid w:val="00C76F0D"/>
    <w:rsid w:val="00C77A89"/>
    <w:rsid w:val="00C8021A"/>
    <w:rsid w:val="00C804EA"/>
    <w:rsid w:val="00C8064A"/>
    <w:rsid w:val="00C81882"/>
    <w:rsid w:val="00C81A04"/>
    <w:rsid w:val="00C81D60"/>
    <w:rsid w:val="00C81D7E"/>
    <w:rsid w:val="00C8325E"/>
    <w:rsid w:val="00C8328C"/>
    <w:rsid w:val="00C83C45"/>
    <w:rsid w:val="00C8441D"/>
    <w:rsid w:val="00C85537"/>
    <w:rsid w:val="00C85A0A"/>
    <w:rsid w:val="00C85F93"/>
    <w:rsid w:val="00C86777"/>
    <w:rsid w:val="00C86B03"/>
    <w:rsid w:val="00C86DF5"/>
    <w:rsid w:val="00C8756A"/>
    <w:rsid w:val="00C87649"/>
    <w:rsid w:val="00C8795A"/>
    <w:rsid w:val="00C907B3"/>
    <w:rsid w:val="00C90A24"/>
    <w:rsid w:val="00C90CAE"/>
    <w:rsid w:val="00C90EFF"/>
    <w:rsid w:val="00C912CC"/>
    <w:rsid w:val="00C91515"/>
    <w:rsid w:val="00C91932"/>
    <w:rsid w:val="00C91C04"/>
    <w:rsid w:val="00C92541"/>
    <w:rsid w:val="00C93512"/>
    <w:rsid w:val="00C93A9A"/>
    <w:rsid w:val="00C93EBD"/>
    <w:rsid w:val="00C94E2D"/>
    <w:rsid w:val="00C95751"/>
    <w:rsid w:val="00C95857"/>
    <w:rsid w:val="00C95EC1"/>
    <w:rsid w:val="00C963D9"/>
    <w:rsid w:val="00C96814"/>
    <w:rsid w:val="00C968C7"/>
    <w:rsid w:val="00C976E0"/>
    <w:rsid w:val="00C97856"/>
    <w:rsid w:val="00C979AC"/>
    <w:rsid w:val="00C97AD4"/>
    <w:rsid w:val="00CA03FF"/>
    <w:rsid w:val="00CA0BDE"/>
    <w:rsid w:val="00CA0F4E"/>
    <w:rsid w:val="00CA106B"/>
    <w:rsid w:val="00CA172A"/>
    <w:rsid w:val="00CA1A34"/>
    <w:rsid w:val="00CA271B"/>
    <w:rsid w:val="00CA2D6E"/>
    <w:rsid w:val="00CA3263"/>
    <w:rsid w:val="00CA441F"/>
    <w:rsid w:val="00CA4EE5"/>
    <w:rsid w:val="00CA520A"/>
    <w:rsid w:val="00CA5465"/>
    <w:rsid w:val="00CA5EAF"/>
    <w:rsid w:val="00CA631D"/>
    <w:rsid w:val="00CA6448"/>
    <w:rsid w:val="00CA69D1"/>
    <w:rsid w:val="00CA7519"/>
    <w:rsid w:val="00CA79AD"/>
    <w:rsid w:val="00CA79BE"/>
    <w:rsid w:val="00CB03A9"/>
    <w:rsid w:val="00CB0770"/>
    <w:rsid w:val="00CB1776"/>
    <w:rsid w:val="00CB19D9"/>
    <w:rsid w:val="00CB3F77"/>
    <w:rsid w:val="00CB4178"/>
    <w:rsid w:val="00CB4266"/>
    <w:rsid w:val="00CB46D1"/>
    <w:rsid w:val="00CB4944"/>
    <w:rsid w:val="00CB4EAC"/>
    <w:rsid w:val="00CB5C9F"/>
    <w:rsid w:val="00CB6420"/>
    <w:rsid w:val="00CB6B80"/>
    <w:rsid w:val="00CB6C9E"/>
    <w:rsid w:val="00CB7451"/>
    <w:rsid w:val="00CB75C7"/>
    <w:rsid w:val="00CB76A9"/>
    <w:rsid w:val="00CB7C52"/>
    <w:rsid w:val="00CB7C7B"/>
    <w:rsid w:val="00CC0866"/>
    <w:rsid w:val="00CC2206"/>
    <w:rsid w:val="00CC2C3A"/>
    <w:rsid w:val="00CC2D62"/>
    <w:rsid w:val="00CC2D66"/>
    <w:rsid w:val="00CC2DDB"/>
    <w:rsid w:val="00CC2EF3"/>
    <w:rsid w:val="00CC32DD"/>
    <w:rsid w:val="00CC3456"/>
    <w:rsid w:val="00CC3528"/>
    <w:rsid w:val="00CC4998"/>
    <w:rsid w:val="00CC4D07"/>
    <w:rsid w:val="00CC4D9D"/>
    <w:rsid w:val="00CC4DCF"/>
    <w:rsid w:val="00CC55C0"/>
    <w:rsid w:val="00CC5EC7"/>
    <w:rsid w:val="00CC6B7A"/>
    <w:rsid w:val="00CC6F5B"/>
    <w:rsid w:val="00CC70A2"/>
    <w:rsid w:val="00CC72FF"/>
    <w:rsid w:val="00CC7FAB"/>
    <w:rsid w:val="00CD1C6A"/>
    <w:rsid w:val="00CD1D9D"/>
    <w:rsid w:val="00CD2029"/>
    <w:rsid w:val="00CD23F6"/>
    <w:rsid w:val="00CD37C0"/>
    <w:rsid w:val="00CD4268"/>
    <w:rsid w:val="00CD590C"/>
    <w:rsid w:val="00CD621D"/>
    <w:rsid w:val="00CD663B"/>
    <w:rsid w:val="00CD69A8"/>
    <w:rsid w:val="00CD6BE3"/>
    <w:rsid w:val="00CD7609"/>
    <w:rsid w:val="00CD7BF7"/>
    <w:rsid w:val="00CE02E6"/>
    <w:rsid w:val="00CE218D"/>
    <w:rsid w:val="00CE2453"/>
    <w:rsid w:val="00CE3EFF"/>
    <w:rsid w:val="00CE4046"/>
    <w:rsid w:val="00CE4326"/>
    <w:rsid w:val="00CE794B"/>
    <w:rsid w:val="00CF0499"/>
    <w:rsid w:val="00CF0EC1"/>
    <w:rsid w:val="00CF293D"/>
    <w:rsid w:val="00CF29F9"/>
    <w:rsid w:val="00CF3436"/>
    <w:rsid w:val="00CF3547"/>
    <w:rsid w:val="00CF4BE2"/>
    <w:rsid w:val="00CF4D22"/>
    <w:rsid w:val="00CF60B0"/>
    <w:rsid w:val="00CF6CDD"/>
    <w:rsid w:val="00CF7C3F"/>
    <w:rsid w:val="00D004C7"/>
    <w:rsid w:val="00D00FA5"/>
    <w:rsid w:val="00D019EA"/>
    <w:rsid w:val="00D01A65"/>
    <w:rsid w:val="00D02BF8"/>
    <w:rsid w:val="00D035BB"/>
    <w:rsid w:val="00D035F9"/>
    <w:rsid w:val="00D0369A"/>
    <w:rsid w:val="00D037AF"/>
    <w:rsid w:val="00D037EC"/>
    <w:rsid w:val="00D045C1"/>
    <w:rsid w:val="00D045C3"/>
    <w:rsid w:val="00D04B3D"/>
    <w:rsid w:val="00D059D8"/>
    <w:rsid w:val="00D063D1"/>
    <w:rsid w:val="00D06D56"/>
    <w:rsid w:val="00D06E76"/>
    <w:rsid w:val="00D074D6"/>
    <w:rsid w:val="00D07C88"/>
    <w:rsid w:val="00D1011B"/>
    <w:rsid w:val="00D101C7"/>
    <w:rsid w:val="00D11647"/>
    <w:rsid w:val="00D11EBC"/>
    <w:rsid w:val="00D11F2F"/>
    <w:rsid w:val="00D11FF4"/>
    <w:rsid w:val="00D1260D"/>
    <w:rsid w:val="00D12623"/>
    <w:rsid w:val="00D12AAD"/>
    <w:rsid w:val="00D134BD"/>
    <w:rsid w:val="00D1431F"/>
    <w:rsid w:val="00D14CD9"/>
    <w:rsid w:val="00D1531B"/>
    <w:rsid w:val="00D16595"/>
    <w:rsid w:val="00D16A3A"/>
    <w:rsid w:val="00D16C73"/>
    <w:rsid w:val="00D16E12"/>
    <w:rsid w:val="00D17189"/>
    <w:rsid w:val="00D17AED"/>
    <w:rsid w:val="00D213B2"/>
    <w:rsid w:val="00D2153D"/>
    <w:rsid w:val="00D2207F"/>
    <w:rsid w:val="00D22445"/>
    <w:rsid w:val="00D22711"/>
    <w:rsid w:val="00D227DB"/>
    <w:rsid w:val="00D22C47"/>
    <w:rsid w:val="00D236EF"/>
    <w:rsid w:val="00D249D0"/>
    <w:rsid w:val="00D24AC2"/>
    <w:rsid w:val="00D253E8"/>
    <w:rsid w:val="00D25D63"/>
    <w:rsid w:val="00D26367"/>
    <w:rsid w:val="00D26677"/>
    <w:rsid w:val="00D2692C"/>
    <w:rsid w:val="00D26986"/>
    <w:rsid w:val="00D26FD2"/>
    <w:rsid w:val="00D26FDF"/>
    <w:rsid w:val="00D275E1"/>
    <w:rsid w:val="00D2761C"/>
    <w:rsid w:val="00D304DF"/>
    <w:rsid w:val="00D30ABC"/>
    <w:rsid w:val="00D31724"/>
    <w:rsid w:val="00D31787"/>
    <w:rsid w:val="00D31AF0"/>
    <w:rsid w:val="00D31DC2"/>
    <w:rsid w:val="00D3224C"/>
    <w:rsid w:val="00D3235B"/>
    <w:rsid w:val="00D323F4"/>
    <w:rsid w:val="00D32BD1"/>
    <w:rsid w:val="00D330D8"/>
    <w:rsid w:val="00D33163"/>
    <w:rsid w:val="00D34B12"/>
    <w:rsid w:val="00D35049"/>
    <w:rsid w:val="00D35CA2"/>
    <w:rsid w:val="00D35CA5"/>
    <w:rsid w:val="00D36121"/>
    <w:rsid w:val="00D36ABE"/>
    <w:rsid w:val="00D3778F"/>
    <w:rsid w:val="00D37C5D"/>
    <w:rsid w:val="00D402B1"/>
    <w:rsid w:val="00D40785"/>
    <w:rsid w:val="00D410FD"/>
    <w:rsid w:val="00D42A7A"/>
    <w:rsid w:val="00D43024"/>
    <w:rsid w:val="00D431A2"/>
    <w:rsid w:val="00D43575"/>
    <w:rsid w:val="00D436E5"/>
    <w:rsid w:val="00D452CE"/>
    <w:rsid w:val="00D45BB6"/>
    <w:rsid w:val="00D45EB1"/>
    <w:rsid w:val="00D46580"/>
    <w:rsid w:val="00D4658D"/>
    <w:rsid w:val="00D472F8"/>
    <w:rsid w:val="00D47ABF"/>
    <w:rsid w:val="00D50083"/>
    <w:rsid w:val="00D5082B"/>
    <w:rsid w:val="00D5131E"/>
    <w:rsid w:val="00D51F07"/>
    <w:rsid w:val="00D51FF7"/>
    <w:rsid w:val="00D52811"/>
    <w:rsid w:val="00D531BC"/>
    <w:rsid w:val="00D53A68"/>
    <w:rsid w:val="00D54A3A"/>
    <w:rsid w:val="00D54F64"/>
    <w:rsid w:val="00D54F65"/>
    <w:rsid w:val="00D55284"/>
    <w:rsid w:val="00D559F3"/>
    <w:rsid w:val="00D55A20"/>
    <w:rsid w:val="00D5612F"/>
    <w:rsid w:val="00D57032"/>
    <w:rsid w:val="00D575AF"/>
    <w:rsid w:val="00D6008B"/>
    <w:rsid w:val="00D606B6"/>
    <w:rsid w:val="00D60A06"/>
    <w:rsid w:val="00D60B3C"/>
    <w:rsid w:val="00D61096"/>
    <w:rsid w:val="00D622F0"/>
    <w:rsid w:val="00D625E8"/>
    <w:rsid w:val="00D628B7"/>
    <w:rsid w:val="00D62922"/>
    <w:rsid w:val="00D633E5"/>
    <w:rsid w:val="00D63CAE"/>
    <w:rsid w:val="00D63CBA"/>
    <w:rsid w:val="00D64247"/>
    <w:rsid w:val="00D64A9C"/>
    <w:rsid w:val="00D65518"/>
    <w:rsid w:val="00D657A6"/>
    <w:rsid w:val="00D664E0"/>
    <w:rsid w:val="00D66AF0"/>
    <w:rsid w:val="00D66DC5"/>
    <w:rsid w:val="00D66EB5"/>
    <w:rsid w:val="00D67002"/>
    <w:rsid w:val="00D70531"/>
    <w:rsid w:val="00D705A0"/>
    <w:rsid w:val="00D70980"/>
    <w:rsid w:val="00D71039"/>
    <w:rsid w:val="00D72413"/>
    <w:rsid w:val="00D72BB2"/>
    <w:rsid w:val="00D72F49"/>
    <w:rsid w:val="00D738A8"/>
    <w:rsid w:val="00D738BD"/>
    <w:rsid w:val="00D7475A"/>
    <w:rsid w:val="00D75496"/>
    <w:rsid w:val="00D765C1"/>
    <w:rsid w:val="00D77A38"/>
    <w:rsid w:val="00D81463"/>
    <w:rsid w:val="00D82891"/>
    <w:rsid w:val="00D82CCA"/>
    <w:rsid w:val="00D82D52"/>
    <w:rsid w:val="00D83247"/>
    <w:rsid w:val="00D83326"/>
    <w:rsid w:val="00D83714"/>
    <w:rsid w:val="00D83994"/>
    <w:rsid w:val="00D839C1"/>
    <w:rsid w:val="00D8487B"/>
    <w:rsid w:val="00D84A1C"/>
    <w:rsid w:val="00D85855"/>
    <w:rsid w:val="00D85A6D"/>
    <w:rsid w:val="00D85B8C"/>
    <w:rsid w:val="00D85F76"/>
    <w:rsid w:val="00D86519"/>
    <w:rsid w:val="00D865C1"/>
    <w:rsid w:val="00D86B4A"/>
    <w:rsid w:val="00D87CDB"/>
    <w:rsid w:val="00D91D89"/>
    <w:rsid w:val="00D92161"/>
    <w:rsid w:val="00D9298E"/>
    <w:rsid w:val="00D931EE"/>
    <w:rsid w:val="00D93511"/>
    <w:rsid w:val="00D9409B"/>
    <w:rsid w:val="00D94416"/>
    <w:rsid w:val="00D945F6"/>
    <w:rsid w:val="00D94B22"/>
    <w:rsid w:val="00D950C2"/>
    <w:rsid w:val="00D95A00"/>
    <w:rsid w:val="00D95AB0"/>
    <w:rsid w:val="00D964F2"/>
    <w:rsid w:val="00D96530"/>
    <w:rsid w:val="00D9661F"/>
    <w:rsid w:val="00D96F65"/>
    <w:rsid w:val="00D96F9D"/>
    <w:rsid w:val="00D971C3"/>
    <w:rsid w:val="00D97721"/>
    <w:rsid w:val="00D97741"/>
    <w:rsid w:val="00D97AB3"/>
    <w:rsid w:val="00DA0BB1"/>
    <w:rsid w:val="00DA0D7E"/>
    <w:rsid w:val="00DA2A4B"/>
    <w:rsid w:val="00DA3188"/>
    <w:rsid w:val="00DA3A76"/>
    <w:rsid w:val="00DA4A71"/>
    <w:rsid w:val="00DA520C"/>
    <w:rsid w:val="00DA65DF"/>
    <w:rsid w:val="00DA6C31"/>
    <w:rsid w:val="00DA6E91"/>
    <w:rsid w:val="00DA723C"/>
    <w:rsid w:val="00DA7404"/>
    <w:rsid w:val="00DA7A80"/>
    <w:rsid w:val="00DB040C"/>
    <w:rsid w:val="00DB0BD8"/>
    <w:rsid w:val="00DB2515"/>
    <w:rsid w:val="00DB2A8D"/>
    <w:rsid w:val="00DB2AE8"/>
    <w:rsid w:val="00DB2BCF"/>
    <w:rsid w:val="00DB3496"/>
    <w:rsid w:val="00DB38F8"/>
    <w:rsid w:val="00DB48BC"/>
    <w:rsid w:val="00DB48E4"/>
    <w:rsid w:val="00DB49C5"/>
    <w:rsid w:val="00DB4A56"/>
    <w:rsid w:val="00DB4EAD"/>
    <w:rsid w:val="00DB4FC7"/>
    <w:rsid w:val="00DB51B1"/>
    <w:rsid w:val="00DB5737"/>
    <w:rsid w:val="00DB6141"/>
    <w:rsid w:val="00DB65F8"/>
    <w:rsid w:val="00DB67A0"/>
    <w:rsid w:val="00DB683D"/>
    <w:rsid w:val="00DB71DC"/>
    <w:rsid w:val="00DB7716"/>
    <w:rsid w:val="00DC0829"/>
    <w:rsid w:val="00DC0E5B"/>
    <w:rsid w:val="00DC108A"/>
    <w:rsid w:val="00DC1FB4"/>
    <w:rsid w:val="00DC3F2D"/>
    <w:rsid w:val="00DC442B"/>
    <w:rsid w:val="00DC46B5"/>
    <w:rsid w:val="00DC4D4E"/>
    <w:rsid w:val="00DC4EDA"/>
    <w:rsid w:val="00DC53FB"/>
    <w:rsid w:val="00DC57D5"/>
    <w:rsid w:val="00DC61B3"/>
    <w:rsid w:val="00DC6866"/>
    <w:rsid w:val="00DC69AF"/>
    <w:rsid w:val="00DC6AA0"/>
    <w:rsid w:val="00DC7465"/>
    <w:rsid w:val="00DC7FA4"/>
    <w:rsid w:val="00DC7FD7"/>
    <w:rsid w:val="00DD0365"/>
    <w:rsid w:val="00DD1716"/>
    <w:rsid w:val="00DD1CCD"/>
    <w:rsid w:val="00DD2147"/>
    <w:rsid w:val="00DD2BB4"/>
    <w:rsid w:val="00DD3A6A"/>
    <w:rsid w:val="00DD3AC1"/>
    <w:rsid w:val="00DD3B87"/>
    <w:rsid w:val="00DD4342"/>
    <w:rsid w:val="00DD486C"/>
    <w:rsid w:val="00DD49B4"/>
    <w:rsid w:val="00DD4F76"/>
    <w:rsid w:val="00DD505F"/>
    <w:rsid w:val="00DD546B"/>
    <w:rsid w:val="00DD557D"/>
    <w:rsid w:val="00DD628F"/>
    <w:rsid w:val="00DD694B"/>
    <w:rsid w:val="00DD6A9D"/>
    <w:rsid w:val="00DD6D69"/>
    <w:rsid w:val="00DD6E55"/>
    <w:rsid w:val="00DD6F14"/>
    <w:rsid w:val="00DD6F62"/>
    <w:rsid w:val="00DE04A2"/>
    <w:rsid w:val="00DE0514"/>
    <w:rsid w:val="00DE0B2F"/>
    <w:rsid w:val="00DE0E71"/>
    <w:rsid w:val="00DE10B3"/>
    <w:rsid w:val="00DE30B2"/>
    <w:rsid w:val="00DE3792"/>
    <w:rsid w:val="00DE3E60"/>
    <w:rsid w:val="00DE444A"/>
    <w:rsid w:val="00DE4BF2"/>
    <w:rsid w:val="00DE4EF8"/>
    <w:rsid w:val="00DE4FEB"/>
    <w:rsid w:val="00DE512E"/>
    <w:rsid w:val="00DE5299"/>
    <w:rsid w:val="00DE5807"/>
    <w:rsid w:val="00DE63B5"/>
    <w:rsid w:val="00DE715F"/>
    <w:rsid w:val="00DF0757"/>
    <w:rsid w:val="00DF0FD1"/>
    <w:rsid w:val="00DF1188"/>
    <w:rsid w:val="00DF14D0"/>
    <w:rsid w:val="00DF2D6E"/>
    <w:rsid w:val="00DF33DC"/>
    <w:rsid w:val="00DF36CB"/>
    <w:rsid w:val="00DF4245"/>
    <w:rsid w:val="00DF4507"/>
    <w:rsid w:val="00DF4648"/>
    <w:rsid w:val="00DF4BB2"/>
    <w:rsid w:val="00DF5400"/>
    <w:rsid w:val="00DF56D7"/>
    <w:rsid w:val="00DF5C94"/>
    <w:rsid w:val="00DF632F"/>
    <w:rsid w:val="00DF650E"/>
    <w:rsid w:val="00DF688B"/>
    <w:rsid w:val="00DF779C"/>
    <w:rsid w:val="00DF7946"/>
    <w:rsid w:val="00DF79A1"/>
    <w:rsid w:val="00DF7A64"/>
    <w:rsid w:val="00DF7DB6"/>
    <w:rsid w:val="00DF7E41"/>
    <w:rsid w:val="00E0064B"/>
    <w:rsid w:val="00E00D5E"/>
    <w:rsid w:val="00E0142B"/>
    <w:rsid w:val="00E027EE"/>
    <w:rsid w:val="00E02E72"/>
    <w:rsid w:val="00E03978"/>
    <w:rsid w:val="00E03D44"/>
    <w:rsid w:val="00E04186"/>
    <w:rsid w:val="00E0477B"/>
    <w:rsid w:val="00E049FD"/>
    <w:rsid w:val="00E0534B"/>
    <w:rsid w:val="00E055BC"/>
    <w:rsid w:val="00E05D76"/>
    <w:rsid w:val="00E05F57"/>
    <w:rsid w:val="00E06155"/>
    <w:rsid w:val="00E0731C"/>
    <w:rsid w:val="00E07401"/>
    <w:rsid w:val="00E0798D"/>
    <w:rsid w:val="00E07FE1"/>
    <w:rsid w:val="00E10082"/>
    <w:rsid w:val="00E10E44"/>
    <w:rsid w:val="00E10EF4"/>
    <w:rsid w:val="00E112CA"/>
    <w:rsid w:val="00E11AEE"/>
    <w:rsid w:val="00E11AF0"/>
    <w:rsid w:val="00E11E98"/>
    <w:rsid w:val="00E12BFB"/>
    <w:rsid w:val="00E1438F"/>
    <w:rsid w:val="00E15FDD"/>
    <w:rsid w:val="00E1619E"/>
    <w:rsid w:val="00E1655F"/>
    <w:rsid w:val="00E16B78"/>
    <w:rsid w:val="00E17071"/>
    <w:rsid w:val="00E17A4A"/>
    <w:rsid w:val="00E202EC"/>
    <w:rsid w:val="00E2090C"/>
    <w:rsid w:val="00E21527"/>
    <w:rsid w:val="00E2155F"/>
    <w:rsid w:val="00E21E06"/>
    <w:rsid w:val="00E237E9"/>
    <w:rsid w:val="00E24459"/>
    <w:rsid w:val="00E244CB"/>
    <w:rsid w:val="00E24917"/>
    <w:rsid w:val="00E25383"/>
    <w:rsid w:val="00E25541"/>
    <w:rsid w:val="00E260BB"/>
    <w:rsid w:val="00E26D1F"/>
    <w:rsid w:val="00E26E4F"/>
    <w:rsid w:val="00E26E98"/>
    <w:rsid w:val="00E275A1"/>
    <w:rsid w:val="00E27CC9"/>
    <w:rsid w:val="00E3074D"/>
    <w:rsid w:val="00E308CC"/>
    <w:rsid w:val="00E3135F"/>
    <w:rsid w:val="00E32034"/>
    <w:rsid w:val="00E3282A"/>
    <w:rsid w:val="00E328F3"/>
    <w:rsid w:val="00E33F20"/>
    <w:rsid w:val="00E34C72"/>
    <w:rsid w:val="00E3503A"/>
    <w:rsid w:val="00E352EC"/>
    <w:rsid w:val="00E37C53"/>
    <w:rsid w:val="00E37D78"/>
    <w:rsid w:val="00E40C74"/>
    <w:rsid w:val="00E41635"/>
    <w:rsid w:val="00E42531"/>
    <w:rsid w:val="00E425CC"/>
    <w:rsid w:val="00E43C63"/>
    <w:rsid w:val="00E4445A"/>
    <w:rsid w:val="00E44923"/>
    <w:rsid w:val="00E45119"/>
    <w:rsid w:val="00E4523C"/>
    <w:rsid w:val="00E453FA"/>
    <w:rsid w:val="00E454A7"/>
    <w:rsid w:val="00E45934"/>
    <w:rsid w:val="00E4608F"/>
    <w:rsid w:val="00E46107"/>
    <w:rsid w:val="00E509DA"/>
    <w:rsid w:val="00E50D7C"/>
    <w:rsid w:val="00E50E54"/>
    <w:rsid w:val="00E52286"/>
    <w:rsid w:val="00E5246A"/>
    <w:rsid w:val="00E531EE"/>
    <w:rsid w:val="00E533F9"/>
    <w:rsid w:val="00E5341E"/>
    <w:rsid w:val="00E54725"/>
    <w:rsid w:val="00E54953"/>
    <w:rsid w:val="00E550BA"/>
    <w:rsid w:val="00E55582"/>
    <w:rsid w:val="00E55CFA"/>
    <w:rsid w:val="00E5609F"/>
    <w:rsid w:val="00E562CF"/>
    <w:rsid w:val="00E600D4"/>
    <w:rsid w:val="00E60150"/>
    <w:rsid w:val="00E6085A"/>
    <w:rsid w:val="00E60B72"/>
    <w:rsid w:val="00E60C4A"/>
    <w:rsid w:val="00E618E7"/>
    <w:rsid w:val="00E61EF6"/>
    <w:rsid w:val="00E61FF4"/>
    <w:rsid w:val="00E6222B"/>
    <w:rsid w:val="00E6288D"/>
    <w:rsid w:val="00E6382D"/>
    <w:rsid w:val="00E641B7"/>
    <w:rsid w:val="00E655D0"/>
    <w:rsid w:val="00E65A6D"/>
    <w:rsid w:val="00E65DEA"/>
    <w:rsid w:val="00E65FA7"/>
    <w:rsid w:val="00E66150"/>
    <w:rsid w:val="00E66BC7"/>
    <w:rsid w:val="00E67049"/>
    <w:rsid w:val="00E67ECF"/>
    <w:rsid w:val="00E70C61"/>
    <w:rsid w:val="00E70E61"/>
    <w:rsid w:val="00E71DCE"/>
    <w:rsid w:val="00E72225"/>
    <w:rsid w:val="00E72419"/>
    <w:rsid w:val="00E72841"/>
    <w:rsid w:val="00E72AA1"/>
    <w:rsid w:val="00E72F46"/>
    <w:rsid w:val="00E74563"/>
    <w:rsid w:val="00E74645"/>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92E"/>
    <w:rsid w:val="00E85187"/>
    <w:rsid w:val="00E85A3B"/>
    <w:rsid w:val="00E8661B"/>
    <w:rsid w:val="00E86716"/>
    <w:rsid w:val="00E867EA"/>
    <w:rsid w:val="00E86E03"/>
    <w:rsid w:val="00E86F7D"/>
    <w:rsid w:val="00E87849"/>
    <w:rsid w:val="00E87999"/>
    <w:rsid w:val="00E87B74"/>
    <w:rsid w:val="00E90A09"/>
    <w:rsid w:val="00E90C58"/>
    <w:rsid w:val="00E90FDD"/>
    <w:rsid w:val="00E91FF3"/>
    <w:rsid w:val="00E938E9"/>
    <w:rsid w:val="00E93AA6"/>
    <w:rsid w:val="00E95F2D"/>
    <w:rsid w:val="00E960CE"/>
    <w:rsid w:val="00E96CDD"/>
    <w:rsid w:val="00E96D42"/>
    <w:rsid w:val="00E97435"/>
    <w:rsid w:val="00E97734"/>
    <w:rsid w:val="00E977DA"/>
    <w:rsid w:val="00E978A6"/>
    <w:rsid w:val="00E97F61"/>
    <w:rsid w:val="00EA009E"/>
    <w:rsid w:val="00EA0B21"/>
    <w:rsid w:val="00EA0F26"/>
    <w:rsid w:val="00EA1574"/>
    <w:rsid w:val="00EA1AC6"/>
    <w:rsid w:val="00EA3346"/>
    <w:rsid w:val="00EA34B0"/>
    <w:rsid w:val="00EA39C8"/>
    <w:rsid w:val="00EA3FAF"/>
    <w:rsid w:val="00EA486D"/>
    <w:rsid w:val="00EA5085"/>
    <w:rsid w:val="00EA5115"/>
    <w:rsid w:val="00EA544F"/>
    <w:rsid w:val="00EA5A57"/>
    <w:rsid w:val="00EA67D1"/>
    <w:rsid w:val="00EA69E0"/>
    <w:rsid w:val="00EA6EF2"/>
    <w:rsid w:val="00EA6F84"/>
    <w:rsid w:val="00EA70EE"/>
    <w:rsid w:val="00EB066F"/>
    <w:rsid w:val="00EB15B0"/>
    <w:rsid w:val="00EB1CF1"/>
    <w:rsid w:val="00EB1FC2"/>
    <w:rsid w:val="00EB2798"/>
    <w:rsid w:val="00EB2A42"/>
    <w:rsid w:val="00EB2ED4"/>
    <w:rsid w:val="00EB3F61"/>
    <w:rsid w:val="00EB464D"/>
    <w:rsid w:val="00EB4DB9"/>
    <w:rsid w:val="00EB5A77"/>
    <w:rsid w:val="00EB5C9C"/>
    <w:rsid w:val="00EB6124"/>
    <w:rsid w:val="00EB67B9"/>
    <w:rsid w:val="00EB7B1A"/>
    <w:rsid w:val="00EC05A8"/>
    <w:rsid w:val="00EC0827"/>
    <w:rsid w:val="00EC0A89"/>
    <w:rsid w:val="00EC1C7E"/>
    <w:rsid w:val="00EC1D3C"/>
    <w:rsid w:val="00EC23B9"/>
    <w:rsid w:val="00EC2818"/>
    <w:rsid w:val="00EC300B"/>
    <w:rsid w:val="00EC34DA"/>
    <w:rsid w:val="00EC3BCB"/>
    <w:rsid w:val="00EC4582"/>
    <w:rsid w:val="00EC4EF8"/>
    <w:rsid w:val="00EC4FF6"/>
    <w:rsid w:val="00EC5158"/>
    <w:rsid w:val="00EC53EF"/>
    <w:rsid w:val="00EC5974"/>
    <w:rsid w:val="00EC5B2C"/>
    <w:rsid w:val="00EC5C20"/>
    <w:rsid w:val="00EC6825"/>
    <w:rsid w:val="00EC6917"/>
    <w:rsid w:val="00EC6986"/>
    <w:rsid w:val="00EC69B4"/>
    <w:rsid w:val="00EC6D09"/>
    <w:rsid w:val="00EC77E2"/>
    <w:rsid w:val="00ED04DC"/>
    <w:rsid w:val="00ED0862"/>
    <w:rsid w:val="00ED0A8E"/>
    <w:rsid w:val="00ED1D90"/>
    <w:rsid w:val="00ED1E8B"/>
    <w:rsid w:val="00ED2916"/>
    <w:rsid w:val="00ED3DDF"/>
    <w:rsid w:val="00ED40E0"/>
    <w:rsid w:val="00ED4818"/>
    <w:rsid w:val="00ED553A"/>
    <w:rsid w:val="00ED55CF"/>
    <w:rsid w:val="00ED5647"/>
    <w:rsid w:val="00ED5728"/>
    <w:rsid w:val="00ED5E78"/>
    <w:rsid w:val="00ED6E5A"/>
    <w:rsid w:val="00ED7E53"/>
    <w:rsid w:val="00ED7FA8"/>
    <w:rsid w:val="00EE0156"/>
    <w:rsid w:val="00EE0440"/>
    <w:rsid w:val="00EE0CC5"/>
    <w:rsid w:val="00EE0D2C"/>
    <w:rsid w:val="00EE14AF"/>
    <w:rsid w:val="00EE1735"/>
    <w:rsid w:val="00EE1E5A"/>
    <w:rsid w:val="00EE292B"/>
    <w:rsid w:val="00EE2AEB"/>
    <w:rsid w:val="00EE3155"/>
    <w:rsid w:val="00EE34E8"/>
    <w:rsid w:val="00EE4C32"/>
    <w:rsid w:val="00EE6510"/>
    <w:rsid w:val="00EE672A"/>
    <w:rsid w:val="00EE6932"/>
    <w:rsid w:val="00EE7213"/>
    <w:rsid w:val="00EE7AD2"/>
    <w:rsid w:val="00EF0791"/>
    <w:rsid w:val="00EF0810"/>
    <w:rsid w:val="00EF0DCB"/>
    <w:rsid w:val="00EF13FF"/>
    <w:rsid w:val="00EF30BB"/>
    <w:rsid w:val="00EF37D0"/>
    <w:rsid w:val="00EF3B81"/>
    <w:rsid w:val="00EF45E7"/>
    <w:rsid w:val="00EF4791"/>
    <w:rsid w:val="00EF4E7B"/>
    <w:rsid w:val="00EF54CD"/>
    <w:rsid w:val="00EF55AE"/>
    <w:rsid w:val="00EF5A63"/>
    <w:rsid w:val="00EF754D"/>
    <w:rsid w:val="00EF7628"/>
    <w:rsid w:val="00EF7C63"/>
    <w:rsid w:val="00F012DB"/>
    <w:rsid w:val="00F01A21"/>
    <w:rsid w:val="00F035DB"/>
    <w:rsid w:val="00F0370A"/>
    <w:rsid w:val="00F06363"/>
    <w:rsid w:val="00F063A4"/>
    <w:rsid w:val="00F0641C"/>
    <w:rsid w:val="00F071D2"/>
    <w:rsid w:val="00F0759E"/>
    <w:rsid w:val="00F076A6"/>
    <w:rsid w:val="00F076AB"/>
    <w:rsid w:val="00F07AB5"/>
    <w:rsid w:val="00F10F0B"/>
    <w:rsid w:val="00F1159E"/>
    <w:rsid w:val="00F117C1"/>
    <w:rsid w:val="00F11B62"/>
    <w:rsid w:val="00F11E4B"/>
    <w:rsid w:val="00F12201"/>
    <w:rsid w:val="00F13046"/>
    <w:rsid w:val="00F13339"/>
    <w:rsid w:val="00F13FEE"/>
    <w:rsid w:val="00F14C00"/>
    <w:rsid w:val="00F14C5B"/>
    <w:rsid w:val="00F14D77"/>
    <w:rsid w:val="00F1546B"/>
    <w:rsid w:val="00F154F2"/>
    <w:rsid w:val="00F15ADF"/>
    <w:rsid w:val="00F16085"/>
    <w:rsid w:val="00F1670F"/>
    <w:rsid w:val="00F16F0B"/>
    <w:rsid w:val="00F175E0"/>
    <w:rsid w:val="00F17BC1"/>
    <w:rsid w:val="00F2099E"/>
    <w:rsid w:val="00F211ED"/>
    <w:rsid w:val="00F21377"/>
    <w:rsid w:val="00F21410"/>
    <w:rsid w:val="00F2158F"/>
    <w:rsid w:val="00F21772"/>
    <w:rsid w:val="00F21993"/>
    <w:rsid w:val="00F221FA"/>
    <w:rsid w:val="00F22611"/>
    <w:rsid w:val="00F22A1A"/>
    <w:rsid w:val="00F22B78"/>
    <w:rsid w:val="00F22E32"/>
    <w:rsid w:val="00F2338F"/>
    <w:rsid w:val="00F23DB2"/>
    <w:rsid w:val="00F24211"/>
    <w:rsid w:val="00F244B8"/>
    <w:rsid w:val="00F24ABB"/>
    <w:rsid w:val="00F24E1F"/>
    <w:rsid w:val="00F24F34"/>
    <w:rsid w:val="00F25086"/>
    <w:rsid w:val="00F25839"/>
    <w:rsid w:val="00F25AB2"/>
    <w:rsid w:val="00F25B57"/>
    <w:rsid w:val="00F25F3E"/>
    <w:rsid w:val="00F265A8"/>
    <w:rsid w:val="00F26950"/>
    <w:rsid w:val="00F273C7"/>
    <w:rsid w:val="00F27A9A"/>
    <w:rsid w:val="00F27C7C"/>
    <w:rsid w:val="00F27F85"/>
    <w:rsid w:val="00F30E10"/>
    <w:rsid w:val="00F30F19"/>
    <w:rsid w:val="00F318E6"/>
    <w:rsid w:val="00F3194F"/>
    <w:rsid w:val="00F31B89"/>
    <w:rsid w:val="00F32909"/>
    <w:rsid w:val="00F32D60"/>
    <w:rsid w:val="00F330C7"/>
    <w:rsid w:val="00F341E6"/>
    <w:rsid w:val="00F344A2"/>
    <w:rsid w:val="00F3545A"/>
    <w:rsid w:val="00F35B73"/>
    <w:rsid w:val="00F37029"/>
    <w:rsid w:val="00F37597"/>
    <w:rsid w:val="00F4159C"/>
    <w:rsid w:val="00F41704"/>
    <w:rsid w:val="00F4174B"/>
    <w:rsid w:val="00F41771"/>
    <w:rsid w:val="00F41A8D"/>
    <w:rsid w:val="00F41AD1"/>
    <w:rsid w:val="00F41EBA"/>
    <w:rsid w:val="00F43A16"/>
    <w:rsid w:val="00F44181"/>
    <w:rsid w:val="00F4478E"/>
    <w:rsid w:val="00F46B1A"/>
    <w:rsid w:val="00F471EA"/>
    <w:rsid w:val="00F50ED9"/>
    <w:rsid w:val="00F51636"/>
    <w:rsid w:val="00F51869"/>
    <w:rsid w:val="00F5192B"/>
    <w:rsid w:val="00F51C1B"/>
    <w:rsid w:val="00F522BF"/>
    <w:rsid w:val="00F53291"/>
    <w:rsid w:val="00F54C02"/>
    <w:rsid w:val="00F54E90"/>
    <w:rsid w:val="00F55246"/>
    <w:rsid w:val="00F55923"/>
    <w:rsid w:val="00F55A34"/>
    <w:rsid w:val="00F55ECB"/>
    <w:rsid w:val="00F560C8"/>
    <w:rsid w:val="00F56F02"/>
    <w:rsid w:val="00F56FD5"/>
    <w:rsid w:val="00F5727C"/>
    <w:rsid w:val="00F573AC"/>
    <w:rsid w:val="00F602C6"/>
    <w:rsid w:val="00F606DE"/>
    <w:rsid w:val="00F60ACE"/>
    <w:rsid w:val="00F60C5F"/>
    <w:rsid w:val="00F60CEF"/>
    <w:rsid w:val="00F60D06"/>
    <w:rsid w:val="00F6173D"/>
    <w:rsid w:val="00F61812"/>
    <w:rsid w:val="00F61AA6"/>
    <w:rsid w:val="00F62A68"/>
    <w:rsid w:val="00F62AC7"/>
    <w:rsid w:val="00F6367B"/>
    <w:rsid w:val="00F6398C"/>
    <w:rsid w:val="00F64FE1"/>
    <w:rsid w:val="00F6596B"/>
    <w:rsid w:val="00F660DB"/>
    <w:rsid w:val="00F666B9"/>
    <w:rsid w:val="00F67C4E"/>
    <w:rsid w:val="00F71AD9"/>
    <w:rsid w:val="00F71D7F"/>
    <w:rsid w:val="00F7213B"/>
    <w:rsid w:val="00F7304F"/>
    <w:rsid w:val="00F731F1"/>
    <w:rsid w:val="00F740AD"/>
    <w:rsid w:val="00F74175"/>
    <w:rsid w:val="00F74858"/>
    <w:rsid w:val="00F74B08"/>
    <w:rsid w:val="00F74F2B"/>
    <w:rsid w:val="00F75447"/>
    <w:rsid w:val="00F7568E"/>
    <w:rsid w:val="00F75C2B"/>
    <w:rsid w:val="00F7686A"/>
    <w:rsid w:val="00F76B1D"/>
    <w:rsid w:val="00F7782B"/>
    <w:rsid w:val="00F77E77"/>
    <w:rsid w:val="00F800C0"/>
    <w:rsid w:val="00F8034D"/>
    <w:rsid w:val="00F807A6"/>
    <w:rsid w:val="00F82245"/>
    <w:rsid w:val="00F82457"/>
    <w:rsid w:val="00F833B8"/>
    <w:rsid w:val="00F83478"/>
    <w:rsid w:val="00F84F6D"/>
    <w:rsid w:val="00F862D5"/>
    <w:rsid w:val="00F8766F"/>
    <w:rsid w:val="00F9024F"/>
    <w:rsid w:val="00F90322"/>
    <w:rsid w:val="00F90DD3"/>
    <w:rsid w:val="00F914AF"/>
    <w:rsid w:val="00F9392C"/>
    <w:rsid w:val="00F93B14"/>
    <w:rsid w:val="00F93F19"/>
    <w:rsid w:val="00F946E4"/>
    <w:rsid w:val="00F94833"/>
    <w:rsid w:val="00F94AB4"/>
    <w:rsid w:val="00F9649F"/>
    <w:rsid w:val="00F964CE"/>
    <w:rsid w:val="00F96673"/>
    <w:rsid w:val="00F96A1F"/>
    <w:rsid w:val="00F96C2C"/>
    <w:rsid w:val="00F96FAA"/>
    <w:rsid w:val="00F97AD5"/>
    <w:rsid w:val="00FA045A"/>
    <w:rsid w:val="00FA0943"/>
    <w:rsid w:val="00FA1289"/>
    <w:rsid w:val="00FA1306"/>
    <w:rsid w:val="00FA1386"/>
    <w:rsid w:val="00FA2343"/>
    <w:rsid w:val="00FA319A"/>
    <w:rsid w:val="00FA4F9B"/>
    <w:rsid w:val="00FA530E"/>
    <w:rsid w:val="00FA59E8"/>
    <w:rsid w:val="00FA629A"/>
    <w:rsid w:val="00FA6343"/>
    <w:rsid w:val="00FA63D2"/>
    <w:rsid w:val="00FA6713"/>
    <w:rsid w:val="00FA6EC5"/>
    <w:rsid w:val="00FB0311"/>
    <w:rsid w:val="00FB12F6"/>
    <w:rsid w:val="00FB1C6C"/>
    <w:rsid w:val="00FB28F0"/>
    <w:rsid w:val="00FB2DC4"/>
    <w:rsid w:val="00FB354B"/>
    <w:rsid w:val="00FB3718"/>
    <w:rsid w:val="00FB4250"/>
    <w:rsid w:val="00FB512D"/>
    <w:rsid w:val="00FB5824"/>
    <w:rsid w:val="00FB71F5"/>
    <w:rsid w:val="00FC085A"/>
    <w:rsid w:val="00FC0A85"/>
    <w:rsid w:val="00FC0ABE"/>
    <w:rsid w:val="00FC0DB2"/>
    <w:rsid w:val="00FC1D96"/>
    <w:rsid w:val="00FC1E68"/>
    <w:rsid w:val="00FC1FC2"/>
    <w:rsid w:val="00FC248B"/>
    <w:rsid w:val="00FC28A3"/>
    <w:rsid w:val="00FC2DE7"/>
    <w:rsid w:val="00FC3217"/>
    <w:rsid w:val="00FC3F70"/>
    <w:rsid w:val="00FC3FCB"/>
    <w:rsid w:val="00FC45F1"/>
    <w:rsid w:val="00FC4FFC"/>
    <w:rsid w:val="00FC505A"/>
    <w:rsid w:val="00FC5321"/>
    <w:rsid w:val="00FC5461"/>
    <w:rsid w:val="00FC573C"/>
    <w:rsid w:val="00FC5AF3"/>
    <w:rsid w:val="00FC617D"/>
    <w:rsid w:val="00FC63AD"/>
    <w:rsid w:val="00FC686F"/>
    <w:rsid w:val="00FC7020"/>
    <w:rsid w:val="00FC7841"/>
    <w:rsid w:val="00FC7BB1"/>
    <w:rsid w:val="00FD09B2"/>
    <w:rsid w:val="00FD1059"/>
    <w:rsid w:val="00FD1260"/>
    <w:rsid w:val="00FD1BFB"/>
    <w:rsid w:val="00FD1D5B"/>
    <w:rsid w:val="00FD221B"/>
    <w:rsid w:val="00FD27A9"/>
    <w:rsid w:val="00FD2B8A"/>
    <w:rsid w:val="00FD2BED"/>
    <w:rsid w:val="00FD31B3"/>
    <w:rsid w:val="00FD3901"/>
    <w:rsid w:val="00FD3B58"/>
    <w:rsid w:val="00FD3CA8"/>
    <w:rsid w:val="00FD3EAF"/>
    <w:rsid w:val="00FD3EC0"/>
    <w:rsid w:val="00FD467D"/>
    <w:rsid w:val="00FD49B4"/>
    <w:rsid w:val="00FD4E5F"/>
    <w:rsid w:val="00FD5880"/>
    <w:rsid w:val="00FD58D9"/>
    <w:rsid w:val="00FD767C"/>
    <w:rsid w:val="00FD7731"/>
    <w:rsid w:val="00FD77D2"/>
    <w:rsid w:val="00FD7827"/>
    <w:rsid w:val="00FD78C8"/>
    <w:rsid w:val="00FE0568"/>
    <w:rsid w:val="00FE0F92"/>
    <w:rsid w:val="00FE1721"/>
    <w:rsid w:val="00FE1732"/>
    <w:rsid w:val="00FE1D24"/>
    <w:rsid w:val="00FE1DC7"/>
    <w:rsid w:val="00FE2776"/>
    <w:rsid w:val="00FE2DEA"/>
    <w:rsid w:val="00FE3CAB"/>
    <w:rsid w:val="00FE3EC0"/>
    <w:rsid w:val="00FE43A7"/>
    <w:rsid w:val="00FE4B24"/>
    <w:rsid w:val="00FE4C3C"/>
    <w:rsid w:val="00FE5797"/>
    <w:rsid w:val="00FE597F"/>
    <w:rsid w:val="00FE6611"/>
    <w:rsid w:val="00FE68BE"/>
    <w:rsid w:val="00FE730A"/>
    <w:rsid w:val="00FE73DE"/>
    <w:rsid w:val="00FF0CEF"/>
    <w:rsid w:val="00FF1008"/>
    <w:rsid w:val="00FF1075"/>
    <w:rsid w:val="00FF10B9"/>
    <w:rsid w:val="00FF1F83"/>
    <w:rsid w:val="00FF225F"/>
    <w:rsid w:val="00FF3002"/>
    <w:rsid w:val="00FF3F5A"/>
    <w:rsid w:val="00FF40B2"/>
    <w:rsid w:val="00FF48FC"/>
    <w:rsid w:val="00FF4954"/>
    <w:rsid w:val="00FF4ACA"/>
    <w:rsid w:val="00FF55B3"/>
    <w:rsid w:val="00FF5EE3"/>
    <w:rsid w:val="00FF6646"/>
    <w:rsid w:val="00FF690A"/>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21"/>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2"/>
      <w:szCs w:val="22"/>
      <w:lang w:eastAsia="en-US"/>
    </w:rPr>
  </w:style>
  <w:style w:type="paragraph" w:customStyle="1" w:styleId="Dash">
    <w:name w:val="Dash"/>
    <w:basedOn w:val="Normal"/>
    <w:link w:val="DashChar"/>
    <w:uiPriority w:val="99"/>
    <w:qFormat/>
    <w:rsid w:val="006065C1"/>
    <w:pPr>
      <w:numPr>
        <w:ilvl w:val="1"/>
        <w:numId w:val="21"/>
      </w:numPr>
      <w:spacing w:after="120"/>
    </w:pPr>
    <w:rPr>
      <w:rFonts w:ascii="Calibri" w:eastAsia="Times New Roman" w:hAnsi="Calibri"/>
    </w:rPr>
  </w:style>
  <w:style w:type="paragraph" w:customStyle="1" w:styleId="DoubleDot">
    <w:name w:val="Double Dot"/>
    <w:basedOn w:val="Normal"/>
    <w:uiPriority w:val="99"/>
    <w:rsid w:val="00A57799"/>
    <w:pPr>
      <w:numPr>
        <w:ilvl w:val="2"/>
        <w:numId w:val="21"/>
      </w:numPr>
      <w:spacing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uiPriority w:val="99"/>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31"/>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3"/>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4"/>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7"/>
      </w:numPr>
    </w:pPr>
  </w:style>
  <w:style w:type="paragraph" w:styleId="ListBullet5">
    <w:name w:val="List Bullet 5"/>
    <w:basedOn w:val="Normal"/>
    <w:uiPriority w:val="99"/>
    <w:unhideWhenUsed/>
    <w:locked/>
    <w:rsid w:val="007C4FED"/>
    <w:pPr>
      <w:numPr>
        <w:ilvl w:val="4"/>
        <w:numId w:val="7"/>
      </w:numPr>
    </w:pPr>
  </w:style>
  <w:style w:type="numbering" w:customStyle="1" w:styleId="Attach">
    <w:name w:val="Attach"/>
    <w:basedOn w:val="NoList"/>
    <w:uiPriority w:val="99"/>
    <w:rsid w:val="007C4FED"/>
    <w:pPr>
      <w:numPr>
        <w:numId w:val="5"/>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6"/>
      </w:numPr>
    </w:pPr>
  </w:style>
  <w:style w:type="paragraph" w:styleId="ListNumber5">
    <w:name w:val="List Number 5"/>
    <w:basedOn w:val="Normal"/>
    <w:uiPriority w:val="99"/>
    <w:locked/>
    <w:rsid w:val="007C4FED"/>
    <w:pPr>
      <w:numPr>
        <w:ilvl w:val="4"/>
        <w:numId w:val="6"/>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s>
</file>

<file path=word/webSettings.xml><?xml version="1.0" encoding="utf-8"?>
<w:webSettings xmlns:r="http://schemas.openxmlformats.org/officeDocument/2006/relationships" xmlns:w="http://schemas.openxmlformats.org/wordprocessingml/2006/main">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4.xml"/><Relationship Id="rId39"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cordNumber xmlns="d8430d0f-47e2-4fb7-b3bb-dd4f7c79b414">000693541</RecordNumber>
    <IconOverlay xmlns="http://schemas.microsoft.com/sharepoint/v4" xsi:nil="true"/>
    <Approval xmlns="d8430d0f-47e2-4fb7-b3bb-dd4f7c79b414" xsi:nil="true"/>
    <Function xmlns="d8430d0f-47e2-4fb7-b3bb-dd4f7c79b414" xsi:nil="true"/>
    <DocumentDescription xmlns="d8430d0f-47e2-4fb7-b3bb-dd4f7c79b414">This version of the IEFE Variation ES was sent to the MO for signature (see IEFE variation brief (MS15-001920)), but we returned so that changes could be made to the ES before the Minister signs the determination. </DocumentDescription>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FFF6C954ADB7E4B9327DB615AA2CB53" ma:contentTypeVersion="6" ma:contentTypeDescription="SPIRE Document" ma:contentTypeScope="" ma:versionID="0ab130d1e198a4a0bed5d3459a0617d7">
  <xsd:schema xmlns:xsd="http://www.w3.org/2001/XMLSchema" xmlns:p="http://schemas.microsoft.com/office/2006/metadata/properties" xmlns:ns2="d8430d0f-47e2-4fb7-b3bb-dd4f7c79b414" xmlns:ns3="http://schemas.microsoft.com/sharepoint/v4" targetNamespace="http://schemas.microsoft.com/office/2006/metadata/properties" ma:root="true" ma:fieldsID="e678d67c8635e3daa3f01583b31279dc"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d8430d0f-47e2-4fb7-b3bb-dd4f7c79b41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BD53-0810-4A85-A7ED-0F294C702F91}"/>
</file>

<file path=customXml/itemProps2.xml><?xml version="1.0" encoding="utf-8"?>
<ds:datastoreItem xmlns:ds="http://schemas.openxmlformats.org/officeDocument/2006/customXml" ds:itemID="{DF01AB9A-748A-42D1-AB55-A7F6BD0F60FC}"/>
</file>

<file path=customXml/itemProps3.xml><?xml version="1.0" encoding="utf-8"?>
<ds:datastoreItem xmlns:ds="http://schemas.openxmlformats.org/officeDocument/2006/customXml" ds:itemID="{45E7DBAD-3084-4A9A-B311-AEF005C29428}"/>
</file>

<file path=customXml/itemProps4.xml><?xml version="1.0" encoding="utf-8"?>
<ds:datastoreItem xmlns:ds="http://schemas.openxmlformats.org/officeDocument/2006/customXml" ds:itemID="{189C3B03-07B3-4A8F-956C-2506E7F1B3C5}"/>
</file>

<file path=customXml/itemProps5.xml><?xml version="1.0" encoding="utf-8"?>
<ds:datastoreItem xmlns:ds="http://schemas.openxmlformats.org/officeDocument/2006/customXml" ds:itemID="{190CA42C-0129-4D42-8693-B558A886A515}"/>
</file>

<file path=customXml/itemProps6.xml><?xml version="1.0" encoding="utf-8"?>
<ds:datastoreItem xmlns:ds="http://schemas.openxmlformats.org/officeDocument/2006/customXml" ds:itemID="{7F973198-0D30-4F4A-BB2D-509B4EFE005A}"/>
</file>

<file path=docProps/app.xml><?xml version="1.0" encoding="utf-8"?>
<Properties xmlns="http://schemas.openxmlformats.org/officeDocument/2006/extended-properties" xmlns:vt="http://schemas.openxmlformats.org/officeDocument/2006/docPropsVTypes">
  <Template>Normal</Template>
  <TotalTime>1</TotalTime>
  <Pages>9</Pages>
  <Words>2459</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Morgan</dc:creator>
  <cp:lastModifiedBy>A18510</cp:lastModifiedBy>
  <cp:revision>3</cp:revision>
  <cp:lastPrinted>2015-08-18T00:15:00Z</cp:lastPrinted>
  <dcterms:created xsi:type="dcterms:W3CDTF">2015-09-01T05:29:00Z</dcterms:created>
  <dcterms:modified xsi:type="dcterms:W3CDTF">2015-09-11T00:33:00Z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0x01010053158623521E02459344FD72CDD99ED600AFFF6C954ADB7E4B9327DB615AA2CB53</vt:lpwstr>
  </property>
  <property fmtid="{D5CDD505-2E9C-101B-9397-08002B2CF9AE}" pid="3" name="RecordPoint_ActiveItemUniqueId">
    <vt:lpwstr>{b1dbda1f-6c1b-49d5-bb43-d7b09a82f853}</vt:lpwstr>
  </property>
  <property fmtid="{D5CDD505-2E9C-101B-9397-08002B2CF9AE}" pid="4" name="RecordPoint_SubmissionCompleted">
    <vt:lpwstr>2015-09-11T10:54:57.7773322+10:00</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{678eb0e5-6715-4dcc-a270-df338d924cb8}</vt:lpwstr>
  </property>
  <property fmtid="{D5CDD505-2E9C-101B-9397-08002B2CF9AE}" pid="8" name="RecordPoint_ActiveItemWebId">
    <vt:lpwstr>{477fa1b6-0443-4a23-9b80-6d3c61e37946}</vt:lpwstr>
  </property>
  <property fmtid="{D5CDD505-2E9C-101B-9397-08002B2CF9AE}" pid="9" name="RecordPoint_RecordNumberSubmitted">
    <vt:lpwstr>000693541</vt:lpwstr>
  </property>
  <property fmtid="{D5CDD505-2E9C-101B-9397-08002B2CF9AE}" pid="10" name="IconOverlay">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