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CA534" w14:textId="77777777" w:rsidR="00914D5C" w:rsidRPr="005A5476" w:rsidRDefault="00914D5C" w:rsidP="00914D5C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5A5476">
        <w:rPr>
          <w:rFonts w:ascii="Arial" w:hAnsi="Arial" w:cs="Arial"/>
          <w:b/>
          <w:sz w:val="22"/>
          <w:szCs w:val="22"/>
          <w:lang w:val="en-AU"/>
        </w:rPr>
        <w:t>EXPLANATORY STATEMENT</w:t>
      </w:r>
    </w:p>
    <w:p w14:paraId="4BDA985A" w14:textId="77777777" w:rsidR="00914D5C" w:rsidRPr="005A5476" w:rsidRDefault="00914D5C" w:rsidP="00914D5C">
      <w:pPr>
        <w:spacing w:line="360" w:lineRule="auto"/>
        <w:jc w:val="center"/>
        <w:rPr>
          <w:rFonts w:ascii="Arial" w:hAnsi="Arial" w:cs="Arial"/>
          <w:i/>
          <w:sz w:val="22"/>
          <w:szCs w:val="22"/>
          <w:lang w:val="en-AU"/>
        </w:rPr>
      </w:pPr>
    </w:p>
    <w:p w14:paraId="1C139415" w14:textId="77777777" w:rsidR="00914D5C" w:rsidRPr="005A5476" w:rsidRDefault="00914D5C" w:rsidP="00914D5C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  <w:lang w:val="en-AU"/>
        </w:rPr>
      </w:pPr>
      <w:r w:rsidRPr="005A5476">
        <w:rPr>
          <w:rFonts w:ascii="Arial" w:hAnsi="Arial" w:cs="Arial"/>
          <w:sz w:val="22"/>
          <w:szCs w:val="22"/>
          <w:lang w:val="en-AU"/>
        </w:rPr>
        <w:t>Issued by the Australian Communications and Media Authority</w:t>
      </w:r>
    </w:p>
    <w:p w14:paraId="3624A5DF" w14:textId="77777777" w:rsidR="00914D5C" w:rsidRPr="005A5476" w:rsidRDefault="00914D5C" w:rsidP="00914D5C">
      <w:pPr>
        <w:spacing w:line="360" w:lineRule="auto"/>
        <w:jc w:val="center"/>
        <w:rPr>
          <w:rFonts w:ascii="Arial" w:hAnsi="Arial" w:cs="Arial"/>
          <w:i/>
          <w:sz w:val="22"/>
          <w:szCs w:val="22"/>
          <w:lang w:val="en-AU"/>
        </w:rPr>
      </w:pPr>
    </w:p>
    <w:p w14:paraId="36FC375A" w14:textId="26EE2D3E" w:rsidR="00914D5C" w:rsidRPr="005A5476" w:rsidRDefault="00914D5C" w:rsidP="00914D5C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  <w:lang w:val="en-AU"/>
        </w:rPr>
      </w:pPr>
      <w:r w:rsidRPr="00B658AE">
        <w:rPr>
          <w:rFonts w:ascii="Arial" w:hAnsi="Arial" w:cs="Arial"/>
          <w:i/>
          <w:sz w:val="22"/>
          <w:szCs w:val="22"/>
          <w:lang w:val="en-AU"/>
        </w:rPr>
        <w:t xml:space="preserve">Radiocommunications </w:t>
      </w:r>
      <w:r>
        <w:rPr>
          <w:rFonts w:ascii="Arial" w:hAnsi="Arial" w:cs="Arial"/>
          <w:i/>
          <w:sz w:val="22"/>
          <w:szCs w:val="22"/>
          <w:lang w:val="en-AU"/>
        </w:rPr>
        <w:t>Licence Conditions (</w:t>
      </w:r>
      <w:r w:rsidR="00AE06A6">
        <w:rPr>
          <w:rFonts w:ascii="Arial" w:hAnsi="Arial" w:cs="Arial"/>
          <w:i/>
          <w:sz w:val="22"/>
          <w:szCs w:val="22"/>
          <w:lang w:val="en-AU"/>
        </w:rPr>
        <w:t>Fixed Receive</w:t>
      </w:r>
      <w:r w:rsidR="000F6E40">
        <w:rPr>
          <w:rFonts w:ascii="Arial" w:hAnsi="Arial" w:cs="Arial"/>
          <w:i/>
          <w:sz w:val="22"/>
          <w:szCs w:val="22"/>
          <w:lang w:val="en-AU"/>
        </w:rPr>
        <w:t xml:space="preserve"> Licence) Determination 2015</w:t>
      </w:r>
    </w:p>
    <w:p w14:paraId="04E43B49" w14:textId="77777777" w:rsidR="00914D5C" w:rsidRPr="005A5476" w:rsidRDefault="00914D5C" w:rsidP="00914D5C">
      <w:pPr>
        <w:spacing w:line="360" w:lineRule="auto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5A5476">
        <w:rPr>
          <w:rFonts w:ascii="Arial" w:hAnsi="Arial" w:cs="Arial"/>
          <w:b/>
          <w:sz w:val="22"/>
          <w:szCs w:val="22"/>
          <w:lang w:val="en-AU"/>
        </w:rPr>
        <w:t>Purpose</w:t>
      </w:r>
    </w:p>
    <w:p w14:paraId="42C30CDA" w14:textId="1DD418E5" w:rsidR="00914D5C" w:rsidRDefault="000F6E40" w:rsidP="00914D5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</w:t>
      </w:r>
      <w:r w:rsidR="00914D5C">
        <w:rPr>
          <w:rFonts w:ascii="Arial" w:hAnsi="Arial" w:cs="Arial"/>
          <w:sz w:val="20"/>
        </w:rPr>
        <w:t xml:space="preserve"> Australian Communications and Media Authority (the ACMA) </w:t>
      </w:r>
      <w:r>
        <w:rPr>
          <w:rFonts w:ascii="Arial" w:hAnsi="Arial" w:cs="Arial"/>
          <w:sz w:val="20"/>
        </w:rPr>
        <w:t xml:space="preserve">has </w:t>
      </w:r>
      <w:r w:rsidR="00914D5C">
        <w:rPr>
          <w:rFonts w:ascii="Arial" w:hAnsi="Arial" w:cs="Arial"/>
          <w:sz w:val="20"/>
        </w:rPr>
        <w:t xml:space="preserve">made the </w:t>
      </w:r>
      <w:r w:rsidR="00914D5C" w:rsidRPr="009731AD">
        <w:rPr>
          <w:rFonts w:ascii="Arial" w:hAnsi="Arial" w:cs="Arial"/>
          <w:i/>
          <w:sz w:val="20"/>
        </w:rPr>
        <w:t xml:space="preserve">Radiocommunications </w:t>
      </w:r>
      <w:r w:rsidR="00914D5C">
        <w:rPr>
          <w:rFonts w:ascii="Arial" w:hAnsi="Arial" w:cs="Arial"/>
          <w:i/>
          <w:sz w:val="20"/>
        </w:rPr>
        <w:t>Licence Conditions (</w:t>
      </w:r>
      <w:r w:rsidR="00AE06A6">
        <w:rPr>
          <w:rFonts w:ascii="Arial" w:hAnsi="Arial" w:cs="Arial"/>
          <w:i/>
          <w:sz w:val="20"/>
        </w:rPr>
        <w:t>Fixed Receive</w:t>
      </w:r>
      <w:r w:rsidR="00914D5C">
        <w:rPr>
          <w:rFonts w:ascii="Arial" w:hAnsi="Arial" w:cs="Arial"/>
          <w:i/>
          <w:sz w:val="20"/>
        </w:rPr>
        <w:t xml:space="preserve"> Licence) Determination 201</w:t>
      </w:r>
      <w:r>
        <w:rPr>
          <w:rFonts w:ascii="Arial" w:hAnsi="Arial" w:cs="Arial"/>
          <w:i/>
          <w:sz w:val="20"/>
        </w:rPr>
        <w:t>5</w:t>
      </w:r>
      <w:r w:rsidR="00914D5C">
        <w:rPr>
          <w:rFonts w:ascii="Arial" w:hAnsi="Arial" w:cs="Arial"/>
          <w:sz w:val="20"/>
        </w:rPr>
        <w:t xml:space="preserve"> (the Determination).</w:t>
      </w:r>
    </w:p>
    <w:p w14:paraId="4FD0DCEA" w14:textId="77777777" w:rsidR="00914D5C" w:rsidRDefault="00914D5C" w:rsidP="00914D5C">
      <w:pPr>
        <w:rPr>
          <w:rFonts w:ascii="Arial" w:hAnsi="Arial" w:cs="Arial"/>
          <w:sz w:val="20"/>
        </w:rPr>
      </w:pPr>
    </w:p>
    <w:p w14:paraId="1AB7CF0F" w14:textId="081107BF" w:rsidR="00914D5C" w:rsidRDefault="00914D5C" w:rsidP="00914D5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Determination revokes and replaces the </w:t>
      </w:r>
      <w:r w:rsidRPr="009731AD">
        <w:rPr>
          <w:rFonts w:ascii="Arial" w:hAnsi="Arial" w:cs="Arial"/>
          <w:i/>
          <w:sz w:val="20"/>
        </w:rPr>
        <w:t xml:space="preserve">Radiocommunications </w:t>
      </w:r>
      <w:r>
        <w:rPr>
          <w:rFonts w:ascii="Arial" w:hAnsi="Arial" w:cs="Arial"/>
          <w:i/>
          <w:sz w:val="20"/>
        </w:rPr>
        <w:t>Licence Conditions (</w:t>
      </w:r>
      <w:r w:rsidR="00270C0F">
        <w:rPr>
          <w:rFonts w:ascii="Arial" w:hAnsi="Arial" w:cs="Arial"/>
          <w:i/>
          <w:sz w:val="20"/>
        </w:rPr>
        <w:t>Fixed Receive</w:t>
      </w:r>
      <w:r>
        <w:rPr>
          <w:rFonts w:ascii="Arial" w:hAnsi="Arial" w:cs="Arial"/>
          <w:i/>
          <w:sz w:val="20"/>
        </w:rPr>
        <w:t xml:space="preserve"> Licence) Determination 1997</w:t>
      </w:r>
      <w:r w:rsidRPr="005029D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(the 1997 </w:t>
      </w:r>
      <w:r w:rsidR="009D358F">
        <w:rPr>
          <w:rFonts w:ascii="Arial" w:hAnsi="Arial" w:cs="Arial"/>
          <w:sz w:val="20"/>
        </w:rPr>
        <w:t>Determination</w:t>
      </w:r>
      <w:r>
        <w:rPr>
          <w:rFonts w:ascii="Arial" w:hAnsi="Arial" w:cs="Arial"/>
          <w:sz w:val="20"/>
        </w:rPr>
        <w:t xml:space="preserve">) without making any significant changes to the regulatory arrangements created by the 1997 </w:t>
      </w:r>
      <w:r w:rsidR="009D358F">
        <w:rPr>
          <w:rFonts w:ascii="Arial" w:hAnsi="Arial" w:cs="Arial"/>
          <w:sz w:val="20"/>
        </w:rPr>
        <w:t>Determination</w:t>
      </w:r>
      <w:r>
        <w:rPr>
          <w:rFonts w:ascii="Arial" w:hAnsi="Arial" w:cs="Arial"/>
          <w:sz w:val="20"/>
        </w:rPr>
        <w:t>.</w:t>
      </w:r>
    </w:p>
    <w:p w14:paraId="188F21F5" w14:textId="77777777" w:rsidR="00914D5C" w:rsidRDefault="00914D5C" w:rsidP="00914D5C">
      <w:pPr>
        <w:rPr>
          <w:rFonts w:ascii="Arial" w:hAnsi="Arial" w:cs="Arial"/>
          <w:sz w:val="20"/>
        </w:rPr>
      </w:pPr>
    </w:p>
    <w:p w14:paraId="46166DA0" w14:textId="3D8DF510" w:rsidR="00914D5C" w:rsidRDefault="00914D5C" w:rsidP="00914D5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ACMA has made the Determination because the 1997 </w:t>
      </w:r>
      <w:r w:rsidR="009D358F">
        <w:rPr>
          <w:rFonts w:ascii="Arial" w:hAnsi="Arial" w:cs="Arial"/>
          <w:sz w:val="20"/>
        </w:rPr>
        <w:t xml:space="preserve">Determination </w:t>
      </w:r>
      <w:r>
        <w:rPr>
          <w:rFonts w:ascii="Arial" w:hAnsi="Arial" w:cs="Arial"/>
          <w:sz w:val="20"/>
        </w:rPr>
        <w:t xml:space="preserve">was due to ‘sunset’ (i.e. be automatically repealed) on 1 </w:t>
      </w:r>
      <w:r w:rsidR="000F5A87">
        <w:rPr>
          <w:rFonts w:ascii="Arial" w:hAnsi="Arial" w:cs="Arial"/>
          <w:sz w:val="20"/>
        </w:rPr>
        <w:t>October</w:t>
      </w:r>
      <w:r>
        <w:rPr>
          <w:rFonts w:ascii="Arial" w:hAnsi="Arial" w:cs="Arial"/>
          <w:sz w:val="20"/>
        </w:rPr>
        <w:t xml:space="preserve"> 2015, by operation of Part 6 of the </w:t>
      </w:r>
      <w:r w:rsidRPr="00BD05EE">
        <w:rPr>
          <w:rFonts w:ascii="Arial" w:hAnsi="Arial" w:cs="Arial"/>
          <w:i/>
          <w:sz w:val="20"/>
        </w:rPr>
        <w:t>Legislative Instruments Act 2003</w:t>
      </w:r>
      <w:r>
        <w:rPr>
          <w:rFonts w:ascii="Arial" w:hAnsi="Arial" w:cs="Arial"/>
          <w:i/>
          <w:sz w:val="20"/>
        </w:rPr>
        <w:t xml:space="preserve"> </w:t>
      </w:r>
      <w:r w:rsidRPr="0005604B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 xml:space="preserve">the </w:t>
      </w:r>
      <w:r w:rsidRPr="0005604B">
        <w:rPr>
          <w:rFonts w:ascii="Arial" w:hAnsi="Arial" w:cs="Arial"/>
          <w:sz w:val="20"/>
        </w:rPr>
        <w:t>LIA</w:t>
      </w:r>
      <w:r>
        <w:rPr>
          <w:rFonts w:ascii="Arial" w:hAnsi="Arial" w:cs="Arial"/>
          <w:sz w:val="20"/>
        </w:rPr>
        <w:t>).</w:t>
      </w:r>
    </w:p>
    <w:p w14:paraId="657860C0" w14:textId="77777777" w:rsidR="00914D5C" w:rsidRDefault="00914D5C" w:rsidP="00914D5C">
      <w:pPr>
        <w:rPr>
          <w:rFonts w:ascii="Arial" w:hAnsi="Arial" w:cs="Arial"/>
          <w:sz w:val="20"/>
        </w:rPr>
      </w:pPr>
    </w:p>
    <w:p w14:paraId="5624867B" w14:textId="5D4231DF" w:rsidR="00914D5C" w:rsidRDefault="00914D5C" w:rsidP="00914D5C">
      <w:pPr>
        <w:rPr>
          <w:rFonts w:ascii="Arial" w:hAnsi="Arial" w:cs="Arial"/>
          <w:sz w:val="22"/>
          <w:szCs w:val="22"/>
        </w:rPr>
      </w:pPr>
      <w:r w:rsidRPr="00C117CF">
        <w:rPr>
          <w:rFonts w:ascii="Arial" w:hAnsi="Arial" w:cs="Arial"/>
          <w:sz w:val="20"/>
        </w:rPr>
        <w:t>Following</w:t>
      </w:r>
      <w:r>
        <w:rPr>
          <w:rFonts w:ascii="Arial" w:hAnsi="Arial" w:cs="Arial"/>
          <w:sz w:val="20"/>
        </w:rPr>
        <w:t xml:space="preserve"> </w:t>
      </w:r>
      <w:r w:rsidRPr="00C117CF">
        <w:rPr>
          <w:rFonts w:ascii="Arial" w:hAnsi="Arial" w:cs="Arial"/>
          <w:sz w:val="20"/>
        </w:rPr>
        <w:t xml:space="preserve">review and consultation as described below, the ACMA formed the view that the </w:t>
      </w:r>
      <w:r>
        <w:rPr>
          <w:rFonts w:ascii="Arial" w:hAnsi="Arial" w:cs="Arial"/>
          <w:sz w:val="20"/>
        </w:rPr>
        <w:t xml:space="preserve">1997 </w:t>
      </w:r>
      <w:r w:rsidR="009D358F">
        <w:rPr>
          <w:rFonts w:ascii="Arial" w:hAnsi="Arial" w:cs="Arial"/>
          <w:sz w:val="20"/>
        </w:rPr>
        <w:t xml:space="preserve">Determination </w:t>
      </w:r>
      <w:r w:rsidRPr="00C117CF">
        <w:rPr>
          <w:rFonts w:ascii="Arial" w:hAnsi="Arial" w:cs="Arial"/>
          <w:sz w:val="20"/>
        </w:rPr>
        <w:t>was operating effectively and efficiently</w:t>
      </w:r>
      <w:r>
        <w:rPr>
          <w:rFonts w:ascii="Arial" w:hAnsi="Arial" w:cs="Arial"/>
          <w:sz w:val="20"/>
        </w:rPr>
        <w:t>,</w:t>
      </w:r>
      <w:r w:rsidRPr="00C117CF">
        <w:rPr>
          <w:rFonts w:ascii="Arial" w:hAnsi="Arial" w:cs="Arial"/>
          <w:sz w:val="20"/>
        </w:rPr>
        <w:t xml:space="preserve"> and continued to form a necessary and useful part of the legislative framework</w:t>
      </w:r>
      <w:r>
        <w:rPr>
          <w:rFonts w:ascii="Arial" w:hAnsi="Arial" w:cs="Arial"/>
          <w:sz w:val="20"/>
        </w:rPr>
        <w:t>.</w:t>
      </w:r>
    </w:p>
    <w:p w14:paraId="524809A1" w14:textId="77777777" w:rsidR="00914D5C" w:rsidRDefault="00914D5C" w:rsidP="00914D5C">
      <w:pPr>
        <w:rPr>
          <w:rFonts w:ascii="Arial" w:hAnsi="Arial" w:cs="Arial"/>
          <w:sz w:val="20"/>
        </w:rPr>
      </w:pPr>
    </w:p>
    <w:p w14:paraId="30A64360" w14:textId="77777777" w:rsidR="00914D5C" w:rsidRDefault="00914D5C" w:rsidP="00914D5C">
      <w:pPr>
        <w:spacing w:line="360" w:lineRule="auto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5A5476">
        <w:rPr>
          <w:rFonts w:ascii="Arial" w:hAnsi="Arial" w:cs="Arial"/>
          <w:b/>
          <w:sz w:val="22"/>
          <w:szCs w:val="22"/>
          <w:lang w:val="en-AU"/>
        </w:rPr>
        <w:t>Legislative Provisions</w:t>
      </w:r>
    </w:p>
    <w:p w14:paraId="390644C5" w14:textId="5CE761EC" w:rsidR="00564B81" w:rsidRDefault="00564B81" w:rsidP="00564B81">
      <w:pPr>
        <w:rPr>
          <w:rFonts w:ascii="Arial" w:hAnsi="Arial" w:cs="Arial"/>
          <w:sz w:val="20"/>
        </w:rPr>
      </w:pPr>
      <w:bookmarkStart w:id="0" w:name="_Toc488571218"/>
      <w:r>
        <w:rPr>
          <w:rFonts w:ascii="Arial" w:hAnsi="Arial" w:cs="Arial"/>
          <w:sz w:val="20"/>
        </w:rPr>
        <w:t>P</w:t>
      </w:r>
      <w:r w:rsidRPr="009D358F">
        <w:rPr>
          <w:rFonts w:ascii="Arial" w:hAnsi="Arial" w:cs="Arial"/>
          <w:sz w:val="20"/>
        </w:rPr>
        <w:t>aragraph 107(1</w:t>
      </w:r>
      <w:proofErr w:type="gramStart"/>
      <w:r w:rsidRPr="009D358F">
        <w:rPr>
          <w:rFonts w:ascii="Arial" w:hAnsi="Arial" w:cs="Arial"/>
          <w:sz w:val="20"/>
        </w:rPr>
        <w:t>)(</w:t>
      </w:r>
      <w:proofErr w:type="gramEnd"/>
      <w:r w:rsidRPr="009D358F">
        <w:rPr>
          <w:rFonts w:ascii="Arial" w:hAnsi="Arial" w:cs="Arial"/>
          <w:sz w:val="20"/>
        </w:rPr>
        <w:t>f)</w:t>
      </w:r>
      <w:r>
        <w:rPr>
          <w:rFonts w:ascii="Arial" w:hAnsi="Arial" w:cs="Arial"/>
          <w:sz w:val="20"/>
        </w:rPr>
        <w:t xml:space="preserve"> of the </w:t>
      </w:r>
      <w:r w:rsidRPr="00900655">
        <w:rPr>
          <w:rFonts w:ascii="Arial" w:hAnsi="Arial" w:cs="Arial"/>
          <w:i/>
          <w:sz w:val="20"/>
        </w:rPr>
        <w:t>Radiocommunications Act 1992</w:t>
      </w:r>
      <w:r>
        <w:rPr>
          <w:rFonts w:ascii="Arial" w:hAnsi="Arial" w:cs="Arial"/>
          <w:sz w:val="20"/>
        </w:rPr>
        <w:t xml:space="preserve"> (the </w:t>
      </w:r>
      <w:r w:rsidRPr="009D358F">
        <w:rPr>
          <w:rFonts w:ascii="Arial" w:hAnsi="Arial" w:cs="Arial"/>
          <w:sz w:val="20"/>
        </w:rPr>
        <w:t>Act</w:t>
      </w:r>
      <w:r>
        <w:rPr>
          <w:rFonts w:ascii="Arial" w:hAnsi="Arial" w:cs="Arial"/>
          <w:sz w:val="20"/>
        </w:rPr>
        <w:t xml:space="preserve">) provides that </w:t>
      </w:r>
      <w:r w:rsidRPr="009D358F">
        <w:rPr>
          <w:rFonts w:ascii="Arial" w:hAnsi="Arial" w:cs="Arial"/>
          <w:sz w:val="20"/>
        </w:rPr>
        <w:t>the ACMA may</w:t>
      </w:r>
      <w:r>
        <w:rPr>
          <w:rFonts w:ascii="Arial" w:hAnsi="Arial" w:cs="Arial"/>
          <w:sz w:val="20"/>
        </w:rPr>
        <w:t xml:space="preserve">, </w:t>
      </w:r>
      <w:r w:rsidRPr="009D358F">
        <w:rPr>
          <w:rFonts w:ascii="Arial" w:hAnsi="Arial" w:cs="Arial"/>
          <w:sz w:val="20"/>
        </w:rPr>
        <w:t xml:space="preserve">by </w:t>
      </w:r>
      <w:r>
        <w:rPr>
          <w:rFonts w:ascii="Arial" w:hAnsi="Arial" w:cs="Arial"/>
          <w:sz w:val="20"/>
        </w:rPr>
        <w:t xml:space="preserve">legislative </w:t>
      </w:r>
      <w:r w:rsidRPr="009D358F">
        <w:rPr>
          <w:rFonts w:ascii="Arial" w:hAnsi="Arial" w:cs="Arial"/>
          <w:sz w:val="20"/>
        </w:rPr>
        <w:t xml:space="preserve">instrument, </w:t>
      </w:r>
      <w:r>
        <w:rPr>
          <w:rFonts w:ascii="Arial" w:hAnsi="Arial" w:cs="Arial"/>
          <w:sz w:val="20"/>
        </w:rPr>
        <w:t xml:space="preserve">determine </w:t>
      </w:r>
      <w:r w:rsidRPr="009D358F">
        <w:rPr>
          <w:rFonts w:ascii="Arial" w:hAnsi="Arial" w:cs="Arial"/>
          <w:sz w:val="20"/>
        </w:rPr>
        <w:t xml:space="preserve">conditions </w:t>
      </w:r>
      <w:r>
        <w:rPr>
          <w:rFonts w:ascii="Arial" w:hAnsi="Arial" w:cs="Arial"/>
          <w:sz w:val="20"/>
        </w:rPr>
        <w:t>applicable</w:t>
      </w:r>
      <w:r w:rsidRPr="009D358F">
        <w:rPr>
          <w:rFonts w:ascii="Arial" w:hAnsi="Arial" w:cs="Arial"/>
          <w:sz w:val="20"/>
        </w:rPr>
        <w:t xml:space="preserve"> to particular type</w:t>
      </w:r>
      <w:r>
        <w:rPr>
          <w:rFonts w:ascii="Arial" w:hAnsi="Arial" w:cs="Arial"/>
          <w:sz w:val="20"/>
        </w:rPr>
        <w:t>s</w:t>
      </w:r>
      <w:r w:rsidRPr="009D358F">
        <w:rPr>
          <w:rFonts w:ascii="Arial" w:hAnsi="Arial" w:cs="Arial"/>
          <w:sz w:val="20"/>
        </w:rPr>
        <w:t xml:space="preserve"> of apparatus </w:t>
      </w:r>
      <w:r>
        <w:rPr>
          <w:rFonts w:ascii="Arial" w:hAnsi="Arial" w:cs="Arial"/>
          <w:sz w:val="20"/>
        </w:rPr>
        <w:t>licences.</w:t>
      </w:r>
      <w:bookmarkEnd w:id="0"/>
    </w:p>
    <w:p w14:paraId="0B8087D3" w14:textId="77777777" w:rsidR="00564B81" w:rsidRDefault="00564B81" w:rsidP="00564B81">
      <w:pPr>
        <w:rPr>
          <w:rFonts w:ascii="Arial" w:hAnsi="Arial" w:cs="Arial"/>
          <w:sz w:val="20"/>
        </w:rPr>
      </w:pPr>
    </w:p>
    <w:p w14:paraId="40890CBD" w14:textId="7C2F0E1F" w:rsidR="00564B81" w:rsidRDefault="00564B81" w:rsidP="00564B81">
      <w:pPr>
        <w:rPr>
          <w:rFonts w:ascii="Arial" w:hAnsi="Arial" w:cs="Arial"/>
          <w:sz w:val="20"/>
          <w:lang w:val="en-US"/>
        </w:rPr>
      </w:pPr>
      <w:r w:rsidRPr="00BF2F91">
        <w:rPr>
          <w:rFonts w:ascii="Arial" w:hAnsi="Arial" w:cs="Arial"/>
          <w:sz w:val="20"/>
          <w:lang w:val="en-US"/>
        </w:rPr>
        <w:t>A determination made under paragraph 107(1</w:t>
      </w:r>
      <w:proofErr w:type="gramStart"/>
      <w:r w:rsidRPr="00BF2F91">
        <w:rPr>
          <w:rFonts w:ascii="Arial" w:hAnsi="Arial" w:cs="Arial"/>
          <w:sz w:val="20"/>
          <w:lang w:val="en-US"/>
        </w:rPr>
        <w:t>)(</w:t>
      </w:r>
      <w:proofErr w:type="gramEnd"/>
      <w:r w:rsidRPr="00BF2F91">
        <w:rPr>
          <w:rFonts w:ascii="Arial" w:hAnsi="Arial" w:cs="Arial"/>
          <w:sz w:val="20"/>
          <w:lang w:val="en-US"/>
        </w:rPr>
        <w:t>f)</w:t>
      </w:r>
      <w:r w:rsidR="00854FE1">
        <w:rPr>
          <w:rFonts w:ascii="Arial" w:hAnsi="Arial" w:cs="Arial"/>
          <w:sz w:val="20"/>
          <w:lang w:val="en-US"/>
        </w:rPr>
        <w:t xml:space="preserve"> of the Act</w:t>
      </w:r>
      <w:r w:rsidRPr="00BF2F91">
        <w:rPr>
          <w:rFonts w:ascii="Arial" w:hAnsi="Arial" w:cs="Arial"/>
          <w:sz w:val="20"/>
          <w:lang w:val="en-US"/>
        </w:rPr>
        <w:t xml:space="preserve"> is a legislative instrument and may be subject to disallowance in accordance with section 42 of the LIA.</w:t>
      </w:r>
    </w:p>
    <w:p w14:paraId="64BA79F6" w14:textId="77777777" w:rsidR="00564B81" w:rsidRPr="00BF2F91" w:rsidRDefault="00564B81" w:rsidP="00564B81">
      <w:pPr>
        <w:rPr>
          <w:szCs w:val="24"/>
          <w:lang w:val="en-US"/>
        </w:rPr>
      </w:pPr>
    </w:p>
    <w:p w14:paraId="24E5674B" w14:textId="343DB64C" w:rsidR="001D109A" w:rsidRDefault="001D109A" w:rsidP="001D109A">
      <w:pPr>
        <w:rPr>
          <w:rFonts w:ascii="Arial" w:hAnsi="Arial" w:cs="Arial"/>
          <w:sz w:val="20"/>
        </w:rPr>
      </w:pPr>
      <w:r w:rsidRPr="0047500C">
        <w:rPr>
          <w:rFonts w:ascii="Arial" w:hAnsi="Arial" w:cs="Arial"/>
          <w:sz w:val="20"/>
        </w:rPr>
        <w:t xml:space="preserve">Under subsection 33(3) of the </w:t>
      </w:r>
      <w:r w:rsidRPr="00007380">
        <w:rPr>
          <w:rFonts w:ascii="Arial" w:hAnsi="Arial" w:cs="Arial"/>
          <w:i/>
          <w:sz w:val="20"/>
        </w:rPr>
        <w:t>Acts Interpretation Act 1901</w:t>
      </w:r>
      <w:r w:rsidRPr="0047500C">
        <w:rPr>
          <w:rFonts w:ascii="Arial" w:hAnsi="Arial" w:cs="Arial"/>
          <w:sz w:val="20"/>
        </w:rPr>
        <w:t>, where an Act</w:t>
      </w:r>
      <w:r>
        <w:rPr>
          <w:rFonts w:ascii="Arial" w:hAnsi="Arial" w:cs="Arial"/>
          <w:sz w:val="20"/>
        </w:rPr>
        <w:t xml:space="preserve"> </w:t>
      </w:r>
      <w:r w:rsidRPr="0047500C">
        <w:rPr>
          <w:rFonts w:ascii="Arial" w:hAnsi="Arial" w:cs="Arial"/>
          <w:sz w:val="20"/>
        </w:rPr>
        <w:t>confers a power to make, grant or issue any instrument of a legislative character, the power</w:t>
      </w:r>
      <w:r>
        <w:rPr>
          <w:rFonts w:ascii="Arial" w:hAnsi="Arial" w:cs="Arial"/>
          <w:sz w:val="20"/>
        </w:rPr>
        <w:t xml:space="preserve"> </w:t>
      </w:r>
      <w:r w:rsidRPr="0047500C">
        <w:rPr>
          <w:rFonts w:ascii="Arial" w:hAnsi="Arial" w:cs="Arial"/>
          <w:sz w:val="20"/>
        </w:rPr>
        <w:t>shall be construed as including a power exercisable in the like manner and</w:t>
      </w:r>
      <w:r>
        <w:rPr>
          <w:rFonts w:ascii="Arial" w:hAnsi="Arial" w:cs="Arial"/>
          <w:sz w:val="20"/>
        </w:rPr>
        <w:t xml:space="preserve"> </w:t>
      </w:r>
      <w:r w:rsidRPr="0047500C">
        <w:rPr>
          <w:rFonts w:ascii="Arial" w:hAnsi="Arial" w:cs="Arial"/>
          <w:sz w:val="20"/>
        </w:rPr>
        <w:t>subject to the like conditions (if any) to repeal, rescind, revoke, amend, or</w:t>
      </w:r>
      <w:r>
        <w:rPr>
          <w:rFonts w:ascii="Arial" w:hAnsi="Arial" w:cs="Arial"/>
          <w:sz w:val="20"/>
        </w:rPr>
        <w:t xml:space="preserve"> </w:t>
      </w:r>
      <w:r w:rsidRPr="0047500C">
        <w:rPr>
          <w:rFonts w:ascii="Arial" w:hAnsi="Arial" w:cs="Arial"/>
          <w:sz w:val="20"/>
        </w:rPr>
        <w:t>vary any such instrument</w:t>
      </w:r>
      <w:r>
        <w:rPr>
          <w:rFonts w:ascii="Arial" w:hAnsi="Arial" w:cs="Arial"/>
          <w:sz w:val="20"/>
        </w:rPr>
        <w:t>.</w:t>
      </w:r>
      <w:r w:rsidR="00854FE1">
        <w:rPr>
          <w:rFonts w:ascii="Arial" w:hAnsi="Arial" w:cs="Arial"/>
          <w:sz w:val="20"/>
        </w:rPr>
        <w:t xml:space="preserve">  The Determination revokes the 1997 Determination.</w:t>
      </w:r>
    </w:p>
    <w:p w14:paraId="2CC3EB2C" w14:textId="09DA01B7" w:rsidR="009D358F" w:rsidRPr="009D358F" w:rsidRDefault="009D358F" w:rsidP="009D358F">
      <w:pPr>
        <w:rPr>
          <w:rFonts w:ascii="Arial" w:hAnsi="Arial" w:cs="Arial"/>
          <w:sz w:val="22"/>
          <w:szCs w:val="22"/>
          <w:lang w:val="en-AU"/>
        </w:rPr>
      </w:pPr>
    </w:p>
    <w:p w14:paraId="15F91C26" w14:textId="77777777" w:rsidR="00914D5C" w:rsidRPr="006A48FC" w:rsidRDefault="00914D5C" w:rsidP="006A48FC">
      <w:pPr>
        <w:spacing w:line="360" w:lineRule="auto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6A48FC">
        <w:rPr>
          <w:rFonts w:ascii="Arial" w:hAnsi="Arial" w:cs="Arial"/>
          <w:b/>
          <w:sz w:val="22"/>
          <w:szCs w:val="22"/>
          <w:lang w:val="en-AU"/>
        </w:rPr>
        <w:t>Background</w:t>
      </w:r>
    </w:p>
    <w:p w14:paraId="4D5D1A28" w14:textId="1DDC84E5" w:rsidR="00564B81" w:rsidRDefault="00564B81" w:rsidP="00564B81">
      <w:pPr>
        <w:rPr>
          <w:rFonts w:ascii="Arial" w:hAnsi="Arial" w:cs="Arial"/>
          <w:sz w:val="20"/>
        </w:rPr>
      </w:pPr>
      <w:r w:rsidRPr="00A44A6F">
        <w:rPr>
          <w:rFonts w:ascii="Arial" w:hAnsi="Arial" w:cs="Arial"/>
          <w:snapToGrid w:val="0"/>
          <w:sz w:val="20"/>
        </w:rPr>
        <w:t>Under paragraph 107(1</w:t>
      </w:r>
      <w:proofErr w:type="gramStart"/>
      <w:r w:rsidRPr="00A44A6F">
        <w:rPr>
          <w:rFonts w:ascii="Arial" w:hAnsi="Arial" w:cs="Arial"/>
          <w:snapToGrid w:val="0"/>
          <w:sz w:val="20"/>
        </w:rPr>
        <w:t>)(</w:t>
      </w:r>
      <w:proofErr w:type="gramEnd"/>
      <w:r w:rsidRPr="00A44A6F">
        <w:rPr>
          <w:rFonts w:ascii="Arial" w:hAnsi="Arial" w:cs="Arial"/>
          <w:snapToGrid w:val="0"/>
          <w:sz w:val="20"/>
        </w:rPr>
        <w:t>f) of the Act, the ACMA may determine conditions relating to a particular type of apparatus licence.</w:t>
      </w:r>
      <w:r w:rsidRPr="00A44A6F" w:rsidDel="00BF2F91">
        <w:rPr>
          <w:rFonts w:ascii="Arial" w:hAnsi="Arial" w:cs="Arial"/>
          <w:snapToGrid w:val="0"/>
          <w:sz w:val="20"/>
        </w:rPr>
        <w:t xml:space="preserve"> </w:t>
      </w:r>
      <w:r w:rsidR="001477D9">
        <w:rPr>
          <w:rFonts w:ascii="Arial" w:hAnsi="Arial" w:cs="Arial"/>
          <w:snapToGrid w:val="0"/>
          <w:sz w:val="20"/>
        </w:rPr>
        <w:t xml:space="preserve">A fixed receive licence is a type of receiver licence specified by the ACMA in a determination made under section 98 of the Act, being the </w:t>
      </w:r>
      <w:r w:rsidR="001477D9" w:rsidRPr="009B71A4">
        <w:rPr>
          <w:rFonts w:ascii="Arial" w:hAnsi="Arial" w:cs="Arial"/>
          <w:i/>
          <w:snapToGrid w:val="0"/>
          <w:sz w:val="20"/>
        </w:rPr>
        <w:t>Radiocommunications (Specified Radiocommunications Receivers and Types of Transmitter Licences and Receiver Licences) Determination 2014</w:t>
      </w:r>
      <w:r w:rsidR="001477D9">
        <w:rPr>
          <w:rFonts w:ascii="Arial" w:hAnsi="Arial" w:cs="Arial"/>
          <w:snapToGrid w:val="0"/>
          <w:sz w:val="20"/>
        </w:rPr>
        <w:t>.</w:t>
      </w:r>
      <w:r w:rsidR="00600CCD">
        <w:rPr>
          <w:rFonts w:ascii="Arial" w:hAnsi="Arial" w:cs="Arial"/>
          <w:snapToGrid w:val="0"/>
          <w:sz w:val="20"/>
        </w:rPr>
        <w:t xml:space="preserve"> </w:t>
      </w:r>
      <w:r w:rsidRPr="00FA128B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Determination</w:t>
      </w:r>
      <w:r w:rsidRPr="00FA128B">
        <w:rPr>
          <w:rFonts w:ascii="Arial" w:hAnsi="Arial" w:cs="Arial"/>
          <w:sz w:val="20"/>
        </w:rPr>
        <w:t xml:space="preserve"> contains conditions </w:t>
      </w:r>
      <w:r w:rsidR="005335CE">
        <w:rPr>
          <w:rFonts w:ascii="Arial" w:hAnsi="Arial" w:cs="Arial"/>
          <w:sz w:val="20"/>
        </w:rPr>
        <w:t xml:space="preserve">of operation </w:t>
      </w:r>
      <w:r w:rsidR="00554B46">
        <w:rPr>
          <w:rFonts w:ascii="Arial" w:hAnsi="Arial" w:cs="Arial"/>
          <w:sz w:val="20"/>
        </w:rPr>
        <w:t>that apply to fixed receive licence</w:t>
      </w:r>
      <w:r w:rsidRPr="00FA128B">
        <w:rPr>
          <w:rFonts w:ascii="Arial" w:hAnsi="Arial" w:cs="Arial"/>
          <w:sz w:val="20"/>
        </w:rPr>
        <w:t xml:space="preserve">s. </w:t>
      </w:r>
    </w:p>
    <w:p w14:paraId="5803A316" w14:textId="77777777" w:rsidR="00564B81" w:rsidRPr="009D358F" w:rsidRDefault="00564B81" w:rsidP="00564B81">
      <w:pPr>
        <w:rPr>
          <w:rFonts w:ascii="Arial" w:hAnsi="Arial" w:cs="Arial"/>
          <w:sz w:val="22"/>
          <w:szCs w:val="22"/>
          <w:lang w:val="en-AU"/>
        </w:rPr>
      </w:pPr>
    </w:p>
    <w:p w14:paraId="1E946035" w14:textId="6B928CE2" w:rsidR="00564B81" w:rsidRPr="006A48FC" w:rsidRDefault="00564B81" w:rsidP="00564B81">
      <w:pPr>
        <w:spacing w:line="360" w:lineRule="auto"/>
        <w:outlineLvl w:val="0"/>
        <w:rPr>
          <w:rFonts w:ascii="Arial" w:hAnsi="Arial" w:cs="Arial"/>
          <w:b/>
          <w:sz w:val="22"/>
          <w:szCs w:val="22"/>
          <w:lang w:val="en-AU"/>
        </w:rPr>
      </w:pPr>
      <w:r>
        <w:rPr>
          <w:rFonts w:ascii="Arial" w:hAnsi="Arial" w:cs="Arial"/>
          <w:b/>
          <w:sz w:val="22"/>
          <w:szCs w:val="22"/>
          <w:lang w:val="en-AU"/>
        </w:rPr>
        <w:t>Operation</w:t>
      </w:r>
    </w:p>
    <w:p w14:paraId="212C1F87" w14:textId="3ABFBCE0" w:rsidR="00DF360F" w:rsidRPr="00DF360F" w:rsidRDefault="00DF360F" w:rsidP="00DF360F">
      <w:pPr>
        <w:rPr>
          <w:rFonts w:ascii="Arial" w:hAnsi="Arial" w:cs="Arial"/>
          <w:sz w:val="20"/>
        </w:rPr>
      </w:pPr>
      <w:r w:rsidRPr="00DF360F">
        <w:rPr>
          <w:rFonts w:ascii="Arial" w:hAnsi="Arial" w:cs="Arial"/>
          <w:sz w:val="20"/>
        </w:rPr>
        <w:t>The fixed receive licence type is defined as a licence issued for one or more fixed stations:</w:t>
      </w:r>
    </w:p>
    <w:p w14:paraId="34C243FD" w14:textId="24882B8C" w:rsidR="00DF360F" w:rsidRPr="00DF360F" w:rsidRDefault="00DF360F" w:rsidP="00007380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 w:rsidRPr="00DF360F">
        <w:rPr>
          <w:rFonts w:ascii="Arial" w:hAnsi="Arial" w:cs="Arial"/>
          <w:sz w:val="20"/>
        </w:rPr>
        <w:t>that are used only for receiving messages;</w:t>
      </w:r>
      <w:r>
        <w:rPr>
          <w:rFonts w:ascii="Arial" w:hAnsi="Arial" w:cs="Arial"/>
          <w:sz w:val="20"/>
        </w:rPr>
        <w:t xml:space="preserve"> and</w:t>
      </w:r>
    </w:p>
    <w:p w14:paraId="1BB71D1D" w14:textId="77777777" w:rsidR="00DF360F" w:rsidRPr="00DF360F" w:rsidRDefault="00DF360F" w:rsidP="00007380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 w:rsidRPr="00DF360F">
        <w:rPr>
          <w:rFonts w:ascii="Arial" w:hAnsi="Arial" w:cs="Arial"/>
          <w:sz w:val="20"/>
        </w:rPr>
        <w:t>that are not capable of transmitting messages of any kind; and</w:t>
      </w:r>
    </w:p>
    <w:p w14:paraId="5AE49559" w14:textId="46F732AF" w:rsidR="00DF360F" w:rsidRPr="00DF360F" w:rsidRDefault="00DF360F" w:rsidP="00007380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proofErr w:type="gramStart"/>
      <w:r w:rsidRPr="00DF360F">
        <w:rPr>
          <w:rFonts w:ascii="Arial" w:hAnsi="Arial" w:cs="Arial"/>
          <w:sz w:val="20"/>
        </w:rPr>
        <w:t>for</w:t>
      </w:r>
      <w:proofErr w:type="gramEnd"/>
      <w:r w:rsidRPr="00DF360F">
        <w:rPr>
          <w:rFonts w:ascii="Arial" w:hAnsi="Arial" w:cs="Arial"/>
          <w:sz w:val="20"/>
        </w:rPr>
        <w:t xml:space="preserve"> which the ACMA, or a person accredited under section 263 of the Act, undertakes co-ordination procedures for the purpose of </w:t>
      </w:r>
      <w:proofErr w:type="spellStart"/>
      <w:r w:rsidRPr="00DF360F">
        <w:rPr>
          <w:rFonts w:ascii="Arial" w:hAnsi="Arial" w:cs="Arial"/>
          <w:sz w:val="20"/>
        </w:rPr>
        <w:t>minimising</w:t>
      </w:r>
      <w:proofErr w:type="spellEnd"/>
      <w:r w:rsidRPr="00DF360F">
        <w:rPr>
          <w:rFonts w:ascii="Arial" w:hAnsi="Arial" w:cs="Arial"/>
          <w:sz w:val="20"/>
        </w:rPr>
        <w:t xml:space="preserve"> interference to reception.</w:t>
      </w:r>
    </w:p>
    <w:p w14:paraId="0E42552F" w14:textId="77777777" w:rsidR="00DF360F" w:rsidRPr="00DF360F" w:rsidRDefault="00DF360F" w:rsidP="00DF360F">
      <w:pPr>
        <w:rPr>
          <w:rFonts w:ascii="Arial" w:hAnsi="Arial" w:cs="Arial"/>
          <w:sz w:val="20"/>
        </w:rPr>
      </w:pPr>
    </w:p>
    <w:p w14:paraId="0E04A362" w14:textId="50398649" w:rsidR="0062108A" w:rsidRPr="002B5A57" w:rsidRDefault="0062108A" w:rsidP="00934393">
      <w:pPr>
        <w:rPr>
          <w:rFonts w:ascii="Arial" w:hAnsi="Arial" w:cs="Arial"/>
          <w:sz w:val="20"/>
        </w:rPr>
      </w:pPr>
    </w:p>
    <w:p w14:paraId="498EA932" w14:textId="77777777" w:rsidR="00914D5C" w:rsidRPr="00C205B9" w:rsidRDefault="00914D5C" w:rsidP="00914D5C">
      <w:pPr>
        <w:keepNext/>
        <w:spacing w:line="360" w:lineRule="auto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C205B9">
        <w:rPr>
          <w:rFonts w:ascii="Arial" w:hAnsi="Arial" w:cs="Arial"/>
          <w:b/>
          <w:sz w:val="22"/>
          <w:szCs w:val="22"/>
          <w:lang w:val="en-AU"/>
        </w:rPr>
        <w:lastRenderedPageBreak/>
        <w:t>Consultation</w:t>
      </w:r>
    </w:p>
    <w:p w14:paraId="34C17AF0" w14:textId="77777777" w:rsidR="00815970" w:rsidRDefault="00815970" w:rsidP="00815970">
      <w:pPr>
        <w:rPr>
          <w:rFonts w:ascii="Arial" w:hAnsi="Arial" w:cs="Arial"/>
          <w:snapToGrid w:val="0"/>
          <w:sz w:val="20"/>
        </w:rPr>
      </w:pPr>
      <w:r w:rsidRPr="00C117CF">
        <w:rPr>
          <w:rFonts w:ascii="Arial" w:hAnsi="Arial" w:cs="Arial"/>
          <w:snapToGrid w:val="0"/>
          <w:sz w:val="20"/>
        </w:rPr>
        <w:t>Subsection 17(1) of the LIA requires that, before the ACMA makes a legislative instrument, it must be satisfied that any consultation that the ACMA considers is appropriate and reasonably practicable to undertake has been undertaken.</w:t>
      </w:r>
    </w:p>
    <w:p w14:paraId="7D96166F" w14:textId="77777777" w:rsidR="00815970" w:rsidRPr="00C117CF" w:rsidRDefault="00815970" w:rsidP="00815970">
      <w:pPr>
        <w:rPr>
          <w:rFonts w:ascii="Arial" w:hAnsi="Arial" w:cs="Arial"/>
          <w:snapToGrid w:val="0"/>
          <w:sz w:val="20"/>
        </w:rPr>
      </w:pPr>
    </w:p>
    <w:p w14:paraId="01E7AAF2" w14:textId="510D6A8E" w:rsidR="00815970" w:rsidRDefault="00815970" w:rsidP="00815970">
      <w:pPr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The</w:t>
      </w:r>
      <w:r w:rsidRPr="00C117CF">
        <w:rPr>
          <w:rFonts w:ascii="Arial" w:hAnsi="Arial" w:cs="Arial"/>
          <w:snapToGrid w:val="0"/>
          <w:sz w:val="20"/>
        </w:rPr>
        <w:t xml:space="preserve"> ACMA </w:t>
      </w:r>
      <w:r>
        <w:rPr>
          <w:rFonts w:ascii="Arial" w:hAnsi="Arial" w:cs="Arial"/>
          <w:snapToGrid w:val="0"/>
          <w:sz w:val="20"/>
        </w:rPr>
        <w:t xml:space="preserve">published a consultation paper (about the 1997 Determination, and two other instruments) and </w:t>
      </w:r>
      <w:r w:rsidR="00600CCD">
        <w:rPr>
          <w:rFonts w:ascii="Arial" w:hAnsi="Arial" w:cs="Arial"/>
          <w:snapToGrid w:val="0"/>
          <w:sz w:val="20"/>
        </w:rPr>
        <w:t xml:space="preserve">a </w:t>
      </w:r>
      <w:r>
        <w:rPr>
          <w:rFonts w:ascii="Arial" w:hAnsi="Arial" w:cs="Arial"/>
          <w:snapToGrid w:val="0"/>
          <w:sz w:val="20"/>
        </w:rPr>
        <w:t xml:space="preserve">draft </w:t>
      </w:r>
      <w:r w:rsidR="00600CCD">
        <w:rPr>
          <w:rFonts w:ascii="Arial" w:hAnsi="Arial" w:cs="Arial"/>
          <w:snapToGrid w:val="0"/>
          <w:sz w:val="20"/>
        </w:rPr>
        <w:t xml:space="preserve">of the </w:t>
      </w:r>
      <w:r w:rsidR="00FD0699">
        <w:rPr>
          <w:rFonts w:ascii="Arial" w:hAnsi="Arial" w:cs="Arial"/>
          <w:snapToGrid w:val="0"/>
          <w:sz w:val="20"/>
        </w:rPr>
        <w:t xml:space="preserve">Determination </w:t>
      </w:r>
      <w:r>
        <w:rPr>
          <w:rFonts w:ascii="Arial" w:hAnsi="Arial" w:cs="Arial"/>
          <w:snapToGrid w:val="0"/>
          <w:sz w:val="20"/>
        </w:rPr>
        <w:t xml:space="preserve">on its website </w:t>
      </w:r>
      <w:r w:rsidRPr="00251BF2">
        <w:rPr>
          <w:rFonts w:ascii="Arial" w:hAnsi="Arial" w:cs="Arial"/>
          <w:snapToGrid w:val="0"/>
          <w:sz w:val="20"/>
        </w:rPr>
        <w:t>between</w:t>
      </w:r>
      <w:r>
        <w:rPr>
          <w:rFonts w:ascii="Arial" w:hAnsi="Arial" w:cs="Arial"/>
          <w:snapToGrid w:val="0"/>
          <w:sz w:val="20"/>
        </w:rPr>
        <w:t xml:space="preserve"> 9 July 2014 </w:t>
      </w:r>
      <w:r w:rsidRPr="002A154D">
        <w:rPr>
          <w:rFonts w:ascii="Arial" w:hAnsi="Arial" w:cs="Arial"/>
          <w:snapToGrid w:val="0"/>
          <w:sz w:val="20"/>
        </w:rPr>
        <w:t xml:space="preserve">and </w:t>
      </w:r>
      <w:r w:rsidR="00FD0699" w:rsidRPr="00251BF2">
        <w:rPr>
          <w:rFonts w:ascii="Arial" w:hAnsi="Arial" w:cs="Arial"/>
          <w:snapToGrid w:val="0"/>
          <w:sz w:val="20"/>
        </w:rPr>
        <w:t>2</w:t>
      </w:r>
      <w:r w:rsidR="00FD0699">
        <w:rPr>
          <w:rFonts w:ascii="Arial" w:hAnsi="Arial" w:cs="Arial"/>
          <w:snapToGrid w:val="0"/>
          <w:sz w:val="20"/>
        </w:rPr>
        <w:t>2 </w:t>
      </w:r>
      <w:r>
        <w:rPr>
          <w:rFonts w:ascii="Arial" w:hAnsi="Arial" w:cs="Arial"/>
          <w:snapToGrid w:val="0"/>
          <w:sz w:val="20"/>
        </w:rPr>
        <w:t>August 2</w:t>
      </w:r>
      <w:r w:rsidRPr="00251BF2">
        <w:rPr>
          <w:rFonts w:ascii="Arial" w:hAnsi="Arial" w:cs="Arial"/>
          <w:snapToGrid w:val="0"/>
          <w:sz w:val="20"/>
        </w:rPr>
        <w:t>014</w:t>
      </w:r>
      <w:r w:rsidRPr="00C117CF">
        <w:rPr>
          <w:rFonts w:ascii="Arial" w:hAnsi="Arial" w:cs="Arial"/>
          <w:snapToGrid w:val="0"/>
          <w:sz w:val="20"/>
        </w:rPr>
        <w:t>. Th</w:t>
      </w:r>
      <w:r>
        <w:rPr>
          <w:rFonts w:ascii="Arial" w:hAnsi="Arial" w:cs="Arial"/>
          <w:snapToGrid w:val="0"/>
          <w:sz w:val="20"/>
        </w:rPr>
        <w:t xml:space="preserve">e consultation </w:t>
      </w:r>
      <w:r w:rsidRPr="00C117CF">
        <w:rPr>
          <w:rFonts w:ascii="Arial" w:hAnsi="Arial" w:cs="Arial"/>
          <w:snapToGrid w:val="0"/>
          <w:sz w:val="20"/>
        </w:rPr>
        <w:t xml:space="preserve">paper explained the sunsetting process and the ACMA’s preliminary view that the existing arrangements </w:t>
      </w:r>
      <w:r>
        <w:rPr>
          <w:rFonts w:ascii="Arial" w:hAnsi="Arial" w:cs="Arial"/>
          <w:snapToGrid w:val="0"/>
          <w:sz w:val="20"/>
        </w:rPr>
        <w:t xml:space="preserve">under the 1997 Determination </w:t>
      </w:r>
      <w:r w:rsidRPr="00C117CF">
        <w:rPr>
          <w:rFonts w:ascii="Arial" w:hAnsi="Arial" w:cs="Arial"/>
          <w:snapToGrid w:val="0"/>
          <w:sz w:val="20"/>
        </w:rPr>
        <w:t>should be saved from automatic repeal and remade without any significant changes. Interested parties were invited to comment.</w:t>
      </w:r>
    </w:p>
    <w:p w14:paraId="2F95BAE4" w14:textId="77777777" w:rsidR="00815970" w:rsidRDefault="00815970" w:rsidP="00815970">
      <w:pPr>
        <w:rPr>
          <w:rFonts w:ascii="Arial" w:hAnsi="Arial" w:cs="Arial"/>
          <w:snapToGrid w:val="0"/>
          <w:sz w:val="20"/>
        </w:rPr>
      </w:pPr>
    </w:p>
    <w:p w14:paraId="1E2F806B" w14:textId="0251141A" w:rsidR="00815970" w:rsidRPr="00C117CF" w:rsidRDefault="00815970" w:rsidP="00815970">
      <w:pPr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>T</w:t>
      </w:r>
      <w:r w:rsidRPr="00C117CF">
        <w:rPr>
          <w:rFonts w:ascii="Arial" w:hAnsi="Arial" w:cs="Arial"/>
          <w:snapToGrid w:val="0"/>
          <w:sz w:val="20"/>
        </w:rPr>
        <w:t xml:space="preserve">he ACMA received </w:t>
      </w:r>
      <w:r>
        <w:rPr>
          <w:rFonts w:ascii="Arial" w:hAnsi="Arial" w:cs="Arial"/>
          <w:snapToGrid w:val="0"/>
          <w:sz w:val="20"/>
        </w:rPr>
        <w:t xml:space="preserve">two </w:t>
      </w:r>
      <w:r w:rsidRPr="00C117CF">
        <w:rPr>
          <w:rFonts w:ascii="Arial" w:hAnsi="Arial" w:cs="Arial"/>
          <w:snapToGrid w:val="0"/>
          <w:sz w:val="20"/>
        </w:rPr>
        <w:t>submission</w:t>
      </w:r>
      <w:r>
        <w:rPr>
          <w:rFonts w:ascii="Arial" w:hAnsi="Arial" w:cs="Arial"/>
          <w:snapToGrid w:val="0"/>
          <w:sz w:val="20"/>
        </w:rPr>
        <w:t>s</w:t>
      </w:r>
      <w:r w:rsidRPr="00C117CF">
        <w:rPr>
          <w:rFonts w:ascii="Arial" w:hAnsi="Arial" w:cs="Arial"/>
          <w:snapToGrid w:val="0"/>
          <w:sz w:val="20"/>
        </w:rPr>
        <w:t xml:space="preserve"> in response to t</w:t>
      </w:r>
      <w:r>
        <w:rPr>
          <w:rFonts w:ascii="Arial" w:hAnsi="Arial" w:cs="Arial"/>
          <w:snapToGrid w:val="0"/>
          <w:sz w:val="20"/>
        </w:rPr>
        <w:t>he consultation paper</w:t>
      </w:r>
      <w:r w:rsidR="00600CCD">
        <w:rPr>
          <w:rFonts w:ascii="Arial" w:hAnsi="Arial" w:cs="Arial"/>
          <w:snapToGrid w:val="0"/>
          <w:sz w:val="20"/>
        </w:rPr>
        <w:t>,</w:t>
      </w:r>
      <w:r>
        <w:rPr>
          <w:rFonts w:ascii="Arial" w:hAnsi="Arial" w:cs="Arial"/>
          <w:snapToGrid w:val="0"/>
          <w:sz w:val="20"/>
        </w:rPr>
        <w:t xml:space="preserve"> one of which was relevant to the Determination</w:t>
      </w:r>
      <w:r w:rsidR="00600CCD">
        <w:rPr>
          <w:rFonts w:ascii="Arial" w:hAnsi="Arial" w:cs="Arial"/>
          <w:snapToGrid w:val="0"/>
          <w:sz w:val="20"/>
        </w:rPr>
        <w:t xml:space="preserve"> and</w:t>
      </w:r>
      <w:r>
        <w:rPr>
          <w:rFonts w:ascii="Arial" w:hAnsi="Arial" w:cs="Arial"/>
          <w:snapToGrid w:val="0"/>
          <w:sz w:val="20"/>
        </w:rPr>
        <w:t xml:space="preserve"> which it took into account when making the Determination</w:t>
      </w:r>
      <w:r w:rsidRPr="0069789A">
        <w:rPr>
          <w:rFonts w:ascii="Arial" w:hAnsi="Arial" w:cs="Arial"/>
          <w:snapToGrid w:val="0"/>
          <w:sz w:val="20"/>
        </w:rPr>
        <w:t>.</w:t>
      </w:r>
      <w:r w:rsidR="00E73686">
        <w:rPr>
          <w:rFonts w:ascii="Arial" w:hAnsi="Arial" w:cs="Arial"/>
          <w:snapToGrid w:val="0"/>
          <w:sz w:val="20"/>
        </w:rPr>
        <w:t xml:space="preserve"> </w:t>
      </w:r>
      <w:r w:rsidR="00E73686" w:rsidRPr="00E73686">
        <w:rPr>
          <w:rFonts w:ascii="Arial" w:hAnsi="Arial" w:cs="Arial"/>
          <w:snapToGrid w:val="0"/>
          <w:sz w:val="20"/>
        </w:rPr>
        <w:t>The submission</w:t>
      </w:r>
      <w:r w:rsidR="00600CCD">
        <w:rPr>
          <w:rFonts w:ascii="Arial" w:hAnsi="Arial" w:cs="Arial"/>
          <w:snapToGrid w:val="0"/>
          <w:sz w:val="20"/>
        </w:rPr>
        <w:t>s</w:t>
      </w:r>
      <w:r w:rsidR="00E73686" w:rsidRPr="00E73686">
        <w:rPr>
          <w:rFonts w:ascii="Arial" w:hAnsi="Arial" w:cs="Arial"/>
          <w:snapToGrid w:val="0"/>
          <w:sz w:val="20"/>
        </w:rPr>
        <w:t xml:space="preserve"> are available on the </w:t>
      </w:r>
      <w:hyperlink r:id="rId14" w:history="1">
        <w:r w:rsidR="00E73686" w:rsidRPr="00E73686">
          <w:rPr>
            <w:rFonts w:ascii="Arial" w:hAnsi="Arial" w:cs="Arial"/>
            <w:snapToGrid w:val="0"/>
            <w:color w:val="0000FF" w:themeColor="hyperlink"/>
            <w:sz w:val="20"/>
            <w:u w:val="single"/>
          </w:rPr>
          <w:t>ACMA website</w:t>
        </w:r>
      </w:hyperlink>
      <w:r w:rsidR="00600CCD">
        <w:rPr>
          <w:rFonts w:ascii="Arial" w:hAnsi="Arial" w:cs="Arial"/>
          <w:snapToGrid w:val="0"/>
          <w:color w:val="0000FF" w:themeColor="hyperlink"/>
          <w:sz w:val="20"/>
          <w:u w:val="single"/>
        </w:rPr>
        <w:t>.</w:t>
      </w:r>
    </w:p>
    <w:p w14:paraId="4CFD89B4" w14:textId="07199C30" w:rsidR="00FC46F6" w:rsidRPr="006773A9" w:rsidRDefault="00FC46F6" w:rsidP="00FC46F6">
      <w:pPr>
        <w:outlineLvl w:val="0"/>
        <w:rPr>
          <w:rFonts w:ascii="Arial" w:hAnsi="Arial" w:cs="Arial"/>
          <w:b/>
          <w:sz w:val="22"/>
          <w:szCs w:val="22"/>
          <w:lang w:val="en-AU"/>
        </w:rPr>
      </w:pPr>
    </w:p>
    <w:p w14:paraId="0BE13453" w14:textId="77777777" w:rsidR="00914D5C" w:rsidRPr="001211CC" w:rsidRDefault="00914D5C" w:rsidP="00914D5C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6773A9">
        <w:rPr>
          <w:rFonts w:ascii="Arial" w:hAnsi="Arial" w:cs="Arial"/>
          <w:b/>
          <w:sz w:val="22"/>
          <w:szCs w:val="22"/>
          <w:lang w:val="en-AU"/>
        </w:rPr>
        <w:t>R</w:t>
      </w:r>
      <w:proofErr w:type="spellStart"/>
      <w:r w:rsidRPr="001211CC">
        <w:rPr>
          <w:rFonts w:ascii="Arial" w:hAnsi="Arial" w:cs="Arial"/>
          <w:b/>
          <w:sz w:val="22"/>
          <w:szCs w:val="22"/>
        </w:rPr>
        <w:t>egulatory</w:t>
      </w:r>
      <w:proofErr w:type="spellEnd"/>
      <w:r w:rsidRPr="001211CC">
        <w:rPr>
          <w:rFonts w:ascii="Arial" w:hAnsi="Arial" w:cs="Arial"/>
          <w:b/>
          <w:sz w:val="22"/>
          <w:szCs w:val="22"/>
        </w:rPr>
        <w:t xml:space="preserve"> Impact </w:t>
      </w:r>
    </w:p>
    <w:p w14:paraId="59A105D4" w14:textId="3A8725AC" w:rsidR="00914D5C" w:rsidRPr="006E1DE9" w:rsidRDefault="009D358F" w:rsidP="00914D5C">
      <w:pPr>
        <w:rPr>
          <w:rFonts w:ascii="Arial" w:hAnsi="Arial" w:cs="Arial"/>
          <w:sz w:val="20"/>
        </w:rPr>
      </w:pPr>
      <w:r>
        <w:rPr>
          <w:rFonts w:ascii="Arial" w:hAnsi="Arial" w:cs="Arial"/>
          <w:snapToGrid w:val="0"/>
          <w:sz w:val="20"/>
        </w:rPr>
        <w:t>T</w:t>
      </w:r>
      <w:r w:rsidR="00914D5C" w:rsidRPr="00C117CF">
        <w:rPr>
          <w:rFonts w:ascii="Arial" w:hAnsi="Arial" w:cs="Arial"/>
          <w:snapToGrid w:val="0"/>
          <w:sz w:val="20"/>
        </w:rPr>
        <w:t>he Office of Best Practice Regulation (OBPR)</w:t>
      </w:r>
      <w:r>
        <w:rPr>
          <w:rFonts w:ascii="Arial" w:hAnsi="Arial" w:cs="Arial"/>
          <w:snapToGrid w:val="0"/>
          <w:sz w:val="20"/>
        </w:rPr>
        <w:t xml:space="preserve"> applies </w:t>
      </w:r>
      <w:r w:rsidR="00914D5C" w:rsidRPr="00C117CF">
        <w:rPr>
          <w:rFonts w:ascii="Arial" w:hAnsi="Arial" w:cs="Arial"/>
          <w:snapToGrid w:val="0"/>
          <w:sz w:val="20"/>
        </w:rPr>
        <w:t xml:space="preserve">streamlined administrative processes to sunsetting legislative instruments. As the ACMA has determined that the </w:t>
      </w:r>
      <w:r w:rsidR="00914D5C">
        <w:rPr>
          <w:rFonts w:ascii="Arial" w:hAnsi="Arial" w:cs="Arial"/>
          <w:snapToGrid w:val="0"/>
          <w:sz w:val="20"/>
        </w:rPr>
        <w:t xml:space="preserve">1997 </w:t>
      </w:r>
      <w:r w:rsidR="002170D6">
        <w:rPr>
          <w:rFonts w:ascii="Arial" w:hAnsi="Arial" w:cs="Arial"/>
          <w:snapToGrid w:val="0"/>
          <w:sz w:val="20"/>
        </w:rPr>
        <w:t>Determination</w:t>
      </w:r>
      <w:r w:rsidR="00914D5C" w:rsidRPr="00C117CF">
        <w:rPr>
          <w:rFonts w:ascii="Arial" w:hAnsi="Arial" w:cs="Arial"/>
          <w:snapToGrid w:val="0"/>
          <w:sz w:val="20"/>
        </w:rPr>
        <w:t xml:space="preserve"> was fit for purpose and should be remade without any significant changes, and has certified those matters to OBPR, no Regulation Impact Statement</w:t>
      </w:r>
      <w:r w:rsidR="00914D5C">
        <w:rPr>
          <w:rFonts w:ascii="Arial" w:hAnsi="Arial" w:cs="Arial"/>
          <w:snapToGrid w:val="0"/>
          <w:sz w:val="20"/>
        </w:rPr>
        <w:t xml:space="preserve"> (RIS)</w:t>
      </w:r>
      <w:r w:rsidR="00914D5C" w:rsidRPr="00C117CF">
        <w:rPr>
          <w:rFonts w:ascii="Arial" w:hAnsi="Arial" w:cs="Arial"/>
          <w:snapToGrid w:val="0"/>
          <w:sz w:val="20"/>
        </w:rPr>
        <w:t xml:space="preserve"> is required</w:t>
      </w:r>
      <w:r w:rsidR="00914D5C">
        <w:rPr>
          <w:rFonts w:ascii="Arial" w:hAnsi="Arial" w:cs="Arial"/>
          <w:snapToGrid w:val="0"/>
          <w:sz w:val="20"/>
        </w:rPr>
        <w:t xml:space="preserve"> in relation to the making of the Determination</w:t>
      </w:r>
      <w:r w:rsidR="00815970">
        <w:rPr>
          <w:rFonts w:ascii="Arial" w:hAnsi="Arial" w:cs="Arial"/>
          <w:snapToGrid w:val="0"/>
          <w:sz w:val="20"/>
        </w:rPr>
        <w:t xml:space="preserve">. The </w:t>
      </w:r>
      <w:r w:rsidR="00914D5C">
        <w:rPr>
          <w:rFonts w:ascii="Arial" w:hAnsi="Arial" w:cs="Arial"/>
          <w:sz w:val="20"/>
        </w:rPr>
        <w:t>OBPR reference</w:t>
      </w:r>
      <w:r w:rsidR="00914D5C" w:rsidRPr="006E1DE9">
        <w:rPr>
          <w:rFonts w:ascii="Arial" w:hAnsi="Arial" w:cs="Arial"/>
          <w:sz w:val="20"/>
        </w:rPr>
        <w:t xml:space="preserve"> </w:t>
      </w:r>
      <w:r w:rsidR="00815970">
        <w:rPr>
          <w:rFonts w:ascii="Arial" w:hAnsi="Arial" w:cs="Arial"/>
          <w:sz w:val="20"/>
        </w:rPr>
        <w:t>number is</w:t>
      </w:r>
      <w:r w:rsidR="00914D5C" w:rsidRPr="006E1DE9">
        <w:rPr>
          <w:rFonts w:ascii="Arial" w:hAnsi="Arial" w:cs="Arial"/>
          <w:sz w:val="20"/>
        </w:rPr>
        <w:t xml:space="preserve"> </w:t>
      </w:r>
      <w:r w:rsidR="00406932">
        <w:rPr>
          <w:rFonts w:ascii="Arial" w:hAnsi="Arial" w:cs="Arial"/>
          <w:sz w:val="20"/>
        </w:rPr>
        <w:t>16968</w:t>
      </w:r>
      <w:r w:rsidR="00914D5C" w:rsidRPr="006E1DE9">
        <w:rPr>
          <w:rFonts w:ascii="Arial" w:hAnsi="Arial" w:cs="Arial"/>
          <w:sz w:val="20"/>
        </w:rPr>
        <w:t>.</w:t>
      </w:r>
    </w:p>
    <w:p w14:paraId="11698044" w14:textId="77777777" w:rsidR="00914D5C" w:rsidRDefault="00914D5C" w:rsidP="00914D5C">
      <w:pPr>
        <w:outlineLvl w:val="0"/>
        <w:rPr>
          <w:rFonts w:ascii="Arial" w:hAnsi="Arial" w:cs="Arial"/>
          <w:b/>
          <w:sz w:val="22"/>
          <w:szCs w:val="22"/>
          <w:lang w:val="en-AU"/>
        </w:rPr>
      </w:pPr>
    </w:p>
    <w:p w14:paraId="176A79E9" w14:textId="77777777" w:rsidR="00914D5C" w:rsidRPr="005A5476" w:rsidRDefault="00914D5C" w:rsidP="00914D5C">
      <w:pPr>
        <w:spacing w:line="360" w:lineRule="auto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5A5476">
        <w:rPr>
          <w:rFonts w:ascii="Arial" w:hAnsi="Arial" w:cs="Arial"/>
          <w:b/>
          <w:sz w:val="22"/>
          <w:szCs w:val="22"/>
          <w:lang w:val="en-AU"/>
        </w:rPr>
        <w:t>Detailed Description of the Instrument</w:t>
      </w:r>
    </w:p>
    <w:p w14:paraId="6AD3A4E0" w14:textId="77777777" w:rsidR="00914D5C" w:rsidRPr="005029D3" w:rsidRDefault="00914D5C" w:rsidP="00914D5C">
      <w:pPr>
        <w:outlineLvl w:val="0"/>
        <w:rPr>
          <w:rFonts w:ascii="Arial" w:hAnsi="Arial" w:cs="Arial"/>
          <w:sz w:val="20"/>
          <w:lang w:val="en-AU"/>
        </w:rPr>
      </w:pPr>
      <w:r w:rsidRPr="005029D3">
        <w:rPr>
          <w:rFonts w:ascii="Arial" w:hAnsi="Arial" w:cs="Arial"/>
          <w:sz w:val="20"/>
          <w:lang w:val="en-AU"/>
        </w:rPr>
        <w:t xml:space="preserve">Details of the </w:t>
      </w:r>
      <w:r>
        <w:rPr>
          <w:rFonts w:ascii="Arial" w:hAnsi="Arial" w:cs="Arial"/>
          <w:sz w:val="20"/>
          <w:lang w:val="en-AU"/>
        </w:rPr>
        <w:t>Determination</w:t>
      </w:r>
      <w:r w:rsidRPr="005029D3">
        <w:rPr>
          <w:rFonts w:ascii="Arial" w:hAnsi="Arial" w:cs="Arial"/>
          <w:sz w:val="20"/>
          <w:lang w:val="en-AU"/>
        </w:rPr>
        <w:t xml:space="preserve"> are set out in </w:t>
      </w:r>
      <w:r w:rsidRPr="005029D3">
        <w:rPr>
          <w:rFonts w:ascii="Arial" w:hAnsi="Arial" w:cs="Arial"/>
          <w:b/>
          <w:sz w:val="20"/>
          <w:lang w:val="en-AU"/>
        </w:rPr>
        <w:t>Attachment A</w:t>
      </w:r>
      <w:r w:rsidRPr="005029D3">
        <w:rPr>
          <w:rFonts w:ascii="Arial" w:hAnsi="Arial" w:cs="Arial"/>
          <w:sz w:val="20"/>
          <w:lang w:val="en-AU"/>
        </w:rPr>
        <w:t>.</w:t>
      </w:r>
    </w:p>
    <w:p w14:paraId="031B957A" w14:textId="77777777" w:rsidR="000F6E40" w:rsidRDefault="000F6E40" w:rsidP="000F6E40">
      <w:pPr>
        <w:outlineLvl w:val="0"/>
        <w:rPr>
          <w:rFonts w:ascii="Arial" w:hAnsi="Arial" w:cs="Arial"/>
          <w:b/>
          <w:sz w:val="22"/>
          <w:szCs w:val="22"/>
          <w:lang w:val="en-AU"/>
        </w:rPr>
      </w:pPr>
    </w:p>
    <w:p w14:paraId="54421454" w14:textId="7E3A322B" w:rsidR="000F6E40" w:rsidRPr="005A5476" w:rsidRDefault="000F6E40" w:rsidP="000F6E40">
      <w:pPr>
        <w:spacing w:line="360" w:lineRule="auto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5A5476">
        <w:rPr>
          <w:rFonts w:ascii="Arial" w:hAnsi="Arial" w:cs="Arial"/>
          <w:b/>
          <w:sz w:val="22"/>
          <w:szCs w:val="22"/>
          <w:lang w:val="en-AU"/>
        </w:rPr>
        <w:t>D</w:t>
      </w:r>
      <w:r w:rsidR="00600CCD">
        <w:rPr>
          <w:rFonts w:ascii="Arial" w:hAnsi="Arial" w:cs="Arial"/>
          <w:b/>
          <w:sz w:val="22"/>
          <w:szCs w:val="22"/>
          <w:lang w:val="en-AU"/>
        </w:rPr>
        <w:t>ocuments incorporated in the</w:t>
      </w:r>
      <w:r>
        <w:rPr>
          <w:rFonts w:ascii="Arial" w:hAnsi="Arial" w:cs="Arial"/>
          <w:b/>
          <w:sz w:val="22"/>
          <w:szCs w:val="22"/>
          <w:lang w:val="en-AU"/>
        </w:rPr>
        <w:t xml:space="preserve"> Instrument by Reference</w:t>
      </w:r>
    </w:p>
    <w:p w14:paraId="33C1AD9D" w14:textId="77777777" w:rsidR="00FD0699" w:rsidRDefault="00FD0699" w:rsidP="00FD0699">
      <w:pPr>
        <w:outlineLvl w:val="0"/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sz w:val="20"/>
          <w:lang w:val="en-AU"/>
        </w:rPr>
        <w:t>The Determination refers to Acts and other legislative instruments as in force from time to time (as permitted by section 314A of the Act).  Those Acts and legislative instruments are:</w:t>
      </w:r>
    </w:p>
    <w:p w14:paraId="282E3DD9" w14:textId="77777777" w:rsidR="00FD0699" w:rsidRDefault="00FD0699" w:rsidP="00FD0699">
      <w:pPr>
        <w:outlineLvl w:val="0"/>
        <w:rPr>
          <w:rFonts w:ascii="Arial" w:hAnsi="Arial" w:cs="Arial"/>
          <w:sz w:val="20"/>
          <w:lang w:val="en-AU"/>
        </w:rPr>
      </w:pPr>
    </w:p>
    <w:p w14:paraId="11077132" w14:textId="77777777" w:rsidR="00FD0699" w:rsidRDefault="00FD0699" w:rsidP="00FD0699">
      <w:pPr>
        <w:pStyle w:val="ListParagraph"/>
        <w:numPr>
          <w:ilvl w:val="0"/>
          <w:numId w:val="20"/>
        </w:numPr>
        <w:outlineLvl w:val="0"/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sz w:val="20"/>
          <w:lang w:val="en-AU"/>
        </w:rPr>
        <w:t>the Act;</w:t>
      </w:r>
    </w:p>
    <w:p w14:paraId="658E49F4" w14:textId="36C15634" w:rsidR="00FD0699" w:rsidRDefault="00FD0699" w:rsidP="00FD0699">
      <w:pPr>
        <w:pStyle w:val="ListParagraph"/>
        <w:numPr>
          <w:ilvl w:val="0"/>
          <w:numId w:val="20"/>
        </w:numPr>
        <w:outlineLvl w:val="0"/>
        <w:rPr>
          <w:rFonts w:ascii="Arial" w:hAnsi="Arial" w:cs="Arial"/>
          <w:sz w:val="20"/>
          <w:lang w:val="en-AU"/>
        </w:rPr>
      </w:pPr>
      <w:proofErr w:type="gramStart"/>
      <w:r>
        <w:rPr>
          <w:rFonts w:ascii="Arial" w:hAnsi="Arial" w:cs="Arial"/>
          <w:sz w:val="20"/>
          <w:lang w:val="en-AU"/>
        </w:rPr>
        <w:t>standards</w:t>
      </w:r>
      <w:proofErr w:type="gramEnd"/>
      <w:r>
        <w:rPr>
          <w:rFonts w:ascii="Arial" w:hAnsi="Arial" w:cs="Arial"/>
          <w:sz w:val="20"/>
          <w:lang w:val="en-AU"/>
        </w:rPr>
        <w:t xml:space="preserve"> made under section 162 of the Act, specifically including the </w:t>
      </w:r>
      <w:r w:rsidRPr="00007380">
        <w:rPr>
          <w:rFonts w:ascii="Arial" w:hAnsi="Arial" w:cs="Arial"/>
          <w:i/>
          <w:sz w:val="20"/>
          <w:lang w:val="en-AU"/>
        </w:rPr>
        <w:t>R</w:t>
      </w:r>
      <w:r>
        <w:rPr>
          <w:rFonts w:ascii="Arial" w:hAnsi="Arial" w:cs="Arial"/>
          <w:i/>
          <w:sz w:val="20"/>
          <w:lang w:val="en-AU"/>
        </w:rPr>
        <w:t>adiocommunications (</w:t>
      </w:r>
      <w:r w:rsidR="00E30521">
        <w:rPr>
          <w:rFonts w:ascii="Arial" w:hAnsi="Arial" w:cs="Arial"/>
          <w:i/>
          <w:sz w:val="20"/>
          <w:lang w:val="en-AU"/>
        </w:rPr>
        <w:t>Analogue</w:t>
      </w:r>
      <w:r>
        <w:rPr>
          <w:rFonts w:ascii="Arial" w:hAnsi="Arial" w:cs="Arial"/>
          <w:i/>
          <w:sz w:val="20"/>
          <w:lang w:val="en-AU"/>
        </w:rPr>
        <w:t xml:space="preserve"> Speech (Angle Modulated) Equipment) Standard 2014</w:t>
      </w:r>
      <w:r>
        <w:rPr>
          <w:rFonts w:ascii="Arial" w:hAnsi="Arial" w:cs="Arial"/>
          <w:sz w:val="20"/>
          <w:lang w:val="en-AU"/>
        </w:rPr>
        <w:t>.</w:t>
      </w:r>
    </w:p>
    <w:p w14:paraId="1EB7F7B9" w14:textId="77777777" w:rsidR="00FD0699" w:rsidRDefault="00FD0699" w:rsidP="001D011E">
      <w:pPr>
        <w:outlineLvl w:val="0"/>
        <w:rPr>
          <w:rFonts w:ascii="Arial" w:hAnsi="Arial" w:cs="Arial"/>
          <w:sz w:val="20"/>
          <w:lang w:val="en-AU"/>
        </w:rPr>
      </w:pPr>
    </w:p>
    <w:p w14:paraId="062FC1EC" w14:textId="59E0A9EE" w:rsidR="001D011E" w:rsidRPr="001D011E" w:rsidRDefault="001D011E" w:rsidP="001D011E">
      <w:pPr>
        <w:outlineLvl w:val="0"/>
        <w:rPr>
          <w:rFonts w:ascii="Arial" w:hAnsi="Arial" w:cs="Arial"/>
          <w:sz w:val="20"/>
          <w:lang w:val="en-AU"/>
        </w:rPr>
      </w:pPr>
      <w:r w:rsidRPr="001D011E">
        <w:rPr>
          <w:rFonts w:ascii="Arial" w:hAnsi="Arial" w:cs="Arial"/>
          <w:sz w:val="20"/>
          <w:lang w:val="en-AU"/>
        </w:rPr>
        <w:t xml:space="preserve">The Acts and </w:t>
      </w:r>
      <w:r w:rsidR="00473194">
        <w:rPr>
          <w:rFonts w:ascii="Arial" w:hAnsi="Arial" w:cs="Arial"/>
          <w:sz w:val="20"/>
          <w:lang w:val="en-AU"/>
        </w:rPr>
        <w:t>legislative instruments</w:t>
      </w:r>
      <w:r w:rsidRPr="001D011E">
        <w:rPr>
          <w:rFonts w:ascii="Arial" w:hAnsi="Arial" w:cs="Arial"/>
          <w:sz w:val="20"/>
          <w:lang w:val="en-AU"/>
        </w:rPr>
        <w:t xml:space="preserve"> referenced in the Determination can be found on the </w:t>
      </w:r>
      <w:proofErr w:type="spellStart"/>
      <w:r w:rsidRPr="001D011E">
        <w:rPr>
          <w:rFonts w:ascii="Arial" w:hAnsi="Arial" w:cs="Arial"/>
          <w:sz w:val="20"/>
          <w:lang w:val="en-AU"/>
        </w:rPr>
        <w:t>ComLaw</w:t>
      </w:r>
      <w:proofErr w:type="spellEnd"/>
      <w:r w:rsidRPr="001D011E">
        <w:rPr>
          <w:rFonts w:ascii="Arial" w:hAnsi="Arial" w:cs="Arial"/>
          <w:sz w:val="20"/>
          <w:lang w:val="en-AU"/>
        </w:rPr>
        <w:t xml:space="preserve"> website</w:t>
      </w:r>
      <w:r w:rsidR="00473194">
        <w:rPr>
          <w:rFonts w:ascii="Arial" w:hAnsi="Arial" w:cs="Arial"/>
          <w:sz w:val="20"/>
          <w:lang w:val="en-AU"/>
        </w:rPr>
        <w:t>:</w:t>
      </w:r>
      <w:r w:rsidRPr="001D011E">
        <w:rPr>
          <w:rFonts w:ascii="Arial" w:hAnsi="Arial" w:cs="Arial"/>
          <w:sz w:val="20"/>
          <w:lang w:val="en-AU"/>
        </w:rPr>
        <w:t xml:space="preserve"> </w:t>
      </w:r>
      <w:hyperlink r:id="rId15" w:history="1">
        <w:r w:rsidRPr="001D011E">
          <w:rPr>
            <w:rFonts w:ascii="Arial" w:hAnsi="Arial" w:cs="Arial"/>
            <w:color w:val="0000FF" w:themeColor="hyperlink"/>
            <w:sz w:val="20"/>
            <w:u w:val="single"/>
            <w:lang w:val="en-AU"/>
          </w:rPr>
          <w:t>http://www.comlaw.gov.au</w:t>
        </w:r>
      </w:hyperlink>
      <w:r w:rsidRPr="001D011E">
        <w:rPr>
          <w:rFonts w:ascii="Arial" w:hAnsi="Arial" w:cs="Arial"/>
          <w:sz w:val="20"/>
          <w:lang w:val="en-AU"/>
        </w:rPr>
        <w:t>.</w:t>
      </w:r>
    </w:p>
    <w:p w14:paraId="54691F48" w14:textId="712F1E79" w:rsidR="00914D5C" w:rsidRDefault="00914D5C" w:rsidP="00914D5C">
      <w:pPr>
        <w:outlineLvl w:val="0"/>
        <w:rPr>
          <w:rFonts w:ascii="Arial" w:hAnsi="Arial" w:cs="Arial"/>
          <w:b/>
          <w:sz w:val="22"/>
          <w:szCs w:val="22"/>
          <w:lang w:val="en-AU"/>
        </w:rPr>
      </w:pPr>
    </w:p>
    <w:p w14:paraId="5FE1FB60" w14:textId="77777777" w:rsidR="00914D5C" w:rsidRPr="005A5476" w:rsidRDefault="00914D5C" w:rsidP="00914D5C">
      <w:pPr>
        <w:keepNext/>
        <w:spacing w:line="360" w:lineRule="auto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5A5476">
        <w:rPr>
          <w:rFonts w:ascii="Arial" w:hAnsi="Arial" w:cs="Arial"/>
          <w:b/>
          <w:sz w:val="22"/>
          <w:szCs w:val="22"/>
          <w:lang w:val="en-AU"/>
        </w:rPr>
        <w:t xml:space="preserve">Statement of </w:t>
      </w:r>
      <w:r>
        <w:rPr>
          <w:rFonts w:ascii="Arial" w:hAnsi="Arial" w:cs="Arial"/>
          <w:b/>
          <w:sz w:val="22"/>
          <w:szCs w:val="22"/>
          <w:lang w:val="en-AU"/>
        </w:rPr>
        <w:t>C</w:t>
      </w:r>
      <w:r w:rsidRPr="005A5476">
        <w:rPr>
          <w:rFonts w:ascii="Arial" w:hAnsi="Arial" w:cs="Arial"/>
          <w:b/>
          <w:sz w:val="22"/>
          <w:szCs w:val="22"/>
          <w:lang w:val="en-AU"/>
        </w:rPr>
        <w:t xml:space="preserve">ompatibility with </w:t>
      </w:r>
      <w:r>
        <w:rPr>
          <w:rFonts w:ascii="Arial" w:hAnsi="Arial" w:cs="Arial"/>
          <w:b/>
          <w:sz w:val="22"/>
          <w:szCs w:val="22"/>
          <w:lang w:val="en-AU"/>
        </w:rPr>
        <w:t>H</w:t>
      </w:r>
      <w:r w:rsidRPr="005A5476">
        <w:rPr>
          <w:rFonts w:ascii="Arial" w:hAnsi="Arial" w:cs="Arial"/>
          <w:b/>
          <w:sz w:val="22"/>
          <w:szCs w:val="22"/>
          <w:lang w:val="en-AU"/>
        </w:rPr>
        <w:t xml:space="preserve">uman </w:t>
      </w:r>
      <w:r>
        <w:rPr>
          <w:rFonts w:ascii="Arial" w:hAnsi="Arial" w:cs="Arial"/>
          <w:b/>
          <w:sz w:val="22"/>
          <w:szCs w:val="22"/>
          <w:lang w:val="en-AU"/>
        </w:rPr>
        <w:t>R</w:t>
      </w:r>
      <w:r w:rsidRPr="005A5476">
        <w:rPr>
          <w:rFonts w:ascii="Arial" w:hAnsi="Arial" w:cs="Arial"/>
          <w:b/>
          <w:sz w:val="22"/>
          <w:szCs w:val="22"/>
          <w:lang w:val="en-AU"/>
        </w:rPr>
        <w:t>ights</w:t>
      </w:r>
    </w:p>
    <w:p w14:paraId="513BF15C" w14:textId="19A3887F" w:rsidR="005335CE" w:rsidRDefault="00914D5C" w:rsidP="00134C81">
      <w:pPr>
        <w:rPr>
          <w:rFonts w:ascii="Arial" w:hAnsi="Arial" w:cs="Arial"/>
          <w:b/>
          <w:sz w:val="22"/>
          <w:szCs w:val="22"/>
          <w:lang w:val="en-AU"/>
        </w:rPr>
      </w:pPr>
      <w:r>
        <w:rPr>
          <w:rFonts w:ascii="Arial" w:hAnsi="Arial" w:cs="Arial"/>
          <w:sz w:val="20"/>
        </w:rPr>
        <w:t>As required by s</w:t>
      </w:r>
      <w:r w:rsidRPr="005029D3">
        <w:rPr>
          <w:rFonts w:ascii="Arial" w:hAnsi="Arial" w:cs="Arial"/>
          <w:sz w:val="20"/>
        </w:rPr>
        <w:t xml:space="preserve">ubsection 9(1) of the </w:t>
      </w:r>
      <w:r w:rsidRPr="00BD05EE">
        <w:rPr>
          <w:rFonts w:ascii="Arial" w:hAnsi="Arial" w:cs="Arial"/>
          <w:i/>
          <w:sz w:val="20"/>
        </w:rPr>
        <w:t>Human Rights (Parliamentary Scrutiny) Act 2011</w:t>
      </w:r>
      <w:r w:rsidR="00600CCD">
        <w:rPr>
          <w:rFonts w:ascii="Arial" w:hAnsi="Arial" w:cs="Arial"/>
          <w:i/>
          <w:sz w:val="20"/>
        </w:rPr>
        <w:t>,</w:t>
      </w:r>
      <w:r w:rsidRPr="005029D3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S</w:t>
      </w:r>
      <w:r w:rsidRPr="005029D3">
        <w:rPr>
          <w:rFonts w:ascii="Arial" w:hAnsi="Arial" w:cs="Arial"/>
          <w:sz w:val="20"/>
        </w:rPr>
        <w:t xml:space="preserve">tatement of </w:t>
      </w:r>
      <w:r>
        <w:rPr>
          <w:rFonts w:ascii="Arial" w:hAnsi="Arial" w:cs="Arial"/>
          <w:sz w:val="20"/>
        </w:rPr>
        <w:t>C</w:t>
      </w:r>
      <w:r w:rsidRPr="005029D3">
        <w:rPr>
          <w:rFonts w:ascii="Arial" w:hAnsi="Arial" w:cs="Arial"/>
          <w:sz w:val="20"/>
        </w:rPr>
        <w:t xml:space="preserve">ompatibility </w:t>
      </w:r>
      <w:r>
        <w:rPr>
          <w:rFonts w:ascii="Arial" w:hAnsi="Arial" w:cs="Arial"/>
          <w:sz w:val="20"/>
        </w:rPr>
        <w:t xml:space="preserve">with Human Rights has been prepared by the ACMA and </w:t>
      </w:r>
      <w:r w:rsidRPr="005029D3">
        <w:rPr>
          <w:rFonts w:ascii="Arial" w:hAnsi="Arial" w:cs="Arial"/>
          <w:sz w:val="20"/>
        </w:rPr>
        <w:t>is</w:t>
      </w:r>
      <w:r w:rsidRPr="005029D3">
        <w:rPr>
          <w:rFonts w:ascii="Arial" w:hAnsi="Arial" w:cs="Arial"/>
          <w:sz w:val="20"/>
          <w:lang w:val="en-AU"/>
        </w:rPr>
        <w:t xml:space="preserve"> </w:t>
      </w:r>
      <w:r>
        <w:rPr>
          <w:rFonts w:ascii="Arial" w:hAnsi="Arial" w:cs="Arial"/>
          <w:sz w:val="20"/>
          <w:lang w:val="en-AU"/>
        </w:rPr>
        <w:t xml:space="preserve">at </w:t>
      </w:r>
      <w:r w:rsidRPr="005029D3">
        <w:rPr>
          <w:rFonts w:ascii="Arial" w:hAnsi="Arial" w:cs="Arial"/>
          <w:b/>
          <w:sz w:val="20"/>
          <w:lang w:val="en-AU"/>
        </w:rPr>
        <w:t>Attachment B</w:t>
      </w:r>
      <w:r w:rsidRPr="005029D3">
        <w:rPr>
          <w:rFonts w:ascii="Arial" w:hAnsi="Arial" w:cs="Arial"/>
          <w:sz w:val="20"/>
          <w:lang w:val="en-AU"/>
        </w:rPr>
        <w:t>.</w:t>
      </w:r>
    </w:p>
    <w:p w14:paraId="72112C11" w14:textId="77777777" w:rsidR="00710B83" w:rsidRDefault="00710B83">
      <w:pPr>
        <w:rPr>
          <w:rFonts w:ascii="Arial" w:hAnsi="Arial" w:cs="Arial"/>
          <w:b/>
          <w:sz w:val="22"/>
          <w:szCs w:val="22"/>
          <w:lang w:val="en-AU"/>
        </w:rPr>
      </w:pPr>
      <w:r>
        <w:rPr>
          <w:rFonts w:ascii="Arial" w:hAnsi="Arial" w:cs="Arial"/>
          <w:b/>
          <w:sz w:val="22"/>
          <w:szCs w:val="22"/>
          <w:lang w:val="en-AU"/>
        </w:rPr>
        <w:br w:type="page"/>
      </w:r>
    </w:p>
    <w:p w14:paraId="63CEB059" w14:textId="15FEFBDE" w:rsidR="00914D5C" w:rsidRPr="005A5476" w:rsidRDefault="00914D5C" w:rsidP="00914D5C">
      <w:pPr>
        <w:rPr>
          <w:rFonts w:ascii="Arial" w:hAnsi="Arial" w:cs="Arial"/>
          <w:b/>
          <w:sz w:val="22"/>
          <w:szCs w:val="22"/>
          <w:lang w:val="en-AU"/>
        </w:rPr>
      </w:pPr>
      <w:r w:rsidRPr="005A5476">
        <w:rPr>
          <w:rFonts w:ascii="Arial" w:hAnsi="Arial" w:cs="Arial"/>
          <w:b/>
          <w:sz w:val="22"/>
          <w:szCs w:val="22"/>
          <w:lang w:val="en-AU"/>
        </w:rPr>
        <w:lastRenderedPageBreak/>
        <w:t>ATTACHMENT A</w:t>
      </w:r>
    </w:p>
    <w:p w14:paraId="0B502DD0" w14:textId="77777777" w:rsidR="00914D5C" w:rsidRPr="005A5476" w:rsidRDefault="00914D5C" w:rsidP="00914D5C">
      <w:pPr>
        <w:spacing w:line="360" w:lineRule="auto"/>
        <w:rPr>
          <w:rFonts w:ascii="Arial" w:hAnsi="Arial" w:cs="Arial"/>
          <w:b/>
          <w:sz w:val="22"/>
          <w:szCs w:val="22"/>
          <w:lang w:val="en-AU"/>
        </w:rPr>
      </w:pPr>
    </w:p>
    <w:p w14:paraId="1DFA321F" w14:textId="2EA77DD2" w:rsidR="00914D5C" w:rsidRDefault="00914D5C" w:rsidP="00914D5C">
      <w:pPr>
        <w:spacing w:line="360" w:lineRule="auto"/>
        <w:rPr>
          <w:rFonts w:ascii="Arial" w:hAnsi="Arial" w:cs="Arial"/>
          <w:b/>
          <w:i/>
          <w:sz w:val="22"/>
          <w:szCs w:val="22"/>
          <w:lang w:val="en-AU"/>
        </w:rPr>
      </w:pPr>
      <w:r w:rsidRPr="005A5476">
        <w:rPr>
          <w:rFonts w:ascii="Arial" w:hAnsi="Arial" w:cs="Arial"/>
          <w:b/>
          <w:sz w:val="22"/>
          <w:szCs w:val="22"/>
          <w:lang w:val="en-AU"/>
        </w:rPr>
        <w:t xml:space="preserve">DETAILS OF THE </w:t>
      </w:r>
      <w:r w:rsidRPr="00D72A99">
        <w:rPr>
          <w:rFonts w:ascii="Arial" w:hAnsi="Arial" w:cs="Arial"/>
          <w:b/>
          <w:i/>
          <w:sz w:val="22"/>
          <w:szCs w:val="22"/>
          <w:lang w:val="en-AU"/>
        </w:rPr>
        <w:t>RADIOCOMMUNICATIONS</w:t>
      </w:r>
      <w:r>
        <w:rPr>
          <w:rFonts w:ascii="Arial" w:hAnsi="Arial" w:cs="Arial"/>
          <w:b/>
          <w:i/>
          <w:sz w:val="22"/>
          <w:szCs w:val="22"/>
          <w:lang w:val="en-AU"/>
        </w:rPr>
        <w:t xml:space="preserve"> LICENCE CONDITIONS</w:t>
      </w:r>
      <w:r w:rsidRPr="00D72A99">
        <w:rPr>
          <w:rFonts w:ascii="Arial" w:hAnsi="Arial" w:cs="Arial"/>
          <w:b/>
          <w:i/>
          <w:sz w:val="22"/>
          <w:szCs w:val="22"/>
          <w:lang w:val="en-AU"/>
        </w:rPr>
        <w:t xml:space="preserve"> (</w:t>
      </w:r>
      <w:r w:rsidR="00E8455D">
        <w:rPr>
          <w:rFonts w:ascii="Arial" w:hAnsi="Arial" w:cs="Arial"/>
          <w:b/>
          <w:i/>
          <w:sz w:val="22"/>
          <w:szCs w:val="22"/>
          <w:lang w:val="en-AU"/>
        </w:rPr>
        <w:t>FIXED RECE</w:t>
      </w:r>
      <w:r w:rsidR="007F6445">
        <w:rPr>
          <w:rFonts w:ascii="Arial" w:hAnsi="Arial" w:cs="Arial"/>
          <w:b/>
          <w:i/>
          <w:sz w:val="22"/>
          <w:szCs w:val="22"/>
          <w:lang w:val="en-AU"/>
        </w:rPr>
        <w:t>I</w:t>
      </w:r>
      <w:r w:rsidR="00E8455D">
        <w:rPr>
          <w:rFonts w:ascii="Arial" w:hAnsi="Arial" w:cs="Arial"/>
          <w:b/>
          <w:i/>
          <w:sz w:val="22"/>
          <w:szCs w:val="22"/>
          <w:lang w:val="en-AU"/>
        </w:rPr>
        <w:t>VE</w:t>
      </w:r>
      <w:r>
        <w:rPr>
          <w:rFonts w:ascii="Arial" w:hAnsi="Arial" w:cs="Arial"/>
          <w:b/>
          <w:i/>
          <w:sz w:val="22"/>
          <w:szCs w:val="22"/>
          <w:lang w:val="en-AU"/>
        </w:rPr>
        <w:t xml:space="preserve"> LICENCE</w:t>
      </w:r>
      <w:r w:rsidRPr="00D72A99">
        <w:rPr>
          <w:rFonts w:ascii="Arial" w:hAnsi="Arial" w:cs="Arial"/>
          <w:b/>
          <w:i/>
          <w:sz w:val="22"/>
          <w:szCs w:val="22"/>
          <w:lang w:val="en-AU"/>
        </w:rPr>
        <w:t xml:space="preserve">) </w:t>
      </w:r>
      <w:r>
        <w:rPr>
          <w:rFonts w:ascii="Arial" w:hAnsi="Arial" w:cs="Arial"/>
          <w:b/>
          <w:i/>
          <w:sz w:val="22"/>
          <w:szCs w:val="22"/>
          <w:lang w:val="en-AU"/>
        </w:rPr>
        <w:t>DETERMINATION</w:t>
      </w:r>
      <w:r w:rsidRPr="00D72A99">
        <w:rPr>
          <w:rFonts w:ascii="Arial" w:hAnsi="Arial" w:cs="Arial"/>
          <w:b/>
          <w:i/>
          <w:sz w:val="22"/>
          <w:szCs w:val="22"/>
          <w:lang w:val="en-AU"/>
        </w:rPr>
        <w:t xml:space="preserve"> </w:t>
      </w:r>
      <w:r w:rsidR="000F6E40" w:rsidRPr="00D72A99">
        <w:rPr>
          <w:rFonts w:ascii="Arial" w:hAnsi="Arial" w:cs="Arial"/>
          <w:b/>
          <w:i/>
          <w:sz w:val="22"/>
          <w:szCs w:val="22"/>
          <w:lang w:val="en-AU"/>
        </w:rPr>
        <w:t>201</w:t>
      </w:r>
      <w:r w:rsidR="000F6E40">
        <w:rPr>
          <w:rFonts w:ascii="Arial" w:hAnsi="Arial" w:cs="Arial"/>
          <w:b/>
          <w:i/>
          <w:sz w:val="22"/>
          <w:szCs w:val="22"/>
          <w:lang w:val="en-AU"/>
        </w:rPr>
        <w:t>5</w:t>
      </w:r>
    </w:p>
    <w:p w14:paraId="22619386" w14:textId="77777777" w:rsidR="00914D5C" w:rsidRDefault="00914D5C" w:rsidP="00914D5C">
      <w:pPr>
        <w:spacing w:line="360" w:lineRule="auto"/>
        <w:rPr>
          <w:rFonts w:ascii="Arial" w:hAnsi="Arial" w:cs="Arial"/>
          <w:sz w:val="22"/>
          <w:szCs w:val="22"/>
          <w:lang w:val="en-AU"/>
        </w:rPr>
      </w:pPr>
    </w:p>
    <w:p w14:paraId="1465415E" w14:textId="7CE79CF6" w:rsidR="00914D5C" w:rsidRDefault="00914D5C" w:rsidP="00914D5C">
      <w:pPr>
        <w:spacing w:before="80" w:after="120" w:line="276" w:lineRule="auto"/>
        <w:rPr>
          <w:rFonts w:ascii="Arial" w:hAnsi="Arial" w:cs="Arial"/>
          <w:b/>
          <w:color w:val="262626" w:themeColor="text1" w:themeTint="D9"/>
          <w:sz w:val="20"/>
        </w:rPr>
      </w:pPr>
      <w:r w:rsidRPr="00F257DA">
        <w:rPr>
          <w:rFonts w:ascii="Arial" w:hAnsi="Arial" w:cs="Arial"/>
          <w:b/>
          <w:color w:val="262626" w:themeColor="text1" w:themeTint="D9"/>
          <w:sz w:val="20"/>
        </w:rPr>
        <w:t>Section 1</w:t>
      </w:r>
      <w:r w:rsidRPr="00F257DA">
        <w:rPr>
          <w:rFonts w:ascii="Arial" w:hAnsi="Arial" w:cs="Arial"/>
          <w:b/>
          <w:color w:val="262626" w:themeColor="text1" w:themeTint="D9"/>
          <w:sz w:val="20"/>
        </w:rPr>
        <w:tab/>
        <w:t xml:space="preserve">Name of </w:t>
      </w:r>
      <w:r w:rsidR="00E8455D">
        <w:rPr>
          <w:rFonts w:ascii="Arial" w:hAnsi="Arial" w:cs="Arial"/>
          <w:b/>
          <w:color w:val="262626" w:themeColor="text1" w:themeTint="D9"/>
          <w:sz w:val="20"/>
        </w:rPr>
        <w:t>Determination</w:t>
      </w:r>
    </w:p>
    <w:p w14:paraId="0B8963C8" w14:textId="1F95FACC" w:rsidR="00914D5C" w:rsidRDefault="00914D5C" w:rsidP="00914D5C">
      <w:pPr>
        <w:spacing w:before="80" w:after="120" w:line="276" w:lineRule="auto"/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sz w:val="20"/>
          <w:lang w:val="en-AU"/>
        </w:rPr>
        <w:t>Section 1</w:t>
      </w:r>
      <w:r w:rsidRPr="00987C42">
        <w:rPr>
          <w:rFonts w:ascii="Arial" w:hAnsi="Arial" w:cs="Arial"/>
          <w:sz w:val="20"/>
          <w:lang w:val="en-AU"/>
        </w:rPr>
        <w:t xml:space="preserve"> </w:t>
      </w:r>
      <w:r>
        <w:rPr>
          <w:rFonts w:ascii="Arial" w:hAnsi="Arial" w:cs="Arial"/>
          <w:sz w:val="20"/>
          <w:lang w:val="en-AU"/>
        </w:rPr>
        <w:t xml:space="preserve">provides that the Determination is the </w:t>
      </w:r>
      <w:r w:rsidRPr="00D72A99">
        <w:rPr>
          <w:rFonts w:ascii="Arial" w:hAnsi="Arial" w:cs="Arial"/>
          <w:i/>
          <w:sz w:val="20"/>
          <w:lang w:val="en-AU"/>
        </w:rPr>
        <w:t xml:space="preserve">Radiocommunications </w:t>
      </w:r>
      <w:r>
        <w:rPr>
          <w:rFonts w:ascii="Arial" w:hAnsi="Arial" w:cs="Arial"/>
          <w:i/>
          <w:sz w:val="20"/>
          <w:lang w:val="en-AU"/>
        </w:rPr>
        <w:t xml:space="preserve">Licence Conditions </w:t>
      </w:r>
      <w:r w:rsidRPr="00D72A99">
        <w:rPr>
          <w:rFonts w:ascii="Arial" w:hAnsi="Arial" w:cs="Arial"/>
          <w:i/>
          <w:sz w:val="20"/>
          <w:lang w:val="en-AU"/>
        </w:rPr>
        <w:t>(</w:t>
      </w:r>
      <w:r w:rsidR="00E8455D">
        <w:rPr>
          <w:rFonts w:ascii="Arial" w:hAnsi="Arial" w:cs="Arial"/>
          <w:i/>
          <w:sz w:val="20"/>
          <w:lang w:val="en-AU"/>
        </w:rPr>
        <w:t>Fixed Receive</w:t>
      </w:r>
      <w:r>
        <w:rPr>
          <w:rFonts w:ascii="Arial" w:hAnsi="Arial" w:cs="Arial"/>
          <w:i/>
          <w:sz w:val="20"/>
          <w:lang w:val="en-AU"/>
        </w:rPr>
        <w:t xml:space="preserve"> Licence</w:t>
      </w:r>
      <w:r w:rsidRPr="00D72A99">
        <w:rPr>
          <w:rFonts w:ascii="Arial" w:hAnsi="Arial" w:cs="Arial"/>
          <w:i/>
          <w:sz w:val="20"/>
          <w:lang w:val="en-AU"/>
        </w:rPr>
        <w:t xml:space="preserve">) </w:t>
      </w:r>
      <w:r>
        <w:rPr>
          <w:rFonts w:ascii="Arial" w:hAnsi="Arial" w:cs="Arial"/>
          <w:i/>
          <w:sz w:val="20"/>
          <w:lang w:val="en-AU"/>
        </w:rPr>
        <w:t>Determination</w:t>
      </w:r>
      <w:r w:rsidRPr="00D72A99">
        <w:rPr>
          <w:rFonts w:ascii="Arial" w:hAnsi="Arial" w:cs="Arial"/>
          <w:i/>
          <w:sz w:val="20"/>
          <w:lang w:val="en-AU"/>
        </w:rPr>
        <w:t xml:space="preserve"> </w:t>
      </w:r>
      <w:r w:rsidR="000F6E40">
        <w:rPr>
          <w:rFonts w:ascii="Arial" w:hAnsi="Arial" w:cs="Arial"/>
          <w:i/>
          <w:sz w:val="20"/>
          <w:lang w:val="en-AU"/>
        </w:rPr>
        <w:t>2015.</w:t>
      </w:r>
    </w:p>
    <w:p w14:paraId="30C59EB6" w14:textId="3884D217" w:rsidR="00914D5C" w:rsidRPr="00EC4D12" w:rsidRDefault="00914D5C" w:rsidP="00914D5C">
      <w:pPr>
        <w:spacing w:line="276" w:lineRule="auto"/>
        <w:outlineLvl w:val="0"/>
        <w:rPr>
          <w:rFonts w:ascii="Arial" w:hAnsi="Arial" w:cs="Arial"/>
          <w:b/>
          <w:sz w:val="20"/>
          <w:lang w:val="en-AU"/>
        </w:rPr>
      </w:pPr>
      <w:r w:rsidRPr="00EC4D12">
        <w:rPr>
          <w:rFonts w:ascii="Arial" w:hAnsi="Arial" w:cs="Arial"/>
          <w:b/>
          <w:sz w:val="20"/>
          <w:lang w:val="en-AU"/>
        </w:rPr>
        <w:t xml:space="preserve">Section </w:t>
      </w:r>
      <w:r w:rsidR="00E8455D">
        <w:rPr>
          <w:rFonts w:ascii="Arial" w:hAnsi="Arial" w:cs="Arial"/>
          <w:b/>
          <w:sz w:val="20"/>
          <w:lang w:val="en-AU"/>
        </w:rPr>
        <w:t>1A</w:t>
      </w:r>
      <w:r w:rsidR="00FD0699">
        <w:rPr>
          <w:rFonts w:ascii="Arial" w:hAnsi="Arial" w:cs="Arial"/>
          <w:b/>
          <w:sz w:val="20"/>
          <w:lang w:val="en-AU"/>
        </w:rPr>
        <w:tab/>
      </w:r>
      <w:r w:rsidRPr="00EC4D12">
        <w:rPr>
          <w:rFonts w:ascii="Arial" w:hAnsi="Arial" w:cs="Arial"/>
          <w:b/>
          <w:sz w:val="20"/>
          <w:lang w:val="en-AU"/>
        </w:rPr>
        <w:t>Commencement</w:t>
      </w:r>
    </w:p>
    <w:p w14:paraId="286688A8" w14:textId="5A7C7BF8" w:rsidR="00914D5C" w:rsidRDefault="00914D5C" w:rsidP="00914D5C">
      <w:pPr>
        <w:spacing w:before="80" w:after="120" w:line="276" w:lineRule="auto"/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sz w:val="20"/>
          <w:lang w:val="en-AU"/>
        </w:rPr>
        <w:t>S</w:t>
      </w:r>
      <w:r w:rsidRPr="00EC4D12">
        <w:rPr>
          <w:rFonts w:ascii="Arial" w:hAnsi="Arial" w:cs="Arial"/>
          <w:sz w:val="20"/>
          <w:lang w:val="en-AU"/>
        </w:rPr>
        <w:t xml:space="preserve">ection </w:t>
      </w:r>
      <w:r w:rsidR="00E8455D">
        <w:rPr>
          <w:rFonts w:ascii="Arial" w:hAnsi="Arial" w:cs="Arial"/>
          <w:sz w:val="20"/>
          <w:lang w:val="en-AU"/>
        </w:rPr>
        <w:t>1A</w:t>
      </w:r>
      <w:r>
        <w:rPr>
          <w:rFonts w:ascii="Arial" w:hAnsi="Arial" w:cs="Arial"/>
          <w:sz w:val="20"/>
          <w:lang w:val="en-AU"/>
        </w:rPr>
        <w:t xml:space="preserve"> provides th</w:t>
      </w:r>
      <w:r w:rsidR="00963C37">
        <w:rPr>
          <w:rFonts w:ascii="Arial" w:hAnsi="Arial" w:cs="Arial"/>
          <w:sz w:val="20"/>
          <w:lang w:val="en-AU"/>
        </w:rPr>
        <w:t>at the Determination commences on the day after it is registered</w:t>
      </w:r>
      <w:r w:rsidR="00AD25A0">
        <w:rPr>
          <w:rFonts w:ascii="Arial" w:hAnsi="Arial" w:cs="Arial"/>
          <w:sz w:val="20"/>
          <w:lang w:val="en-AU"/>
        </w:rPr>
        <w:t xml:space="preserve"> on the Federal Register of Legislative Instruments</w:t>
      </w:r>
      <w:r>
        <w:rPr>
          <w:rFonts w:ascii="Arial" w:hAnsi="Arial" w:cs="Arial"/>
          <w:sz w:val="20"/>
          <w:lang w:val="en-AU"/>
        </w:rPr>
        <w:t>.</w:t>
      </w:r>
    </w:p>
    <w:p w14:paraId="00955506" w14:textId="74ACBB19" w:rsidR="00914D5C" w:rsidRDefault="00914D5C" w:rsidP="00914D5C">
      <w:pPr>
        <w:spacing w:before="80" w:after="120" w:line="276" w:lineRule="auto"/>
        <w:rPr>
          <w:rFonts w:ascii="Arial" w:hAnsi="Arial" w:cs="Arial"/>
          <w:b/>
          <w:color w:val="262626" w:themeColor="text1" w:themeTint="D9"/>
          <w:sz w:val="20"/>
        </w:rPr>
      </w:pPr>
      <w:r w:rsidRPr="007D0875">
        <w:rPr>
          <w:rFonts w:ascii="Arial" w:hAnsi="Arial" w:cs="Arial"/>
          <w:b/>
          <w:color w:val="262626" w:themeColor="text1" w:themeTint="D9"/>
          <w:sz w:val="20"/>
        </w:rPr>
        <w:t xml:space="preserve">Section </w:t>
      </w:r>
      <w:r w:rsidR="00E8455D">
        <w:rPr>
          <w:rFonts w:ascii="Arial" w:hAnsi="Arial" w:cs="Arial"/>
          <w:b/>
          <w:color w:val="262626" w:themeColor="text1" w:themeTint="D9"/>
          <w:sz w:val="20"/>
        </w:rPr>
        <w:t>1B</w:t>
      </w:r>
      <w:r w:rsidR="00FD0699">
        <w:rPr>
          <w:rFonts w:ascii="Arial" w:hAnsi="Arial" w:cs="Arial"/>
          <w:b/>
          <w:color w:val="262626" w:themeColor="text1" w:themeTint="D9"/>
          <w:sz w:val="20"/>
        </w:rPr>
        <w:tab/>
      </w:r>
      <w:r>
        <w:rPr>
          <w:rFonts w:ascii="Arial" w:hAnsi="Arial" w:cs="Arial"/>
          <w:b/>
          <w:color w:val="262626" w:themeColor="text1" w:themeTint="D9"/>
          <w:sz w:val="20"/>
        </w:rPr>
        <w:t>Revocation</w:t>
      </w:r>
    </w:p>
    <w:p w14:paraId="7BEB7F4C" w14:textId="1B1BD3A8" w:rsidR="00914D5C" w:rsidRDefault="00914D5C" w:rsidP="00914D5C">
      <w:pPr>
        <w:spacing w:before="80" w:after="120" w:line="276" w:lineRule="auto"/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sz w:val="20"/>
          <w:lang w:val="en-AU"/>
        </w:rPr>
        <w:t>S</w:t>
      </w:r>
      <w:r w:rsidRPr="0090366E">
        <w:rPr>
          <w:rFonts w:ascii="Arial" w:hAnsi="Arial" w:cs="Arial"/>
          <w:sz w:val="20"/>
          <w:lang w:val="en-AU"/>
        </w:rPr>
        <w:t xml:space="preserve">ection </w:t>
      </w:r>
      <w:r w:rsidR="00E8455D">
        <w:rPr>
          <w:rFonts w:ascii="Arial" w:hAnsi="Arial" w:cs="Arial"/>
          <w:sz w:val="20"/>
          <w:lang w:val="en-AU"/>
        </w:rPr>
        <w:t>1B</w:t>
      </w:r>
      <w:r>
        <w:rPr>
          <w:rFonts w:ascii="Arial" w:hAnsi="Arial" w:cs="Arial"/>
          <w:sz w:val="20"/>
          <w:lang w:val="en-AU"/>
        </w:rPr>
        <w:t xml:space="preserve"> </w:t>
      </w:r>
      <w:r w:rsidR="001805F7">
        <w:rPr>
          <w:rFonts w:ascii="Arial" w:hAnsi="Arial" w:cs="Arial"/>
          <w:sz w:val="20"/>
          <w:lang w:val="en-AU"/>
        </w:rPr>
        <w:t>revokes the</w:t>
      </w:r>
      <w:r w:rsidRPr="000F6E40">
        <w:rPr>
          <w:rFonts w:ascii="Arial" w:hAnsi="Arial" w:cs="Arial"/>
          <w:sz w:val="20"/>
          <w:lang w:val="en-AU"/>
        </w:rPr>
        <w:t xml:space="preserve"> </w:t>
      </w:r>
      <w:r w:rsidR="000F6E40" w:rsidRPr="00815970">
        <w:rPr>
          <w:rFonts w:ascii="Arial" w:hAnsi="Arial" w:cs="Arial"/>
          <w:sz w:val="20"/>
          <w:lang w:val="en-AU"/>
        </w:rPr>
        <w:t>1997 Determination</w:t>
      </w:r>
      <w:r>
        <w:rPr>
          <w:rFonts w:ascii="Arial" w:hAnsi="Arial" w:cs="Arial"/>
          <w:sz w:val="20"/>
          <w:lang w:val="en-AU"/>
        </w:rPr>
        <w:t>.</w:t>
      </w:r>
    </w:p>
    <w:p w14:paraId="147F88B0" w14:textId="21929E67" w:rsidR="00914D5C" w:rsidRDefault="00914D5C" w:rsidP="00914D5C">
      <w:pPr>
        <w:spacing w:before="80" w:after="120" w:line="276" w:lineRule="auto"/>
        <w:rPr>
          <w:rFonts w:ascii="Arial" w:hAnsi="Arial" w:cs="Arial"/>
          <w:b/>
          <w:color w:val="262626" w:themeColor="text1" w:themeTint="D9"/>
          <w:sz w:val="20"/>
        </w:rPr>
      </w:pPr>
      <w:r>
        <w:rPr>
          <w:rFonts w:ascii="Arial" w:hAnsi="Arial" w:cs="Arial"/>
          <w:b/>
          <w:color w:val="262626" w:themeColor="text1" w:themeTint="D9"/>
          <w:sz w:val="20"/>
        </w:rPr>
        <w:t xml:space="preserve">Section </w:t>
      </w:r>
      <w:r w:rsidR="00E8455D">
        <w:rPr>
          <w:rFonts w:ascii="Arial" w:hAnsi="Arial" w:cs="Arial"/>
          <w:b/>
          <w:color w:val="262626" w:themeColor="text1" w:themeTint="D9"/>
          <w:sz w:val="20"/>
        </w:rPr>
        <w:t>2</w:t>
      </w:r>
      <w:r w:rsidR="00FD0699">
        <w:rPr>
          <w:rFonts w:ascii="Arial" w:hAnsi="Arial" w:cs="Arial"/>
          <w:b/>
          <w:color w:val="262626" w:themeColor="text1" w:themeTint="D9"/>
          <w:sz w:val="20"/>
        </w:rPr>
        <w:tab/>
      </w:r>
      <w:r>
        <w:rPr>
          <w:rFonts w:ascii="Arial" w:hAnsi="Arial" w:cs="Arial"/>
          <w:b/>
          <w:color w:val="262626" w:themeColor="text1" w:themeTint="D9"/>
          <w:sz w:val="20"/>
        </w:rPr>
        <w:t>Scope</w:t>
      </w:r>
    </w:p>
    <w:p w14:paraId="7BAB9389" w14:textId="31B820C4" w:rsidR="00914D5C" w:rsidRDefault="00914D5C" w:rsidP="00914D5C">
      <w:pPr>
        <w:spacing w:before="80" w:after="120" w:line="276" w:lineRule="auto"/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sz w:val="20"/>
          <w:lang w:val="en-AU"/>
        </w:rPr>
        <w:t>S</w:t>
      </w:r>
      <w:r w:rsidRPr="0090366E">
        <w:rPr>
          <w:rFonts w:ascii="Arial" w:hAnsi="Arial" w:cs="Arial"/>
          <w:sz w:val="20"/>
          <w:lang w:val="en-AU"/>
        </w:rPr>
        <w:t xml:space="preserve">ection </w:t>
      </w:r>
      <w:r w:rsidR="00E8455D">
        <w:rPr>
          <w:rFonts w:ascii="Arial" w:hAnsi="Arial" w:cs="Arial"/>
          <w:sz w:val="20"/>
          <w:lang w:val="en-AU"/>
        </w:rPr>
        <w:t>2</w:t>
      </w:r>
      <w:r>
        <w:rPr>
          <w:rFonts w:ascii="Arial" w:hAnsi="Arial" w:cs="Arial"/>
          <w:sz w:val="20"/>
          <w:lang w:val="en-AU"/>
        </w:rPr>
        <w:t xml:space="preserve"> provides that </w:t>
      </w:r>
      <w:r w:rsidR="00E8455D">
        <w:rPr>
          <w:rFonts w:ascii="Arial" w:hAnsi="Arial" w:cs="Arial"/>
          <w:sz w:val="20"/>
          <w:lang w:val="en-AU"/>
        </w:rPr>
        <w:t>fixed receive</w:t>
      </w:r>
      <w:r w:rsidRPr="000D6EAA">
        <w:rPr>
          <w:rFonts w:ascii="Arial" w:hAnsi="Arial" w:cs="Arial"/>
          <w:sz w:val="20"/>
          <w:lang w:val="en-AU"/>
        </w:rPr>
        <w:t xml:space="preserve"> licences are subject to the condition in the Determination</w:t>
      </w:r>
      <w:r w:rsidR="00E8455D">
        <w:rPr>
          <w:rFonts w:ascii="Arial" w:hAnsi="Arial" w:cs="Arial"/>
          <w:sz w:val="20"/>
          <w:lang w:val="en-AU"/>
        </w:rPr>
        <w:t>.</w:t>
      </w:r>
    </w:p>
    <w:p w14:paraId="0047F98A" w14:textId="1FD5783E" w:rsidR="00914D5C" w:rsidRPr="00952F7D" w:rsidRDefault="001805F7" w:rsidP="00914D5C">
      <w:pPr>
        <w:spacing w:before="80" w:after="120" w:line="276" w:lineRule="auto"/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sz w:val="20"/>
          <w:lang w:val="en-AU"/>
        </w:rPr>
        <w:t>S</w:t>
      </w:r>
      <w:r w:rsidR="00914D5C" w:rsidRPr="00952F7D">
        <w:rPr>
          <w:rFonts w:ascii="Arial" w:hAnsi="Arial" w:cs="Arial"/>
          <w:sz w:val="20"/>
          <w:lang w:val="en-AU"/>
        </w:rPr>
        <w:t xml:space="preserve">ection </w:t>
      </w:r>
      <w:r>
        <w:rPr>
          <w:rFonts w:ascii="Arial" w:hAnsi="Arial" w:cs="Arial"/>
          <w:sz w:val="20"/>
          <w:lang w:val="en-AU"/>
        </w:rPr>
        <w:t xml:space="preserve">2 </w:t>
      </w:r>
      <w:r w:rsidR="00914D5C" w:rsidRPr="00952F7D">
        <w:rPr>
          <w:rFonts w:ascii="Arial" w:hAnsi="Arial" w:cs="Arial"/>
          <w:sz w:val="20"/>
          <w:lang w:val="en-AU"/>
        </w:rPr>
        <w:t xml:space="preserve">also </w:t>
      </w:r>
      <w:r>
        <w:rPr>
          <w:rFonts w:ascii="Arial" w:hAnsi="Arial" w:cs="Arial"/>
          <w:sz w:val="20"/>
          <w:lang w:val="en-AU"/>
        </w:rPr>
        <w:t xml:space="preserve">specifies </w:t>
      </w:r>
      <w:r w:rsidR="00914D5C" w:rsidRPr="00952F7D">
        <w:rPr>
          <w:rFonts w:ascii="Arial" w:hAnsi="Arial" w:cs="Arial"/>
          <w:sz w:val="20"/>
          <w:lang w:val="en-AU"/>
        </w:rPr>
        <w:t>that</w:t>
      </w:r>
      <w:r w:rsidR="00AF21C8">
        <w:rPr>
          <w:rFonts w:ascii="Arial" w:hAnsi="Arial" w:cs="Arial"/>
          <w:sz w:val="20"/>
          <w:lang w:val="en-AU"/>
        </w:rPr>
        <w:t>,</w:t>
      </w:r>
      <w:r w:rsidR="00E8455D">
        <w:rPr>
          <w:rFonts w:ascii="Arial" w:hAnsi="Arial" w:cs="Arial"/>
          <w:sz w:val="20"/>
          <w:lang w:val="en-AU"/>
        </w:rPr>
        <w:t xml:space="preserve"> if </w:t>
      </w:r>
      <w:r w:rsidR="00D12479">
        <w:rPr>
          <w:rFonts w:ascii="Arial" w:hAnsi="Arial" w:cs="Arial"/>
          <w:sz w:val="20"/>
          <w:lang w:val="en-AU"/>
        </w:rPr>
        <w:t>the</w:t>
      </w:r>
      <w:r w:rsidR="00E8455D">
        <w:rPr>
          <w:rFonts w:ascii="Arial" w:hAnsi="Arial" w:cs="Arial"/>
          <w:sz w:val="20"/>
          <w:lang w:val="en-AU"/>
        </w:rPr>
        <w:t xml:space="preserve"> condition </w:t>
      </w:r>
      <w:r>
        <w:rPr>
          <w:rFonts w:ascii="Arial" w:hAnsi="Arial" w:cs="Arial"/>
          <w:sz w:val="20"/>
          <w:lang w:val="en-AU"/>
        </w:rPr>
        <w:t xml:space="preserve">in the </w:t>
      </w:r>
      <w:r w:rsidR="00914D5C" w:rsidRPr="00952F7D">
        <w:rPr>
          <w:rFonts w:ascii="Arial" w:hAnsi="Arial" w:cs="Arial"/>
          <w:sz w:val="20"/>
          <w:lang w:val="en-AU"/>
        </w:rPr>
        <w:t>Determination</w:t>
      </w:r>
      <w:r>
        <w:rPr>
          <w:rFonts w:ascii="Arial" w:hAnsi="Arial" w:cs="Arial"/>
          <w:sz w:val="20"/>
          <w:lang w:val="en-AU"/>
        </w:rPr>
        <w:t xml:space="preserve"> is inconsistent with a condition specified in the licence</w:t>
      </w:r>
      <w:r w:rsidR="00914D5C" w:rsidRPr="00952F7D">
        <w:rPr>
          <w:rFonts w:ascii="Arial" w:hAnsi="Arial" w:cs="Arial"/>
          <w:sz w:val="20"/>
          <w:lang w:val="en-AU"/>
        </w:rPr>
        <w:t xml:space="preserve">, </w:t>
      </w:r>
      <w:r w:rsidR="00914D5C">
        <w:rPr>
          <w:rFonts w:ascii="Arial" w:hAnsi="Arial" w:cs="Arial"/>
          <w:sz w:val="20"/>
          <w:lang w:val="en-AU"/>
        </w:rPr>
        <w:t xml:space="preserve">the condition specified in the </w:t>
      </w:r>
      <w:r w:rsidR="00E8455D">
        <w:rPr>
          <w:rFonts w:ascii="Arial" w:hAnsi="Arial" w:cs="Arial"/>
          <w:sz w:val="20"/>
          <w:lang w:val="en-AU"/>
        </w:rPr>
        <w:t>fixed receive</w:t>
      </w:r>
      <w:r w:rsidR="00914D5C" w:rsidRPr="00952F7D">
        <w:rPr>
          <w:rFonts w:ascii="Arial" w:hAnsi="Arial" w:cs="Arial"/>
          <w:sz w:val="20"/>
          <w:lang w:val="en-AU"/>
        </w:rPr>
        <w:t xml:space="preserve"> licence applies.</w:t>
      </w:r>
    </w:p>
    <w:p w14:paraId="643CE5E4" w14:textId="5B72A9EE" w:rsidR="00914D5C" w:rsidRDefault="00914D5C" w:rsidP="00914D5C">
      <w:pPr>
        <w:spacing w:before="80" w:after="120" w:line="276" w:lineRule="auto"/>
        <w:rPr>
          <w:rFonts w:ascii="Arial" w:hAnsi="Arial" w:cs="Arial"/>
          <w:b/>
          <w:color w:val="262626" w:themeColor="text1" w:themeTint="D9"/>
          <w:sz w:val="20"/>
        </w:rPr>
      </w:pPr>
      <w:r w:rsidRPr="007D0875">
        <w:rPr>
          <w:rFonts w:ascii="Arial" w:hAnsi="Arial" w:cs="Arial"/>
          <w:b/>
          <w:color w:val="262626" w:themeColor="text1" w:themeTint="D9"/>
          <w:sz w:val="20"/>
        </w:rPr>
        <w:t xml:space="preserve">Section </w:t>
      </w:r>
      <w:r w:rsidR="00E8455D">
        <w:rPr>
          <w:rFonts w:ascii="Arial" w:hAnsi="Arial" w:cs="Arial"/>
          <w:b/>
          <w:color w:val="262626" w:themeColor="text1" w:themeTint="D9"/>
          <w:sz w:val="20"/>
        </w:rPr>
        <w:t>3</w:t>
      </w:r>
      <w:r w:rsidR="00AF21C8">
        <w:rPr>
          <w:rFonts w:ascii="Arial" w:hAnsi="Arial" w:cs="Arial"/>
          <w:b/>
          <w:color w:val="262626" w:themeColor="text1" w:themeTint="D9"/>
          <w:sz w:val="20"/>
        </w:rPr>
        <w:tab/>
      </w:r>
      <w:r w:rsidR="00E8455D">
        <w:rPr>
          <w:rFonts w:ascii="Arial" w:hAnsi="Arial" w:cs="Arial"/>
          <w:b/>
          <w:color w:val="262626" w:themeColor="text1" w:themeTint="D9"/>
          <w:sz w:val="20"/>
        </w:rPr>
        <w:t>Interpretation</w:t>
      </w:r>
    </w:p>
    <w:p w14:paraId="0F4C55F7" w14:textId="3AB459CA" w:rsidR="00914D5C" w:rsidRDefault="00914D5C" w:rsidP="00914D5C">
      <w:pPr>
        <w:spacing w:before="80" w:after="120" w:line="276" w:lineRule="auto"/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sz w:val="20"/>
          <w:lang w:val="en-AU"/>
        </w:rPr>
        <w:t xml:space="preserve">Section </w:t>
      </w:r>
      <w:r w:rsidR="00E8455D">
        <w:rPr>
          <w:rFonts w:ascii="Arial" w:hAnsi="Arial" w:cs="Arial"/>
          <w:sz w:val="20"/>
          <w:lang w:val="en-AU"/>
        </w:rPr>
        <w:t>3</w:t>
      </w:r>
      <w:r>
        <w:rPr>
          <w:rFonts w:ascii="Arial" w:hAnsi="Arial" w:cs="Arial"/>
          <w:sz w:val="20"/>
          <w:lang w:val="en-AU"/>
        </w:rPr>
        <w:t xml:space="preserve"> defines </w:t>
      </w:r>
      <w:r w:rsidRPr="0090366E">
        <w:rPr>
          <w:rFonts w:ascii="Arial" w:hAnsi="Arial" w:cs="Arial"/>
          <w:sz w:val="20"/>
          <w:lang w:val="en-AU"/>
        </w:rPr>
        <w:t xml:space="preserve">terms used in </w:t>
      </w:r>
      <w:r w:rsidR="00963C37">
        <w:rPr>
          <w:rFonts w:ascii="Arial" w:hAnsi="Arial" w:cs="Arial"/>
          <w:sz w:val="20"/>
          <w:lang w:val="en-AU"/>
        </w:rPr>
        <w:t>the Determination.</w:t>
      </w:r>
    </w:p>
    <w:p w14:paraId="1DF8E0FD" w14:textId="503AA8B3" w:rsidR="001805F7" w:rsidRDefault="001805F7" w:rsidP="00914D5C">
      <w:pPr>
        <w:spacing w:before="80" w:after="120" w:line="276" w:lineRule="auto"/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sz w:val="20"/>
          <w:lang w:val="en-AU"/>
        </w:rPr>
        <w:t xml:space="preserve">Section 3 also provides that, </w:t>
      </w:r>
      <w:r w:rsidRPr="001805F7">
        <w:rPr>
          <w:rFonts w:ascii="Arial" w:hAnsi="Arial" w:cs="Arial"/>
          <w:sz w:val="20"/>
          <w:lang w:val="en-AU"/>
        </w:rPr>
        <w:t>unless otherwise specified,</w:t>
      </w:r>
      <w:r>
        <w:rPr>
          <w:rFonts w:ascii="Arial" w:hAnsi="Arial" w:cs="Arial"/>
          <w:sz w:val="20"/>
          <w:lang w:val="en-AU"/>
        </w:rPr>
        <w:t xml:space="preserve"> </w:t>
      </w:r>
      <w:r w:rsidRPr="001805F7">
        <w:rPr>
          <w:rFonts w:ascii="Arial" w:hAnsi="Arial" w:cs="Arial"/>
          <w:sz w:val="20"/>
          <w:lang w:val="en-AU"/>
        </w:rPr>
        <w:t>the range of numbers that identifies a frequency band includes the higher, but not the lower, number.</w:t>
      </w:r>
    </w:p>
    <w:p w14:paraId="7E8AA970" w14:textId="065A8CDB" w:rsidR="00914D5C" w:rsidRDefault="00914D5C" w:rsidP="00914D5C">
      <w:pPr>
        <w:spacing w:before="80" w:after="120" w:line="276" w:lineRule="auto"/>
        <w:rPr>
          <w:rFonts w:ascii="Arial" w:hAnsi="Arial" w:cs="Arial"/>
          <w:b/>
          <w:color w:val="262626" w:themeColor="text1" w:themeTint="D9"/>
          <w:sz w:val="20"/>
        </w:rPr>
      </w:pPr>
      <w:r>
        <w:rPr>
          <w:rFonts w:ascii="Arial" w:hAnsi="Arial" w:cs="Arial"/>
          <w:b/>
          <w:color w:val="262626" w:themeColor="text1" w:themeTint="D9"/>
          <w:sz w:val="20"/>
        </w:rPr>
        <w:t xml:space="preserve">Section </w:t>
      </w:r>
      <w:r w:rsidR="00E8455D">
        <w:rPr>
          <w:rFonts w:ascii="Arial" w:hAnsi="Arial" w:cs="Arial"/>
          <w:b/>
          <w:color w:val="262626" w:themeColor="text1" w:themeTint="D9"/>
          <w:sz w:val="20"/>
        </w:rPr>
        <w:t>4</w:t>
      </w:r>
      <w:r w:rsidR="00AF21C8">
        <w:rPr>
          <w:rFonts w:ascii="Arial" w:hAnsi="Arial" w:cs="Arial"/>
          <w:b/>
          <w:color w:val="262626" w:themeColor="text1" w:themeTint="D9"/>
          <w:sz w:val="20"/>
        </w:rPr>
        <w:tab/>
      </w:r>
      <w:r>
        <w:rPr>
          <w:rFonts w:ascii="Arial" w:hAnsi="Arial" w:cs="Arial"/>
          <w:b/>
          <w:color w:val="262626" w:themeColor="text1" w:themeTint="D9"/>
          <w:sz w:val="20"/>
        </w:rPr>
        <w:t>Condition</w:t>
      </w:r>
    </w:p>
    <w:p w14:paraId="28931D2F" w14:textId="5ADA581E" w:rsidR="00914D5C" w:rsidRPr="00F332AC" w:rsidRDefault="00914D5C" w:rsidP="00914D5C">
      <w:pPr>
        <w:spacing w:before="80" w:after="120" w:line="276" w:lineRule="auto"/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sz w:val="20"/>
          <w:lang w:val="en-AU"/>
        </w:rPr>
        <w:t xml:space="preserve">Section </w:t>
      </w:r>
      <w:r w:rsidR="00E8455D">
        <w:rPr>
          <w:rFonts w:ascii="Arial" w:hAnsi="Arial" w:cs="Arial"/>
          <w:sz w:val="20"/>
          <w:lang w:val="en-AU"/>
        </w:rPr>
        <w:t>4</w:t>
      </w:r>
      <w:r>
        <w:rPr>
          <w:rFonts w:ascii="Arial" w:hAnsi="Arial" w:cs="Arial"/>
          <w:sz w:val="20"/>
          <w:lang w:val="en-AU"/>
        </w:rPr>
        <w:t xml:space="preserve"> provides that every </w:t>
      </w:r>
      <w:r w:rsidR="00E8455D">
        <w:rPr>
          <w:rFonts w:ascii="Arial" w:hAnsi="Arial" w:cs="Arial"/>
          <w:sz w:val="20"/>
          <w:lang w:val="en-AU"/>
        </w:rPr>
        <w:t xml:space="preserve">fixed receive </w:t>
      </w:r>
      <w:r>
        <w:rPr>
          <w:rFonts w:ascii="Arial" w:hAnsi="Arial" w:cs="Arial"/>
          <w:sz w:val="20"/>
          <w:lang w:val="en-AU"/>
        </w:rPr>
        <w:t>licence is subject to the condition set out in the Determination</w:t>
      </w:r>
      <w:r w:rsidRPr="00F332AC">
        <w:rPr>
          <w:rFonts w:ascii="Arial" w:hAnsi="Arial" w:cs="Arial"/>
          <w:sz w:val="20"/>
          <w:lang w:val="en-AU"/>
        </w:rPr>
        <w:t>.</w:t>
      </w:r>
    </w:p>
    <w:p w14:paraId="2ED35257" w14:textId="05735756" w:rsidR="00914D5C" w:rsidRDefault="00914D5C" w:rsidP="00914D5C">
      <w:pPr>
        <w:spacing w:before="80" w:after="120" w:line="276" w:lineRule="auto"/>
        <w:rPr>
          <w:rFonts w:ascii="Arial" w:hAnsi="Arial" w:cs="Arial"/>
          <w:b/>
          <w:color w:val="262626" w:themeColor="text1" w:themeTint="D9"/>
          <w:sz w:val="20"/>
        </w:rPr>
      </w:pPr>
      <w:r>
        <w:rPr>
          <w:rFonts w:ascii="Arial" w:hAnsi="Arial" w:cs="Arial"/>
          <w:b/>
          <w:color w:val="262626" w:themeColor="text1" w:themeTint="D9"/>
          <w:sz w:val="20"/>
        </w:rPr>
        <w:t xml:space="preserve">Section </w:t>
      </w:r>
      <w:r w:rsidR="00E8455D">
        <w:rPr>
          <w:rFonts w:ascii="Arial" w:hAnsi="Arial" w:cs="Arial"/>
          <w:b/>
          <w:color w:val="262626" w:themeColor="text1" w:themeTint="D9"/>
          <w:sz w:val="20"/>
        </w:rPr>
        <w:t>5</w:t>
      </w:r>
      <w:r w:rsidR="00AF21C8">
        <w:rPr>
          <w:rFonts w:ascii="Arial" w:hAnsi="Arial" w:cs="Arial"/>
          <w:b/>
          <w:color w:val="262626" w:themeColor="text1" w:themeTint="D9"/>
          <w:sz w:val="20"/>
        </w:rPr>
        <w:tab/>
      </w:r>
      <w:r w:rsidR="00E8455D">
        <w:rPr>
          <w:rFonts w:ascii="Arial" w:hAnsi="Arial" w:cs="Arial"/>
          <w:b/>
          <w:color w:val="262626" w:themeColor="text1" w:themeTint="D9"/>
          <w:sz w:val="20"/>
        </w:rPr>
        <w:t>Technical performance of antenna</w:t>
      </w:r>
    </w:p>
    <w:p w14:paraId="7C0AAB45" w14:textId="533950E2" w:rsidR="00914D5C" w:rsidRPr="00F332AC" w:rsidRDefault="00914D5C" w:rsidP="00914D5C">
      <w:pPr>
        <w:spacing w:before="80" w:after="120" w:line="276" w:lineRule="auto"/>
        <w:rPr>
          <w:rFonts w:ascii="Arial" w:hAnsi="Arial" w:cs="Arial"/>
          <w:sz w:val="20"/>
          <w:lang w:val="en-AU"/>
        </w:rPr>
      </w:pPr>
      <w:r w:rsidRPr="0096200C">
        <w:rPr>
          <w:rFonts w:ascii="Arial" w:hAnsi="Arial" w:cs="Arial"/>
          <w:sz w:val="20"/>
          <w:lang w:val="en-AU"/>
        </w:rPr>
        <w:t xml:space="preserve">Section </w:t>
      </w:r>
      <w:r w:rsidR="00E8455D">
        <w:rPr>
          <w:rFonts w:ascii="Arial" w:hAnsi="Arial" w:cs="Arial"/>
          <w:sz w:val="20"/>
          <w:lang w:val="en-AU"/>
        </w:rPr>
        <w:t>5</w:t>
      </w:r>
      <w:r w:rsidRPr="0096200C">
        <w:rPr>
          <w:rFonts w:ascii="Arial" w:hAnsi="Arial" w:cs="Arial"/>
          <w:sz w:val="20"/>
          <w:lang w:val="en-AU"/>
        </w:rPr>
        <w:t xml:space="preserve"> </w:t>
      </w:r>
      <w:r w:rsidR="008F7EDB">
        <w:rPr>
          <w:rFonts w:ascii="Arial" w:hAnsi="Arial" w:cs="Arial"/>
          <w:sz w:val="20"/>
          <w:lang w:val="en-AU"/>
        </w:rPr>
        <w:t xml:space="preserve">specifies </w:t>
      </w:r>
      <w:r w:rsidR="00881C61">
        <w:rPr>
          <w:rFonts w:ascii="Arial" w:hAnsi="Arial" w:cs="Arial"/>
          <w:sz w:val="20"/>
          <w:lang w:val="en-AU"/>
        </w:rPr>
        <w:t>that</w:t>
      </w:r>
      <w:r w:rsidR="00AF21C8">
        <w:rPr>
          <w:rFonts w:ascii="Arial" w:hAnsi="Arial" w:cs="Arial"/>
          <w:sz w:val="20"/>
          <w:lang w:val="en-AU"/>
        </w:rPr>
        <w:t>,</w:t>
      </w:r>
      <w:r w:rsidR="00881C61">
        <w:rPr>
          <w:rFonts w:ascii="Arial" w:hAnsi="Arial" w:cs="Arial"/>
          <w:sz w:val="20"/>
          <w:lang w:val="en-AU"/>
        </w:rPr>
        <w:t xml:space="preserve"> if a</w:t>
      </w:r>
      <w:r w:rsidR="008F7EDB">
        <w:rPr>
          <w:rFonts w:ascii="Arial" w:hAnsi="Arial" w:cs="Arial"/>
          <w:sz w:val="20"/>
          <w:lang w:val="en-AU"/>
        </w:rPr>
        <w:t xml:space="preserve"> </w:t>
      </w:r>
      <w:r w:rsidR="008F7EDB" w:rsidRPr="008F7EDB">
        <w:rPr>
          <w:rFonts w:ascii="Arial" w:hAnsi="Arial" w:cs="Arial"/>
          <w:sz w:val="20"/>
          <w:lang w:val="en-AU"/>
        </w:rPr>
        <w:t xml:space="preserve">fixed receive station includes analogue speech (angle modulated) equipment </w:t>
      </w:r>
      <w:r w:rsidR="00AF21C8">
        <w:rPr>
          <w:rFonts w:ascii="Arial" w:hAnsi="Arial" w:cs="Arial"/>
          <w:sz w:val="20"/>
          <w:lang w:val="en-AU"/>
        </w:rPr>
        <w:t>(</w:t>
      </w:r>
      <w:r w:rsidR="00D12479">
        <w:rPr>
          <w:rFonts w:ascii="Arial" w:hAnsi="Arial" w:cs="Arial"/>
          <w:sz w:val="20"/>
          <w:lang w:val="en-AU"/>
        </w:rPr>
        <w:t xml:space="preserve">namely, </w:t>
      </w:r>
      <w:r w:rsidR="00AF21C8">
        <w:rPr>
          <w:rFonts w:ascii="Arial" w:hAnsi="Arial" w:cs="Arial"/>
          <w:sz w:val="20"/>
          <w:lang w:val="en-AU"/>
        </w:rPr>
        <w:t xml:space="preserve">equipment to which the </w:t>
      </w:r>
      <w:r w:rsidR="00E30521">
        <w:rPr>
          <w:rFonts w:ascii="Arial" w:hAnsi="Arial" w:cs="Arial"/>
          <w:i/>
          <w:sz w:val="20"/>
          <w:lang w:val="en-AU"/>
        </w:rPr>
        <w:t>Radio</w:t>
      </w:r>
      <w:r w:rsidR="00AF21C8">
        <w:rPr>
          <w:rFonts w:ascii="Arial" w:hAnsi="Arial" w:cs="Arial"/>
          <w:i/>
          <w:sz w:val="20"/>
          <w:lang w:val="en-AU"/>
        </w:rPr>
        <w:t>c</w:t>
      </w:r>
      <w:r w:rsidR="00E30521">
        <w:rPr>
          <w:rFonts w:ascii="Arial" w:hAnsi="Arial" w:cs="Arial"/>
          <w:i/>
          <w:sz w:val="20"/>
          <w:lang w:val="en-AU"/>
        </w:rPr>
        <w:t>o</w:t>
      </w:r>
      <w:r w:rsidR="00AF21C8">
        <w:rPr>
          <w:rFonts w:ascii="Arial" w:hAnsi="Arial" w:cs="Arial"/>
          <w:i/>
          <w:sz w:val="20"/>
          <w:lang w:val="en-AU"/>
        </w:rPr>
        <w:t xml:space="preserve">mmunications (Analogue Speech (Angle Modulated) Equipment) Standard 2014 </w:t>
      </w:r>
      <w:r w:rsidR="00AF21C8">
        <w:rPr>
          <w:rFonts w:ascii="Arial" w:hAnsi="Arial" w:cs="Arial"/>
          <w:sz w:val="20"/>
          <w:lang w:val="en-AU"/>
        </w:rPr>
        <w:t xml:space="preserve">applies) </w:t>
      </w:r>
      <w:r w:rsidR="008F7EDB" w:rsidRPr="008F7EDB">
        <w:rPr>
          <w:rFonts w:ascii="Arial" w:hAnsi="Arial" w:cs="Arial"/>
          <w:sz w:val="20"/>
          <w:lang w:val="en-AU"/>
        </w:rPr>
        <w:t>that is operated</w:t>
      </w:r>
      <w:r w:rsidR="008F7EDB">
        <w:rPr>
          <w:rFonts w:ascii="Arial" w:hAnsi="Arial" w:cs="Arial"/>
          <w:sz w:val="20"/>
          <w:lang w:val="en-AU"/>
        </w:rPr>
        <w:t xml:space="preserve"> </w:t>
      </w:r>
      <w:r w:rsidR="008F7EDB" w:rsidRPr="008F7EDB">
        <w:rPr>
          <w:rFonts w:ascii="Arial" w:hAnsi="Arial" w:cs="Arial"/>
          <w:sz w:val="20"/>
          <w:lang w:val="en-AU"/>
        </w:rPr>
        <w:t>in the frequency band</w:t>
      </w:r>
      <w:r w:rsidR="007F6445">
        <w:rPr>
          <w:rFonts w:ascii="Arial" w:hAnsi="Arial" w:cs="Arial"/>
          <w:sz w:val="20"/>
          <w:lang w:val="en-AU"/>
        </w:rPr>
        <w:t>s</w:t>
      </w:r>
      <w:r w:rsidR="008F7EDB" w:rsidRPr="008F7EDB">
        <w:rPr>
          <w:rFonts w:ascii="Arial" w:hAnsi="Arial" w:cs="Arial"/>
          <w:sz w:val="20"/>
          <w:lang w:val="en-AU"/>
        </w:rPr>
        <w:t xml:space="preserve"> 29.</w:t>
      </w:r>
      <w:r w:rsidR="00AF21C8" w:rsidRPr="008F7EDB">
        <w:rPr>
          <w:rFonts w:ascii="Arial" w:hAnsi="Arial" w:cs="Arial"/>
          <w:sz w:val="20"/>
          <w:lang w:val="en-AU"/>
        </w:rPr>
        <w:t>7</w:t>
      </w:r>
      <w:r w:rsidR="00AF21C8">
        <w:rPr>
          <w:rFonts w:ascii="Arial" w:hAnsi="Arial" w:cs="Arial"/>
          <w:sz w:val="20"/>
          <w:lang w:val="en-AU"/>
        </w:rPr>
        <w:t> </w:t>
      </w:r>
      <w:r w:rsidR="008F7EDB" w:rsidRPr="008F7EDB">
        <w:rPr>
          <w:rFonts w:ascii="Arial" w:hAnsi="Arial" w:cs="Arial"/>
          <w:sz w:val="20"/>
          <w:lang w:val="en-AU"/>
        </w:rPr>
        <w:t>MHz to 30</w:t>
      </w:r>
      <w:r w:rsidR="00881C61">
        <w:rPr>
          <w:rFonts w:ascii="Arial" w:hAnsi="Arial" w:cs="Arial"/>
          <w:sz w:val="20"/>
          <w:lang w:val="en-AU"/>
        </w:rPr>
        <w:t xml:space="preserve"> </w:t>
      </w:r>
      <w:r w:rsidR="008F7EDB" w:rsidRPr="008F7EDB">
        <w:rPr>
          <w:rFonts w:ascii="Arial" w:hAnsi="Arial" w:cs="Arial"/>
          <w:sz w:val="20"/>
          <w:lang w:val="en-AU"/>
        </w:rPr>
        <w:t>MHz</w:t>
      </w:r>
      <w:r w:rsidR="00AF21C8">
        <w:rPr>
          <w:rFonts w:ascii="Arial" w:hAnsi="Arial" w:cs="Arial"/>
          <w:sz w:val="20"/>
          <w:lang w:val="en-AU"/>
        </w:rPr>
        <w:t>,</w:t>
      </w:r>
      <w:r w:rsidR="00A608FD">
        <w:rPr>
          <w:rFonts w:ascii="Arial" w:hAnsi="Arial" w:cs="Arial"/>
          <w:sz w:val="20"/>
          <w:lang w:val="en-AU"/>
        </w:rPr>
        <w:t xml:space="preserve"> </w:t>
      </w:r>
      <w:r w:rsidR="007F6445">
        <w:rPr>
          <w:rFonts w:ascii="Arial" w:hAnsi="Arial" w:cs="Arial"/>
          <w:sz w:val="20"/>
          <w:lang w:val="en-AU"/>
        </w:rPr>
        <w:t>or 30 M</w:t>
      </w:r>
      <w:r w:rsidR="007F6445" w:rsidRPr="008F7EDB">
        <w:rPr>
          <w:rFonts w:ascii="Arial" w:hAnsi="Arial" w:cs="Arial"/>
          <w:sz w:val="20"/>
          <w:lang w:val="en-AU"/>
        </w:rPr>
        <w:t>Hz</w:t>
      </w:r>
      <w:r w:rsidR="007F6445">
        <w:rPr>
          <w:rFonts w:ascii="Arial" w:hAnsi="Arial" w:cs="Arial"/>
          <w:sz w:val="20"/>
          <w:lang w:val="en-AU"/>
        </w:rPr>
        <w:t xml:space="preserve"> to 520 MHz</w:t>
      </w:r>
      <w:r w:rsidR="008F7EDB">
        <w:rPr>
          <w:rFonts w:ascii="Arial" w:hAnsi="Arial" w:cs="Arial"/>
          <w:sz w:val="20"/>
          <w:lang w:val="en-AU"/>
        </w:rPr>
        <w:t xml:space="preserve">, </w:t>
      </w:r>
      <w:r w:rsidR="008F7EDB" w:rsidRPr="008F7EDB">
        <w:rPr>
          <w:rFonts w:ascii="Arial" w:hAnsi="Arial" w:cs="Arial"/>
          <w:sz w:val="20"/>
          <w:lang w:val="en-AU"/>
        </w:rPr>
        <w:t>on a frequency channel with a bandwidth of 12.</w:t>
      </w:r>
      <w:r w:rsidR="00AF21C8" w:rsidRPr="008F7EDB">
        <w:rPr>
          <w:rFonts w:ascii="Arial" w:hAnsi="Arial" w:cs="Arial"/>
          <w:sz w:val="20"/>
          <w:lang w:val="en-AU"/>
        </w:rPr>
        <w:t>5</w:t>
      </w:r>
      <w:r w:rsidR="00AF21C8">
        <w:rPr>
          <w:rFonts w:ascii="Arial" w:hAnsi="Arial" w:cs="Arial"/>
          <w:sz w:val="20"/>
          <w:lang w:val="en-AU"/>
        </w:rPr>
        <w:t> </w:t>
      </w:r>
      <w:r w:rsidR="008F7EDB" w:rsidRPr="008F7EDB">
        <w:rPr>
          <w:rFonts w:ascii="Arial" w:hAnsi="Arial" w:cs="Arial"/>
          <w:sz w:val="20"/>
          <w:lang w:val="en-AU"/>
        </w:rPr>
        <w:t>kHz, 20 kHz or 25</w:t>
      </w:r>
      <w:r w:rsidR="00881C61">
        <w:rPr>
          <w:rFonts w:ascii="Arial" w:hAnsi="Arial" w:cs="Arial"/>
          <w:sz w:val="20"/>
          <w:lang w:val="en-AU"/>
        </w:rPr>
        <w:t xml:space="preserve"> </w:t>
      </w:r>
      <w:r w:rsidR="008F7EDB" w:rsidRPr="008F7EDB">
        <w:rPr>
          <w:rFonts w:ascii="Arial" w:hAnsi="Arial" w:cs="Arial"/>
          <w:sz w:val="20"/>
          <w:lang w:val="en-AU"/>
        </w:rPr>
        <w:t>kHz</w:t>
      </w:r>
      <w:r w:rsidR="008F7EDB">
        <w:rPr>
          <w:rFonts w:ascii="Arial" w:hAnsi="Arial" w:cs="Arial"/>
          <w:sz w:val="20"/>
          <w:lang w:val="en-AU"/>
        </w:rPr>
        <w:t xml:space="preserve">, </w:t>
      </w:r>
      <w:r w:rsidR="00881C61">
        <w:rPr>
          <w:rFonts w:ascii="Arial" w:hAnsi="Arial" w:cs="Arial"/>
          <w:sz w:val="20"/>
          <w:lang w:val="en-AU"/>
        </w:rPr>
        <w:t>the equipment must comply with an applicable standard</w:t>
      </w:r>
      <w:r w:rsidR="003C07DA" w:rsidRPr="003C07DA">
        <w:rPr>
          <w:rFonts w:ascii="Arial" w:hAnsi="Arial" w:cs="Arial"/>
          <w:sz w:val="20"/>
          <w:lang w:val="en-AU"/>
        </w:rPr>
        <w:t xml:space="preserve"> </w:t>
      </w:r>
      <w:r w:rsidR="00881C61">
        <w:rPr>
          <w:rFonts w:ascii="Arial" w:hAnsi="Arial" w:cs="Arial"/>
          <w:sz w:val="20"/>
          <w:lang w:val="en-AU"/>
        </w:rPr>
        <w:t>made under section 162 of the Act</w:t>
      </w:r>
      <w:r w:rsidR="00881C61" w:rsidRPr="00F332AC">
        <w:rPr>
          <w:rFonts w:ascii="Arial" w:hAnsi="Arial" w:cs="Arial"/>
          <w:sz w:val="20"/>
          <w:lang w:val="en-AU"/>
        </w:rPr>
        <w:t>.</w:t>
      </w:r>
    </w:p>
    <w:p w14:paraId="4C3FA4CA" w14:textId="77777777" w:rsidR="005335CE" w:rsidRDefault="005335CE" w:rsidP="005335CE">
      <w:pPr>
        <w:spacing w:line="360" w:lineRule="auto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788B5438" w14:textId="77777777" w:rsidR="00AF21C8" w:rsidRDefault="00AF21C8">
      <w:pPr>
        <w:rPr>
          <w:rFonts w:ascii="Arial" w:hAnsi="Arial" w:cs="Arial"/>
          <w:b/>
          <w:sz w:val="22"/>
          <w:szCs w:val="22"/>
          <w:lang w:val="en-AU"/>
        </w:rPr>
      </w:pPr>
      <w:r>
        <w:rPr>
          <w:rFonts w:ascii="Arial" w:hAnsi="Arial" w:cs="Arial"/>
          <w:b/>
          <w:sz w:val="22"/>
          <w:szCs w:val="22"/>
          <w:lang w:val="en-AU"/>
        </w:rPr>
        <w:br w:type="page"/>
      </w:r>
    </w:p>
    <w:p w14:paraId="59ACF06F" w14:textId="4FD34F05" w:rsidR="00914D5C" w:rsidRDefault="00914D5C" w:rsidP="005335CE">
      <w:pPr>
        <w:spacing w:line="360" w:lineRule="auto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5A5476">
        <w:rPr>
          <w:rFonts w:ascii="Arial" w:hAnsi="Arial" w:cs="Arial"/>
          <w:b/>
          <w:sz w:val="22"/>
          <w:szCs w:val="22"/>
          <w:lang w:val="en-AU"/>
        </w:rPr>
        <w:t>ATTACHMENT B</w:t>
      </w:r>
    </w:p>
    <w:p w14:paraId="7A26E491" w14:textId="6B1A0D9E" w:rsidR="00914D5C" w:rsidRPr="005A5476" w:rsidRDefault="00914D5C" w:rsidP="00914D5C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5A5476">
        <w:rPr>
          <w:rFonts w:ascii="Arial" w:hAnsi="Arial" w:cs="Arial"/>
          <w:b/>
          <w:sz w:val="22"/>
          <w:szCs w:val="22"/>
          <w:lang w:val="en-AU"/>
        </w:rPr>
        <w:t>Statement of Compatibility with Human Rights</w:t>
      </w:r>
    </w:p>
    <w:p w14:paraId="411B81B1" w14:textId="77777777" w:rsidR="00914D5C" w:rsidRPr="009E6BC6" w:rsidRDefault="00914D5C" w:rsidP="00914D5C">
      <w:pPr>
        <w:spacing w:line="360" w:lineRule="auto"/>
        <w:jc w:val="center"/>
        <w:rPr>
          <w:rFonts w:ascii="Arial" w:hAnsi="Arial" w:cs="Arial"/>
          <w:sz w:val="20"/>
          <w:lang w:val="en-AU"/>
        </w:rPr>
      </w:pPr>
      <w:r w:rsidRPr="009E6BC6">
        <w:rPr>
          <w:rFonts w:ascii="Arial" w:hAnsi="Arial" w:cs="Arial"/>
          <w:sz w:val="20"/>
          <w:lang w:val="en-AU"/>
        </w:rPr>
        <w:t xml:space="preserve">Prepared in accordance with Part 3 of the </w:t>
      </w:r>
      <w:r w:rsidRPr="009E6BC6">
        <w:rPr>
          <w:rFonts w:ascii="Arial" w:hAnsi="Arial" w:cs="Arial"/>
          <w:i/>
          <w:sz w:val="20"/>
          <w:lang w:val="en-AU"/>
        </w:rPr>
        <w:t>Human Rights (Parliamentary Scrutiny) Act 2011</w:t>
      </w:r>
    </w:p>
    <w:p w14:paraId="574B363F" w14:textId="77777777" w:rsidR="00914D5C" w:rsidRPr="005A5476" w:rsidRDefault="00914D5C" w:rsidP="00914D5C">
      <w:pPr>
        <w:rPr>
          <w:rFonts w:ascii="Arial" w:hAnsi="Arial" w:cs="Arial"/>
          <w:i/>
          <w:sz w:val="22"/>
          <w:szCs w:val="22"/>
        </w:rPr>
      </w:pPr>
    </w:p>
    <w:p w14:paraId="7B6CEBA5" w14:textId="77777777" w:rsidR="00914D5C" w:rsidRPr="00113113" w:rsidRDefault="00914D5C" w:rsidP="00914D5C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  <w:lang w:val="en-AU"/>
        </w:rPr>
      </w:pPr>
    </w:p>
    <w:p w14:paraId="37A8BAB9" w14:textId="0113FB42" w:rsidR="00914D5C" w:rsidRPr="00007380" w:rsidRDefault="00914D5C" w:rsidP="00914D5C">
      <w:pPr>
        <w:spacing w:line="360" w:lineRule="auto"/>
        <w:jc w:val="center"/>
        <w:outlineLvl w:val="0"/>
        <w:rPr>
          <w:rFonts w:ascii="Arial" w:hAnsi="Arial" w:cs="Arial"/>
          <w:b/>
          <w:sz w:val="22"/>
          <w:szCs w:val="22"/>
          <w:lang w:val="en-AU"/>
        </w:rPr>
      </w:pPr>
      <w:r w:rsidRPr="00007380">
        <w:rPr>
          <w:rFonts w:ascii="Arial" w:hAnsi="Arial" w:cs="Arial"/>
          <w:b/>
          <w:sz w:val="22"/>
          <w:szCs w:val="22"/>
          <w:lang w:val="en-AU"/>
        </w:rPr>
        <w:t>Radiocommunications Licence Conditions (</w:t>
      </w:r>
      <w:r w:rsidR="00270C0F" w:rsidRPr="00007380">
        <w:rPr>
          <w:rFonts w:ascii="Arial" w:hAnsi="Arial" w:cs="Arial"/>
          <w:b/>
          <w:sz w:val="22"/>
          <w:szCs w:val="22"/>
          <w:lang w:val="en-AU"/>
        </w:rPr>
        <w:t>Fixed Receive</w:t>
      </w:r>
      <w:r w:rsidRPr="00007380">
        <w:rPr>
          <w:rFonts w:ascii="Arial" w:hAnsi="Arial" w:cs="Arial"/>
          <w:b/>
          <w:sz w:val="22"/>
          <w:szCs w:val="22"/>
          <w:lang w:val="en-AU"/>
        </w:rPr>
        <w:t xml:space="preserve"> Licence) Determination </w:t>
      </w:r>
      <w:r w:rsidR="000F6E40" w:rsidRPr="00007380">
        <w:rPr>
          <w:rFonts w:ascii="Arial" w:hAnsi="Arial" w:cs="Arial"/>
          <w:b/>
          <w:sz w:val="22"/>
          <w:szCs w:val="22"/>
          <w:lang w:val="en-AU"/>
        </w:rPr>
        <w:t>2015</w:t>
      </w:r>
    </w:p>
    <w:p w14:paraId="5F102F03" w14:textId="77777777" w:rsidR="00914D5C" w:rsidRPr="005A5476" w:rsidRDefault="00914D5C" w:rsidP="00914D5C">
      <w:pPr>
        <w:rPr>
          <w:rFonts w:ascii="Arial" w:hAnsi="Arial" w:cs="Arial"/>
          <w:b/>
          <w:sz w:val="22"/>
          <w:szCs w:val="22"/>
        </w:rPr>
      </w:pPr>
    </w:p>
    <w:p w14:paraId="0AE85DD6" w14:textId="77777777" w:rsidR="00914D5C" w:rsidRPr="009E6BC6" w:rsidRDefault="00914D5C" w:rsidP="00914D5C">
      <w:pPr>
        <w:spacing w:line="360" w:lineRule="auto"/>
        <w:rPr>
          <w:rFonts w:ascii="Arial" w:hAnsi="Arial" w:cs="Arial"/>
          <w:sz w:val="20"/>
        </w:rPr>
      </w:pPr>
      <w:r w:rsidRPr="009E6BC6">
        <w:rPr>
          <w:rFonts w:ascii="Arial" w:hAnsi="Arial" w:cs="Arial"/>
          <w:sz w:val="20"/>
        </w:rPr>
        <w:t xml:space="preserve">This legislative instrument is compatible with the human rights and freedoms recognised or declared in the international instruments listed in section 3 of the </w:t>
      </w:r>
      <w:r w:rsidRPr="009E6BC6">
        <w:rPr>
          <w:rFonts w:ascii="Arial" w:hAnsi="Arial" w:cs="Arial"/>
          <w:i/>
          <w:sz w:val="20"/>
        </w:rPr>
        <w:t>Human Rights (Parliamentary Scrutiny) Act 2011</w:t>
      </w:r>
      <w:r w:rsidRPr="009E6BC6">
        <w:rPr>
          <w:rFonts w:ascii="Arial" w:hAnsi="Arial" w:cs="Arial"/>
          <w:sz w:val="20"/>
        </w:rPr>
        <w:t>.</w:t>
      </w:r>
    </w:p>
    <w:p w14:paraId="0F6482C2" w14:textId="77777777" w:rsidR="00914D5C" w:rsidRPr="005A5476" w:rsidRDefault="00914D5C" w:rsidP="00914D5C">
      <w:pPr>
        <w:spacing w:line="360" w:lineRule="auto"/>
        <w:rPr>
          <w:rFonts w:ascii="Arial" w:hAnsi="Arial" w:cs="Arial"/>
          <w:sz w:val="22"/>
          <w:szCs w:val="22"/>
        </w:rPr>
      </w:pPr>
    </w:p>
    <w:p w14:paraId="1DF8FFCE" w14:textId="77777777" w:rsidR="00914D5C" w:rsidRPr="005A5476" w:rsidRDefault="00914D5C" w:rsidP="00914D5C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5A5476">
        <w:rPr>
          <w:rFonts w:ascii="Arial" w:hAnsi="Arial" w:cs="Arial"/>
          <w:b/>
          <w:sz w:val="22"/>
          <w:szCs w:val="22"/>
        </w:rPr>
        <w:t>Overview of the Legislative Instrument</w:t>
      </w:r>
    </w:p>
    <w:p w14:paraId="747A4591" w14:textId="11782F67" w:rsidR="00914D5C" w:rsidRDefault="00914D5C" w:rsidP="00914D5C">
      <w:pPr>
        <w:spacing w:line="360" w:lineRule="auto"/>
        <w:outlineLvl w:val="0"/>
        <w:rPr>
          <w:rFonts w:ascii="Arial" w:hAnsi="Arial" w:cs="Arial"/>
          <w:sz w:val="22"/>
          <w:szCs w:val="22"/>
          <w:lang w:val="en-AU"/>
        </w:rPr>
      </w:pPr>
      <w:r w:rsidRPr="008E6EB9">
        <w:rPr>
          <w:rFonts w:ascii="Arial" w:hAnsi="Arial" w:cs="Arial"/>
          <w:sz w:val="20"/>
        </w:rPr>
        <w:t xml:space="preserve">The </w:t>
      </w:r>
      <w:r w:rsidRPr="00421128">
        <w:rPr>
          <w:rFonts w:ascii="Arial" w:hAnsi="Arial" w:cs="Arial"/>
          <w:i/>
          <w:sz w:val="20"/>
        </w:rPr>
        <w:t>Radiocommunications Licence Conditions (</w:t>
      </w:r>
      <w:r w:rsidR="00270C0F">
        <w:rPr>
          <w:rFonts w:ascii="Arial" w:hAnsi="Arial" w:cs="Arial"/>
          <w:i/>
          <w:sz w:val="20"/>
        </w:rPr>
        <w:t>Fixed Receive</w:t>
      </w:r>
      <w:r w:rsidRPr="00421128">
        <w:rPr>
          <w:rFonts w:ascii="Arial" w:hAnsi="Arial" w:cs="Arial"/>
          <w:i/>
          <w:sz w:val="20"/>
        </w:rPr>
        <w:t xml:space="preserve"> Licence) Determination </w:t>
      </w:r>
      <w:r w:rsidR="000F6E40" w:rsidRPr="00421128">
        <w:rPr>
          <w:rFonts w:ascii="Arial" w:hAnsi="Arial" w:cs="Arial"/>
          <w:i/>
          <w:sz w:val="20"/>
        </w:rPr>
        <w:t>201</w:t>
      </w:r>
      <w:r w:rsidR="000F6E40">
        <w:rPr>
          <w:rFonts w:ascii="Arial" w:hAnsi="Arial" w:cs="Arial"/>
          <w:i/>
          <w:sz w:val="20"/>
        </w:rPr>
        <w:t xml:space="preserve">5 </w:t>
      </w:r>
      <w:r w:rsidRPr="008E6EB9">
        <w:rPr>
          <w:rFonts w:ascii="Arial" w:hAnsi="Arial" w:cs="Arial"/>
          <w:sz w:val="20"/>
        </w:rPr>
        <w:t xml:space="preserve">(the </w:t>
      </w:r>
      <w:r>
        <w:rPr>
          <w:rFonts w:ascii="Arial" w:hAnsi="Arial" w:cs="Arial"/>
          <w:sz w:val="20"/>
        </w:rPr>
        <w:t>Determination</w:t>
      </w:r>
      <w:r w:rsidRPr="008E6EB9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>revokes</w:t>
      </w:r>
      <w:r w:rsidRPr="008E6EB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and replaces </w:t>
      </w:r>
      <w:r w:rsidRPr="008E6EB9">
        <w:rPr>
          <w:rFonts w:ascii="Arial" w:hAnsi="Arial" w:cs="Arial"/>
          <w:sz w:val="20"/>
        </w:rPr>
        <w:t xml:space="preserve">the </w:t>
      </w:r>
      <w:r w:rsidRPr="00211E35">
        <w:rPr>
          <w:rFonts w:ascii="Arial" w:hAnsi="Arial" w:cs="Arial"/>
          <w:i/>
          <w:sz w:val="20"/>
        </w:rPr>
        <w:t>Radiocommunications Licence Conditions (</w:t>
      </w:r>
      <w:r w:rsidR="00270C0F">
        <w:rPr>
          <w:rFonts w:ascii="Arial" w:hAnsi="Arial" w:cs="Arial"/>
          <w:i/>
          <w:sz w:val="20"/>
        </w:rPr>
        <w:t>Fixed Rece</w:t>
      </w:r>
      <w:r w:rsidR="007F6445">
        <w:rPr>
          <w:rFonts w:ascii="Arial" w:hAnsi="Arial" w:cs="Arial"/>
          <w:i/>
          <w:sz w:val="20"/>
        </w:rPr>
        <w:t>i</w:t>
      </w:r>
      <w:r w:rsidR="00270C0F">
        <w:rPr>
          <w:rFonts w:ascii="Arial" w:hAnsi="Arial" w:cs="Arial"/>
          <w:i/>
          <w:sz w:val="20"/>
        </w:rPr>
        <w:t>ve</w:t>
      </w:r>
      <w:r w:rsidRPr="00211E35">
        <w:rPr>
          <w:rFonts w:ascii="Arial" w:hAnsi="Arial" w:cs="Arial"/>
          <w:i/>
          <w:sz w:val="20"/>
        </w:rPr>
        <w:t xml:space="preserve"> Licence) Determination </w:t>
      </w:r>
      <w:r>
        <w:rPr>
          <w:rFonts w:ascii="Arial" w:hAnsi="Arial" w:cs="Arial"/>
          <w:i/>
          <w:sz w:val="20"/>
        </w:rPr>
        <w:t>1997</w:t>
      </w:r>
      <w:r w:rsidRPr="008E6EB9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>without making any significant changes to the regulatory arrangements created by that instrument.</w:t>
      </w:r>
    </w:p>
    <w:p w14:paraId="11CBD3AC" w14:textId="77777777" w:rsidR="00914D5C" w:rsidRDefault="00914D5C" w:rsidP="00914D5C">
      <w:pPr>
        <w:spacing w:line="360" w:lineRule="auto"/>
        <w:rPr>
          <w:rFonts w:ascii="Arial" w:hAnsi="Arial" w:cs="Arial"/>
          <w:sz w:val="20"/>
        </w:rPr>
      </w:pPr>
    </w:p>
    <w:p w14:paraId="53843B09" w14:textId="7E86DCE8" w:rsidR="00914D5C" w:rsidRDefault="00815970" w:rsidP="00914D5C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Determination is made under paragraph 107(1</w:t>
      </w:r>
      <w:proofErr w:type="gramStart"/>
      <w:r>
        <w:rPr>
          <w:rFonts w:ascii="Arial" w:hAnsi="Arial" w:cs="Arial"/>
          <w:sz w:val="20"/>
        </w:rPr>
        <w:t>)(</w:t>
      </w:r>
      <w:proofErr w:type="gramEnd"/>
      <w:r>
        <w:rPr>
          <w:rFonts w:ascii="Arial" w:hAnsi="Arial" w:cs="Arial"/>
          <w:sz w:val="20"/>
        </w:rPr>
        <w:t xml:space="preserve">f) of the </w:t>
      </w:r>
      <w:r w:rsidRPr="00FA7A04">
        <w:rPr>
          <w:rFonts w:ascii="Arial" w:hAnsi="Arial" w:cs="Arial"/>
          <w:i/>
          <w:sz w:val="20"/>
        </w:rPr>
        <w:t>Radiocommunications Act 1992</w:t>
      </w:r>
      <w:r>
        <w:rPr>
          <w:rFonts w:ascii="Arial" w:hAnsi="Arial" w:cs="Arial"/>
          <w:sz w:val="20"/>
        </w:rPr>
        <w:t xml:space="preserve">. </w:t>
      </w:r>
      <w:r w:rsidR="00914D5C" w:rsidRPr="00B2688C">
        <w:rPr>
          <w:rFonts w:ascii="Arial" w:hAnsi="Arial" w:cs="Arial"/>
          <w:sz w:val="20"/>
        </w:rPr>
        <w:t xml:space="preserve">The Determination sets out </w:t>
      </w:r>
      <w:r w:rsidR="00600CCD">
        <w:rPr>
          <w:rFonts w:ascii="Arial" w:hAnsi="Arial" w:cs="Arial"/>
          <w:sz w:val="20"/>
        </w:rPr>
        <w:t>a condition</w:t>
      </w:r>
      <w:r w:rsidR="00914D5C" w:rsidRPr="00B2688C">
        <w:rPr>
          <w:rFonts w:ascii="Arial" w:hAnsi="Arial" w:cs="Arial"/>
          <w:sz w:val="20"/>
        </w:rPr>
        <w:t xml:space="preserve"> that app</w:t>
      </w:r>
      <w:r w:rsidR="00F76DB4">
        <w:rPr>
          <w:rFonts w:ascii="Arial" w:hAnsi="Arial" w:cs="Arial"/>
          <w:sz w:val="20"/>
        </w:rPr>
        <w:t>l</w:t>
      </w:r>
      <w:r w:rsidR="00600CCD">
        <w:rPr>
          <w:rFonts w:ascii="Arial" w:hAnsi="Arial" w:cs="Arial"/>
          <w:sz w:val="20"/>
        </w:rPr>
        <w:t>ies</w:t>
      </w:r>
      <w:r w:rsidR="00914D5C" w:rsidRPr="00B2688C">
        <w:rPr>
          <w:rFonts w:ascii="Arial" w:hAnsi="Arial" w:cs="Arial"/>
          <w:sz w:val="20"/>
        </w:rPr>
        <w:t xml:space="preserve"> to</w:t>
      </w:r>
      <w:r w:rsidR="00AD25A0">
        <w:rPr>
          <w:rFonts w:ascii="Arial" w:hAnsi="Arial" w:cs="Arial"/>
          <w:sz w:val="20"/>
        </w:rPr>
        <w:t xml:space="preserve"> </w:t>
      </w:r>
      <w:r w:rsidR="00270C0F">
        <w:rPr>
          <w:rFonts w:ascii="Arial" w:hAnsi="Arial" w:cs="Arial"/>
          <w:sz w:val="20"/>
        </w:rPr>
        <w:t>fixed receive</w:t>
      </w:r>
      <w:r w:rsidR="00914D5C" w:rsidRPr="00B2688C">
        <w:rPr>
          <w:rFonts w:ascii="Arial" w:hAnsi="Arial" w:cs="Arial"/>
          <w:sz w:val="20"/>
        </w:rPr>
        <w:t xml:space="preserve"> licences</w:t>
      </w:r>
      <w:r w:rsidR="00AF21C8">
        <w:rPr>
          <w:rFonts w:ascii="Arial" w:hAnsi="Arial" w:cs="Arial"/>
          <w:sz w:val="20"/>
        </w:rPr>
        <w:t xml:space="preserve"> (a type of apparatus licence determined under section 98 of the </w:t>
      </w:r>
      <w:r w:rsidR="00AF21C8">
        <w:rPr>
          <w:rFonts w:ascii="Arial" w:hAnsi="Arial" w:cs="Arial"/>
          <w:i/>
          <w:sz w:val="20"/>
        </w:rPr>
        <w:t>Radiocommunications Act 1992</w:t>
      </w:r>
      <w:r w:rsidR="00AF21C8">
        <w:rPr>
          <w:rFonts w:ascii="Arial" w:hAnsi="Arial" w:cs="Arial"/>
          <w:sz w:val="20"/>
        </w:rPr>
        <w:t>)</w:t>
      </w:r>
      <w:r w:rsidR="00914D5C" w:rsidRPr="00B2688C">
        <w:rPr>
          <w:rFonts w:ascii="Arial" w:hAnsi="Arial" w:cs="Arial"/>
          <w:sz w:val="20"/>
        </w:rPr>
        <w:t>.</w:t>
      </w:r>
    </w:p>
    <w:p w14:paraId="12D9A209" w14:textId="77777777" w:rsidR="00914D5C" w:rsidRPr="008E6EB9" w:rsidRDefault="00914D5C" w:rsidP="00914D5C">
      <w:pPr>
        <w:spacing w:line="360" w:lineRule="auto"/>
        <w:rPr>
          <w:rFonts w:ascii="Arial" w:hAnsi="Arial" w:cs="Arial"/>
          <w:sz w:val="20"/>
        </w:rPr>
      </w:pPr>
    </w:p>
    <w:p w14:paraId="4229FDF9" w14:textId="77777777" w:rsidR="00914D5C" w:rsidRPr="005A5476" w:rsidRDefault="00914D5C" w:rsidP="00914D5C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5A5476">
        <w:rPr>
          <w:rFonts w:ascii="Arial" w:hAnsi="Arial" w:cs="Arial"/>
          <w:b/>
          <w:sz w:val="22"/>
          <w:szCs w:val="22"/>
        </w:rPr>
        <w:t>Human Rights Implications</w:t>
      </w:r>
    </w:p>
    <w:p w14:paraId="600116F7" w14:textId="77777777" w:rsidR="00914D5C" w:rsidRPr="009E6BC6" w:rsidRDefault="00914D5C" w:rsidP="00914D5C">
      <w:pPr>
        <w:spacing w:line="360" w:lineRule="auto"/>
        <w:outlineLvl w:val="0"/>
        <w:rPr>
          <w:rFonts w:ascii="Arial" w:hAnsi="Arial" w:cs="Arial"/>
          <w:sz w:val="20"/>
        </w:rPr>
      </w:pPr>
      <w:r w:rsidRPr="009E6BC6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 xml:space="preserve">Determination </w:t>
      </w:r>
      <w:r w:rsidRPr="009E6BC6">
        <w:rPr>
          <w:rFonts w:ascii="Arial" w:hAnsi="Arial" w:cs="Arial"/>
          <w:sz w:val="20"/>
        </w:rPr>
        <w:t>does not engage any of the applicable rights or freedoms.</w:t>
      </w:r>
    </w:p>
    <w:p w14:paraId="24DAF5F2" w14:textId="77777777" w:rsidR="00914D5C" w:rsidRPr="005A5476" w:rsidRDefault="00914D5C" w:rsidP="00914D5C">
      <w:pPr>
        <w:spacing w:line="360" w:lineRule="auto"/>
        <w:rPr>
          <w:rFonts w:ascii="Arial" w:hAnsi="Arial" w:cs="Arial"/>
          <w:sz w:val="22"/>
          <w:szCs w:val="22"/>
        </w:rPr>
      </w:pPr>
    </w:p>
    <w:p w14:paraId="7F1A142F" w14:textId="77777777" w:rsidR="00914D5C" w:rsidRPr="005A5476" w:rsidRDefault="00914D5C" w:rsidP="00914D5C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5A5476">
        <w:rPr>
          <w:rFonts w:ascii="Arial" w:hAnsi="Arial" w:cs="Arial"/>
          <w:b/>
          <w:sz w:val="22"/>
          <w:szCs w:val="22"/>
        </w:rPr>
        <w:t>Conclusion</w:t>
      </w:r>
    </w:p>
    <w:p w14:paraId="26855606" w14:textId="77777777" w:rsidR="00914D5C" w:rsidRPr="009E6BC6" w:rsidRDefault="00914D5C" w:rsidP="00914D5C">
      <w:pPr>
        <w:spacing w:line="360" w:lineRule="auto"/>
        <w:outlineLvl w:val="0"/>
        <w:rPr>
          <w:rFonts w:ascii="Arial" w:hAnsi="Arial" w:cs="Arial"/>
          <w:b/>
          <w:sz w:val="20"/>
        </w:rPr>
      </w:pPr>
      <w:r w:rsidRPr="009E6BC6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Determination</w:t>
      </w:r>
      <w:r w:rsidRPr="009E6BC6">
        <w:rPr>
          <w:rFonts w:ascii="Arial" w:hAnsi="Arial" w:cs="Arial"/>
          <w:sz w:val="20"/>
        </w:rPr>
        <w:t xml:space="preserve"> is compatible with human rights as it does not raise any human rights issues.</w:t>
      </w:r>
      <w:bookmarkStart w:id="1" w:name="_GoBack"/>
      <w:bookmarkEnd w:id="1"/>
    </w:p>
    <w:sectPr w:rsidR="00914D5C" w:rsidRPr="009E6BC6" w:rsidSect="008C193D">
      <w:footerReference w:type="default" r:id="rId16"/>
      <w:pgSz w:w="11907" w:h="16840" w:code="9"/>
      <w:pgMar w:top="1440" w:right="164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B1B9C" w14:textId="77777777" w:rsidR="003C4EDF" w:rsidRDefault="003C4EDF">
      <w:r>
        <w:separator/>
      </w:r>
    </w:p>
  </w:endnote>
  <w:endnote w:type="continuationSeparator" w:id="0">
    <w:p w14:paraId="15184CA1" w14:textId="77777777" w:rsidR="003C4EDF" w:rsidRDefault="003C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29015" w14:textId="472F9166" w:rsidR="001F061F" w:rsidRDefault="001F061F">
    <w:pPr>
      <w:pStyle w:val="Footer"/>
      <w:rPr>
        <w:rStyle w:val="PageNumber"/>
        <w:sz w:val="16"/>
        <w:szCs w:val="16"/>
      </w:rPr>
    </w:pPr>
    <w:r w:rsidRPr="00E363A4">
      <w:rPr>
        <w:sz w:val="16"/>
        <w:szCs w:val="16"/>
        <w:lang w:val="en-AU"/>
      </w:rPr>
      <w:tab/>
    </w:r>
    <w:r w:rsidRPr="00E363A4">
      <w:rPr>
        <w:sz w:val="16"/>
        <w:szCs w:val="16"/>
        <w:lang w:val="en-AU"/>
      </w:rPr>
      <w:tab/>
      <w:t xml:space="preserve">Page </w:t>
    </w:r>
    <w:r w:rsidRPr="00E363A4">
      <w:rPr>
        <w:rStyle w:val="PageNumber"/>
        <w:sz w:val="16"/>
        <w:szCs w:val="16"/>
      </w:rPr>
      <w:fldChar w:fldCharType="begin"/>
    </w:r>
    <w:r w:rsidRPr="00E363A4">
      <w:rPr>
        <w:rStyle w:val="PageNumber"/>
        <w:sz w:val="16"/>
        <w:szCs w:val="16"/>
      </w:rPr>
      <w:instrText xml:space="preserve"> PAGE </w:instrText>
    </w:r>
    <w:r w:rsidRPr="00E363A4">
      <w:rPr>
        <w:rStyle w:val="PageNumber"/>
        <w:sz w:val="16"/>
        <w:szCs w:val="16"/>
      </w:rPr>
      <w:fldChar w:fldCharType="separate"/>
    </w:r>
    <w:r w:rsidR="00600CCD">
      <w:rPr>
        <w:rStyle w:val="PageNumber"/>
        <w:noProof/>
        <w:sz w:val="16"/>
        <w:szCs w:val="16"/>
      </w:rPr>
      <w:t>3</w:t>
    </w:r>
    <w:r w:rsidRPr="00E363A4">
      <w:rPr>
        <w:rStyle w:val="PageNumber"/>
        <w:sz w:val="16"/>
        <w:szCs w:val="16"/>
      </w:rPr>
      <w:fldChar w:fldCharType="end"/>
    </w:r>
  </w:p>
  <w:p w14:paraId="0E8E4ECC" w14:textId="77777777" w:rsidR="001F061F" w:rsidRPr="00E363A4" w:rsidRDefault="001F061F" w:rsidP="00E37E46">
    <w:pPr>
      <w:pStyle w:val="Footer"/>
      <w:jc w:val="right"/>
      <w:rPr>
        <w:sz w:val="16"/>
        <w:szCs w:val="16"/>
        <w:lang w:val="en-A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F65B3" w14:textId="77777777" w:rsidR="003C4EDF" w:rsidRDefault="003C4EDF">
      <w:r>
        <w:separator/>
      </w:r>
    </w:p>
  </w:footnote>
  <w:footnote w:type="continuationSeparator" w:id="0">
    <w:p w14:paraId="16EE338F" w14:textId="77777777" w:rsidR="003C4EDF" w:rsidRDefault="003C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E56AF"/>
    <w:multiLevelType w:val="hybridMultilevel"/>
    <w:tmpl w:val="9424D25C"/>
    <w:lvl w:ilvl="0" w:tplc="01EE7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D264EA0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C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0529BC"/>
    <w:multiLevelType w:val="hybridMultilevel"/>
    <w:tmpl w:val="8EACE15A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610C97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AB45DD"/>
    <w:multiLevelType w:val="hybridMultilevel"/>
    <w:tmpl w:val="FE92CE0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C610C97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C36BFF"/>
    <w:multiLevelType w:val="hybridMultilevel"/>
    <w:tmpl w:val="ADCC0F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42B66"/>
    <w:multiLevelType w:val="hybridMultilevel"/>
    <w:tmpl w:val="B43E625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D264EA0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B135288"/>
    <w:multiLevelType w:val="hybridMultilevel"/>
    <w:tmpl w:val="D1903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B2CDB"/>
    <w:multiLevelType w:val="hybridMultilevel"/>
    <w:tmpl w:val="25A0B66E"/>
    <w:lvl w:ilvl="0" w:tplc="5E045DF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23B7B"/>
    <w:multiLevelType w:val="hybridMultilevel"/>
    <w:tmpl w:val="5628B10A"/>
    <w:lvl w:ilvl="0" w:tplc="0C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340601E0"/>
    <w:multiLevelType w:val="singleLevel"/>
    <w:tmpl w:val="8D466266"/>
    <w:lvl w:ilvl="0">
      <w:start w:val="1"/>
      <w:numFmt w:val="lowerLetter"/>
      <w:lvlText w:val="(%1)"/>
      <w:legacy w:legacy="1" w:legacySpace="0" w:legacyIndent="990"/>
      <w:lvlJc w:val="left"/>
      <w:rPr>
        <w:rFonts w:ascii="Times New Roman" w:hAnsi="Times New Roman" w:cs="Times New Roman" w:hint="default"/>
      </w:rPr>
    </w:lvl>
  </w:abstractNum>
  <w:abstractNum w:abstractNumId="9">
    <w:nsid w:val="3BEE54DC"/>
    <w:multiLevelType w:val="hybridMultilevel"/>
    <w:tmpl w:val="93349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7471B"/>
    <w:multiLevelType w:val="hybridMultilevel"/>
    <w:tmpl w:val="0E900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37469"/>
    <w:multiLevelType w:val="hybridMultilevel"/>
    <w:tmpl w:val="83084772"/>
    <w:lvl w:ilvl="0" w:tplc="C610C9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661922"/>
    <w:multiLevelType w:val="hybridMultilevel"/>
    <w:tmpl w:val="AFC6C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F1629B"/>
    <w:multiLevelType w:val="hybridMultilevel"/>
    <w:tmpl w:val="20BE9380"/>
    <w:lvl w:ilvl="0" w:tplc="5E045DF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984E7F"/>
    <w:multiLevelType w:val="hybridMultilevel"/>
    <w:tmpl w:val="5D726332"/>
    <w:lvl w:ilvl="0" w:tplc="93080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597E9B"/>
    <w:multiLevelType w:val="hybridMultilevel"/>
    <w:tmpl w:val="A74EF76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5F6731"/>
    <w:multiLevelType w:val="hybridMultilevel"/>
    <w:tmpl w:val="0728E2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B47030"/>
    <w:multiLevelType w:val="hybridMultilevel"/>
    <w:tmpl w:val="5192C25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780458"/>
    <w:multiLevelType w:val="hybridMultilevel"/>
    <w:tmpl w:val="C7B29952"/>
    <w:lvl w:ilvl="0" w:tplc="5E045DF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CB5F6D"/>
    <w:multiLevelType w:val="hybridMultilevel"/>
    <w:tmpl w:val="369ED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4"/>
  </w:num>
  <w:num w:numId="5">
    <w:abstractNumId w:val="1"/>
  </w:num>
  <w:num w:numId="6">
    <w:abstractNumId w:val="2"/>
  </w:num>
  <w:num w:numId="7">
    <w:abstractNumId w:val="15"/>
  </w:num>
  <w:num w:numId="8">
    <w:abstractNumId w:val="17"/>
  </w:num>
  <w:num w:numId="9">
    <w:abstractNumId w:val="7"/>
  </w:num>
  <w:num w:numId="10">
    <w:abstractNumId w:val="12"/>
  </w:num>
  <w:num w:numId="11">
    <w:abstractNumId w:val="16"/>
  </w:num>
  <w:num w:numId="12">
    <w:abstractNumId w:val="9"/>
  </w:num>
  <w:num w:numId="13">
    <w:abstractNumId w:val="5"/>
  </w:num>
  <w:num w:numId="14">
    <w:abstractNumId w:val="3"/>
  </w:num>
  <w:num w:numId="15">
    <w:abstractNumId w:val="13"/>
  </w:num>
  <w:num w:numId="16">
    <w:abstractNumId w:val="6"/>
  </w:num>
  <w:num w:numId="17">
    <w:abstractNumId w:val="18"/>
  </w:num>
  <w:num w:numId="18">
    <w:abstractNumId w:val="19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D2"/>
    <w:rsid w:val="00007380"/>
    <w:rsid w:val="000129F4"/>
    <w:rsid w:val="000F291E"/>
    <w:rsid w:val="000F5A87"/>
    <w:rsid w:val="000F6E40"/>
    <w:rsid w:val="0010535C"/>
    <w:rsid w:val="001119EE"/>
    <w:rsid w:val="00134C81"/>
    <w:rsid w:val="001477D9"/>
    <w:rsid w:val="00155F36"/>
    <w:rsid w:val="00163740"/>
    <w:rsid w:val="001805F7"/>
    <w:rsid w:val="001A3FB0"/>
    <w:rsid w:val="001C731C"/>
    <w:rsid w:val="001D011E"/>
    <w:rsid w:val="001D109A"/>
    <w:rsid w:val="001D1E80"/>
    <w:rsid w:val="001D35D9"/>
    <w:rsid w:val="001F061F"/>
    <w:rsid w:val="0020657B"/>
    <w:rsid w:val="002170D6"/>
    <w:rsid w:val="00220217"/>
    <w:rsid w:val="0023691A"/>
    <w:rsid w:val="00251BF2"/>
    <w:rsid w:val="00262135"/>
    <w:rsid w:val="00270C0F"/>
    <w:rsid w:val="002A154D"/>
    <w:rsid w:val="002B5A57"/>
    <w:rsid w:val="003058D6"/>
    <w:rsid w:val="003750B2"/>
    <w:rsid w:val="003B11AA"/>
    <w:rsid w:val="003C07DA"/>
    <w:rsid w:val="003C4EDF"/>
    <w:rsid w:val="003E47A2"/>
    <w:rsid w:val="00404140"/>
    <w:rsid w:val="00404B5B"/>
    <w:rsid w:val="0040603E"/>
    <w:rsid w:val="00406932"/>
    <w:rsid w:val="00410016"/>
    <w:rsid w:val="00473194"/>
    <w:rsid w:val="004B2CE1"/>
    <w:rsid w:val="004B3EB0"/>
    <w:rsid w:val="004D63E8"/>
    <w:rsid w:val="005032F5"/>
    <w:rsid w:val="00512CE7"/>
    <w:rsid w:val="00513056"/>
    <w:rsid w:val="00530C80"/>
    <w:rsid w:val="005335CE"/>
    <w:rsid w:val="00554B46"/>
    <w:rsid w:val="00564B81"/>
    <w:rsid w:val="0057079D"/>
    <w:rsid w:val="005C4BF3"/>
    <w:rsid w:val="00600CCD"/>
    <w:rsid w:val="00613C40"/>
    <w:rsid w:val="0062108A"/>
    <w:rsid w:val="00671769"/>
    <w:rsid w:val="006A48FC"/>
    <w:rsid w:val="006E17C2"/>
    <w:rsid w:val="006E74D2"/>
    <w:rsid w:val="0070164B"/>
    <w:rsid w:val="00710B83"/>
    <w:rsid w:val="00751401"/>
    <w:rsid w:val="00764DE8"/>
    <w:rsid w:val="007A728A"/>
    <w:rsid w:val="007D3EAE"/>
    <w:rsid w:val="007E4039"/>
    <w:rsid w:val="007F6445"/>
    <w:rsid w:val="00815970"/>
    <w:rsid w:val="00854FE1"/>
    <w:rsid w:val="00856F16"/>
    <w:rsid w:val="00881C61"/>
    <w:rsid w:val="00893971"/>
    <w:rsid w:val="008C193D"/>
    <w:rsid w:val="008E26E4"/>
    <w:rsid w:val="008F7EDB"/>
    <w:rsid w:val="00914D5C"/>
    <w:rsid w:val="00927987"/>
    <w:rsid w:val="00934393"/>
    <w:rsid w:val="0096200C"/>
    <w:rsid w:val="00963C37"/>
    <w:rsid w:val="00977439"/>
    <w:rsid w:val="009975E7"/>
    <w:rsid w:val="009D358F"/>
    <w:rsid w:val="009E4A20"/>
    <w:rsid w:val="009F38D2"/>
    <w:rsid w:val="00A01D74"/>
    <w:rsid w:val="00A608FD"/>
    <w:rsid w:val="00A61538"/>
    <w:rsid w:val="00A92A27"/>
    <w:rsid w:val="00AD25A0"/>
    <w:rsid w:val="00AE06A6"/>
    <w:rsid w:val="00AE5BEB"/>
    <w:rsid w:val="00AF21C8"/>
    <w:rsid w:val="00B12571"/>
    <w:rsid w:val="00B30F15"/>
    <w:rsid w:val="00B663D0"/>
    <w:rsid w:val="00B66A62"/>
    <w:rsid w:val="00B75E10"/>
    <w:rsid w:val="00B87B6E"/>
    <w:rsid w:val="00BC3394"/>
    <w:rsid w:val="00BF1E45"/>
    <w:rsid w:val="00C32EC3"/>
    <w:rsid w:val="00C9119A"/>
    <w:rsid w:val="00CD6F3C"/>
    <w:rsid w:val="00CD709E"/>
    <w:rsid w:val="00CF7386"/>
    <w:rsid w:val="00D12479"/>
    <w:rsid w:val="00D372E6"/>
    <w:rsid w:val="00D635E9"/>
    <w:rsid w:val="00D63AC4"/>
    <w:rsid w:val="00D73897"/>
    <w:rsid w:val="00D943D4"/>
    <w:rsid w:val="00DF360F"/>
    <w:rsid w:val="00DF7CAE"/>
    <w:rsid w:val="00E132CB"/>
    <w:rsid w:val="00E226D5"/>
    <w:rsid w:val="00E30521"/>
    <w:rsid w:val="00E3467B"/>
    <w:rsid w:val="00E37E46"/>
    <w:rsid w:val="00E62CC5"/>
    <w:rsid w:val="00E73686"/>
    <w:rsid w:val="00E8455D"/>
    <w:rsid w:val="00EA5D84"/>
    <w:rsid w:val="00ED008A"/>
    <w:rsid w:val="00ED7DBA"/>
    <w:rsid w:val="00EE2E9E"/>
    <w:rsid w:val="00EF3C38"/>
    <w:rsid w:val="00F329E7"/>
    <w:rsid w:val="00F74EFC"/>
    <w:rsid w:val="00F76DB4"/>
    <w:rsid w:val="00F81F91"/>
    <w:rsid w:val="00FA01EA"/>
    <w:rsid w:val="00FA128B"/>
    <w:rsid w:val="00FC16D2"/>
    <w:rsid w:val="00FC46F6"/>
    <w:rsid w:val="00FD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3D4E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F36"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F38D2"/>
    <w:pPr>
      <w:spacing w:after="120"/>
    </w:pPr>
    <w:rPr>
      <w:lang w:val="en-AU"/>
    </w:rPr>
  </w:style>
  <w:style w:type="paragraph" w:styleId="Footer">
    <w:name w:val="footer"/>
    <w:basedOn w:val="Normal"/>
    <w:rsid w:val="009F38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F38D2"/>
  </w:style>
  <w:style w:type="paragraph" w:styleId="Header">
    <w:name w:val="header"/>
    <w:basedOn w:val="Normal"/>
    <w:rsid w:val="009F38D2"/>
    <w:pPr>
      <w:tabs>
        <w:tab w:val="center" w:pos="4153"/>
        <w:tab w:val="right" w:pos="8306"/>
      </w:tabs>
    </w:pPr>
    <w:rPr>
      <w:lang w:val="en-AU"/>
    </w:rPr>
  </w:style>
  <w:style w:type="paragraph" w:styleId="NormalWeb">
    <w:name w:val="Normal (Web)"/>
    <w:basedOn w:val="Normal"/>
    <w:rsid w:val="00613C40"/>
    <w:pPr>
      <w:spacing w:before="100" w:beforeAutospacing="1" w:after="100" w:afterAutospacing="1"/>
    </w:pPr>
    <w:rPr>
      <w:szCs w:val="24"/>
      <w:lang w:val="en-AU"/>
    </w:rPr>
  </w:style>
  <w:style w:type="paragraph" w:customStyle="1" w:styleId="P1">
    <w:name w:val="P1"/>
    <w:aliases w:val="(a)"/>
    <w:basedOn w:val="Normal"/>
    <w:rsid w:val="00D943D4"/>
    <w:pPr>
      <w:tabs>
        <w:tab w:val="right" w:pos="1191"/>
      </w:tabs>
      <w:spacing w:before="60" w:line="260" w:lineRule="exact"/>
      <w:ind w:left="1418" w:hanging="1418"/>
      <w:jc w:val="both"/>
    </w:pPr>
    <w:rPr>
      <w:noProof/>
      <w:szCs w:val="24"/>
      <w:lang w:val="en-AU" w:eastAsia="en-US"/>
    </w:rPr>
  </w:style>
  <w:style w:type="paragraph" w:styleId="ListParagraph">
    <w:name w:val="List Paragraph"/>
    <w:basedOn w:val="Normal"/>
    <w:uiPriority w:val="34"/>
    <w:qFormat/>
    <w:rsid w:val="00914D5C"/>
    <w:pPr>
      <w:ind w:left="720"/>
    </w:pPr>
    <w:rPr>
      <w:szCs w:val="24"/>
      <w:lang w:val="en-US" w:eastAsia="en-US"/>
    </w:rPr>
  </w:style>
  <w:style w:type="paragraph" w:customStyle="1" w:styleId="indenta">
    <w:name w:val="indenta"/>
    <w:basedOn w:val="Normal"/>
    <w:rsid w:val="00914D5C"/>
    <w:pPr>
      <w:spacing w:before="100" w:beforeAutospacing="1" w:after="100" w:afterAutospacing="1"/>
    </w:pPr>
    <w:rPr>
      <w:szCs w:val="24"/>
      <w:lang w:val="en-AU"/>
    </w:rPr>
  </w:style>
  <w:style w:type="character" w:customStyle="1" w:styleId="charsectno">
    <w:name w:val="charsectno"/>
    <w:basedOn w:val="DefaultParagraphFont"/>
    <w:rsid w:val="00914D5C"/>
  </w:style>
  <w:style w:type="character" w:customStyle="1" w:styleId="apple-converted-space">
    <w:name w:val="apple-converted-space"/>
    <w:basedOn w:val="DefaultParagraphFont"/>
    <w:rsid w:val="00914D5C"/>
  </w:style>
  <w:style w:type="paragraph" w:customStyle="1" w:styleId="ACMABodyText">
    <w:name w:val="ACMA Body Text"/>
    <w:rsid w:val="002B5A57"/>
    <w:pPr>
      <w:suppressAutoHyphens/>
      <w:spacing w:before="80" w:after="120" w:line="280" w:lineRule="atLeast"/>
    </w:pPr>
    <w:rPr>
      <w:snapToGrid w:val="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A128B"/>
    <w:rPr>
      <w:strike w:val="0"/>
      <w:dstrike w:val="0"/>
      <w:color w:val="0000EE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F6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E4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E4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E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E40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E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E40"/>
    <w:rPr>
      <w:b/>
      <w:bCs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5970"/>
    <w:rPr>
      <w:color w:val="800080" w:themeColor="followedHyperlink"/>
      <w:u w:val="single"/>
    </w:rPr>
  </w:style>
  <w:style w:type="paragraph" w:customStyle="1" w:styleId="R1">
    <w:name w:val="R1"/>
    <w:aliases w:val="1. or 1.(1)"/>
    <w:basedOn w:val="Normal"/>
    <w:next w:val="Normal"/>
    <w:rsid w:val="008F7EDB"/>
    <w:pPr>
      <w:tabs>
        <w:tab w:val="right" w:pos="794"/>
      </w:tabs>
      <w:spacing w:before="120" w:line="260" w:lineRule="exact"/>
      <w:ind w:left="964" w:hanging="964"/>
      <w:jc w:val="both"/>
    </w:pPr>
    <w:rPr>
      <w:noProof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90497">
                          <w:marLeft w:val="0"/>
                          <w:marRight w:val="12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8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omlaw.gov.au/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acma.gov.au/theACMA/Consultations/Consultations/Sunsetting/sunsetting-issues-for-com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KNAH4PPFC442-3114-904</_dlc_DocId>
    <_dlc_DocIdUrl xmlns="6db8f3c6-01a1-4322-b043-a3b2a190f7a8">
      <Url>http://collaboration/organisation/Auth/Chair/Auth/_layouts/DocIdRedir.aspx?ID=KNAH4PPFC442-3114-904</Url>
      <Description>KNAH4PPFC442-3114-904</Description>
    </_dlc_DocIdUrl>
    <Record_x0020_Number xmlns="83630db1-6fc2-4dfd-b3fe-d61d34e1440c" xsi:nil="true"/>
    <Legacy_x0020_Record_x0020_Number xmlns="83630db1-6fc2-4dfd-b3fe-d61d34e1440c" xsi:nil="true"/>
    <IconOverlay xmlns="http://schemas.microsoft.com/sharepoint/v4" xsi:nil="true"/>
    <Category xmlns="5e268b55-9e20-462b-aba6-694451a37717">(none)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cord" ma:contentTypeID="0x01010070E27D6A746B5B48ADF22C2128054D5500EE817EA22CCD994CB2E127746CF12863" ma:contentTypeVersion="40" ma:contentTypeDescription="A document enhanced so that it is automatically captured by RecordPoint." ma:contentTypeScope="" ma:versionID="e4b41f60994b85d41917cbc701e8f128">
  <xsd:schema xmlns:xsd="http://www.w3.org/2001/XMLSchema" xmlns:xs="http://www.w3.org/2001/XMLSchema" xmlns:p="http://schemas.microsoft.com/office/2006/metadata/properties" xmlns:ns2="83630db1-6fc2-4dfd-b3fe-d61d34e1440c" xmlns:ns3="6db8f3c6-01a1-4322-b043-a3b2a190f7a8" xmlns:ns4="5e268b55-9e20-462b-aba6-694451a37717" xmlns:ns5="http://schemas.microsoft.com/sharepoint/v4" targetNamespace="http://schemas.microsoft.com/office/2006/metadata/properties" ma:root="true" ma:fieldsID="e9deb499b43edd75fe619984536fd035" ns2:_="" ns3:_="" ns4:_="" ns5:_="">
    <xsd:import namespace="83630db1-6fc2-4dfd-b3fe-d61d34e1440c"/>
    <xsd:import namespace="6db8f3c6-01a1-4322-b043-a3b2a190f7a8"/>
    <xsd:import namespace="5e268b55-9e20-462b-aba6-694451a3771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Legacy_x0020_Record_x0020_Number" minOccurs="0"/>
                <xsd:element ref="ns2:Record_x0020_Number" minOccurs="0"/>
                <xsd:element ref="ns3:_dlc_DocId" minOccurs="0"/>
                <xsd:element ref="ns3:_dlc_DocIdUrl" minOccurs="0"/>
                <xsd:element ref="ns3:_dlc_DocIdPersistId" minOccurs="0"/>
                <xsd:element ref="ns4:Category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0db1-6fc2-4dfd-b3fe-d61d34e1440c" elementFormDefault="qualified">
    <xsd:import namespace="http://schemas.microsoft.com/office/2006/documentManagement/types"/>
    <xsd:import namespace="http://schemas.microsoft.com/office/infopath/2007/PartnerControls"/>
    <xsd:element name="Legacy_x0020_Record_x0020_Number" ma:index="8" nillable="true" ma:displayName="Legacy Record Number" ma:description="Captures legacy record numbers, eg from TRIM." ma:internalName="Legacy_x0020_Record_x0020_Number">
      <xsd:simpleType>
        <xsd:restriction base="dms:Text">
          <xsd:maxLength value="40"/>
        </xsd:restriction>
      </xsd:simpleType>
    </xsd:element>
    <xsd:element name="Record_x0020_Number" ma:index="9" nillable="true" ma:displayName="Record Number" ma:internalName="Record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68b55-9e20-462b-aba6-694451a37717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033047a-93aa-421b-8aef-52cbfb63cf36" ContentTypeId="0x01010070E27D6A746B5B48ADF22C2128054D55" PreviousValue="false"/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CED6F-438F-4432-9867-2055C559CF64}">
  <ds:schemaRefs>
    <ds:schemaRef ds:uri="http://schemas.microsoft.com/office/2006/metadata/properties"/>
    <ds:schemaRef ds:uri="http://schemas.microsoft.com/office/infopath/2007/PartnerControls"/>
    <ds:schemaRef ds:uri="6db8f3c6-01a1-4322-b043-a3b2a190f7a8"/>
    <ds:schemaRef ds:uri="83630db1-6fc2-4dfd-b3fe-d61d34e1440c"/>
    <ds:schemaRef ds:uri="http://schemas.microsoft.com/sharepoint/v4"/>
    <ds:schemaRef ds:uri="5e268b55-9e20-462b-aba6-694451a37717"/>
  </ds:schemaRefs>
</ds:datastoreItem>
</file>

<file path=customXml/itemProps2.xml><?xml version="1.0" encoding="utf-8"?>
<ds:datastoreItem xmlns:ds="http://schemas.openxmlformats.org/officeDocument/2006/customXml" ds:itemID="{EFF7BF0D-9CE3-4A4B-B2A0-2FE61A725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30db1-6fc2-4dfd-b3fe-d61d34e1440c"/>
    <ds:schemaRef ds:uri="6db8f3c6-01a1-4322-b043-a3b2a190f7a8"/>
    <ds:schemaRef ds:uri="5e268b55-9e20-462b-aba6-694451a3771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499376-2A6A-4717-947F-2AF3D045A91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C419E20-4D13-46BA-B1C0-DDA61295E4D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2982FDC-608D-4136-8515-0B6A709F61F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6C95CC2-5149-4018-8B0E-70339514DC96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51772FE4-DCC9-49BB-AA95-F1D72FD1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2015-08-25T05:15:00Z</dcterms:created>
  <dcterms:modified xsi:type="dcterms:W3CDTF">2015-08-31T04:12:00Z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51f57ef3-f6cd-4176-a34a-40a5bedcb897</vt:lpwstr>
  </property>
  <property fmtid="{D5CDD505-2E9C-101B-9397-08002B2CF9AE}" pid="3" name="ContentTypeId">
    <vt:lpwstr>0x01010070E27D6A746B5B48ADF22C2128054D5500EE817EA22CCD994CB2E127746CF12863</vt:lpwstr>
  </property>
  <property fmtid="{D5CDD505-2E9C-101B-9397-08002B2CF9AE}" pid="4" name="RecordPoint_SubmissionDate">
    <vt:lpwstr/>
  </property>
  <property fmtid="{D5CDD505-2E9C-101B-9397-08002B2CF9AE}" pid="5" name="RecordPoint_ActiveItemSiteId">
    <vt:lpwstr>{7ba5f3c1-1ab9-4cc3-a7c0-334d2b0aec73}</vt:lpwstr>
  </property>
  <property fmtid="{D5CDD505-2E9C-101B-9397-08002B2CF9AE}" pid="6" name="RecordPoint_ActiveItemListId">
    <vt:lpwstr>{f1c3c3d6-c421-46f6-a621-f79f6b29635f}</vt:lpwstr>
  </property>
  <property fmtid="{D5CDD505-2E9C-101B-9397-08002B2CF9AE}" pid="7" name="RecordPoint_ActiveItemMoved">
    <vt:lpwstr/>
  </property>
  <property fmtid="{D5CDD505-2E9C-101B-9397-08002B2CF9AE}" pid="8" name="RecordPoint_SubmissionCompleted">
    <vt:lpwstr/>
  </property>
  <property fmtid="{D5CDD505-2E9C-101B-9397-08002B2CF9AE}" pid="9" name="RecordPoint_ActiveItemUniqueId">
    <vt:lpwstr>{51f57ef3-f6cd-4176-a34a-40a5bedcb897}</vt:lpwstr>
  </property>
  <property fmtid="{D5CDD505-2E9C-101B-9397-08002B2CF9AE}" pid="10" name="RecordPoint_RecordFormat">
    <vt:lpwstr/>
  </property>
  <property fmtid="{D5CDD505-2E9C-101B-9397-08002B2CF9AE}" pid="11" name="RecordPoint_ActiveItemWebId">
    <vt:lpwstr>{e61cc4da-a431-400f-9f48-bf2ba12a7e9a}</vt:lpwstr>
  </property>
  <property fmtid="{D5CDD505-2E9C-101B-9397-08002B2CF9AE}" pid="12" name="RecordPoint_WorkflowType">
    <vt:lpwstr>ActiveSubmitStub</vt:lpwstr>
  </property>
</Properties>
</file>