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CA534" w14:textId="77777777" w:rsidR="00914D5C" w:rsidRPr="005A5476" w:rsidRDefault="00914D5C" w:rsidP="00914D5C">
      <w:pPr>
        <w:spacing w:line="360" w:lineRule="auto"/>
        <w:jc w:val="center"/>
        <w:outlineLvl w:val="0"/>
        <w:rPr>
          <w:rFonts w:ascii="Arial" w:hAnsi="Arial" w:cs="Arial"/>
          <w:b/>
          <w:sz w:val="22"/>
          <w:szCs w:val="22"/>
          <w:lang w:val="en-AU"/>
        </w:rPr>
      </w:pPr>
      <w:r w:rsidRPr="005A5476">
        <w:rPr>
          <w:rFonts w:ascii="Arial" w:hAnsi="Arial" w:cs="Arial"/>
          <w:b/>
          <w:sz w:val="22"/>
          <w:szCs w:val="22"/>
          <w:lang w:val="en-AU"/>
        </w:rPr>
        <w:t>EXPLANATORY STATEMENT</w:t>
      </w:r>
    </w:p>
    <w:p w14:paraId="4BDA985A" w14:textId="77777777" w:rsidR="00914D5C" w:rsidRPr="005A5476" w:rsidRDefault="00914D5C" w:rsidP="00914D5C">
      <w:pPr>
        <w:spacing w:line="360" w:lineRule="auto"/>
        <w:jc w:val="center"/>
        <w:rPr>
          <w:rFonts w:ascii="Arial" w:hAnsi="Arial" w:cs="Arial"/>
          <w:i/>
          <w:sz w:val="22"/>
          <w:szCs w:val="22"/>
          <w:lang w:val="en-AU"/>
        </w:rPr>
      </w:pPr>
    </w:p>
    <w:p w14:paraId="1C139415" w14:textId="77777777" w:rsidR="00914D5C" w:rsidRDefault="00914D5C" w:rsidP="00192511">
      <w:pPr>
        <w:jc w:val="center"/>
        <w:outlineLvl w:val="0"/>
        <w:rPr>
          <w:rFonts w:ascii="Arial" w:hAnsi="Arial" w:cs="Arial"/>
          <w:sz w:val="22"/>
          <w:szCs w:val="22"/>
          <w:lang w:val="en-AU"/>
        </w:rPr>
      </w:pPr>
      <w:r w:rsidRPr="005A5476">
        <w:rPr>
          <w:rFonts w:ascii="Arial" w:hAnsi="Arial" w:cs="Arial"/>
          <w:sz w:val="22"/>
          <w:szCs w:val="22"/>
          <w:lang w:val="en-AU"/>
        </w:rPr>
        <w:t>Issued by the Australian Communications and Media Authority</w:t>
      </w:r>
    </w:p>
    <w:p w14:paraId="2CD39CDF" w14:textId="77777777" w:rsidR="00192511" w:rsidRPr="005A5476" w:rsidRDefault="00192511" w:rsidP="00192511">
      <w:pPr>
        <w:jc w:val="center"/>
        <w:outlineLvl w:val="0"/>
        <w:rPr>
          <w:rFonts w:ascii="Arial" w:hAnsi="Arial" w:cs="Arial"/>
          <w:sz w:val="22"/>
          <w:szCs w:val="22"/>
          <w:lang w:val="en-AU"/>
        </w:rPr>
      </w:pPr>
    </w:p>
    <w:p w14:paraId="450886FF" w14:textId="1B73F088" w:rsidR="00192511" w:rsidRPr="005A5476" w:rsidRDefault="00192511" w:rsidP="00192511">
      <w:pPr>
        <w:tabs>
          <w:tab w:val="left" w:pos="4741"/>
        </w:tabs>
        <w:jc w:val="center"/>
        <w:rPr>
          <w:rFonts w:ascii="Arial" w:hAnsi="Arial" w:cs="Arial"/>
          <w:sz w:val="22"/>
          <w:szCs w:val="22"/>
          <w:lang w:val="en-AU"/>
        </w:rPr>
      </w:pPr>
      <w:r w:rsidRPr="00B658AE">
        <w:rPr>
          <w:rFonts w:ascii="Arial" w:hAnsi="Arial" w:cs="Arial"/>
          <w:i/>
          <w:sz w:val="22"/>
          <w:szCs w:val="22"/>
          <w:lang w:val="en-AU"/>
        </w:rPr>
        <w:t xml:space="preserve">Radiocommunications </w:t>
      </w:r>
      <w:r>
        <w:rPr>
          <w:rFonts w:ascii="Arial" w:hAnsi="Arial" w:cs="Arial"/>
          <w:i/>
          <w:sz w:val="22"/>
          <w:szCs w:val="22"/>
          <w:lang w:val="en-AU"/>
        </w:rPr>
        <w:t>Licence Conditions (Outpost Licence) Determination 201</w:t>
      </w:r>
      <w:r w:rsidR="005D2415">
        <w:rPr>
          <w:rFonts w:ascii="Arial" w:hAnsi="Arial" w:cs="Arial"/>
          <w:i/>
          <w:sz w:val="22"/>
          <w:szCs w:val="22"/>
          <w:lang w:val="en-AU"/>
        </w:rPr>
        <w:t>5</w:t>
      </w:r>
    </w:p>
    <w:p w14:paraId="71D00BFC" w14:textId="77777777" w:rsidR="00192511" w:rsidRDefault="00192511" w:rsidP="00192511">
      <w:pPr>
        <w:rPr>
          <w:rFonts w:ascii="Arial" w:hAnsi="Arial" w:cs="Arial"/>
          <w:b/>
          <w:sz w:val="22"/>
          <w:szCs w:val="22"/>
          <w:lang w:val="en-AU"/>
        </w:rPr>
      </w:pPr>
    </w:p>
    <w:p w14:paraId="04E43B49" w14:textId="77777777" w:rsidR="00914D5C" w:rsidRPr="005A5476" w:rsidRDefault="00914D5C" w:rsidP="00914D5C">
      <w:pPr>
        <w:spacing w:line="360" w:lineRule="auto"/>
        <w:outlineLvl w:val="0"/>
        <w:rPr>
          <w:rFonts w:ascii="Arial" w:hAnsi="Arial" w:cs="Arial"/>
          <w:b/>
          <w:sz w:val="22"/>
          <w:szCs w:val="22"/>
          <w:lang w:val="en-AU"/>
        </w:rPr>
      </w:pPr>
      <w:r w:rsidRPr="005A5476">
        <w:rPr>
          <w:rFonts w:ascii="Arial" w:hAnsi="Arial" w:cs="Arial"/>
          <w:b/>
          <w:sz w:val="22"/>
          <w:szCs w:val="22"/>
          <w:lang w:val="en-AU"/>
        </w:rPr>
        <w:t>Purpose</w:t>
      </w:r>
    </w:p>
    <w:p w14:paraId="42C30CDA" w14:textId="211B2B69" w:rsidR="00914D5C" w:rsidRDefault="008B0167" w:rsidP="00914D5C">
      <w:pPr>
        <w:rPr>
          <w:rFonts w:ascii="Arial" w:hAnsi="Arial" w:cs="Arial"/>
          <w:sz w:val="20"/>
        </w:rPr>
      </w:pPr>
      <w:r>
        <w:rPr>
          <w:rFonts w:ascii="Arial" w:hAnsi="Arial" w:cs="Arial"/>
          <w:sz w:val="20"/>
        </w:rPr>
        <w:t>T</w:t>
      </w:r>
      <w:r w:rsidR="00914D5C">
        <w:rPr>
          <w:rFonts w:ascii="Arial" w:hAnsi="Arial" w:cs="Arial"/>
          <w:sz w:val="20"/>
        </w:rPr>
        <w:t>he Australian Communications and Media Authority (</w:t>
      </w:r>
      <w:r w:rsidR="00AE574B">
        <w:rPr>
          <w:rFonts w:ascii="Arial" w:hAnsi="Arial" w:cs="Arial"/>
          <w:sz w:val="20"/>
        </w:rPr>
        <w:t xml:space="preserve">the </w:t>
      </w:r>
      <w:r w:rsidR="00914D5C">
        <w:rPr>
          <w:rFonts w:ascii="Arial" w:hAnsi="Arial" w:cs="Arial"/>
          <w:sz w:val="20"/>
        </w:rPr>
        <w:t xml:space="preserve">ACMA) </w:t>
      </w:r>
      <w:r>
        <w:rPr>
          <w:rFonts w:ascii="Arial" w:hAnsi="Arial" w:cs="Arial"/>
          <w:sz w:val="20"/>
        </w:rPr>
        <w:t xml:space="preserve">has </w:t>
      </w:r>
      <w:r w:rsidR="00914D5C">
        <w:rPr>
          <w:rFonts w:ascii="Arial" w:hAnsi="Arial" w:cs="Arial"/>
          <w:sz w:val="20"/>
        </w:rPr>
        <w:t xml:space="preserve">made the </w:t>
      </w:r>
      <w:r w:rsidR="00914D5C" w:rsidRPr="009731AD">
        <w:rPr>
          <w:rFonts w:ascii="Arial" w:hAnsi="Arial" w:cs="Arial"/>
          <w:i/>
          <w:sz w:val="20"/>
        </w:rPr>
        <w:t xml:space="preserve">Radiocommunications </w:t>
      </w:r>
      <w:r w:rsidR="00914D5C">
        <w:rPr>
          <w:rFonts w:ascii="Arial" w:hAnsi="Arial" w:cs="Arial"/>
          <w:i/>
          <w:sz w:val="20"/>
        </w:rPr>
        <w:t>Licence Conditions (Outpost Licence) Determination 201</w:t>
      </w:r>
      <w:r w:rsidR="005D2415">
        <w:rPr>
          <w:rFonts w:ascii="Arial" w:hAnsi="Arial" w:cs="Arial"/>
          <w:i/>
          <w:sz w:val="20"/>
        </w:rPr>
        <w:t>5</w:t>
      </w:r>
      <w:r w:rsidR="00914D5C">
        <w:rPr>
          <w:rFonts w:ascii="Arial" w:hAnsi="Arial" w:cs="Arial"/>
          <w:sz w:val="20"/>
        </w:rPr>
        <w:t xml:space="preserve"> (the Determination).</w:t>
      </w:r>
    </w:p>
    <w:p w14:paraId="4FD0DCEA" w14:textId="77777777" w:rsidR="00914D5C" w:rsidRDefault="00914D5C" w:rsidP="00914D5C">
      <w:pPr>
        <w:rPr>
          <w:rFonts w:ascii="Arial" w:hAnsi="Arial" w:cs="Arial"/>
          <w:sz w:val="20"/>
        </w:rPr>
      </w:pPr>
    </w:p>
    <w:p w14:paraId="1AB7CF0F" w14:textId="66794F73" w:rsidR="00914D5C" w:rsidRDefault="00914D5C" w:rsidP="00914D5C">
      <w:pPr>
        <w:rPr>
          <w:rFonts w:ascii="Arial" w:hAnsi="Arial" w:cs="Arial"/>
          <w:sz w:val="20"/>
        </w:rPr>
      </w:pPr>
      <w:r>
        <w:rPr>
          <w:rFonts w:ascii="Arial" w:hAnsi="Arial" w:cs="Arial"/>
          <w:sz w:val="20"/>
        </w:rPr>
        <w:t xml:space="preserve">The Determination revokes and replaces the </w:t>
      </w:r>
      <w:r w:rsidRPr="009731AD">
        <w:rPr>
          <w:rFonts w:ascii="Arial" w:hAnsi="Arial" w:cs="Arial"/>
          <w:i/>
          <w:sz w:val="20"/>
        </w:rPr>
        <w:t xml:space="preserve">Radiocommunications </w:t>
      </w:r>
      <w:r>
        <w:rPr>
          <w:rFonts w:ascii="Arial" w:hAnsi="Arial" w:cs="Arial"/>
          <w:i/>
          <w:sz w:val="20"/>
        </w:rPr>
        <w:t>Licence Conditions (Outpost Licence) Determination 1997</w:t>
      </w:r>
      <w:r w:rsidRPr="005029D3">
        <w:rPr>
          <w:rFonts w:ascii="Arial" w:hAnsi="Arial" w:cs="Arial"/>
          <w:sz w:val="20"/>
        </w:rPr>
        <w:t xml:space="preserve"> </w:t>
      </w:r>
      <w:r>
        <w:rPr>
          <w:rFonts w:ascii="Arial" w:hAnsi="Arial" w:cs="Arial"/>
          <w:sz w:val="20"/>
        </w:rPr>
        <w:t xml:space="preserve">(the 1997 </w:t>
      </w:r>
      <w:r w:rsidR="009D358F">
        <w:rPr>
          <w:rFonts w:ascii="Arial" w:hAnsi="Arial" w:cs="Arial"/>
          <w:sz w:val="20"/>
        </w:rPr>
        <w:t>Determination</w:t>
      </w:r>
      <w:r>
        <w:rPr>
          <w:rFonts w:ascii="Arial" w:hAnsi="Arial" w:cs="Arial"/>
          <w:sz w:val="20"/>
        </w:rPr>
        <w:t xml:space="preserve">) without making any significant changes to the regulatory arrangements created by the 1997 </w:t>
      </w:r>
      <w:r w:rsidR="009D358F">
        <w:rPr>
          <w:rFonts w:ascii="Arial" w:hAnsi="Arial" w:cs="Arial"/>
          <w:sz w:val="20"/>
        </w:rPr>
        <w:t>Determination</w:t>
      </w:r>
      <w:r>
        <w:rPr>
          <w:rFonts w:ascii="Arial" w:hAnsi="Arial" w:cs="Arial"/>
          <w:sz w:val="20"/>
        </w:rPr>
        <w:t>.</w:t>
      </w:r>
    </w:p>
    <w:p w14:paraId="188F21F5" w14:textId="77777777" w:rsidR="00914D5C" w:rsidRDefault="00914D5C" w:rsidP="00914D5C">
      <w:pPr>
        <w:rPr>
          <w:rFonts w:ascii="Arial" w:hAnsi="Arial" w:cs="Arial"/>
          <w:sz w:val="20"/>
        </w:rPr>
      </w:pPr>
    </w:p>
    <w:p w14:paraId="46166DA0" w14:textId="58CC9650" w:rsidR="00914D5C" w:rsidRDefault="00914D5C" w:rsidP="00914D5C">
      <w:pPr>
        <w:rPr>
          <w:rFonts w:ascii="Arial" w:hAnsi="Arial" w:cs="Arial"/>
          <w:sz w:val="20"/>
        </w:rPr>
      </w:pPr>
      <w:r>
        <w:rPr>
          <w:rFonts w:ascii="Arial" w:hAnsi="Arial" w:cs="Arial"/>
          <w:sz w:val="20"/>
        </w:rPr>
        <w:t xml:space="preserve">The ACMA has made the Determination because the 1997 </w:t>
      </w:r>
      <w:r w:rsidR="009D358F">
        <w:rPr>
          <w:rFonts w:ascii="Arial" w:hAnsi="Arial" w:cs="Arial"/>
          <w:sz w:val="20"/>
        </w:rPr>
        <w:t xml:space="preserve">Determination </w:t>
      </w:r>
      <w:r>
        <w:rPr>
          <w:rFonts w:ascii="Arial" w:hAnsi="Arial" w:cs="Arial"/>
          <w:sz w:val="20"/>
        </w:rPr>
        <w:t xml:space="preserve">was due to ‘sunset’ (i.e. be automatically repealed) on 1 October 2015, by operation of Part 6 of the </w:t>
      </w:r>
      <w:r w:rsidRPr="00BD05EE">
        <w:rPr>
          <w:rFonts w:ascii="Arial" w:hAnsi="Arial" w:cs="Arial"/>
          <w:i/>
          <w:sz w:val="20"/>
        </w:rPr>
        <w:t>Legislative Instruments Act 2003</w:t>
      </w:r>
      <w:r>
        <w:rPr>
          <w:rFonts w:ascii="Arial" w:hAnsi="Arial" w:cs="Arial"/>
          <w:i/>
          <w:sz w:val="20"/>
        </w:rPr>
        <w:t xml:space="preserve"> </w:t>
      </w:r>
      <w:r w:rsidRPr="0005604B">
        <w:rPr>
          <w:rFonts w:ascii="Arial" w:hAnsi="Arial" w:cs="Arial"/>
          <w:sz w:val="20"/>
        </w:rPr>
        <w:t>(</w:t>
      </w:r>
      <w:r>
        <w:rPr>
          <w:rFonts w:ascii="Arial" w:hAnsi="Arial" w:cs="Arial"/>
          <w:sz w:val="20"/>
        </w:rPr>
        <w:t xml:space="preserve">the </w:t>
      </w:r>
      <w:r w:rsidRPr="0005604B">
        <w:rPr>
          <w:rFonts w:ascii="Arial" w:hAnsi="Arial" w:cs="Arial"/>
          <w:sz w:val="20"/>
        </w:rPr>
        <w:t>LIA</w:t>
      </w:r>
      <w:r>
        <w:rPr>
          <w:rFonts w:ascii="Arial" w:hAnsi="Arial" w:cs="Arial"/>
          <w:sz w:val="20"/>
        </w:rPr>
        <w:t>).</w:t>
      </w:r>
    </w:p>
    <w:p w14:paraId="657860C0" w14:textId="77777777" w:rsidR="00914D5C" w:rsidRDefault="00914D5C" w:rsidP="00914D5C">
      <w:pPr>
        <w:rPr>
          <w:rFonts w:ascii="Arial" w:hAnsi="Arial" w:cs="Arial"/>
          <w:sz w:val="20"/>
        </w:rPr>
      </w:pPr>
    </w:p>
    <w:p w14:paraId="5624867B" w14:textId="46C09742" w:rsidR="00914D5C" w:rsidRDefault="00914D5C" w:rsidP="00914D5C">
      <w:pPr>
        <w:rPr>
          <w:rFonts w:ascii="Arial" w:hAnsi="Arial" w:cs="Arial"/>
          <w:sz w:val="22"/>
          <w:szCs w:val="22"/>
        </w:rPr>
      </w:pPr>
      <w:r w:rsidRPr="00C117CF">
        <w:rPr>
          <w:rFonts w:ascii="Arial" w:hAnsi="Arial" w:cs="Arial"/>
          <w:sz w:val="20"/>
        </w:rPr>
        <w:t>Following</w:t>
      </w:r>
      <w:r>
        <w:rPr>
          <w:rFonts w:ascii="Arial" w:hAnsi="Arial" w:cs="Arial"/>
          <w:sz w:val="20"/>
        </w:rPr>
        <w:t xml:space="preserve"> </w:t>
      </w:r>
      <w:r w:rsidRPr="00C117CF">
        <w:rPr>
          <w:rFonts w:ascii="Arial" w:hAnsi="Arial" w:cs="Arial"/>
          <w:sz w:val="20"/>
        </w:rPr>
        <w:t xml:space="preserve">review and consultation as described below, the ACMA formed the view that the </w:t>
      </w:r>
      <w:r>
        <w:rPr>
          <w:rFonts w:ascii="Arial" w:hAnsi="Arial" w:cs="Arial"/>
          <w:sz w:val="20"/>
        </w:rPr>
        <w:t xml:space="preserve">1997 </w:t>
      </w:r>
      <w:r w:rsidR="009D358F">
        <w:rPr>
          <w:rFonts w:ascii="Arial" w:hAnsi="Arial" w:cs="Arial"/>
          <w:sz w:val="20"/>
        </w:rPr>
        <w:t xml:space="preserve">Determination </w:t>
      </w:r>
      <w:r w:rsidRPr="00C117CF">
        <w:rPr>
          <w:rFonts w:ascii="Arial" w:hAnsi="Arial" w:cs="Arial"/>
          <w:sz w:val="20"/>
        </w:rPr>
        <w:t>was operating effectively and efficiently</w:t>
      </w:r>
      <w:r>
        <w:rPr>
          <w:rFonts w:ascii="Arial" w:hAnsi="Arial" w:cs="Arial"/>
          <w:sz w:val="20"/>
        </w:rPr>
        <w:t>,</w:t>
      </w:r>
      <w:r w:rsidRPr="00C117CF">
        <w:rPr>
          <w:rFonts w:ascii="Arial" w:hAnsi="Arial" w:cs="Arial"/>
          <w:sz w:val="20"/>
        </w:rPr>
        <w:t xml:space="preserve"> and continued to form a necessary and useful part of the legislative framework</w:t>
      </w:r>
      <w:r>
        <w:rPr>
          <w:rFonts w:ascii="Arial" w:hAnsi="Arial" w:cs="Arial"/>
          <w:sz w:val="20"/>
        </w:rPr>
        <w:t>.</w:t>
      </w:r>
    </w:p>
    <w:p w14:paraId="524809A1" w14:textId="77777777" w:rsidR="00914D5C" w:rsidRDefault="00914D5C" w:rsidP="00914D5C">
      <w:pPr>
        <w:rPr>
          <w:rFonts w:ascii="Arial" w:hAnsi="Arial" w:cs="Arial"/>
          <w:sz w:val="20"/>
        </w:rPr>
      </w:pPr>
    </w:p>
    <w:p w14:paraId="30A64360" w14:textId="77777777" w:rsidR="00914D5C" w:rsidRDefault="00914D5C" w:rsidP="00914D5C">
      <w:pPr>
        <w:spacing w:line="360" w:lineRule="auto"/>
        <w:outlineLvl w:val="0"/>
        <w:rPr>
          <w:rFonts w:ascii="Arial" w:hAnsi="Arial" w:cs="Arial"/>
          <w:b/>
          <w:sz w:val="22"/>
          <w:szCs w:val="22"/>
          <w:lang w:val="en-AU"/>
        </w:rPr>
      </w:pPr>
      <w:r w:rsidRPr="005A5476">
        <w:rPr>
          <w:rFonts w:ascii="Arial" w:hAnsi="Arial" w:cs="Arial"/>
          <w:b/>
          <w:sz w:val="22"/>
          <w:szCs w:val="22"/>
          <w:lang w:val="en-AU"/>
        </w:rPr>
        <w:t>Legislative Provisions</w:t>
      </w:r>
    </w:p>
    <w:p w14:paraId="75738433" w14:textId="21414F0A" w:rsidR="00914D5C" w:rsidRDefault="00BF2F91" w:rsidP="00A44A6F">
      <w:pPr>
        <w:rPr>
          <w:rFonts w:ascii="Arial" w:hAnsi="Arial" w:cs="Arial"/>
          <w:sz w:val="20"/>
        </w:rPr>
      </w:pPr>
      <w:bookmarkStart w:id="0" w:name="_Toc488571218"/>
      <w:r>
        <w:rPr>
          <w:rFonts w:ascii="Arial" w:hAnsi="Arial" w:cs="Arial"/>
          <w:sz w:val="20"/>
        </w:rPr>
        <w:t>P</w:t>
      </w:r>
      <w:r w:rsidR="00914D5C" w:rsidRPr="009D358F">
        <w:rPr>
          <w:rFonts w:ascii="Arial" w:hAnsi="Arial" w:cs="Arial"/>
          <w:sz w:val="20"/>
        </w:rPr>
        <w:t xml:space="preserve">aragraph </w:t>
      </w:r>
      <w:bookmarkEnd w:id="0"/>
      <w:r w:rsidR="00914D5C" w:rsidRPr="009D358F">
        <w:rPr>
          <w:rFonts w:ascii="Arial" w:hAnsi="Arial" w:cs="Arial"/>
          <w:sz w:val="20"/>
        </w:rPr>
        <w:t>107(1</w:t>
      </w:r>
      <w:proofErr w:type="gramStart"/>
      <w:r w:rsidR="00914D5C" w:rsidRPr="009D358F">
        <w:rPr>
          <w:rFonts w:ascii="Arial" w:hAnsi="Arial" w:cs="Arial"/>
          <w:sz w:val="20"/>
        </w:rPr>
        <w:t>)(</w:t>
      </w:r>
      <w:proofErr w:type="gramEnd"/>
      <w:r w:rsidR="00914D5C" w:rsidRPr="009D358F">
        <w:rPr>
          <w:rFonts w:ascii="Arial" w:hAnsi="Arial" w:cs="Arial"/>
          <w:sz w:val="20"/>
        </w:rPr>
        <w:t>f)</w:t>
      </w:r>
      <w:r w:rsidR="00914D5C">
        <w:rPr>
          <w:rFonts w:ascii="Arial" w:hAnsi="Arial" w:cs="Arial"/>
          <w:sz w:val="20"/>
        </w:rPr>
        <w:t xml:space="preserve"> of the </w:t>
      </w:r>
      <w:r w:rsidR="00914D5C" w:rsidRPr="00900655">
        <w:rPr>
          <w:rFonts w:ascii="Arial" w:hAnsi="Arial" w:cs="Arial"/>
          <w:i/>
          <w:sz w:val="20"/>
        </w:rPr>
        <w:t>Radiocommunications Act 1992</w:t>
      </w:r>
      <w:r w:rsidR="00914D5C">
        <w:rPr>
          <w:rFonts w:ascii="Arial" w:hAnsi="Arial" w:cs="Arial"/>
          <w:sz w:val="20"/>
        </w:rPr>
        <w:t xml:space="preserve"> (the </w:t>
      </w:r>
      <w:r w:rsidR="00914D5C" w:rsidRPr="009D358F">
        <w:rPr>
          <w:rFonts w:ascii="Arial" w:hAnsi="Arial" w:cs="Arial"/>
          <w:sz w:val="20"/>
        </w:rPr>
        <w:t>Act</w:t>
      </w:r>
      <w:r w:rsidR="00914D5C">
        <w:rPr>
          <w:rFonts w:ascii="Arial" w:hAnsi="Arial" w:cs="Arial"/>
          <w:sz w:val="20"/>
        </w:rPr>
        <w:t>)</w:t>
      </w:r>
      <w:r>
        <w:rPr>
          <w:rFonts w:ascii="Arial" w:hAnsi="Arial" w:cs="Arial"/>
          <w:sz w:val="20"/>
        </w:rPr>
        <w:t xml:space="preserve"> provides that </w:t>
      </w:r>
      <w:r w:rsidR="00914D5C" w:rsidRPr="009D358F">
        <w:rPr>
          <w:rFonts w:ascii="Arial" w:hAnsi="Arial" w:cs="Arial"/>
          <w:sz w:val="20"/>
        </w:rPr>
        <w:t>the ACMA may</w:t>
      </w:r>
      <w:r>
        <w:rPr>
          <w:rFonts w:ascii="Arial" w:hAnsi="Arial" w:cs="Arial"/>
          <w:sz w:val="20"/>
        </w:rPr>
        <w:t xml:space="preserve">, </w:t>
      </w:r>
      <w:r w:rsidR="00914D5C" w:rsidRPr="009D358F">
        <w:rPr>
          <w:rFonts w:ascii="Arial" w:hAnsi="Arial" w:cs="Arial"/>
          <w:sz w:val="20"/>
        </w:rPr>
        <w:t xml:space="preserve">by </w:t>
      </w:r>
      <w:r>
        <w:rPr>
          <w:rFonts w:ascii="Arial" w:hAnsi="Arial" w:cs="Arial"/>
          <w:sz w:val="20"/>
        </w:rPr>
        <w:t xml:space="preserve">legislative </w:t>
      </w:r>
      <w:r w:rsidR="00914D5C" w:rsidRPr="009D358F">
        <w:rPr>
          <w:rFonts w:ascii="Arial" w:hAnsi="Arial" w:cs="Arial"/>
          <w:sz w:val="20"/>
        </w:rPr>
        <w:t xml:space="preserve">instrument, </w:t>
      </w:r>
      <w:r>
        <w:rPr>
          <w:rFonts w:ascii="Arial" w:hAnsi="Arial" w:cs="Arial"/>
          <w:sz w:val="20"/>
        </w:rPr>
        <w:t xml:space="preserve">determine </w:t>
      </w:r>
      <w:r w:rsidR="00914D5C" w:rsidRPr="009D358F">
        <w:rPr>
          <w:rFonts w:ascii="Arial" w:hAnsi="Arial" w:cs="Arial"/>
          <w:sz w:val="20"/>
        </w:rPr>
        <w:t xml:space="preserve">conditions </w:t>
      </w:r>
      <w:r>
        <w:rPr>
          <w:rFonts w:ascii="Arial" w:hAnsi="Arial" w:cs="Arial"/>
          <w:sz w:val="20"/>
        </w:rPr>
        <w:t>applicable</w:t>
      </w:r>
      <w:r w:rsidRPr="009D358F">
        <w:rPr>
          <w:rFonts w:ascii="Arial" w:hAnsi="Arial" w:cs="Arial"/>
          <w:sz w:val="20"/>
        </w:rPr>
        <w:t xml:space="preserve"> </w:t>
      </w:r>
      <w:r w:rsidR="00914D5C" w:rsidRPr="009D358F">
        <w:rPr>
          <w:rFonts w:ascii="Arial" w:hAnsi="Arial" w:cs="Arial"/>
          <w:sz w:val="20"/>
        </w:rPr>
        <w:t>to particular type</w:t>
      </w:r>
      <w:r>
        <w:rPr>
          <w:rFonts w:ascii="Arial" w:hAnsi="Arial" w:cs="Arial"/>
          <w:sz w:val="20"/>
        </w:rPr>
        <w:t>s</w:t>
      </w:r>
      <w:r w:rsidR="00914D5C" w:rsidRPr="009D358F">
        <w:rPr>
          <w:rFonts w:ascii="Arial" w:hAnsi="Arial" w:cs="Arial"/>
          <w:sz w:val="20"/>
        </w:rPr>
        <w:t xml:space="preserve"> of apparatus </w:t>
      </w:r>
      <w:r w:rsidR="009D358F">
        <w:rPr>
          <w:rFonts w:ascii="Arial" w:hAnsi="Arial" w:cs="Arial"/>
          <w:sz w:val="20"/>
        </w:rPr>
        <w:t>licence</w:t>
      </w:r>
      <w:r>
        <w:rPr>
          <w:rFonts w:ascii="Arial" w:hAnsi="Arial" w:cs="Arial"/>
          <w:sz w:val="20"/>
        </w:rPr>
        <w:t>s</w:t>
      </w:r>
      <w:r w:rsidR="009D358F">
        <w:rPr>
          <w:rFonts w:ascii="Arial" w:hAnsi="Arial" w:cs="Arial"/>
          <w:sz w:val="20"/>
        </w:rPr>
        <w:t>.</w:t>
      </w:r>
    </w:p>
    <w:p w14:paraId="5265AA41" w14:textId="77777777" w:rsidR="00A44A6F" w:rsidRDefault="00A44A6F" w:rsidP="00A44A6F">
      <w:pPr>
        <w:rPr>
          <w:rFonts w:ascii="Arial" w:hAnsi="Arial" w:cs="Arial"/>
          <w:sz w:val="20"/>
        </w:rPr>
      </w:pPr>
    </w:p>
    <w:p w14:paraId="2CD8BBAA" w14:textId="6D937F03" w:rsidR="00BF2F91" w:rsidRDefault="00BF2F91" w:rsidP="00A44A6F">
      <w:pPr>
        <w:rPr>
          <w:rFonts w:ascii="Arial" w:hAnsi="Arial" w:cs="Arial"/>
          <w:sz w:val="20"/>
          <w:lang w:val="en-US"/>
        </w:rPr>
      </w:pPr>
      <w:r w:rsidRPr="00BF2F91">
        <w:rPr>
          <w:rFonts w:ascii="Arial" w:hAnsi="Arial" w:cs="Arial"/>
          <w:sz w:val="20"/>
          <w:lang w:val="en-US"/>
        </w:rPr>
        <w:t>A determination made under paragraph 107(1</w:t>
      </w:r>
      <w:proofErr w:type="gramStart"/>
      <w:r w:rsidRPr="00BF2F91">
        <w:rPr>
          <w:rFonts w:ascii="Arial" w:hAnsi="Arial" w:cs="Arial"/>
          <w:sz w:val="20"/>
          <w:lang w:val="en-US"/>
        </w:rPr>
        <w:t>)(</w:t>
      </w:r>
      <w:proofErr w:type="gramEnd"/>
      <w:r w:rsidRPr="00BF2F91">
        <w:rPr>
          <w:rFonts w:ascii="Arial" w:hAnsi="Arial" w:cs="Arial"/>
          <w:sz w:val="20"/>
          <w:lang w:val="en-US"/>
        </w:rPr>
        <w:t>f) is a legislative instrument and may be subject to disallowance in accordance with section 42 of the LIA.</w:t>
      </w:r>
    </w:p>
    <w:p w14:paraId="18E2AF1B" w14:textId="77777777" w:rsidR="00A44A6F" w:rsidRPr="00BF2F91" w:rsidRDefault="00A44A6F" w:rsidP="00A44A6F">
      <w:pPr>
        <w:rPr>
          <w:szCs w:val="24"/>
          <w:lang w:val="en-US"/>
        </w:rPr>
      </w:pPr>
    </w:p>
    <w:p w14:paraId="4EE7CD3E" w14:textId="4EDA420A" w:rsidR="002E02AF" w:rsidRDefault="002E02AF" w:rsidP="002E02AF">
      <w:pPr>
        <w:rPr>
          <w:rFonts w:ascii="Arial" w:hAnsi="Arial" w:cs="Arial"/>
          <w:sz w:val="20"/>
        </w:rPr>
      </w:pPr>
      <w:r w:rsidRPr="0047500C">
        <w:rPr>
          <w:rFonts w:ascii="Arial" w:hAnsi="Arial" w:cs="Arial"/>
          <w:sz w:val="20"/>
        </w:rPr>
        <w:t xml:space="preserve">Under subsection 33(3) of the </w:t>
      </w:r>
      <w:r w:rsidRPr="009B71A4">
        <w:rPr>
          <w:rFonts w:ascii="Arial" w:hAnsi="Arial" w:cs="Arial"/>
          <w:i/>
          <w:sz w:val="20"/>
        </w:rPr>
        <w:t>Acts Interpretation Act 1901</w:t>
      </w:r>
      <w:r w:rsidRPr="0047500C">
        <w:rPr>
          <w:rFonts w:ascii="Arial" w:hAnsi="Arial" w:cs="Arial"/>
          <w:sz w:val="20"/>
        </w:rPr>
        <w:t>, where an Act</w:t>
      </w:r>
      <w:r>
        <w:rPr>
          <w:rFonts w:ascii="Arial" w:hAnsi="Arial" w:cs="Arial"/>
          <w:sz w:val="20"/>
        </w:rPr>
        <w:t xml:space="preserve"> </w:t>
      </w:r>
      <w:r w:rsidRPr="0047500C">
        <w:rPr>
          <w:rFonts w:ascii="Arial" w:hAnsi="Arial" w:cs="Arial"/>
          <w:sz w:val="20"/>
        </w:rPr>
        <w:t>confers a power to make, grant or issue any instrument of a legislative character, the power</w:t>
      </w:r>
      <w:r>
        <w:rPr>
          <w:rFonts w:ascii="Arial" w:hAnsi="Arial" w:cs="Arial"/>
          <w:sz w:val="20"/>
        </w:rPr>
        <w:t xml:space="preserve"> </w:t>
      </w:r>
      <w:r w:rsidRPr="0047500C">
        <w:rPr>
          <w:rFonts w:ascii="Arial" w:hAnsi="Arial" w:cs="Arial"/>
          <w:sz w:val="20"/>
        </w:rPr>
        <w:t>shall be construed as including a power exercisable in the like manner and</w:t>
      </w:r>
      <w:r>
        <w:rPr>
          <w:rFonts w:ascii="Arial" w:hAnsi="Arial" w:cs="Arial"/>
          <w:sz w:val="20"/>
        </w:rPr>
        <w:t xml:space="preserve"> </w:t>
      </w:r>
      <w:r w:rsidRPr="0047500C">
        <w:rPr>
          <w:rFonts w:ascii="Arial" w:hAnsi="Arial" w:cs="Arial"/>
          <w:sz w:val="20"/>
        </w:rPr>
        <w:t>subject to the like conditions (if any) to repeal, rescind, revoke, amend, or</w:t>
      </w:r>
      <w:r>
        <w:rPr>
          <w:rFonts w:ascii="Arial" w:hAnsi="Arial" w:cs="Arial"/>
          <w:sz w:val="20"/>
        </w:rPr>
        <w:t xml:space="preserve"> </w:t>
      </w:r>
      <w:r w:rsidRPr="0047500C">
        <w:rPr>
          <w:rFonts w:ascii="Arial" w:hAnsi="Arial" w:cs="Arial"/>
          <w:sz w:val="20"/>
        </w:rPr>
        <w:t>vary any such instrument</w:t>
      </w:r>
      <w:r>
        <w:rPr>
          <w:rFonts w:ascii="Arial" w:hAnsi="Arial" w:cs="Arial"/>
          <w:sz w:val="20"/>
        </w:rPr>
        <w:t>.</w:t>
      </w:r>
      <w:r w:rsidR="00A6703E">
        <w:rPr>
          <w:rFonts w:ascii="Arial" w:hAnsi="Arial" w:cs="Arial"/>
          <w:sz w:val="20"/>
        </w:rPr>
        <w:t xml:space="preserve">  The Determination revokes the 1997 Determination.</w:t>
      </w:r>
    </w:p>
    <w:p w14:paraId="0D2936EA" w14:textId="77777777" w:rsidR="00BF2F91" w:rsidRPr="009D358F" w:rsidRDefault="00BF2F91" w:rsidP="009D358F">
      <w:pPr>
        <w:rPr>
          <w:rFonts w:ascii="Arial" w:hAnsi="Arial" w:cs="Arial"/>
          <w:sz w:val="22"/>
          <w:szCs w:val="22"/>
          <w:lang w:val="en-AU"/>
        </w:rPr>
      </w:pPr>
    </w:p>
    <w:p w14:paraId="15F91C26" w14:textId="77777777" w:rsidR="00914D5C" w:rsidRPr="00F63F09" w:rsidRDefault="00914D5C" w:rsidP="00914D5C">
      <w:pPr>
        <w:keepNext/>
        <w:spacing w:line="360" w:lineRule="auto"/>
        <w:outlineLvl w:val="0"/>
        <w:rPr>
          <w:rFonts w:ascii="Arial" w:hAnsi="Arial" w:cs="Arial"/>
          <w:b/>
          <w:sz w:val="22"/>
          <w:szCs w:val="22"/>
          <w:lang w:val="en-AU"/>
        </w:rPr>
      </w:pPr>
      <w:r w:rsidRPr="002A154D">
        <w:rPr>
          <w:rFonts w:ascii="Arial" w:hAnsi="Arial" w:cs="Arial"/>
          <w:b/>
          <w:sz w:val="22"/>
          <w:szCs w:val="22"/>
          <w:lang w:val="en-AU"/>
        </w:rPr>
        <w:t>Background</w:t>
      </w:r>
    </w:p>
    <w:p w14:paraId="26244FF4" w14:textId="77777777" w:rsidR="00A6703E" w:rsidRDefault="00A44A6F" w:rsidP="00BF2F91">
      <w:pPr>
        <w:rPr>
          <w:rFonts w:ascii="Arial" w:hAnsi="Arial" w:cs="Arial"/>
          <w:snapToGrid w:val="0"/>
          <w:sz w:val="20"/>
        </w:rPr>
      </w:pPr>
      <w:r w:rsidRPr="00A44A6F">
        <w:rPr>
          <w:rFonts w:ascii="Arial" w:hAnsi="Arial" w:cs="Arial"/>
          <w:snapToGrid w:val="0"/>
          <w:sz w:val="20"/>
        </w:rPr>
        <w:t>Under paragraph 107(1</w:t>
      </w:r>
      <w:proofErr w:type="gramStart"/>
      <w:r w:rsidRPr="00A44A6F">
        <w:rPr>
          <w:rFonts w:ascii="Arial" w:hAnsi="Arial" w:cs="Arial"/>
          <w:snapToGrid w:val="0"/>
          <w:sz w:val="20"/>
        </w:rPr>
        <w:t>)(</w:t>
      </w:r>
      <w:proofErr w:type="gramEnd"/>
      <w:r w:rsidRPr="00A44A6F">
        <w:rPr>
          <w:rFonts w:ascii="Arial" w:hAnsi="Arial" w:cs="Arial"/>
          <w:snapToGrid w:val="0"/>
          <w:sz w:val="20"/>
        </w:rPr>
        <w:t>f) of the Act, the ACMA may determine conditions relating to a particular type of apparatus licence.</w:t>
      </w:r>
      <w:r w:rsidRPr="00A44A6F" w:rsidDel="00BF2F91">
        <w:rPr>
          <w:rFonts w:ascii="Arial" w:hAnsi="Arial" w:cs="Arial"/>
          <w:snapToGrid w:val="0"/>
          <w:sz w:val="20"/>
        </w:rPr>
        <w:t xml:space="preserve"> </w:t>
      </w:r>
      <w:r w:rsidR="002E02AF">
        <w:rPr>
          <w:rFonts w:ascii="Arial" w:hAnsi="Arial" w:cs="Arial"/>
          <w:snapToGrid w:val="0"/>
          <w:sz w:val="20"/>
        </w:rPr>
        <w:t xml:space="preserve">An outpost licence is a type of transmitter licence specified by the ACMA in a determination made under section 98 of the Act, being the </w:t>
      </w:r>
      <w:r w:rsidR="002E02AF" w:rsidRPr="00E414CA">
        <w:rPr>
          <w:rFonts w:ascii="Arial" w:hAnsi="Arial" w:cs="Arial"/>
          <w:i/>
          <w:snapToGrid w:val="0"/>
          <w:sz w:val="20"/>
        </w:rPr>
        <w:t>Radiocommunications (Specified Radiocommunications Receivers and Types of Transmitter Licences and Receiver Licences) Determination 2014</w:t>
      </w:r>
      <w:r w:rsidR="002E02AF">
        <w:rPr>
          <w:rFonts w:ascii="Arial" w:hAnsi="Arial" w:cs="Arial"/>
          <w:snapToGrid w:val="0"/>
          <w:sz w:val="20"/>
        </w:rPr>
        <w:t>.</w:t>
      </w:r>
    </w:p>
    <w:p w14:paraId="7F53FB03" w14:textId="77777777" w:rsidR="00A6703E" w:rsidRDefault="00A6703E" w:rsidP="00BF2F91">
      <w:pPr>
        <w:rPr>
          <w:rFonts w:ascii="Arial" w:hAnsi="Arial" w:cs="Arial"/>
          <w:snapToGrid w:val="0"/>
          <w:sz w:val="20"/>
        </w:rPr>
      </w:pPr>
    </w:p>
    <w:p w14:paraId="179850DD" w14:textId="43F17EC8" w:rsidR="00BF2F91" w:rsidRPr="0020286C" w:rsidDel="00BF2F91" w:rsidRDefault="00BF2F91" w:rsidP="00BF2F91">
      <w:pPr>
        <w:rPr>
          <w:rFonts w:ascii="Arial" w:hAnsi="Arial" w:cs="Arial"/>
          <w:snapToGrid w:val="0"/>
          <w:sz w:val="20"/>
        </w:rPr>
      </w:pPr>
      <w:r w:rsidRPr="0020286C" w:rsidDel="00BF2F91">
        <w:rPr>
          <w:rFonts w:ascii="Arial" w:hAnsi="Arial" w:cs="Arial"/>
          <w:snapToGrid w:val="0"/>
          <w:sz w:val="20"/>
        </w:rPr>
        <w:t xml:space="preserve">The Determination </w:t>
      </w:r>
      <w:r w:rsidR="00A6703E">
        <w:rPr>
          <w:rFonts w:ascii="Arial" w:hAnsi="Arial" w:cs="Arial"/>
          <w:snapToGrid w:val="0"/>
          <w:sz w:val="20"/>
        </w:rPr>
        <w:t>sets out</w:t>
      </w:r>
      <w:r w:rsidR="00A6703E" w:rsidRPr="0020286C" w:rsidDel="00BF2F91">
        <w:rPr>
          <w:rFonts w:ascii="Arial" w:hAnsi="Arial" w:cs="Arial"/>
          <w:snapToGrid w:val="0"/>
          <w:sz w:val="20"/>
        </w:rPr>
        <w:t xml:space="preserve"> </w:t>
      </w:r>
      <w:r w:rsidRPr="0020286C" w:rsidDel="00BF2F91">
        <w:rPr>
          <w:rFonts w:ascii="Arial" w:hAnsi="Arial" w:cs="Arial"/>
          <w:snapToGrid w:val="0"/>
          <w:sz w:val="20"/>
        </w:rPr>
        <w:t xml:space="preserve">conditions </w:t>
      </w:r>
      <w:r w:rsidR="00A6703E">
        <w:rPr>
          <w:rFonts w:ascii="Arial" w:hAnsi="Arial" w:cs="Arial"/>
          <w:snapToGrid w:val="0"/>
          <w:sz w:val="20"/>
        </w:rPr>
        <w:t>to which each outpost licence is subject</w:t>
      </w:r>
      <w:r w:rsidRPr="0020286C" w:rsidDel="00BF2F91">
        <w:rPr>
          <w:rFonts w:ascii="Arial" w:hAnsi="Arial" w:cs="Arial"/>
          <w:snapToGrid w:val="0"/>
          <w:sz w:val="20"/>
        </w:rPr>
        <w:t>.</w:t>
      </w:r>
    </w:p>
    <w:p w14:paraId="0272677F" w14:textId="77777777" w:rsidR="00A6703E" w:rsidRDefault="00A6703E" w:rsidP="00A6703E">
      <w:pPr>
        <w:rPr>
          <w:rFonts w:ascii="Arial" w:hAnsi="Arial" w:cs="Arial"/>
          <w:sz w:val="20"/>
        </w:rPr>
      </w:pPr>
    </w:p>
    <w:p w14:paraId="497BD959" w14:textId="633BEBE1" w:rsidR="00A6703E" w:rsidRPr="00251BF2" w:rsidRDefault="00A6703E" w:rsidP="00A6703E">
      <w:pPr>
        <w:rPr>
          <w:rFonts w:ascii="Arial" w:hAnsi="Arial" w:cs="Arial"/>
          <w:sz w:val="20"/>
        </w:rPr>
      </w:pPr>
      <w:r>
        <w:rPr>
          <w:rFonts w:ascii="Arial" w:hAnsi="Arial" w:cs="Arial"/>
          <w:sz w:val="20"/>
        </w:rPr>
        <w:t xml:space="preserve">An outpost licence </w:t>
      </w:r>
      <w:r w:rsidRPr="00251BF2">
        <w:rPr>
          <w:rFonts w:ascii="Arial" w:hAnsi="Arial" w:cs="Arial"/>
          <w:sz w:val="20"/>
        </w:rPr>
        <w:t>authorise</w:t>
      </w:r>
      <w:r>
        <w:rPr>
          <w:rFonts w:ascii="Arial" w:hAnsi="Arial" w:cs="Arial"/>
          <w:sz w:val="20"/>
        </w:rPr>
        <w:t>s</w:t>
      </w:r>
      <w:r w:rsidRPr="00251BF2">
        <w:rPr>
          <w:rFonts w:ascii="Arial" w:hAnsi="Arial" w:cs="Arial"/>
          <w:sz w:val="20"/>
        </w:rPr>
        <w:t xml:space="preserve"> a station that operates in the medium frequency (</w:t>
      </w:r>
      <w:r>
        <w:rPr>
          <w:rFonts w:ascii="Arial" w:hAnsi="Arial" w:cs="Arial"/>
          <w:sz w:val="20"/>
        </w:rPr>
        <w:t>300 kHz to 3 MHz</w:t>
      </w:r>
      <w:r w:rsidRPr="00251BF2">
        <w:rPr>
          <w:rFonts w:ascii="Arial" w:hAnsi="Arial" w:cs="Arial"/>
          <w:sz w:val="20"/>
        </w:rPr>
        <w:t>) or high frequency (</w:t>
      </w:r>
      <w:r>
        <w:rPr>
          <w:rFonts w:ascii="Arial" w:hAnsi="Arial" w:cs="Arial"/>
          <w:sz w:val="20"/>
        </w:rPr>
        <w:t>3 MHz to 30 MHz</w:t>
      </w:r>
      <w:r w:rsidRPr="00251BF2">
        <w:rPr>
          <w:rFonts w:ascii="Arial" w:hAnsi="Arial" w:cs="Arial"/>
          <w:sz w:val="20"/>
        </w:rPr>
        <w:t>) bands</w:t>
      </w:r>
      <w:r>
        <w:rPr>
          <w:rFonts w:ascii="Arial" w:hAnsi="Arial" w:cs="Arial"/>
          <w:sz w:val="20"/>
        </w:rPr>
        <w:t>,</w:t>
      </w:r>
      <w:r w:rsidRPr="00251BF2">
        <w:rPr>
          <w:rFonts w:ascii="Arial" w:hAnsi="Arial" w:cs="Arial"/>
          <w:sz w:val="20"/>
        </w:rPr>
        <w:t xml:space="preserve"> </w:t>
      </w:r>
      <w:r w:rsidR="00FB7B07">
        <w:rPr>
          <w:rFonts w:ascii="Arial" w:hAnsi="Arial" w:cs="Arial"/>
          <w:sz w:val="20"/>
        </w:rPr>
        <w:t xml:space="preserve">and </w:t>
      </w:r>
      <w:r>
        <w:rPr>
          <w:rFonts w:ascii="Arial" w:hAnsi="Arial" w:cs="Arial"/>
          <w:sz w:val="20"/>
        </w:rPr>
        <w:t xml:space="preserve">that </w:t>
      </w:r>
      <w:r w:rsidRPr="00251BF2">
        <w:rPr>
          <w:rFonts w:ascii="Arial" w:hAnsi="Arial" w:cs="Arial"/>
          <w:sz w:val="20"/>
        </w:rPr>
        <w:t xml:space="preserve">is principally established: </w:t>
      </w:r>
    </w:p>
    <w:p w14:paraId="2F4E1642" w14:textId="77777777" w:rsidR="00A6703E" w:rsidRPr="00251BF2" w:rsidRDefault="00A6703E" w:rsidP="00E414CA">
      <w:pPr>
        <w:pStyle w:val="ACMABodyText"/>
        <w:numPr>
          <w:ilvl w:val="0"/>
          <w:numId w:val="21"/>
        </w:numPr>
        <w:spacing w:before="0" w:after="0" w:line="240" w:lineRule="auto"/>
        <w:rPr>
          <w:rFonts w:ascii="Arial" w:hAnsi="Arial" w:cs="Arial"/>
          <w:sz w:val="20"/>
        </w:rPr>
      </w:pPr>
      <w:r w:rsidRPr="00251BF2">
        <w:rPr>
          <w:rFonts w:ascii="Arial" w:hAnsi="Arial" w:cs="Arial"/>
          <w:sz w:val="20"/>
        </w:rPr>
        <w:t xml:space="preserve">to provide radiocommunications in a </w:t>
      </w:r>
      <w:r>
        <w:rPr>
          <w:rFonts w:ascii="Arial" w:hAnsi="Arial" w:cs="Arial"/>
          <w:sz w:val="20"/>
        </w:rPr>
        <w:t xml:space="preserve">remote </w:t>
      </w:r>
      <w:r w:rsidRPr="00251BF2">
        <w:rPr>
          <w:rFonts w:ascii="Arial" w:hAnsi="Arial" w:cs="Arial"/>
          <w:sz w:val="20"/>
        </w:rPr>
        <w:t xml:space="preserve">locality </w:t>
      </w:r>
      <w:r>
        <w:rPr>
          <w:rFonts w:ascii="Arial" w:hAnsi="Arial" w:cs="Arial"/>
          <w:sz w:val="20"/>
        </w:rPr>
        <w:t xml:space="preserve">at which </w:t>
      </w:r>
      <w:r w:rsidRPr="00251BF2">
        <w:rPr>
          <w:rFonts w:ascii="Arial" w:hAnsi="Arial" w:cs="Arial"/>
          <w:sz w:val="20"/>
        </w:rPr>
        <w:t xml:space="preserve">a connection to a telecommunications network operated by a carrier or carriage service provider is not provided; or </w:t>
      </w:r>
    </w:p>
    <w:p w14:paraId="2FA0F278" w14:textId="0CD4F873" w:rsidR="00A6703E" w:rsidRDefault="00A6703E" w:rsidP="00E414CA">
      <w:pPr>
        <w:pStyle w:val="ACMABodyText"/>
        <w:numPr>
          <w:ilvl w:val="0"/>
          <w:numId w:val="21"/>
        </w:numPr>
        <w:spacing w:before="0" w:after="0" w:line="240" w:lineRule="auto"/>
        <w:rPr>
          <w:rFonts w:ascii="Arial" w:hAnsi="Arial" w:cs="Arial"/>
          <w:sz w:val="20"/>
        </w:rPr>
      </w:pPr>
      <w:r w:rsidRPr="00251BF2">
        <w:rPr>
          <w:rFonts w:ascii="Arial" w:hAnsi="Arial" w:cs="Arial"/>
          <w:sz w:val="20"/>
        </w:rPr>
        <w:t xml:space="preserve">if a connection to a telecommunications network operated by a carrier or carriage service provider is provided at the </w:t>
      </w:r>
      <w:r>
        <w:rPr>
          <w:rFonts w:ascii="Arial" w:hAnsi="Arial" w:cs="Arial"/>
          <w:sz w:val="20"/>
        </w:rPr>
        <w:t xml:space="preserve">remote </w:t>
      </w:r>
      <w:r w:rsidRPr="00251BF2">
        <w:rPr>
          <w:rFonts w:ascii="Arial" w:hAnsi="Arial" w:cs="Arial"/>
          <w:sz w:val="20"/>
        </w:rPr>
        <w:t>locality where the station is situated</w:t>
      </w:r>
      <w:r>
        <w:rPr>
          <w:rFonts w:ascii="Arial" w:hAnsi="Arial" w:cs="Arial"/>
          <w:sz w:val="20"/>
        </w:rPr>
        <w:t xml:space="preserve"> ,</w:t>
      </w:r>
      <w:r w:rsidRPr="00251BF2">
        <w:rPr>
          <w:rFonts w:ascii="Arial" w:hAnsi="Arial" w:cs="Arial"/>
          <w:sz w:val="20"/>
        </w:rPr>
        <w:t xml:space="preserve">to provide radiocommunications in the locality </w:t>
      </w:r>
      <w:r>
        <w:rPr>
          <w:rFonts w:ascii="Arial" w:hAnsi="Arial" w:cs="Arial"/>
          <w:sz w:val="20"/>
        </w:rPr>
        <w:t xml:space="preserve">for the purposes of an </w:t>
      </w:r>
      <w:r w:rsidRPr="00251BF2">
        <w:rPr>
          <w:rFonts w:ascii="Arial" w:hAnsi="Arial" w:cs="Arial"/>
          <w:sz w:val="20"/>
        </w:rPr>
        <w:t>emergency</w:t>
      </w:r>
      <w:r>
        <w:rPr>
          <w:rFonts w:ascii="Arial" w:hAnsi="Arial" w:cs="Arial"/>
          <w:sz w:val="20"/>
        </w:rPr>
        <w:t xml:space="preserve"> that involves:</w:t>
      </w:r>
    </w:p>
    <w:p w14:paraId="61B89D2B" w14:textId="22612A22" w:rsidR="00A6703E" w:rsidRDefault="00A6703E" w:rsidP="00E414CA">
      <w:pPr>
        <w:pStyle w:val="ACMABodyText"/>
        <w:numPr>
          <w:ilvl w:val="0"/>
          <w:numId w:val="18"/>
        </w:numPr>
        <w:spacing w:before="0" w:after="0" w:line="240" w:lineRule="auto"/>
        <w:ind w:left="1418"/>
        <w:rPr>
          <w:rFonts w:ascii="Arial" w:hAnsi="Arial" w:cs="Arial"/>
          <w:sz w:val="20"/>
        </w:rPr>
      </w:pPr>
      <w:r>
        <w:rPr>
          <w:rFonts w:ascii="Arial" w:hAnsi="Arial" w:cs="Arial"/>
          <w:sz w:val="20"/>
        </w:rPr>
        <w:t>prejudice to the security or defence of Australia;</w:t>
      </w:r>
    </w:p>
    <w:p w14:paraId="7420FBF0" w14:textId="26541715" w:rsidR="00A6703E" w:rsidRDefault="00A6703E" w:rsidP="00E414CA">
      <w:pPr>
        <w:pStyle w:val="ACMABodyText"/>
        <w:numPr>
          <w:ilvl w:val="0"/>
          <w:numId w:val="18"/>
        </w:numPr>
        <w:spacing w:before="0" w:after="0" w:line="240" w:lineRule="auto"/>
        <w:ind w:left="1418"/>
        <w:rPr>
          <w:rFonts w:ascii="Arial" w:hAnsi="Arial" w:cs="Arial"/>
          <w:sz w:val="20"/>
        </w:rPr>
      </w:pPr>
      <w:r>
        <w:rPr>
          <w:rFonts w:ascii="Arial" w:hAnsi="Arial" w:cs="Arial"/>
          <w:sz w:val="20"/>
        </w:rPr>
        <w:lastRenderedPageBreak/>
        <w:t>a serious threat to the environment;</w:t>
      </w:r>
    </w:p>
    <w:p w14:paraId="73A89B20" w14:textId="131EB99E" w:rsidR="00A6703E" w:rsidRDefault="00A6703E" w:rsidP="00E414CA">
      <w:pPr>
        <w:pStyle w:val="ACMABodyText"/>
        <w:numPr>
          <w:ilvl w:val="0"/>
          <w:numId w:val="18"/>
        </w:numPr>
        <w:spacing w:before="0" w:after="0" w:line="240" w:lineRule="auto"/>
        <w:ind w:left="1418"/>
        <w:rPr>
          <w:rFonts w:ascii="Arial" w:hAnsi="Arial" w:cs="Arial"/>
          <w:sz w:val="20"/>
        </w:rPr>
      </w:pPr>
      <w:r>
        <w:rPr>
          <w:rFonts w:ascii="Arial" w:hAnsi="Arial" w:cs="Arial"/>
          <w:sz w:val="20"/>
        </w:rPr>
        <w:t>risk of injury to, or death of, a person; or</w:t>
      </w:r>
    </w:p>
    <w:p w14:paraId="1E2BD889" w14:textId="7B139510" w:rsidR="00A6703E" w:rsidRDefault="00A6703E" w:rsidP="00E414CA">
      <w:pPr>
        <w:pStyle w:val="ACMABodyText"/>
        <w:numPr>
          <w:ilvl w:val="0"/>
          <w:numId w:val="18"/>
        </w:numPr>
        <w:spacing w:before="0" w:after="0" w:line="240" w:lineRule="auto"/>
        <w:ind w:left="1418"/>
        <w:rPr>
          <w:rFonts w:ascii="Arial" w:hAnsi="Arial" w:cs="Arial"/>
          <w:sz w:val="20"/>
        </w:rPr>
      </w:pPr>
      <w:proofErr w:type="gramStart"/>
      <w:r>
        <w:rPr>
          <w:rFonts w:ascii="Arial" w:hAnsi="Arial" w:cs="Arial"/>
          <w:sz w:val="20"/>
        </w:rPr>
        <w:t>risk</w:t>
      </w:r>
      <w:proofErr w:type="gramEnd"/>
      <w:r>
        <w:rPr>
          <w:rFonts w:ascii="Arial" w:hAnsi="Arial" w:cs="Arial"/>
          <w:sz w:val="20"/>
        </w:rPr>
        <w:t xml:space="preserve"> of damage to, or substantial loss of, property.</w:t>
      </w:r>
    </w:p>
    <w:p w14:paraId="72275BD0" w14:textId="5FC08A61" w:rsidR="00914D5C" w:rsidRDefault="00914D5C" w:rsidP="00914D5C">
      <w:pPr>
        <w:rPr>
          <w:rFonts w:ascii="Arial" w:hAnsi="Arial" w:cs="Arial"/>
          <w:sz w:val="20"/>
        </w:rPr>
      </w:pPr>
    </w:p>
    <w:p w14:paraId="6AFA1CCB" w14:textId="77777777" w:rsidR="00914D5C" w:rsidRPr="001211CC" w:rsidRDefault="00914D5C" w:rsidP="00914D5C">
      <w:pPr>
        <w:spacing w:line="360" w:lineRule="auto"/>
        <w:outlineLvl w:val="0"/>
        <w:rPr>
          <w:rFonts w:ascii="Arial" w:hAnsi="Arial" w:cs="Arial"/>
          <w:b/>
          <w:sz w:val="22"/>
          <w:szCs w:val="22"/>
          <w:lang w:val="en-AU"/>
        </w:rPr>
      </w:pPr>
      <w:r w:rsidRPr="002A154D">
        <w:rPr>
          <w:rFonts w:ascii="Arial" w:hAnsi="Arial" w:cs="Arial"/>
          <w:b/>
          <w:sz w:val="22"/>
          <w:szCs w:val="22"/>
          <w:lang w:val="en-AU"/>
        </w:rPr>
        <w:t>Operation</w:t>
      </w:r>
    </w:p>
    <w:p w14:paraId="09AE509D" w14:textId="5A7365E2" w:rsidR="00BF2F91" w:rsidRPr="002B5A57" w:rsidRDefault="00BF2F91" w:rsidP="00BF2F91">
      <w:pPr>
        <w:rPr>
          <w:rFonts w:ascii="Arial" w:hAnsi="Arial" w:cs="Arial"/>
          <w:sz w:val="20"/>
        </w:rPr>
      </w:pPr>
      <w:r w:rsidRPr="002B5A57">
        <w:rPr>
          <w:rFonts w:ascii="Arial" w:hAnsi="Arial" w:cs="Arial"/>
          <w:sz w:val="20"/>
        </w:rPr>
        <w:t xml:space="preserve">The </w:t>
      </w:r>
      <w:r>
        <w:rPr>
          <w:rFonts w:ascii="Arial" w:hAnsi="Arial" w:cs="Arial"/>
          <w:sz w:val="20"/>
        </w:rPr>
        <w:t>o</w:t>
      </w:r>
      <w:r w:rsidRPr="002B5A57">
        <w:rPr>
          <w:rFonts w:ascii="Arial" w:hAnsi="Arial" w:cs="Arial"/>
          <w:sz w:val="20"/>
        </w:rPr>
        <w:t xml:space="preserve">utpost licence type </w:t>
      </w:r>
      <w:r w:rsidR="000A5954">
        <w:rPr>
          <w:rFonts w:ascii="Arial" w:hAnsi="Arial" w:cs="Arial"/>
          <w:sz w:val="20"/>
        </w:rPr>
        <w:t>is</w:t>
      </w:r>
      <w:r w:rsidR="00140779">
        <w:rPr>
          <w:rFonts w:ascii="Arial" w:hAnsi="Arial" w:cs="Arial"/>
          <w:sz w:val="20"/>
        </w:rPr>
        <w:t xml:space="preserve"> divided into two classes</w:t>
      </w:r>
      <w:r w:rsidRPr="002B5A57">
        <w:rPr>
          <w:rFonts w:ascii="Arial" w:hAnsi="Arial" w:cs="Arial"/>
          <w:sz w:val="20"/>
        </w:rPr>
        <w:t>:</w:t>
      </w:r>
    </w:p>
    <w:p w14:paraId="7F57402B" w14:textId="6B088D44" w:rsidR="00BF2F91" w:rsidRPr="002B5A57" w:rsidRDefault="00BF2F91" w:rsidP="00E414CA">
      <w:pPr>
        <w:pStyle w:val="ACMABodyText"/>
        <w:numPr>
          <w:ilvl w:val="0"/>
          <w:numId w:val="22"/>
        </w:numPr>
        <w:spacing w:before="0" w:after="0" w:line="240" w:lineRule="auto"/>
        <w:rPr>
          <w:rFonts w:ascii="Arial" w:hAnsi="Arial" w:cs="Arial"/>
          <w:sz w:val="20"/>
        </w:rPr>
      </w:pPr>
      <w:r>
        <w:rPr>
          <w:rFonts w:ascii="Arial" w:hAnsi="Arial" w:cs="Arial"/>
          <w:sz w:val="20"/>
        </w:rPr>
        <w:t>t</w:t>
      </w:r>
      <w:r w:rsidRPr="002B5A57">
        <w:rPr>
          <w:rFonts w:ascii="Arial" w:hAnsi="Arial" w:cs="Arial"/>
          <w:sz w:val="20"/>
        </w:rPr>
        <w:t xml:space="preserve">he </w:t>
      </w:r>
      <w:r w:rsidR="00140779">
        <w:rPr>
          <w:rFonts w:ascii="Arial" w:hAnsi="Arial" w:cs="Arial"/>
          <w:sz w:val="20"/>
        </w:rPr>
        <w:t>‘</w:t>
      </w:r>
      <w:r>
        <w:rPr>
          <w:rFonts w:ascii="Arial" w:hAnsi="Arial" w:cs="Arial"/>
          <w:sz w:val="20"/>
        </w:rPr>
        <w:t>o</w:t>
      </w:r>
      <w:r w:rsidRPr="002B5A57">
        <w:rPr>
          <w:rFonts w:ascii="Arial" w:hAnsi="Arial" w:cs="Arial"/>
          <w:sz w:val="20"/>
        </w:rPr>
        <w:t xml:space="preserve">utpost </w:t>
      </w:r>
      <w:r>
        <w:rPr>
          <w:rFonts w:ascii="Arial" w:hAnsi="Arial" w:cs="Arial"/>
          <w:sz w:val="20"/>
        </w:rPr>
        <w:t>a</w:t>
      </w:r>
      <w:r w:rsidRPr="002B5A57">
        <w:rPr>
          <w:rFonts w:ascii="Arial" w:hAnsi="Arial" w:cs="Arial"/>
          <w:sz w:val="20"/>
        </w:rPr>
        <w:t>ssigned</w:t>
      </w:r>
      <w:r w:rsidR="00140779">
        <w:rPr>
          <w:rFonts w:ascii="Arial" w:hAnsi="Arial" w:cs="Arial"/>
          <w:sz w:val="20"/>
        </w:rPr>
        <w:t xml:space="preserve"> station’</w:t>
      </w:r>
      <w:r w:rsidRPr="002B5A57">
        <w:rPr>
          <w:rFonts w:ascii="Arial" w:hAnsi="Arial" w:cs="Arial"/>
          <w:sz w:val="20"/>
        </w:rPr>
        <w:t xml:space="preserve"> </w:t>
      </w:r>
      <w:r w:rsidR="00140779">
        <w:rPr>
          <w:rFonts w:ascii="Arial" w:hAnsi="Arial" w:cs="Arial"/>
          <w:sz w:val="20"/>
        </w:rPr>
        <w:t>class</w:t>
      </w:r>
      <w:r w:rsidRPr="002B5A57">
        <w:rPr>
          <w:rFonts w:ascii="Arial" w:hAnsi="Arial" w:cs="Arial"/>
          <w:sz w:val="20"/>
        </w:rPr>
        <w:t xml:space="preserve"> authorises the operation of </w:t>
      </w:r>
      <w:r w:rsidR="00741CEE">
        <w:rPr>
          <w:rFonts w:ascii="Arial" w:hAnsi="Arial" w:cs="Arial"/>
          <w:sz w:val="20"/>
        </w:rPr>
        <w:t xml:space="preserve">the ‘control’ </w:t>
      </w:r>
      <w:r w:rsidRPr="002B5A57">
        <w:rPr>
          <w:rFonts w:ascii="Arial" w:hAnsi="Arial" w:cs="Arial"/>
          <w:sz w:val="20"/>
        </w:rPr>
        <w:t>stations used to provide emergency medical aid services and certain public correspondence</w:t>
      </w:r>
      <w:r>
        <w:rPr>
          <w:rFonts w:ascii="Arial" w:hAnsi="Arial" w:cs="Arial"/>
          <w:sz w:val="20"/>
        </w:rPr>
        <w:t xml:space="preserve">, such as those operated by the </w:t>
      </w:r>
      <w:r w:rsidRPr="002B5A57">
        <w:rPr>
          <w:rFonts w:ascii="Arial" w:hAnsi="Arial" w:cs="Arial"/>
          <w:sz w:val="20"/>
        </w:rPr>
        <w:t>Royal Flying Doctor Service</w:t>
      </w:r>
      <w:r w:rsidR="000A5954">
        <w:rPr>
          <w:rFonts w:ascii="Arial" w:hAnsi="Arial" w:cs="Arial"/>
          <w:sz w:val="20"/>
        </w:rPr>
        <w:t>;</w:t>
      </w:r>
    </w:p>
    <w:p w14:paraId="5145A71C" w14:textId="39D4CE23" w:rsidR="00BF2F91" w:rsidRDefault="00BF2F91" w:rsidP="00E414CA">
      <w:pPr>
        <w:pStyle w:val="ACMABodyText"/>
        <w:numPr>
          <w:ilvl w:val="0"/>
          <w:numId w:val="22"/>
        </w:numPr>
        <w:spacing w:before="0" w:after="0" w:line="240" w:lineRule="auto"/>
        <w:rPr>
          <w:rFonts w:ascii="Arial" w:hAnsi="Arial" w:cs="Arial"/>
          <w:sz w:val="20"/>
        </w:rPr>
      </w:pPr>
      <w:proofErr w:type="gramStart"/>
      <w:r>
        <w:rPr>
          <w:rFonts w:ascii="Arial" w:hAnsi="Arial" w:cs="Arial"/>
          <w:sz w:val="20"/>
        </w:rPr>
        <w:t>the</w:t>
      </w:r>
      <w:proofErr w:type="gramEnd"/>
      <w:r>
        <w:rPr>
          <w:rFonts w:ascii="Arial" w:hAnsi="Arial" w:cs="Arial"/>
          <w:sz w:val="20"/>
        </w:rPr>
        <w:t xml:space="preserve"> </w:t>
      </w:r>
      <w:r w:rsidR="00140779">
        <w:rPr>
          <w:rFonts w:ascii="Arial" w:hAnsi="Arial" w:cs="Arial"/>
          <w:sz w:val="20"/>
        </w:rPr>
        <w:t>‘</w:t>
      </w:r>
      <w:r>
        <w:rPr>
          <w:rFonts w:ascii="Arial" w:hAnsi="Arial" w:cs="Arial"/>
          <w:sz w:val="20"/>
        </w:rPr>
        <w:t>o</w:t>
      </w:r>
      <w:r w:rsidRPr="002B5A57">
        <w:rPr>
          <w:rFonts w:ascii="Arial" w:hAnsi="Arial" w:cs="Arial"/>
          <w:sz w:val="20"/>
        </w:rPr>
        <w:t xml:space="preserve">utpost </w:t>
      </w:r>
      <w:r>
        <w:rPr>
          <w:rFonts w:ascii="Arial" w:hAnsi="Arial" w:cs="Arial"/>
          <w:sz w:val="20"/>
        </w:rPr>
        <w:t>n</w:t>
      </w:r>
      <w:r w:rsidRPr="002B5A57">
        <w:rPr>
          <w:rFonts w:ascii="Arial" w:hAnsi="Arial" w:cs="Arial"/>
          <w:sz w:val="20"/>
        </w:rPr>
        <w:t xml:space="preserve">on </w:t>
      </w:r>
      <w:r>
        <w:rPr>
          <w:rFonts w:ascii="Arial" w:hAnsi="Arial" w:cs="Arial"/>
          <w:sz w:val="20"/>
        </w:rPr>
        <w:t>a</w:t>
      </w:r>
      <w:r w:rsidRPr="002B5A57">
        <w:rPr>
          <w:rFonts w:ascii="Arial" w:hAnsi="Arial" w:cs="Arial"/>
          <w:sz w:val="20"/>
        </w:rPr>
        <w:t xml:space="preserve">ssigned </w:t>
      </w:r>
      <w:r w:rsidR="00140779">
        <w:rPr>
          <w:rFonts w:ascii="Arial" w:hAnsi="Arial" w:cs="Arial"/>
          <w:sz w:val="20"/>
        </w:rPr>
        <w:t xml:space="preserve">station’ class </w:t>
      </w:r>
      <w:r w:rsidRPr="002B5A57">
        <w:rPr>
          <w:rFonts w:ascii="Arial" w:hAnsi="Arial" w:cs="Arial"/>
          <w:sz w:val="20"/>
        </w:rPr>
        <w:t xml:space="preserve">authorises stations to communicate with the </w:t>
      </w:r>
      <w:r w:rsidR="00741CEE">
        <w:rPr>
          <w:rFonts w:ascii="Arial" w:hAnsi="Arial" w:cs="Arial"/>
          <w:sz w:val="20"/>
        </w:rPr>
        <w:t>‘control’ stations</w:t>
      </w:r>
      <w:r w:rsidRPr="002B5A57">
        <w:rPr>
          <w:rFonts w:ascii="Arial" w:hAnsi="Arial" w:cs="Arial"/>
          <w:sz w:val="20"/>
        </w:rPr>
        <w:t xml:space="preserve"> and other outpost stations in certain circumstances.</w:t>
      </w:r>
    </w:p>
    <w:p w14:paraId="55055B5C" w14:textId="0A2873CD" w:rsidR="00914D5C" w:rsidRDefault="00914D5C" w:rsidP="00914D5C">
      <w:pPr>
        <w:rPr>
          <w:rFonts w:ascii="Arial" w:hAnsi="Arial" w:cs="Arial"/>
          <w:sz w:val="20"/>
        </w:rPr>
      </w:pPr>
    </w:p>
    <w:p w14:paraId="048FA657" w14:textId="77777777" w:rsidR="00140779" w:rsidRDefault="00140779" w:rsidP="00914D5C">
      <w:pPr>
        <w:rPr>
          <w:rFonts w:ascii="Arial" w:hAnsi="Arial" w:cs="Arial"/>
          <w:sz w:val="20"/>
        </w:rPr>
      </w:pPr>
      <w:r>
        <w:rPr>
          <w:rFonts w:ascii="Arial" w:hAnsi="Arial" w:cs="Arial"/>
          <w:sz w:val="20"/>
        </w:rPr>
        <w:t>All outpost licences are subject to the conditions in Part 2 of the Determination.  These conditions relate to the use of a station to connect to a telecommunications network operated by a carrier or a carriage service provider, transmitter output power, and the use of call signs.</w:t>
      </w:r>
    </w:p>
    <w:p w14:paraId="405C26FC" w14:textId="77777777" w:rsidR="00140779" w:rsidRDefault="00140779" w:rsidP="00914D5C">
      <w:pPr>
        <w:rPr>
          <w:rFonts w:ascii="Arial" w:hAnsi="Arial" w:cs="Arial"/>
          <w:sz w:val="20"/>
        </w:rPr>
      </w:pPr>
    </w:p>
    <w:p w14:paraId="364596C0" w14:textId="7792981C" w:rsidR="00140779" w:rsidRDefault="00140779" w:rsidP="00914D5C">
      <w:pPr>
        <w:rPr>
          <w:rFonts w:ascii="Arial" w:hAnsi="Arial" w:cs="Arial"/>
          <w:sz w:val="20"/>
        </w:rPr>
      </w:pPr>
      <w:r>
        <w:rPr>
          <w:rFonts w:ascii="Arial" w:hAnsi="Arial" w:cs="Arial"/>
          <w:sz w:val="20"/>
        </w:rPr>
        <w:t>Outpost licences that authorise the operation of outpost non assigned stations are also subject to the conditions in Part 3 of the Determination.  These conditions relate to the stations’ compliance with standards made under section 162 of the Act, the use of particular frequencies, causing harmful interference to radiocommunications, and the purpose of communications using the stations.</w:t>
      </w:r>
    </w:p>
    <w:p w14:paraId="26B51127" w14:textId="77777777" w:rsidR="00140779" w:rsidRPr="002B5A57" w:rsidRDefault="00140779" w:rsidP="00914D5C">
      <w:pPr>
        <w:rPr>
          <w:rFonts w:ascii="Arial" w:hAnsi="Arial" w:cs="Arial"/>
          <w:sz w:val="20"/>
        </w:rPr>
      </w:pPr>
    </w:p>
    <w:p w14:paraId="498EA932" w14:textId="77777777" w:rsidR="00914D5C" w:rsidRPr="00C205B9" w:rsidRDefault="00914D5C" w:rsidP="00914D5C">
      <w:pPr>
        <w:keepNext/>
        <w:spacing w:line="360" w:lineRule="auto"/>
        <w:outlineLvl w:val="0"/>
        <w:rPr>
          <w:rFonts w:ascii="Arial" w:hAnsi="Arial" w:cs="Arial"/>
          <w:b/>
          <w:sz w:val="22"/>
          <w:szCs w:val="22"/>
          <w:lang w:val="en-AU"/>
        </w:rPr>
      </w:pPr>
      <w:r w:rsidRPr="00C205B9">
        <w:rPr>
          <w:rFonts w:ascii="Arial" w:hAnsi="Arial" w:cs="Arial"/>
          <w:b/>
          <w:sz w:val="22"/>
          <w:szCs w:val="22"/>
          <w:lang w:val="en-AU"/>
        </w:rPr>
        <w:t>Consultation</w:t>
      </w:r>
    </w:p>
    <w:p w14:paraId="00FDB5AA" w14:textId="77777777" w:rsidR="00914D5C" w:rsidRDefault="00914D5C" w:rsidP="00914D5C">
      <w:pPr>
        <w:rPr>
          <w:rFonts w:ascii="Arial" w:hAnsi="Arial" w:cs="Arial"/>
          <w:snapToGrid w:val="0"/>
          <w:sz w:val="20"/>
        </w:rPr>
      </w:pPr>
      <w:r w:rsidRPr="00C117CF">
        <w:rPr>
          <w:rFonts w:ascii="Arial" w:hAnsi="Arial" w:cs="Arial"/>
          <w:snapToGrid w:val="0"/>
          <w:sz w:val="20"/>
        </w:rPr>
        <w:t>Subsection 17(1) of the LIA requires that, before the ACMA makes a legislative instrument, it must be satisfied that any consultation that the ACMA considers is appropriate and reasonably practicable to undertake has been undertaken.</w:t>
      </w:r>
    </w:p>
    <w:p w14:paraId="202EEDB6" w14:textId="77777777" w:rsidR="00914D5C" w:rsidRPr="00C117CF" w:rsidRDefault="00914D5C" w:rsidP="00914D5C">
      <w:pPr>
        <w:rPr>
          <w:rFonts w:ascii="Arial" w:hAnsi="Arial" w:cs="Arial"/>
          <w:snapToGrid w:val="0"/>
          <w:sz w:val="20"/>
        </w:rPr>
      </w:pPr>
    </w:p>
    <w:p w14:paraId="43622660" w14:textId="2F7355BD" w:rsidR="00914D5C" w:rsidRDefault="00914D5C" w:rsidP="00914D5C">
      <w:pPr>
        <w:rPr>
          <w:rFonts w:ascii="Arial" w:hAnsi="Arial" w:cs="Arial"/>
          <w:snapToGrid w:val="0"/>
          <w:sz w:val="20"/>
        </w:rPr>
      </w:pPr>
      <w:r>
        <w:rPr>
          <w:rFonts w:ascii="Arial" w:hAnsi="Arial" w:cs="Arial"/>
          <w:snapToGrid w:val="0"/>
          <w:sz w:val="20"/>
        </w:rPr>
        <w:t>The</w:t>
      </w:r>
      <w:r w:rsidRPr="00C117CF">
        <w:rPr>
          <w:rFonts w:ascii="Arial" w:hAnsi="Arial" w:cs="Arial"/>
          <w:snapToGrid w:val="0"/>
          <w:sz w:val="20"/>
        </w:rPr>
        <w:t xml:space="preserve"> ACMA </w:t>
      </w:r>
      <w:r>
        <w:rPr>
          <w:rFonts w:ascii="Arial" w:hAnsi="Arial" w:cs="Arial"/>
          <w:snapToGrid w:val="0"/>
          <w:sz w:val="20"/>
        </w:rPr>
        <w:t xml:space="preserve">published a consultation paper </w:t>
      </w:r>
      <w:r w:rsidR="004F382E">
        <w:rPr>
          <w:rFonts w:ascii="Arial" w:hAnsi="Arial" w:cs="Arial"/>
          <w:snapToGrid w:val="0"/>
          <w:sz w:val="20"/>
        </w:rPr>
        <w:t xml:space="preserve">(about the Determination, and two other instruments) </w:t>
      </w:r>
      <w:r>
        <w:rPr>
          <w:rFonts w:ascii="Arial" w:hAnsi="Arial" w:cs="Arial"/>
          <w:snapToGrid w:val="0"/>
          <w:sz w:val="20"/>
        </w:rPr>
        <w:t xml:space="preserve">and </w:t>
      </w:r>
      <w:r w:rsidR="00A0011A">
        <w:rPr>
          <w:rFonts w:ascii="Arial" w:hAnsi="Arial" w:cs="Arial"/>
          <w:snapToGrid w:val="0"/>
          <w:sz w:val="20"/>
        </w:rPr>
        <w:t xml:space="preserve">a </w:t>
      </w:r>
      <w:r>
        <w:rPr>
          <w:rFonts w:ascii="Arial" w:hAnsi="Arial" w:cs="Arial"/>
          <w:snapToGrid w:val="0"/>
          <w:sz w:val="20"/>
        </w:rPr>
        <w:t>draft</w:t>
      </w:r>
      <w:r w:rsidR="00A0011A">
        <w:rPr>
          <w:rFonts w:ascii="Arial" w:hAnsi="Arial" w:cs="Arial"/>
          <w:snapToGrid w:val="0"/>
          <w:sz w:val="20"/>
        </w:rPr>
        <w:t xml:space="preserve"> of the</w:t>
      </w:r>
      <w:r>
        <w:rPr>
          <w:rFonts w:ascii="Arial" w:hAnsi="Arial" w:cs="Arial"/>
          <w:snapToGrid w:val="0"/>
          <w:sz w:val="20"/>
        </w:rPr>
        <w:t xml:space="preserve"> </w:t>
      </w:r>
      <w:r w:rsidR="00995830">
        <w:rPr>
          <w:rFonts w:ascii="Arial" w:hAnsi="Arial" w:cs="Arial"/>
          <w:snapToGrid w:val="0"/>
          <w:sz w:val="20"/>
        </w:rPr>
        <w:t>Determination</w:t>
      </w:r>
      <w:r>
        <w:rPr>
          <w:rFonts w:ascii="Arial" w:hAnsi="Arial" w:cs="Arial"/>
          <w:snapToGrid w:val="0"/>
          <w:sz w:val="20"/>
        </w:rPr>
        <w:t xml:space="preserve"> on its website </w:t>
      </w:r>
      <w:r w:rsidRPr="00251BF2">
        <w:rPr>
          <w:rFonts w:ascii="Arial" w:hAnsi="Arial" w:cs="Arial"/>
          <w:snapToGrid w:val="0"/>
          <w:sz w:val="20"/>
        </w:rPr>
        <w:t>between</w:t>
      </w:r>
      <w:r w:rsidR="009D358F">
        <w:rPr>
          <w:rFonts w:ascii="Arial" w:hAnsi="Arial" w:cs="Arial"/>
          <w:snapToGrid w:val="0"/>
          <w:sz w:val="20"/>
        </w:rPr>
        <w:t xml:space="preserve"> 9 July 2014 </w:t>
      </w:r>
      <w:r w:rsidRPr="002A154D">
        <w:rPr>
          <w:rFonts w:ascii="Arial" w:hAnsi="Arial" w:cs="Arial"/>
          <w:snapToGrid w:val="0"/>
          <w:sz w:val="20"/>
        </w:rPr>
        <w:t xml:space="preserve">and </w:t>
      </w:r>
      <w:r w:rsidR="00995830" w:rsidRPr="00251BF2">
        <w:rPr>
          <w:rFonts w:ascii="Arial" w:hAnsi="Arial" w:cs="Arial"/>
          <w:snapToGrid w:val="0"/>
          <w:sz w:val="20"/>
        </w:rPr>
        <w:t>2</w:t>
      </w:r>
      <w:r w:rsidR="00995830">
        <w:rPr>
          <w:rFonts w:ascii="Arial" w:hAnsi="Arial" w:cs="Arial"/>
          <w:snapToGrid w:val="0"/>
          <w:sz w:val="20"/>
        </w:rPr>
        <w:t>2 </w:t>
      </w:r>
      <w:r w:rsidR="004B2CE1">
        <w:rPr>
          <w:rFonts w:ascii="Arial" w:hAnsi="Arial" w:cs="Arial"/>
          <w:snapToGrid w:val="0"/>
          <w:sz w:val="20"/>
        </w:rPr>
        <w:t>August 2</w:t>
      </w:r>
      <w:r w:rsidRPr="00251BF2">
        <w:rPr>
          <w:rFonts w:ascii="Arial" w:hAnsi="Arial" w:cs="Arial"/>
          <w:snapToGrid w:val="0"/>
          <w:sz w:val="20"/>
        </w:rPr>
        <w:t>014</w:t>
      </w:r>
      <w:r w:rsidRPr="00C117CF">
        <w:rPr>
          <w:rFonts w:ascii="Arial" w:hAnsi="Arial" w:cs="Arial"/>
          <w:snapToGrid w:val="0"/>
          <w:sz w:val="20"/>
        </w:rPr>
        <w:t>. Th</w:t>
      </w:r>
      <w:r>
        <w:rPr>
          <w:rFonts w:ascii="Arial" w:hAnsi="Arial" w:cs="Arial"/>
          <w:snapToGrid w:val="0"/>
          <w:sz w:val="20"/>
        </w:rPr>
        <w:t xml:space="preserve">e consultation </w:t>
      </w:r>
      <w:r w:rsidRPr="00C117CF">
        <w:rPr>
          <w:rFonts w:ascii="Arial" w:hAnsi="Arial" w:cs="Arial"/>
          <w:snapToGrid w:val="0"/>
          <w:sz w:val="20"/>
        </w:rPr>
        <w:t xml:space="preserve">paper explained the sunsetting process and the ACMA’s preliminary view that the existing arrangements </w:t>
      </w:r>
      <w:r>
        <w:rPr>
          <w:rFonts w:ascii="Arial" w:hAnsi="Arial" w:cs="Arial"/>
          <w:snapToGrid w:val="0"/>
          <w:sz w:val="20"/>
        </w:rPr>
        <w:t xml:space="preserve">under the </w:t>
      </w:r>
      <w:r w:rsidR="004F382E">
        <w:rPr>
          <w:rFonts w:ascii="Arial" w:hAnsi="Arial" w:cs="Arial"/>
          <w:snapToGrid w:val="0"/>
          <w:sz w:val="20"/>
        </w:rPr>
        <w:t xml:space="preserve">1997 </w:t>
      </w:r>
      <w:r>
        <w:rPr>
          <w:rFonts w:ascii="Arial" w:hAnsi="Arial" w:cs="Arial"/>
          <w:snapToGrid w:val="0"/>
          <w:sz w:val="20"/>
        </w:rPr>
        <w:t xml:space="preserve">Determination </w:t>
      </w:r>
      <w:r w:rsidRPr="00C117CF">
        <w:rPr>
          <w:rFonts w:ascii="Arial" w:hAnsi="Arial" w:cs="Arial"/>
          <w:snapToGrid w:val="0"/>
          <w:sz w:val="20"/>
        </w:rPr>
        <w:t>should be saved from automatic repeal and remade without any significant changes. Interested parties were invited to comment.</w:t>
      </w:r>
    </w:p>
    <w:p w14:paraId="27670C40" w14:textId="77777777" w:rsidR="00914D5C" w:rsidRDefault="00914D5C" w:rsidP="00914D5C">
      <w:pPr>
        <w:rPr>
          <w:rFonts w:ascii="Arial" w:hAnsi="Arial" w:cs="Arial"/>
          <w:snapToGrid w:val="0"/>
          <w:sz w:val="20"/>
        </w:rPr>
      </w:pPr>
    </w:p>
    <w:p w14:paraId="50DDA063" w14:textId="69DAD462" w:rsidR="00914D5C" w:rsidRPr="00C117CF" w:rsidRDefault="00914D5C" w:rsidP="00914D5C">
      <w:pPr>
        <w:rPr>
          <w:rFonts w:ascii="Arial" w:hAnsi="Arial" w:cs="Arial"/>
          <w:snapToGrid w:val="0"/>
          <w:sz w:val="20"/>
        </w:rPr>
      </w:pPr>
      <w:r>
        <w:rPr>
          <w:rFonts w:ascii="Arial" w:hAnsi="Arial" w:cs="Arial"/>
          <w:snapToGrid w:val="0"/>
          <w:sz w:val="20"/>
        </w:rPr>
        <w:t>T</w:t>
      </w:r>
      <w:r w:rsidRPr="00C117CF">
        <w:rPr>
          <w:rFonts w:ascii="Arial" w:hAnsi="Arial" w:cs="Arial"/>
          <w:snapToGrid w:val="0"/>
          <w:sz w:val="20"/>
        </w:rPr>
        <w:t xml:space="preserve">he ACMA received </w:t>
      </w:r>
      <w:r w:rsidR="00C62F55">
        <w:rPr>
          <w:rFonts w:ascii="Arial" w:hAnsi="Arial" w:cs="Arial"/>
          <w:snapToGrid w:val="0"/>
          <w:sz w:val="20"/>
        </w:rPr>
        <w:t xml:space="preserve">two </w:t>
      </w:r>
      <w:r w:rsidRPr="00C117CF">
        <w:rPr>
          <w:rFonts w:ascii="Arial" w:hAnsi="Arial" w:cs="Arial"/>
          <w:snapToGrid w:val="0"/>
          <w:sz w:val="20"/>
        </w:rPr>
        <w:t>submission</w:t>
      </w:r>
      <w:r>
        <w:rPr>
          <w:rFonts w:ascii="Arial" w:hAnsi="Arial" w:cs="Arial"/>
          <w:snapToGrid w:val="0"/>
          <w:sz w:val="20"/>
        </w:rPr>
        <w:t>s</w:t>
      </w:r>
      <w:r w:rsidRPr="00C117CF">
        <w:rPr>
          <w:rFonts w:ascii="Arial" w:hAnsi="Arial" w:cs="Arial"/>
          <w:snapToGrid w:val="0"/>
          <w:sz w:val="20"/>
        </w:rPr>
        <w:t xml:space="preserve"> in response to t</w:t>
      </w:r>
      <w:r>
        <w:rPr>
          <w:rFonts w:ascii="Arial" w:hAnsi="Arial" w:cs="Arial"/>
          <w:snapToGrid w:val="0"/>
          <w:sz w:val="20"/>
        </w:rPr>
        <w:t>he consultation paper</w:t>
      </w:r>
      <w:r w:rsidR="00A0011A">
        <w:rPr>
          <w:rFonts w:ascii="Arial" w:hAnsi="Arial" w:cs="Arial"/>
          <w:snapToGrid w:val="0"/>
          <w:sz w:val="20"/>
        </w:rPr>
        <w:t>,</w:t>
      </w:r>
      <w:r w:rsidR="0069789A">
        <w:rPr>
          <w:rFonts w:ascii="Arial" w:hAnsi="Arial" w:cs="Arial"/>
          <w:snapToGrid w:val="0"/>
          <w:sz w:val="20"/>
        </w:rPr>
        <w:t xml:space="preserve"> one </w:t>
      </w:r>
      <w:r w:rsidR="00E670AE">
        <w:rPr>
          <w:rFonts w:ascii="Arial" w:hAnsi="Arial" w:cs="Arial"/>
          <w:snapToGrid w:val="0"/>
          <w:sz w:val="20"/>
        </w:rPr>
        <w:t xml:space="preserve">of which </w:t>
      </w:r>
      <w:r w:rsidR="0069789A">
        <w:rPr>
          <w:rFonts w:ascii="Arial" w:hAnsi="Arial" w:cs="Arial"/>
          <w:snapToGrid w:val="0"/>
          <w:sz w:val="20"/>
        </w:rPr>
        <w:t>was relevant to the Determination</w:t>
      </w:r>
      <w:r w:rsidR="00A0011A">
        <w:rPr>
          <w:rFonts w:ascii="Arial" w:hAnsi="Arial" w:cs="Arial"/>
          <w:snapToGrid w:val="0"/>
          <w:sz w:val="20"/>
        </w:rPr>
        <w:t xml:space="preserve"> and</w:t>
      </w:r>
      <w:r w:rsidR="00AE574B">
        <w:rPr>
          <w:rFonts w:ascii="Arial" w:hAnsi="Arial" w:cs="Arial"/>
          <w:snapToGrid w:val="0"/>
          <w:sz w:val="20"/>
        </w:rPr>
        <w:t xml:space="preserve"> which </w:t>
      </w:r>
      <w:r w:rsidR="00A0011A">
        <w:rPr>
          <w:rFonts w:ascii="Arial" w:hAnsi="Arial" w:cs="Arial"/>
          <w:snapToGrid w:val="0"/>
          <w:sz w:val="20"/>
        </w:rPr>
        <w:t>was taken</w:t>
      </w:r>
      <w:r w:rsidR="00AE574B">
        <w:rPr>
          <w:rFonts w:ascii="Arial" w:hAnsi="Arial" w:cs="Arial"/>
          <w:snapToGrid w:val="0"/>
          <w:sz w:val="20"/>
        </w:rPr>
        <w:t xml:space="preserve"> into account when making the </w:t>
      </w:r>
      <w:r w:rsidR="0069789A">
        <w:rPr>
          <w:rFonts w:ascii="Arial" w:hAnsi="Arial" w:cs="Arial"/>
          <w:snapToGrid w:val="0"/>
          <w:sz w:val="20"/>
        </w:rPr>
        <w:t>Determination</w:t>
      </w:r>
      <w:r w:rsidR="0069789A" w:rsidRPr="0069789A">
        <w:rPr>
          <w:rFonts w:ascii="Arial" w:hAnsi="Arial" w:cs="Arial"/>
          <w:snapToGrid w:val="0"/>
          <w:sz w:val="20"/>
        </w:rPr>
        <w:t>.</w:t>
      </w:r>
      <w:r w:rsidR="00E414CA">
        <w:rPr>
          <w:rFonts w:ascii="Arial" w:hAnsi="Arial" w:cs="Arial"/>
          <w:snapToGrid w:val="0"/>
          <w:sz w:val="20"/>
        </w:rPr>
        <w:t xml:space="preserve">  The submissions are available from the ACMA’s </w:t>
      </w:r>
      <w:hyperlink r:id="rId14" w:history="1">
        <w:r w:rsidR="00E414CA" w:rsidRPr="00E414CA">
          <w:rPr>
            <w:rStyle w:val="Hyperlink"/>
            <w:rFonts w:ascii="Arial" w:hAnsi="Arial" w:cs="Arial"/>
            <w:snapToGrid w:val="0"/>
            <w:sz w:val="20"/>
          </w:rPr>
          <w:t>website</w:t>
        </w:r>
      </w:hyperlink>
      <w:r w:rsidR="00E414CA">
        <w:rPr>
          <w:rFonts w:ascii="Arial" w:hAnsi="Arial" w:cs="Arial"/>
          <w:snapToGrid w:val="0"/>
          <w:sz w:val="20"/>
        </w:rPr>
        <w:t>.</w:t>
      </w:r>
    </w:p>
    <w:p w14:paraId="615EC610" w14:textId="77777777" w:rsidR="00914D5C" w:rsidRPr="006773A9" w:rsidRDefault="00914D5C" w:rsidP="00914D5C">
      <w:pPr>
        <w:outlineLvl w:val="0"/>
        <w:rPr>
          <w:rFonts w:ascii="Arial" w:hAnsi="Arial" w:cs="Arial"/>
          <w:b/>
          <w:sz w:val="22"/>
          <w:szCs w:val="22"/>
          <w:lang w:val="en-AU"/>
        </w:rPr>
      </w:pPr>
    </w:p>
    <w:p w14:paraId="0BE13453" w14:textId="77777777" w:rsidR="00914D5C" w:rsidRPr="001211CC" w:rsidRDefault="00914D5C" w:rsidP="00914D5C">
      <w:pPr>
        <w:spacing w:line="360" w:lineRule="auto"/>
        <w:outlineLvl w:val="0"/>
        <w:rPr>
          <w:rFonts w:ascii="Arial" w:hAnsi="Arial" w:cs="Arial"/>
          <w:b/>
          <w:sz w:val="22"/>
          <w:szCs w:val="22"/>
        </w:rPr>
      </w:pPr>
      <w:r w:rsidRPr="006773A9">
        <w:rPr>
          <w:rFonts w:ascii="Arial" w:hAnsi="Arial" w:cs="Arial"/>
          <w:b/>
          <w:sz w:val="22"/>
          <w:szCs w:val="22"/>
          <w:lang w:val="en-AU"/>
        </w:rPr>
        <w:t>R</w:t>
      </w:r>
      <w:proofErr w:type="spellStart"/>
      <w:r w:rsidRPr="001211CC">
        <w:rPr>
          <w:rFonts w:ascii="Arial" w:hAnsi="Arial" w:cs="Arial"/>
          <w:b/>
          <w:sz w:val="22"/>
          <w:szCs w:val="22"/>
        </w:rPr>
        <w:t>egulatory</w:t>
      </w:r>
      <w:proofErr w:type="spellEnd"/>
      <w:r w:rsidRPr="001211CC">
        <w:rPr>
          <w:rFonts w:ascii="Arial" w:hAnsi="Arial" w:cs="Arial"/>
          <w:b/>
          <w:sz w:val="22"/>
          <w:szCs w:val="22"/>
        </w:rPr>
        <w:t xml:space="preserve"> Impact </w:t>
      </w:r>
    </w:p>
    <w:p w14:paraId="59A105D4" w14:textId="74424003" w:rsidR="00914D5C" w:rsidRPr="006E1DE9" w:rsidRDefault="009D358F" w:rsidP="00914D5C">
      <w:pPr>
        <w:rPr>
          <w:rFonts w:ascii="Arial" w:hAnsi="Arial" w:cs="Arial"/>
          <w:sz w:val="20"/>
        </w:rPr>
      </w:pPr>
      <w:r>
        <w:rPr>
          <w:rFonts w:ascii="Arial" w:hAnsi="Arial" w:cs="Arial"/>
          <w:snapToGrid w:val="0"/>
          <w:sz w:val="20"/>
        </w:rPr>
        <w:t>T</w:t>
      </w:r>
      <w:r w:rsidR="00914D5C" w:rsidRPr="00C117CF">
        <w:rPr>
          <w:rFonts w:ascii="Arial" w:hAnsi="Arial" w:cs="Arial"/>
          <w:snapToGrid w:val="0"/>
          <w:sz w:val="20"/>
        </w:rPr>
        <w:t xml:space="preserve">he Office of </w:t>
      </w:r>
      <w:r w:rsidR="00892CC3">
        <w:rPr>
          <w:rFonts w:ascii="Arial" w:hAnsi="Arial" w:cs="Arial"/>
          <w:snapToGrid w:val="0"/>
          <w:sz w:val="20"/>
        </w:rPr>
        <w:t>Best Practice Regulation (OBPR)</w:t>
      </w:r>
      <w:r>
        <w:rPr>
          <w:rFonts w:ascii="Arial" w:hAnsi="Arial" w:cs="Arial"/>
          <w:snapToGrid w:val="0"/>
          <w:sz w:val="20"/>
        </w:rPr>
        <w:t xml:space="preserve"> applies </w:t>
      </w:r>
      <w:r w:rsidR="00914D5C" w:rsidRPr="00C117CF">
        <w:rPr>
          <w:rFonts w:ascii="Arial" w:hAnsi="Arial" w:cs="Arial"/>
          <w:snapToGrid w:val="0"/>
          <w:sz w:val="20"/>
        </w:rPr>
        <w:t xml:space="preserve">streamlined administrative processes to sunsetting legislative instruments. As the ACMA has determined that the </w:t>
      </w:r>
      <w:r w:rsidR="00914D5C">
        <w:rPr>
          <w:rFonts w:ascii="Arial" w:hAnsi="Arial" w:cs="Arial"/>
          <w:snapToGrid w:val="0"/>
          <w:sz w:val="20"/>
        </w:rPr>
        <w:t xml:space="preserve">1997 </w:t>
      </w:r>
      <w:r w:rsidR="00892CC3">
        <w:rPr>
          <w:rFonts w:ascii="Arial" w:hAnsi="Arial" w:cs="Arial"/>
          <w:snapToGrid w:val="0"/>
          <w:sz w:val="20"/>
        </w:rPr>
        <w:t>Determination</w:t>
      </w:r>
      <w:r w:rsidR="00914D5C" w:rsidRPr="00C117CF">
        <w:rPr>
          <w:rFonts w:ascii="Arial" w:hAnsi="Arial" w:cs="Arial"/>
          <w:snapToGrid w:val="0"/>
          <w:sz w:val="20"/>
        </w:rPr>
        <w:t xml:space="preserve"> was fit for purpose and should be remade without any significant changes, and has certified those matters to OBPR, no Regulation Impact Statement</w:t>
      </w:r>
      <w:r w:rsidR="00914D5C">
        <w:rPr>
          <w:rFonts w:ascii="Arial" w:hAnsi="Arial" w:cs="Arial"/>
          <w:snapToGrid w:val="0"/>
          <w:sz w:val="20"/>
        </w:rPr>
        <w:t xml:space="preserve"> (RIS)</w:t>
      </w:r>
      <w:r w:rsidR="00914D5C" w:rsidRPr="00C117CF">
        <w:rPr>
          <w:rFonts w:ascii="Arial" w:hAnsi="Arial" w:cs="Arial"/>
          <w:snapToGrid w:val="0"/>
          <w:sz w:val="20"/>
        </w:rPr>
        <w:t xml:space="preserve"> is required</w:t>
      </w:r>
      <w:r w:rsidR="00914D5C">
        <w:rPr>
          <w:rFonts w:ascii="Arial" w:hAnsi="Arial" w:cs="Arial"/>
          <w:snapToGrid w:val="0"/>
          <w:sz w:val="20"/>
        </w:rPr>
        <w:t xml:space="preserve"> in relation to the making of the Determination</w:t>
      </w:r>
      <w:r w:rsidR="00B876CA">
        <w:rPr>
          <w:rFonts w:ascii="Arial" w:hAnsi="Arial" w:cs="Arial"/>
          <w:snapToGrid w:val="0"/>
          <w:sz w:val="20"/>
        </w:rPr>
        <w:t xml:space="preserve">. The </w:t>
      </w:r>
      <w:r w:rsidR="00914D5C">
        <w:rPr>
          <w:rFonts w:ascii="Arial" w:hAnsi="Arial" w:cs="Arial"/>
          <w:sz w:val="20"/>
        </w:rPr>
        <w:t>OBPR reference</w:t>
      </w:r>
      <w:r w:rsidR="00914D5C" w:rsidRPr="006E1DE9">
        <w:rPr>
          <w:rFonts w:ascii="Arial" w:hAnsi="Arial" w:cs="Arial"/>
          <w:sz w:val="20"/>
        </w:rPr>
        <w:t xml:space="preserve"> </w:t>
      </w:r>
      <w:r w:rsidR="00B876CA">
        <w:rPr>
          <w:rFonts w:ascii="Arial" w:hAnsi="Arial" w:cs="Arial"/>
          <w:sz w:val="20"/>
        </w:rPr>
        <w:t>number is</w:t>
      </w:r>
      <w:r w:rsidR="00914D5C" w:rsidRPr="006E1DE9">
        <w:rPr>
          <w:rFonts w:ascii="Arial" w:hAnsi="Arial" w:cs="Arial"/>
          <w:sz w:val="20"/>
        </w:rPr>
        <w:t xml:space="preserve"> </w:t>
      </w:r>
      <w:r w:rsidR="00914D5C" w:rsidRPr="009D358F">
        <w:rPr>
          <w:rFonts w:ascii="Arial" w:hAnsi="Arial" w:cs="Arial"/>
          <w:sz w:val="20"/>
        </w:rPr>
        <w:t>16</w:t>
      </w:r>
      <w:r w:rsidR="0063128A">
        <w:rPr>
          <w:rFonts w:ascii="Arial" w:hAnsi="Arial" w:cs="Arial"/>
          <w:sz w:val="20"/>
        </w:rPr>
        <w:t>938</w:t>
      </w:r>
      <w:r w:rsidR="00914D5C" w:rsidRPr="006E1DE9">
        <w:rPr>
          <w:rFonts w:ascii="Arial" w:hAnsi="Arial" w:cs="Arial"/>
          <w:sz w:val="20"/>
        </w:rPr>
        <w:t>.</w:t>
      </w:r>
    </w:p>
    <w:p w14:paraId="11698044" w14:textId="77777777" w:rsidR="00914D5C" w:rsidRDefault="00914D5C" w:rsidP="00914D5C">
      <w:pPr>
        <w:outlineLvl w:val="0"/>
        <w:rPr>
          <w:rFonts w:ascii="Arial" w:hAnsi="Arial" w:cs="Arial"/>
          <w:b/>
          <w:sz w:val="22"/>
          <w:szCs w:val="22"/>
          <w:lang w:val="en-AU"/>
        </w:rPr>
      </w:pPr>
    </w:p>
    <w:p w14:paraId="176A79E9" w14:textId="77777777" w:rsidR="00914D5C" w:rsidRPr="005A5476" w:rsidRDefault="00914D5C" w:rsidP="00914D5C">
      <w:pPr>
        <w:spacing w:line="360" w:lineRule="auto"/>
        <w:outlineLvl w:val="0"/>
        <w:rPr>
          <w:rFonts w:ascii="Arial" w:hAnsi="Arial" w:cs="Arial"/>
          <w:b/>
          <w:sz w:val="22"/>
          <w:szCs w:val="22"/>
          <w:lang w:val="en-AU"/>
        </w:rPr>
      </w:pPr>
      <w:r w:rsidRPr="005A5476">
        <w:rPr>
          <w:rFonts w:ascii="Arial" w:hAnsi="Arial" w:cs="Arial"/>
          <w:b/>
          <w:sz w:val="22"/>
          <w:szCs w:val="22"/>
          <w:lang w:val="en-AU"/>
        </w:rPr>
        <w:t>Detailed Description of the Instrument</w:t>
      </w:r>
    </w:p>
    <w:p w14:paraId="6AD3A4E0" w14:textId="77777777" w:rsidR="00914D5C" w:rsidRDefault="00914D5C" w:rsidP="00914D5C">
      <w:pPr>
        <w:outlineLvl w:val="0"/>
        <w:rPr>
          <w:rFonts w:ascii="Arial" w:hAnsi="Arial" w:cs="Arial"/>
          <w:sz w:val="20"/>
          <w:lang w:val="en-AU"/>
        </w:rPr>
      </w:pPr>
      <w:r w:rsidRPr="005029D3">
        <w:rPr>
          <w:rFonts w:ascii="Arial" w:hAnsi="Arial" w:cs="Arial"/>
          <w:sz w:val="20"/>
          <w:lang w:val="en-AU"/>
        </w:rPr>
        <w:t xml:space="preserve">Details of the </w:t>
      </w:r>
      <w:r>
        <w:rPr>
          <w:rFonts w:ascii="Arial" w:hAnsi="Arial" w:cs="Arial"/>
          <w:sz w:val="20"/>
          <w:lang w:val="en-AU"/>
        </w:rPr>
        <w:t>Determination</w:t>
      </w:r>
      <w:r w:rsidRPr="005029D3">
        <w:rPr>
          <w:rFonts w:ascii="Arial" w:hAnsi="Arial" w:cs="Arial"/>
          <w:sz w:val="20"/>
          <w:lang w:val="en-AU"/>
        </w:rPr>
        <w:t xml:space="preserve"> are set out in </w:t>
      </w:r>
      <w:r w:rsidRPr="005029D3">
        <w:rPr>
          <w:rFonts w:ascii="Arial" w:hAnsi="Arial" w:cs="Arial"/>
          <w:b/>
          <w:sz w:val="20"/>
          <w:lang w:val="en-AU"/>
        </w:rPr>
        <w:t>Attachment A</w:t>
      </w:r>
      <w:r w:rsidRPr="005029D3">
        <w:rPr>
          <w:rFonts w:ascii="Arial" w:hAnsi="Arial" w:cs="Arial"/>
          <w:sz w:val="20"/>
          <w:lang w:val="en-AU"/>
        </w:rPr>
        <w:t>.</w:t>
      </w:r>
    </w:p>
    <w:p w14:paraId="5EC5FAF3" w14:textId="77777777" w:rsidR="00AE574B" w:rsidRDefault="00AE574B" w:rsidP="00AE574B">
      <w:pPr>
        <w:outlineLvl w:val="0"/>
        <w:rPr>
          <w:rFonts w:ascii="Arial" w:hAnsi="Arial" w:cs="Arial"/>
          <w:b/>
          <w:sz w:val="22"/>
          <w:szCs w:val="22"/>
          <w:lang w:val="en-AU"/>
        </w:rPr>
      </w:pPr>
    </w:p>
    <w:p w14:paraId="6C39216E" w14:textId="2FCD5A8A" w:rsidR="00AE574B" w:rsidRPr="005A5476" w:rsidRDefault="00AE574B" w:rsidP="00AE574B">
      <w:pPr>
        <w:spacing w:line="360" w:lineRule="auto"/>
        <w:outlineLvl w:val="0"/>
        <w:rPr>
          <w:rFonts w:ascii="Arial" w:hAnsi="Arial" w:cs="Arial"/>
          <w:b/>
          <w:sz w:val="22"/>
          <w:szCs w:val="22"/>
          <w:lang w:val="en-AU"/>
        </w:rPr>
      </w:pPr>
      <w:r w:rsidRPr="005A5476">
        <w:rPr>
          <w:rFonts w:ascii="Arial" w:hAnsi="Arial" w:cs="Arial"/>
          <w:b/>
          <w:sz w:val="22"/>
          <w:szCs w:val="22"/>
          <w:lang w:val="en-AU"/>
        </w:rPr>
        <w:t>D</w:t>
      </w:r>
      <w:r w:rsidR="00A0011A">
        <w:rPr>
          <w:rFonts w:ascii="Arial" w:hAnsi="Arial" w:cs="Arial"/>
          <w:b/>
          <w:sz w:val="22"/>
          <w:szCs w:val="22"/>
          <w:lang w:val="en-AU"/>
        </w:rPr>
        <w:t>ocuments incorporated in the</w:t>
      </w:r>
      <w:r>
        <w:rPr>
          <w:rFonts w:ascii="Arial" w:hAnsi="Arial" w:cs="Arial"/>
          <w:b/>
          <w:sz w:val="22"/>
          <w:szCs w:val="22"/>
          <w:lang w:val="en-AU"/>
        </w:rPr>
        <w:t xml:space="preserve"> Instrument by Reference</w:t>
      </w:r>
    </w:p>
    <w:p w14:paraId="0E6F6D61" w14:textId="77777777" w:rsidR="00FB36FD" w:rsidRDefault="00FB36FD" w:rsidP="00FB36FD">
      <w:pPr>
        <w:outlineLvl w:val="0"/>
        <w:rPr>
          <w:rFonts w:ascii="Arial" w:hAnsi="Arial" w:cs="Arial"/>
          <w:sz w:val="20"/>
          <w:lang w:val="en-AU"/>
        </w:rPr>
      </w:pPr>
      <w:r>
        <w:rPr>
          <w:rFonts w:ascii="Arial" w:hAnsi="Arial" w:cs="Arial"/>
          <w:sz w:val="20"/>
          <w:lang w:val="en-AU"/>
        </w:rPr>
        <w:t>The Determination refers to Acts and other legislative instruments as in force from time to time (as permitted by section 314A of the Act).  Those Acts and legislative instruments are:</w:t>
      </w:r>
    </w:p>
    <w:p w14:paraId="63C3EC1E" w14:textId="77777777" w:rsidR="00FB36FD" w:rsidRDefault="00FB36FD" w:rsidP="00FB36FD">
      <w:pPr>
        <w:outlineLvl w:val="0"/>
        <w:rPr>
          <w:rFonts w:ascii="Arial" w:hAnsi="Arial" w:cs="Arial"/>
          <w:sz w:val="20"/>
          <w:lang w:val="en-AU"/>
        </w:rPr>
      </w:pPr>
    </w:p>
    <w:p w14:paraId="6E46187B" w14:textId="77777777" w:rsidR="00FB36FD" w:rsidRDefault="00FB36FD" w:rsidP="00FB36FD">
      <w:pPr>
        <w:pStyle w:val="ListParagraph"/>
        <w:numPr>
          <w:ilvl w:val="0"/>
          <w:numId w:val="23"/>
        </w:numPr>
        <w:outlineLvl w:val="0"/>
        <w:rPr>
          <w:rFonts w:ascii="Arial" w:hAnsi="Arial" w:cs="Arial"/>
          <w:sz w:val="20"/>
          <w:lang w:val="en-AU"/>
        </w:rPr>
      </w:pPr>
      <w:r>
        <w:rPr>
          <w:rFonts w:ascii="Arial" w:hAnsi="Arial" w:cs="Arial"/>
          <w:sz w:val="20"/>
          <w:lang w:val="en-AU"/>
        </w:rPr>
        <w:t>the Act;</w:t>
      </w:r>
    </w:p>
    <w:p w14:paraId="122621DE" w14:textId="77777777" w:rsidR="00FB36FD" w:rsidRDefault="00FB36FD" w:rsidP="00FB36FD">
      <w:pPr>
        <w:pStyle w:val="ListParagraph"/>
        <w:numPr>
          <w:ilvl w:val="0"/>
          <w:numId w:val="23"/>
        </w:numPr>
        <w:outlineLvl w:val="0"/>
        <w:rPr>
          <w:rFonts w:ascii="Arial" w:hAnsi="Arial" w:cs="Arial"/>
          <w:sz w:val="20"/>
          <w:lang w:val="en-AU"/>
        </w:rPr>
      </w:pPr>
      <w:proofErr w:type="gramStart"/>
      <w:r>
        <w:rPr>
          <w:rFonts w:ascii="Arial" w:hAnsi="Arial" w:cs="Arial"/>
          <w:sz w:val="20"/>
          <w:lang w:val="en-AU"/>
        </w:rPr>
        <w:t>standards</w:t>
      </w:r>
      <w:proofErr w:type="gramEnd"/>
      <w:r>
        <w:rPr>
          <w:rFonts w:ascii="Arial" w:hAnsi="Arial" w:cs="Arial"/>
          <w:sz w:val="20"/>
          <w:lang w:val="en-AU"/>
        </w:rPr>
        <w:t xml:space="preserve"> made under section 162 of the Act.</w:t>
      </w:r>
    </w:p>
    <w:p w14:paraId="27F573FD" w14:textId="77777777" w:rsidR="00FB36FD" w:rsidRDefault="00FB36FD">
      <w:pPr>
        <w:outlineLvl w:val="0"/>
        <w:rPr>
          <w:rFonts w:ascii="Arial" w:hAnsi="Arial" w:cs="Arial"/>
          <w:sz w:val="20"/>
          <w:lang w:val="en-AU"/>
        </w:rPr>
      </w:pPr>
    </w:p>
    <w:p w14:paraId="55A3D2BF" w14:textId="7BC1F231" w:rsidR="0062031A" w:rsidRPr="00BF1429" w:rsidRDefault="0062031A">
      <w:pPr>
        <w:outlineLvl w:val="0"/>
        <w:rPr>
          <w:rFonts w:ascii="Arial" w:hAnsi="Arial" w:cs="Arial"/>
          <w:sz w:val="20"/>
          <w:lang w:val="en-AU"/>
        </w:rPr>
      </w:pPr>
      <w:r>
        <w:rPr>
          <w:rFonts w:ascii="Arial" w:hAnsi="Arial" w:cs="Arial"/>
          <w:sz w:val="20"/>
          <w:lang w:val="en-AU"/>
        </w:rPr>
        <w:t xml:space="preserve">The Acts and </w:t>
      </w:r>
      <w:r w:rsidR="007C3162">
        <w:rPr>
          <w:rFonts w:ascii="Arial" w:hAnsi="Arial" w:cs="Arial"/>
          <w:sz w:val="20"/>
          <w:lang w:val="en-AU"/>
        </w:rPr>
        <w:t>legislative instruments</w:t>
      </w:r>
      <w:r>
        <w:rPr>
          <w:rFonts w:ascii="Arial" w:hAnsi="Arial" w:cs="Arial"/>
          <w:sz w:val="20"/>
          <w:lang w:val="en-AU"/>
        </w:rPr>
        <w:t xml:space="preserve"> </w:t>
      </w:r>
      <w:r w:rsidR="003B77C9">
        <w:rPr>
          <w:rFonts w:ascii="Arial" w:hAnsi="Arial" w:cs="Arial"/>
          <w:sz w:val="20"/>
          <w:lang w:val="en-AU"/>
        </w:rPr>
        <w:t xml:space="preserve">referenced in the Determination can </w:t>
      </w:r>
      <w:r>
        <w:rPr>
          <w:rFonts w:ascii="Arial" w:hAnsi="Arial" w:cs="Arial"/>
          <w:sz w:val="20"/>
          <w:lang w:val="en-AU"/>
        </w:rPr>
        <w:t xml:space="preserve">be found on the </w:t>
      </w:r>
      <w:proofErr w:type="spellStart"/>
      <w:r w:rsidR="003B77C9" w:rsidRPr="003B77C9">
        <w:rPr>
          <w:rFonts w:ascii="Arial" w:hAnsi="Arial" w:cs="Arial"/>
          <w:sz w:val="20"/>
          <w:lang w:val="en-AU"/>
        </w:rPr>
        <w:t>ComLaw</w:t>
      </w:r>
      <w:proofErr w:type="spellEnd"/>
      <w:r w:rsidR="003B77C9" w:rsidRPr="003B77C9">
        <w:rPr>
          <w:rFonts w:ascii="Arial" w:hAnsi="Arial" w:cs="Arial"/>
          <w:sz w:val="20"/>
          <w:lang w:val="en-AU"/>
        </w:rPr>
        <w:t xml:space="preserve"> website</w:t>
      </w:r>
      <w:r w:rsidR="007C3162">
        <w:rPr>
          <w:rFonts w:ascii="Arial" w:hAnsi="Arial" w:cs="Arial"/>
          <w:sz w:val="20"/>
          <w:lang w:val="en-AU"/>
        </w:rPr>
        <w:t>:</w:t>
      </w:r>
      <w:r w:rsidR="003B77C9">
        <w:rPr>
          <w:rFonts w:ascii="Arial" w:hAnsi="Arial" w:cs="Arial"/>
          <w:sz w:val="20"/>
          <w:lang w:val="en-AU"/>
        </w:rPr>
        <w:t xml:space="preserve"> </w:t>
      </w:r>
      <w:hyperlink r:id="rId15" w:history="1">
        <w:r w:rsidR="003B77C9" w:rsidRPr="00AF0589">
          <w:rPr>
            <w:rStyle w:val="Hyperlink"/>
            <w:rFonts w:ascii="Arial" w:hAnsi="Arial" w:cs="Arial"/>
            <w:sz w:val="20"/>
            <w:lang w:val="en-AU"/>
          </w:rPr>
          <w:t>http://www.comlaw.gov.au</w:t>
        </w:r>
      </w:hyperlink>
      <w:r w:rsidR="003B77C9">
        <w:rPr>
          <w:rFonts w:ascii="Arial" w:hAnsi="Arial" w:cs="Arial"/>
          <w:sz w:val="20"/>
          <w:lang w:val="en-AU"/>
        </w:rPr>
        <w:t>.</w:t>
      </w:r>
    </w:p>
    <w:p w14:paraId="54691F48" w14:textId="1D45798C" w:rsidR="00914D5C" w:rsidRDefault="00914D5C" w:rsidP="00914D5C">
      <w:pPr>
        <w:outlineLvl w:val="0"/>
        <w:rPr>
          <w:rFonts w:ascii="Arial" w:hAnsi="Arial" w:cs="Arial"/>
          <w:b/>
          <w:sz w:val="22"/>
          <w:szCs w:val="22"/>
          <w:lang w:val="en-AU"/>
        </w:rPr>
      </w:pPr>
    </w:p>
    <w:p w14:paraId="5FE1FB60" w14:textId="77777777" w:rsidR="00914D5C" w:rsidRPr="005A5476" w:rsidRDefault="00914D5C" w:rsidP="00914D5C">
      <w:pPr>
        <w:keepNext/>
        <w:spacing w:line="360" w:lineRule="auto"/>
        <w:outlineLvl w:val="0"/>
        <w:rPr>
          <w:rFonts w:ascii="Arial" w:hAnsi="Arial" w:cs="Arial"/>
          <w:b/>
          <w:sz w:val="22"/>
          <w:szCs w:val="22"/>
          <w:lang w:val="en-AU"/>
        </w:rPr>
      </w:pPr>
      <w:r w:rsidRPr="005A5476">
        <w:rPr>
          <w:rFonts w:ascii="Arial" w:hAnsi="Arial" w:cs="Arial"/>
          <w:b/>
          <w:sz w:val="22"/>
          <w:szCs w:val="22"/>
          <w:lang w:val="en-AU"/>
        </w:rPr>
        <w:t xml:space="preserve">Statement of </w:t>
      </w:r>
      <w:r>
        <w:rPr>
          <w:rFonts w:ascii="Arial" w:hAnsi="Arial" w:cs="Arial"/>
          <w:b/>
          <w:sz w:val="22"/>
          <w:szCs w:val="22"/>
          <w:lang w:val="en-AU"/>
        </w:rPr>
        <w:t>C</w:t>
      </w:r>
      <w:r w:rsidRPr="005A5476">
        <w:rPr>
          <w:rFonts w:ascii="Arial" w:hAnsi="Arial" w:cs="Arial"/>
          <w:b/>
          <w:sz w:val="22"/>
          <w:szCs w:val="22"/>
          <w:lang w:val="en-AU"/>
        </w:rPr>
        <w:t xml:space="preserve">ompatibility with </w:t>
      </w:r>
      <w:r>
        <w:rPr>
          <w:rFonts w:ascii="Arial" w:hAnsi="Arial" w:cs="Arial"/>
          <w:b/>
          <w:sz w:val="22"/>
          <w:szCs w:val="22"/>
          <w:lang w:val="en-AU"/>
        </w:rPr>
        <w:t>H</w:t>
      </w:r>
      <w:r w:rsidRPr="005A5476">
        <w:rPr>
          <w:rFonts w:ascii="Arial" w:hAnsi="Arial" w:cs="Arial"/>
          <w:b/>
          <w:sz w:val="22"/>
          <w:szCs w:val="22"/>
          <w:lang w:val="en-AU"/>
        </w:rPr>
        <w:t xml:space="preserve">uman </w:t>
      </w:r>
      <w:r>
        <w:rPr>
          <w:rFonts w:ascii="Arial" w:hAnsi="Arial" w:cs="Arial"/>
          <w:b/>
          <w:sz w:val="22"/>
          <w:szCs w:val="22"/>
          <w:lang w:val="en-AU"/>
        </w:rPr>
        <w:t>R</w:t>
      </w:r>
      <w:r w:rsidRPr="005A5476">
        <w:rPr>
          <w:rFonts w:ascii="Arial" w:hAnsi="Arial" w:cs="Arial"/>
          <w:b/>
          <w:sz w:val="22"/>
          <w:szCs w:val="22"/>
          <w:lang w:val="en-AU"/>
        </w:rPr>
        <w:t>ights</w:t>
      </w:r>
    </w:p>
    <w:p w14:paraId="7B757321" w14:textId="74172630" w:rsidR="00914D5C" w:rsidRDefault="00914D5C" w:rsidP="00914D5C">
      <w:pPr>
        <w:rPr>
          <w:rFonts w:ascii="Arial" w:hAnsi="Arial" w:cs="Arial"/>
          <w:sz w:val="20"/>
          <w:lang w:val="en-AU"/>
        </w:rPr>
      </w:pPr>
      <w:r>
        <w:rPr>
          <w:rFonts w:ascii="Arial" w:hAnsi="Arial" w:cs="Arial"/>
          <w:sz w:val="20"/>
        </w:rPr>
        <w:t>As required by s</w:t>
      </w:r>
      <w:r w:rsidRPr="005029D3">
        <w:rPr>
          <w:rFonts w:ascii="Arial" w:hAnsi="Arial" w:cs="Arial"/>
          <w:sz w:val="20"/>
        </w:rPr>
        <w:t xml:space="preserve">ubsection 9(1) of the </w:t>
      </w:r>
      <w:r w:rsidRPr="00BD05EE">
        <w:rPr>
          <w:rFonts w:ascii="Arial" w:hAnsi="Arial" w:cs="Arial"/>
          <w:i/>
          <w:sz w:val="20"/>
        </w:rPr>
        <w:t>Human Rights (Parliamentary Scrutiny) Act 2011</w:t>
      </w:r>
      <w:r w:rsidR="00A0011A">
        <w:rPr>
          <w:rFonts w:ascii="Arial" w:hAnsi="Arial" w:cs="Arial"/>
          <w:i/>
          <w:sz w:val="20"/>
        </w:rPr>
        <w:t>,</w:t>
      </w:r>
      <w:r w:rsidRPr="005029D3">
        <w:rPr>
          <w:rFonts w:ascii="Arial" w:hAnsi="Arial" w:cs="Arial"/>
          <w:sz w:val="20"/>
        </w:rPr>
        <w:t xml:space="preserve"> a </w:t>
      </w:r>
      <w:r>
        <w:rPr>
          <w:rFonts w:ascii="Arial" w:hAnsi="Arial" w:cs="Arial"/>
          <w:sz w:val="20"/>
        </w:rPr>
        <w:t>S</w:t>
      </w:r>
      <w:r w:rsidRPr="005029D3">
        <w:rPr>
          <w:rFonts w:ascii="Arial" w:hAnsi="Arial" w:cs="Arial"/>
          <w:sz w:val="20"/>
        </w:rPr>
        <w:t xml:space="preserve">tatement of </w:t>
      </w:r>
      <w:r>
        <w:rPr>
          <w:rFonts w:ascii="Arial" w:hAnsi="Arial" w:cs="Arial"/>
          <w:sz w:val="20"/>
        </w:rPr>
        <w:t>C</w:t>
      </w:r>
      <w:r w:rsidRPr="005029D3">
        <w:rPr>
          <w:rFonts w:ascii="Arial" w:hAnsi="Arial" w:cs="Arial"/>
          <w:sz w:val="20"/>
        </w:rPr>
        <w:t xml:space="preserve">ompatibility </w:t>
      </w:r>
      <w:r>
        <w:rPr>
          <w:rFonts w:ascii="Arial" w:hAnsi="Arial" w:cs="Arial"/>
          <w:sz w:val="20"/>
        </w:rPr>
        <w:t xml:space="preserve">with Human Rights has been prepared by the ACMA and </w:t>
      </w:r>
      <w:r w:rsidRPr="005029D3">
        <w:rPr>
          <w:rFonts w:ascii="Arial" w:hAnsi="Arial" w:cs="Arial"/>
          <w:sz w:val="20"/>
        </w:rPr>
        <w:t>is</w:t>
      </w:r>
      <w:r w:rsidRPr="005029D3">
        <w:rPr>
          <w:rFonts w:ascii="Arial" w:hAnsi="Arial" w:cs="Arial"/>
          <w:sz w:val="20"/>
          <w:lang w:val="en-AU"/>
        </w:rPr>
        <w:t xml:space="preserve"> </w:t>
      </w:r>
      <w:r>
        <w:rPr>
          <w:rFonts w:ascii="Arial" w:hAnsi="Arial" w:cs="Arial"/>
          <w:sz w:val="20"/>
          <w:lang w:val="en-AU"/>
        </w:rPr>
        <w:t xml:space="preserve">at </w:t>
      </w:r>
      <w:r w:rsidRPr="005029D3">
        <w:rPr>
          <w:rFonts w:ascii="Arial" w:hAnsi="Arial" w:cs="Arial"/>
          <w:b/>
          <w:sz w:val="20"/>
          <w:lang w:val="en-AU"/>
        </w:rPr>
        <w:t>Attachment B</w:t>
      </w:r>
      <w:r w:rsidRPr="005029D3">
        <w:rPr>
          <w:rFonts w:ascii="Arial" w:hAnsi="Arial" w:cs="Arial"/>
          <w:sz w:val="20"/>
          <w:lang w:val="en-AU"/>
        </w:rPr>
        <w:t>.</w:t>
      </w:r>
    </w:p>
    <w:p w14:paraId="78B9B70C" w14:textId="18DCECE5" w:rsidR="003B77C9" w:rsidRDefault="003B77C9" w:rsidP="002C5882">
      <w:pPr>
        <w:spacing w:before="80" w:after="120" w:line="276" w:lineRule="auto"/>
        <w:rPr>
          <w:rFonts w:ascii="Arial" w:hAnsi="Arial" w:cs="Arial"/>
          <w:sz w:val="20"/>
          <w:lang w:val="en-AU"/>
        </w:rPr>
      </w:pPr>
    </w:p>
    <w:p w14:paraId="71BA75C2" w14:textId="77777777" w:rsidR="007C3162" w:rsidRDefault="007C3162">
      <w:pPr>
        <w:rPr>
          <w:rFonts w:ascii="Arial" w:hAnsi="Arial" w:cs="Arial"/>
          <w:b/>
          <w:sz w:val="22"/>
          <w:szCs w:val="22"/>
          <w:lang w:val="en-AU"/>
        </w:rPr>
      </w:pPr>
      <w:r>
        <w:rPr>
          <w:rFonts w:ascii="Arial" w:hAnsi="Arial" w:cs="Arial"/>
          <w:b/>
          <w:sz w:val="22"/>
          <w:szCs w:val="22"/>
          <w:lang w:val="en-AU"/>
        </w:rPr>
        <w:br w:type="page"/>
      </w:r>
    </w:p>
    <w:p w14:paraId="63CEB059" w14:textId="4046A87C" w:rsidR="00914D5C" w:rsidRPr="005A5476" w:rsidRDefault="00914D5C" w:rsidP="00914D5C">
      <w:pPr>
        <w:rPr>
          <w:rFonts w:ascii="Arial" w:hAnsi="Arial" w:cs="Arial"/>
          <w:b/>
          <w:sz w:val="22"/>
          <w:szCs w:val="22"/>
          <w:lang w:val="en-AU"/>
        </w:rPr>
      </w:pPr>
      <w:r w:rsidRPr="005A5476">
        <w:rPr>
          <w:rFonts w:ascii="Arial" w:hAnsi="Arial" w:cs="Arial"/>
          <w:b/>
          <w:sz w:val="22"/>
          <w:szCs w:val="22"/>
          <w:lang w:val="en-AU"/>
        </w:rPr>
        <w:t>ATTACHMENT A</w:t>
      </w:r>
    </w:p>
    <w:p w14:paraId="0B502DD0" w14:textId="77777777" w:rsidR="00914D5C" w:rsidRPr="005A5476" w:rsidRDefault="00914D5C" w:rsidP="00914D5C">
      <w:pPr>
        <w:spacing w:line="360" w:lineRule="auto"/>
        <w:rPr>
          <w:rFonts w:ascii="Arial" w:hAnsi="Arial" w:cs="Arial"/>
          <w:b/>
          <w:sz w:val="22"/>
          <w:szCs w:val="22"/>
          <w:lang w:val="en-AU"/>
        </w:rPr>
      </w:pPr>
    </w:p>
    <w:p w14:paraId="1DFA321F" w14:textId="00564017" w:rsidR="00914D5C" w:rsidRDefault="00914D5C" w:rsidP="00914D5C">
      <w:pPr>
        <w:spacing w:line="360" w:lineRule="auto"/>
        <w:rPr>
          <w:rFonts w:ascii="Arial" w:hAnsi="Arial" w:cs="Arial"/>
          <w:b/>
          <w:i/>
          <w:sz w:val="22"/>
          <w:szCs w:val="22"/>
          <w:lang w:val="en-AU"/>
        </w:rPr>
      </w:pPr>
      <w:r w:rsidRPr="005A5476">
        <w:rPr>
          <w:rFonts w:ascii="Arial" w:hAnsi="Arial" w:cs="Arial"/>
          <w:b/>
          <w:sz w:val="22"/>
          <w:szCs w:val="22"/>
          <w:lang w:val="en-AU"/>
        </w:rPr>
        <w:t xml:space="preserve">DETAILS OF THE </w:t>
      </w:r>
      <w:r w:rsidRPr="00D72A99">
        <w:rPr>
          <w:rFonts w:ascii="Arial" w:hAnsi="Arial" w:cs="Arial"/>
          <w:b/>
          <w:i/>
          <w:sz w:val="22"/>
          <w:szCs w:val="22"/>
          <w:lang w:val="en-AU"/>
        </w:rPr>
        <w:t>RADIOCOMMUNICATIONS</w:t>
      </w:r>
      <w:r>
        <w:rPr>
          <w:rFonts w:ascii="Arial" w:hAnsi="Arial" w:cs="Arial"/>
          <w:b/>
          <w:i/>
          <w:sz w:val="22"/>
          <w:szCs w:val="22"/>
          <w:lang w:val="en-AU"/>
        </w:rPr>
        <w:t xml:space="preserve"> LICENCE CONDITIONS</w:t>
      </w:r>
      <w:r w:rsidRPr="00D72A99">
        <w:rPr>
          <w:rFonts w:ascii="Arial" w:hAnsi="Arial" w:cs="Arial"/>
          <w:b/>
          <w:i/>
          <w:sz w:val="22"/>
          <w:szCs w:val="22"/>
          <w:lang w:val="en-AU"/>
        </w:rPr>
        <w:t xml:space="preserve"> (</w:t>
      </w:r>
      <w:r>
        <w:rPr>
          <w:rFonts w:ascii="Arial" w:hAnsi="Arial" w:cs="Arial"/>
          <w:b/>
          <w:i/>
          <w:sz w:val="22"/>
          <w:szCs w:val="22"/>
          <w:lang w:val="en-AU"/>
        </w:rPr>
        <w:t>OUTPOST LICENCE</w:t>
      </w:r>
      <w:r w:rsidRPr="00D72A99">
        <w:rPr>
          <w:rFonts w:ascii="Arial" w:hAnsi="Arial" w:cs="Arial"/>
          <w:b/>
          <w:i/>
          <w:sz w:val="22"/>
          <w:szCs w:val="22"/>
          <w:lang w:val="en-AU"/>
        </w:rPr>
        <w:t xml:space="preserve">) </w:t>
      </w:r>
      <w:r>
        <w:rPr>
          <w:rFonts w:ascii="Arial" w:hAnsi="Arial" w:cs="Arial"/>
          <w:b/>
          <w:i/>
          <w:sz w:val="22"/>
          <w:szCs w:val="22"/>
          <w:lang w:val="en-AU"/>
        </w:rPr>
        <w:t>DETERMINATION</w:t>
      </w:r>
      <w:r w:rsidRPr="00D72A99">
        <w:rPr>
          <w:rFonts w:ascii="Arial" w:hAnsi="Arial" w:cs="Arial"/>
          <w:b/>
          <w:i/>
          <w:sz w:val="22"/>
          <w:szCs w:val="22"/>
          <w:lang w:val="en-AU"/>
        </w:rPr>
        <w:t xml:space="preserve"> 201</w:t>
      </w:r>
      <w:r w:rsidR="005D2415">
        <w:rPr>
          <w:rFonts w:ascii="Arial" w:hAnsi="Arial" w:cs="Arial"/>
          <w:b/>
          <w:i/>
          <w:sz w:val="22"/>
          <w:szCs w:val="22"/>
          <w:lang w:val="en-AU"/>
        </w:rPr>
        <w:t>5</w:t>
      </w:r>
    </w:p>
    <w:p w14:paraId="22619386" w14:textId="77777777" w:rsidR="00914D5C" w:rsidRDefault="00914D5C" w:rsidP="00914D5C">
      <w:pPr>
        <w:spacing w:line="360" w:lineRule="auto"/>
        <w:rPr>
          <w:rFonts w:ascii="Arial" w:hAnsi="Arial" w:cs="Arial"/>
          <w:sz w:val="22"/>
          <w:szCs w:val="22"/>
          <w:lang w:val="en-AU"/>
        </w:rPr>
      </w:pPr>
    </w:p>
    <w:p w14:paraId="05424FAB" w14:textId="2423A16F" w:rsidR="003615DA" w:rsidRDefault="003615DA" w:rsidP="00CF3709">
      <w:pPr>
        <w:spacing w:before="80" w:after="120" w:line="276" w:lineRule="auto"/>
        <w:rPr>
          <w:rFonts w:ascii="Arial" w:hAnsi="Arial" w:cs="Arial"/>
          <w:b/>
          <w:color w:val="262626" w:themeColor="text1" w:themeTint="D9"/>
          <w:sz w:val="20"/>
        </w:rPr>
      </w:pPr>
      <w:r>
        <w:rPr>
          <w:rFonts w:ascii="Arial" w:hAnsi="Arial" w:cs="Arial"/>
          <w:b/>
          <w:color w:val="262626" w:themeColor="text1" w:themeTint="D9"/>
          <w:sz w:val="20"/>
        </w:rPr>
        <w:t>PART 1</w:t>
      </w:r>
      <w:r>
        <w:rPr>
          <w:rFonts w:ascii="Arial" w:hAnsi="Arial" w:cs="Arial"/>
          <w:b/>
          <w:color w:val="262626" w:themeColor="text1" w:themeTint="D9"/>
          <w:sz w:val="20"/>
        </w:rPr>
        <w:tab/>
      </w:r>
      <w:r>
        <w:rPr>
          <w:rFonts w:ascii="Arial" w:hAnsi="Arial" w:cs="Arial"/>
          <w:b/>
          <w:color w:val="262626" w:themeColor="text1" w:themeTint="D9"/>
          <w:sz w:val="20"/>
        </w:rPr>
        <w:tab/>
        <w:t>PRELIMINARY</w:t>
      </w:r>
    </w:p>
    <w:p w14:paraId="528BA018" w14:textId="77777777" w:rsidR="00CF3709" w:rsidRDefault="00CF3709" w:rsidP="00CF3709">
      <w:pPr>
        <w:spacing w:before="80" w:after="120" w:line="276" w:lineRule="auto"/>
        <w:rPr>
          <w:rFonts w:ascii="Arial" w:hAnsi="Arial" w:cs="Arial"/>
          <w:b/>
          <w:color w:val="262626" w:themeColor="text1" w:themeTint="D9"/>
          <w:sz w:val="20"/>
        </w:rPr>
      </w:pPr>
      <w:r w:rsidRPr="00F257DA">
        <w:rPr>
          <w:rFonts w:ascii="Arial" w:hAnsi="Arial" w:cs="Arial"/>
          <w:b/>
          <w:color w:val="262626" w:themeColor="text1" w:themeTint="D9"/>
          <w:sz w:val="20"/>
        </w:rPr>
        <w:t>Section 1</w:t>
      </w:r>
      <w:r w:rsidRPr="00F257DA">
        <w:rPr>
          <w:rFonts w:ascii="Arial" w:hAnsi="Arial" w:cs="Arial"/>
          <w:b/>
          <w:color w:val="262626" w:themeColor="text1" w:themeTint="D9"/>
          <w:sz w:val="20"/>
        </w:rPr>
        <w:tab/>
        <w:t xml:space="preserve">Name of </w:t>
      </w:r>
      <w:r>
        <w:rPr>
          <w:rFonts w:ascii="Arial" w:hAnsi="Arial" w:cs="Arial"/>
          <w:b/>
          <w:color w:val="262626" w:themeColor="text1" w:themeTint="D9"/>
          <w:sz w:val="20"/>
        </w:rPr>
        <w:t>Determination</w:t>
      </w:r>
    </w:p>
    <w:p w14:paraId="5189A404" w14:textId="77777777" w:rsidR="00CF3709" w:rsidRDefault="00CF3709" w:rsidP="00CF3709">
      <w:pPr>
        <w:spacing w:before="80" w:after="120" w:line="276" w:lineRule="auto"/>
        <w:rPr>
          <w:rFonts w:ascii="Arial" w:hAnsi="Arial" w:cs="Arial"/>
          <w:sz w:val="20"/>
          <w:lang w:val="en-AU"/>
        </w:rPr>
      </w:pPr>
      <w:r>
        <w:rPr>
          <w:rFonts w:ascii="Arial" w:hAnsi="Arial" w:cs="Arial"/>
          <w:sz w:val="20"/>
          <w:lang w:val="en-AU"/>
        </w:rPr>
        <w:t>Section 1</w:t>
      </w:r>
      <w:r w:rsidRPr="00987C42">
        <w:rPr>
          <w:rFonts w:ascii="Arial" w:hAnsi="Arial" w:cs="Arial"/>
          <w:sz w:val="20"/>
          <w:lang w:val="en-AU"/>
        </w:rPr>
        <w:t xml:space="preserve"> </w:t>
      </w:r>
      <w:r>
        <w:rPr>
          <w:rFonts w:ascii="Arial" w:hAnsi="Arial" w:cs="Arial"/>
          <w:sz w:val="20"/>
          <w:lang w:val="en-AU"/>
        </w:rPr>
        <w:t xml:space="preserve">provides that the Determination is the </w:t>
      </w:r>
      <w:r w:rsidRPr="00D72A99">
        <w:rPr>
          <w:rFonts w:ascii="Arial" w:hAnsi="Arial" w:cs="Arial"/>
          <w:i/>
          <w:sz w:val="20"/>
          <w:lang w:val="en-AU"/>
        </w:rPr>
        <w:t xml:space="preserve">Radiocommunications </w:t>
      </w:r>
      <w:r>
        <w:rPr>
          <w:rFonts w:ascii="Arial" w:hAnsi="Arial" w:cs="Arial"/>
          <w:i/>
          <w:sz w:val="20"/>
          <w:lang w:val="en-AU"/>
        </w:rPr>
        <w:t xml:space="preserve">Licence Conditions </w:t>
      </w:r>
      <w:r w:rsidRPr="00D72A99">
        <w:rPr>
          <w:rFonts w:ascii="Arial" w:hAnsi="Arial" w:cs="Arial"/>
          <w:i/>
          <w:sz w:val="20"/>
          <w:lang w:val="en-AU"/>
        </w:rPr>
        <w:t>(</w:t>
      </w:r>
      <w:r>
        <w:rPr>
          <w:rFonts w:ascii="Arial" w:hAnsi="Arial" w:cs="Arial"/>
          <w:i/>
          <w:sz w:val="20"/>
          <w:lang w:val="en-AU"/>
        </w:rPr>
        <w:t>Outpost Licence</w:t>
      </w:r>
      <w:r w:rsidRPr="00D72A99">
        <w:rPr>
          <w:rFonts w:ascii="Arial" w:hAnsi="Arial" w:cs="Arial"/>
          <w:i/>
          <w:sz w:val="20"/>
          <w:lang w:val="en-AU"/>
        </w:rPr>
        <w:t xml:space="preserve">) </w:t>
      </w:r>
      <w:r>
        <w:rPr>
          <w:rFonts w:ascii="Arial" w:hAnsi="Arial" w:cs="Arial"/>
          <w:i/>
          <w:sz w:val="20"/>
          <w:lang w:val="en-AU"/>
        </w:rPr>
        <w:t>Determination</w:t>
      </w:r>
      <w:r w:rsidRPr="00D72A99">
        <w:rPr>
          <w:rFonts w:ascii="Arial" w:hAnsi="Arial" w:cs="Arial"/>
          <w:i/>
          <w:sz w:val="20"/>
          <w:lang w:val="en-AU"/>
        </w:rPr>
        <w:t xml:space="preserve"> 201</w:t>
      </w:r>
      <w:r>
        <w:rPr>
          <w:rFonts w:ascii="Arial" w:hAnsi="Arial" w:cs="Arial"/>
          <w:i/>
          <w:sz w:val="20"/>
          <w:lang w:val="en-AU"/>
        </w:rPr>
        <w:t>5</w:t>
      </w:r>
      <w:r>
        <w:rPr>
          <w:rFonts w:ascii="Arial" w:hAnsi="Arial" w:cs="Arial"/>
          <w:sz w:val="20"/>
          <w:lang w:val="en-AU"/>
        </w:rPr>
        <w:t>.</w:t>
      </w:r>
    </w:p>
    <w:p w14:paraId="28660B7D" w14:textId="41365993" w:rsidR="00CF3709" w:rsidRPr="00EC4D12" w:rsidRDefault="00CF3709" w:rsidP="00CF3709">
      <w:pPr>
        <w:spacing w:line="276" w:lineRule="auto"/>
        <w:outlineLvl w:val="0"/>
        <w:rPr>
          <w:rFonts w:ascii="Arial" w:hAnsi="Arial" w:cs="Arial"/>
          <w:b/>
          <w:sz w:val="20"/>
          <w:lang w:val="en-AU"/>
        </w:rPr>
      </w:pPr>
      <w:r w:rsidRPr="00EC4D12">
        <w:rPr>
          <w:rFonts w:ascii="Arial" w:hAnsi="Arial" w:cs="Arial"/>
          <w:b/>
          <w:sz w:val="20"/>
          <w:lang w:val="en-AU"/>
        </w:rPr>
        <w:t>Section 2</w:t>
      </w:r>
      <w:r w:rsidR="00A54476">
        <w:rPr>
          <w:rFonts w:ascii="Arial" w:hAnsi="Arial" w:cs="Arial"/>
          <w:b/>
          <w:sz w:val="20"/>
          <w:lang w:val="en-AU"/>
        </w:rPr>
        <w:tab/>
      </w:r>
      <w:r w:rsidRPr="00EC4D12">
        <w:rPr>
          <w:rFonts w:ascii="Arial" w:hAnsi="Arial" w:cs="Arial"/>
          <w:b/>
          <w:sz w:val="20"/>
          <w:lang w:val="en-AU"/>
        </w:rPr>
        <w:t xml:space="preserve">Commencement </w:t>
      </w:r>
    </w:p>
    <w:p w14:paraId="6DD392AC" w14:textId="5D173EB5" w:rsidR="00CF3709" w:rsidRDefault="00CF3709" w:rsidP="00CF3709">
      <w:pPr>
        <w:spacing w:before="80" w:after="120" w:line="276" w:lineRule="auto"/>
        <w:rPr>
          <w:rFonts w:ascii="Arial" w:hAnsi="Arial" w:cs="Arial"/>
          <w:sz w:val="20"/>
          <w:lang w:val="en-AU"/>
        </w:rPr>
      </w:pPr>
      <w:r>
        <w:rPr>
          <w:rFonts w:ascii="Arial" w:hAnsi="Arial" w:cs="Arial"/>
          <w:sz w:val="20"/>
          <w:lang w:val="en-AU"/>
        </w:rPr>
        <w:t>S</w:t>
      </w:r>
      <w:r w:rsidRPr="00EC4D12">
        <w:rPr>
          <w:rFonts w:ascii="Arial" w:hAnsi="Arial" w:cs="Arial"/>
          <w:sz w:val="20"/>
          <w:lang w:val="en-AU"/>
        </w:rPr>
        <w:t xml:space="preserve">ection </w:t>
      </w:r>
      <w:r>
        <w:rPr>
          <w:rFonts w:ascii="Arial" w:hAnsi="Arial" w:cs="Arial"/>
          <w:sz w:val="20"/>
          <w:lang w:val="en-AU"/>
        </w:rPr>
        <w:t>2 provides that the Determination commences on the day after it is registered on the Federal Register of Legislative Instruments.</w:t>
      </w:r>
    </w:p>
    <w:p w14:paraId="68AECFA3" w14:textId="5FCD8B94" w:rsidR="00CF3709" w:rsidRDefault="00CF3709" w:rsidP="00CF3709">
      <w:pPr>
        <w:spacing w:before="80" w:after="120" w:line="276" w:lineRule="auto"/>
        <w:rPr>
          <w:rFonts w:ascii="Arial" w:hAnsi="Arial" w:cs="Arial"/>
          <w:b/>
          <w:color w:val="262626" w:themeColor="text1" w:themeTint="D9"/>
          <w:sz w:val="20"/>
        </w:rPr>
      </w:pPr>
      <w:r w:rsidRPr="007D0875">
        <w:rPr>
          <w:rFonts w:ascii="Arial" w:hAnsi="Arial" w:cs="Arial"/>
          <w:b/>
          <w:color w:val="262626" w:themeColor="text1" w:themeTint="D9"/>
          <w:sz w:val="20"/>
        </w:rPr>
        <w:t>Section 3</w:t>
      </w:r>
      <w:r w:rsidR="00A54476">
        <w:rPr>
          <w:rFonts w:ascii="Arial" w:hAnsi="Arial" w:cs="Arial"/>
          <w:b/>
          <w:color w:val="262626" w:themeColor="text1" w:themeTint="D9"/>
          <w:sz w:val="20"/>
        </w:rPr>
        <w:tab/>
      </w:r>
      <w:r>
        <w:rPr>
          <w:rFonts w:ascii="Arial" w:hAnsi="Arial" w:cs="Arial"/>
          <w:b/>
          <w:color w:val="262626" w:themeColor="text1" w:themeTint="D9"/>
          <w:sz w:val="20"/>
        </w:rPr>
        <w:t>Revocation</w:t>
      </w:r>
    </w:p>
    <w:p w14:paraId="1560837F" w14:textId="77777777" w:rsidR="00CF3709" w:rsidRDefault="00CF3709" w:rsidP="00CF3709">
      <w:pPr>
        <w:spacing w:before="80" w:after="120" w:line="276" w:lineRule="auto"/>
        <w:rPr>
          <w:rFonts w:ascii="Arial" w:hAnsi="Arial" w:cs="Arial"/>
          <w:sz w:val="20"/>
          <w:lang w:val="en-AU"/>
        </w:rPr>
      </w:pPr>
      <w:r>
        <w:rPr>
          <w:rFonts w:ascii="Arial" w:hAnsi="Arial" w:cs="Arial"/>
          <w:sz w:val="20"/>
          <w:lang w:val="en-AU"/>
        </w:rPr>
        <w:t>S</w:t>
      </w:r>
      <w:r w:rsidRPr="0090366E">
        <w:rPr>
          <w:rFonts w:ascii="Arial" w:hAnsi="Arial" w:cs="Arial"/>
          <w:sz w:val="20"/>
          <w:lang w:val="en-AU"/>
        </w:rPr>
        <w:t xml:space="preserve">ection </w:t>
      </w:r>
      <w:r>
        <w:rPr>
          <w:rFonts w:ascii="Arial" w:hAnsi="Arial" w:cs="Arial"/>
          <w:sz w:val="20"/>
          <w:lang w:val="en-AU"/>
        </w:rPr>
        <w:t>3 revokes the</w:t>
      </w:r>
      <w:r w:rsidRPr="0062031A">
        <w:rPr>
          <w:rFonts w:ascii="Arial" w:hAnsi="Arial" w:cs="Arial"/>
          <w:sz w:val="20"/>
          <w:lang w:val="en-AU"/>
        </w:rPr>
        <w:t xml:space="preserve"> </w:t>
      </w:r>
      <w:r w:rsidRPr="00BF1429">
        <w:rPr>
          <w:rFonts w:ascii="Arial" w:hAnsi="Arial" w:cs="Arial"/>
          <w:sz w:val="20"/>
          <w:lang w:val="en-AU"/>
        </w:rPr>
        <w:t>1997 Determination</w:t>
      </w:r>
      <w:r>
        <w:rPr>
          <w:rFonts w:ascii="Arial" w:hAnsi="Arial" w:cs="Arial"/>
          <w:sz w:val="20"/>
          <w:lang w:val="en-AU"/>
        </w:rPr>
        <w:t>.</w:t>
      </w:r>
    </w:p>
    <w:p w14:paraId="32A16C77" w14:textId="6B70A732" w:rsidR="00CF3709" w:rsidRDefault="00CF3709" w:rsidP="00CF3709">
      <w:pPr>
        <w:spacing w:before="80" w:after="120" w:line="276" w:lineRule="auto"/>
        <w:rPr>
          <w:rFonts w:ascii="Arial" w:hAnsi="Arial" w:cs="Arial"/>
          <w:b/>
          <w:color w:val="262626" w:themeColor="text1" w:themeTint="D9"/>
          <w:sz w:val="20"/>
        </w:rPr>
      </w:pPr>
      <w:r>
        <w:rPr>
          <w:rFonts w:ascii="Arial" w:hAnsi="Arial" w:cs="Arial"/>
          <w:b/>
          <w:color w:val="262626" w:themeColor="text1" w:themeTint="D9"/>
          <w:sz w:val="20"/>
        </w:rPr>
        <w:t>Section 4</w:t>
      </w:r>
      <w:r w:rsidR="00A54476">
        <w:rPr>
          <w:rFonts w:ascii="Arial" w:hAnsi="Arial" w:cs="Arial"/>
          <w:b/>
          <w:color w:val="262626" w:themeColor="text1" w:themeTint="D9"/>
          <w:sz w:val="20"/>
        </w:rPr>
        <w:tab/>
      </w:r>
      <w:r>
        <w:rPr>
          <w:rFonts w:ascii="Arial" w:hAnsi="Arial" w:cs="Arial"/>
          <w:b/>
          <w:color w:val="262626" w:themeColor="text1" w:themeTint="D9"/>
          <w:sz w:val="20"/>
        </w:rPr>
        <w:t>Scope</w:t>
      </w:r>
    </w:p>
    <w:p w14:paraId="07820F98" w14:textId="5BCB21B9" w:rsidR="00535582" w:rsidRDefault="00CF3709" w:rsidP="00914D5C">
      <w:pPr>
        <w:spacing w:before="80" w:after="120" w:line="276" w:lineRule="auto"/>
        <w:rPr>
          <w:rFonts w:ascii="Arial" w:hAnsi="Arial" w:cs="Arial"/>
          <w:sz w:val="20"/>
          <w:lang w:val="en-AU"/>
        </w:rPr>
      </w:pPr>
      <w:r>
        <w:rPr>
          <w:rFonts w:ascii="Arial" w:hAnsi="Arial" w:cs="Arial"/>
          <w:sz w:val="20"/>
          <w:lang w:val="en-AU"/>
        </w:rPr>
        <w:t>S</w:t>
      </w:r>
      <w:r w:rsidR="00535582">
        <w:rPr>
          <w:rFonts w:ascii="Arial" w:hAnsi="Arial" w:cs="Arial"/>
          <w:sz w:val="20"/>
          <w:lang w:val="en-AU"/>
        </w:rPr>
        <w:t>ubs</w:t>
      </w:r>
      <w:r w:rsidRPr="0090366E">
        <w:rPr>
          <w:rFonts w:ascii="Arial" w:hAnsi="Arial" w:cs="Arial"/>
          <w:sz w:val="20"/>
          <w:lang w:val="en-AU"/>
        </w:rPr>
        <w:t xml:space="preserve">ection </w:t>
      </w:r>
      <w:r>
        <w:rPr>
          <w:rFonts w:ascii="Arial" w:hAnsi="Arial" w:cs="Arial"/>
          <w:sz w:val="20"/>
          <w:lang w:val="en-AU"/>
        </w:rPr>
        <w:t>4</w:t>
      </w:r>
      <w:r w:rsidR="00535582">
        <w:rPr>
          <w:rFonts w:ascii="Arial" w:hAnsi="Arial" w:cs="Arial"/>
          <w:sz w:val="20"/>
          <w:lang w:val="en-AU"/>
        </w:rPr>
        <w:t>(1)</w:t>
      </w:r>
      <w:r>
        <w:rPr>
          <w:rFonts w:ascii="Arial" w:hAnsi="Arial" w:cs="Arial"/>
          <w:sz w:val="20"/>
          <w:lang w:val="en-AU"/>
        </w:rPr>
        <w:t xml:space="preserve"> provides that </w:t>
      </w:r>
      <w:r w:rsidRPr="000D6EAA">
        <w:rPr>
          <w:rFonts w:ascii="Arial" w:hAnsi="Arial" w:cs="Arial"/>
          <w:sz w:val="20"/>
          <w:lang w:val="en-AU"/>
        </w:rPr>
        <w:t xml:space="preserve">all outpost licences are subject to the conditions in </w:t>
      </w:r>
      <w:r>
        <w:rPr>
          <w:rFonts w:ascii="Arial" w:hAnsi="Arial" w:cs="Arial"/>
          <w:sz w:val="20"/>
          <w:lang w:val="en-AU"/>
        </w:rPr>
        <w:t>P</w:t>
      </w:r>
      <w:r w:rsidRPr="000D6EAA">
        <w:rPr>
          <w:rFonts w:ascii="Arial" w:hAnsi="Arial" w:cs="Arial"/>
          <w:sz w:val="20"/>
          <w:lang w:val="en-AU"/>
        </w:rPr>
        <w:t>art 2 of the Determination</w:t>
      </w:r>
      <w:r>
        <w:rPr>
          <w:rFonts w:ascii="Arial" w:hAnsi="Arial" w:cs="Arial"/>
          <w:sz w:val="20"/>
          <w:lang w:val="en-AU"/>
        </w:rPr>
        <w:t>. Outpost</w:t>
      </w:r>
      <w:r w:rsidR="00A54476">
        <w:rPr>
          <w:rFonts w:ascii="Arial" w:hAnsi="Arial" w:cs="Arial"/>
          <w:sz w:val="20"/>
          <w:lang w:val="en-AU"/>
        </w:rPr>
        <w:t xml:space="preserve"> licences (outpost</w:t>
      </w:r>
      <w:r>
        <w:rPr>
          <w:rFonts w:ascii="Arial" w:hAnsi="Arial" w:cs="Arial"/>
          <w:sz w:val="20"/>
          <w:lang w:val="en-AU"/>
        </w:rPr>
        <w:t xml:space="preserve"> non assigned </w:t>
      </w:r>
      <w:r w:rsidR="00A54476">
        <w:rPr>
          <w:rFonts w:ascii="Arial" w:hAnsi="Arial" w:cs="Arial"/>
          <w:sz w:val="20"/>
          <w:lang w:val="en-AU"/>
        </w:rPr>
        <w:t>stations)</w:t>
      </w:r>
      <w:r>
        <w:rPr>
          <w:rFonts w:ascii="Arial" w:hAnsi="Arial" w:cs="Arial"/>
          <w:sz w:val="20"/>
          <w:lang w:val="en-AU"/>
        </w:rPr>
        <w:t xml:space="preserve"> are also subject to the conditions in Part 3 of the Determination. </w:t>
      </w:r>
    </w:p>
    <w:p w14:paraId="523F3997" w14:textId="3804CE48" w:rsidR="00F22BB5" w:rsidRDefault="00CF3709" w:rsidP="00914D5C">
      <w:pPr>
        <w:spacing w:before="80" w:after="120" w:line="276" w:lineRule="auto"/>
        <w:rPr>
          <w:rFonts w:ascii="Arial" w:hAnsi="Arial" w:cs="Arial"/>
          <w:sz w:val="20"/>
          <w:lang w:val="en-AU"/>
        </w:rPr>
      </w:pPr>
      <w:r>
        <w:rPr>
          <w:rFonts w:ascii="Arial" w:hAnsi="Arial" w:cs="Arial"/>
          <w:sz w:val="20"/>
          <w:lang w:val="en-AU"/>
        </w:rPr>
        <w:t>S</w:t>
      </w:r>
      <w:r w:rsidR="00535582">
        <w:rPr>
          <w:rFonts w:ascii="Arial" w:hAnsi="Arial" w:cs="Arial"/>
          <w:sz w:val="20"/>
          <w:lang w:val="en-AU"/>
        </w:rPr>
        <w:t>ubs</w:t>
      </w:r>
      <w:r>
        <w:rPr>
          <w:rFonts w:ascii="Arial" w:hAnsi="Arial" w:cs="Arial"/>
          <w:sz w:val="20"/>
          <w:lang w:val="en-AU"/>
        </w:rPr>
        <w:t>ection 4</w:t>
      </w:r>
      <w:r w:rsidR="00535582">
        <w:rPr>
          <w:rFonts w:ascii="Arial" w:hAnsi="Arial" w:cs="Arial"/>
          <w:sz w:val="20"/>
          <w:lang w:val="en-AU"/>
        </w:rPr>
        <w:t>(2)</w:t>
      </w:r>
      <w:r>
        <w:rPr>
          <w:rFonts w:ascii="Arial" w:hAnsi="Arial" w:cs="Arial"/>
          <w:sz w:val="20"/>
          <w:lang w:val="en-AU"/>
        </w:rPr>
        <w:t xml:space="preserve"> specifies that </w:t>
      </w:r>
      <w:r w:rsidRPr="000769A7">
        <w:rPr>
          <w:rFonts w:ascii="Arial" w:hAnsi="Arial" w:cs="Arial"/>
          <w:sz w:val="20"/>
          <w:lang w:val="en-AU"/>
        </w:rPr>
        <w:t>if a condition in th</w:t>
      </w:r>
      <w:r>
        <w:rPr>
          <w:rFonts w:ascii="Arial" w:hAnsi="Arial" w:cs="Arial"/>
          <w:sz w:val="20"/>
          <w:lang w:val="en-AU"/>
        </w:rPr>
        <w:t>e</w:t>
      </w:r>
      <w:r w:rsidRPr="000769A7">
        <w:rPr>
          <w:rFonts w:ascii="Arial" w:hAnsi="Arial" w:cs="Arial"/>
          <w:sz w:val="20"/>
          <w:lang w:val="en-AU"/>
        </w:rPr>
        <w:t xml:space="preserve"> Determination is inconsistent with a condition specified in the licence, the condition specified in the licence applies.</w:t>
      </w:r>
    </w:p>
    <w:p w14:paraId="643CE5E4" w14:textId="28F91CB4" w:rsidR="00914D5C" w:rsidRDefault="00914D5C" w:rsidP="00914D5C">
      <w:pPr>
        <w:spacing w:before="80" w:after="120" w:line="276" w:lineRule="auto"/>
        <w:rPr>
          <w:rFonts w:ascii="Arial" w:hAnsi="Arial" w:cs="Arial"/>
          <w:b/>
          <w:color w:val="262626" w:themeColor="text1" w:themeTint="D9"/>
          <w:sz w:val="20"/>
        </w:rPr>
      </w:pPr>
      <w:r w:rsidRPr="007D0875">
        <w:rPr>
          <w:rFonts w:ascii="Arial" w:hAnsi="Arial" w:cs="Arial"/>
          <w:b/>
          <w:color w:val="262626" w:themeColor="text1" w:themeTint="D9"/>
          <w:sz w:val="20"/>
        </w:rPr>
        <w:t xml:space="preserve">Section </w:t>
      </w:r>
      <w:r>
        <w:rPr>
          <w:rFonts w:ascii="Arial" w:hAnsi="Arial" w:cs="Arial"/>
          <w:b/>
          <w:color w:val="262626" w:themeColor="text1" w:themeTint="D9"/>
          <w:sz w:val="20"/>
        </w:rPr>
        <w:t>5</w:t>
      </w:r>
      <w:r w:rsidR="00A54476">
        <w:rPr>
          <w:rFonts w:ascii="Arial" w:hAnsi="Arial" w:cs="Arial"/>
          <w:b/>
          <w:color w:val="262626" w:themeColor="text1" w:themeTint="D9"/>
          <w:sz w:val="20"/>
        </w:rPr>
        <w:tab/>
      </w:r>
      <w:r>
        <w:rPr>
          <w:rFonts w:ascii="Arial" w:hAnsi="Arial" w:cs="Arial"/>
          <w:b/>
          <w:color w:val="262626" w:themeColor="text1" w:themeTint="D9"/>
          <w:sz w:val="20"/>
        </w:rPr>
        <w:t>Definitions</w:t>
      </w:r>
    </w:p>
    <w:p w14:paraId="0F4C55F7" w14:textId="58CC6701" w:rsidR="00914D5C" w:rsidRDefault="00914D5C" w:rsidP="00914D5C">
      <w:pPr>
        <w:spacing w:before="80" w:after="120" w:line="276" w:lineRule="auto"/>
        <w:rPr>
          <w:rFonts w:ascii="Arial" w:hAnsi="Arial" w:cs="Arial"/>
          <w:sz w:val="20"/>
          <w:lang w:val="en-AU"/>
        </w:rPr>
      </w:pPr>
      <w:r>
        <w:rPr>
          <w:rFonts w:ascii="Arial" w:hAnsi="Arial" w:cs="Arial"/>
          <w:sz w:val="20"/>
          <w:lang w:val="en-AU"/>
        </w:rPr>
        <w:t xml:space="preserve">Section 5 defines </w:t>
      </w:r>
      <w:r w:rsidRPr="0090366E">
        <w:rPr>
          <w:rFonts w:ascii="Arial" w:hAnsi="Arial" w:cs="Arial"/>
          <w:sz w:val="20"/>
          <w:lang w:val="en-AU"/>
        </w:rPr>
        <w:t xml:space="preserve">terms used in </w:t>
      </w:r>
      <w:r w:rsidR="00963C37">
        <w:rPr>
          <w:rFonts w:ascii="Arial" w:hAnsi="Arial" w:cs="Arial"/>
          <w:sz w:val="20"/>
          <w:lang w:val="en-AU"/>
        </w:rPr>
        <w:t>the Determination.</w:t>
      </w:r>
    </w:p>
    <w:p w14:paraId="05F4E875" w14:textId="77777777" w:rsidR="003615DA" w:rsidRDefault="003615DA" w:rsidP="00914D5C">
      <w:pPr>
        <w:spacing w:before="80" w:after="120" w:line="276" w:lineRule="auto"/>
        <w:rPr>
          <w:rFonts w:ascii="Arial" w:hAnsi="Arial" w:cs="Arial"/>
          <w:b/>
          <w:color w:val="262626" w:themeColor="text1" w:themeTint="D9"/>
          <w:sz w:val="20"/>
        </w:rPr>
      </w:pPr>
    </w:p>
    <w:p w14:paraId="1F868EC6" w14:textId="081FF33C" w:rsidR="003615DA" w:rsidRDefault="003615DA" w:rsidP="00914D5C">
      <w:pPr>
        <w:spacing w:before="80" w:after="120" w:line="276" w:lineRule="auto"/>
        <w:rPr>
          <w:rFonts w:ascii="Arial" w:hAnsi="Arial" w:cs="Arial"/>
          <w:b/>
          <w:color w:val="262626" w:themeColor="text1" w:themeTint="D9"/>
          <w:sz w:val="20"/>
        </w:rPr>
      </w:pPr>
      <w:r>
        <w:rPr>
          <w:rFonts w:ascii="Arial" w:hAnsi="Arial" w:cs="Arial"/>
          <w:b/>
          <w:color w:val="262626" w:themeColor="text1" w:themeTint="D9"/>
          <w:sz w:val="20"/>
        </w:rPr>
        <w:t>PART 2</w:t>
      </w:r>
      <w:r>
        <w:rPr>
          <w:rFonts w:ascii="Arial" w:hAnsi="Arial" w:cs="Arial"/>
          <w:b/>
          <w:color w:val="262626" w:themeColor="text1" w:themeTint="D9"/>
          <w:sz w:val="20"/>
        </w:rPr>
        <w:tab/>
      </w:r>
      <w:r>
        <w:rPr>
          <w:rFonts w:ascii="Arial" w:hAnsi="Arial" w:cs="Arial"/>
          <w:b/>
          <w:color w:val="262626" w:themeColor="text1" w:themeTint="D9"/>
          <w:sz w:val="20"/>
        </w:rPr>
        <w:tab/>
        <w:t>CONDITIONS FOR EVERY OUTPOST LICENCE</w:t>
      </w:r>
    </w:p>
    <w:p w14:paraId="7E8AA970" w14:textId="34987817" w:rsidR="00914D5C" w:rsidRDefault="00914D5C" w:rsidP="00914D5C">
      <w:pPr>
        <w:spacing w:before="80" w:after="120" w:line="276" w:lineRule="auto"/>
        <w:rPr>
          <w:rFonts w:ascii="Arial" w:hAnsi="Arial" w:cs="Arial"/>
          <w:b/>
          <w:color w:val="262626" w:themeColor="text1" w:themeTint="D9"/>
          <w:sz w:val="20"/>
        </w:rPr>
      </w:pPr>
      <w:r>
        <w:rPr>
          <w:rFonts w:ascii="Arial" w:hAnsi="Arial" w:cs="Arial"/>
          <w:b/>
          <w:color w:val="262626" w:themeColor="text1" w:themeTint="D9"/>
          <w:sz w:val="20"/>
        </w:rPr>
        <w:t>Section 6</w:t>
      </w:r>
      <w:r w:rsidR="00A54476">
        <w:rPr>
          <w:rFonts w:ascii="Arial" w:hAnsi="Arial" w:cs="Arial"/>
          <w:b/>
          <w:color w:val="262626" w:themeColor="text1" w:themeTint="D9"/>
          <w:sz w:val="20"/>
        </w:rPr>
        <w:tab/>
      </w:r>
      <w:r>
        <w:rPr>
          <w:rFonts w:ascii="Arial" w:hAnsi="Arial" w:cs="Arial"/>
          <w:b/>
          <w:color w:val="262626" w:themeColor="text1" w:themeTint="D9"/>
          <w:sz w:val="20"/>
        </w:rPr>
        <w:t>Conditions</w:t>
      </w:r>
    </w:p>
    <w:p w14:paraId="28931D2F" w14:textId="23799F77" w:rsidR="00914D5C" w:rsidRPr="00F332AC" w:rsidRDefault="00914D5C" w:rsidP="00914D5C">
      <w:pPr>
        <w:spacing w:before="80" w:after="120" w:line="276" w:lineRule="auto"/>
        <w:rPr>
          <w:rFonts w:ascii="Arial" w:hAnsi="Arial" w:cs="Arial"/>
          <w:sz w:val="20"/>
          <w:lang w:val="en-AU"/>
        </w:rPr>
      </w:pPr>
      <w:r>
        <w:rPr>
          <w:rFonts w:ascii="Arial" w:hAnsi="Arial" w:cs="Arial"/>
          <w:sz w:val="20"/>
          <w:lang w:val="en-AU"/>
        </w:rPr>
        <w:t xml:space="preserve">Section 6 </w:t>
      </w:r>
      <w:r w:rsidR="00892CC3">
        <w:rPr>
          <w:rFonts w:ascii="Arial" w:hAnsi="Arial" w:cs="Arial"/>
          <w:sz w:val="20"/>
          <w:lang w:val="en-AU"/>
        </w:rPr>
        <w:t>specifies</w:t>
      </w:r>
      <w:r>
        <w:rPr>
          <w:rFonts w:ascii="Arial" w:hAnsi="Arial" w:cs="Arial"/>
          <w:sz w:val="20"/>
          <w:lang w:val="en-AU"/>
        </w:rPr>
        <w:t xml:space="preserve"> th</w:t>
      </w:r>
      <w:r w:rsidR="001344C7">
        <w:rPr>
          <w:rFonts w:ascii="Arial" w:hAnsi="Arial" w:cs="Arial"/>
          <w:sz w:val="20"/>
          <w:lang w:val="en-AU"/>
        </w:rPr>
        <w:t xml:space="preserve">at </w:t>
      </w:r>
      <w:r>
        <w:rPr>
          <w:rFonts w:ascii="Arial" w:hAnsi="Arial" w:cs="Arial"/>
          <w:sz w:val="20"/>
          <w:lang w:val="en-AU"/>
        </w:rPr>
        <w:t>every outpost licence is subject to</w:t>
      </w:r>
      <w:r w:rsidR="001344C7">
        <w:rPr>
          <w:rFonts w:ascii="Arial" w:hAnsi="Arial" w:cs="Arial"/>
          <w:sz w:val="20"/>
          <w:lang w:val="en-AU"/>
        </w:rPr>
        <w:t xml:space="preserve"> the conditions in Part 2 of the Determination</w:t>
      </w:r>
      <w:r w:rsidRPr="00F332AC">
        <w:rPr>
          <w:rFonts w:ascii="Arial" w:hAnsi="Arial" w:cs="Arial"/>
          <w:sz w:val="20"/>
          <w:lang w:val="en-AU"/>
        </w:rPr>
        <w:t>.</w:t>
      </w:r>
    </w:p>
    <w:p w14:paraId="2ED35257" w14:textId="5843E551" w:rsidR="00914D5C" w:rsidRDefault="00914D5C" w:rsidP="00914D5C">
      <w:pPr>
        <w:spacing w:before="80" w:after="120" w:line="276" w:lineRule="auto"/>
        <w:rPr>
          <w:rFonts w:ascii="Arial" w:hAnsi="Arial" w:cs="Arial"/>
          <w:b/>
          <w:color w:val="262626" w:themeColor="text1" w:themeTint="D9"/>
          <w:sz w:val="20"/>
        </w:rPr>
      </w:pPr>
      <w:r>
        <w:rPr>
          <w:rFonts w:ascii="Arial" w:hAnsi="Arial" w:cs="Arial"/>
          <w:b/>
          <w:color w:val="262626" w:themeColor="text1" w:themeTint="D9"/>
          <w:sz w:val="20"/>
        </w:rPr>
        <w:t>Section 7</w:t>
      </w:r>
      <w:r w:rsidR="00A54476">
        <w:rPr>
          <w:rFonts w:ascii="Arial" w:hAnsi="Arial" w:cs="Arial"/>
          <w:b/>
          <w:color w:val="262626" w:themeColor="text1" w:themeTint="D9"/>
          <w:sz w:val="20"/>
        </w:rPr>
        <w:tab/>
      </w:r>
      <w:r>
        <w:rPr>
          <w:rFonts w:ascii="Arial" w:hAnsi="Arial" w:cs="Arial"/>
          <w:b/>
          <w:color w:val="262626" w:themeColor="text1" w:themeTint="D9"/>
          <w:sz w:val="20"/>
        </w:rPr>
        <w:t>Conditions of operation</w:t>
      </w:r>
    </w:p>
    <w:p w14:paraId="714DFE14" w14:textId="481FE575" w:rsidR="004D1FE7" w:rsidRPr="004D1FE7" w:rsidRDefault="00914D5C" w:rsidP="004D1FE7">
      <w:pPr>
        <w:spacing w:before="80" w:after="120" w:line="276" w:lineRule="auto"/>
        <w:rPr>
          <w:rFonts w:ascii="Arial" w:hAnsi="Arial" w:cs="Arial"/>
          <w:sz w:val="20"/>
          <w:lang w:val="en-AU"/>
        </w:rPr>
      </w:pPr>
      <w:r w:rsidRPr="0096200C">
        <w:rPr>
          <w:rFonts w:ascii="Arial" w:hAnsi="Arial" w:cs="Arial"/>
          <w:sz w:val="20"/>
          <w:lang w:val="en-AU"/>
        </w:rPr>
        <w:t>S</w:t>
      </w:r>
      <w:r w:rsidR="00EE0213">
        <w:rPr>
          <w:rFonts w:ascii="Arial" w:hAnsi="Arial" w:cs="Arial"/>
          <w:sz w:val="20"/>
          <w:lang w:val="en-AU"/>
        </w:rPr>
        <w:t>ubs</w:t>
      </w:r>
      <w:r w:rsidRPr="0096200C">
        <w:rPr>
          <w:rFonts w:ascii="Arial" w:hAnsi="Arial" w:cs="Arial"/>
          <w:sz w:val="20"/>
          <w:lang w:val="en-AU"/>
        </w:rPr>
        <w:t>ection 7</w:t>
      </w:r>
      <w:r w:rsidR="00EE0213">
        <w:rPr>
          <w:rFonts w:ascii="Arial" w:hAnsi="Arial" w:cs="Arial"/>
          <w:sz w:val="20"/>
          <w:lang w:val="en-AU"/>
        </w:rPr>
        <w:t>(1)</w:t>
      </w:r>
      <w:r w:rsidRPr="0096200C">
        <w:rPr>
          <w:rFonts w:ascii="Arial" w:hAnsi="Arial" w:cs="Arial"/>
          <w:sz w:val="20"/>
          <w:lang w:val="en-AU"/>
        </w:rPr>
        <w:t xml:space="preserve"> </w:t>
      </w:r>
      <w:r w:rsidR="00892CC3">
        <w:rPr>
          <w:rFonts w:ascii="Arial" w:hAnsi="Arial" w:cs="Arial"/>
          <w:sz w:val="20"/>
          <w:lang w:val="en-AU"/>
        </w:rPr>
        <w:t>specifies</w:t>
      </w:r>
      <w:r w:rsidR="00E45676">
        <w:rPr>
          <w:rFonts w:ascii="Arial" w:hAnsi="Arial" w:cs="Arial"/>
          <w:sz w:val="20"/>
          <w:lang w:val="en-AU"/>
        </w:rPr>
        <w:t xml:space="preserve"> as a condition that </w:t>
      </w:r>
      <w:r w:rsidR="00E031BC">
        <w:rPr>
          <w:rFonts w:ascii="Arial" w:hAnsi="Arial" w:cs="Arial"/>
          <w:sz w:val="20"/>
          <w:lang w:val="en-AU"/>
        </w:rPr>
        <w:t xml:space="preserve">a </w:t>
      </w:r>
      <w:r w:rsidR="00E45676">
        <w:rPr>
          <w:rFonts w:ascii="Arial" w:hAnsi="Arial" w:cs="Arial"/>
          <w:sz w:val="20"/>
          <w:lang w:val="en-AU"/>
        </w:rPr>
        <w:t>licensee must</w:t>
      </w:r>
      <w:r w:rsidR="004D1FE7">
        <w:rPr>
          <w:rFonts w:ascii="Arial" w:hAnsi="Arial" w:cs="Arial"/>
          <w:sz w:val="20"/>
          <w:lang w:val="en-AU"/>
        </w:rPr>
        <w:t xml:space="preserve"> </w:t>
      </w:r>
      <w:r w:rsidR="004D1FE7" w:rsidRPr="004D1FE7">
        <w:rPr>
          <w:rFonts w:ascii="Arial" w:hAnsi="Arial" w:cs="Arial"/>
          <w:sz w:val="20"/>
          <w:lang w:val="en-AU"/>
        </w:rPr>
        <w:t>accept and transmit all telecommunications directed to an outpost station from the public for transmission, other than</w:t>
      </w:r>
      <w:r w:rsidR="00D87ABF">
        <w:rPr>
          <w:rFonts w:ascii="Arial" w:hAnsi="Arial" w:cs="Arial"/>
          <w:sz w:val="20"/>
          <w:lang w:val="en-AU"/>
        </w:rPr>
        <w:t xml:space="preserve"> those t</w:t>
      </w:r>
      <w:r w:rsidR="004D1FE7" w:rsidRPr="004D1FE7">
        <w:rPr>
          <w:rFonts w:ascii="Arial" w:hAnsi="Arial" w:cs="Arial"/>
          <w:sz w:val="20"/>
          <w:lang w:val="en-AU"/>
        </w:rPr>
        <w:t>elecommunications directed to the station using a telecommunications network operated by a carrier or carriage service provider</w:t>
      </w:r>
      <w:r w:rsidR="00D87ABF">
        <w:rPr>
          <w:rFonts w:ascii="Arial" w:hAnsi="Arial" w:cs="Arial"/>
          <w:sz w:val="20"/>
          <w:lang w:val="en-AU"/>
        </w:rPr>
        <w:t xml:space="preserve">, and those </w:t>
      </w:r>
      <w:r w:rsidR="004D1FE7" w:rsidRPr="004D1FE7">
        <w:rPr>
          <w:rFonts w:ascii="Arial" w:hAnsi="Arial" w:cs="Arial"/>
          <w:sz w:val="20"/>
          <w:lang w:val="en-AU"/>
        </w:rPr>
        <w:t>telecommunications that would require use of a telecommunications network operated by a carrier or carriage service provider.</w:t>
      </w:r>
    </w:p>
    <w:p w14:paraId="7C0AAB45" w14:textId="7409D67D" w:rsidR="00914D5C" w:rsidRDefault="00D87ABF" w:rsidP="004D1FE7">
      <w:pPr>
        <w:spacing w:before="80" w:after="120" w:line="276" w:lineRule="auto"/>
        <w:rPr>
          <w:rFonts w:ascii="Arial" w:hAnsi="Arial" w:cs="Arial"/>
          <w:sz w:val="20"/>
          <w:lang w:val="en-AU"/>
        </w:rPr>
      </w:pPr>
      <w:r>
        <w:rPr>
          <w:rFonts w:ascii="Arial" w:hAnsi="Arial" w:cs="Arial"/>
          <w:sz w:val="20"/>
          <w:lang w:val="en-AU"/>
        </w:rPr>
        <w:t>S</w:t>
      </w:r>
      <w:r w:rsidR="00EE0213">
        <w:rPr>
          <w:rFonts w:ascii="Arial" w:hAnsi="Arial" w:cs="Arial"/>
          <w:sz w:val="20"/>
          <w:lang w:val="en-AU"/>
        </w:rPr>
        <w:t>ubs</w:t>
      </w:r>
      <w:r>
        <w:rPr>
          <w:rFonts w:ascii="Arial" w:hAnsi="Arial" w:cs="Arial"/>
          <w:sz w:val="20"/>
          <w:lang w:val="en-AU"/>
        </w:rPr>
        <w:t>ection</w:t>
      </w:r>
      <w:r w:rsidR="00EE0213">
        <w:rPr>
          <w:rFonts w:ascii="Arial" w:hAnsi="Arial" w:cs="Arial"/>
          <w:sz w:val="20"/>
          <w:lang w:val="en-AU"/>
        </w:rPr>
        <w:t>s</w:t>
      </w:r>
      <w:r>
        <w:rPr>
          <w:rFonts w:ascii="Arial" w:hAnsi="Arial" w:cs="Arial"/>
          <w:sz w:val="20"/>
          <w:lang w:val="en-AU"/>
        </w:rPr>
        <w:t xml:space="preserve"> 7</w:t>
      </w:r>
      <w:r w:rsidR="00EE0213">
        <w:rPr>
          <w:rFonts w:ascii="Arial" w:hAnsi="Arial" w:cs="Arial"/>
          <w:sz w:val="20"/>
          <w:lang w:val="en-AU"/>
        </w:rPr>
        <w:t>(2) and (3)</w:t>
      </w:r>
      <w:r>
        <w:rPr>
          <w:rFonts w:ascii="Arial" w:hAnsi="Arial" w:cs="Arial"/>
          <w:sz w:val="20"/>
          <w:lang w:val="en-AU"/>
        </w:rPr>
        <w:t xml:space="preserve"> specif</w:t>
      </w:r>
      <w:r w:rsidR="00EE0213">
        <w:rPr>
          <w:rFonts w:ascii="Arial" w:hAnsi="Arial" w:cs="Arial"/>
          <w:sz w:val="20"/>
          <w:lang w:val="en-AU"/>
        </w:rPr>
        <w:t>y</w:t>
      </w:r>
      <w:r>
        <w:rPr>
          <w:rFonts w:ascii="Arial" w:hAnsi="Arial" w:cs="Arial"/>
          <w:sz w:val="20"/>
          <w:lang w:val="en-AU"/>
        </w:rPr>
        <w:t xml:space="preserve"> that a licensee must operate </w:t>
      </w:r>
      <w:r w:rsidRPr="004D1FE7">
        <w:rPr>
          <w:rFonts w:ascii="Arial" w:hAnsi="Arial" w:cs="Arial"/>
          <w:sz w:val="20"/>
          <w:lang w:val="en-AU"/>
        </w:rPr>
        <w:t xml:space="preserve">an outpost station to transmit and receive all </w:t>
      </w:r>
      <w:r>
        <w:rPr>
          <w:rFonts w:ascii="Arial" w:hAnsi="Arial" w:cs="Arial"/>
          <w:sz w:val="20"/>
          <w:lang w:val="en-AU"/>
        </w:rPr>
        <w:t xml:space="preserve">telecommunications from the </w:t>
      </w:r>
      <w:r w:rsidRPr="004D1FE7">
        <w:rPr>
          <w:rFonts w:ascii="Arial" w:hAnsi="Arial" w:cs="Arial"/>
          <w:sz w:val="20"/>
          <w:lang w:val="en-AU"/>
        </w:rPr>
        <w:t xml:space="preserve">public </w:t>
      </w:r>
      <w:r w:rsidR="004D1FE7" w:rsidRPr="004D1FE7">
        <w:rPr>
          <w:rFonts w:ascii="Arial" w:hAnsi="Arial" w:cs="Arial"/>
          <w:sz w:val="20"/>
          <w:lang w:val="en-AU"/>
        </w:rPr>
        <w:t>on equal terms and without favour or prejudice</w:t>
      </w:r>
      <w:r>
        <w:rPr>
          <w:rFonts w:ascii="Arial" w:hAnsi="Arial" w:cs="Arial"/>
          <w:sz w:val="20"/>
          <w:lang w:val="en-AU"/>
        </w:rPr>
        <w:t xml:space="preserve">, except while </w:t>
      </w:r>
      <w:r w:rsidRPr="00D87ABF">
        <w:rPr>
          <w:rFonts w:ascii="Arial" w:hAnsi="Arial" w:cs="Arial"/>
          <w:sz w:val="20"/>
          <w:lang w:val="en-AU"/>
        </w:rPr>
        <w:t>the station is required for communications in an emergency.</w:t>
      </w:r>
    </w:p>
    <w:p w14:paraId="405963D6" w14:textId="2F62E853" w:rsidR="00914D5C" w:rsidRDefault="00914D5C" w:rsidP="00914D5C">
      <w:pPr>
        <w:spacing w:before="80" w:after="120" w:line="276" w:lineRule="auto"/>
        <w:rPr>
          <w:rFonts w:ascii="Arial" w:hAnsi="Arial" w:cs="Arial"/>
          <w:b/>
          <w:color w:val="262626" w:themeColor="text1" w:themeTint="D9"/>
          <w:sz w:val="20"/>
        </w:rPr>
      </w:pPr>
      <w:r>
        <w:rPr>
          <w:rFonts w:ascii="Arial" w:hAnsi="Arial" w:cs="Arial"/>
          <w:b/>
          <w:color w:val="262626" w:themeColor="text1" w:themeTint="D9"/>
          <w:sz w:val="20"/>
        </w:rPr>
        <w:t>Section 8</w:t>
      </w:r>
      <w:r w:rsidR="003615DA">
        <w:rPr>
          <w:rFonts w:ascii="Arial" w:hAnsi="Arial" w:cs="Arial"/>
          <w:b/>
          <w:color w:val="262626" w:themeColor="text1" w:themeTint="D9"/>
          <w:sz w:val="20"/>
        </w:rPr>
        <w:tab/>
      </w:r>
      <w:r>
        <w:rPr>
          <w:rFonts w:ascii="Arial" w:hAnsi="Arial" w:cs="Arial"/>
          <w:b/>
          <w:color w:val="262626" w:themeColor="text1" w:themeTint="D9"/>
          <w:sz w:val="20"/>
        </w:rPr>
        <w:t>Transmitter output power</w:t>
      </w:r>
    </w:p>
    <w:p w14:paraId="0BE75ED1" w14:textId="02DE54D8" w:rsidR="001344C7" w:rsidRDefault="00914D5C" w:rsidP="00914D5C">
      <w:pPr>
        <w:spacing w:before="80" w:after="120" w:line="276" w:lineRule="auto"/>
        <w:rPr>
          <w:rFonts w:ascii="Arial" w:hAnsi="Arial" w:cs="Arial"/>
          <w:color w:val="262626" w:themeColor="text1" w:themeTint="D9"/>
          <w:sz w:val="20"/>
        </w:rPr>
      </w:pPr>
      <w:r>
        <w:rPr>
          <w:rFonts w:ascii="Arial" w:hAnsi="Arial" w:cs="Arial"/>
          <w:color w:val="262626" w:themeColor="text1" w:themeTint="D9"/>
          <w:sz w:val="20"/>
        </w:rPr>
        <w:t xml:space="preserve">Section 8 </w:t>
      </w:r>
      <w:r w:rsidR="00E45676">
        <w:rPr>
          <w:rFonts w:ascii="Arial" w:hAnsi="Arial" w:cs="Arial"/>
          <w:color w:val="262626" w:themeColor="text1" w:themeTint="D9"/>
          <w:sz w:val="20"/>
        </w:rPr>
        <w:t>restricts the trans</w:t>
      </w:r>
      <w:r w:rsidR="00E33AA6">
        <w:rPr>
          <w:rFonts w:ascii="Arial" w:hAnsi="Arial" w:cs="Arial"/>
          <w:color w:val="262626" w:themeColor="text1" w:themeTint="D9"/>
          <w:sz w:val="20"/>
        </w:rPr>
        <w:t>m</w:t>
      </w:r>
      <w:r w:rsidR="00E45676">
        <w:rPr>
          <w:rFonts w:ascii="Arial" w:hAnsi="Arial" w:cs="Arial"/>
          <w:color w:val="262626" w:themeColor="text1" w:themeTint="D9"/>
          <w:sz w:val="20"/>
        </w:rPr>
        <w:t>itter output power</w:t>
      </w:r>
      <w:r w:rsidR="003615DA">
        <w:rPr>
          <w:rFonts w:ascii="Arial" w:hAnsi="Arial" w:cs="Arial"/>
          <w:color w:val="262626" w:themeColor="text1" w:themeTint="D9"/>
          <w:sz w:val="20"/>
        </w:rPr>
        <w:t>,</w:t>
      </w:r>
      <w:r w:rsidR="00E45676">
        <w:rPr>
          <w:rFonts w:ascii="Arial" w:hAnsi="Arial" w:cs="Arial"/>
          <w:color w:val="262626" w:themeColor="text1" w:themeTint="D9"/>
          <w:sz w:val="20"/>
        </w:rPr>
        <w:t xml:space="preserve"> </w:t>
      </w:r>
      <w:r w:rsidR="003615DA">
        <w:rPr>
          <w:rFonts w:ascii="Arial" w:hAnsi="Arial" w:cs="Arial"/>
          <w:color w:val="262626" w:themeColor="text1" w:themeTint="D9"/>
          <w:sz w:val="20"/>
        </w:rPr>
        <w:t>at which</w:t>
      </w:r>
      <w:r w:rsidR="00E45676">
        <w:rPr>
          <w:rFonts w:ascii="Arial" w:hAnsi="Arial" w:cs="Arial"/>
          <w:color w:val="262626" w:themeColor="text1" w:themeTint="D9"/>
          <w:sz w:val="20"/>
        </w:rPr>
        <w:t xml:space="preserve"> a licensee can operate </w:t>
      </w:r>
      <w:r w:rsidR="003615DA">
        <w:rPr>
          <w:rFonts w:ascii="Arial" w:hAnsi="Arial" w:cs="Arial"/>
          <w:color w:val="262626" w:themeColor="text1" w:themeTint="D9"/>
          <w:sz w:val="20"/>
        </w:rPr>
        <w:t>a station,</w:t>
      </w:r>
      <w:r w:rsidR="00E45676">
        <w:rPr>
          <w:rFonts w:ascii="Arial" w:hAnsi="Arial" w:cs="Arial"/>
          <w:color w:val="262626" w:themeColor="text1" w:themeTint="D9"/>
          <w:sz w:val="20"/>
        </w:rPr>
        <w:t xml:space="preserve"> to a power that is suffici</w:t>
      </w:r>
      <w:r w:rsidR="00552E72">
        <w:rPr>
          <w:rFonts w:ascii="Arial" w:hAnsi="Arial" w:cs="Arial"/>
          <w:color w:val="262626" w:themeColor="text1" w:themeTint="D9"/>
          <w:sz w:val="20"/>
        </w:rPr>
        <w:t>e</w:t>
      </w:r>
      <w:r w:rsidR="00E45676">
        <w:rPr>
          <w:rFonts w:ascii="Arial" w:hAnsi="Arial" w:cs="Arial"/>
          <w:color w:val="262626" w:themeColor="text1" w:themeTint="D9"/>
          <w:sz w:val="20"/>
        </w:rPr>
        <w:t>nt to achieve efficient communications</w:t>
      </w:r>
      <w:r>
        <w:rPr>
          <w:rFonts w:ascii="Arial" w:hAnsi="Arial" w:cs="Arial"/>
          <w:color w:val="262626" w:themeColor="text1" w:themeTint="D9"/>
          <w:sz w:val="20"/>
        </w:rPr>
        <w:t>.</w:t>
      </w:r>
    </w:p>
    <w:p w14:paraId="4057E6A1" w14:textId="12A41787" w:rsidR="00914D5C" w:rsidRDefault="00710B70" w:rsidP="00E414CA">
      <w:pPr>
        <w:keepNext/>
        <w:spacing w:before="80" w:after="120" w:line="276" w:lineRule="auto"/>
        <w:rPr>
          <w:rFonts w:ascii="Arial" w:hAnsi="Arial" w:cs="Arial"/>
          <w:color w:val="262626" w:themeColor="text1" w:themeTint="D9"/>
          <w:sz w:val="20"/>
        </w:rPr>
      </w:pPr>
      <w:r>
        <w:rPr>
          <w:rFonts w:ascii="Arial" w:hAnsi="Arial" w:cs="Arial"/>
          <w:color w:val="262626" w:themeColor="text1" w:themeTint="D9"/>
          <w:sz w:val="20"/>
        </w:rPr>
        <w:t>S</w:t>
      </w:r>
      <w:r w:rsidR="00F556F0" w:rsidRPr="00F556F0">
        <w:rPr>
          <w:rFonts w:ascii="Arial" w:hAnsi="Arial" w:cs="Arial"/>
          <w:color w:val="262626" w:themeColor="text1" w:themeTint="D9"/>
          <w:sz w:val="20"/>
        </w:rPr>
        <w:t>ubsection 11(2) imposes a further restriction on the level of power used to operate an outpost non assigned station</w:t>
      </w:r>
      <w:r>
        <w:rPr>
          <w:rFonts w:ascii="Arial" w:hAnsi="Arial" w:cs="Arial"/>
          <w:color w:val="262626" w:themeColor="text1" w:themeTint="D9"/>
          <w:sz w:val="20"/>
        </w:rPr>
        <w:t xml:space="preserve"> (see below)</w:t>
      </w:r>
      <w:r w:rsidR="00F556F0" w:rsidRPr="00F556F0">
        <w:rPr>
          <w:rFonts w:ascii="Arial" w:hAnsi="Arial" w:cs="Arial"/>
          <w:color w:val="262626" w:themeColor="text1" w:themeTint="D9"/>
          <w:sz w:val="20"/>
        </w:rPr>
        <w:t>.</w:t>
      </w:r>
    </w:p>
    <w:p w14:paraId="073778D2" w14:textId="3C27476C" w:rsidR="00914D5C" w:rsidRDefault="00914D5C" w:rsidP="00E414CA">
      <w:pPr>
        <w:keepNext/>
        <w:spacing w:before="80" w:after="120" w:line="276" w:lineRule="auto"/>
        <w:rPr>
          <w:rFonts w:ascii="Arial" w:hAnsi="Arial" w:cs="Arial"/>
          <w:b/>
          <w:color w:val="262626" w:themeColor="text1" w:themeTint="D9"/>
          <w:sz w:val="20"/>
        </w:rPr>
      </w:pPr>
      <w:r>
        <w:rPr>
          <w:rFonts w:ascii="Arial" w:hAnsi="Arial" w:cs="Arial"/>
          <w:b/>
          <w:color w:val="262626" w:themeColor="text1" w:themeTint="D9"/>
          <w:sz w:val="20"/>
        </w:rPr>
        <w:t>Section 9</w:t>
      </w:r>
      <w:r w:rsidR="003615DA">
        <w:rPr>
          <w:rFonts w:ascii="Arial" w:hAnsi="Arial" w:cs="Arial"/>
          <w:b/>
          <w:color w:val="262626" w:themeColor="text1" w:themeTint="D9"/>
          <w:sz w:val="20"/>
        </w:rPr>
        <w:tab/>
      </w:r>
      <w:r>
        <w:rPr>
          <w:rFonts w:ascii="Arial" w:hAnsi="Arial" w:cs="Arial"/>
          <w:b/>
          <w:color w:val="262626" w:themeColor="text1" w:themeTint="D9"/>
          <w:sz w:val="20"/>
        </w:rPr>
        <w:t>Call signs</w:t>
      </w:r>
    </w:p>
    <w:p w14:paraId="7622CAF4" w14:textId="49EBC89C" w:rsidR="00914D5C" w:rsidRPr="007D0875" w:rsidRDefault="00914D5C" w:rsidP="00914D5C">
      <w:pPr>
        <w:spacing w:before="80" w:after="120" w:line="276" w:lineRule="auto"/>
        <w:rPr>
          <w:rFonts w:ascii="Arial" w:hAnsi="Arial" w:cs="Arial"/>
          <w:b/>
          <w:color w:val="262626" w:themeColor="text1" w:themeTint="D9"/>
          <w:sz w:val="20"/>
        </w:rPr>
      </w:pPr>
      <w:r>
        <w:rPr>
          <w:rFonts w:ascii="Arial" w:hAnsi="Arial" w:cs="Arial"/>
          <w:color w:val="262626" w:themeColor="text1" w:themeTint="D9"/>
          <w:sz w:val="20"/>
        </w:rPr>
        <w:t xml:space="preserve">Section 9 </w:t>
      </w:r>
      <w:r w:rsidR="001344C7">
        <w:rPr>
          <w:rFonts w:ascii="Arial" w:hAnsi="Arial" w:cs="Arial"/>
          <w:color w:val="262626" w:themeColor="text1" w:themeTint="D9"/>
          <w:sz w:val="20"/>
        </w:rPr>
        <w:t xml:space="preserve">specifies </w:t>
      </w:r>
      <w:r w:rsidR="00E45676">
        <w:rPr>
          <w:rFonts w:ascii="Arial" w:hAnsi="Arial" w:cs="Arial"/>
          <w:color w:val="262626" w:themeColor="text1" w:themeTint="D9"/>
          <w:sz w:val="20"/>
        </w:rPr>
        <w:t>a</w:t>
      </w:r>
      <w:r w:rsidR="001344C7">
        <w:rPr>
          <w:rFonts w:ascii="Arial" w:hAnsi="Arial" w:cs="Arial"/>
          <w:color w:val="262626" w:themeColor="text1" w:themeTint="D9"/>
          <w:sz w:val="20"/>
        </w:rPr>
        <w:t xml:space="preserve"> requirement for </w:t>
      </w:r>
      <w:r>
        <w:rPr>
          <w:rFonts w:ascii="Arial" w:hAnsi="Arial" w:cs="Arial"/>
          <w:color w:val="262626" w:themeColor="text1" w:themeTint="D9"/>
          <w:sz w:val="20"/>
        </w:rPr>
        <w:t xml:space="preserve">call sign </w:t>
      </w:r>
      <w:r w:rsidR="001344C7">
        <w:rPr>
          <w:rFonts w:ascii="Arial" w:hAnsi="Arial" w:cs="Arial"/>
          <w:color w:val="262626" w:themeColor="text1" w:themeTint="D9"/>
          <w:sz w:val="20"/>
        </w:rPr>
        <w:t>use by the licensee</w:t>
      </w:r>
      <w:r w:rsidR="00E45676">
        <w:rPr>
          <w:rFonts w:ascii="Arial" w:hAnsi="Arial" w:cs="Arial"/>
          <w:color w:val="262626" w:themeColor="text1" w:themeTint="D9"/>
          <w:sz w:val="20"/>
        </w:rPr>
        <w:t xml:space="preserve"> at the start and end of each transmission or series of transmissions.</w:t>
      </w:r>
    </w:p>
    <w:p w14:paraId="4CC30C34" w14:textId="77777777" w:rsidR="003615DA" w:rsidRDefault="003615DA" w:rsidP="00914D5C">
      <w:pPr>
        <w:spacing w:before="80" w:after="120" w:line="276" w:lineRule="auto"/>
        <w:rPr>
          <w:rFonts w:ascii="Arial" w:hAnsi="Arial" w:cs="Arial"/>
          <w:b/>
          <w:color w:val="262626" w:themeColor="text1" w:themeTint="D9"/>
          <w:sz w:val="20"/>
        </w:rPr>
      </w:pPr>
    </w:p>
    <w:p w14:paraId="71B804B3" w14:textId="750C3FEA" w:rsidR="003615DA" w:rsidRDefault="003615DA" w:rsidP="00914D5C">
      <w:pPr>
        <w:spacing w:before="80" w:after="120" w:line="276" w:lineRule="auto"/>
        <w:rPr>
          <w:rFonts w:ascii="Arial" w:hAnsi="Arial" w:cs="Arial"/>
          <w:b/>
          <w:color w:val="262626" w:themeColor="text1" w:themeTint="D9"/>
          <w:sz w:val="20"/>
        </w:rPr>
      </w:pPr>
      <w:r>
        <w:rPr>
          <w:rFonts w:ascii="Arial" w:hAnsi="Arial" w:cs="Arial"/>
          <w:b/>
          <w:color w:val="262626" w:themeColor="text1" w:themeTint="D9"/>
          <w:sz w:val="20"/>
        </w:rPr>
        <w:t>PART 3</w:t>
      </w:r>
      <w:r>
        <w:rPr>
          <w:rFonts w:ascii="Arial" w:hAnsi="Arial" w:cs="Arial"/>
          <w:b/>
          <w:color w:val="262626" w:themeColor="text1" w:themeTint="D9"/>
          <w:sz w:val="20"/>
        </w:rPr>
        <w:tab/>
      </w:r>
      <w:r>
        <w:rPr>
          <w:rFonts w:ascii="Arial" w:hAnsi="Arial" w:cs="Arial"/>
          <w:b/>
          <w:color w:val="262626" w:themeColor="text1" w:themeTint="D9"/>
          <w:sz w:val="20"/>
        </w:rPr>
        <w:tab/>
        <w:t>CONDITIONS FOR OUTPOST LICENCE (OUTPOST NON ASSIGNED STATION)</w:t>
      </w:r>
    </w:p>
    <w:p w14:paraId="2FD0FB76" w14:textId="757BE25C" w:rsidR="00914D5C" w:rsidRDefault="00914D5C" w:rsidP="00914D5C">
      <w:pPr>
        <w:spacing w:before="80" w:after="120" w:line="276" w:lineRule="auto"/>
        <w:rPr>
          <w:rFonts w:ascii="Arial" w:hAnsi="Arial" w:cs="Arial"/>
          <w:b/>
          <w:color w:val="262626" w:themeColor="text1" w:themeTint="D9"/>
          <w:sz w:val="20"/>
        </w:rPr>
      </w:pPr>
      <w:r>
        <w:rPr>
          <w:rFonts w:ascii="Arial" w:hAnsi="Arial" w:cs="Arial"/>
          <w:b/>
          <w:color w:val="262626" w:themeColor="text1" w:themeTint="D9"/>
          <w:sz w:val="20"/>
        </w:rPr>
        <w:t>Section 10</w:t>
      </w:r>
      <w:r w:rsidR="003615DA">
        <w:rPr>
          <w:rFonts w:ascii="Arial" w:hAnsi="Arial" w:cs="Arial"/>
          <w:b/>
          <w:color w:val="262626" w:themeColor="text1" w:themeTint="D9"/>
          <w:sz w:val="20"/>
        </w:rPr>
        <w:tab/>
      </w:r>
      <w:r>
        <w:rPr>
          <w:rFonts w:ascii="Arial" w:hAnsi="Arial" w:cs="Arial"/>
          <w:b/>
          <w:color w:val="262626" w:themeColor="text1" w:themeTint="D9"/>
          <w:sz w:val="20"/>
        </w:rPr>
        <w:t>Conditions</w:t>
      </w:r>
    </w:p>
    <w:p w14:paraId="7F4BAB6A" w14:textId="3720F946" w:rsidR="00914D5C" w:rsidRPr="00F332AC" w:rsidRDefault="00914D5C" w:rsidP="00914D5C">
      <w:pPr>
        <w:spacing w:before="80" w:after="120" w:line="276" w:lineRule="auto"/>
        <w:rPr>
          <w:rFonts w:ascii="Arial" w:hAnsi="Arial" w:cs="Arial"/>
          <w:sz w:val="20"/>
          <w:lang w:val="en-AU"/>
        </w:rPr>
      </w:pPr>
      <w:r>
        <w:rPr>
          <w:rFonts w:ascii="Arial" w:hAnsi="Arial" w:cs="Arial"/>
          <w:sz w:val="20"/>
          <w:lang w:val="en-AU"/>
        </w:rPr>
        <w:t xml:space="preserve">Section 10 </w:t>
      </w:r>
      <w:r w:rsidR="00892CC3">
        <w:rPr>
          <w:rFonts w:ascii="Arial" w:hAnsi="Arial" w:cs="Arial"/>
          <w:sz w:val="20"/>
          <w:lang w:val="en-AU"/>
        </w:rPr>
        <w:t>specifies</w:t>
      </w:r>
      <w:r>
        <w:rPr>
          <w:rFonts w:ascii="Arial" w:hAnsi="Arial" w:cs="Arial"/>
          <w:sz w:val="20"/>
          <w:lang w:val="en-AU"/>
        </w:rPr>
        <w:t xml:space="preserve"> that every outpost licence </w:t>
      </w:r>
      <w:r w:rsidR="001F09E2">
        <w:rPr>
          <w:rFonts w:ascii="Arial" w:hAnsi="Arial" w:cs="Arial"/>
          <w:sz w:val="20"/>
          <w:lang w:val="en-AU"/>
        </w:rPr>
        <w:t xml:space="preserve">for an outpost non assigned station </w:t>
      </w:r>
      <w:r>
        <w:rPr>
          <w:rFonts w:ascii="Arial" w:hAnsi="Arial" w:cs="Arial"/>
          <w:sz w:val="20"/>
          <w:lang w:val="en-AU"/>
        </w:rPr>
        <w:t xml:space="preserve">is subject to the conditions specified </w:t>
      </w:r>
      <w:r w:rsidR="00A0011A">
        <w:rPr>
          <w:rFonts w:ascii="Arial" w:hAnsi="Arial" w:cs="Arial"/>
          <w:sz w:val="20"/>
          <w:lang w:val="en-AU"/>
        </w:rPr>
        <w:t xml:space="preserve">in </w:t>
      </w:r>
      <w:r>
        <w:rPr>
          <w:rFonts w:ascii="Arial" w:hAnsi="Arial" w:cs="Arial"/>
          <w:sz w:val="20"/>
          <w:lang w:val="en-AU"/>
        </w:rPr>
        <w:t>Part 3 of the Determination</w:t>
      </w:r>
      <w:r w:rsidR="003615DA">
        <w:rPr>
          <w:rFonts w:ascii="Arial" w:hAnsi="Arial" w:cs="Arial"/>
          <w:sz w:val="20"/>
          <w:lang w:val="en-AU"/>
        </w:rPr>
        <w:t>,</w:t>
      </w:r>
      <w:r w:rsidR="00872B29">
        <w:rPr>
          <w:rFonts w:ascii="Arial" w:hAnsi="Arial" w:cs="Arial"/>
          <w:sz w:val="20"/>
          <w:lang w:val="en-AU"/>
        </w:rPr>
        <w:t xml:space="preserve"> in addition to the conditions in Part 2 of the Determination.</w:t>
      </w:r>
    </w:p>
    <w:p w14:paraId="14FC01A3" w14:textId="2CA7CD86" w:rsidR="00914D5C" w:rsidRDefault="00914D5C" w:rsidP="00914D5C">
      <w:pPr>
        <w:spacing w:before="80" w:after="120" w:line="276" w:lineRule="auto"/>
        <w:rPr>
          <w:rFonts w:ascii="Arial" w:hAnsi="Arial" w:cs="Arial"/>
          <w:b/>
          <w:color w:val="262626" w:themeColor="text1" w:themeTint="D9"/>
          <w:sz w:val="20"/>
        </w:rPr>
      </w:pPr>
      <w:r>
        <w:rPr>
          <w:rFonts w:ascii="Arial" w:hAnsi="Arial" w:cs="Arial"/>
          <w:b/>
          <w:color w:val="262626" w:themeColor="text1" w:themeTint="D9"/>
          <w:sz w:val="20"/>
        </w:rPr>
        <w:t>Section 11</w:t>
      </w:r>
      <w:r w:rsidR="003615DA">
        <w:rPr>
          <w:rFonts w:ascii="Arial" w:hAnsi="Arial" w:cs="Arial"/>
          <w:b/>
          <w:color w:val="262626" w:themeColor="text1" w:themeTint="D9"/>
          <w:sz w:val="20"/>
        </w:rPr>
        <w:tab/>
      </w:r>
      <w:r>
        <w:rPr>
          <w:rFonts w:ascii="Arial" w:hAnsi="Arial" w:cs="Arial"/>
          <w:b/>
          <w:color w:val="262626" w:themeColor="text1" w:themeTint="D9"/>
          <w:sz w:val="20"/>
        </w:rPr>
        <w:t xml:space="preserve">Technical performance of an outpost </w:t>
      </w:r>
      <w:proofErr w:type="gramStart"/>
      <w:r>
        <w:rPr>
          <w:rFonts w:ascii="Arial" w:hAnsi="Arial" w:cs="Arial"/>
          <w:b/>
          <w:color w:val="262626" w:themeColor="text1" w:themeTint="D9"/>
          <w:sz w:val="20"/>
        </w:rPr>
        <w:t>non</w:t>
      </w:r>
      <w:proofErr w:type="gramEnd"/>
      <w:r>
        <w:rPr>
          <w:rFonts w:ascii="Arial" w:hAnsi="Arial" w:cs="Arial"/>
          <w:b/>
          <w:color w:val="262626" w:themeColor="text1" w:themeTint="D9"/>
          <w:sz w:val="20"/>
        </w:rPr>
        <w:t xml:space="preserve"> assigned station</w:t>
      </w:r>
    </w:p>
    <w:p w14:paraId="45675396" w14:textId="77EFB203" w:rsidR="00535582" w:rsidRDefault="00914D5C" w:rsidP="00914D5C">
      <w:pPr>
        <w:spacing w:before="80" w:after="120" w:line="276" w:lineRule="auto"/>
        <w:rPr>
          <w:rFonts w:ascii="Arial" w:hAnsi="Arial" w:cs="Arial"/>
          <w:sz w:val="20"/>
          <w:lang w:val="en-AU"/>
        </w:rPr>
      </w:pPr>
      <w:r>
        <w:rPr>
          <w:rFonts w:ascii="Arial" w:hAnsi="Arial" w:cs="Arial"/>
          <w:sz w:val="20"/>
          <w:lang w:val="en-AU"/>
        </w:rPr>
        <w:t>S</w:t>
      </w:r>
      <w:r w:rsidR="00535582">
        <w:rPr>
          <w:rFonts w:ascii="Arial" w:hAnsi="Arial" w:cs="Arial"/>
          <w:sz w:val="20"/>
          <w:lang w:val="en-AU"/>
        </w:rPr>
        <w:t>ubs</w:t>
      </w:r>
      <w:r>
        <w:rPr>
          <w:rFonts w:ascii="Arial" w:hAnsi="Arial" w:cs="Arial"/>
          <w:sz w:val="20"/>
          <w:lang w:val="en-AU"/>
        </w:rPr>
        <w:t>ection 11</w:t>
      </w:r>
      <w:r w:rsidR="00535582">
        <w:rPr>
          <w:rFonts w:ascii="Arial" w:hAnsi="Arial" w:cs="Arial"/>
          <w:sz w:val="20"/>
          <w:lang w:val="en-AU"/>
        </w:rPr>
        <w:t>(1)</w:t>
      </w:r>
      <w:r>
        <w:rPr>
          <w:rFonts w:ascii="Arial" w:hAnsi="Arial" w:cs="Arial"/>
          <w:sz w:val="20"/>
          <w:lang w:val="en-AU"/>
        </w:rPr>
        <w:t xml:space="preserve"> </w:t>
      </w:r>
      <w:r w:rsidR="00892CC3">
        <w:rPr>
          <w:rFonts w:ascii="Arial" w:hAnsi="Arial" w:cs="Arial"/>
          <w:sz w:val="20"/>
          <w:lang w:val="en-AU"/>
        </w:rPr>
        <w:t>specifies</w:t>
      </w:r>
      <w:r w:rsidR="00535582">
        <w:rPr>
          <w:rFonts w:ascii="Arial" w:hAnsi="Arial" w:cs="Arial"/>
          <w:sz w:val="20"/>
          <w:lang w:val="en-AU"/>
        </w:rPr>
        <w:t>,</w:t>
      </w:r>
      <w:r w:rsidR="00892CC3">
        <w:rPr>
          <w:rFonts w:ascii="Arial" w:hAnsi="Arial" w:cs="Arial"/>
          <w:sz w:val="20"/>
          <w:lang w:val="en-AU"/>
        </w:rPr>
        <w:t xml:space="preserve"> for an outpost non assigned station</w:t>
      </w:r>
      <w:r w:rsidR="00535582">
        <w:rPr>
          <w:rFonts w:ascii="Arial" w:hAnsi="Arial" w:cs="Arial"/>
          <w:sz w:val="20"/>
          <w:lang w:val="en-AU"/>
        </w:rPr>
        <w:t>,</w:t>
      </w:r>
      <w:r>
        <w:rPr>
          <w:rFonts w:ascii="Arial" w:hAnsi="Arial" w:cs="Arial"/>
          <w:sz w:val="20"/>
          <w:lang w:val="en-AU"/>
        </w:rPr>
        <w:t xml:space="preserve"> </w:t>
      </w:r>
      <w:r w:rsidR="00872B29">
        <w:rPr>
          <w:rFonts w:ascii="Arial" w:hAnsi="Arial" w:cs="Arial"/>
          <w:sz w:val="20"/>
          <w:lang w:val="en-AU"/>
        </w:rPr>
        <w:t xml:space="preserve">a </w:t>
      </w:r>
      <w:r w:rsidR="002A154D">
        <w:rPr>
          <w:rFonts w:ascii="Arial" w:hAnsi="Arial" w:cs="Arial"/>
          <w:sz w:val="20"/>
          <w:lang w:val="en-AU"/>
        </w:rPr>
        <w:t xml:space="preserve">requirement </w:t>
      </w:r>
      <w:r w:rsidR="00872B29">
        <w:rPr>
          <w:rFonts w:ascii="Arial" w:hAnsi="Arial" w:cs="Arial"/>
          <w:sz w:val="20"/>
          <w:lang w:val="en-AU"/>
        </w:rPr>
        <w:t>for compliance with an applicable standard made under section 162 of the Act</w:t>
      </w:r>
      <w:r w:rsidR="003615DA">
        <w:rPr>
          <w:rFonts w:ascii="Arial" w:hAnsi="Arial" w:cs="Arial"/>
          <w:sz w:val="20"/>
          <w:lang w:val="en-AU"/>
        </w:rPr>
        <w:t>, as in force at the time when the station was manufactured, imported, altered or modified</w:t>
      </w:r>
      <w:r w:rsidR="00535582">
        <w:rPr>
          <w:rFonts w:ascii="Arial" w:hAnsi="Arial" w:cs="Arial"/>
          <w:sz w:val="20"/>
          <w:lang w:val="en-AU"/>
        </w:rPr>
        <w:t>.</w:t>
      </w:r>
    </w:p>
    <w:p w14:paraId="6C1B5AB0" w14:textId="635E3D29" w:rsidR="00840F2B" w:rsidRDefault="00840F2B" w:rsidP="00840F2B">
      <w:pPr>
        <w:spacing w:before="80" w:after="120" w:line="276" w:lineRule="auto"/>
        <w:rPr>
          <w:rFonts w:ascii="Arial" w:hAnsi="Arial" w:cs="Arial"/>
          <w:sz w:val="20"/>
          <w:lang w:val="en-AU"/>
        </w:rPr>
      </w:pPr>
      <w:r>
        <w:rPr>
          <w:rFonts w:ascii="Arial" w:hAnsi="Arial" w:cs="Arial"/>
          <w:sz w:val="20"/>
          <w:lang w:val="en-AU"/>
        </w:rPr>
        <w:t xml:space="preserve">Subsection 11(2) specifies the maximum transmitter output power </w:t>
      </w:r>
      <w:r w:rsidR="00F3531C">
        <w:rPr>
          <w:rFonts w:ascii="Arial" w:hAnsi="Arial" w:cs="Arial"/>
          <w:sz w:val="20"/>
          <w:lang w:val="en-AU"/>
        </w:rPr>
        <w:t>at which</w:t>
      </w:r>
      <w:r>
        <w:rPr>
          <w:rFonts w:ascii="Arial" w:hAnsi="Arial" w:cs="Arial"/>
          <w:sz w:val="20"/>
          <w:lang w:val="en-AU"/>
        </w:rPr>
        <w:t xml:space="preserve"> the station can be </w:t>
      </w:r>
      <w:proofErr w:type="gramStart"/>
      <w:r>
        <w:rPr>
          <w:rFonts w:ascii="Arial" w:hAnsi="Arial" w:cs="Arial"/>
          <w:sz w:val="20"/>
          <w:lang w:val="en-AU"/>
        </w:rPr>
        <w:t>operated</w:t>
      </w:r>
      <w:proofErr w:type="gramEnd"/>
      <w:r w:rsidRPr="00F332AC">
        <w:rPr>
          <w:rFonts w:ascii="Arial" w:hAnsi="Arial" w:cs="Arial"/>
          <w:sz w:val="20"/>
          <w:lang w:val="en-AU"/>
        </w:rPr>
        <w:t>.</w:t>
      </w:r>
      <w:r w:rsidRPr="00F556F0">
        <w:rPr>
          <w:rFonts w:ascii="Arial" w:hAnsi="Arial" w:cs="Arial"/>
          <w:sz w:val="20"/>
          <w:lang w:val="en-AU"/>
        </w:rPr>
        <w:t xml:space="preserve"> </w:t>
      </w:r>
    </w:p>
    <w:p w14:paraId="6AB1F7BB" w14:textId="315D4807" w:rsidR="00914D5C" w:rsidRDefault="00914D5C" w:rsidP="00914D5C">
      <w:pPr>
        <w:spacing w:before="80" w:after="120" w:line="276" w:lineRule="auto"/>
        <w:rPr>
          <w:rFonts w:ascii="Arial" w:hAnsi="Arial" w:cs="Arial"/>
          <w:b/>
          <w:color w:val="262626" w:themeColor="text1" w:themeTint="D9"/>
          <w:sz w:val="20"/>
        </w:rPr>
      </w:pPr>
      <w:r>
        <w:rPr>
          <w:rFonts w:ascii="Arial" w:hAnsi="Arial" w:cs="Arial"/>
          <w:b/>
          <w:color w:val="262626" w:themeColor="text1" w:themeTint="D9"/>
          <w:sz w:val="20"/>
        </w:rPr>
        <w:t>Section 12</w:t>
      </w:r>
      <w:r w:rsidR="00F3531C">
        <w:rPr>
          <w:rFonts w:ascii="Arial" w:hAnsi="Arial" w:cs="Arial"/>
          <w:b/>
          <w:color w:val="262626" w:themeColor="text1" w:themeTint="D9"/>
          <w:sz w:val="20"/>
        </w:rPr>
        <w:tab/>
      </w:r>
      <w:r>
        <w:rPr>
          <w:rFonts w:ascii="Arial" w:hAnsi="Arial" w:cs="Arial"/>
          <w:b/>
          <w:color w:val="262626" w:themeColor="text1" w:themeTint="D9"/>
          <w:sz w:val="20"/>
        </w:rPr>
        <w:t>Operation of station</w:t>
      </w:r>
    </w:p>
    <w:p w14:paraId="4879B752" w14:textId="62A1113A" w:rsidR="00914D5C" w:rsidRPr="003F7F7B" w:rsidRDefault="00914D5C" w:rsidP="00914D5C">
      <w:pPr>
        <w:spacing w:before="80" w:after="120" w:line="276" w:lineRule="auto"/>
        <w:rPr>
          <w:rFonts w:ascii="Arial" w:hAnsi="Arial" w:cs="Arial"/>
          <w:color w:val="262626" w:themeColor="text1" w:themeTint="D9"/>
          <w:sz w:val="20"/>
        </w:rPr>
      </w:pPr>
      <w:r>
        <w:rPr>
          <w:rFonts w:ascii="Arial" w:hAnsi="Arial" w:cs="Arial"/>
          <w:color w:val="262626" w:themeColor="text1" w:themeTint="D9"/>
          <w:sz w:val="20"/>
        </w:rPr>
        <w:t xml:space="preserve">Section 12 </w:t>
      </w:r>
      <w:r w:rsidR="00840F2B">
        <w:rPr>
          <w:rFonts w:ascii="Arial" w:hAnsi="Arial" w:cs="Arial"/>
          <w:color w:val="262626" w:themeColor="text1" w:themeTint="D9"/>
          <w:sz w:val="20"/>
        </w:rPr>
        <w:t>provides that</w:t>
      </w:r>
      <w:r>
        <w:rPr>
          <w:rFonts w:ascii="Arial" w:hAnsi="Arial" w:cs="Arial"/>
          <w:color w:val="262626" w:themeColor="text1" w:themeTint="D9"/>
          <w:sz w:val="20"/>
        </w:rPr>
        <w:t xml:space="preserve"> </w:t>
      </w:r>
      <w:r w:rsidR="003C2CD3">
        <w:rPr>
          <w:rFonts w:ascii="Arial" w:hAnsi="Arial" w:cs="Arial"/>
          <w:color w:val="262626" w:themeColor="text1" w:themeTint="D9"/>
          <w:sz w:val="20"/>
        </w:rPr>
        <w:t xml:space="preserve">a licensee must </w:t>
      </w:r>
      <w:r w:rsidR="00710B70">
        <w:rPr>
          <w:rFonts w:ascii="Arial" w:hAnsi="Arial" w:cs="Arial"/>
          <w:color w:val="262626" w:themeColor="text1" w:themeTint="D9"/>
          <w:sz w:val="20"/>
        </w:rPr>
        <w:t xml:space="preserve">only </w:t>
      </w:r>
      <w:r w:rsidR="003C2CD3">
        <w:rPr>
          <w:rFonts w:ascii="Arial" w:hAnsi="Arial" w:cs="Arial"/>
          <w:color w:val="262626" w:themeColor="text1" w:themeTint="D9"/>
          <w:sz w:val="20"/>
        </w:rPr>
        <w:t xml:space="preserve">operate </w:t>
      </w:r>
      <w:r>
        <w:rPr>
          <w:rFonts w:ascii="Arial" w:hAnsi="Arial" w:cs="Arial"/>
          <w:color w:val="262626" w:themeColor="text1" w:themeTint="D9"/>
          <w:sz w:val="20"/>
        </w:rPr>
        <w:t>an outpost non assigned station in accordance with</w:t>
      </w:r>
      <w:r w:rsidR="00530586">
        <w:rPr>
          <w:rFonts w:ascii="Arial" w:hAnsi="Arial" w:cs="Arial"/>
          <w:color w:val="262626" w:themeColor="text1" w:themeTint="D9"/>
          <w:sz w:val="20"/>
        </w:rPr>
        <w:t xml:space="preserve"> sections 13 and 14 of the Determination</w:t>
      </w:r>
      <w:r>
        <w:rPr>
          <w:rFonts w:ascii="Arial" w:hAnsi="Arial" w:cs="Arial"/>
          <w:color w:val="262626" w:themeColor="text1" w:themeTint="D9"/>
          <w:sz w:val="20"/>
        </w:rPr>
        <w:t>.</w:t>
      </w:r>
    </w:p>
    <w:p w14:paraId="007A9E55" w14:textId="581ED25C" w:rsidR="00914D5C" w:rsidRDefault="00914D5C" w:rsidP="00914D5C">
      <w:pPr>
        <w:keepNext/>
        <w:spacing w:before="80" w:after="120" w:line="276" w:lineRule="auto"/>
        <w:rPr>
          <w:rFonts w:ascii="Arial" w:hAnsi="Arial" w:cs="Arial"/>
          <w:b/>
          <w:color w:val="262626" w:themeColor="text1" w:themeTint="D9"/>
          <w:sz w:val="20"/>
        </w:rPr>
      </w:pPr>
      <w:r>
        <w:rPr>
          <w:rFonts w:ascii="Arial" w:hAnsi="Arial" w:cs="Arial"/>
          <w:b/>
          <w:color w:val="262626" w:themeColor="text1" w:themeTint="D9"/>
          <w:sz w:val="20"/>
        </w:rPr>
        <w:t>Section 13</w:t>
      </w:r>
      <w:r w:rsidR="00F3531C">
        <w:rPr>
          <w:rFonts w:ascii="Arial" w:hAnsi="Arial" w:cs="Arial"/>
          <w:b/>
          <w:color w:val="262626" w:themeColor="text1" w:themeTint="D9"/>
          <w:sz w:val="20"/>
        </w:rPr>
        <w:tab/>
      </w:r>
      <w:r>
        <w:rPr>
          <w:rFonts w:ascii="Arial" w:hAnsi="Arial" w:cs="Arial"/>
          <w:b/>
          <w:color w:val="262626" w:themeColor="text1" w:themeTint="D9"/>
          <w:sz w:val="20"/>
        </w:rPr>
        <w:t>Permitted frequencies and purposes – any locality</w:t>
      </w:r>
    </w:p>
    <w:p w14:paraId="00D309C8" w14:textId="06A8FB39" w:rsidR="00FF3210" w:rsidRDefault="00FF3210" w:rsidP="00963C37">
      <w:pPr>
        <w:spacing w:before="80" w:after="120" w:line="276" w:lineRule="auto"/>
        <w:rPr>
          <w:rFonts w:ascii="Arial" w:hAnsi="Arial" w:cs="Arial"/>
          <w:color w:val="262626" w:themeColor="text1" w:themeTint="D9"/>
          <w:sz w:val="20"/>
        </w:rPr>
      </w:pPr>
      <w:r>
        <w:rPr>
          <w:rFonts w:ascii="Arial" w:hAnsi="Arial" w:cs="Arial"/>
          <w:color w:val="262626" w:themeColor="text1" w:themeTint="D9"/>
          <w:sz w:val="20"/>
        </w:rPr>
        <w:t xml:space="preserve">Section 13 </w:t>
      </w:r>
      <w:r w:rsidR="00A97490">
        <w:rPr>
          <w:rFonts w:ascii="Arial" w:hAnsi="Arial" w:cs="Arial"/>
          <w:color w:val="262626" w:themeColor="text1" w:themeTint="D9"/>
          <w:sz w:val="20"/>
        </w:rPr>
        <w:t xml:space="preserve">provides that an </w:t>
      </w:r>
      <w:r w:rsidRPr="00FF3210">
        <w:rPr>
          <w:rFonts w:ascii="Arial" w:hAnsi="Arial" w:cs="Arial"/>
          <w:color w:val="262626" w:themeColor="text1" w:themeTint="D9"/>
          <w:sz w:val="20"/>
        </w:rPr>
        <w:t xml:space="preserve">outpost non assigned station </w:t>
      </w:r>
      <w:r w:rsidR="00E031BC">
        <w:rPr>
          <w:rFonts w:ascii="Arial" w:hAnsi="Arial" w:cs="Arial"/>
          <w:color w:val="262626" w:themeColor="text1" w:themeTint="D9"/>
          <w:sz w:val="20"/>
        </w:rPr>
        <w:t>may</w:t>
      </w:r>
      <w:r w:rsidR="00A97490">
        <w:rPr>
          <w:rFonts w:ascii="Arial" w:hAnsi="Arial" w:cs="Arial"/>
          <w:color w:val="262626" w:themeColor="text1" w:themeTint="D9"/>
          <w:sz w:val="20"/>
        </w:rPr>
        <w:t xml:space="preserve"> be operated at any locality</w:t>
      </w:r>
      <w:r w:rsidR="00837283">
        <w:rPr>
          <w:rFonts w:ascii="Arial" w:hAnsi="Arial" w:cs="Arial"/>
          <w:color w:val="262626" w:themeColor="text1" w:themeTint="D9"/>
          <w:sz w:val="20"/>
        </w:rPr>
        <w:t xml:space="preserve"> on </w:t>
      </w:r>
      <w:r w:rsidR="00F3531C">
        <w:rPr>
          <w:rFonts w:ascii="Arial" w:hAnsi="Arial" w:cs="Arial"/>
          <w:color w:val="262626" w:themeColor="text1" w:themeTint="D9"/>
          <w:sz w:val="20"/>
        </w:rPr>
        <w:t xml:space="preserve">a </w:t>
      </w:r>
      <w:r w:rsidR="00837283">
        <w:rPr>
          <w:rFonts w:ascii="Arial" w:hAnsi="Arial" w:cs="Arial"/>
          <w:color w:val="262626" w:themeColor="text1" w:themeTint="D9"/>
          <w:sz w:val="20"/>
        </w:rPr>
        <w:t>frequenc</w:t>
      </w:r>
      <w:r w:rsidR="00F3531C">
        <w:rPr>
          <w:rFonts w:ascii="Arial" w:hAnsi="Arial" w:cs="Arial"/>
          <w:color w:val="262626" w:themeColor="text1" w:themeTint="D9"/>
          <w:sz w:val="20"/>
        </w:rPr>
        <w:t>y specified in any part of Schedule 1</w:t>
      </w:r>
      <w:r w:rsidR="00A97490">
        <w:rPr>
          <w:rFonts w:ascii="Arial" w:hAnsi="Arial" w:cs="Arial"/>
          <w:color w:val="262626" w:themeColor="text1" w:themeTint="D9"/>
          <w:sz w:val="20"/>
        </w:rPr>
        <w:t xml:space="preserve"> to transmit or receive messages of emergency or distress</w:t>
      </w:r>
      <w:r w:rsidR="00A97490" w:rsidRPr="00A97490">
        <w:rPr>
          <w:rFonts w:ascii="Arial" w:hAnsi="Arial" w:cs="Arial"/>
          <w:color w:val="262626" w:themeColor="text1" w:themeTint="D9"/>
          <w:sz w:val="20"/>
        </w:rPr>
        <w:t xml:space="preserve"> </w:t>
      </w:r>
      <w:r w:rsidR="00A97490">
        <w:rPr>
          <w:rFonts w:ascii="Arial" w:hAnsi="Arial" w:cs="Arial"/>
          <w:color w:val="262626" w:themeColor="text1" w:themeTint="D9"/>
          <w:sz w:val="20"/>
        </w:rPr>
        <w:t xml:space="preserve">if </w:t>
      </w:r>
      <w:r w:rsidR="00A97490" w:rsidRPr="00FF3210">
        <w:rPr>
          <w:rFonts w:ascii="Arial" w:hAnsi="Arial" w:cs="Arial"/>
          <w:color w:val="262626" w:themeColor="text1" w:themeTint="D9"/>
          <w:sz w:val="20"/>
        </w:rPr>
        <w:t>no other satisfactory means of communication is available</w:t>
      </w:r>
      <w:r w:rsidR="00E031BC">
        <w:rPr>
          <w:rFonts w:ascii="Arial" w:hAnsi="Arial" w:cs="Arial"/>
          <w:color w:val="262626" w:themeColor="text1" w:themeTint="D9"/>
          <w:sz w:val="20"/>
        </w:rPr>
        <w:t>.</w:t>
      </w:r>
      <w:r w:rsidR="00A97490">
        <w:rPr>
          <w:rFonts w:ascii="Arial" w:hAnsi="Arial" w:cs="Arial"/>
          <w:color w:val="262626" w:themeColor="text1" w:themeTint="D9"/>
          <w:sz w:val="20"/>
        </w:rPr>
        <w:t xml:space="preserve"> </w:t>
      </w:r>
    </w:p>
    <w:p w14:paraId="7E1CC59E" w14:textId="7F3B95AF" w:rsidR="00914D5C" w:rsidRPr="00963C37" w:rsidRDefault="00914D5C" w:rsidP="00963C37">
      <w:pPr>
        <w:spacing w:before="80" w:after="120" w:line="276" w:lineRule="auto"/>
        <w:rPr>
          <w:rFonts w:ascii="Arial" w:hAnsi="Arial" w:cs="Arial"/>
          <w:b/>
          <w:color w:val="262626" w:themeColor="text1" w:themeTint="D9"/>
          <w:sz w:val="20"/>
        </w:rPr>
      </w:pPr>
      <w:r w:rsidRPr="00963C37">
        <w:rPr>
          <w:rFonts w:ascii="Arial" w:hAnsi="Arial" w:cs="Arial"/>
          <w:b/>
          <w:color w:val="262626" w:themeColor="text1" w:themeTint="D9"/>
          <w:sz w:val="20"/>
        </w:rPr>
        <w:t>Section 14</w:t>
      </w:r>
      <w:r w:rsidR="00F3531C">
        <w:rPr>
          <w:rFonts w:ascii="Arial" w:hAnsi="Arial" w:cs="Arial"/>
          <w:b/>
          <w:color w:val="262626" w:themeColor="text1" w:themeTint="D9"/>
          <w:sz w:val="20"/>
        </w:rPr>
        <w:tab/>
      </w:r>
      <w:r w:rsidRPr="00963C37">
        <w:rPr>
          <w:rFonts w:ascii="Arial" w:hAnsi="Arial" w:cs="Arial"/>
          <w:b/>
          <w:color w:val="262626" w:themeColor="text1" w:themeTint="D9"/>
          <w:sz w:val="20"/>
        </w:rPr>
        <w:t xml:space="preserve">Permitted frequencies and purposes – </w:t>
      </w:r>
      <w:r w:rsidR="00245584">
        <w:rPr>
          <w:rFonts w:ascii="Arial" w:hAnsi="Arial" w:cs="Arial"/>
          <w:b/>
          <w:color w:val="262626" w:themeColor="text1" w:themeTint="D9"/>
          <w:sz w:val="20"/>
        </w:rPr>
        <w:t>telecommunications network only available through outpost non assigned station</w:t>
      </w:r>
    </w:p>
    <w:p w14:paraId="3CCBCDE3" w14:textId="0707B365" w:rsidR="00BA0013" w:rsidRPr="00A33BA6" w:rsidRDefault="00FF32CF" w:rsidP="00BA0013">
      <w:pPr>
        <w:spacing w:before="80" w:after="120" w:line="276" w:lineRule="auto"/>
        <w:rPr>
          <w:rFonts w:ascii="Arial" w:hAnsi="Arial" w:cs="Arial"/>
          <w:color w:val="262626" w:themeColor="text1" w:themeTint="D9"/>
          <w:sz w:val="20"/>
        </w:rPr>
      </w:pPr>
      <w:r w:rsidRPr="00A33BA6">
        <w:rPr>
          <w:rFonts w:ascii="Arial" w:hAnsi="Arial" w:cs="Arial"/>
          <w:color w:val="262626" w:themeColor="text1" w:themeTint="D9"/>
          <w:sz w:val="20"/>
        </w:rPr>
        <w:t>S</w:t>
      </w:r>
      <w:r w:rsidR="00840F2B">
        <w:rPr>
          <w:rFonts w:ascii="Arial" w:hAnsi="Arial" w:cs="Arial"/>
          <w:color w:val="262626" w:themeColor="text1" w:themeTint="D9"/>
          <w:sz w:val="20"/>
        </w:rPr>
        <w:t>ubs</w:t>
      </w:r>
      <w:r w:rsidRPr="00A33BA6">
        <w:rPr>
          <w:rFonts w:ascii="Arial" w:hAnsi="Arial" w:cs="Arial"/>
          <w:color w:val="262626" w:themeColor="text1" w:themeTint="D9"/>
          <w:sz w:val="20"/>
        </w:rPr>
        <w:t>ection 14</w:t>
      </w:r>
      <w:r w:rsidR="00840F2B">
        <w:rPr>
          <w:rFonts w:ascii="Arial" w:hAnsi="Arial" w:cs="Arial"/>
          <w:color w:val="262626" w:themeColor="text1" w:themeTint="D9"/>
          <w:sz w:val="20"/>
        </w:rPr>
        <w:t>(1)</w:t>
      </w:r>
      <w:r w:rsidRPr="00A33BA6">
        <w:rPr>
          <w:rFonts w:ascii="Arial" w:hAnsi="Arial" w:cs="Arial"/>
          <w:color w:val="262626" w:themeColor="text1" w:themeTint="D9"/>
          <w:sz w:val="20"/>
        </w:rPr>
        <w:t xml:space="preserve"> provides </w:t>
      </w:r>
      <w:r w:rsidR="00A0011A">
        <w:rPr>
          <w:rFonts w:ascii="Arial" w:hAnsi="Arial" w:cs="Arial"/>
          <w:color w:val="262626" w:themeColor="text1" w:themeTint="D9"/>
          <w:sz w:val="20"/>
        </w:rPr>
        <w:t xml:space="preserve">that </w:t>
      </w:r>
      <w:r w:rsidRPr="00A33BA6">
        <w:rPr>
          <w:rFonts w:ascii="Arial" w:hAnsi="Arial" w:cs="Arial"/>
          <w:color w:val="262626" w:themeColor="text1" w:themeTint="D9"/>
          <w:sz w:val="20"/>
        </w:rPr>
        <w:t xml:space="preserve">the </w:t>
      </w:r>
      <w:r w:rsidR="00245584">
        <w:rPr>
          <w:rFonts w:ascii="Arial" w:hAnsi="Arial" w:cs="Arial"/>
          <w:color w:val="262626" w:themeColor="text1" w:themeTint="D9"/>
          <w:sz w:val="20"/>
        </w:rPr>
        <w:t xml:space="preserve">conditions in </w:t>
      </w:r>
      <w:r w:rsidR="00F3531C">
        <w:rPr>
          <w:rFonts w:ascii="Arial" w:hAnsi="Arial" w:cs="Arial"/>
          <w:color w:val="262626" w:themeColor="text1" w:themeTint="D9"/>
          <w:sz w:val="20"/>
        </w:rPr>
        <w:t>section 14 appl</w:t>
      </w:r>
      <w:r w:rsidR="00245584">
        <w:rPr>
          <w:rFonts w:ascii="Arial" w:hAnsi="Arial" w:cs="Arial"/>
          <w:color w:val="262626" w:themeColor="text1" w:themeTint="D9"/>
          <w:sz w:val="20"/>
        </w:rPr>
        <w:t>y</w:t>
      </w:r>
      <w:r w:rsidR="00F3531C">
        <w:rPr>
          <w:rFonts w:ascii="Arial" w:hAnsi="Arial" w:cs="Arial"/>
          <w:color w:val="262626" w:themeColor="text1" w:themeTint="D9"/>
          <w:sz w:val="20"/>
        </w:rPr>
        <w:t xml:space="preserve"> to the operation of</w:t>
      </w:r>
      <w:r w:rsidRPr="00A33BA6">
        <w:rPr>
          <w:rFonts w:ascii="Arial" w:hAnsi="Arial" w:cs="Arial"/>
          <w:color w:val="262626" w:themeColor="text1" w:themeTint="D9"/>
          <w:sz w:val="20"/>
        </w:rPr>
        <w:t xml:space="preserve"> an outpost non assigned station at a </w:t>
      </w:r>
      <w:r w:rsidR="00EB0492" w:rsidRPr="00A33BA6">
        <w:rPr>
          <w:rFonts w:ascii="Arial" w:hAnsi="Arial" w:cs="Arial"/>
          <w:color w:val="262626" w:themeColor="text1" w:themeTint="D9"/>
          <w:sz w:val="20"/>
        </w:rPr>
        <w:t xml:space="preserve">remote </w:t>
      </w:r>
      <w:r w:rsidRPr="00A33BA6">
        <w:rPr>
          <w:rFonts w:ascii="Arial" w:hAnsi="Arial" w:cs="Arial"/>
          <w:color w:val="262626" w:themeColor="text1" w:themeTint="D9"/>
          <w:sz w:val="20"/>
        </w:rPr>
        <w:t>locality</w:t>
      </w:r>
      <w:r w:rsidR="00245584">
        <w:rPr>
          <w:rFonts w:ascii="Arial" w:hAnsi="Arial" w:cs="Arial"/>
          <w:color w:val="262626" w:themeColor="text1" w:themeTint="D9"/>
          <w:sz w:val="20"/>
        </w:rPr>
        <w:t xml:space="preserve"> (specified in Schedule 1)</w:t>
      </w:r>
      <w:r w:rsidRPr="00A33BA6">
        <w:rPr>
          <w:rFonts w:ascii="Arial" w:hAnsi="Arial" w:cs="Arial"/>
          <w:color w:val="262626" w:themeColor="text1" w:themeTint="D9"/>
          <w:sz w:val="20"/>
        </w:rPr>
        <w:t xml:space="preserve">, </w:t>
      </w:r>
      <w:r w:rsidR="00530586" w:rsidRPr="00A33BA6">
        <w:rPr>
          <w:rFonts w:ascii="Arial" w:hAnsi="Arial" w:cs="Arial"/>
          <w:color w:val="262626" w:themeColor="text1" w:themeTint="D9"/>
          <w:sz w:val="20"/>
        </w:rPr>
        <w:t xml:space="preserve">if </w:t>
      </w:r>
      <w:r w:rsidRPr="00A33BA6">
        <w:rPr>
          <w:rFonts w:ascii="Arial" w:hAnsi="Arial" w:cs="Arial"/>
          <w:color w:val="262626" w:themeColor="text1" w:themeTint="D9"/>
          <w:sz w:val="20"/>
        </w:rPr>
        <w:t>a</w:t>
      </w:r>
      <w:r w:rsidR="00EB0492" w:rsidRPr="00A33BA6">
        <w:rPr>
          <w:rFonts w:ascii="Arial" w:hAnsi="Arial" w:cs="Arial"/>
          <w:color w:val="262626" w:themeColor="text1" w:themeTint="D9"/>
          <w:sz w:val="20"/>
        </w:rPr>
        <w:t xml:space="preserve"> connection</w:t>
      </w:r>
      <w:r w:rsidR="00BA0013" w:rsidRPr="00A33BA6">
        <w:rPr>
          <w:rFonts w:ascii="Arial" w:hAnsi="Arial" w:cs="Arial"/>
          <w:color w:val="262626" w:themeColor="text1" w:themeTint="D9"/>
          <w:sz w:val="20"/>
        </w:rPr>
        <w:t xml:space="preserve"> </w:t>
      </w:r>
      <w:r w:rsidR="00EB0492" w:rsidRPr="00A33BA6">
        <w:rPr>
          <w:rFonts w:ascii="Arial" w:hAnsi="Arial" w:cs="Arial"/>
          <w:color w:val="262626" w:themeColor="text1" w:themeTint="D9"/>
          <w:sz w:val="20"/>
        </w:rPr>
        <w:t xml:space="preserve">to a </w:t>
      </w:r>
      <w:r w:rsidRPr="00A33BA6">
        <w:rPr>
          <w:rFonts w:ascii="Arial" w:hAnsi="Arial" w:cs="Arial"/>
          <w:color w:val="262626" w:themeColor="text1" w:themeTint="D9"/>
          <w:sz w:val="20"/>
        </w:rPr>
        <w:t xml:space="preserve">telecommunications network </w:t>
      </w:r>
      <w:r w:rsidR="00530586" w:rsidRPr="00A33BA6">
        <w:rPr>
          <w:rFonts w:ascii="Arial" w:hAnsi="Arial" w:cs="Arial"/>
          <w:color w:val="262626" w:themeColor="text1" w:themeTint="D9"/>
          <w:sz w:val="20"/>
        </w:rPr>
        <w:t xml:space="preserve">that is operated by a carrier or carriage service provider </w:t>
      </w:r>
      <w:r w:rsidRPr="00A33BA6">
        <w:rPr>
          <w:rFonts w:ascii="Arial" w:hAnsi="Arial" w:cs="Arial"/>
          <w:color w:val="262626" w:themeColor="text1" w:themeTint="D9"/>
          <w:sz w:val="20"/>
        </w:rPr>
        <w:t>is only available through the station</w:t>
      </w:r>
      <w:r w:rsidR="005C4331" w:rsidRPr="00A33BA6">
        <w:rPr>
          <w:rFonts w:ascii="Arial" w:hAnsi="Arial" w:cs="Arial"/>
          <w:color w:val="262626" w:themeColor="text1" w:themeTint="D9"/>
          <w:sz w:val="20"/>
        </w:rPr>
        <w:t>,</w:t>
      </w:r>
      <w:r w:rsidR="00BA0013" w:rsidRPr="00A33BA6">
        <w:rPr>
          <w:rFonts w:ascii="Arial" w:hAnsi="Arial" w:cs="Arial"/>
          <w:color w:val="262626" w:themeColor="text1" w:themeTint="D9"/>
          <w:sz w:val="20"/>
        </w:rPr>
        <w:t xml:space="preserve"> or</w:t>
      </w:r>
      <w:r w:rsidR="005C4331" w:rsidRPr="00A33BA6">
        <w:rPr>
          <w:rFonts w:ascii="Arial" w:hAnsi="Arial" w:cs="Arial"/>
          <w:color w:val="262626" w:themeColor="text1" w:themeTint="D9"/>
          <w:sz w:val="20"/>
        </w:rPr>
        <w:t xml:space="preserve"> if </w:t>
      </w:r>
      <w:r w:rsidR="00D01C6C" w:rsidRPr="00A33BA6">
        <w:rPr>
          <w:rFonts w:ascii="Arial" w:hAnsi="Arial" w:cs="Arial"/>
          <w:color w:val="262626" w:themeColor="text1" w:themeTint="D9"/>
          <w:sz w:val="20"/>
        </w:rPr>
        <w:t xml:space="preserve">a connection to a telecommunications network that is operated by a carrier or carriage service provider is available through the station and also by other means, but </w:t>
      </w:r>
      <w:r w:rsidR="005C4331" w:rsidRPr="00A33BA6">
        <w:rPr>
          <w:rFonts w:ascii="Arial" w:hAnsi="Arial" w:cs="Arial"/>
          <w:color w:val="262626" w:themeColor="text1" w:themeTint="D9"/>
          <w:sz w:val="20"/>
        </w:rPr>
        <w:t xml:space="preserve">the </w:t>
      </w:r>
      <w:r w:rsidR="00D01C6C" w:rsidRPr="00A33BA6">
        <w:rPr>
          <w:rFonts w:ascii="Arial" w:hAnsi="Arial" w:cs="Arial"/>
          <w:color w:val="262626" w:themeColor="text1" w:themeTint="D9"/>
          <w:sz w:val="20"/>
        </w:rPr>
        <w:t xml:space="preserve">only working connection is through the station because each other means of connection to the </w:t>
      </w:r>
      <w:r w:rsidR="00BA0013" w:rsidRPr="00A33BA6">
        <w:rPr>
          <w:rFonts w:ascii="Arial" w:hAnsi="Arial" w:cs="Arial"/>
          <w:color w:val="262626" w:themeColor="text1" w:themeTint="D9"/>
          <w:sz w:val="20"/>
        </w:rPr>
        <w:t xml:space="preserve">telecommunications network </w:t>
      </w:r>
      <w:r w:rsidR="00FF2DBF" w:rsidRPr="00A33BA6">
        <w:rPr>
          <w:rFonts w:ascii="Arial" w:hAnsi="Arial" w:cs="Arial"/>
          <w:color w:val="262626" w:themeColor="text1" w:themeTint="D9"/>
          <w:sz w:val="20"/>
        </w:rPr>
        <w:t xml:space="preserve">is unavailable </w:t>
      </w:r>
      <w:r w:rsidR="00960FF3" w:rsidRPr="00A33BA6">
        <w:rPr>
          <w:rFonts w:ascii="Arial" w:hAnsi="Arial" w:cs="Arial"/>
          <w:color w:val="262626" w:themeColor="text1" w:themeTint="D9"/>
          <w:sz w:val="20"/>
        </w:rPr>
        <w:t>o</w:t>
      </w:r>
      <w:r w:rsidR="00FF2DBF" w:rsidRPr="00A33BA6">
        <w:rPr>
          <w:rFonts w:ascii="Arial" w:hAnsi="Arial" w:cs="Arial"/>
          <w:color w:val="262626" w:themeColor="text1" w:themeTint="D9"/>
          <w:sz w:val="20"/>
        </w:rPr>
        <w:t>r out of service</w:t>
      </w:r>
      <w:r w:rsidRPr="00A33BA6">
        <w:rPr>
          <w:rFonts w:ascii="Arial" w:hAnsi="Arial" w:cs="Arial"/>
          <w:color w:val="262626" w:themeColor="text1" w:themeTint="D9"/>
          <w:sz w:val="20"/>
        </w:rPr>
        <w:t>.</w:t>
      </w:r>
      <w:r w:rsidR="00E778F7" w:rsidRPr="00A33BA6">
        <w:rPr>
          <w:rFonts w:ascii="Arial" w:hAnsi="Arial" w:cs="Arial"/>
          <w:color w:val="262626" w:themeColor="text1" w:themeTint="D9"/>
          <w:sz w:val="20"/>
        </w:rPr>
        <w:t xml:space="preserve"> </w:t>
      </w:r>
    </w:p>
    <w:p w14:paraId="62B966DC" w14:textId="59EC8C59" w:rsidR="004D66FF" w:rsidRPr="004D66FF" w:rsidRDefault="005C4331" w:rsidP="004D66FF">
      <w:pPr>
        <w:spacing w:before="80" w:after="120" w:line="276" w:lineRule="auto"/>
        <w:rPr>
          <w:rFonts w:ascii="Arial" w:hAnsi="Arial" w:cs="Arial"/>
          <w:color w:val="262626" w:themeColor="text1" w:themeTint="D9"/>
          <w:sz w:val="20"/>
        </w:rPr>
      </w:pPr>
      <w:r w:rsidRPr="00A33BA6">
        <w:rPr>
          <w:rFonts w:ascii="Arial" w:hAnsi="Arial" w:cs="Arial"/>
          <w:color w:val="262626" w:themeColor="text1" w:themeTint="D9"/>
          <w:sz w:val="20"/>
        </w:rPr>
        <w:t xml:space="preserve">Subsection 14(2) provides that an outpost non assigned station may be operated at </w:t>
      </w:r>
      <w:r w:rsidR="00054076">
        <w:rPr>
          <w:rFonts w:ascii="Arial" w:hAnsi="Arial" w:cs="Arial"/>
          <w:color w:val="262626" w:themeColor="text1" w:themeTint="D9"/>
          <w:sz w:val="20"/>
        </w:rPr>
        <w:t>a</w:t>
      </w:r>
      <w:r w:rsidR="00054076" w:rsidRPr="00A33BA6">
        <w:rPr>
          <w:rFonts w:ascii="Arial" w:hAnsi="Arial" w:cs="Arial"/>
          <w:color w:val="262626" w:themeColor="text1" w:themeTint="D9"/>
          <w:sz w:val="20"/>
        </w:rPr>
        <w:t xml:space="preserve"> </w:t>
      </w:r>
      <w:r w:rsidRPr="00A33BA6">
        <w:rPr>
          <w:rFonts w:ascii="Arial" w:hAnsi="Arial" w:cs="Arial"/>
          <w:color w:val="262626" w:themeColor="text1" w:themeTint="D9"/>
          <w:sz w:val="20"/>
        </w:rPr>
        <w:t>locality</w:t>
      </w:r>
      <w:r w:rsidR="0039218A" w:rsidRPr="00A33BA6">
        <w:rPr>
          <w:rFonts w:ascii="Arial" w:hAnsi="Arial" w:cs="Arial"/>
          <w:color w:val="262626" w:themeColor="text1" w:themeTint="D9"/>
          <w:sz w:val="20"/>
        </w:rPr>
        <w:t xml:space="preserve">, on </w:t>
      </w:r>
      <w:r w:rsidR="0039218A">
        <w:rPr>
          <w:rFonts w:ascii="Arial" w:hAnsi="Arial" w:cs="Arial"/>
          <w:color w:val="262626" w:themeColor="text1" w:themeTint="D9"/>
          <w:sz w:val="20"/>
        </w:rPr>
        <w:t xml:space="preserve">a </w:t>
      </w:r>
      <w:r w:rsidR="0039218A" w:rsidRPr="00A33BA6">
        <w:rPr>
          <w:rFonts w:ascii="Arial" w:hAnsi="Arial" w:cs="Arial"/>
          <w:color w:val="262626" w:themeColor="text1" w:themeTint="D9"/>
          <w:sz w:val="20"/>
        </w:rPr>
        <w:t>frequency</w:t>
      </w:r>
      <w:r w:rsidR="002766C4">
        <w:rPr>
          <w:rFonts w:ascii="Arial" w:hAnsi="Arial" w:cs="Arial"/>
          <w:color w:val="262626" w:themeColor="text1" w:themeTint="D9"/>
          <w:sz w:val="20"/>
        </w:rPr>
        <w:t xml:space="preserve"> specified in column 4 of </w:t>
      </w:r>
      <w:r w:rsidR="00A0011A">
        <w:rPr>
          <w:rFonts w:ascii="Arial" w:hAnsi="Arial" w:cs="Arial"/>
          <w:color w:val="262626" w:themeColor="text1" w:themeTint="D9"/>
          <w:sz w:val="20"/>
        </w:rPr>
        <w:t>S</w:t>
      </w:r>
      <w:r w:rsidR="002766C4">
        <w:rPr>
          <w:rFonts w:ascii="Arial" w:hAnsi="Arial" w:cs="Arial"/>
          <w:color w:val="262626" w:themeColor="text1" w:themeTint="D9"/>
          <w:sz w:val="20"/>
        </w:rPr>
        <w:t>chedule 1</w:t>
      </w:r>
      <w:r w:rsidR="0039218A" w:rsidRPr="00A33BA6">
        <w:rPr>
          <w:rFonts w:ascii="Arial" w:hAnsi="Arial" w:cs="Arial"/>
          <w:color w:val="262626" w:themeColor="text1" w:themeTint="D9"/>
          <w:sz w:val="20"/>
        </w:rPr>
        <w:t xml:space="preserve">, </w:t>
      </w:r>
      <w:r w:rsidRPr="00A33BA6">
        <w:rPr>
          <w:rFonts w:ascii="Arial" w:hAnsi="Arial" w:cs="Arial"/>
          <w:color w:val="262626" w:themeColor="text1" w:themeTint="D9"/>
          <w:sz w:val="20"/>
        </w:rPr>
        <w:t xml:space="preserve">to communicate with an outpost assigned station </w:t>
      </w:r>
      <w:r w:rsidR="002766C4">
        <w:rPr>
          <w:rFonts w:ascii="Arial" w:hAnsi="Arial" w:cs="Arial"/>
          <w:color w:val="262626" w:themeColor="text1" w:themeTint="D9"/>
          <w:sz w:val="20"/>
        </w:rPr>
        <w:t>to obtain or provide medical aid or advice, to transmit or receive public correspondence or to transmit telecommunications that require the use of a telecommunications network operated by a carrier or carriage service provider</w:t>
      </w:r>
      <w:r w:rsidR="004D66FF" w:rsidRPr="004D66FF">
        <w:rPr>
          <w:rFonts w:ascii="Arial" w:hAnsi="Arial" w:cs="Arial"/>
          <w:color w:val="262626" w:themeColor="text1" w:themeTint="D9"/>
          <w:sz w:val="20"/>
        </w:rPr>
        <w:t>.</w:t>
      </w:r>
      <w:r w:rsidR="00E4707A">
        <w:rPr>
          <w:rFonts w:ascii="Arial" w:hAnsi="Arial" w:cs="Arial"/>
          <w:color w:val="262626" w:themeColor="text1" w:themeTint="D9"/>
          <w:sz w:val="20"/>
        </w:rPr>
        <w:t xml:space="preserve"> </w:t>
      </w:r>
    </w:p>
    <w:p w14:paraId="71BAC3D4" w14:textId="2A82DBEA" w:rsidR="000214F9" w:rsidRPr="00A33BA6" w:rsidRDefault="000214F9" w:rsidP="00D01C6C">
      <w:pPr>
        <w:spacing w:before="80" w:after="120" w:line="276" w:lineRule="auto"/>
        <w:rPr>
          <w:rFonts w:ascii="Arial" w:hAnsi="Arial" w:cs="Arial"/>
          <w:color w:val="262626" w:themeColor="text1" w:themeTint="D9"/>
          <w:sz w:val="20"/>
        </w:rPr>
      </w:pPr>
      <w:r w:rsidRPr="00A33BA6">
        <w:rPr>
          <w:rFonts w:ascii="Arial" w:hAnsi="Arial" w:cs="Arial"/>
          <w:color w:val="262626" w:themeColor="text1" w:themeTint="D9"/>
          <w:sz w:val="20"/>
        </w:rPr>
        <w:t>Subsection 14(3) provides</w:t>
      </w:r>
      <w:r w:rsidRPr="004D66FF">
        <w:rPr>
          <w:rFonts w:ascii="Arial" w:hAnsi="Arial" w:cs="Arial"/>
          <w:color w:val="262626" w:themeColor="text1" w:themeTint="D9"/>
          <w:sz w:val="20"/>
        </w:rPr>
        <w:t xml:space="preserve"> that an </w:t>
      </w:r>
      <w:r w:rsidRPr="00A33BA6">
        <w:rPr>
          <w:rFonts w:ascii="Arial" w:hAnsi="Arial" w:cs="Arial"/>
          <w:color w:val="262626" w:themeColor="text1" w:themeTint="D9"/>
          <w:sz w:val="20"/>
        </w:rPr>
        <w:t xml:space="preserve">outpost non assigned station may also be operated at </w:t>
      </w:r>
      <w:r w:rsidR="00054076">
        <w:rPr>
          <w:rFonts w:ascii="Arial" w:hAnsi="Arial" w:cs="Arial"/>
          <w:color w:val="262626" w:themeColor="text1" w:themeTint="D9"/>
          <w:sz w:val="20"/>
        </w:rPr>
        <w:t>a</w:t>
      </w:r>
      <w:r w:rsidR="00054076" w:rsidRPr="00A33BA6">
        <w:rPr>
          <w:rFonts w:ascii="Arial" w:hAnsi="Arial" w:cs="Arial"/>
          <w:color w:val="262626" w:themeColor="text1" w:themeTint="D9"/>
          <w:sz w:val="20"/>
        </w:rPr>
        <w:t xml:space="preserve"> </w:t>
      </w:r>
      <w:r w:rsidRPr="00A33BA6">
        <w:rPr>
          <w:rFonts w:ascii="Arial" w:hAnsi="Arial" w:cs="Arial"/>
          <w:color w:val="262626" w:themeColor="text1" w:themeTint="D9"/>
          <w:sz w:val="20"/>
        </w:rPr>
        <w:t xml:space="preserve">remote locality, on </w:t>
      </w:r>
      <w:r w:rsidR="0039218A">
        <w:rPr>
          <w:rFonts w:ascii="Arial" w:hAnsi="Arial" w:cs="Arial"/>
          <w:color w:val="262626" w:themeColor="text1" w:themeTint="D9"/>
          <w:sz w:val="20"/>
        </w:rPr>
        <w:t xml:space="preserve">a </w:t>
      </w:r>
      <w:r w:rsidRPr="00A33BA6">
        <w:rPr>
          <w:rFonts w:ascii="Arial" w:hAnsi="Arial" w:cs="Arial"/>
          <w:color w:val="262626" w:themeColor="text1" w:themeTint="D9"/>
          <w:sz w:val="20"/>
        </w:rPr>
        <w:t>frequency</w:t>
      </w:r>
      <w:r w:rsidR="002766C4">
        <w:rPr>
          <w:rFonts w:ascii="Arial" w:hAnsi="Arial" w:cs="Arial"/>
          <w:color w:val="262626" w:themeColor="text1" w:themeTint="D9"/>
          <w:sz w:val="20"/>
        </w:rPr>
        <w:t xml:space="preserve"> specified in column 3 or 4 of </w:t>
      </w:r>
      <w:r w:rsidR="00E414CA">
        <w:rPr>
          <w:rFonts w:ascii="Arial" w:hAnsi="Arial" w:cs="Arial"/>
          <w:color w:val="262626" w:themeColor="text1" w:themeTint="D9"/>
          <w:sz w:val="20"/>
        </w:rPr>
        <w:t>S</w:t>
      </w:r>
      <w:r w:rsidR="002766C4">
        <w:rPr>
          <w:rFonts w:ascii="Arial" w:hAnsi="Arial" w:cs="Arial"/>
          <w:color w:val="262626" w:themeColor="text1" w:themeTint="D9"/>
          <w:sz w:val="20"/>
        </w:rPr>
        <w:t>chedule 1</w:t>
      </w:r>
      <w:r w:rsidRPr="00A33BA6">
        <w:rPr>
          <w:rFonts w:ascii="Arial" w:hAnsi="Arial" w:cs="Arial"/>
          <w:color w:val="262626" w:themeColor="text1" w:themeTint="D9"/>
          <w:sz w:val="20"/>
        </w:rPr>
        <w:t>, for</w:t>
      </w:r>
      <w:r w:rsidR="00D01C6C" w:rsidRPr="00A33BA6">
        <w:rPr>
          <w:rFonts w:ascii="Arial" w:hAnsi="Arial" w:cs="Arial"/>
          <w:color w:val="262626" w:themeColor="text1" w:themeTint="D9"/>
          <w:sz w:val="20"/>
        </w:rPr>
        <w:t xml:space="preserve"> the purposes</w:t>
      </w:r>
      <w:r w:rsidR="004D66FF">
        <w:rPr>
          <w:rFonts w:ascii="Arial" w:hAnsi="Arial" w:cs="Arial"/>
          <w:color w:val="262626" w:themeColor="text1" w:themeTint="D9"/>
          <w:sz w:val="20"/>
        </w:rPr>
        <w:t xml:space="preserve"> of </w:t>
      </w:r>
      <w:r w:rsidR="004D66FF" w:rsidRPr="004D66FF">
        <w:rPr>
          <w:rFonts w:ascii="Arial" w:hAnsi="Arial" w:cs="Arial"/>
          <w:color w:val="262626" w:themeColor="text1" w:themeTint="D9"/>
          <w:sz w:val="20"/>
        </w:rPr>
        <w:t>communicat</w:t>
      </w:r>
      <w:r w:rsidR="004D66FF">
        <w:rPr>
          <w:rFonts w:ascii="Arial" w:hAnsi="Arial" w:cs="Arial"/>
          <w:color w:val="262626" w:themeColor="text1" w:themeTint="D9"/>
          <w:sz w:val="20"/>
        </w:rPr>
        <w:t>ing</w:t>
      </w:r>
      <w:r w:rsidR="00FB369F">
        <w:rPr>
          <w:rFonts w:ascii="Arial" w:hAnsi="Arial" w:cs="Arial"/>
          <w:color w:val="262626" w:themeColor="text1" w:themeTint="D9"/>
          <w:sz w:val="20"/>
        </w:rPr>
        <w:t xml:space="preserve"> with an outpost station</w:t>
      </w:r>
      <w:r w:rsidR="00E414CA">
        <w:rPr>
          <w:rFonts w:ascii="Arial" w:hAnsi="Arial" w:cs="Arial"/>
          <w:color w:val="262626" w:themeColor="text1" w:themeTint="D9"/>
          <w:sz w:val="20"/>
        </w:rPr>
        <w:t xml:space="preserve"> </w:t>
      </w:r>
      <w:r w:rsidR="00614BB7">
        <w:rPr>
          <w:rFonts w:ascii="Arial" w:hAnsi="Arial" w:cs="Arial"/>
          <w:color w:val="262626" w:themeColor="text1" w:themeTint="D9"/>
          <w:sz w:val="20"/>
        </w:rPr>
        <w:t xml:space="preserve">where there is no connection to a </w:t>
      </w:r>
      <w:r w:rsidR="00E414CA">
        <w:rPr>
          <w:rFonts w:ascii="Arial" w:hAnsi="Arial" w:cs="Arial"/>
          <w:color w:val="262626" w:themeColor="text1" w:themeTint="D9"/>
          <w:sz w:val="20"/>
        </w:rPr>
        <w:t>telecommunications</w:t>
      </w:r>
      <w:r w:rsidR="00614BB7">
        <w:rPr>
          <w:rFonts w:ascii="Arial" w:hAnsi="Arial" w:cs="Arial"/>
          <w:color w:val="262626" w:themeColor="text1" w:themeTint="D9"/>
          <w:sz w:val="20"/>
        </w:rPr>
        <w:t xml:space="preserve"> network operated by a carrier or carriage service provider, for participation in community interest sessions or</w:t>
      </w:r>
      <w:r w:rsidR="00FB369F">
        <w:rPr>
          <w:rFonts w:ascii="Arial" w:hAnsi="Arial" w:cs="Arial"/>
          <w:color w:val="262626" w:themeColor="text1" w:themeTint="D9"/>
          <w:sz w:val="20"/>
        </w:rPr>
        <w:t xml:space="preserve"> for the transmission or reception of messages</w:t>
      </w:r>
      <w:r w:rsidR="00614BB7">
        <w:rPr>
          <w:rFonts w:ascii="Arial" w:hAnsi="Arial" w:cs="Arial"/>
          <w:color w:val="262626" w:themeColor="text1" w:themeTint="D9"/>
          <w:sz w:val="20"/>
        </w:rPr>
        <w:t xml:space="preserve"> in relation to distress or</w:t>
      </w:r>
      <w:r w:rsidR="00FB369F">
        <w:rPr>
          <w:rFonts w:ascii="Arial" w:hAnsi="Arial" w:cs="Arial"/>
          <w:color w:val="262626" w:themeColor="text1" w:themeTint="D9"/>
          <w:sz w:val="20"/>
        </w:rPr>
        <w:t xml:space="preserve"> emergency situations.</w:t>
      </w:r>
    </w:p>
    <w:p w14:paraId="3533D280" w14:textId="62D11DA1" w:rsidR="00FF2DBF" w:rsidRPr="00A33BA6" w:rsidRDefault="0091079A" w:rsidP="000214F9">
      <w:pPr>
        <w:spacing w:before="80" w:after="120" w:line="276" w:lineRule="auto"/>
        <w:rPr>
          <w:rFonts w:ascii="Arial" w:hAnsi="Arial" w:cs="Arial"/>
          <w:color w:val="262626" w:themeColor="text1" w:themeTint="D9"/>
          <w:sz w:val="20"/>
        </w:rPr>
      </w:pPr>
      <w:r>
        <w:rPr>
          <w:rFonts w:ascii="Arial" w:hAnsi="Arial" w:cs="Arial"/>
          <w:color w:val="262626" w:themeColor="text1" w:themeTint="D9"/>
          <w:sz w:val="20"/>
        </w:rPr>
        <w:t>S</w:t>
      </w:r>
      <w:r w:rsidRPr="00A33BA6">
        <w:rPr>
          <w:rFonts w:ascii="Arial" w:hAnsi="Arial" w:cs="Arial"/>
          <w:color w:val="262626" w:themeColor="text1" w:themeTint="D9"/>
          <w:sz w:val="20"/>
        </w:rPr>
        <w:t xml:space="preserve">ubsection 14(4) </w:t>
      </w:r>
      <w:r>
        <w:rPr>
          <w:rFonts w:ascii="Arial" w:hAnsi="Arial" w:cs="Arial"/>
          <w:color w:val="262626" w:themeColor="text1" w:themeTint="D9"/>
          <w:sz w:val="20"/>
        </w:rPr>
        <w:t>applies, f</w:t>
      </w:r>
      <w:r w:rsidR="00693E09" w:rsidRPr="00A33BA6">
        <w:rPr>
          <w:rFonts w:ascii="Arial" w:hAnsi="Arial" w:cs="Arial"/>
          <w:color w:val="262626" w:themeColor="text1" w:themeTint="D9"/>
          <w:sz w:val="20"/>
        </w:rPr>
        <w:t>or subsection 14(2) and paragraphs 14(3</w:t>
      </w:r>
      <w:proofErr w:type="gramStart"/>
      <w:r w:rsidR="00693E09" w:rsidRPr="00A33BA6">
        <w:rPr>
          <w:rFonts w:ascii="Arial" w:hAnsi="Arial" w:cs="Arial"/>
          <w:color w:val="262626" w:themeColor="text1" w:themeTint="D9"/>
          <w:sz w:val="20"/>
        </w:rPr>
        <w:t>)(</w:t>
      </w:r>
      <w:proofErr w:type="gramEnd"/>
      <w:r w:rsidR="00693E09" w:rsidRPr="00A33BA6">
        <w:rPr>
          <w:rFonts w:ascii="Arial" w:hAnsi="Arial" w:cs="Arial"/>
          <w:color w:val="262626" w:themeColor="text1" w:themeTint="D9"/>
          <w:sz w:val="20"/>
        </w:rPr>
        <w:t xml:space="preserve">a) and 14(3)(b), </w:t>
      </w:r>
      <w:r w:rsidR="00857F20">
        <w:rPr>
          <w:rFonts w:ascii="Arial" w:hAnsi="Arial" w:cs="Arial"/>
          <w:color w:val="262626" w:themeColor="text1" w:themeTint="D9"/>
          <w:sz w:val="20"/>
        </w:rPr>
        <w:t>additional conditions that require a</w:t>
      </w:r>
      <w:r w:rsidR="00D01C6C" w:rsidRPr="00A33BA6">
        <w:rPr>
          <w:rFonts w:ascii="Arial" w:hAnsi="Arial" w:cs="Arial"/>
          <w:color w:val="262626" w:themeColor="text1" w:themeTint="D9"/>
          <w:sz w:val="20"/>
        </w:rPr>
        <w:t xml:space="preserve"> licensee</w:t>
      </w:r>
      <w:r w:rsidR="00693E09" w:rsidRPr="00A33BA6">
        <w:rPr>
          <w:rFonts w:ascii="Arial" w:hAnsi="Arial" w:cs="Arial"/>
          <w:color w:val="262626" w:themeColor="text1" w:themeTint="D9"/>
          <w:sz w:val="20"/>
        </w:rPr>
        <w:t xml:space="preserve"> </w:t>
      </w:r>
      <w:r w:rsidR="00857F20">
        <w:rPr>
          <w:rFonts w:ascii="Arial" w:hAnsi="Arial" w:cs="Arial"/>
          <w:color w:val="262626" w:themeColor="text1" w:themeTint="D9"/>
          <w:sz w:val="20"/>
        </w:rPr>
        <w:t>to</w:t>
      </w:r>
      <w:r w:rsidR="00E649FC" w:rsidRPr="00A33BA6">
        <w:rPr>
          <w:rFonts w:ascii="Arial" w:hAnsi="Arial" w:cs="Arial"/>
          <w:color w:val="262626" w:themeColor="text1" w:themeTint="D9"/>
          <w:sz w:val="20"/>
        </w:rPr>
        <w:t xml:space="preserve">, as far as practicable, </w:t>
      </w:r>
      <w:r w:rsidR="00A0011A">
        <w:rPr>
          <w:rFonts w:ascii="Arial" w:hAnsi="Arial" w:cs="Arial"/>
          <w:color w:val="262626" w:themeColor="text1" w:themeTint="D9"/>
          <w:sz w:val="20"/>
        </w:rPr>
        <w:t xml:space="preserve">to </w:t>
      </w:r>
      <w:r w:rsidR="00693E09" w:rsidRPr="00A33BA6">
        <w:rPr>
          <w:rFonts w:ascii="Arial" w:hAnsi="Arial" w:cs="Arial"/>
          <w:color w:val="262626" w:themeColor="text1" w:themeTint="D9"/>
          <w:sz w:val="20"/>
        </w:rPr>
        <w:t>operate</w:t>
      </w:r>
      <w:r w:rsidR="00E649FC">
        <w:rPr>
          <w:rFonts w:ascii="Arial" w:hAnsi="Arial" w:cs="Arial"/>
          <w:color w:val="262626" w:themeColor="text1" w:themeTint="D9"/>
          <w:sz w:val="20"/>
        </w:rPr>
        <w:t xml:space="preserve"> the outpost non assigned station </w:t>
      </w:r>
      <w:r w:rsidR="00693E09" w:rsidRPr="00A33BA6">
        <w:rPr>
          <w:rFonts w:ascii="Arial" w:hAnsi="Arial" w:cs="Arial"/>
          <w:color w:val="262626" w:themeColor="text1" w:themeTint="D9"/>
          <w:sz w:val="20"/>
        </w:rPr>
        <w:t>on the lowest frequency</w:t>
      </w:r>
      <w:r w:rsidR="004D66FF">
        <w:rPr>
          <w:rFonts w:ascii="Arial" w:hAnsi="Arial" w:cs="Arial"/>
          <w:color w:val="262626" w:themeColor="text1" w:themeTint="D9"/>
          <w:sz w:val="20"/>
        </w:rPr>
        <w:t xml:space="preserve"> for each</w:t>
      </w:r>
      <w:r w:rsidR="00693E09" w:rsidRPr="00A33BA6">
        <w:rPr>
          <w:rFonts w:ascii="Arial" w:hAnsi="Arial" w:cs="Arial"/>
          <w:color w:val="262626" w:themeColor="text1" w:themeTint="D9"/>
          <w:sz w:val="20"/>
        </w:rPr>
        <w:t xml:space="preserve"> item</w:t>
      </w:r>
      <w:r w:rsidR="004D66FF">
        <w:rPr>
          <w:rFonts w:ascii="Arial" w:hAnsi="Arial" w:cs="Arial"/>
          <w:color w:val="262626" w:themeColor="text1" w:themeTint="D9"/>
          <w:sz w:val="20"/>
        </w:rPr>
        <w:t xml:space="preserve"> in Schedule 1</w:t>
      </w:r>
      <w:r w:rsidR="00D01C6C" w:rsidRPr="00A33BA6">
        <w:rPr>
          <w:rFonts w:ascii="Arial" w:hAnsi="Arial" w:cs="Arial"/>
          <w:color w:val="262626" w:themeColor="text1" w:themeTint="D9"/>
          <w:sz w:val="20"/>
        </w:rPr>
        <w:t>.</w:t>
      </w:r>
    </w:p>
    <w:p w14:paraId="3FC49960" w14:textId="39F88257" w:rsidR="00054076" w:rsidRDefault="0091079A" w:rsidP="000214F9">
      <w:pPr>
        <w:spacing w:before="80" w:after="120" w:line="276" w:lineRule="auto"/>
        <w:rPr>
          <w:rFonts w:ascii="Arial" w:hAnsi="Arial" w:cs="Arial"/>
          <w:color w:val="262626" w:themeColor="text1" w:themeTint="D9"/>
          <w:sz w:val="20"/>
        </w:rPr>
      </w:pPr>
      <w:r>
        <w:rPr>
          <w:rFonts w:ascii="Arial" w:hAnsi="Arial" w:cs="Arial"/>
          <w:color w:val="262626" w:themeColor="text1" w:themeTint="D9"/>
          <w:sz w:val="20"/>
        </w:rPr>
        <w:t>S</w:t>
      </w:r>
      <w:r w:rsidRPr="00A33BA6">
        <w:rPr>
          <w:rFonts w:ascii="Arial" w:hAnsi="Arial" w:cs="Arial"/>
          <w:color w:val="262626" w:themeColor="text1" w:themeTint="D9"/>
          <w:sz w:val="20"/>
        </w:rPr>
        <w:t xml:space="preserve">ubsection 14(5) </w:t>
      </w:r>
      <w:r>
        <w:rPr>
          <w:rFonts w:ascii="Arial" w:hAnsi="Arial" w:cs="Arial"/>
          <w:color w:val="262626" w:themeColor="text1" w:themeTint="D9"/>
          <w:sz w:val="20"/>
        </w:rPr>
        <w:t>applies</w:t>
      </w:r>
      <w:r w:rsidR="00F42B2E">
        <w:rPr>
          <w:rFonts w:ascii="Arial" w:hAnsi="Arial" w:cs="Arial"/>
          <w:color w:val="262626" w:themeColor="text1" w:themeTint="D9"/>
          <w:sz w:val="20"/>
        </w:rPr>
        <w:t xml:space="preserve"> </w:t>
      </w:r>
      <w:r w:rsidR="00F42B2E" w:rsidRPr="002847F8">
        <w:rPr>
          <w:rFonts w:ascii="Arial" w:hAnsi="Arial" w:cs="Arial"/>
          <w:color w:val="262626" w:themeColor="text1" w:themeTint="D9"/>
          <w:sz w:val="20"/>
        </w:rPr>
        <w:t>additional conditions</w:t>
      </w:r>
      <w:r>
        <w:rPr>
          <w:rFonts w:ascii="Arial" w:hAnsi="Arial" w:cs="Arial"/>
          <w:color w:val="262626" w:themeColor="text1" w:themeTint="D9"/>
          <w:sz w:val="20"/>
        </w:rPr>
        <w:t xml:space="preserve"> f</w:t>
      </w:r>
      <w:r w:rsidR="00693E09" w:rsidRPr="00A33BA6">
        <w:rPr>
          <w:rFonts w:ascii="Arial" w:hAnsi="Arial" w:cs="Arial"/>
          <w:color w:val="262626" w:themeColor="text1" w:themeTint="D9"/>
          <w:sz w:val="20"/>
        </w:rPr>
        <w:t>or paragraphs 14(3</w:t>
      </w:r>
      <w:proofErr w:type="gramStart"/>
      <w:r w:rsidR="00693E09" w:rsidRPr="00A33BA6">
        <w:rPr>
          <w:rFonts w:ascii="Arial" w:hAnsi="Arial" w:cs="Arial"/>
          <w:color w:val="262626" w:themeColor="text1" w:themeTint="D9"/>
          <w:sz w:val="20"/>
        </w:rPr>
        <w:t>)(</w:t>
      </w:r>
      <w:proofErr w:type="gramEnd"/>
      <w:r w:rsidR="00693E09" w:rsidRPr="00A33BA6">
        <w:rPr>
          <w:rFonts w:ascii="Arial" w:hAnsi="Arial" w:cs="Arial"/>
          <w:color w:val="262626" w:themeColor="text1" w:themeTint="D9"/>
          <w:sz w:val="20"/>
        </w:rPr>
        <w:t>a) and 14(3)(b)</w:t>
      </w:r>
      <w:r w:rsidR="00F41580">
        <w:rPr>
          <w:rFonts w:ascii="Arial" w:hAnsi="Arial" w:cs="Arial"/>
          <w:color w:val="262626" w:themeColor="text1" w:themeTint="D9"/>
          <w:sz w:val="20"/>
        </w:rPr>
        <w:t>. It</w:t>
      </w:r>
      <w:r w:rsidR="00857F20">
        <w:rPr>
          <w:rFonts w:ascii="Arial" w:hAnsi="Arial" w:cs="Arial"/>
          <w:color w:val="262626" w:themeColor="text1" w:themeTint="D9"/>
          <w:sz w:val="20"/>
        </w:rPr>
        <w:t xml:space="preserve"> require</w:t>
      </w:r>
      <w:r w:rsidR="00F41580">
        <w:rPr>
          <w:rFonts w:ascii="Arial" w:hAnsi="Arial" w:cs="Arial"/>
          <w:color w:val="262626" w:themeColor="text1" w:themeTint="D9"/>
          <w:sz w:val="20"/>
        </w:rPr>
        <w:t>s</w:t>
      </w:r>
      <w:r w:rsidR="00857F20">
        <w:rPr>
          <w:rFonts w:ascii="Arial" w:hAnsi="Arial" w:cs="Arial"/>
          <w:color w:val="262626" w:themeColor="text1" w:themeTint="D9"/>
          <w:sz w:val="20"/>
        </w:rPr>
        <w:t xml:space="preserve"> </w:t>
      </w:r>
      <w:r w:rsidR="00F41580">
        <w:rPr>
          <w:rFonts w:ascii="Arial" w:hAnsi="Arial" w:cs="Arial"/>
          <w:color w:val="262626" w:themeColor="text1" w:themeTint="D9"/>
          <w:sz w:val="20"/>
        </w:rPr>
        <w:t xml:space="preserve">that, for communication with an outpost station under those paragraphs, </w:t>
      </w:r>
      <w:r w:rsidR="00857F20">
        <w:rPr>
          <w:rFonts w:ascii="Arial" w:hAnsi="Arial" w:cs="Arial"/>
          <w:color w:val="262626" w:themeColor="text1" w:themeTint="D9"/>
          <w:sz w:val="20"/>
        </w:rPr>
        <w:t>a</w:t>
      </w:r>
      <w:r w:rsidR="00300B5F">
        <w:rPr>
          <w:rFonts w:ascii="Arial" w:hAnsi="Arial" w:cs="Arial"/>
          <w:color w:val="262626" w:themeColor="text1" w:themeTint="D9"/>
          <w:sz w:val="20"/>
        </w:rPr>
        <w:t xml:space="preserve"> licensee of an outpost non assigned station </w:t>
      </w:r>
      <w:r w:rsidR="00F41580">
        <w:rPr>
          <w:rFonts w:ascii="Arial" w:hAnsi="Arial" w:cs="Arial"/>
          <w:color w:val="262626" w:themeColor="text1" w:themeTint="D9"/>
          <w:sz w:val="20"/>
        </w:rPr>
        <w:t>must</w:t>
      </w:r>
      <w:r w:rsidR="002847F8" w:rsidRPr="002847F8">
        <w:rPr>
          <w:rFonts w:ascii="Arial" w:hAnsi="Arial" w:cs="Arial"/>
          <w:color w:val="262626" w:themeColor="text1" w:themeTint="D9"/>
          <w:sz w:val="20"/>
        </w:rPr>
        <w:t xml:space="preserve"> ensure </w:t>
      </w:r>
      <w:r w:rsidR="00D131DF" w:rsidRPr="00D131DF">
        <w:rPr>
          <w:rFonts w:ascii="Arial" w:hAnsi="Arial" w:cs="Arial"/>
          <w:color w:val="262626" w:themeColor="text1" w:themeTint="D9"/>
          <w:sz w:val="20"/>
        </w:rPr>
        <w:t>the station operates on a frequency only at a time when each outpost assigned station</w:t>
      </w:r>
      <w:r w:rsidR="00F41580">
        <w:rPr>
          <w:rFonts w:ascii="Arial" w:hAnsi="Arial" w:cs="Arial"/>
          <w:color w:val="262626" w:themeColor="text1" w:themeTint="D9"/>
          <w:sz w:val="20"/>
        </w:rPr>
        <w:t xml:space="preserve"> </w:t>
      </w:r>
      <w:r w:rsidR="009C2BF4">
        <w:rPr>
          <w:rFonts w:ascii="Arial" w:hAnsi="Arial" w:cs="Arial"/>
          <w:color w:val="262626" w:themeColor="text1" w:themeTint="D9"/>
          <w:sz w:val="20"/>
        </w:rPr>
        <w:t xml:space="preserve">that satisfies the conditions of the subsection </w:t>
      </w:r>
      <w:r w:rsidR="00F41580" w:rsidRPr="00D131DF">
        <w:rPr>
          <w:rFonts w:ascii="Arial" w:hAnsi="Arial" w:cs="Arial"/>
          <w:color w:val="262626" w:themeColor="text1" w:themeTint="D9"/>
          <w:sz w:val="20"/>
        </w:rPr>
        <w:t>is open only for the transmission or reception of messages in relation to distress or emergency situations</w:t>
      </w:r>
      <w:r w:rsidR="00E33AA6">
        <w:rPr>
          <w:rFonts w:ascii="Arial" w:hAnsi="Arial" w:cs="Arial"/>
          <w:color w:val="262626" w:themeColor="text1" w:themeTint="D9"/>
          <w:sz w:val="20"/>
        </w:rPr>
        <w:t>.  Th</w:t>
      </w:r>
      <w:r w:rsidR="009C2BF4">
        <w:rPr>
          <w:rFonts w:ascii="Arial" w:hAnsi="Arial" w:cs="Arial"/>
          <w:color w:val="262626" w:themeColor="text1" w:themeTint="D9"/>
          <w:sz w:val="20"/>
        </w:rPr>
        <w:t>e</w:t>
      </w:r>
      <w:r w:rsidR="00F41580">
        <w:rPr>
          <w:rFonts w:ascii="Arial" w:hAnsi="Arial" w:cs="Arial"/>
          <w:color w:val="262626" w:themeColor="text1" w:themeTint="D9"/>
          <w:sz w:val="20"/>
        </w:rPr>
        <w:t xml:space="preserve"> outpost assigned station</w:t>
      </w:r>
      <w:r w:rsidR="00E33AA6">
        <w:rPr>
          <w:rFonts w:ascii="Arial" w:hAnsi="Arial" w:cs="Arial"/>
          <w:color w:val="262626" w:themeColor="text1" w:themeTint="D9"/>
          <w:sz w:val="20"/>
        </w:rPr>
        <w:t xml:space="preserve"> must be one</w:t>
      </w:r>
      <w:r w:rsidR="003F4D65">
        <w:rPr>
          <w:rFonts w:ascii="Arial" w:hAnsi="Arial" w:cs="Arial"/>
          <w:color w:val="262626" w:themeColor="text1" w:themeTint="D9"/>
          <w:sz w:val="20"/>
        </w:rPr>
        <w:t xml:space="preserve"> that is a</w:t>
      </w:r>
      <w:r w:rsidR="003F4D65" w:rsidRPr="00D131DF">
        <w:rPr>
          <w:rFonts w:ascii="Arial" w:hAnsi="Arial" w:cs="Arial"/>
          <w:color w:val="262626" w:themeColor="text1" w:themeTint="D9"/>
          <w:sz w:val="20"/>
        </w:rPr>
        <w:t xml:space="preserve">t a locality mentioned in column 2 of </w:t>
      </w:r>
      <w:r w:rsidR="00C7091B">
        <w:rPr>
          <w:rFonts w:ascii="Arial" w:hAnsi="Arial" w:cs="Arial"/>
          <w:color w:val="262626" w:themeColor="text1" w:themeTint="D9"/>
          <w:sz w:val="20"/>
        </w:rPr>
        <w:t>an</w:t>
      </w:r>
      <w:r w:rsidR="003F4D65" w:rsidRPr="00D131DF">
        <w:rPr>
          <w:rFonts w:ascii="Arial" w:hAnsi="Arial" w:cs="Arial"/>
          <w:color w:val="262626" w:themeColor="text1" w:themeTint="D9"/>
          <w:sz w:val="20"/>
        </w:rPr>
        <w:t xml:space="preserve"> item</w:t>
      </w:r>
      <w:r w:rsidR="00C7091B">
        <w:rPr>
          <w:rFonts w:ascii="Arial" w:hAnsi="Arial" w:cs="Arial"/>
          <w:color w:val="262626" w:themeColor="text1" w:themeTint="D9"/>
          <w:sz w:val="20"/>
        </w:rPr>
        <w:t xml:space="preserve"> in Schedule 1</w:t>
      </w:r>
      <w:r w:rsidR="009C2BF4">
        <w:rPr>
          <w:rFonts w:ascii="Arial" w:hAnsi="Arial" w:cs="Arial"/>
          <w:color w:val="262626" w:themeColor="text1" w:themeTint="D9"/>
          <w:sz w:val="20"/>
        </w:rPr>
        <w:t>, must be</w:t>
      </w:r>
      <w:r w:rsidR="003F4D65" w:rsidRPr="00D131DF">
        <w:rPr>
          <w:rFonts w:ascii="Arial" w:hAnsi="Arial" w:cs="Arial"/>
          <w:color w:val="262626" w:themeColor="text1" w:themeTint="D9"/>
          <w:sz w:val="20"/>
        </w:rPr>
        <w:t xml:space="preserve"> </w:t>
      </w:r>
      <w:r w:rsidR="00F41580">
        <w:rPr>
          <w:rFonts w:ascii="Arial" w:hAnsi="Arial" w:cs="Arial"/>
          <w:color w:val="262626" w:themeColor="text1" w:themeTint="D9"/>
          <w:sz w:val="20"/>
        </w:rPr>
        <w:t>permitted</w:t>
      </w:r>
      <w:r w:rsidR="003F4D65">
        <w:rPr>
          <w:rFonts w:ascii="Arial" w:hAnsi="Arial" w:cs="Arial"/>
          <w:color w:val="262626" w:themeColor="text1" w:themeTint="D9"/>
          <w:sz w:val="20"/>
        </w:rPr>
        <w:t xml:space="preserve"> to </w:t>
      </w:r>
      <w:r w:rsidR="003F4D65" w:rsidRPr="00D131DF">
        <w:rPr>
          <w:rFonts w:ascii="Arial" w:hAnsi="Arial" w:cs="Arial"/>
          <w:color w:val="262626" w:themeColor="text1" w:themeTint="D9"/>
          <w:sz w:val="20"/>
        </w:rPr>
        <w:t>operate on the frequency</w:t>
      </w:r>
      <w:r w:rsidR="009C2BF4">
        <w:rPr>
          <w:rFonts w:ascii="Arial" w:hAnsi="Arial" w:cs="Arial"/>
          <w:color w:val="262626" w:themeColor="text1" w:themeTint="D9"/>
          <w:sz w:val="20"/>
        </w:rPr>
        <w:t>,</w:t>
      </w:r>
      <w:r w:rsidR="003F4D65" w:rsidRPr="00D131DF">
        <w:rPr>
          <w:rFonts w:ascii="Arial" w:hAnsi="Arial" w:cs="Arial"/>
          <w:color w:val="262626" w:themeColor="text1" w:themeTint="D9"/>
          <w:sz w:val="20"/>
        </w:rPr>
        <w:t xml:space="preserve"> under an outpost licence </w:t>
      </w:r>
      <w:r w:rsidR="00935592">
        <w:rPr>
          <w:rFonts w:ascii="Arial" w:hAnsi="Arial" w:cs="Arial"/>
          <w:color w:val="262626" w:themeColor="text1" w:themeTint="D9"/>
          <w:sz w:val="20"/>
        </w:rPr>
        <w:t xml:space="preserve">other than an outpost licence </w:t>
      </w:r>
      <w:r w:rsidR="003F4D65" w:rsidRPr="00D131DF">
        <w:rPr>
          <w:rFonts w:ascii="Arial" w:hAnsi="Arial" w:cs="Arial"/>
          <w:color w:val="262626" w:themeColor="text1" w:themeTint="D9"/>
          <w:sz w:val="20"/>
        </w:rPr>
        <w:t xml:space="preserve">(outpost </w:t>
      </w:r>
      <w:r w:rsidR="00935592">
        <w:rPr>
          <w:rFonts w:ascii="Arial" w:hAnsi="Arial" w:cs="Arial"/>
          <w:color w:val="262626" w:themeColor="text1" w:themeTint="D9"/>
          <w:sz w:val="20"/>
        </w:rPr>
        <w:t xml:space="preserve">non </w:t>
      </w:r>
      <w:r w:rsidR="003F4D65" w:rsidRPr="00D131DF">
        <w:rPr>
          <w:rFonts w:ascii="Arial" w:hAnsi="Arial" w:cs="Arial"/>
          <w:color w:val="262626" w:themeColor="text1" w:themeTint="D9"/>
          <w:sz w:val="20"/>
        </w:rPr>
        <w:t>assigned station)</w:t>
      </w:r>
      <w:r w:rsidR="00935592">
        <w:rPr>
          <w:rFonts w:ascii="Arial" w:hAnsi="Arial" w:cs="Arial"/>
          <w:color w:val="262626" w:themeColor="text1" w:themeTint="D9"/>
          <w:sz w:val="20"/>
        </w:rPr>
        <w:t>,</w:t>
      </w:r>
      <w:r w:rsidR="003F4D65">
        <w:rPr>
          <w:rFonts w:ascii="Arial" w:hAnsi="Arial" w:cs="Arial"/>
          <w:color w:val="262626" w:themeColor="text1" w:themeTint="D9"/>
          <w:sz w:val="20"/>
        </w:rPr>
        <w:t xml:space="preserve"> </w:t>
      </w:r>
      <w:r w:rsidR="003F4D65" w:rsidRPr="00D131DF">
        <w:rPr>
          <w:rFonts w:ascii="Arial" w:hAnsi="Arial" w:cs="Arial"/>
          <w:color w:val="262626" w:themeColor="text1" w:themeTint="D9"/>
          <w:sz w:val="20"/>
        </w:rPr>
        <w:t>and</w:t>
      </w:r>
      <w:r w:rsidR="003F4D65">
        <w:rPr>
          <w:rFonts w:ascii="Arial" w:hAnsi="Arial" w:cs="Arial"/>
          <w:color w:val="262626" w:themeColor="text1" w:themeTint="D9"/>
          <w:sz w:val="20"/>
        </w:rPr>
        <w:t xml:space="preserve"> </w:t>
      </w:r>
      <w:r w:rsidR="009C2BF4">
        <w:rPr>
          <w:rFonts w:ascii="Arial" w:hAnsi="Arial" w:cs="Arial"/>
          <w:color w:val="262626" w:themeColor="text1" w:themeTint="D9"/>
          <w:sz w:val="20"/>
        </w:rPr>
        <w:t xml:space="preserve">must be one </w:t>
      </w:r>
      <w:r w:rsidR="003F4D65" w:rsidRPr="00D131DF">
        <w:rPr>
          <w:rFonts w:ascii="Arial" w:hAnsi="Arial" w:cs="Arial"/>
          <w:color w:val="262626" w:themeColor="text1" w:themeTint="D9"/>
          <w:sz w:val="20"/>
        </w:rPr>
        <w:t>with which the outpost non assigned station of the licensee can communicate at that time using that frequency</w:t>
      </w:r>
      <w:r w:rsidR="003F4D65">
        <w:rPr>
          <w:rFonts w:ascii="Arial" w:hAnsi="Arial" w:cs="Arial"/>
          <w:color w:val="262626" w:themeColor="text1" w:themeTint="D9"/>
          <w:sz w:val="20"/>
        </w:rPr>
        <w:t>.</w:t>
      </w:r>
    </w:p>
    <w:p w14:paraId="4C640606" w14:textId="743CBBC2" w:rsidR="00693E09" w:rsidRPr="00A33BA6" w:rsidRDefault="00693E09" w:rsidP="000214F9">
      <w:pPr>
        <w:spacing w:before="80" w:after="120" w:line="276" w:lineRule="auto"/>
        <w:rPr>
          <w:rFonts w:ascii="Arial" w:hAnsi="Arial" w:cs="Arial"/>
          <w:color w:val="262626" w:themeColor="text1" w:themeTint="D9"/>
          <w:sz w:val="20"/>
        </w:rPr>
      </w:pPr>
      <w:r w:rsidRPr="00A33BA6">
        <w:rPr>
          <w:rFonts w:ascii="Arial" w:hAnsi="Arial" w:cs="Arial"/>
          <w:color w:val="262626" w:themeColor="text1" w:themeTint="D9"/>
          <w:sz w:val="20"/>
        </w:rPr>
        <w:t xml:space="preserve">Subsection 14(6) specifies that an outpost non assigned station </w:t>
      </w:r>
      <w:r w:rsidR="00A67CD4" w:rsidRPr="00A33BA6">
        <w:rPr>
          <w:rFonts w:ascii="Arial" w:hAnsi="Arial" w:cs="Arial"/>
          <w:color w:val="262626" w:themeColor="text1" w:themeTint="D9"/>
          <w:sz w:val="20"/>
        </w:rPr>
        <w:t xml:space="preserve">must cease operating if its operation causes </w:t>
      </w:r>
      <w:r w:rsidRPr="00A33BA6">
        <w:rPr>
          <w:rFonts w:ascii="Arial" w:hAnsi="Arial" w:cs="Arial"/>
          <w:color w:val="262626" w:themeColor="text1" w:themeTint="D9"/>
          <w:sz w:val="20"/>
        </w:rPr>
        <w:t>harmful interference to a service provided by another station</w:t>
      </w:r>
      <w:r w:rsidR="00A67CD4" w:rsidRPr="00A33BA6">
        <w:rPr>
          <w:rFonts w:ascii="Arial" w:hAnsi="Arial" w:cs="Arial"/>
          <w:color w:val="262626" w:themeColor="text1" w:themeTint="D9"/>
          <w:sz w:val="20"/>
        </w:rPr>
        <w:t>.</w:t>
      </w:r>
    </w:p>
    <w:p w14:paraId="43DBCD9C" w14:textId="0B6A8787" w:rsidR="00914D5C" w:rsidRDefault="00914D5C" w:rsidP="00C9119A">
      <w:pPr>
        <w:spacing w:before="80" w:after="120" w:line="276" w:lineRule="auto"/>
        <w:rPr>
          <w:rFonts w:ascii="Arial" w:hAnsi="Arial" w:cs="Arial"/>
          <w:b/>
          <w:color w:val="262626" w:themeColor="text1" w:themeTint="D9"/>
          <w:sz w:val="20"/>
        </w:rPr>
      </w:pPr>
      <w:r w:rsidRPr="00492327">
        <w:rPr>
          <w:rFonts w:ascii="Arial" w:hAnsi="Arial" w:cs="Arial"/>
          <w:b/>
          <w:color w:val="262626" w:themeColor="text1" w:themeTint="D9"/>
          <w:sz w:val="20"/>
        </w:rPr>
        <w:t>Schedule 1</w:t>
      </w:r>
      <w:r w:rsidR="00A0011A">
        <w:rPr>
          <w:rFonts w:ascii="Arial" w:hAnsi="Arial" w:cs="Arial"/>
          <w:b/>
          <w:color w:val="262626" w:themeColor="text1" w:themeTint="D9"/>
          <w:sz w:val="20"/>
        </w:rPr>
        <w:t xml:space="preserve"> </w:t>
      </w:r>
      <w:r>
        <w:rPr>
          <w:rFonts w:ascii="Arial" w:hAnsi="Arial" w:cs="Arial"/>
          <w:b/>
          <w:color w:val="262626" w:themeColor="text1" w:themeTint="D9"/>
          <w:sz w:val="20"/>
        </w:rPr>
        <w:t>– Outpost non assigned stations – Royal Flying Doctor Service frequencies</w:t>
      </w:r>
    </w:p>
    <w:p w14:paraId="32489C1A" w14:textId="328C9E2A" w:rsidR="002C5882" w:rsidRDefault="00C9119A" w:rsidP="00E778F7">
      <w:pPr>
        <w:spacing w:before="80" w:after="120" w:line="276" w:lineRule="auto"/>
        <w:rPr>
          <w:rFonts w:ascii="Arial" w:hAnsi="Arial" w:cs="Arial"/>
          <w:sz w:val="20"/>
          <w:lang w:val="en-AU"/>
        </w:rPr>
      </w:pPr>
      <w:r w:rsidRPr="00C9119A">
        <w:rPr>
          <w:rFonts w:ascii="Arial" w:hAnsi="Arial" w:cs="Arial"/>
          <w:sz w:val="20"/>
          <w:lang w:val="en-AU"/>
        </w:rPr>
        <w:t xml:space="preserve">Schedule 1 </w:t>
      </w:r>
      <w:r>
        <w:rPr>
          <w:rFonts w:ascii="Arial" w:hAnsi="Arial" w:cs="Arial"/>
          <w:sz w:val="20"/>
          <w:lang w:val="en-AU"/>
        </w:rPr>
        <w:t>specifies the frequencies that can be used by outpost non assigned stations</w:t>
      </w:r>
      <w:r w:rsidR="0051094C">
        <w:rPr>
          <w:rFonts w:ascii="Arial" w:hAnsi="Arial" w:cs="Arial"/>
          <w:sz w:val="20"/>
          <w:lang w:val="en-AU"/>
        </w:rPr>
        <w:t xml:space="preserve"> </w:t>
      </w:r>
      <w:r>
        <w:rPr>
          <w:rFonts w:ascii="Arial" w:hAnsi="Arial" w:cs="Arial"/>
          <w:sz w:val="20"/>
          <w:lang w:val="en-AU"/>
        </w:rPr>
        <w:t xml:space="preserve">for communication with the </w:t>
      </w:r>
      <w:r w:rsidR="0051094C">
        <w:rPr>
          <w:rFonts w:ascii="Arial" w:hAnsi="Arial" w:cs="Arial"/>
          <w:sz w:val="20"/>
          <w:lang w:val="en-AU"/>
        </w:rPr>
        <w:t xml:space="preserve">Royal Flying Doctor Service </w:t>
      </w:r>
      <w:r w:rsidR="00291ADA">
        <w:rPr>
          <w:rFonts w:ascii="Arial" w:hAnsi="Arial" w:cs="Arial"/>
          <w:sz w:val="20"/>
          <w:lang w:val="en-AU"/>
        </w:rPr>
        <w:t xml:space="preserve">assigned stations </w:t>
      </w:r>
      <w:r w:rsidR="0051094C">
        <w:rPr>
          <w:rFonts w:ascii="Arial" w:hAnsi="Arial" w:cs="Arial"/>
          <w:sz w:val="20"/>
          <w:lang w:val="en-AU"/>
        </w:rPr>
        <w:t xml:space="preserve">in </w:t>
      </w:r>
      <w:r>
        <w:rPr>
          <w:rFonts w:ascii="Arial" w:hAnsi="Arial" w:cs="Arial"/>
          <w:sz w:val="20"/>
          <w:lang w:val="en-AU"/>
        </w:rPr>
        <w:t xml:space="preserve">specific localities. </w:t>
      </w:r>
      <w:r w:rsidR="0051094C">
        <w:rPr>
          <w:rFonts w:ascii="Arial" w:hAnsi="Arial" w:cs="Arial"/>
          <w:sz w:val="20"/>
          <w:lang w:val="en-AU"/>
        </w:rPr>
        <w:t xml:space="preserve">The </w:t>
      </w:r>
      <w:r>
        <w:rPr>
          <w:rFonts w:ascii="Arial" w:hAnsi="Arial" w:cs="Arial"/>
          <w:sz w:val="20"/>
          <w:lang w:val="en-AU"/>
        </w:rPr>
        <w:t>Sch</w:t>
      </w:r>
      <w:r w:rsidR="0051094C">
        <w:rPr>
          <w:rFonts w:ascii="Arial" w:hAnsi="Arial" w:cs="Arial"/>
          <w:sz w:val="20"/>
          <w:lang w:val="en-AU"/>
        </w:rPr>
        <w:t>ed</w:t>
      </w:r>
      <w:r>
        <w:rPr>
          <w:rFonts w:ascii="Arial" w:hAnsi="Arial" w:cs="Arial"/>
          <w:sz w:val="20"/>
          <w:lang w:val="en-AU"/>
        </w:rPr>
        <w:t xml:space="preserve">ule </w:t>
      </w:r>
      <w:r w:rsidR="00935592">
        <w:rPr>
          <w:rFonts w:ascii="Arial" w:hAnsi="Arial" w:cs="Arial"/>
          <w:sz w:val="20"/>
          <w:lang w:val="en-AU"/>
        </w:rPr>
        <w:t>has effect for the purposes of</w:t>
      </w:r>
      <w:r w:rsidRPr="00C9119A">
        <w:rPr>
          <w:rFonts w:ascii="Arial" w:hAnsi="Arial" w:cs="Arial"/>
          <w:sz w:val="20"/>
          <w:lang w:val="en-AU"/>
        </w:rPr>
        <w:t xml:space="preserve"> section 13</w:t>
      </w:r>
      <w:r>
        <w:rPr>
          <w:rFonts w:ascii="Arial" w:hAnsi="Arial" w:cs="Arial"/>
          <w:sz w:val="20"/>
          <w:lang w:val="en-AU"/>
        </w:rPr>
        <w:t xml:space="preserve"> and subsections </w:t>
      </w:r>
      <w:r w:rsidR="0051094C">
        <w:rPr>
          <w:rFonts w:ascii="Arial" w:hAnsi="Arial" w:cs="Arial"/>
          <w:sz w:val="20"/>
          <w:lang w:val="en-AU"/>
        </w:rPr>
        <w:t>14</w:t>
      </w:r>
      <w:r>
        <w:rPr>
          <w:rFonts w:ascii="Arial" w:hAnsi="Arial" w:cs="Arial"/>
          <w:sz w:val="20"/>
          <w:lang w:val="en-AU"/>
        </w:rPr>
        <w:t xml:space="preserve">(2), </w:t>
      </w:r>
      <w:r w:rsidR="0051094C">
        <w:rPr>
          <w:rFonts w:ascii="Arial" w:hAnsi="Arial" w:cs="Arial"/>
          <w:sz w:val="20"/>
          <w:lang w:val="en-AU"/>
        </w:rPr>
        <w:t>14</w:t>
      </w:r>
      <w:r>
        <w:rPr>
          <w:rFonts w:ascii="Arial" w:hAnsi="Arial" w:cs="Arial"/>
          <w:sz w:val="20"/>
          <w:lang w:val="en-AU"/>
        </w:rPr>
        <w:t xml:space="preserve">(3), </w:t>
      </w:r>
      <w:r w:rsidR="0051094C">
        <w:rPr>
          <w:rFonts w:ascii="Arial" w:hAnsi="Arial" w:cs="Arial"/>
          <w:sz w:val="20"/>
          <w:lang w:val="en-AU"/>
        </w:rPr>
        <w:t>14</w:t>
      </w:r>
      <w:r>
        <w:rPr>
          <w:rFonts w:ascii="Arial" w:hAnsi="Arial" w:cs="Arial"/>
          <w:sz w:val="20"/>
          <w:lang w:val="en-AU"/>
        </w:rPr>
        <w:t xml:space="preserve">(4) and </w:t>
      </w:r>
      <w:r w:rsidR="0051094C">
        <w:rPr>
          <w:rFonts w:ascii="Arial" w:hAnsi="Arial" w:cs="Arial"/>
          <w:sz w:val="20"/>
          <w:lang w:val="en-AU"/>
        </w:rPr>
        <w:t>14</w:t>
      </w:r>
      <w:r>
        <w:rPr>
          <w:rFonts w:ascii="Arial" w:hAnsi="Arial" w:cs="Arial"/>
          <w:sz w:val="20"/>
          <w:lang w:val="en-AU"/>
        </w:rPr>
        <w:t>(5).</w:t>
      </w:r>
    </w:p>
    <w:p w14:paraId="11C1619D" w14:textId="77777777" w:rsidR="002C5882" w:rsidRDefault="002C5882" w:rsidP="00E778F7">
      <w:pPr>
        <w:spacing w:before="80" w:after="120" w:line="276" w:lineRule="auto"/>
        <w:rPr>
          <w:rFonts w:ascii="Arial" w:hAnsi="Arial" w:cs="Arial"/>
          <w:sz w:val="20"/>
          <w:lang w:val="en-AU"/>
        </w:rPr>
      </w:pPr>
    </w:p>
    <w:p w14:paraId="4A1B12FE" w14:textId="77777777" w:rsidR="00EE73F4" w:rsidRDefault="00EE73F4" w:rsidP="00E778F7">
      <w:pPr>
        <w:spacing w:before="80" w:after="120" w:line="276" w:lineRule="auto"/>
        <w:rPr>
          <w:rFonts w:ascii="Arial" w:hAnsi="Arial" w:cs="Arial"/>
          <w:b/>
          <w:sz w:val="22"/>
          <w:szCs w:val="22"/>
          <w:lang w:val="en-AU"/>
        </w:rPr>
      </w:pPr>
    </w:p>
    <w:p w14:paraId="0E5A654A" w14:textId="77777777" w:rsidR="00EE73F4" w:rsidRDefault="00EE73F4" w:rsidP="00E778F7">
      <w:pPr>
        <w:spacing w:before="80" w:after="120" w:line="276" w:lineRule="auto"/>
        <w:rPr>
          <w:rFonts w:ascii="Arial" w:hAnsi="Arial" w:cs="Arial"/>
          <w:b/>
          <w:sz w:val="22"/>
          <w:szCs w:val="22"/>
          <w:lang w:val="en-AU"/>
        </w:rPr>
      </w:pPr>
    </w:p>
    <w:p w14:paraId="5C899097" w14:textId="77777777" w:rsidR="00C7091B" w:rsidRDefault="00C7091B">
      <w:pPr>
        <w:rPr>
          <w:rFonts w:ascii="Arial" w:hAnsi="Arial" w:cs="Arial"/>
          <w:b/>
          <w:sz w:val="22"/>
          <w:szCs w:val="22"/>
          <w:lang w:val="en-AU"/>
        </w:rPr>
      </w:pPr>
      <w:r>
        <w:rPr>
          <w:rFonts w:ascii="Arial" w:hAnsi="Arial" w:cs="Arial"/>
          <w:b/>
          <w:sz w:val="22"/>
          <w:szCs w:val="22"/>
          <w:lang w:val="en-AU"/>
        </w:rPr>
        <w:br w:type="page"/>
      </w:r>
    </w:p>
    <w:p w14:paraId="59ACF06F" w14:textId="01E22A9E" w:rsidR="00914D5C" w:rsidRDefault="00914D5C" w:rsidP="00E778F7">
      <w:pPr>
        <w:spacing w:before="80" w:after="120" w:line="276" w:lineRule="auto"/>
        <w:rPr>
          <w:rFonts w:ascii="Arial" w:hAnsi="Arial" w:cs="Arial"/>
          <w:b/>
          <w:sz w:val="22"/>
          <w:szCs w:val="22"/>
          <w:lang w:val="en-AU"/>
        </w:rPr>
      </w:pPr>
      <w:r w:rsidRPr="005A5476">
        <w:rPr>
          <w:rFonts w:ascii="Arial" w:hAnsi="Arial" w:cs="Arial"/>
          <w:b/>
          <w:sz w:val="22"/>
          <w:szCs w:val="22"/>
          <w:lang w:val="en-AU"/>
        </w:rPr>
        <w:t>ATTACHMENT B</w:t>
      </w:r>
    </w:p>
    <w:p w14:paraId="7A26E491" w14:textId="21720487" w:rsidR="00914D5C" w:rsidRPr="005A5476" w:rsidRDefault="00914D5C" w:rsidP="00914D5C">
      <w:pPr>
        <w:spacing w:line="360" w:lineRule="auto"/>
        <w:jc w:val="center"/>
        <w:outlineLvl w:val="0"/>
        <w:rPr>
          <w:rFonts w:ascii="Arial" w:hAnsi="Arial" w:cs="Arial"/>
          <w:b/>
          <w:sz w:val="22"/>
          <w:szCs w:val="22"/>
          <w:lang w:val="en-AU"/>
        </w:rPr>
      </w:pPr>
      <w:r w:rsidRPr="005A5476">
        <w:rPr>
          <w:rFonts w:ascii="Arial" w:hAnsi="Arial" w:cs="Arial"/>
          <w:b/>
          <w:sz w:val="22"/>
          <w:szCs w:val="22"/>
          <w:lang w:val="en-AU"/>
        </w:rPr>
        <w:t>Statement of Compatibility with Human Rights</w:t>
      </w:r>
    </w:p>
    <w:p w14:paraId="411B81B1" w14:textId="77777777" w:rsidR="00914D5C" w:rsidRPr="009E6BC6" w:rsidRDefault="00914D5C" w:rsidP="00914D5C">
      <w:pPr>
        <w:spacing w:line="360" w:lineRule="auto"/>
        <w:jc w:val="center"/>
        <w:rPr>
          <w:rFonts w:ascii="Arial" w:hAnsi="Arial" w:cs="Arial"/>
          <w:sz w:val="20"/>
          <w:lang w:val="en-AU"/>
        </w:rPr>
      </w:pPr>
      <w:r w:rsidRPr="009E6BC6">
        <w:rPr>
          <w:rFonts w:ascii="Arial" w:hAnsi="Arial" w:cs="Arial"/>
          <w:sz w:val="20"/>
          <w:lang w:val="en-AU"/>
        </w:rPr>
        <w:t xml:space="preserve">Prepared in accordance with Part 3 of the </w:t>
      </w:r>
      <w:r w:rsidRPr="009E6BC6">
        <w:rPr>
          <w:rFonts w:ascii="Arial" w:hAnsi="Arial" w:cs="Arial"/>
          <w:i/>
          <w:sz w:val="20"/>
          <w:lang w:val="en-AU"/>
        </w:rPr>
        <w:t>Human Rights (Parliamentary Scrutiny) Act 2011</w:t>
      </w:r>
    </w:p>
    <w:p w14:paraId="7B6CEBA5" w14:textId="77777777" w:rsidR="00914D5C" w:rsidRPr="00113113" w:rsidRDefault="00914D5C" w:rsidP="00914D5C">
      <w:pPr>
        <w:spacing w:line="360" w:lineRule="auto"/>
        <w:jc w:val="center"/>
        <w:outlineLvl w:val="0"/>
        <w:rPr>
          <w:rFonts w:ascii="Arial" w:hAnsi="Arial" w:cs="Arial"/>
          <w:b/>
          <w:sz w:val="22"/>
          <w:szCs w:val="22"/>
          <w:lang w:val="en-AU"/>
        </w:rPr>
      </w:pPr>
    </w:p>
    <w:p w14:paraId="1C991433" w14:textId="3A80338A" w:rsidR="00914D5C" w:rsidRPr="00E414CA" w:rsidRDefault="00914D5C" w:rsidP="00914D5C">
      <w:pPr>
        <w:spacing w:line="360" w:lineRule="auto"/>
        <w:jc w:val="center"/>
        <w:outlineLvl w:val="0"/>
        <w:rPr>
          <w:rFonts w:ascii="Arial" w:hAnsi="Arial" w:cs="Arial"/>
          <w:b/>
          <w:i/>
          <w:sz w:val="22"/>
          <w:szCs w:val="22"/>
          <w:lang w:val="en-AU"/>
        </w:rPr>
      </w:pPr>
      <w:r w:rsidRPr="00E414CA">
        <w:rPr>
          <w:rFonts w:ascii="Arial" w:hAnsi="Arial" w:cs="Arial"/>
          <w:b/>
          <w:i/>
          <w:sz w:val="22"/>
          <w:szCs w:val="22"/>
          <w:lang w:val="en-AU"/>
        </w:rPr>
        <w:t>Radiocommunications Licence Conditions (Outpost Licence) Determination 201</w:t>
      </w:r>
      <w:r w:rsidR="005D2415" w:rsidRPr="00E414CA">
        <w:rPr>
          <w:rFonts w:ascii="Arial" w:hAnsi="Arial" w:cs="Arial"/>
          <w:b/>
          <w:i/>
          <w:sz w:val="22"/>
          <w:szCs w:val="22"/>
          <w:lang w:val="en-AU"/>
        </w:rPr>
        <w:t>5</w:t>
      </w:r>
    </w:p>
    <w:p w14:paraId="5F102F03" w14:textId="77777777" w:rsidR="00914D5C" w:rsidRPr="005A5476" w:rsidRDefault="00914D5C" w:rsidP="00914D5C">
      <w:pPr>
        <w:rPr>
          <w:rFonts w:ascii="Arial" w:hAnsi="Arial" w:cs="Arial"/>
          <w:b/>
          <w:sz w:val="22"/>
          <w:szCs w:val="22"/>
        </w:rPr>
      </w:pPr>
    </w:p>
    <w:p w14:paraId="0AE85DD6" w14:textId="77777777" w:rsidR="00914D5C" w:rsidRPr="009E6BC6" w:rsidRDefault="00914D5C" w:rsidP="00914D5C">
      <w:pPr>
        <w:spacing w:line="360" w:lineRule="auto"/>
        <w:rPr>
          <w:rFonts w:ascii="Arial" w:hAnsi="Arial" w:cs="Arial"/>
          <w:sz w:val="20"/>
        </w:rPr>
      </w:pPr>
      <w:r w:rsidRPr="009E6BC6">
        <w:rPr>
          <w:rFonts w:ascii="Arial" w:hAnsi="Arial" w:cs="Arial"/>
          <w:sz w:val="20"/>
        </w:rPr>
        <w:t xml:space="preserve">This legislative instrument is compatible with the human rights and freedoms recognised or declared in the international instruments listed in section 3 of the </w:t>
      </w:r>
      <w:r w:rsidRPr="009E6BC6">
        <w:rPr>
          <w:rFonts w:ascii="Arial" w:hAnsi="Arial" w:cs="Arial"/>
          <w:i/>
          <w:sz w:val="20"/>
        </w:rPr>
        <w:t>Human Rights (Parliamentary Scrutiny) Act 2011</w:t>
      </w:r>
      <w:r w:rsidRPr="009E6BC6">
        <w:rPr>
          <w:rFonts w:ascii="Arial" w:hAnsi="Arial" w:cs="Arial"/>
          <w:sz w:val="20"/>
        </w:rPr>
        <w:t>.</w:t>
      </w:r>
    </w:p>
    <w:p w14:paraId="0F6482C2" w14:textId="77777777" w:rsidR="00914D5C" w:rsidRPr="005A5476" w:rsidRDefault="00914D5C" w:rsidP="00914D5C">
      <w:pPr>
        <w:spacing w:line="360" w:lineRule="auto"/>
        <w:rPr>
          <w:rFonts w:ascii="Arial" w:hAnsi="Arial" w:cs="Arial"/>
          <w:sz w:val="22"/>
          <w:szCs w:val="22"/>
        </w:rPr>
      </w:pPr>
    </w:p>
    <w:p w14:paraId="1DF8FFCE" w14:textId="77777777" w:rsidR="00914D5C" w:rsidRPr="005A5476" w:rsidRDefault="00914D5C" w:rsidP="00914D5C">
      <w:pPr>
        <w:spacing w:line="360" w:lineRule="auto"/>
        <w:outlineLvl w:val="0"/>
        <w:rPr>
          <w:rFonts w:ascii="Arial" w:hAnsi="Arial" w:cs="Arial"/>
          <w:b/>
          <w:sz w:val="22"/>
          <w:szCs w:val="22"/>
        </w:rPr>
      </w:pPr>
      <w:r w:rsidRPr="005A5476">
        <w:rPr>
          <w:rFonts w:ascii="Arial" w:hAnsi="Arial" w:cs="Arial"/>
          <w:b/>
          <w:sz w:val="22"/>
          <w:szCs w:val="22"/>
        </w:rPr>
        <w:t>Overview of the Legislative Instrument</w:t>
      </w:r>
    </w:p>
    <w:p w14:paraId="747A4591" w14:textId="45A33F99" w:rsidR="00914D5C" w:rsidRDefault="00914D5C" w:rsidP="00914D5C">
      <w:pPr>
        <w:spacing w:line="360" w:lineRule="auto"/>
        <w:outlineLvl w:val="0"/>
        <w:rPr>
          <w:rFonts w:ascii="Arial" w:hAnsi="Arial" w:cs="Arial"/>
          <w:sz w:val="22"/>
          <w:szCs w:val="22"/>
          <w:lang w:val="en-AU"/>
        </w:rPr>
      </w:pPr>
      <w:r w:rsidRPr="008E6EB9">
        <w:rPr>
          <w:rFonts w:ascii="Arial" w:hAnsi="Arial" w:cs="Arial"/>
          <w:sz w:val="20"/>
        </w:rPr>
        <w:t xml:space="preserve">The </w:t>
      </w:r>
      <w:r w:rsidRPr="00421128">
        <w:rPr>
          <w:rFonts w:ascii="Arial" w:hAnsi="Arial" w:cs="Arial"/>
          <w:i/>
          <w:sz w:val="20"/>
        </w:rPr>
        <w:t xml:space="preserve">Radiocommunications Licence Conditions (Outpost Licence) Determination </w:t>
      </w:r>
      <w:r w:rsidR="00E778F7" w:rsidRPr="00421128">
        <w:rPr>
          <w:rFonts w:ascii="Arial" w:hAnsi="Arial" w:cs="Arial"/>
          <w:i/>
          <w:sz w:val="20"/>
        </w:rPr>
        <w:t>201</w:t>
      </w:r>
      <w:r w:rsidR="00E778F7">
        <w:rPr>
          <w:rFonts w:ascii="Arial" w:hAnsi="Arial" w:cs="Arial"/>
          <w:i/>
          <w:sz w:val="20"/>
        </w:rPr>
        <w:t>5</w:t>
      </w:r>
      <w:r w:rsidR="00E778F7" w:rsidRPr="008E6EB9">
        <w:rPr>
          <w:rFonts w:ascii="Arial" w:hAnsi="Arial" w:cs="Arial"/>
          <w:sz w:val="20"/>
        </w:rPr>
        <w:t xml:space="preserve"> </w:t>
      </w:r>
      <w:r w:rsidRPr="008E6EB9">
        <w:rPr>
          <w:rFonts w:ascii="Arial" w:hAnsi="Arial" w:cs="Arial"/>
          <w:sz w:val="20"/>
        </w:rPr>
        <w:t xml:space="preserve">(the </w:t>
      </w:r>
      <w:r>
        <w:rPr>
          <w:rFonts w:ascii="Arial" w:hAnsi="Arial" w:cs="Arial"/>
          <w:sz w:val="20"/>
        </w:rPr>
        <w:t>Determination</w:t>
      </w:r>
      <w:r w:rsidRPr="008E6EB9">
        <w:rPr>
          <w:rFonts w:ascii="Arial" w:hAnsi="Arial" w:cs="Arial"/>
          <w:sz w:val="20"/>
        </w:rPr>
        <w:t xml:space="preserve">) </w:t>
      </w:r>
      <w:r>
        <w:rPr>
          <w:rFonts w:ascii="Arial" w:hAnsi="Arial" w:cs="Arial"/>
          <w:sz w:val="20"/>
        </w:rPr>
        <w:t>revokes</w:t>
      </w:r>
      <w:r w:rsidRPr="008E6EB9">
        <w:rPr>
          <w:rFonts w:ascii="Arial" w:hAnsi="Arial" w:cs="Arial"/>
          <w:sz w:val="20"/>
        </w:rPr>
        <w:t xml:space="preserve"> </w:t>
      </w:r>
      <w:r>
        <w:rPr>
          <w:rFonts w:ascii="Arial" w:hAnsi="Arial" w:cs="Arial"/>
          <w:sz w:val="20"/>
        </w:rPr>
        <w:t xml:space="preserve">and replaces </w:t>
      </w:r>
      <w:r w:rsidRPr="008E6EB9">
        <w:rPr>
          <w:rFonts w:ascii="Arial" w:hAnsi="Arial" w:cs="Arial"/>
          <w:sz w:val="20"/>
        </w:rPr>
        <w:t xml:space="preserve">the </w:t>
      </w:r>
      <w:r w:rsidRPr="00211E35">
        <w:rPr>
          <w:rFonts w:ascii="Arial" w:hAnsi="Arial" w:cs="Arial"/>
          <w:i/>
          <w:sz w:val="20"/>
        </w:rPr>
        <w:t xml:space="preserve">Radiocommunications Licence Conditions (Outpost Licence) Determination </w:t>
      </w:r>
      <w:r>
        <w:rPr>
          <w:rFonts w:ascii="Arial" w:hAnsi="Arial" w:cs="Arial"/>
          <w:i/>
          <w:sz w:val="20"/>
        </w:rPr>
        <w:t>1997</w:t>
      </w:r>
      <w:r w:rsidR="00C02DD3">
        <w:rPr>
          <w:rFonts w:ascii="Arial" w:hAnsi="Arial" w:cs="Arial"/>
          <w:sz w:val="20"/>
        </w:rPr>
        <w:t xml:space="preserve"> </w:t>
      </w:r>
      <w:r>
        <w:rPr>
          <w:rFonts w:ascii="Arial" w:hAnsi="Arial" w:cs="Arial"/>
          <w:sz w:val="20"/>
        </w:rPr>
        <w:t>without making any significant changes to the regulatory arrangements created by that instrument.</w:t>
      </w:r>
    </w:p>
    <w:p w14:paraId="11CBD3AC" w14:textId="77777777" w:rsidR="00914D5C" w:rsidRDefault="00914D5C" w:rsidP="00914D5C">
      <w:pPr>
        <w:spacing w:line="360" w:lineRule="auto"/>
        <w:rPr>
          <w:rFonts w:ascii="Arial" w:hAnsi="Arial" w:cs="Arial"/>
          <w:sz w:val="20"/>
        </w:rPr>
      </w:pPr>
    </w:p>
    <w:p w14:paraId="53843B09" w14:textId="591107D5" w:rsidR="00914D5C" w:rsidRDefault="00FA7A04" w:rsidP="00914D5C">
      <w:pPr>
        <w:spacing w:line="360" w:lineRule="auto"/>
        <w:rPr>
          <w:rFonts w:ascii="Arial" w:hAnsi="Arial" w:cs="Arial"/>
          <w:sz w:val="20"/>
        </w:rPr>
      </w:pPr>
      <w:r>
        <w:rPr>
          <w:rFonts w:ascii="Arial" w:hAnsi="Arial" w:cs="Arial"/>
          <w:sz w:val="20"/>
        </w:rPr>
        <w:t xml:space="preserve">The Determination is made under </w:t>
      </w:r>
      <w:r w:rsidR="002C5882">
        <w:rPr>
          <w:rFonts w:ascii="Arial" w:hAnsi="Arial" w:cs="Arial"/>
          <w:sz w:val="20"/>
        </w:rPr>
        <w:t xml:space="preserve">paragraph </w:t>
      </w:r>
      <w:r>
        <w:rPr>
          <w:rFonts w:ascii="Arial" w:hAnsi="Arial" w:cs="Arial"/>
          <w:sz w:val="20"/>
        </w:rPr>
        <w:t>107(1</w:t>
      </w:r>
      <w:proofErr w:type="gramStart"/>
      <w:r>
        <w:rPr>
          <w:rFonts w:ascii="Arial" w:hAnsi="Arial" w:cs="Arial"/>
          <w:sz w:val="20"/>
        </w:rPr>
        <w:t>)(</w:t>
      </w:r>
      <w:proofErr w:type="gramEnd"/>
      <w:r>
        <w:rPr>
          <w:rFonts w:ascii="Arial" w:hAnsi="Arial" w:cs="Arial"/>
          <w:sz w:val="20"/>
        </w:rPr>
        <w:t xml:space="preserve">f) of the </w:t>
      </w:r>
      <w:r w:rsidRPr="00FA7A04">
        <w:rPr>
          <w:rFonts w:ascii="Arial" w:hAnsi="Arial" w:cs="Arial"/>
          <w:i/>
          <w:sz w:val="20"/>
        </w:rPr>
        <w:t>Radiocommunications Act 1992</w:t>
      </w:r>
      <w:r>
        <w:rPr>
          <w:rFonts w:ascii="Arial" w:hAnsi="Arial" w:cs="Arial"/>
          <w:sz w:val="20"/>
        </w:rPr>
        <w:t xml:space="preserve">. </w:t>
      </w:r>
      <w:r w:rsidR="00914D5C" w:rsidRPr="00B2688C">
        <w:rPr>
          <w:rFonts w:ascii="Arial" w:hAnsi="Arial" w:cs="Arial"/>
          <w:sz w:val="20"/>
        </w:rPr>
        <w:t>The Determination sets out the conditions that app</w:t>
      </w:r>
      <w:r w:rsidR="0062031A">
        <w:rPr>
          <w:rFonts w:ascii="Arial" w:hAnsi="Arial" w:cs="Arial"/>
          <w:sz w:val="20"/>
        </w:rPr>
        <w:t>l</w:t>
      </w:r>
      <w:r w:rsidR="00914D5C" w:rsidRPr="00B2688C">
        <w:rPr>
          <w:rFonts w:ascii="Arial" w:hAnsi="Arial" w:cs="Arial"/>
          <w:sz w:val="20"/>
        </w:rPr>
        <w:t>y to outpost licence</w:t>
      </w:r>
      <w:r w:rsidR="00A7065E">
        <w:rPr>
          <w:rFonts w:ascii="Arial" w:hAnsi="Arial" w:cs="Arial"/>
          <w:sz w:val="20"/>
        </w:rPr>
        <w:t>s</w:t>
      </w:r>
      <w:r w:rsidR="00935592">
        <w:rPr>
          <w:rFonts w:ascii="Arial" w:hAnsi="Arial" w:cs="Arial"/>
          <w:sz w:val="20"/>
        </w:rPr>
        <w:t xml:space="preserve"> (a type of apparatus licence determined under section 98 of the </w:t>
      </w:r>
      <w:r w:rsidR="00935592">
        <w:rPr>
          <w:rFonts w:ascii="Arial" w:hAnsi="Arial" w:cs="Arial"/>
          <w:i/>
          <w:sz w:val="20"/>
        </w:rPr>
        <w:t>Radiocommunications Act 1992</w:t>
      </w:r>
      <w:r w:rsidR="00935592">
        <w:rPr>
          <w:rFonts w:ascii="Arial" w:hAnsi="Arial" w:cs="Arial"/>
          <w:sz w:val="20"/>
        </w:rPr>
        <w:t>)</w:t>
      </w:r>
      <w:r w:rsidR="00914D5C" w:rsidRPr="00B2688C">
        <w:rPr>
          <w:rFonts w:ascii="Arial" w:hAnsi="Arial" w:cs="Arial"/>
          <w:sz w:val="20"/>
        </w:rPr>
        <w:t>.</w:t>
      </w:r>
    </w:p>
    <w:p w14:paraId="12D9A209" w14:textId="77777777" w:rsidR="00914D5C" w:rsidRPr="008E6EB9" w:rsidRDefault="00914D5C" w:rsidP="00914D5C">
      <w:pPr>
        <w:spacing w:line="360" w:lineRule="auto"/>
        <w:rPr>
          <w:rFonts w:ascii="Arial" w:hAnsi="Arial" w:cs="Arial"/>
          <w:sz w:val="20"/>
        </w:rPr>
      </w:pPr>
    </w:p>
    <w:p w14:paraId="4229FDF9" w14:textId="77777777" w:rsidR="00914D5C" w:rsidRPr="005A5476" w:rsidRDefault="00914D5C" w:rsidP="00914D5C">
      <w:pPr>
        <w:spacing w:line="360" w:lineRule="auto"/>
        <w:outlineLvl w:val="0"/>
        <w:rPr>
          <w:rFonts w:ascii="Arial" w:hAnsi="Arial" w:cs="Arial"/>
          <w:b/>
          <w:sz w:val="22"/>
          <w:szCs w:val="22"/>
        </w:rPr>
      </w:pPr>
      <w:r w:rsidRPr="005A5476">
        <w:rPr>
          <w:rFonts w:ascii="Arial" w:hAnsi="Arial" w:cs="Arial"/>
          <w:b/>
          <w:sz w:val="22"/>
          <w:szCs w:val="22"/>
        </w:rPr>
        <w:t>Human Rights Implications</w:t>
      </w:r>
    </w:p>
    <w:p w14:paraId="600116F7" w14:textId="77777777" w:rsidR="00914D5C" w:rsidRPr="009E6BC6" w:rsidRDefault="00914D5C" w:rsidP="00914D5C">
      <w:pPr>
        <w:spacing w:line="360" w:lineRule="auto"/>
        <w:outlineLvl w:val="0"/>
        <w:rPr>
          <w:rFonts w:ascii="Arial" w:hAnsi="Arial" w:cs="Arial"/>
          <w:sz w:val="20"/>
        </w:rPr>
      </w:pPr>
      <w:r w:rsidRPr="009E6BC6">
        <w:rPr>
          <w:rFonts w:ascii="Arial" w:hAnsi="Arial" w:cs="Arial"/>
          <w:sz w:val="20"/>
        </w:rPr>
        <w:t xml:space="preserve">The </w:t>
      </w:r>
      <w:r>
        <w:rPr>
          <w:rFonts w:ascii="Arial" w:hAnsi="Arial" w:cs="Arial"/>
          <w:sz w:val="20"/>
        </w:rPr>
        <w:t xml:space="preserve">Determination </w:t>
      </w:r>
      <w:r w:rsidRPr="009E6BC6">
        <w:rPr>
          <w:rFonts w:ascii="Arial" w:hAnsi="Arial" w:cs="Arial"/>
          <w:sz w:val="20"/>
        </w:rPr>
        <w:t>does not engage any of the applicable rights or freedoms.</w:t>
      </w:r>
    </w:p>
    <w:p w14:paraId="24DAF5F2" w14:textId="77777777" w:rsidR="00914D5C" w:rsidRPr="005A5476" w:rsidRDefault="00914D5C" w:rsidP="00914D5C">
      <w:pPr>
        <w:spacing w:line="360" w:lineRule="auto"/>
        <w:rPr>
          <w:rFonts w:ascii="Arial" w:hAnsi="Arial" w:cs="Arial"/>
          <w:sz w:val="22"/>
          <w:szCs w:val="22"/>
        </w:rPr>
      </w:pPr>
    </w:p>
    <w:p w14:paraId="7F1A142F" w14:textId="77777777" w:rsidR="00914D5C" w:rsidRPr="005A5476" w:rsidRDefault="00914D5C" w:rsidP="00914D5C">
      <w:pPr>
        <w:spacing w:line="360" w:lineRule="auto"/>
        <w:outlineLvl w:val="0"/>
        <w:rPr>
          <w:rFonts w:ascii="Arial" w:hAnsi="Arial" w:cs="Arial"/>
          <w:b/>
          <w:sz w:val="22"/>
          <w:szCs w:val="22"/>
        </w:rPr>
      </w:pPr>
      <w:r w:rsidRPr="005A5476">
        <w:rPr>
          <w:rFonts w:ascii="Arial" w:hAnsi="Arial" w:cs="Arial"/>
          <w:b/>
          <w:sz w:val="22"/>
          <w:szCs w:val="22"/>
        </w:rPr>
        <w:t>Conclusion</w:t>
      </w:r>
    </w:p>
    <w:p w14:paraId="26855606" w14:textId="77777777" w:rsidR="00914D5C" w:rsidRPr="009E6BC6" w:rsidRDefault="00914D5C" w:rsidP="00914D5C">
      <w:pPr>
        <w:spacing w:line="360" w:lineRule="auto"/>
        <w:outlineLvl w:val="0"/>
        <w:rPr>
          <w:rFonts w:ascii="Arial" w:hAnsi="Arial" w:cs="Arial"/>
          <w:b/>
          <w:sz w:val="20"/>
        </w:rPr>
      </w:pPr>
      <w:r w:rsidRPr="009E6BC6">
        <w:rPr>
          <w:rFonts w:ascii="Arial" w:hAnsi="Arial" w:cs="Arial"/>
          <w:sz w:val="20"/>
        </w:rPr>
        <w:t xml:space="preserve">The </w:t>
      </w:r>
      <w:r>
        <w:rPr>
          <w:rFonts w:ascii="Arial" w:hAnsi="Arial" w:cs="Arial"/>
          <w:sz w:val="20"/>
        </w:rPr>
        <w:t>Determination</w:t>
      </w:r>
      <w:r w:rsidRPr="009E6BC6">
        <w:rPr>
          <w:rFonts w:ascii="Arial" w:hAnsi="Arial" w:cs="Arial"/>
          <w:sz w:val="20"/>
        </w:rPr>
        <w:t xml:space="preserve"> is compatible with human rights as it does not raise any human rights issues.</w:t>
      </w:r>
    </w:p>
    <w:p w14:paraId="6441DCE6" w14:textId="77777777" w:rsidR="00914D5C" w:rsidRDefault="00914D5C" w:rsidP="00914D5C">
      <w:pPr>
        <w:spacing w:line="360" w:lineRule="auto"/>
        <w:rPr>
          <w:rFonts w:ascii="Arial" w:hAnsi="Arial" w:cs="Arial"/>
          <w:sz w:val="22"/>
          <w:szCs w:val="22"/>
        </w:rPr>
      </w:pPr>
      <w:bookmarkStart w:id="1" w:name="_GoBack"/>
      <w:bookmarkEnd w:id="1"/>
    </w:p>
    <w:sectPr w:rsidR="00914D5C" w:rsidSect="008C193D">
      <w:footerReference w:type="default" r:id="rId16"/>
      <w:pgSz w:w="11907" w:h="16840" w:code="9"/>
      <w:pgMar w:top="1440" w:right="164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DBCE8" w14:textId="77777777" w:rsidR="002C339A" w:rsidRDefault="002C339A">
      <w:r>
        <w:separator/>
      </w:r>
    </w:p>
  </w:endnote>
  <w:endnote w:type="continuationSeparator" w:id="0">
    <w:p w14:paraId="39581FBB" w14:textId="77777777" w:rsidR="002C339A" w:rsidRDefault="002C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29015" w14:textId="6946DA8F" w:rsidR="001F061F" w:rsidRDefault="001F061F">
    <w:pPr>
      <w:pStyle w:val="Footer"/>
      <w:rPr>
        <w:rStyle w:val="PageNumber"/>
        <w:sz w:val="16"/>
        <w:szCs w:val="16"/>
      </w:rPr>
    </w:pPr>
    <w:r w:rsidRPr="00E363A4">
      <w:rPr>
        <w:sz w:val="16"/>
        <w:szCs w:val="16"/>
        <w:lang w:val="en-AU"/>
      </w:rPr>
      <w:tab/>
    </w:r>
    <w:r w:rsidRPr="00E363A4">
      <w:rPr>
        <w:sz w:val="16"/>
        <w:szCs w:val="16"/>
        <w:lang w:val="en-AU"/>
      </w:rPr>
      <w:tab/>
      <w:t xml:space="preserve">Page </w:t>
    </w:r>
    <w:r w:rsidRPr="00E363A4">
      <w:rPr>
        <w:rStyle w:val="PageNumber"/>
        <w:sz w:val="16"/>
        <w:szCs w:val="16"/>
      </w:rPr>
      <w:fldChar w:fldCharType="begin"/>
    </w:r>
    <w:r w:rsidRPr="00E363A4">
      <w:rPr>
        <w:rStyle w:val="PageNumber"/>
        <w:sz w:val="16"/>
        <w:szCs w:val="16"/>
      </w:rPr>
      <w:instrText xml:space="preserve"> PAGE </w:instrText>
    </w:r>
    <w:r w:rsidRPr="00E363A4">
      <w:rPr>
        <w:rStyle w:val="PageNumber"/>
        <w:sz w:val="16"/>
        <w:szCs w:val="16"/>
      </w:rPr>
      <w:fldChar w:fldCharType="separate"/>
    </w:r>
    <w:r w:rsidR="00A0011A">
      <w:rPr>
        <w:rStyle w:val="PageNumber"/>
        <w:noProof/>
        <w:sz w:val="16"/>
        <w:szCs w:val="16"/>
      </w:rPr>
      <w:t>6</w:t>
    </w:r>
    <w:r w:rsidRPr="00E363A4">
      <w:rPr>
        <w:rStyle w:val="PageNumber"/>
        <w:sz w:val="16"/>
        <w:szCs w:val="16"/>
      </w:rPr>
      <w:fldChar w:fldCharType="end"/>
    </w:r>
  </w:p>
  <w:p w14:paraId="0E8E4ECC" w14:textId="77777777" w:rsidR="001F061F" w:rsidRPr="00E363A4" w:rsidRDefault="001F061F" w:rsidP="00E37E46">
    <w:pPr>
      <w:pStyle w:val="Footer"/>
      <w:jc w:val="right"/>
      <w:rPr>
        <w:sz w:val="16"/>
        <w:szCs w:val="16"/>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11CBF" w14:textId="77777777" w:rsidR="002C339A" w:rsidRDefault="002C339A">
      <w:r>
        <w:separator/>
      </w:r>
    </w:p>
  </w:footnote>
  <w:footnote w:type="continuationSeparator" w:id="0">
    <w:p w14:paraId="69A86659" w14:textId="77777777" w:rsidR="002C339A" w:rsidRDefault="002C3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E56AF"/>
    <w:multiLevelType w:val="hybridMultilevel"/>
    <w:tmpl w:val="9424D25C"/>
    <w:lvl w:ilvl="0" w:tplc="01EE7998">
      <w:start w:val="1"/>
      <w:numFmt w:val="decimal"/>
      <w:lvlText w:val="%1."/>
      <w:lvlJc w:val="left"/>
      <w:pPr>
        <w:tabs>
          <w:tab w:val="num" w:pos="360"/>
        </w:tabs>
        <w:ind w:left="360" w:hanging="360"/>
      </w:pPr>
      <w:rPr>
        <w:rFonts w:hint="default"/>
        <w:color w:val="auto"/>
      </w:rPr>
    </w:lvl>
    <w:lvl w:ilvl="1" w:tplc="ED264EA0">
      <w:start w:val="1"/>
      <w:numFmt w:val="decimal"/>
      <w:lvlText w:val="(%2)"/>
      <w:lvlJc w:val="left"/>
      <w:pPr>
        <w:tabs>
          <w:tab w:val="num" w:pos="1080"/>
        </w:tabs>
        <w:ind w:left="1080" w:hanging="360"/>
      </w:pPr>
      <w:rPr>
        <w:rFonts w:hint="default"/>
        <w:color w:val="auto"/>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056C3319"/>
    <w:multiLevelType w:val="hybridMultilevel"/>
    <w:tmpl w:val="2432EE08"/>
    <w:lvl w:ilvl="0" w:tplc="5E045D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C86B9E"/>
    <w:multiLevelType w:val="hybridMultilevel"/>
    <w:tmpl w:val="A88EC3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D0529BC"/>
    <w:multiLevelType w:val="hybridMultilevel"/>
    <w:tmpl w:val="8EACE15A"/>
    <w:lvl w:ilvl="0" w:tplc="0C090003">
      <w:start w:val="1"/>
      <w:numFmt w:val="bullet"/>
      <w:lvlText w:val="o"/>
      <w:lvlJc w:val="left"/>
      <w:pPr>
        <w:tabs>
          <w:tab w:val="num" w:pos="720"/>
        </w:tabs>
        <w:ind w:left="720" w:hanging="360"/>
      </w:pPr>
      <w:rPr>
        <w:rFonts w:ascii="Courier New" w:hAnsi="Courier New" w:cs="Courier New" w:hint="default"/>
      </w:rPr>
    </w:lvl>
    <w:lvl w:ilvl="1" w:tplc="C610C97E">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6AB45DD"/>
    <w:multiLevelType w:val="hybridMultilevel"/>
    <w:tmpl w:val="FE92CE0C"/>
    <w:lvl w:ilvl="0" w:tplc="0C090003">
      <w:start w:val="1"/>
      <w:numFmt w:val="bullet"/>
      <w:lvlText w:val="o"/>
      <w:lvlJc w:val="left"/>
      <w:pPr>
        <w:tabs>
          <w:tab w:val="num" w:pos="720"/>
        </w:tabs>
        <w:ind w:left="720" w:hanging="360"/>
      </w:pPr>
      <w:rPr>
        <w:rFonts w:ascii="Courier New" w:hAnsi="Courier New" w:cs="Courier New" w:hint="default"/>
        <w:color w:val="auto"/>
      </w:rPr>
    </w:lvl>
    <w:lvl w:ilvl="1" w:tplc="C610C97E">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7F42B66"/>
    <w:multiLevelType w:val="hybridMultilevel"/>
    <w:tmpl w:val="B43E625A"/>
    <w:lvl w:ilvl="0" w:tplc="0C09000F">
      <w:start w:val="1"/>
      <w:numFmt w:val="decimal"/>
      <w:lvlText w:val="%1."/>
      <w:lvlJc w:val="left"/>
      <w:pPr>
        <w:tabs>
          <w:tab w:val="num" w:pos="360"/>
        </w:tabs>
        <w:ind w:left="360" w:hanging="360"/>
      </w:pPr>
    </w:lvl>
    <w:lvl w:ilvl="1" w:tplc="ED264EA0">
      <w:start w:val="1"/>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nsid w:val="183E26D3"/>
    <w:multiLevelType w:val="hybridMultilevel"/>
    <w:tmpl w:val="2A822112"/>
    <w:lvl w:ilvl="0" w:tplc="5E045D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0B2CDB"/>
    <w:multiLevelType w:val="hybridMultilevel"/>
    <w:tmpl w:val="25A0B66E"/>
    <w:lvl w:ilvl="0" w:tplc="5E045D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9D5231"/>
    <w:multiLevelType w:val="hybridMultilevel"/>
    <w:tmpl w:val="CD549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93D42B6"/>
    <w:multiLevelType w:val="hybridMultilevel"/>
    <w:tmpl w:val="F44A4908"/>
    <w:lvl w:ilvl="0" w:tplc="5E045D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E23B7B"/>
    <w:multiLevelType w:val="hybridMultilevel"/>
    <w:tmpl w:val="5628B10A"/>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1">
    <w:nsid w:val="33B61B55"/>
    <w:multiLevelType w:val="hybridMultilevel"/>
    <w:tmpl w:val="93D011BC"/>
    <w:lvl w:ilvl="0" w:tplc="93080E4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0601E0"/>
    <w:multiLevelType w:val="singleLevel"/>
    <w:tmpl w:val="8D466266"/>
    <w:lvl w:ilvl="0">
      <w:start w:val="1"/>
      <w:numFmt w:val="lowerLetter"/>
      <w:lvlText w:val="(%1)"/>
      <w:legacy w:legacy="1" w:legacySpace="0" w:legacyIndent="990"/>
      <w:lvlJc w:val="left"/>
      <w:rPr>
        <w:rFonts w:ascii="Times New Roman" w:hAnsi="Times New Roman" w:cs="Times New Roman" w:hint="default"/>
      </w:rPr>
    </w:lvl>
  </w:abstractNum>
  <w:abstractNum w:abstractNumId="13">
    <w:nsid w:val="3BEE54DC"/>
    <w:multiLevelType w:val="hybridMultilevel"/>
    <w:tmpl w:val="93349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D77471B"/>
    <w:multiLevelType w:val="hybridMultilevel"/>
    <w:tmpl w:val="0E900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1940A10"/>
    <w:multiLevelType w:val="hybridMultilevel"/>
    <w:tmpl w:val="BE008FA6"/>
    <w:lvl w:ilvl="0" w:tplc="93080E4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7B37469"/>
    <w:multiLevelType w:val="hybridMultilevel"/>
    <w:tmpl w:val="83084772"/>
    <w:lvl w:ilvl="0" w:tplc="C610C97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9661922"/>
    <w:multiLevelType w:val="hybridMultilevel"/>
    <w:tmpl w:val="AFC6C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8185A1D"/>
    <w:multiLevelType w:val="hybridMultilevel"/>
    <w:tmpl w:val="A634CA3C"/>
    <w:lvl w:ilvl="0" w:tplc="5E045D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9597E9B"/>
    <w:multiLevelType w:val="hybridMultilevel"/>
    <w:tmpl w:val="A74EF76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595F6731"/>
    <w:multiLevelType w:val="hybridMultilevel"/>
    <w:tmpl w:val="0728E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1B47030"/>
    <w:multiLevelType w:val="hybridMultilevel"/>
    <w:tmpl w:val="5192C25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87F0E24"/>
    <w:multiLevelType w:val="hybridMultilevel"/>
    <w:tmpl w:val="00F86D16"/>
    <w:lvl w:ilvl="0" w:tplc="8F7ABE6C">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6"/>
  </w:num>
  <w:num w:numId="4">
    <w:abstractNumId w:val="5"/>
  </w:num>
  <w:num w:numId="5">
    <w:abstractNumId w:val="3"/>
  </w:num>
  <w:num w:numId="6">
    <w:abstractNumId w:val="4"/>
  </w:num>
  <w:num w:numId="7">
    <w:abstractNumId w:val="19"/>
  </w:num>
  <w:num w:numId="8">
    <w:abstractNumId w:val="21"/>
  </w:num>
  <w:num w:numId="9">
    <w:abstractNumId w:val="10"/>
  </w:num>
  <w:num w:numId="10">
    <w:abstractNumId w:val="17"/>
  </w:num>
  <w:num w:numId="11">
    <w:abstractNumId w:val="20"/>
  </w:num>
  <w:num w:numId="12">
    <w:abstractNumId w:val="13"/>
  </w:num>
  <w:num w:numId="13">
    <w:abstractNumId w:val="7"/>
  </w:num>
  <w:num w:numId="14">
    <w:abstractNumId w:val="1"/>
  </w:num>
  <w:num w:numId="15">
    <w:abstractNumId w:val="6"/>
  </w:num>
  <w:num w:numId="16">
    <w:abstractNumId w:val="9"/>
  </w:num>
  <w:num w:numId="17">
    <w:abstractNumId w:val="18"/>
  </w:num>
  <w:num w:numId="18">
    <w:abstractNumId w:val="22"/>
  </w:num>
  <w:num w:numId="19">
    <w:abstractNumId w:val="2"/>
  </w:num>
  <w:num w:numId="20">
    <w:abstractNumId w:val="8"/>
  </w:num>
  <w:num w:numId="21">
    <w:abstractNumId w:val="11"/>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D2"/>
    <w:rsid w:val="0002066C"/>
    <w:rsid w:val="000214F9"/>
    <w:rsid w:val="00054076"/>
    <w:rsid w:val="000768FC"/>
    <w:rsid w:val="000769A7"/>
    <w:rsid w:val="000932A4"/>
    <w:rsid w:val="000A5954"/>
    <w:rsid w:val="000F291E"/>
    <w:rsid w:val="000F4B5D"/>
    <w:rsid w:val="0010535C"/>
    <w:rsid w:val="001119EE"/>
    <w:rsid w:val="00114FB9"/>
    <w:rsid w:val="00132FD7"/>
    <w:rsid w:val="001344A6"/>
    <w:rsid w:val="001344C7"/>
    <w:rsid w:val="00140779"/>
    <w:rsid w:val="00145EBE"/>
    <w:rsid w:val="00155F36"/>
    <w:rsid w:val="001621EE"/>
    <w:rsid w:val="00163740"/>
    <w:rsid w:val="00185ACF"/>
    <w:rsid w:val="00192511"/>
    <w:rsid w:val="001A3FB0"/>
    <w:rsid w:val="001C2D41"/>
    <w:rsid w:val="001C731C"/>
    <w:rsid w:val="001D1E80"/>
    <w:rsid w:val="001F061F"/>
    <w:rsid w:val="001F09E2"/>
    <w:rsid w:val="0020286C"/>
    <w:rsid w:val="0020657B"/>
    <w:rsid w:val="002138DC"/>
    <w:rsid w:val="00220217"/>
    <w:rsid w:val="00224B18"/>
    <w:rsid w:val="00245584"/>
    <w:rsid w:val="00251BF2"/>
    <w:rsid w:val="002766C4"/>
    <w:rsid w:val="002847F8"/>
    <w:rsid w:val="00291ADA"/>
    <w:rsid w:val="00295F15"/>
    <w:rsid w:val="00296C8F"/>
    <w:rsid w:val="002A154D"/>
    <w:rsid w:val="002B5A57"/>
    <w:rsid w:val="002B676F"/>
    <w:rsid w:val="002C339A"/>
    <w:rsid w:val="002C5882"/>
    <w:rsid w:val="002E02AF"/>
    <w:rsid w:val="002F06B7"/>
    <w:rsid w:val="00300B5F"/>
    <w:rsid w:val="00302076"/>
    <w:rsid w:val="00322A0A"/>
    <w:rsid w:val="003416FF"/>
    <w:rsid w:val="003615DA"/>
    <w:rsid w:val="0039218A"/>
    <w:rsid w:val="003B11AA"/>
    <w:rsid w:val="003B77C9"/>
    <w:rsid w:val="003C2CD3"/>
    <w:rsid w:val="003E47A2"/>
    <w:rsid w:val="003F4D65"/>
    <w:rsid w:val="00404140"/>
    <w:rsid w:val="00404B5B"/>
    <w:rsid w:val="00410016"/>
    <w:rsid w:val="004255D6"/>
    <w:rsid w:val="00441BA0"/>
    <w:rsid w:val="004635B0"/>
    <w:rsid w:val="0046637D"/>
    <w:rsid w:val="004666FD"/>
    <w:rsid w:val="004B2CE1"/>
    <w:rsid w:val="004C2E74"/>
    <w:rsid w:val="004D1FE7"/>
    <w:rsid w:val="004D3D4B"/>
    <w:rsid w:val="004D63E8"/>
    <w:rsid w:val="004D66FF"/>
    <w:rsid w:val="004F382E"/>
    <w:rsid w:val="0051094C"/>
    <w:rsid w:val="00512CE7"/>
    <w:rsid w:val="00513056"/>
    <w:rsid w:val="00530586"/>
    <w:rsid w:val="00530C80"/>
    <w:rsid w:val="00535582"/>
    <w:rsid w:val="00536B58"/>
    <w:rsid w:val="00552E72"/>
    <w:rsid w:val="00553EA2"/>
    <w:rsid w:val="00562027"/>
    <w:rsid w:val="0059678C"/>
    <w:rsid w:val="005A6982"/>
    <w:rsid w:val="005B77ED"/>
    <w:rsid w:val="005C4331"/>
    <w:rsid w:val="005C4BF3"/>
    <w:rsid w:val="005D2415"/>
    <w:rsid w:val="005F6D01"/>
    <w:rsid w:val="00613C40"/>
    <w:rsid w:val="006149C7"/>
    <w:rsid w:val="00614BB7"/>
    <w:rsid w:val="0062031A"/>
    <w:rsid w:val="0063128A"/>
    <w:rsid w:val="00660924"/>
    <w:rsid w:val="00671769"/>
    <w:rsid w:val="006844C7"/>
    <w:rsid w:val="00693E09"/>
    <w:rsid w:val="0069789A"/>
    <w:rsid w:val="006C07DB"/>
    <w:rsid w:val="006E17C2"/>
    <w:rsid w:val="006F1F32"/>
    <w:rsid w:val="0070164B"/>
    <w:rsid w:val="00702374"/>
    <w:rsid w:val="00710B70"/>
    <w:rsid w:val="00741CEE"/>
    <w:rsid w:val="007619C8"/>
    <w:rsid w:val="007A728A"/>
    <w:rsid w:val="007C3162"/>
    <w:rsid w:val="007D3EAE"/>
    <w:rsid w:val="007D5225"/>
    <w:rsid w:val="007E4039"/>
    <w:rsid w:val="00837283"/>
    <w:rsid w:val="00840F2B"/>
    <w:rsid w:val="00844E84"/>
    <w:rsid w:val="00856F16"/>
    <w:rsid w:val="00857F20"/>
    <w:rsid w:val="00872B29"/>
    <w:rsid w:val="00892CC3"/>
    <w:rsid w:val="00894AEC"/>
    <w:rsid w:val="008B0167"/>
    <w:rsid w:val="008C193D"/>
    <w:rsid w:val="008C4517"/>
    <w:rsid w:val="008F5B45"/>
    <w:rsid w:val="00900655"/>
    <w:rsid w:val="00901CF3"/>
    <w:rsid w:val="0091079A"/>
    <w:rsid w:val="00914D5C"/>
    <w:rsid w:val="00927987"/>
    <w:rsid w:val="00935592"/>
    <w:rsid w:val="009440F0"/>
    <w:rsid w:val="00960FF3"/>
    <w:rsid w:val="0096200C"/>
    <w:rsid w:val="00963C37"/>
    <w:rsid w:val="009772C4"/>
    <w:rsid w:val="00995830"/>
    <w:rsid w:val="009C2BF4"/>
    <w:rsid w:val="009D358F"/>
    <w:rsid w:val="009E4A20"/>
    <w:rsid w:val="009F38D2"/>
    <w:rsid w:val="00A0011A"/>
    <w:rsid w:val="00A1107F"/>
    <w:rsid w:val="00A235C8"/>
    <w:rsid w:val="00A33BA6"/>
    <w:rsid w:val="00A44A6F"/>
    <w:rsid w:val="00A54476"/>
    <w:rsid w:val="00A61538"/>
    <w:rsid w:val="00A625C0"/>
    <w:rsid w:val="00A6703E"/>
    <w:rsid w:val="00A67CD4"/>
    <w:rsid w:val="00A7065E"/>
    <w:rsid w:val="00A97490"/>
    <w:rsid w:val="00AC26F2"/>
    <w:rsid w:val="00AE19A0"/>
    <w:rsid w:val="00AE574B"/>
    <w:rsid w:val="00B30F15"/>
    <w:rsid w:val="00B55661"/>
    <w:rsid w:val="00B66A62"/>
    <w:rsid w:val="00B75E10"/>
    <w:rsid w:val="00B80DC6"/>
    <w:rsid w:val="00B876CA"/>
    <w:rsid w:val="00B87B6E"/>
    <w:rsid w:val="00BA0013"/>
    <w:rsid w:val="00BB4CF0"/>
    <w:rsid w:val="00BC11DA"/>
    <w:rsid w:val="00BF1429"/>
    <w:rsid w:val="00BF1E45"/>
    <w:rsid w:val="00BF2F91"/>
    <w:rsid w:val="00C02DD3"/>
    <w:rsid w:val="00C32EC3"/>
    <w:rsid w:val="00C62F55"/>
    <w:rsid w:val="00C7091B"/>
    <w:rsid w:val="00C9119A"/>
    <w:rsid w:val="00CB4D39"/>
    <w:rsid w:val="00CD6F3C"/>
    <w:rsid w:val="00CD709E"/>
    <w:rsid w:val="00CF3709"/>
    <w:rsid w:val="00CF7386"/>
    <w:rsid w:val="00D01C6C"/>
    <w:rsid w:val="00D131DF"/>
    <w:rsid w:val="00D369FC"/>
    <w:rsid w:val="00D634C1"/>
    <w:rsid w:val="00D63AC4"/>
    <w:rsid w:val="00D73897"/>
    <w:rsid w:val="00D83C38"/>
    <w:rsid w:val="00D87ABF"/>
    <w:rsid w:val="00D943D4"/>
    <w:rsid w:val="00DC4B45"/>
    <w:rsid w:val="00E031BC"/>
    <w:rsid w:val="00E132CB"/>
    <w:rsid w:val="00E2144C"/>
    <w:rsid w:val="00E226D5"/>
    <w:rsid w:val="00E3209A"/>
    <w:rsid w:val="00E33AA6"/>
    <w:rsid w:val="00E37E46"/>
    <w:rsid w:val="00E414CA"/>
    <w:rsid w:val="00E45676"/>
    <w:rsid w:val="00E4707A"/>
    <w:rsid w:val="00E634B9"/>
    <w:rsid w:val="00E649FC"/>
    <w:rsid w:val="00E670AE"/>
    <w:rsid w:val="00E778F7"/>
    <w:rsid w:val="00EA5D84"/>
    <w:rsid w:val="00EA6CF8"/>
    <w:rsid w:val="00EB0492"/>
    <w:rsid w:val="00ED008A"/>
    <w:rsid w:val="00ED4081"/>
    <w:rsid w:val="00EE0213"/>
    <w:rsid w:val="00EE73F4"/>
    <w:rsid w:val="00F14344"/>
    <w:rsid w:val="00F1668C"/>
    <w:rsid w:val="00F22BB5"/>
    <w:rsid w:val="00F25D4F"/>
    <w:rsid w:val="00F3531C"/>
    <w:rsid w:val="00F41580"/>
    <w:rsid w:val="00F41F46"/>
    <w:rsid w:val="00F42B2E"/>
    <w:rsid w:val="00F556F0"/>
    <w:rsid w:val="00F74EFC"/>
    <w:rsid w:val="00F84C77"/>
    <w:rsid w:val="00FA5638"/>
    <w:rsid w:val="00FA7A04"/>
    <w:rsid w:val="00FB369F"/>
    <w:rsid w:val="00FB36FD"/>
    <w:rsid w:val="00FB7B07"/>
    <w:rsid w:val="00FC16D2"/>
    <w:rsid w:val="00FD5440"/>
    <w:rsid w:val="00FE3D40"/>
    <w:rsid w:val="00FF2DBF"/>
    <w:rsid w:val="00FF3210"/>
    <w:rsid w:val="00FF32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3D4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F36"/>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38D2"/>
    <w:pPr>
      <w:spacing w:after="120"/>
    </w:pPr>
    <w:rPr>
      <w:lang w:val="en-AU"/>
    </w:rPr>
  </w:style>
  <w:style w:type="paragraph" w:styleId="Footer">
    <w:name w:val="footer"/>
    <w:basedOn w:val="Normal"/>
    <w:rsid w:val="009F38D2"/>
    <w:pPr>
      <w:tabs>
        <w:tab w:val="center" w:pos="4153"/>
        <w:tab w:val="right" w:pos="8306"/>
      </w:tabs>
    </w:pPr>
  </w:style>
  <w:style w:type="character" w:styleId="PageNumber">
    <w:name w:val="page number"/>
    <w:basedOn w:val="DefaultParagraphFont"/>
    <w:rsid w:val="009F38D2"/>
  </w:style>
  <w:style w:type="paragraph" w:styleId="Header">
    <w:name w:val="header"/>
    <w:basedOn w:val="Normal"/>
    <w:rsid w:val="009F38D2"/>
    <w:pPr>
      <w:tabs>
        <w:tab w:val="center" w:pos="4153"/>
        <w:tab w:val="right" w:pos="8306"/>
      </w:tabs>
    </w:pPr>
    <w:rPr>
      <w:lang w:val="en-AU"/>
    </w:rPr>
  </w:style>
  <w:style w:type="paragraph" w:styleId="NormalWeb">
    <w:name w:val="Normal (Web)"/>
    <w:basedOn w:val="Normal"/>
    <w:rsid w:val="00613C40"/>
    <w:pPr>
      <w:spacing w:before="100" w:beforeAutospacing="1" w:after="100" w:afterAutospacing="1"/>
    </w:pPr>
    <w:rPr>
      <w:szCs w:val="24"/>
      <w:lang w:val="en-AU"/>
    </w:rPr>
  </w:style>
  <w:style w:type="paragraph" w:customStyle="1" w:styleId="P1">
    <w:name w:val="P1"/>
    <w:aliases w:val="(a)"/>
    <w:basedOn w:val="Normal"/>
    <w:rsid w:val="00D943D4"/>
    <w:pPr>
      <w:tabs>
        <w:tab w:val="right" w:pos="1191"/>
      </w:tabs>
      <w:spacing w:before="60" w:line="260" w:lineRule="exact"/>
      <w:ind w:left="1418" w:hanging="1418"/>
      <w:jc w:val="both"/>
    </w:pPr>
    <w:rPr>
      <w:noProof/>
      <w:szCs w:val="24"/>
      <w:lang w:val="en-AU" w:eastAsia="en-US"/>
    </w:rPr>
  </w:style>
  <w:style w:type="paragraph" w:styleId="ListParagraph">
    <w:name w:val="List Paragraph"/>
    <w:basedOn w:val="Normal"/>
    <w:uiPriority w:val="34"/>
    <w:qFormat/>
    <w:rsid w:val="00914D5C"/>
    <w:pPr>
      <w:ind w:left="720"/>
    </w:pPr>
    <w:rPr>
      <w:szCs w:val="24"/>
      <w:lang w:val="en-US" w:eastAsia="en-US"/>
    </w:rPr>
  </w:style>
  <w:style w:type="paragraph" w:customStyle="1" w:styleId="indenta">
    <w:name w:val="indenta"/>
    <w:basedOn w:val="Normal"/>
    <w:rsid w:val="00914D5C"/>
    <w:pPr>
      <w:spacing w:before="100" w:beforeAutospacing="1" w:after="100" w:afterAutospacing="1"/>
    </w:pPr>
    <w:rPr>
      <w:szCs w:val="24"/>
      <w:lang w:val="en-AU"/>
    </w:rPr>
  </w:style>
  <w:style w:type="character" w:customStyle="1" w:styleId="charsectno">
    <w:name w:val="charsectno"/>
    <w:basedOn w:val="DefaultParagraphFont"/>
    <w:rsid w:val="00914D5C"/>
  </w:style>
  <w:style w:type="character" w:customStyle="1" w:styleId="apple-converted-space">
    <w:name w:val="apple-converted-space"/>
    <w:basedOn w:val="DefaultParagraphFont"/>
    <w:rsid w:val="00914D5C"/>
  </w:style>
  <w:style w:type="paragraph" w:customStyle="1" w:styleId="ACMABodyText">
    <w:name w:val="ACMA Body Text"/>
    <w:rsid w:val="002B5A57"/>
    <w:pPr>
      <w:suppressAutoHyphens/>
      <w:spacing w:before="80" w:after="120" w:line="280" w:lineRule="atLeast"/>
    </w:pPr>
    <w:rPr>
      <w:snapToGrid w:val="0"/>
      <w:sz w:val="24"/>
      <w:lang w:eastAsia="en-US"/>
    </w:rPr>
  </w:style>
  <w:style w:type="paragraph" w:customStyle="1" w:styleId="R1">
    <w:name w:val="R1"/>
    <w:aliases w:val="1. or 1.(1)"/>
    <w:basedOn w:val="Normal"/>
    <w:next w:val="Normal"/>
    <w:rsid w:val="00892CC3"/>
    <w:pPr>
      <w:keepLines/>
      <w:tabs>
        <w:tab w:val="right" w:pos="794"/>
      </w:tabs>
      <w:spacing w:before="120" w:line="260" w:lineRule="exact"/>
      <w:ind w:left="964" w:hanging="964"/>
      <w:jc w:val="both"/>
    </w:pPr>
    <w:rPr>
      <w:szCs w:val="24"/>
      <w:lang w:val="en-AU" w:eastAsia="en-US"/>
    </w:rPr>
  </w:style>
  <w:style w:type="character" w:styleId="CommentReference">
    <w:name w:val="annotation reference"/>
    <w:basedOn w:val="DefaultParagraphFont"/>
    <w:uiPriority w:val="99"/>
    <w:semiHidden/>
    <w:unhideWhenUsed/>
    <w:rsid w:val="00C62F55"/>
    <w:rPr>
      <w:sz w:val="16"/>
      <w:szCs w:val="16"/>
    </w:rPr>
  </w:style>
  <w:style w:type="paragraph" w:styleId="CommentText">
    <w:name w:val="annotation text"/>
    <w:basedOn w:val="Normal"/>
    <w:link w:val="CommentTextChar"/>
    <w:uiPriority w:val="99"/>
    <w:semiHidden/>
    <w:unhideWhenUsed/>
    <w:rsid w:val="00C62F55"/>
    <w:rPr>
      <w:sz w:val="20"/>
    </w:rPr>
  </w:style>
  <w:style w:type="character" w:customStyle="1" w:styleId="CommentTextChar">
    <w:name w:val="Comment Text Char"/>
    <w:basedOn w:val="DefaultParagraphFont"/>
    <w:link w:val="CommentText"/>
    <w:uiPriority w:val="99"/>
    <w:semiHidden/>
    <w:rsid w:val="00C62F55"/>
    <w:rPr>
      <w:lang w:val="en-GB"/>
    </w:rPr>
  </w:style>
  <w:style w:type="paragraph" w:styleId="CommentSubject">
    <w:name w:val="annotation subject"/>
    <w:basedOn w:val="CommentText"/>
    <w:next w:val="CommentText"/>
    <w:link w:val="CommentSubjectChar"/>
    <w:uiPriority w:val="99"/>
    <w:semiHidden/>
    <w:unhideWhenUsed/>
    <w:rsid w:val="00C62F55"/>
    <w:rPr>
      <w:b/>
      <w:bCs/>
    </w:rPr>
  </w:style>
  <w:style w:type="character" w:customStyle="1" w:styleId="CommentSubjectChar">
    <w:name w:val="Comment Subject Char"/>
    <w:basedOn w:val="CommentTextChar"/>
    <w:link w:val="CommentSubject"/>
    <w:uiPriority w:val="99"/>
    <w:semiHidden/>
    <w:rsid w:val="00C62F55"/>
    <w:rPr>
      <w:b/>
      <w:bCs/>
      <w:lang w:val="en-GB"/>
    </w:rPr>
  </w:style>
  <w:style w:type="paragraph" w:styleId="BalloonText">
    <w:name w:val="Balloon Text"/>
    <w:basedOn w:val="Normal"/>
    <w:link w:val="BalloonTextChar"/>
    <w:uiPriority w:val="99"/>
    <w:semiHidden/>
    <w:unhideWhenUsed/>
    <w:rsid w:val="00C62F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F55"/>
    <w:rPr>
      <w:rFonts w:ascii="Segoe UI" w:hAnsi="Segoe UI" w:cs="Segoe UI"/>
      <w:sz w:val="18"/>
      <w:szCs w:val="18"/>
      <w:lang w:val="en-GB"/>
    </w:rPr>
  </w:style>
  <w:style w:type="paragraph" w:styleId="Revision">
    <w:name w:val="Revision"/>
    <w:hidden/>
    <w:uiPriority w:val="99"/>
    <w:semiHidden/>
    <w:rsid w:val="00A7065E"/>
    <w:rPr>
      <w:sz w:val="24"/>
      <w:lang w:val="en-GB"/>
    </w:rPr>
  </w:style>
  <w:style w:type="character" w:styleId="Hyperlink">
    <w:name w:val="Hyperlink"/>
    <w:basedOn w:val="DefaultParagraphFont"/>
    <w:uiPriority w:val="99"/>
    <w:unhideWhenUsed/>
    <w:rsid w:val="00BF1429"/>
    <w:rPr>
      <w:color w:val="0000FF" w:themeColor="hyperlink"/>
      <w:u w:val="single"/>
    </w:rPr>
  </w:style>
  <w:style w:type="character" w:styleId="FollowedHyperlink">
    <w:name w:val="FollowedHyperlink"/>
    <w:basedOn w:val="DefaultParagraphFont"/>
    <w:uiPriority w:val="99"/>
    <w:semiHidden/>
    <w:unhideWhenUsed/>
    <w:rsid w:val="00322A0A"/>
    <w:rPr>
      <w:color w:val="800080" w:themeColor="followedHyperlink"/>
      <w:u w:val="single"/>
    </w:rPr>
  </w:style>
  <w:style w:type="paragraph" w:customStyle="1" w:styleId="Rc">
    <w:name w:val="Rc"/>
    <w:aliases w:val="Rn continued"/>
    <w:basedOn w:val="Normal"/>
    <w:next w:val="Normal"/>
    <w:rsid w:val="00185ACF"/>
    <w:pPr>
      <w:spacing w:before="60" w:line="260" w:lineRule="exact"/>
      <w:ind w:left="964"/>
      <w:jc w:val="both"/>
    </w:pPr>
    <w:rPr>
      <w:noProof/>
      <w:szCs w:val="24"/>
      <w:lang w:val="en-AU" w:eastAsia="en-US"/>
    </w:rPr>
  </w:style>
  <w:style w:type="paragraph" w:customStyle="1" w:styleId="ZR2">
    <w:name w:val="ZR2"/>
    <w:basedOn w:val="Normal"/>
    <w:rsid w:val="00185ACF"/>
    <w:pPr>
      <w:keepNext/>
      <w:tabs>
        <w:tab w:val="right" w:pos="794"/>
      </w:tabs>
      <w:spacing w:before="180" w:line="260" w:lineRule="exact"/>
      <w:ind w:left="964" w:hanging="964"/>
      <w:jc w:val="both"/>
    </w:pPr>
    <w:rPr>
      <w:noProof/>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162">
      <w:bodyDiv w:val="1"/>
      <w:marLeft w:val="0"/>
      <w:marRight w:val="0"/>
      <w:marTop w:val="0"/>
      <w:marBottom w:val="0"/>
      <w:divBdr>
        <w:top w:val="none" w:sz="0" w:space="0" w:color="auto"/>
        <w:left w:val="none" w:sz="0" w:space="0" w:color="auto"/>
        <w:bottom w:val="none" w:sz="0" w:space="0" w:color="auto"/>
        <w:right w:val="none" w:sz="0" w:space="0" w:color="auto"/>
      </w:divBdr>
    </w:div>
    <w:div w:id="1809738996">
      <w:bodyDiv w:val="1"/>
      <w:marLeft w:val="0"/>
      <w:marRight w:val="0"/>
      <w:marTop w:val="0"/>
      <w:marBottom w:val="0"/>
      <w:divBdr>
        <w:top w:val="none" w:sz="0" w:space="0" w:color="auto"/>
        <w:left w:val="none" w:sz="0" w:space="0" w:color="auto"/>
        <w:bottom w:val="none" w:sz="0" w:space="0" w:color="auto"/>
        <w:right w:val="none" w:sz="0" w:space="0" w:color="auto"/>
      </w:divBdr>
      <w:divsChild>
        <w:div w:id="1816675015">
          <w:marLeft w:val="0"/>
          <w:marRight w:val="0"/>
          <w:marTop w:val="0"/>
          <w:marBottom w:val="0"/>
          <w:divBdr>
            <w:top w:val="none" w:sz="0" w:space="0" w:color="auto"/>
            <w:left w:val="none" w:sz="0" w:space="0" w:color="auto"/>
            <w:bottom w:val="none" w:sz="0" w:space="0" w:color="auto"/>
            <w:right w:val="none" w:sz="0" w:space="0" w:color="auto"/>
          </w:divBdr>
          <w:divsChild>
            <w:div w:id="1349478660">
              <w:marLeft w:val="0"/>
              <w:marRight w:val="0"/>
              <w:marTop w:val="0"/>
              <w:marBottom w:val="0"/>
              <w:divBdr>
                <w:top w:val="none" w:sz="0" w:space="0" w:color="auto"/>
                <w:left w:val="none" w:sz="0" w:space="0" w:color="auto"/>
                <w:bottom w:val="none" w:sz="0" w:space="0" w:color="auto"/>
                <w:right w:val="none" w:sz="0" w:space="0" w:color="auto"/>
              </w:divBdr>
              <w:divsChild>
                <w:div w:id="1946646228">
                  <w:marLeft w:val="0"/>
                  <w:marRight w:val="0"/>
                  <w:marTop w:val="0"/>
                  <w:marBottom w:val="0"/>
                  <w:divBdr>
                    <w:top w:val="none" w:sz="0" w:space="0" w:color="auto"/>
                    <w:left w:val="none" w:sz="0" w:space="0" w:color="auto"/>
                    <w:bottom w:val="none" w:sz="0" w:space="0" w:color="auto"/>
                    <w:right w:val="none" w:sz="0" w:space="0" w:color="auto"/>
                  </w:divBdr>
                  <w:divsChild>
                    <w:div w:id="1210998934">
                      <w:marLeft w:val="0"/>
                      <w:marRight w:val="0"/>
                      <w:marTop w:val="0"/>
                      <w:marBottom w:val="0"/>
                      <w:divBdr>
                        <w:top w:val="none" w:sz="0" w:space="0" w:color="auto"/>
                        <w:left w:val="none" w:sz="0" w:space="0" w:color="auto"/>
                        <w:bottom w:val="none" w:sz="0" w:space="0" w:color="auto"/>
                        <w:right w:val="none" w:sz="0" w:space="0" w:color="auto"/>
                      </w:divBdr>
                      <w:divsChild>
                        <w:div w:id="1587417324">
                          <w:marLeft w:val="0"/>
                          <w:marRight w:val="0"/>
                          <w:marTop w:val="0"/>
                          <w:marBottom w:val="0"/>
                          <w:divBdr>
                            <w:top w:val="single" w:sz="6" w:space="0" w:color="828282"/>
                            <w:left w:val="single" w:sz="6" w:space="0" w:color="828282"/>
                            <w:bottom w:val="single" w:sz="6" w:space="0" w:color="828282"/>
                            <w:right w:val="single" w:sz="6" w:space="0" w:color="828282"/>
                          </w:divBdr>
                          <w:divsChild>
                            <w:div w:id="747338166">
                              <w:marLeft w:val="0"/>
                              <w:marRight w:val="0"/>
                              <w:marTop w:val="0"/>
                              <w:marBottom w:val="0"/>
                              <w:divBdr>
                                <w:top w:val="none" w:sz="0" w:space="0" w:color="auto"/>
                                <w:left w:val="none" w:sz="0" w:space="0" w:color="auto"/>
                                <w:bottom w:val="none" w:sz="0" w:space="0" w:color="auto"/>
                                <w:right w:val="none" w:sz="0" w:space="0" w:color="auto"/>
                              </w:divBdr>
                              <w:divsChild>
                                <w:div w:id="2059474373">
                                  <w:marLeft w:val="0"/>
                                  <w:marRight w:val="0"/>
                                  <w:marTop w:val="0"/>
                                  <w:marBottom w:val="0"/>
                                  <w:divBdr>
                                    <w:top w:val="none" w:sz="0" w:space="0" w:color="auto"/>
                                    <w:left w:val="none" w:sz="0" w:space="0" w:color="auto"/>
                                    <w:bottom w:val="none" w:sz="0" w:space="0" w:color="auto"/>
                                    <w:right w:val="none" w:sz="0" w:space="0" w:color="auto"/>
                                  </w:divBdr>
                                  <w:divsChild>
                                    <w:div w:id="1364866681">
                                      <w:marLeft w:val="0"/>
                                      <w:marRight w:val="0"/>
                                      <w:marTop w:val="0"/>
                                      <w:marBottom w:val="0"/>
                                      <w:divBdr>
                                        <w:top w:val="none" w:sz="0" w:space="0" w:color="auto"/>
                                        <w:left w:val="none" w:sz="0" w:space="0" w:color="auto"/>
                                        <w:bottom w:val="none" w:sz="0" w:space="0" w:color="auto"/>
                                        <w:right w:val="none" w:sz="0" w:space="0" w:color="auto"/>
                                      </w:divBdr>
                                      <w:divsChild>
                                        <w:div w:id="1452167509">
                                          <w:marLeft w:val="0"/>
                                          <w:marRight w:val="0"/>
                                          <w:marTop w:val="0"/>
                                          <w:marBottom w:val="0"/>
                                          <w:divBdr>
                                            <w:top w:val="none" w:sz="0" w:space="0" w:color="auto"/>
                                            <w:left w:val="none" w:sz="0" w:space="0" w:color="auto"/>
                                            <w:bottom w:val="none" w:sz="0" w:space="0" w:color="auto"/>
                                            <w:right w:val="none" w:sz="0" w:space="0" w:color="auto"/>
                                          </w:divBdr>
                                          <w:divsChild>
                                            <w:div w:id="746075472">
                                              <w:marLeft w:val="0"/>
                                              <w:marRight w:val="0"/>
                                              <w:marTop w:val="0"/>
                                              <w:marBottom w:val="0"/>
                                              <w:divBdr>
                                                <w:top w:val="none" w:sz="0" w:space="0" w:color="auto"/>
                                                <w:left w:val="none" w:sz="0" w:space="0" w:color="auto"/>
                                                <w:bottom w:val="none" w:sz="0" w:space="0" w:color="auto"/>
                                                <w:right w:val="none" w:sz="0" w:space="0" w:color="auto"/>
                                              </w:divBdr>
                                              <w:divsChild>
                                                <w:div w:id="116119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comlaw.gov.au/"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acma.gov.au/theACMA/Consultations/Consultations/Sunsetting/sunsetting-issues-for-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KNAH4PPFC442-3114-899</_dlc_DocId>
    <_dlc_DocIdUrl xmlns="6db8f3c6-01a1-4322-b043-a3b2a190f7a8">
      <Url>http://collaboration/organisation/Auth/Chair/Auth/_layouts/DocIdRedir.aspx?ID=KNAH4PPFC442-3114-899</Url>
      <Description>KNAH4PPFC442-3114-899</Description>
    </_dlc_DocIdUrl>
    <Record_x0020_Number xmlns="83630db1-6fc2-4dfd-b3fe-d61d34e1440c" xsi:nil="true"/>
    <Legacy_x0020_Record_x0020_Number xmlns="83630db1-6fc2-4dfd-b3fe-d61d34e1440c" xsi:nil="true"/>
    <IconOverlay xmlns="http://schemas.microsoft.com/sharepoint/v4" xsi:nil="true"/>
    <Category xmlns="5e268b55-9e20-462b-aba6-694451a37717">(none)</Category>
  </documentManagement>
</p:properties>
</file>

<file path=customXml/item5.xml><?xml version="1.0" encoding="utf-8"?>
<ct:contentTypeSchema xmlns:ct="http://schemas.microsoft.com/office/2006/metadata/contentType" xmlns:ma="http://schemas.microsoft.com/office/2006/metadata/properties/metaAttributes" ct:_="" ma:_="" ma:contentTypeName="Record" ma:contentTypeID="0x01010070E27D6A746B5B48ADF22C2128054D5500EE817EA22CCD994CB2E127746CF12863" ma:contentTypeVersion="40" ma:contentTypeDescription="A document enhanced so that it is automatically captured by RecordPoint." ma:contentTypeScope="" ma:versionID="e4b41f60994b85d41917cbc701e8f128">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9deb499b43edd75fe619984536fd035"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033047a-93aa-421b-8aef-52cbfb63cf36" ContentTypeId="0x01010070E27D6A746B5B48ADF22C2128054D55"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19E20-4D13-46BA-B1C0-DDA61295E4D9}">
  <ds:schemaRefs>
    <ds:schemaRef ds:uri="http://schemas.microsoft.com/office/2006/metadata/longProperties"/>
  </ds:schemaRefs>
</ds:datastoreItem>
</file>

<file path=customXml/itemProps2.xml><?xml version="1.0" encoding="utf-8"?>
<ds:datastoreItem xmlns:ds="http://schemas.openxmlformats.org/officeDocument/2006/customXml" ds:itemID="{725B9CE5-A001-439F-989E-54534DFBF060}">
  <ds:schemaRefs>
    <ds:schemaRef ds:uri="http://schemas.microsoft.com/sharepoint/events"/>
  </ds:schemaRefs>
</ds:datastoreItem>
</file>

<file path=customXml/itemProps3.xml><?xml version="1.0" encoding="utf-8"?>
<ds:datastoreItem xmlns:ds="http://schemas.openxmlformats.org/officeDocument/2006/customXml" ds:itemID="{BE3BE418-7840-4F15-AFC7-39AE0832F4FA}">
  <ds:schemaRefs>
    <ds:schemaRef ds:uri="http://schemas.microsoft.com/sharepoint/v3/contenttype/forms"/>
  </ds:schemaRefs>
</ds:datastoreItem>
</file>

<file path=customXml/itemProps4.xml><?xml version="1.0" encoding="utf-8"?>
<ds:datastoreItem xmlns:ds="http://schemas.openxmlformats.org/officeDocument/2006/customXml" ds:itemID="{3AA940D2-9FB6-4ACC-AFD9-B1ECC9FE825A}">
  <ds:schemaRefs>
    <ds:schemaRef ds:uri="http://schemas.microsoft.com/office/2006/metadata/properties"/>
    <ds:schemaRef ds:uri="http://schemas.microsoft.com/office/infopath/2007/PartnerControls"/>
    <ds:schemaRef ds:uri="6db8f3c6-01a1-4322-b043-a3b2a190f7a8"/>
    <ds:schemaRef ds:uri="83630db1-6fc2-4dfd-b3fe-d61d34e1440c"/>
    <ds:schemaRef ds:uri="http://schemas.microsoft.com/sharepoint/v4"/>
    <ds:schemaRef ds:uri="5e268b55-9e20-462b-aba6-694451a37717"/>
  </ds:schemaRefs>
</ds:datastoreItem>
</file>

<file path=customXml/itemProps5.xml><?xml version="1.0" encoding="utf-8"?>
<ds:datastoreItem xmlns:ds="http://schemas.openxmlformats.org/officeDocument/2006/customXml" ds:itemID="{4BF9C8DF-0373-45E0-A1AE-E460A5E74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29F92F2-9BC1-467C-AD44-56A39BD797CA}">
  <ds:schemaRefs>
    <ds:schemaRef ds:uri="Microsoft.SharePoint.Taxonomy.ContentTypeSync"/>
  </ds:schemaRefs>
</ds:datastoreItem>
</file>

<file path=customXml/itemProps7.xml><?xml version="1.0" encoding="utf-8"?>
<ds:datastoreItem xmlns:ds="http://schemas.openxmlformats.org/officeDocument/2006/customXml" ds:itemID="{A816EDF8-F69F-43E1-8A1C-3CEFCFAD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2190</Words>
  <Characters>12550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2015-08-25T05:16:00Z</dcterms:created>
  <dcterms:modified xsi:type="dcterms:W3CDTF">2015-08-31T04:19:00Z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0d50f6b2-38f0-4f63-88dd-cdbd242829d2</vt:lpwstr>
  </property>
  <property fmtid="{D5CDD505-2E9C-101B-9397-08002B2CF9AE}" pid="3" name="ContentTypeId">
    <vt:lpwstr>0x01010070E27D6A746B5B48ADF22C2128054D5500EE817EA22CCD994CB2E127746CF12863</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{f1c3c3d6-c421-46f6-a621-f79f6b29635f}</vt:lpwstr>
  </property>
  <property fmtid="{D5CDD505-2E9C-101B-9397-08002B2CF9AE}" pid="7" name="RecordPoint_ActiveItemMoved">
    <vt:lpwstr/>
  </property>
  <property fmtid="{D5CDD505-2E9C-101B-9397-08002B2CF9AE}" pid="8" name="RecordPoint_SubmissionCompleted">
    <vt:lpwstr/>
  </property>
  <property fmtid="{D5CDD505-2E9C-101B-9397-08002B2CF9AE}" pid="9" name="RecordPoint_ActiveItemUniqueId">
    <vt:lpwstr>{0d50f6b2-38f0-4f63-88dd-cdbd242829d2}</vt:lpwstr>
  </property>
  <property fmtid="{D5CDD505-2E9C-101B-9397-08002B2CF9AE}" pid="10" name="RecordPoint_RecordFormat">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