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153CE" w14:textId="77777777" w:rsidR="006C4A30" w:rsidRPr="00B138C4" w:rsidRDefault="006C4A30" w:rsidP="006C4A30">
      <w:pPr>
        <w:pStyle w:val="ttCrest"/>
        <w:rPr>
          <w:sz w:val="19"/>
        </w:rPr>
      </w:pPr>
      <w:r w:rsidRPr="00B138C4">
        <w:rPr>
          <w:noProof/>
          <w:lang w:eastAsia="en-AU"/>
        </w:rPr>
        <w:drawing>
          <wp:inline distT="0" distB="0" distL="0" distR="0" wp14:anchorId="0B074968" wp14:editId="3197C02C">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0B18C5E7" w14:textId="77777777" w:rsidR="00F81A21" w:rsidRDefault="00810E64" w:rsidP="00F81A21">
      <w:pPr>
        <w:pStyle w:val="ShortT"/>
      </w:pPr>
      <w:bookmarkStart w:id="0" w:name="Citation"/>
      <w:r w:rsidRPr="00B138C4">
        <w:t>Carbon Credits (Carbon Farming Initiative</w:t>
      </w:r>
      <w:r w:rsidRPr="00B138C4">
        <w:rPr>
          <w:i/>
          <w:noProof/>
        </w:rPr>
        <w:t>—</w:t>
      </w:r>
      <w:r w:rsidRPr="00B138C4">
        <w:t xml:space="preserve">Beef Cattle Herd Management) Methodology Determination </w:t>
      </w:r>
      <w:bookmarkEnd w:id="0"/>
      <w:r w:rsidRPr="00B138C4">
        <w:t>2015</w:t>
      </w:r>
    </w:p>
    <w:p w14:paraId="4682294E" w14:textId="77777777" w:rsidR="00FE6D8A" w:rsidRPr="00402803" w:rsidRDefault="00FE6D8A" w:rsidP="00FE6D8A">
      <w:pPr>
        <w:pStyle w:val="MadeunderText"/>
      </w:pPr>
      <w:r w:rsidRPr="00BC3AE3">
        <w:t>made under</w:t>
      </w:r>
      <w:r>
        <w:t xml:space="preserve"> 106(1) of the</w:t>
      </w:r>
    </w:p>
    <w:p w14:paraId="506CEE02" w14:textId="77777777" w:rsidR="00196E20" w:rsidRPr="00196E20" w:rsidRDefault="00196E20" w:rsidP="00196E20">
      <w:pPr>
        <w:pStyle w:val="CompiledMadeUnder"/>
        <w:spacing w:before="240"/>
      </w:pPr>
      <w:r w:rsidRPr="00196E20">
        <w:t>Carbon Credits (Carbon Farming Initiative) Act 2011</w:t>
      </w:r>
    </w:p>
    <w:p w14:paraId="7DF39A50" w14:textId="77777777" w:rsidR="00196E20" w:rsidRPr="00AF61FA" w:rsidRDefault="00196E20" w:rsidP="00196E20">
      <w:pPr>
        <w:spacing w:before="1000"/>
        <w:rPr>
          <w:sz w:val="24"/>
          <w:szCs w:val="24"/>
        </w:rPr>
      </w:pPr>
      <w:r>
        <w:rPr>
          <w:b/>
          <w:sz w:val="32"/>
          <w:szCs w:val="32"/>
        </w:rPr>
        <w:t>Compilation No. 1</w:t>
      </w:r>
      <w:r w:rsidRPr="00AF61FA">
        <w:rPr>
          <w:b/>
          <w:sz w:val="32"/>
          <w:szCs w:val="32"/>
        </w:rPr>
        <w:tab/>
      </w:r>
    </w:p>
    <w:p w14:paraId="0573FC3B" w14:textId="3D8C8C72" w:rsidR="00196E20" w:rsidRPr="00AF61FA" w:rsidRDefault="00196E20" w:rsidP="00196E20">
      <w:pPr>
        <w:spacing w:before="480"/>
        <w:rPr>
          <w:sz w:val="24"/>
        </w:rPr>
      </w:pPr>
      <w:r w:rsidRPr="00AF61FA">
        <w:rPr>
          <w:b/>
          <w:sz w:val="24"/>
        </w:rPr>
        <w:t>Compilation date:</w:t>
      </w:r>
      <w:r w:rsidRPr="00AF61FA">
        <w:rPr>
          <w:b/>
          <w:sz w:val="24"/>
        </w:rPr>
        <w:tab/>
      </w:r>
      <w:r w:rsidRPr="00AF61FA">
        <w:rPr>
          <w:b/>
          <w:sz w:val="24"/>
        </w:rPr>
        <w:tab/>
      </w:r>
      <w:r w:rsidRPr="00AF61FA">
        <w:rPr>
          <w:b/>
          <w:sz w:val="24"/>
        </w:rPr>
        <w:tab/>
      </w:r>
      <w:r w:rsidR="00FE6D8A">
        <w:rPr>
          <w:sz w:val="24"/>
        </w:rPr>
        <w:t xml:space="preserve">25 May </w:t>
      </w:r>
      <w:r>
        <w:rPr>
          <w:sz w:val="24"/>
        </w:rPr>
        <w:t>2017</w:t>
      </w:r>
    </w:p>
    <w:p w14:paraId="4DA01F00" w14:textId="77777777" w:rsidR="00196E20" w:rsidRPr="00AF61FA" w:rsidRDefault="00196E20" w:rsidP="00196E20">
      <w:pPr>
        <w:spacing w:before="240"/>
        <w:rPr>
          <w:sz w:val="24"/>
        </w:rPr>
      </w:pPr>
      <w:r w:rsidRPr="00AF61FA">
        <w:rPr>
          <w:b/>
          <w:sz w:val="24"/>
        </w:rPr>
        <w:t>Includes amendments up to:</w:t>
      </w:r>
      <w:r w:rsidRPr="00AF61FA">
        <w:rPr>
          <w:b/>
          <w:sz w:val="24"/>
        </w:rPr>
        <w:tab/>
      </w:r>
      <w:r w:rsidR="00F64146">
        <w:t>F2017L00596</w:t>
      </w:r>
    </w:p>
    <w:p w14:paraId="23FC3B02" w14:textId="77777777" w:rsidR="00196E20" w:rsidRPr="00AF61FA" w:rsidRDefault="00196E20" w:rsidP="00196E20">
      <w:pPr>
        <w:spacing w:before="240"/>
        <w:rPr>
          <w:sz w:val="24"/>
        </w:rPr>
      </w:pPr>
    </w:p>
    <w:p w14:paraId="1E708C0D" w14:textId="77777777" w:rsidR="00196E20" w:rsidRPr="00AF61FA" w:rsidRDefault="00196E20" w:rsidP="00196E20">
      <w:pPr>
        <w:spacing w:before="240"/>
        <w:rPr>
          <w:sz w:val="24"/>
        </w:rPr>
      </w:pPr>
    </w:p>
    <w:p w14:paraId="5EB99DC5" w14:textId="77777777" w:rsidR="00F81A21" w:rsidRPr="00B138C4" w:rsidRDefault="00F81A21" w:rsidP="00F81A21">
      <w:pPr>
        <w:pStyle w:val="SignCoverPageEnd"/>
        <w:rPr>
          <w:szCs w:val="22"/>
        </w:rPr>
      </w:pPr>
    </w:p>
    <w:p w14:paraId="11E6809C" w14:textId="3B3C8514" w:rsidR="00F47AAB" w:rsidRPr="00B138C4" w:rsidRDefault="00FE6D8A">
      <w:pPr>
        <w:spacing w:line="240" w:lineRule="auto"/>
      </w:pPr>
      <w:r>
        <w:t>Prepared by the Department of the Environment and Energy</w:t>
      </w:r>
      <w:r w:rsidRPr="00B138C4">
        <w:t xml:space="preserve"> </w:t>
      </w:r>
      <w:r w:rsidR="00F47AAB" w:rsidRPr="00B138C4">
        <w:br w:type="page"/>
      </w:r>
    </w:p>
    <w:p w14:paraId="52E0A5AE" w14:textId="77777777" w:rsidR="00D94A0D" w:rsidRPr="00AF61FA" w:rsidRDefault="00D94A0D" w:rsidP="00D94A0D">
      <w:pPr>
        <w:pageBreakBefore/>
        <w:rPr>
          <w:b/>
          <w:sz w:val="32"/>
          <w:szCs w:val="32"/>
        </w:rPr>
      </w:pPr>
      <w:r w:rsidRPr="00AF61FA">
        <w:rPr>
          <w:b/>
          <w:sz w:val="32"/>
          <w:szCs w:val="32"/>
        </w:rPr>
        <w:lastRenderedPageBreak/>
        <w:t>About this compilation</w:t>
      </w:r>
    </w:p>
    <w:p w14:paraId="0F40E938" w14:textId="77777777" w:rsidR="00D94A0D" w:rsidRPr="00AF61FA" w:rsidRDefault="00D94A0D" w:rsidP="00D94A0D">
      <w:pPr>
        <w:spacing w:after="120"/>
        <w:rPr>
          <w:szCs w:val="22"/>
        </w:rPr>
      </w:pPr>
    </w:p>
    <w:p w14:paraId="483FB720" w14:textId="77777777" w:rsidR="00D94A0D" w:rsidRPr="00AF61FA" w:rsidRDefault="00D94A0D" w:rsidP="00D94A0D">
      <w:pPr>
        <w:spacing w:before="240"/>
      </w:pPr>
      <w:r w:rsidRPr="00AF61FA">
        <w:rPr>
          <w:b/>
          <w:szCs w:val="22"/>
        </w:rPr>
        <w:t>This compilation</w:t>
      </w:r>
    </w:p>
    <w:p w14:paraId="4F611FCA" w14:textId="5EEE0B8B" w:rsidR="00D94A0D" w:rsidRPr="00AF61FA" w:rsidRDefault="00D94A0D" w:rsidP="00D94A0D">
      <w:pPr>
        <w:spacing w:before="120" w:after="120"/>
        <w:rPr>
          <w:szCs w:val="22"/>
        </w:rPr>
      </w:pPr>
      <w:r w:rsidRPr="00AF61FA">
        <w:rPr>
          <w:szCs w:val="22"/>
        </w:rPr>
        <w:t xml:space="preserve">This is a compilation of the </w:t>
      </w:r>
      <w:r w:rsidR="00402D91" w:rsidRPr="00402D91">
        <w:rPr>
          <w:i/>
        </w:rPr>
        <w:t>Carbon Credits (Carbon Farming Initiative</w:t>
      </w:r>
      <w:r w:rsidR="00402D91" w:rsidRPr="00402D91">
        <w:rPr>
          <w:i/>
          <w:noProof/>
        </w:rPr>
        <w:t>—</w:t>
      </w:r>
      <w:r w:rsidR="00402D91" w:rsidRPr="00402D91">
        <w:rPr>
          <w:i/>
        </w:rPr>
        <w:t>Beef Cattle Herd Management) Methodology Determination 2015</w:t>
      </w:r>
      <w:r w:rsidRPr="00AF61FA">
        <w:rPr>
          <w:szCs w:val="22"/>
        </w:rPr>
        <w:t xml:space="preserve"> that shows the text of the law as amended and in </w:t>
      </w:r>
      <w:r w:rsidRPr="00297293">
        <w:rPr>
          <w:szCs w:val="22"/>
        </w:rPr>
        <w:t xml:space="preserve">force on </w:t>
      </w:r>
      <w:r w:rsidR="00297293" w:rsidRPr="007411E9">
        <w:rPr>
          <w:szCs w:val="22"/>
        </w:rPr>
        <w:t>25 May</w:t>
      </w:r>
      <w:bookmarkStart w:id="1" w:name="_GoBack"/>
      <w:bookmarkEnd w:id="1"/>
      <w:r w:rsidR="00402D91" w:rsidRPr="00297293">
        <w:rPr>
          <w:szCs w:val="22"/>
        </w:rPr>
        <w:t xml:space="preserve"> 2017</w:t>
      </w:r>
      <w:r w:rsidRPr="00297293">
        <w:rPr>
          <w:szCs w:val="22"/>
        </w:rPr>
        <w:t xml:space="preserve"> (the </w:t>
      </w:r>
      <w:r w:rsidRPr="00297293">
        <w:rPr>
          <w:b/>
          <w:i/>
          <w:szCs w:val="22"/>
        </w:rPr>
        <w:t>compilation date</w:t>
      </w:r>
      <w:r w:rsidRPr="00297293">
        <w:rPr>
          <w:szCs w:val="22"/>
        </w:rPr>
        <w:t>).</w:t>
      </w:r>
    </w:p>
    <w:p w14:paraId="5C0D6811" w14:textId="77777777" w:rsidR="00D94A0D" w:rsidRPr="00AF61FA" w:rsidRDefault="00D94A0D" w:rsidP="00D94A0D">
      <w:pPr>
        <w:spacing w:after="120"/>
        <w:rPr>
          <w:szCs w:val="22"/>
        </w:rPr>
      </w:pPr>
      <w:r w:rsidRPr="00AF61FA">
        <w:rPr>
          <w:szCs w:val="22"/>
        </w:rPr>
        <w:t xml:space="preserve">The notes at the end of this compilation (the </w:t>
      </w:r>
      <w:r w:rsidRPr="00AF61FA">
        <w:rPr>
          <w:b/>
          <w:i/>
          <w:szCs w:val="22"/>
        </w:rPr>
        <w:t>endnotes</w:t>
      </w:r>
      <w:r w:rsidRPr="00AF61FA">
        <w:rPr>
          <w:szCs w:val="22"/>
        </w:rPr>
        <w:t>) include information about amending laws and the amendment history of provisions of the compiled law.</w:t>
      </w:r>
    </w:p>
    <w:p w14:paraId="095E2C4C" w14:textId="77777777" w:rsidR="00D94A0D" w:rsidRPr="00AF61FA" w:rsidRDefault="00D94A0D" w:rsidP="00D94A0D">
      <w:pPr>
        <w:tabs>
          <w:tab w:val="left" w:pos="5640"/>
        </w:tabs>
        <w:spacing w:before="120" w:after="120"/>
        <w:rPr>
          <w:b/>
          <w:szCs w:val="22"/>
        </w:rPr>
      </w:pPr>
      <w:r w:rsidRPr="00AF61FA">
        <w:rPr>
          <w:b/>
          <w:szCs w:val="22"/>
        </w:rPr>
        <w:t>Uncommenced amendments</w:t>
      </w:r>
    </w:p>
    <w:p w14:paraId="7CD60419" w14:textId="77777777" w:rsidR="00D94A0D" w:rsidRPr="00AF61FA" w:rsidRDefault="00D94A0D" w:rsidP="00D94A0D">
      <w:pPr>
        <w:spacing w:after="120"/>
        <w:rPr>
          <w:szCs w:val="22"/>
        </w:rPr>
      </w:pPr>
      <w:r w:rsidRPr="00AF61FA">
        <w:rPr>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9681E88" w14:textId="77777777" w:rsidR="00D94A0D" w:rsidRPr="00AF61FA" w:rsidRDefault="00D94A0D" w:rsidP="00D94A0D">
      <w:pPr>
        <w:spacing w:before="120" w:after="120"/>
        <w:rPr>
          <w:b/>
          <w:szCs w:val="22"/>
        </w:rPr>
      </w:pPr>
      <w:r w:rsidRPr="00AF61FA">
        <w:rPr>
          <w:b/>
          <w:szCs w:val="22"/>
        </w:rPr>
        <w:t>Application, saving and transitional provisions for provisions and amendments</w:t>
      </w:r>
    </w:p>
    <w:p w14:paraId="6A680D2A" w14:textId="77777777" w:rsidR="00D94A0D" w:rsidRPr="00AF61FA" w:rsidRDefault="00D94A0D" w:rsidP="00D94A0D">
      <w:pPr>
        <w:spacing w:after="120"/>
        <w:rPr>
          <w:szCs w:val="22"/>
        </w:rPr>
      </w:pPr>
      <w:r w:rsidRPr="00AF61FA">
        <w:rPr>
          <w:szCs w:val="22"/>
        </w:rPr>
        <w:t>If the operation of a provision or amendment of the compiled law is affected by an application, saving or transitional provision that is not included in this compilation, details are included in the endnotes.</w:t>
      </w:r>
    </w:p>
    <w:p w14:paraId="34CDE238" w14:textId="77777777" w:rsidR="00D94A0D" w:rsidRPr="00AF61FA" w:rsidRDefault="00D94A0D" w:rsidP="00D94A0D">
      <w:pPr>
        <w:spacing w:before="120" w:after="120"/>
        <w:rPr>
          <w:b/>
          <w:szCs w:val="22"/>
        </w:rPr>
      </w:pPr>
      <w:r w:rsidRPr="00AF61FA">
        <w:rPr>
          <w:b/>
          <w:szCs w:val="22"/>
        </w:rPr>
        <w:t>Modifications</w:t>
      </w:r>
    </w:p>
    <w:p w14:paraId="596C4FA4" w14:textId="77777777" w:rsidR="00D94A0D" w:rsidRPr="00AF61FA" w:rsidRDefault="00D94A0D" w:rsidP="00D94A0D">
      <w:pPr>
        <w:spacing w:after="120"/>
        <w:rPr>
          <w:szCs w:val="22"/>
        </w:rPr>
      </w:pPr>
      <w:r w:rsidRPr="00AF61FA">
        <w:rPr>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B38237E" w14:textId="77777777" w:rsidR="00D94A0D" w:rsidRPr="00AF61FA" w:rsidRDefault="00D94A0D" w:rsidP="00D94A0D">
      <w:pPr>
        <w:spacing w:before="80" w:after="120"/>
        <w:rPr>
          <w:b/>
          <w:szCs w:val="22"/>
        </w:rPr>
      </w:pPr>
      <w:r w:rsidRPr="00AF61FA">
        <w:rPr>
          <w:b/>
          <w:szCs w:val="22"/>
        </w:rPr>
        <w:t>Self</w:t>
      </w:r>
      <w:r w:rsidRPr="00AF61FA">
        <w:rPr>
          <w:b/>
          <w:szCs w:val="22"/>
        </w:rPr>
        <w:noBreakHyphen/>
        <w:t>repealing provisions</w:t>
      </w:r>
    </w:p>
    <w:p w14:paraId="23B6553E" w14:textId="77777777" w:rsidR="00D94A0D" w:rsidRPr="00AF61FA" w:rsidRDefault="00D94A0D" w:rsidP="00D94A0D">
      <w:pPr>
        <w:spacing w:after="120"/>
        <w:rPr>
          <w:szCs w:val="22"/>
        </w:rPr>
      </w:pPr>
      <w:r w:rsidRPr="00AF61FA">
        <w:rPr>
          <w:szCs w:val="22"/>
        </w:rPr>
        <w:t>If a provision of the compiled law has been repealed in accordance with a provision of the law, details are included in the endnotes.</w:t>
      </w:r>
    </w:p>
    <w:p w14:paraId="24F0F568" w14:textId="77777777" w:rsidR="00402D91" w:rsidRDefault="00402D91">
      <w:pPr>
        <w:spacing w:line="240" w:lineRule="auto"/>
        <w:rPr>
          <w:sz w:val="36"/>
        </w:rPr>
      </w:pPr>
      <w:r>
        <w:rPr>
          <w:sz w:val="36"/>
        </w:rPr>
        <w:br w:type="page"/>
      </w:r>
    </w:p>
    <w:p w14:paraId="4B034E01" w14:textId="77777777" w:rsidR="00F47AAB" w:rsidRPr="00B138C4" w:rsidRDefault="00F47AAB" w:rsidP="00F47AAB">
      <w:pPr>
        <w:rPr>
          <w:sz w:val="36"/>
        </w:rPr>
      </w:pPr>
      <w:r w:rsidRPr="00B138C4">
        <w:rPr>
          <w:sz w:val="36"/>
        </w:rPr>
        <w:lastRenderedPageBreak/>
        <w:t>Contents</w:t>
      </w:r>
    </w:p>
    <w:bookmarkStart w:id="2" w:name="BKCheck15B_2"/>
    <w:bookmarkEnd w:id="2"/>
    <w:p w14:paraId="58D4512E" w14:textId="77777777" w:rsidR="00970B72" w:rsidRDefault="00970B72">
      <w:pPr>
        <w:pStyle w:val="TOC2"/>
        <w:rPr>
          <w:rFonts w:asciiTheme="minorHAnsi" w:eastAsiaTheme="minorEastAsia" w:hAnsiTheme="minorHAnsi" w:cstheme="minorBidi"/>
          <w:b w:val="0"/>
          <w:noProof/>
          <w:kern w:val="0"/>
          <w:sz w:val="22"/>
          <w:szCs w:val="22"/>
        </w:rPr>
      </w:pPr>
      <w:r>
        <w:rPr>
          <w:b w:val="0"/>
        </w:rPr>
        <w:fldChar w:fldCharType="begin"/>
      </w:r>
      <w:r>
        <w:instrText xml:space="preserve"> TOC \o1-9 </w:instrText>
      </w:r>
      <w:r>
        <w:rPr>
          <w:b w:val="0"/>
        </w:rPr>
        <w:fldChar w:fldCharType="separate"/>
      </w:r>
      <w:r>
        <w:rPr>
          <w:noProof/>
        </w:rPr>
        <w:t>Part 1—Preliminary</w:t>
      </w:r>
      <w:r>
        <w:rPr>
          <w:noProof/>
        </w:rPr>
        <w:tab/>
      </w:r>
      <w:r>
        <w:rPr>
          <w:noProof/>
        </w:rPr>
        <w:fldChar w:fldCharType="begin"/>
      </w:r>
      <w:r>
        <w:rPr>
          <w:noProof/>
        </w:rPr>
        <w:instrText xml:space="preserve"> PAGEREF _Toc485211961 \h </w:instrText>
      </w:r>
      <w:r>
        <w:rPr>
          <w:noProof/>
        </w:rPr>
      </w:r>
      <w:r>
        <w:rPr>
          <w:noProof/>
        </w:rPr>
        <w:fldChar w:fldCharType="separate"/>
      </w:r>
      <w:r w:rsidR="00A63FD0">
        <w:rPr>
          <w:noProof/>
        </w:rPr>
        <w:t>5</w:t>
      </w:r>
      <w:r>
        <w:rPr>
          <w:noProof/>
        </w:rPr>
        <w:fldChar w:fldCharType="end"/>
      </w:r>
    </w:p>
    <w:p w14:paraId="643B433A" w14:textId="77777777" w:rsidR="00970B72" w:rsidRDefault="00970B7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_Toc485211962 \h </w:instrText>
      </w:r>
      <w:r>
        <w:rPr>
          <w:noProof/>
        </w:rPr>
      </w:r>
      <w:r>
        <w:rPr>
          <w:noProof/>
        </w:rPr>
        <w:fldChar w:fldCharType="separate"/>
      </w:r>
      <w:r w:rsidR="00A63FD0">
        <w:rPr>
          <w:noProof/>
        </w:rPr>
        <w:t>5</w:t>
      </w:r>
      <w:r>
        <w:rPr>
          <w:noProof/>
        </w:rPr>
        <w:fldChar w:fldCharType="end"/>
      </w:r>
    </w:p>
    <w:p w14:paraId="508EE907" w14:textId="77777777" w:rsidR="00970B72" w:rsidRDefault="00970B7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_Toc485211963 \h </w:instrText>
      </w:r>
      <w:r>
        <w:rPr>
          <w:noProof/>
        </w:rPr>
      </w:r>
      <w:r>
        <w:rPr>
          <w:noProof/>
        </w:rPr>
        <w:fldChar w:fldCharType="separate"/>
      </w:r>
      <w:r w:rsidR="00A63FD0">
        <w:rPr>
          <w:noProof/>
        </w:rPr>
        <w:t>5</w:t>
      </w:r>
      <w:r>
        <w:rPr>
          <w:noProof/>
        </w:rPr>
        <w:fldChar w:fldCharType="end"/>
      </w:r>
    </w:p>
    <w:p w14:paraId="158E8D09" w14:textId="77777777" w:rsidR="00970B72" w:rsidRDefault="00970B7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_Toc485211964 \h </w:instrText>
      </w:r>
      <w:r>
        <w:rPr>
          <w:noProof/>
        </w:rPr>
      </w:r>
      <w:r>
        <w:rPr>
          <w:noProof/>
        </w:rPr>
        <w:fldChar w:fldCharType="separate"/>
      </w:r>
      <w:r w:rsidR="00A63FD0">
        <w:rPr>
          <w:noProof/>
        </w:rPr>
        <w:t>5</w:t>
      </w:r>
      <w:r>
        <w:rPr>
          <w:noProof/>
        </w:rPr>
        <w:fldChar w:fldCharType="end"/>
      </w:r>
    </w:p>
    <w:p w14:paraId="18C53D6E" w14:textId="77777777" w:rsidR="00970B72" w:rsidRDefault="00970B72">
      <w:pPr>
        <w:pStyle w:val="TOC5"/>
        <w:rPr>
          <w:rFonts w:asciiTheme="minorHAnsi" w:eastAsiaTheme="minorEastAsia" w:hAnsiTheme="minorHAnsi" w:cstheme="minorBidi"/>
          <w:noProof/>
          <w:kern w:val="0"/>
          <w:sz w:val="22"/>
          <w:szCs w:val="22"/>
        </w:rPr>
      </w:pPr>
      <w:r>
        <w:rPr>
          <w:noProof/>
        </w:rPr>
        <w:t>4  Duration</w:t>
      </w:r>
      <w:r>
        <w:rPr>
          <w:noProof/>
        </w:rPr>
        <w:tab/>
      </w:r>
      <w:r>
        <w:rPr>
          <w:noProof/>
        </w:rPr>
        <w:fldChar w:fldCharType="begin"/>
      </w:r>
      <w:r>
        <w:rPr>
          <w:noProof/>
        </w:rPr>
        <w:instrText xml:space="preserve"> PAGEREF _Toc485211965 \h </w:instrText>
      </w:r>
      <w:r>
        <w:rPr>
          <w:noProof/>
        </w:rPr>
      </w:r>
      <w:r>
        <w:rPr>
          <w:noProof/>
        </w:rPr>
        <w:fldChar w:fldCharType="separate"/>
      </w:r>
      <w:r w:rsidR="00A63FD0">
        <w:rPr>
          <w:noProof/>
        </w:rPr>
        <w:t>5</w:t>
      </w:r>
      <w:r>
        <w:rPr>
          <w:noProof/>
        </w:rPr>
        <w:fldChar w:fldCharType="end"/>
      </w:r>
    </w:p>
    <w:p w14:paraId="61D27069" w14:textId="77777777" w:rsidR="00970B72" w:rsidRDefault="00970B72">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_Toc485211966 \h </w:instrText>
      </w:r>
      <w:r>
        <w:rPr>
          <w:noProof/>
        </w:rPr>
      </w:r>
      <w:r>
        <w:rPr>
          <w:noProof/>
        </w:rPr>
        <w:fldChar w:fldCharType="separate"/>
      </w:r>
      <w:r w:rsidR="00A63FD0">
        <w:rPr>
          <w:noProof/>
        </w:rPr>
        <w:t>5</w:t>
      </w:r>
      <w:r>
        <w:rPr>
          <w:noProof/>
        </w:rPr>
        <w:fldChar w:fldCharType="end"/>
      </w:r>
    </w:p>
    <w:p w14:paraId="612F68F9" w14:textId="77777777" w:rsidR="00970B72" w:rsidRDefault="00970B72">
      <w:pPr>
        <w:pStyle w:val="TOC2"/>
        <w:rPr>
          <w:rFonts w:asciiTheme="minorHAnsi" w:eastAsiaTheme="minorEastAsia" w:hAnsiTheme="minorHAnsi" w:cstheme="minorBidi"/>
          <w:b w:val="0"/>
          <w:noProof/>
          <w:kern w:val="0"/>
          <w:sz w:val="22"/>
          <w:szCs w:val="22"/>
        </w:rPr>
      </w:pPr>
      <w:r>
        <w:rPr>
          <w:noProof/>
        </w:rPr>
        <w:t>Part 2—Herd management projects</w:t>
      </w:r>
      <w:r>
        <w:rPr>
          <w:noProof/>
        </w:rPr>
        <w:tab/>
      </w:r>
      <w:r>
        <w:rPr>
          <w:noProof/>
        </w:rPr>
        <w:fldChar w:fldCharType="begin"/>
      </w:r>
      <w:r>
        <w:rPr>
          <w:noProof/>
        </w:rPr>
        <w:instrText xml:space="preserve"> PAGEREF _Toc485211967 \h </w:instrText>
      </w:r>
      <w:r>
        <w:rPr>
          <w:noProof/>
        </w:rPr>
      </w:r>
      <w:r>
        <w:rPr>
          <w:noProof/>
        </w:rPr>
        <w:fldChar w:fldCharType="separate"/>
      </w:r>
      <w:r w:rsidR="00A63FD0">
        <w:rPr>
          <w:noProof/>
        </w:rPr>
        <w:t>9</w:t>
      </w:r>
      <w:r>
        <w:rPr>
          <w:noProof/>
        </w:rPr>
        <w:fldChar w:fldCharType="end"/>
      </w:r>
    </w:p>
    <w:p w14:paraId="72DB09D2" w14:textId="77777777" w:rsidR="00970B72" w:rsidRDefault="00970B72">
      <w:pPr>
        <w:pStyle w:val="TOC5"/>
        <w:rPr>
          <w:rFonts w:asciiTheme="minorHAnsi" w:eastAsiaTheme="minorEastAsia" w:hAnsiTheme="minorHAnsi" w:cstheme="minorBidi"/>
          <w:noProof/>
          <w:kern w:val="0"/>
          <w:sz w:val="22"/>
          <w:szCs w:val="22"/>
        </w:rPr>
      </w:pPr>
      <w:r>
        <w:rPr>
          <w:noProof/>
        </w:rPr>
        <w:t>6  Herd management projects</w:t>
      </w:r>
      <w:r>
        <w:rPr>
          <w:noProof/>
        </w:rPr>
        <w:tab/>
      </w:r>
      <w:r>
        <w:rPr>
          <w:noProof/>
        </w:rPr>
        <w:fldChar w:fldCharType="begin"/>
      </w:r>
      <w:r>
        <w:rPr>
          <w:noProof/>
        </w:rPr>
        <w:instrText xml:space="preserve"> PAGEREF _Toc485211968 \h </w:instrText>
      </w:r>
      <w:r>
        <w:rPr>
          <w:noProof/>
        </w:rPr>
      </w:r>
      <w:r>
        <w:rPr>
          <w:noProof/>
        </w:rPr>
        <w:fldChar w:fldCharType="separate"/>
      </w:r>
      <w:r w:rsidR="00A63FD0">
        <w:rPr>
          <w:noProof/>
        </w:rPr>
        <w:t>9</w:t>
      </w:r>
      <w:r>
        <w:rPr>
          <w:noProof/>
        </w:rPr>
        <w:fldChar w:fldCharType="end"/>
      </w:r>
    </w:p>
    <w:p w14:paraId="5814B6AC" w14:textId="77777777" w:rsidR="00970B72" w:rsidRDefault="00970B72">
      <w:pPr>
        <w:pStyle w:val="TOC2"/>
        <w:rPr>
          <w:rFonts w:asciiTheme="minorHAnsi" w:eastAsiaTheme="minorEastAsia" w:hAnsiTheme="minorHAnsi" w:cstheme="minorBidi"/>
          <w:b w:val="0"/>
          <w:noProof/>
          <w:kern w:val="0"/>
          <w:sz w:val="22"/>
          <w:szCs w:val="22"/>
        </w:rPr>
      </w:pPr>
      <w:r>
        <w:rPr>
          <w:noProof/>
        </w:rPr>
        <w:t>Part 3—Project requirements</w:t>
      </w:r>
      <w:r>
        <w:rPr>
          <w:noProof/>
        </w:rPr>
        <w:tab/>
      </w:r>
      <w:r>
        <w:rPr>
          <w:noProof/>
        </w:rPr>
        <w:fldChar w:fldCharType="begin"/>
      </w:r>
      <w:r>
        <w:rPr>
          <w:noProof/>
        </w:rPr>
        <w:instrText xml:space="preserve"> PAGEREF _Toc485211969 \h </w:instrText>
      </w:r>
      <w:r>
        <w:rPr>
          <w:noProof/>
        </w:rPr>
      </w:r>
      <w:r>
        <w:rPr>
          <w:noProof/>
        </w:rPr>
        <w:fldChar w:fldCharType="separate"/>
      </w:r>
      <w:r w:rsidR="00A63FD0">
        <w:rPr>
          <w:noProof/>
        </w:rPr>
        <w:t>10</w:t>
      </w:r>
      <w:r>
        <w:rPr>
          <w:noProof/>
        </w:rPr>
        <w:fldChar w:fldCharType="end"/>
      </w:r>
    </w:p>
    <w:p w14:paraId="2DB0C837" w14:textId="77777777" w:rsidR="00970B72" w:rsidRDefault="00970B72">
      <w:pPr>
        <w:pStyle w:val="TOC5"/>
        <w:rPr>
          <w:rFonts w:asciiTheme="minorHAnsi" w:eastAsiaTheme="minorEastAsia" w:hAnsiTheme="minorHAnsi" w:cstheme="minorBidi"/>
          <w:noProof/>
          <w:kern w:val="0"/>
          <w:sz w:val="22"/>
          <w:szCs w:val="22"/>
        </w:rPr>
      </w:pPr>
      <w:r>
        <w:rPr>
          <w:noProof/>
        </w:rPr>
        <w:t>7  Operation of this Part</w:t>
      </w:r>
      <w:r>
        <w:rPr>
          <w:noProof/>
        </w:rPr>
        <w:tab/>
      </w:r>
      <w:r>
        <w:rPr>
          <w:noProof/>
        </w:rPr>
        <w:fldChar w:fldCharType="begin"/>
      </w:r>
      <w:r>
        <w:rPr>
          <w:noProof/>
        </w:rPr>
        <w:instrText xml:space="preserve"> PAGEREF _Toc485211970 \h </w:instrText>
      </w:r>
      <w:r>
        <w:rPr>
          <w:noProof/>
        </w:rPr>
      </w:r>
      <w:r>
        <w:rPr>
          <w:noProof/>
        </w:rPr>
        <w:fldChar w:fldCharType="separate"/>
      </w:r>
      <w:r w:rsidR="00A63FD0">
        <w:rPr>
          <w:noProof/>
        </w:rPr>
        <w:t>11</w:t>
      </w:r>
      <w:r>
        <w:rPr>
          <w:noProof/>
        </w:rPr>
        <w:fldChar w:fldCharType="end"/>
      </w:r>
    </w:p>
    <w:p w14:paraId="71FDB6C0" w14:textId="77777777" w:rsidR="00970B72" w:rsidRDefault="00970B72">
      <w:pPr>
        <w:pStyle w:val="TOC5"/>
        <w:rPr>
          <w:rFonts w:asciiTheme="minorHAnsi" w:eastAsiaTheme="minorEastAsia" w:hAnsiTheme="minorHAnsi" w:cstheme="minorBidi"/>
          <w:noProof/>
          <w:kern w:val="0"/>
          <w:sz w:val="22"/>
          <w:szCs w:val="22"/>
        </w:rPr>
      </w:pPr>
      <w:r>
        <w:rPr>
          <w:noProof/>
        </w:rPr>
        <w:t>8  Specifying herds of the project</w:t>
      </w:r>
      <w:r>
        <w:rPr>
          <w:noProof/>
        </w:rPr>
        <w:tab/>
      </w:r>
      <w:r>
        <w:rPr>
          <w:noProof/>
        </w:rPr>
        <w:fldChar w:fldCharType="begin"/>
      </w:r>
      <w:r>
        <w:rPr>
          <w:noProof/>
        </w:rPr>
        <w:instrText xml:space="preserve"> PAGEREF _Toc485211971 \h </w:instrText>
      </w:r>
      <w:r>
        <w:rPr>
          <w:noProof/>
        </w:rPr>
      </w:r>
      <w:r>
        <w:rPr>
          <w:noProof/>
        </w:rPr>
        <w:fldChar w:fldCharType="separate"/>
      </w:r>
      <w:r w:rsidR="00A63FD0">
        <w:rPr>
          <w:noProof/>
        </w:rPr>
        <w:t>12</w:t>
      </w:r>
      <w:r>
        <w:rPr>
          <w:noProof/>
        </w:rPr>
        <w:fldChar w:fldCharType="end"/>
      </w:r>
    </w:p>
    <w:p w14:paraId="2D58DC9C" w14:textId="77777777" w:rsidR="00970B72" w:rsidRDefault="00970B72">
      <w:pPr>
        <w:pStyle w:val="TOC5"/>
        <w:rPr>
          <w:rFonts w:asciiTheme="minorHAnsi" w:eastAsiaTheme="minorEastAsia" w:hAnsiTheme="minorHAnsi" w:cstheme="minorBidi"/>
          <w:noProof/>
          <w:kern w:val="0"/>
          <w:sz w:val="22"/>
          <w:szCs w:val="22"/>
        </w:rPr>
      </w:pPr>
      <w:r>
        <w:rPr>
          <w:noProof/>
        </w:rPr>
        <w:t>9  Requirements for herds of the project</w:t>
      </w:r>
      <w:r>
        <w:rPr>
          <w:noProof/>
        </w:rPr>
        <w:tab/>
      </w:r>
      <w:r>
        <w:rPr>
          <w:noProof/>
        </w:rPr>
        <w:fldChar w:fldCharType="begin"/>
      </w:r>
      <w:r>
        <w:rPr>
          <w:noProof/>
        </w:rPr>
        <w:instrText xml:space="preserve"> PAGEREF _Toc485211972 \h </w:instrText>
      </w:r>
      <w:r>
        <w:rPr>
          <w:noProof/>
        </w:rPr>
      </w:r>
      <w:r>
        <w:rPr>
          <w:noProof/>
        </w:rPr>
        <w:fldChar w:fldCharType="separate"/>
      </w:r>
      <w:r w:rsidR="00A63FD0">
        <w:rPr>
          <w:noProof/>
        </w:rPr>
        <w:t>13</w:t>
      </w:r>
      <w:r>
        <w:rPr>
          <w:noProof/>
        </w:rPr>
        <w:fldChar w:fldCharType="end"/>
      </w:r>
    </w:p>
    <w:p w14:paraId="45142610" w14:textId="77777777" w:rsidR="00970B72" w:rsidRDefault="00970B72">
      <w:pPr>
        <w:pStyle w:val="TOC5"/>
        <w:rPr>
          <w:rFonts w:asciiTheme="minorHAnsi" w:eastAsiaTheme="minorEastAsia" w:hAnsiTheme="minorHAnsi" w:cstheme="minorBidi"/>
          <w:noProof/>
          <w:kern w:val="0"/>
          <w:sz w:val="22"/>
          <w:szCs w:val="22"/>
        </w:rPr>
      </w:pPr>
      <w:r>
        <w:rPr>
          <w:noProof/>
        </w:rPr>
        <w:t>10  Separate business operation requirement</w:t>
      </w:r>
      <w:r>
        <w:rPr>
          <w:noProof/>
        </w:rPr>
        <w:tab/>
      </w:r>
      <w:r>
        <w:rPr>
          <w:noProof/>
        </w:rPr>
        <w:fldChar w:fldCharType="begin"/>
      </w:r>
      <w:r>
        <w:rPr>
          <w:noProof/>
        </w:rPr>
        <w:instrText xml:space="preserve"> PAGEREF _Toc485211973 \h </w:instrText>
      </w:r>
      <w:r>
        <w:rPr>
          <w:noProof/>
        </w:rPr>
      </w:r>
      <w:r>
        <w:rPr>
          <w:noProof/>
        </w:rPr>
        <w:fldChar w:fldCharType="separate"/>
      </w:r>
      <w:r w:rsidR="00A63FD0">
        <w:rPr>
          <w:noProof/>
        </w:rPr>
        <w:t>14</w:t>
      </w:r>
      <w:r>
        <w:rPr>
          <w:noProof/>
        </w:rPr>
        <w:fldChar w:fldCharType="end"/>
      </w:r>
    </w:p>
    <w:p w14:paraId="3105020A" w14:textId="77777777" w:rsidR="00970B72" w:rsidRDefault="00970B72">
      <w:pPr>
        <w:pStyle w:val="TOC5"/>
        <w:rPr>
          <w:rFonts w:asciiTheme="minorHAnsi" w:eastAsiaTheme="minorEastAsia" w:hAnsiTheme="minorHAnsi" w:cstheme="minorBidi"/>
          <w:noProof/>
          <w:kern w:val="0"/>
          <w:sz w:val="22"/>
          <w:szCs w:val="22"/>
        </w:rPr>
      </w:pPr>
      <w:r>
        <w:rPr>
          <w:noProof/>
        </w:rPr>
        <w:t>11  Herd continuity requirement</w:t>
      </w:r>
      <w:r>
        <w:rPr>
          <w:noProof/>
        </w:rPr>
        <w:tab/>
      </w:r>
      <w:r>
        <w:rPr>
          <w:noProof/>
        </w:rPr>
        <w:fldChar w:fldCharType="begin"/>
      </w:r>
      <w:r>
        <w:rPr>
          <w:noProof/>
        </w:rPr>
        <w:instrText xml:space="preserve"> PAGEREF _Toc485211974 \h </w:instrText>
      </w:r>
      <w:r>
        <w:rPr>
          <w:noProof/>
        </w:rPr>
      </w:r>
      <w:r>
        <w:rPr>
          <w:noProof/>
        </w:rPr>
        <w:fldChar w:fldCharType="separate"/>
      </w:r>
      <w:r w:rsidR="00A63FD0">
        <w:rPr>
          <w:noProof/>
        </w:rPr>
        <w:t>14</w:t>
      </w:r>
      <w:r>
        <w:rPr>
          <w:noProof/>
        </w:rPr>
        <w:fldChar w:fldCharType="end"/>
      </w:r>
    </w:p>
    <w:p w14:paraId="282C0563" w14:textId="77777777" w:rsidR="00970B72" w:rsidRDefault="00970B72">
      <w:pPr>
        <w:pStyle w:val="TOC5"/>
        <w:rPr>
          <w:rFonts w:asciiTheme="minorHAnsi" w:eastAsiaTheme="minorEastAsia" w:hAnsiTheme="minorHAnsi" w:cstheme="minorBidi"/>
          <w:noProof/>
          <w:kern w:val="0"/>
          <w:sz w:val="22"/>
          <w:szCs w:val="22"/>
        </w:rPr>
      </w:pPr>
      <w:r>
        <w:rPr>
          <w:noProof/>
        </w:rPr>
        <w:t>12  Requirement relating to movements of cattle</w:t>
      </w:r>
      <w:r>
        <w:rPr>
          <w:noProof/>
        </w:rPr>
        <w:tab/>
      </w:r>
      <w:r>
        <w:rPr>
          <w:noProof/>
        </w:rPr>
        <w:fldChar w:fldCharType="begin"/>
      </w:r>
      <w:r>
        <w:rPr>
          <w:noProof/>
        </w:rPr>
        <w:instrText xml:space="preserve"> PAGEREF _Toc485211975 \h </w:instrText>
      </w:r>
      <w:r>
        <w:rPr>
          <w:noProof/>
        </w:rPr>
      </w:r>
      <w:r>
        <w:rPr>
          <w:noProof/>
        </w:rPr>
        <w:fldChar w:fldCharType="separate"/>
      </w:r>
      <w:r w:rsidR="00A63FD0">
        <w:rPr>
          <w:noProof/>
        </w:rPr>
        <w:t>15</w:t>
      </w:r>
      <w:r>
        <w:rPr>
          <w:noProof/>
        </w:rPr>
        <w:fldChar w:fldCharType="end"/>
      </w:r>
    </w:p>
    <w:p w14:paraId="3BD772F1" w14:textId="77777777" w:rsidR="00970B72" w:rsidRDefault="00970B72">
      <w:pPr>
        <w:pStyle w:val="TOC5"/>
        <w:rPr>
          <w:rFonts w:asciiTheme="minorHAnsi" w:eastAsiaTheme="minorEastAsia" w:hAnsiTheme="minorHAnsi" w:cstheme="minorBidi"/>
          <w:noProof/>
          <w:kern w:val="0"/>
          <w:sz w:val="22"/>
          <w:szCs w:val="22"/>
        </w:rPr>
      </w:pPr>
      <w:r>
        <w:rPr>
          <w:noProof/>
        </w:rPr>
        <w:t>13  Requirement relating to co-grazing</w:t>
      </w:r>
      <w:r>
        <w:rPr>
          <w:noProof/>
        </w:rPr>
        <w:tab/>
      </w:r>
      <w:r>
        <w:rPr>
          <w:noProof/>
        </w:rPr>
        <w:fldChar w:fldCharType="begin"/>
      </w:r>
      <w:r>
        <w:rPr>
          <w:noProof/>
        </w:rPr>
        <w:instrText xml:space="preserve"> PAGEREF _Toc485211976 \h </w:instrText>
      </w:r>
      <w:r>
        <w:rPr>
          <w:noProof/>
        </w:rPr>
      </w:r>
      <w:r>
        <w:rPr>
          <w:noProof/>
        </w:rPr>
        <w:fldChar w:fldCharType="separate"/>
      </w:r>
      <w:r w:rsidR="00A63FD0">
        <w:rPr>
          <w:noProof/>
        </w:rPr>
        <w:t>15</w:t>
      </w:r>
      <w:r>
        <w:rPr>
          <w:noProof/>
        </w:rPr>
        <w:fldChar w:fldCharType="end"/>
      </w:r>
    </w:p>
    <w:p w14:paraId="5361686F" w14:textId="77777777" w:rsidR="00970B72" w:rsidRDefault="00970B72">
      <w:pPr>
        <w:pStyle w:val="TOC5"/>
        <w:rPr>
          <w:rFonts w:asciiTheme="minorHAnsi" w:eastAsiaTheme="minorEastAsia" w:hAnsiTheme="minorHAnsi" w:cstheme="minorBidi"/>
          <w:noProof/>
          <w:kern w:val="0"/>
          <w:sz w:val="22"/>
          <w:szCs w:val="22"/>
        </w:rPr>
      </w:pPr>
      <w:r>
        <w:rPr>
          <w:noProof/>
        </w:rPr>
        <w:t>14  Requirements relating to the management of herds</w:t>
      </w:r>
      <w:r>
        <w:rPr>
          <w:noProof/>
        </w:rPr>
        <w:tab/>
      </w:r>
      <w:r>
        <w:rPr>
          <w:noProof/>
        </w:rPr>
        <w:fldChar w:fldCharType="begin"/>
      </w:r>
      <w:r>
        <w:rPr>
          <w:noProof/>
        </w:rPr>
        <w:instrText xml:space="preserve"> PAGEREF _Toc485211977 \h </w:instrText>
      </w:r>
      <w:r>
        <w:rPr>
          <w:noProof/>
        </w:rPr>
      </w:r>
      <w:r>
        <w:rPr>
          <w:noProof/>
        </w:rPr>
        <w:fldChar w:fldCharType="separate"/>
      </w:r>
      <w:r w:rsidR="00A63FD0">
        <w:rPr>
          <w:noProof/>
        </w:rPr>
        <w:t>16</w:t>
      </w:r>
      <w:r>
        <w:rPr>
          <w:noProof/>
        </w:rPr>
        <w:fldChar w:fldCharType="end"/>
      </w:r>
    </w:p>
    <w:p w14:paraId="5AF03ED8" w14:textId="77777777" w:rsidR="00970B72" w:rsidRDefault="00970B72">
      <w:pPr>
        <w:pStyle w:val="TOC5"/>
        <w:rPr>
          <w:rFonts w:asciiTheme="minorHAnsi" w:eastAsiaTheme="minorEastAsia" w:hAnsiTheme="minorHAnsi" w:cstheme="minorBidi"/>
          <w:noProof/>
          <w:kern w:val="0"/>
          <w:sz w:val="22"/>
          <w:szCs w:val="22"/>
        </w:rPr>
      </w:pPr>
      <w:r>
        <w:rPr>
          <w:noProof/>
        </w:rPr>
        <w:t>15  Animal identification requirement</w:t>
      </w:r>
      <w:r>
        <w:rPr>
          <w:noProof/>
        </w:rPr>
        <w:tab/>
      </w:r>
      <w:r>
        <w:rPr>
          <w:noProof/>
        </w:rPr>
        <w:fldChar w:fldCharType="begin"/>
      </w:r>
      <w:r>
        <w:rPr>
          <w:noProof/>
        </w:rPr>
        <w:instrText xml:space="preserve"> PAGEREF _Toc485211978 \h </w:instrText>
      </w:r>
      <w:r>
        <w:rPr>
          <w:noProof/>
        </w:rPr>
      </w:r>
      <w:r>
        <w:rPr>
          <w:noProof/>
        </w:rPr>
        <w:fldChar w:fldCharType="separate"/>
      </w:r>
      <w:r w:rsidR="00A63FD0">
        <w:rPr>
          <w:noProof/>
        </w:rPr>
        <w:t>16</w:t>
      </w:r>
      <w:r>
        <w:rPr>
          <w:noProof/>
        </w:rPr>
        <w:fldChar w:fldCharType="end"/>
      </w:r>
    </w:p>
    <w:p w14:paraId="4DA7BA1C" w14:textId="77777777" w:rsidR="00970B72" w:rsidRDefault="00970B72">
      <w:pPr>
        <w:pStyle w:val="TOC5"/>
        <w:rPr>
          <w:rFonts w:asciiTheme="minorHAnsi" w:eastAsiaTheme="minorEastAsia" w:hAnsiTheme="minorHAnsi" w:cstheme="minorBidi"/>
          <w:noProof/>
          <w:kern w:val="0"/>
          <w:sz w:val="22"/>
          <w:szCs w:val="22"/>
        </w:rPr>
      </w:pPr>
      <w:r>
        <w:rPr>
          <w:noProof/>
        </w:rPr>
        <w:t>16  Baseline reference date and emissions intensity reference period</w:t>
      </w:r>
      <w:r>
        <w:rPr>
          <w:noProof/>
        </w:rPr>
        <w:tab/>
      </w:r>
      <w:r>
        <w:rPr>
          <w:noProof/>
        </w:rPr>
        <w:fldChar w:fldCharType="begin"/>
      </w:r>
      <w:r>
        <w:rPr>
          <w:noProof/>
        </w:rPr>
        <w:instrText xml:space="preserve"> PAGEREF _Toc485211979 \h </w:instrText>
      </w:r>
      <w:r>
        <w:rPr>
          <w:noProof/>
        </w:rPr>
      </w:r>
      <w:r>
        <w:rPr>
          <w:noProof/>
        </w:rPr>
        <w:fldChar w:fldCharType="separate"/>
      </w:r>
      <w:r w:rsidR="00A63FD0">
        <w:rPr>
          <w:noProof/>
        </w:rPr>
        <w:t>16</w:t>
      </w:r>
      <w:r>
        <w:rPr>
          <w:noProof/>
        </w:rPr>
        <w:fldChar w:fldCharType="end"/>
      </w:r>
    </w:p>
    <w:p w14:paraId="369BB59D" w14:textId="77777777" w:rsidR="00970B72" w:rsidRDefault="00970B72">
      <w:pPr>
        <w:pStyle w:val="TOC5"/>
        <w:rPr>
          <w:rFonts w:asciiTheme="minorHAnsi" w:eastAsiaTheme="minorEastAsia" w:hAnsiTheme="minorHAnsi" w:cstheme="minorBidi"/>
          <w:noProof/>
          <w:kern w:val="0"/>
          <w:sz w:val="22"/>
          <w:szCs w:val="22"/>
        </w:rPr>
      </w:pPr>
      <w:r>
        <w:rPr>
          <w:noProof/>
        </w:rPr>
        <w:t>17  Project activity</w:t>
      </w:r>
      <w:r>
        <w:rPr>
          <w:noProof/>
        </w:rPr>
        <w:tab/>
      </w:r>
      <w:r>
        <w:rPr>
          <w:noProof/>
        </w:rPr>
        <w:fldChar w:fldCharType="begin"/>
      </w:r>
      <w:r>
        <w:rPr>
          <w:noProof/>
        </w:rPr>
        <w:instrText xml:space="preserve"> PAGEREF _Toc485211980 \h </w:instrText>
      </w:r>
      <w:r>
        <w:rPr>
          <w:noProof/>
        </w:rPr>
      </w:r>
      <w:r>
        <w:rPr>
          <w:noProof/>
        </w:rPr>
        <w:fldChar w:fldCharType="separate"/>
      </w:r>
      <w:r w:rsidR="00A63FD0">
        <w:rPr>
          <w:noProof/>
        </w:rPr>
        <w:t>17</w:t>
      </w:r>
      <w:r>
        <w:rPr>
          <w:noProof/>
        </w:rPr>
        <w:fldChar w:fldCharType="end"/>
      </w:r>
    </w:p>
    <w:p w14:paraId="0E932207" w14:textId="77777777" w:rsidR="00970B72" w:rsidRDefault="00970B72">
      <w:pPr>
        <w:pStyle w:val="TOC5"/>
        <w:rPr>
          <w:rFonts w:asciiTheme="minorHAnsi" w:eastAsiaTheme="minorEastAsia" w:hAnsiTheme="minorHAnsi" w:cstheme="minorBidi"/>
          <w:noProof/>
          <w:kern w:val="0"/>
          <w:sz w:val="22"/>
          <w:szCs w:val="22"/>
        </w:rPr>
      </w:pPr>
      <w:r>
        <w:rPr>
          <w:noProof/>
        </w:rPr>
        <w:t>18  Project not to involve feeding of cattle on cleared land</w:t>
      </w:r>
      <w:r>
        <w:rPr>
          <w:noProof/>
        </w:rPr>
        <w:tab/>
      </w:r>
      <w:r>
        <w:rPr>
          <w:noProof/>
        </w:rPr>
        <w:fldChar w:fldCharType="begin"/>
      </w:r>
      <w:r>
        <w:rPr>
          <w:noProof/>
        </w:rPr>
        <w:instrText xml:space="preserve"> PAGEREF _Toc485211981 \h </w:instrText>
      </w:r>
      <w:r>
        <w:rPr>
          <w:noProof/>
        </w:rPr>
      </w:r>
      <w:r>
        <w:rPr>
          <w:noProof/>
        </w:rPr>
        <w:fldChar w:fldCharType="separate"/>
      </w:r>
      <w:r w:rsidR="00A63FD0">
        <w:rPr>
          <w:noProof/>
        </w:rPr>
        <w:t>18</w:t>
      </w:r>
      <w:r>
        <w:rPr>
          <w:noProof/>
        </w:rPr>
        <w:fldChar w:fldCharType="end"/>
      </w:r>
    </w:p>
    <w:p w14:paraId="3D8D1FCA" w14:textId="77777777" w:rsidR="00970B72" w:rsidRDefault="00970B72">
      <w:pPr>
        <w:pStyle w:val="TOC5"/>
        <w:rPr>
          <w:rFonts w:asciiTheme="minorHAnsi" w:eastAsiaTheme="minorEastAsia" w:hAnsiTheme="minorHAnsi" w:cstheme="minorBidi"/>
          <w:noProof/>
          <w:kern w:val="0"/>
          <w:sz w:val="22"/>
          <w:szCs w:val="22"/>
        </w:rPr>
      </w:pPr>
      <w:r>
        <w:rPr>
          <w:noProof/>
        </w:rPr>
        <w:t>18A  Transition from earlier version of this determination</w:t>
      </w:r>
      <w:r>
        <w:rPr>
          <w:noProof/>
        </w:rPr>
        <w:tab/>
      </w:r>
      <w:r>
        <w:rPr>
          <w:noProof/>
        </w:rPr>
        <w:fldChar w:fldCharType="begin"/>
      </w:r>
      <w:r>
        <w:rPr>
          <w:noProof/>
        </w:rPr>
        <w:instrText xml:space="preserve"> PAGEREF _Toc485211982 \h </w:instrText>
      </w:r>
      <w:r>
        <w:rPr>
          <w:noProof/>
        </w:rPr>
      </w:r>
      <w:r>
        <w:rPr>
          <w:noProof/>
        </w:rPr>
        <w:fldChar w:fldCharType="separate"/>
      </w:r>
      <w:r w:rsidR="00A63FD0">
        <w:rPr>
          <w:noProof/>
        </w:rPr>
        <w:t>19</w:t>
      </w:r>
      <w:r>
        <w:rPr>
          <w:noProof/>
        </w:rPr>
        <w:fldChar w:fldCharType="end"/>
      </w:r>
    </w:p>
    <w:p w14:paraId="6A095987" w14:textId="77777777" w:rsidR="00970B72" w:rsidRDefault="00970B72">
      <w:pPr>
        <w:pStyle w:val="TOC2"/>
        <w:rPr>
          <w:rFonts w:asciiTheme="minorHAnsi" w:eastAsiaTheme="minorEastAsia" w:hAnsiTheme="minorHAnsi" w:cstheme="minorBidi"/>
          <w:b w:val="0"/>
          <w:noProof/>
          <w:kern w:val="0"/>
          <w:sz w:val="22"/>
          <w:szCs w:val="22"/>
        </w:rPr>
      </w:pPr>
      <w:r>
        <w:rPr>
          <w:noProof/>
        </w:rPr>
        <w:t>Part 4—Net abatement amount</w:t>
      </w:r>
      <w:r>
        <w:rPr>
          <w:noProof/>
        </w:rPr>
        <w:tab/>
      </w:r>
      <w:r>
        <w:rPr>
          <w:noProof/>
        </w:rPr>
        <w:fldChar w:fldCharType="begin"/>
      </w:r>
      <w:r>
        <w:rPr>
          <w:noProof/>
        </w:rPr>
        <w:instrText xml:space="preserve"> PAGEREF _Toc485211983 \h </w:instrText>
      </w:r>
      <w:r>
        <w:rPr>
          <w:noProof/>
        </w:rPr>
      </w:r>
      <w:r>
        <w:rPr>
          <w:noProof/>
        </w:rPr>
        <w:fldChar w:fldCharType="separate"/>
      </w:r>
      <w:r w:rsidR="00A63FD0">
        <w:rPr>
          <w:noProof/>
        </w:rPr>
        <w:t>20</w:t>
      </w:r>
      <w:r>
        <w:rPr>
          <w:noProof/>
        </w:rPr>
        <w:fldChar w:fldCharType="end"/>
      </w:r>
    </w:p>
    <w:p w14:paraId="03BC8562" w14:textId="77777777" w:rsidR="00970B72" w:rsidRDefault="00970B72">
      <w:pPr>
        <w:pStyle w:val="TOC3"/>
        <w:rPr>
          <w:rFonts w:asciiTheme="minorHAnsi" w:eastAsiaTheme="minorEastAsia" w:hAnsiTheme="minorHAnsi" w:cstheme="minorBidi"/>
          <w:b w:val="0"/>
          <w:noProof/>
          <w:kern w:val="0"/>
          <w:szCs w:val="22"/>
        </w:rPr>
      </w:pPr>
      <w:r>
        <w:rPr>
          <w:noProof/>
        </w:rPr>
        <w:t>Division 1—The net abatement amount</w:t>
      </w:r>
      <w:r>
        <w:rPr>
          <w:noProof/>
        </w:rPr>
        <w:tab/>
      </w:r>
      <w:r>
        <w:rPr>
          <w:noProof/>
        </w:rPr>
        <w:fldChar w:fldCharType="begin"/>
      </w:r>
      <w:r>
        <w:rPr>
          <w:noProof/>
        </w:rPr>
        <w:instrText xml:space="preserve"> PAGEREF _Toc485211984 \h </w:instrText>
      </w:r>
      <w:r>
        <w:rPr>
          <w:noProof/>
        </w:rPr>
      </w:r>
      <w:r>
        <w:rPr>
          <w:noProof/>
        </w:rPr>
        <w:fldChar w:fldCharType="separate"/>
      </w:r>
      <w:r w:rsidR="00A63FD0">
        <w:rPr>
          <w:noProof/>
        </w:rPr>
        <w:t>20</w:t>
      </w:r>
      <w:r>
        <w:rPr>
          <w:noProof/>
        </w:rPr>
        <w:fldChar w:fldCharType="end"/>
      </w:r>
    </w:p>
    <w:p w14:paraId="7255C54F" w14:textId="77777777" w:rsidR="00970B72" w:rsidRDefault="00970B72">
      <w:pPr>
        <w:pStyle w:val="TOC5"/>
        <w:rPr>
          <w:rFonts w:asciiTheme="minorHAnsi" w:eastAsiaTheme="minorEastAsia" w:hAnsiTheme="minorHAnsi" w:cstheme="minorBidi"/>
          <w:noProof/>
          <w:kern w:val="0"/>
          <w:sz w:val="22"/>
          <w:szCs w:val="22"/>
        </w:rPr>
      </w:pPr>
      <w:r>
        <w:rPr>
          <w:noProof/>
        </w:rPr>
        <w:t>19  Method for calculating the net abatement amount</w:t>
      </w:r>
      <w:r>
        <w:rPr>
          <w:noProof/>
        </w:rPr>
        <w:tab/>
      </w:r>
      <w:r>
        <w:rPr>
          <w:noProof/>
        </w:rPr>
        <w:fldChar w:fldCharType="begin"/>
      </w:r>
      <w:r>
        <w:rPr>
          <w:noProof/>
        </w:rPr>
        <w:instrText xml:space="preserve"> PAGEREF _Toc485211985 \h </w:instrText>
      </w:r>
      <w:r>
        <w:rPr>
          <w:noProof/>
        </w:rPr>
      </w:r>
      <w:r>
        <w:rPr>
          <w:noProof/>
        </w:rPr>
        <w:fldChar w:fldCharType="separate"/>
      </w:r>
      <w:r w:rsidR="00A63FD0">
        <w:rPr>
          <w:noProof/>
        </w:rPr>
        <w:t>20</w:t>
      </w:r>
      <w:r>
        <w:rPr>
          <w:noProof/>
        </w:rPr>
        <w:fldChar w:fldCharType="end"/>
      </w:r>
    </w:p>
    <w:p w14:paraId="5F7F5731" w14:textId="77777777" w:rsidR="00970B72" w:rsidRDefault="00970B72">
      <w:pPr>
        <w:pStyle w:val="TOC5"/>
        <w:rPr>
          <w:rFonts w:asciiTheme="minorHAnsi" w:eastAsiaTheme="minorEastAsia" w:hAnsiTheme="minorHAnsi" w:cstheme="minorBidi"/>
          <w:noProof/>
          <w:kern w:val="0"/>
          <w:sz w:val="22"/>
          <w:szCs w:val="22"/>
        </w:rPr>
      </w:pPr>
      <w:r>
        <w:rPr>
          <w:noProof/>
        </w:rPr>
        <w:t>20  Gases accounted for in abatement calculations</w:t>
      </w:r>
      <w:r>
        <w:rPr>
          <w:noProof/>
        </w:rPr>
        <w:tab/>
      </w:r>
      <w:r>
        <w:rPr>
          <w:noProof/>
        </w:rPr>
        <w:fldChar w:fldCharType="begin"/>
      </w:r>
      <w:r>
        <w:rPr>
          <w:noProof/>
        </w:rPr>
        <w:instrText xml:space="preserve"> PAGEREF _Toc485211986 \h </w:instrText>
      </w:r>
      <w:r>
        <w:rPr>
          <w:noProof/>
        </w:rPr>
      </w:r>
      <w:r>
        <w:rPr>
          <w:noProof/>
        </w:rPr>
        <w:fldChar w:fldCharType="separate"/>
      </w:r>
      <w:r w:rsidR="00A63FD0">
        <w:rPr>
          <w:noProof/>
        </w:rPr>
        <w:t>20</w:t>
      </w:r>
      <w:r>
        <w:rPr>
          <w:noProof/>
        </w:rPr>
        <w:fldChar w:fldCharType="end"/>
      </w:r>
    </w:p>
    <w:p w14:paraId="3340D76E" w14:textId="77777777" w:rsidR="00970B72" w:rsidRDefault="00970B72">
      <w:pPr>
        <w:pStyle w:val="TOC3"/>
        <w:rPr>
          <w:rFonts w:asciiTheme="minorHAnsi" w:eastAsiaTheme="minorEastAsia" w:hAnsiTheme="minorHAnsi" w:cstheme="minorBidi"/>
          <w:b w:val="0"/>
          <w:noProof/>
          <w:kern w:val="0"/>
          <w:szCs w:val="22"/>
        </w:rPr>
      </w:pPr>
      <w:r>
        <w:rPr>
          <w:noProof/>
        </w:rPr>
        <w:t>Division 2—The baseline emissions</w:t>
      </w:r>
      <w:r>
        <w:rPr>
          <w:noProof/>
        </w:rPr>
        <w:tab/>
      </w:r>
      <w:r>
        <w:rPr>
          <w:noProof/>
        </w:rPr>
        <w:fldChar w:fldCharType="begin"/>
      </w:r>
      <w:r>
        <w:rPr>
          <w:noProof/>
        </w:rPr>
        <w:instrText xml:space="preserve"> PAGEREF _Toc485211987 \h </w:instrText>
      </w:r>
      <w:r>
        <w:rPr>
          <w:noProof/>
        </w:rPr>
      </w:r>
      <w:r>
        <w:rPr>
          <w:noProof/>
        </w:rPr>
        <w:fldChar w:fldCharType="separate"/>
      </w:r>
      <w:r w:rsidR="00A63FD0">
        <w:rPr>
          <w:noProof/>
        </w:rPr>
        <w:t>21</w:t>
      </w:r>
      <w:r>
        <w:rPr>
          <w:noProof/>
        </w:rPr>
        <w:fldChar w:fldCharType="end"/>
      </w:r>
    </w:p>
    <w:p w14:paraId="59956EA0" w14:textId="77777777" w:rsidR="00970B72" w:rsidRDefault="00970B72">
      <w:pPr>
        <w:pStyle w:val="TOC5"/>
        <w:rPr>
          <w:rFonts w:asciiTheme="minorHAnsi" w:eastAsiaTheme="minorEastAsia" w:hAnsiTheme="minorHAnsi" w:cstheme="minorBidi"/>
          <w:noProof/>
          <w:kern w:val="0"/>
          <w:sz w:val="22"/>
          <w:szCs w:val="22"/>
        </w:rPr>
      </w:pPr>
      <w:r>
        <w:rPr>
          <w:noProof/>
        </w:rPr>
        <w:t>21 The baseline emissions</w:t>
      </w:r>
      <w:r>
        <w:rPr>
          <w:noProof/>
        </w:rPr>
        <w:tab/>
      </w:r>
      <w:r>
        <w:rPr>
          <w:noProof/>
        </w:rPr>
        <w:fldChar w:fldCharType="begin"/>
      </w:r>
      <w:r>
        <w:rPr>
          <w:noProof/>
        </w:rPr>
        <w:instrText xml:space="preserve"> PAGEREF _Toc485211988 \h </w:instrText>
      </w:r>
      <w:r>
        <w:rPr>
          <w:noProof/>
        </w:rPr>
      </w:r>
      <w:r>
        <w:rPr>
          <w:noProof/>
        </w:rPr>
        <w:fldChar w:fldCharType="separate"/>
      </w:r>
      <w:r w:rsidR="00A63FD0">
        <w:rPr>
          <w:noProof/>
        </w:rPr>
        <w:t>21</w:t>
      </w:r>
      <w:r>
        <w:rPr>
          <w:noProof/>
        </w:rPr>
        <w:fldChar w:fldCharType="end"/>
      </w:r>
    </w:p>
    <w:p w14:paraId="54C1DDE5" w14:textId="77777777" w:rsidR="00970B72" w:rsidRDefault="00970B72">
      <w:pPr>
        <w:pStyle w:val="TOC5"/>
        <w:rPr>
          <w:rFonts w:asciiTheme="minorHAnsi" w:eastAsiaTheme="minorEastAsia" w:hAnsiTheme="minorHAnsi" w:cstheme="minorBidi"/>
          <w:noProof/>
          <w:kern w:val="0"/>
          <w:sz w:val="22"/>
          <w:szCs w:val="22"/>
        </w:rPr>
      </w:pPr>
      <w:r>
        <w:rPr>
          <w:noProof/>
        </w:rPr>
        <w:t>21A  Historical annual emissions intensity</w:t>
      </w:r>
      <w:r>
        <w:rPr>
          <w:noProof/>
        </w:rPr>
        <w:tab/>
      </w:r>
      <w:r>
        <w:rPr>
          <w:noProof/>
        </w:rPr>
        <w:fldChar w:fldCharType="begin"/>
      </w:r>
      <w:r>
        <w:rPr>
          <w:noProof/>
        </w:rPr>
        <w:instrText xml:space="preserve"> PAGEREF _Toc485211989 \h </w:instrText>
      </w:r>
      <w:r>
        <w:rPr>
          <w:noProof/>
        </w:rPr>
      </w:r>
      <w:r>
        <w:rPr>
          <w:noProof/>
        </w:rPr>
        <w:fldChar w:fldCharType="separate"/>
      </w:r>
      <w:r w:rsidR="00A63FD0">
        <w:rPr>
          <w:noProof/>
        </w:rPr>
        <w:t>21</w:t>
      </w:r>
      <w:r>
        <w:rPr>
          <w:noProof/>
        </w:rPr>
        <w:fldChar w:fldCharType="end"/>
      </w:r>
    </w:p>
    <w:p w14:paraId="2C6A7801" w14:textId="77777777" w:rsidR="00970B72" w:rsidRDefault="00970B72">
      <w:pPr>
        <w:pStyle w:val="TOC5"/>
        <w:rPr>
          <w:rFonts w:asciiTheme="minorHAnsi" w:eastAsiaTheme="minorEastAsia" w:hAnsiTheme="minorHAnsi" w:cstheme="minorBidi"/>
          <w:noProof/>
          <w:kern w:val="0"/>
          <w:sz w:val="22"/>
          <w:szCs w:val="22"/>
        </w:rPr>
      </w:pPr>
      <w:r>
        <w:rPr>
          <w:noProof/>
        </w:rPr>
        <w:t>21B  Reference emissions intensity for a limited data herd</w:t>
      </w:r>
      <w:r>
        <w:rPr>
          <w:noProof/>
        </w:rPr>
        <w:tab/>
      </w:r>
      <w:r>
        <w:rPr>
          <w:noProof/>
        </w:rPr>
        <w:fldChar w:fldCharType="begin"/>
      </w:r>
      <w:r>
        <w:rPr>
          <w:noProof/>
        </w:rPr>
        <w:instrText xml:space="preserve"> PAGEREF _Toc485211990 \h </w:instrText>
      </w:r>
      <w:r>
        <w:rPr>
          <w:noProof/>
        </w:rPr>
      </w:r>
      <w:r>
        <w:rPr>
          <w:noProof/>
        </w:rPr>
        <w:fldChar w:fldCharType="separate"/>
      </w:r>
      <w:r w:rsidR="00A63FD0">
        <w:rPr>
          <w:noProof/>
        </w:rPr>
        <w:t>22</w:t>
      </w:r>
      <w:r>
        <w:rPr>
          <w:noProof/>
        </w:rPr>
        <w:fldChar w:fldCharType="end"/>
      </w:r>
    </w:p>
    <w:p w14:paraId="0B8A81BA" w14:textId="77777777" w:rsidR="00970B72" w:rsidRDefault="00970B72">
      <w:pPr>
        <w:pStyle w:val="TOC5"/>
        <w:rPr>
          <w:rFonts w:asciiTheme="minorHAnsi" w:eastAsiaTheme="minorEastAsia" w:hAnsiTheme="minorHAnsi" w:cstheme="minorBidi"/>
          <w:noProof/>
          <w:kern w:val="0"/>
          <w:sz w:val="22"/>
          <w:szCs w:val="22"/>
        </w:rPr>
      </w:pPr>
      <w:r>
        <w:rPr>
          <w:noProof/>
        </w:rPr>
        <w:t>21C  Liveweight gain for a year</w:t>
      </w:r>
      <w:r>
        <w:rPr>
          <w:noProof/>
        </w:rPr>
        <w:tab/>
      </w:r>
      <w:r>
        <w:rPr>
          <w:noProof/>
        </w:rPr>
        <w:fldChar w:fldCharType="begin"/>
      </w:r>
      <w:r>
        <w:rPr>
          <w:noProof/>
        </w:rPr>
        <w:instrText xml:space="preserve"> PAGEREF _Toc485211991 \h </w:instrText>
      </w:r>
      <w:r>
        <w:rPr>
          <w:noProof/>
        </w:rPr>
      </w:r>
      <w:r>
        <w:rPr>
          <w:noProof/>
        </w:rPr>
        <w:fldChar w:fldCharType="separate"/>
      </w:r>
      <w:r w:rsidR="00A63FD0">
        <w:rPr>
          <w:noProof/>
        </w:rPr>
        <w:t>22</w:t>
      </w:r>
      <w:r>
        <w:rPr>
          <w:noProof/>
        </w:rPr>
        <w:fldChar w:fldCharType="end"/>
      </w:r>
    </w:p>
    <w:p w14:paraId="5B9F7B5C" w14:textId="77777777" w:rsidR="00970B72" w:rsidRDefault="00970B72">
      <w:pPr>
        <w:pStyle w:val="TOC3"/>
        <w:rPr>
          <w:rFonts w:asciiTheme="minorHAnsi" w:eastAsiaTheme="minorEastAsia" w:hAnsiTheme="minorHAnsi" w:cstheme="minorBidi"/>
          <w:b w:val="0"/>
          <w:noProof/>
          <w:kern w:val="0"/>
          <w:szCs w:val="22"/>
        </w:rPr>
      </w:pPr>
      <w:r>
        <w:rPr>
          <w:noProof/>
        </w:rPr>
        <w:t>Division 3—The project emissions</w:t>
      </w:r>
      <w:r>
        <w:rPr>
          <w:noProof/>
        </w:rPr>
        <w:tab/>
      </w:r>
      <w:r>
        <w:rPr>
          <w:noProof/>
        </w:rPr>
        <w:fldChar w:fldCharType="begin"/>
      </w:r>
      <w:r>
        <w:rPr>
          <w:noProof/>
        </w:rPr>
        <w:instrText xml:space="preserve"> PAGEREF _Toc485211992 \h </w:instrText>
      </w:r>
      <w:r>
        <w:rPr>
          <w:noProof/>
        </w:rPr>
      </w:r>
      <w:r>
        <w:rPr>
          <w:noProof/>
        </w:rPr>
        <w:fldChar w:fldCharType="separate"/>
      </w:r>
      <w:r w:rsidR="00A63FD0">
        <w:rPr>
          <w:noProof/>
        </w:rPr>
        <w:t>22</w:t>
      </w:r>
      <w:r>
        <w:rPr>
          <w:noProof/>
        </w:rPr>
        <w:fldChar w:fldCharType="end"/>
      </w:r>
    </w:p>
    <w:p w14:paraId="104C5A82" w14:textId="77777777" w:rsidR="00970B72" w:rsidRDefault="00970B72">
      <w:pPr>
        <w:pStyle w:val="TOC5"/>
        <w:rPr>
          <w:rFonts w:asciiTheme="minorHAnsi" w:eastAsiaTheme="minorEastAsia" w:hAnsiTheme="minorHAnsi" w:cstheme="minorBidi"/>
          <w:noProof/>
          <w:kern w:val="0"/>
          <w:sz w:val="22"/>
          <w:szCs w:val="22"/>
        </w:rPr>
      </w:pPr>
      <w:r>
        <w:rPr>
          <w:noProof/>
        </w:rPr>
        <w:t>22  Project emissions</w:t>
      </w:r>
      <w:r>
        <w:rPr>
          <w:noProof/>
        </w:rPr>
        <w:tab/>
      </w:r>
      <w:r>
        <w:rPr>
          <w:noProof/>
        </w:rPr>
        <w:fldChar w:fldCharType="begin"/>
      </w:r>
      <w:r>
        <w:rPr>
          <w:noProof/>
        </w:rPr>
        <w:instrText xml:space="preserve"> PAGEREF _Toc485211993 \h </w:instrText>
      </w:r>
      <w:r>
        <w:rPr>
          <w:noProof/>
        </w:rPr>
      </w:r>
      <w:r>
        <w:rPr>
          <w:noProof/>
        </w:rPr>
        <w:fldChar w:fldCharType="separate"/>
      </w:r>
      <w:r w:rsidR="00A63FD0">
        <w:rPr>
          <w:noProof/>
        </w:rPr>
        <w:t>22</w:t>
      </w:r>
      <w:r>
        <w:rPr>
          <w:noProof/>
        </w:rPr>
        <w:fldChar w:fldCharType="end"/>
      </w:r>
    </w:p>
    <w:p w14:paraId="5C38D7C9" w14:textId="77777777" w:rsidR="00970B72" w:rsidRDefault="00970B72">
      <w:pPr>
        <w:pStyle w:val="TOC3"/>
        <w:rPr>
          <w:rFonts w:asciiTheme="minorHAnsi" w:eastAsiaTheme="minorEastAsia" w:hAnsiTheme="minorHAnsi" w:cstheme="minorBidi"/>
          <w:b w:val="0"/>
          <w:noProof/>
          <w:kern w:val="0"/>
          <w:szCs w:val="22"/>
        </w:rPr>
      </w:pPr>
      <w:r>
        <w:rPr>
          <w:noProof/>
        </w:rPr>
        <w:t>Division 4—Use of Herd Management Calculator to perform calculations</w:t>
      </w:r>
      <w:r>
        <w:rPr>
          <w:noProof/>
        </w:rPr>
        <w:tab/>
      </w:r>
      <w:r>
        <w:rPr>
          <w:noProof/>
        </w:rPr>
        <w:fldChar w:fldCharType="begin"/>
      </w:r>
      <w:r>
        <w:rPr>
          <w:noProof/>
        </w:rPr>
        <w:instrText xml:space="preserve"> PAGEREF _Toc485211994 \h </w:instrText>
      </w:r>
      <w:r>
        <w:rPr>
          <w:noProof/>
        </w:rPr>
      </w:r>
      <w:r>
        <w:rPr>
          <w:noProof/>
        </w:rPr>
        <w:fldChar w:fldCharType="separate"/>
      </w:r>
      <w:r w:rsidR="00A63FD0">
        <w:rPr>
          <w:noProof/>
        </w:rPr>
        <w:t>23</w:t>
      </w:r>
      <w:r>
        <w:rPr>
          <w:noProof/>
        </w:rPr>
        <w:fldChar w:fldCharType="end"/>
      </w:r>
    </w:p>
    <w:p w14:paraId="0BBB1A75" w14:textId="77777777" w:rsidR="00970B72" w:rsidRDefault="00970B72">
      <w:pPr>
        <w:pStyle w:val="TOC5"/>
        <w:rPr>
          <w:rFonts w:asciiTheme="minorHAnsi" w:eastAsiaTheme="minorEastAsia" w:hAnsiTheme="minorHAnsi" w:cstheme="minorBidi"/>
          <w:noProof/>
          <w:kern w:val="0"/>
          <w:sz w:val="22"/>
          <w:szCs w:val="22"/>
        </w:rPr>
      </w:pPr>
      <w:r>
        <w:rPr>
          <w:noProof/>
        </w:rPr>
        <w:t>23  Requirement to use Herd Management Calculator</w:t>
      </w:r>
      <w:r>
        <w:rPr>
          <w:noProof/>
        </w:rPr>
        <w:tab/>
      </w:r>
      <w:r>
        <w:rPr>
          <w:noProof/>
        </w:rPr>
        <w:fldChar w:fldCharType="begin"/>
      </w:r>
      <w:r>
        <w:rPr>
          <w:noProof/>
        </w:rPr>
        <w:instrText xml:space="preserve"> PAGEREF _Toc485211995 \h </w:instrText>
      </w:r>
      <w:r>
        <w:rPr>
          <w:noProof/>
        </w:rPr>
      </w:r>
      <w:r>
        <w:rPr>
          <w:noProof/>
        </w:rPr>
        <w:fldChar w:fldCharType="separate"/>
      </w:r>
      <w:r w:rsidR="00A63FD0">
        <w:rPr>
          <w:noProof/>
        </w:rPr>
        <w:t>23</w:t>
      </w:r>
      <w:r>
        <w:rPr>
          <w:noProof/>
        </w:rPr>
        <w:fldChar w:fldCharType="end"/>
      </w:r>
    </w:p>
    <w:p w14:paraId="23F2A537" w14:textId="77777777" w:rsidR="00970B72" w:rsidRDefault="00970B72">
      <w:pPr>
        <w:pStyle w:val="TOC5"/>
        <w:rPr>
          <w:rFonts w:asciiTheme="minorHAnsi" w:eastAsiaTheme="minorEastAsia" w:hAnsiTheme="minorHAnsi" w:cstheme="minorBidi"/>
          <w:noProof/>
          <w:kern w:val="0"/>
          <w:sz w:val="22"/>
          <w:szCs w:val="22"/>
        </w:rPr>
      </w:pPr>
      <w:r>
        <w:rPr>
          <w:noProof/>
        </w:rPr>
        <w:t>24  Assessment of average liveweight for inputs into the Calculator</w:t>
      </w:r>
      <w:r>
        <w:rPr>
          <w:noProof/>
        </w:rPr>
        <w:tab/>
      </w:r>
      <w:r>
        <w:rPr>
          <w:noProof/>
        </w:rPr>
        <w:fldChar w:fldCharType="begin"/>
      </w:r>
      <w:r>
        <w:rPr>
          <w:noProof/>
        </w:rPr>
        <w:instrText xml:space="preserve"> PAGEREF _Toc485211996 \h </w:instrText>
      </w:r>
      <w:r>
        <w:rPr>
          <w:noProof/>
        </w:rPr>
      </w:r>
      <w:r>
        <w:rPr>
          <w:noProof/>
        </w:rPr>
        <w:fldChar w:fldCharType="separate"/>
      </w:r>
      <w:r w:rsidR="00A63FD0">
        <w:rPr>
          <w:noProof/>
        </w:rPr>
        <w:t>23</w:t>
      </w:r>
      <w:r>
        <w:rPr>
          <w:noProof/>
        </w:rPr>
        <w:fldChar w:fldCharType="end"/>
      </w:r>
    </w:p>
    <w:p w14:paraId="2EB8F6FD" w14:textId="77777777" w:rsidR="00970B72" w:rsidRDefault="00970B72">
      <w:pPr>
        <w:pStyle w:val="TOC5"/>
        <w:rPr>
          <w:rFonts w:asciiTheme="minorHAnsi" w:eastAsiaTheme="minorEastAsia" w:hAnsiTheme="minorHAnsi" w:cstheme="minorBidi"/>
          <w:noProof/>
          <w:kern w:val="0"/>
          <w:sz w:val="22"/>
          <w:szCs w:val="22"/>
        </w:rPr>
      </w:pPr>
      <w:r>
        <w:rPr>
          <w:noProof/>
        </w:rPr>
        <w:t>25  Inputs relating to the crediting period</w:t>
      </w:r>
      <w:r>
        <w:rPr>
          <w:noProof/>
        </w:rPr>
        <w:tab/>
      </w:r>
      <w:r>
        <w:rPr>
          <w:noProof/>
        </w:rPr>
        <w:fldChar w:fldCharType="begin"/>
      </w:r>
      <w:r>
        <w:rPr>
          <w:noProof/>
        </w:rPr>
        <w:instrText xml:space="preserve"> PAGEREF _Toc485211997 \h </w:instrText>
      </w:r>
      <w:r>
        <w:rPr>
          <w:noProof/>
        </w:rPr>
      </w:r>
      <w:r>
        <w:rPr>
          <w:noProof/>
        </w:rPr>
        <w:fldChar w:fldCharType="separate"/>
      </w:r>
      <w:r w:rsidR="00A63FD0">
        <w:rPr>
          <w:noProof/>
        </w:rPr>
        <w:t>23</w:t>
      </w:r>
      <w:r>
        <w:rPr>
          <w:noProof/>
        </w:rPr>
        <w:fldChar w:fldCharType="end"/>
      </w:r>
    </w:p>
    <w:p w14:paraId="08E810BF" w14:textId="77777777" w:rsidR="00970B72" w:rsidRDefault="00970B72">
      <w:pPr>
        <w:pStyle w:val="TOC5"/>
        <w:rPr>
          <w:rFonts w:asciiTheme="minorHAnsi" w:eastAsiaTheme="minorEastAsia" w:hAnsiTheme="minorHAnsi" w:cstheme="minorBidi"/>
          <w:noProof/>
          <w:kern w:val="0"/>
          <w:sz w:val="22"/>
          <w:szCs w:val="22"/>
        </w:rPr>
      </w:pPr>
      <w:r>
        <w:rPr>
          <w:noProof/>
        </w:rPr>
        <w:t>26  Inputs relating to the emissions intensity period</w:t>
      </w:r>
      <w:r>
        <w:rPr>
          <w:noProof/>
        </w:rPr>
        <w:tab/>
      </w:r>
      <w:r>
        <w:rPr>
          <w:noProof/>
        </w:rPr>
        <w:fldChar w:fldCharType="begin"/>
      </w:r>
      <w:r>
        <w:rPr>
          <w:noProof/>
        </w:rPr>
        <w:instrText xml:space="preserve"> PAGEREF _Toc485211998 \h </w:instrText>
      </w:r>
      <w:r>
        <w:rPr>
          <w:noProof/>
        </w:rPr>
      </w:r>
      <w:r>
        <w:rPr>
          <w:noProof/>
        </w:rPr>
        <w:fldChar w:fldCharType="separate"/>
      </w:r>
      <w:r w:rsidR="00A63FD0">
        <w:rPr>
          <w:noProof/>
        </w:rPr>
        <w:t>28</w:t>
      </w:r>
      <w:r>
        <w:rPr>
          <w:noProof/>
        </w:rPr>
        <w:fldChar w:fldCharType="end"/>
      </w:r>
    </w:p>
    <w:p w14:paraId="49D711C7" w14:textId="77777777" w:rsidR="00970B72" w:rsidRDefault="00970B72">
      <w:pPr>
        <w:pStyle w:val="TOC2"/>
        <w:rPr>
          <w:rFonts w:asciiTheme="minorHAnsi" w:eastAsiaTheme="minorEastAsia" w:hAnsiTheme="minorHAnsi" w:cstheme="minorBidi"/>
          <w:b w:val="0"/>
          <w:noProof/>
          <w:kern w:val="0"/>
          <w:sz w:val="22"/>
          <w:szCs w:val="22"/>
        </w:rPr>
      </w:pPr>
      <w:r>
        <w:rPr>
          <w:noProof/>
        </w:rPr>
        <w:t>Part 5—Reporting, record</w:t>
      </w:r>
      <w:r>
        <w:rPr>
          <w:noProof/>
        </w:rPr>
        <w:noBreakHyphen/>
        <w:t>keeping and monitoring requirements</w:t>
      </w:r>
      <w:r>
        <w:rPr>
          <w:noProof/>
        </w:rPr>
        <w:tab/>
      </w:r>
      <w:r>
        <w:rPr>
          <w:noProof/>
        </w:rPr>
        <w:fldChar w:fldCharType="begin"/>
      </w:r>
      <w:r>
        <w:rPr>
          <w:noProof/>
        </w:rPr>
        <w:instrText xml:space="preserve"> PAGEREF _Toc485211999 \h </w:instrText>
      </w:r>
      <w:r>
        <w:rPr>
          <w:noProof/>
        </w:rPr>
      </w:r>
      <w:r>
        <w:rPr>
          <w:noProof/>
        </w:rPr>
        <w:fldChar w:fldCharType="separate"/>
      </w:r>
      <w:r w:rsidR="00A63FD0">
        <w:rPr>
          <w:noProof/>
        </w:rPr>
        <w:t>29</w:t>
      </w:r>
      <w:r>
        <w:rPr>
          <w:noProof/>
        </w:rPr>
        <w:fldChar w:fldCharType="end"/>
      </w:r>
    </w:p>
    <w:p w14:paraId="5AD1E771" w14:textId="77777777" w:rsidR="00970B72" w:rsidRDefault="00970B72">
      <w:pPr>
        <w:pStyle w:val="TOC3"/>
        <w:rPr>
          <w:rFonts w:asciiTheme="minorHAnsi" w:eastAsiaTheme="minorEastAsia" w:hAnsiTheme="minorHAnsi" w:cstheme="minorBidi"/>
          <w:b w:val="0"/>
          <w:noProof/>
          <w:kern w:val="0"/>
          <w:szCs w:val="22"/>
        </w:rPr>
      </w:pPr>
      <w:r>
        <w:rPr>
          <w:noProof/>
        </w:rPr>
        <w:t>Division 1—Operation of this Part</w:t>
      </w:r>
      <w:r>
        <w:rPr>
          <w:noProof/>
        </w:rPr>
        <w:tab/>
      </w:r>
      <w:r>
        <w:rPr>
          <w:noProof/>
        </w:rPr>
        <w:fldChar w:fldCharType="begin"/>
      </w:r>
      <w:r>
        <w:rPr>
          <w:noProof/>
        </w:rPr>
        <w:instrText xml:space="preserve"> PAGEREF _Toc485212000 \h </w:instrText>
      </w:r>
      <w:r>
        <w:rPr>
          <w:noProof/>
        </w:rPr>
      </w:r>
      <w:r>
        <w:rPr>
          <w:noProof/>
        </w:rPr>
        <w:fldChar w:fldCharType="separate"/>
      </w:r>
      <w:r w:rsidR="00A63FD0">
        <w:rPr>
          <w:noProof/>
        </w:rPr>
        <w:t>29</w:t>
      </w:r>
      <w:r>
        <w:rPr>
          <w:noProof/>
        </w:rPr>
        <w:fldChar w:fldCharType="end"/>
      </w:r>
    </w:p>
    <w:p w14:paraId="41A8C653" w14:textId="77777777" w:rsidR="00970B72" w:rsidRDefault="00970B72">
      <w:pPr>
        <w:pStyle w:val="TOC5"/>
        <w:rPr>
          <w:rFonts w:asciiTheme="minorHAnsi" w:eastAsiaTheme="minorEastAsia" w:hAnsiTheme="minorHAnsi" w:cstheme="minorBidi"/>
          <w:noProof/>
          <w:kern w:val="0"/>
          <w:sz w:val="22"/>
          <w:szCs w:val="22"/>
        </w:rPr>
      </w:pPr>
      <w:r>
        <w:rPr>
          <w:noProof/>
        </w:rPr>
        <w:t>27  Application</w:t>
      </w:r>
      <w:r>
        <w:rPr>
          <w:noProof/>
        </w:rPr>
        <w:tab/>
      </w:r>
      <w:r>
        <w:rPr>
          <w:noProof/>
        </w:rPr>
        <w:fldChar w:fldCharType="begin"/>
      </w:r>
      <w:r>
        <w:rPr>
          <w:noProof/>
        </w:rPr>
        <w:instrText xml:space="preserve"> PAGEREF _Toc485212001 \h </w:instrText>
      </w:r>
      <w:r>
        <w:rPr>
          <w:noProof/>
        </w:rPr>
      </w:r>
      <w:r>
        <w:rPr>
          <w:noProof/>
        </w:rPr>
        <w:fldChar w:fldCharType="separate"/>
      </w:r>
      <w:r w:rsidR="00A63FD0">
        <w:rPr>
          <w:noProof/>
        </w:rPr>
        <w:t>29</w:t>
      </w:r>
      <w:r>
        <w:rPr>
          <w:noProof/>
        </w:rPr>
        <w:fldChar w:fldCharType="end"/>
      </w:r>
    </w:p>
    <w:p w14:paraId="02CD23B1" w14:textId="77777777" w:rsidR="00970B72" w:rsidRDefault="00970B72">
      <w:pPr>
        <w:pStyle w:val="TOC3"/>
        <w:rPr>
          <w:rFonts w:asciiTheme="minorHAnsi" w:eastAsiaTheme="minorEastAsia" w:hAnsiTheme="minorHAnsi" w:cstheme="minorBidi"/>
          <w:b w:val="0"/>
          <w:noProof/>
          <w:kern w:val="0"/>
          <w:szCs w:val="22"/>
        </w:rPr>
      </w:pPr>
      <w:r>
        <w:rPr>
          <w:noProof/>
        </w:rPr>
        <w:t>Division 2—Offsets report requirements</w:t>
      </w:r>
      <w:r>
        <w:rPr>
          <w:noProof/>
        </w:rPr>
        <w:tab/>
      </w:r>
      <w:r>
        <w:rPr>
          <w:noProof/>
        </w:rPr>
        <w:fldChar w:fldCharType="begin"/>
      </w:r>
      <w:r>
        <w:rPr>
          <w:noProof/>
        </w:rPr>
        <w:instrText xml:space="preserve"> PAGEREF _Toc485212002 \h </w:instrText>
      </w:r>
      <w:r>
        <w:rPr>
          <w:noProof/>
        </w:rPr>
      </w:r>
      <w:r>
        <w:rPr>
          <w:noProof/>
        </w:rPr>
        <w:fldChar w:fldCharType="separate"/>
      </w:r>
      <w:r w:rsidR="00A63FD0">
        <w:rPr>
          <w:noProof/>
        </w:rPr>
        <w:t>29</w:t>
      </w:r>
      <w:r>
        <w:rPr>
          <w:noProof/>
        </w:rPr>
        <w:fldChar w:fldCharType="end"/>
      </w:r>
    </w:p>
    <w:p w14:paraId="12DEDFFF" w14:textId="77777777" w:rsidR="00970B72" w:rsidRDefault="00970B72">
      <w:pPr>
        <w:pStyle w:val="TOC5"/>
        <w:rPr>
          <w:rFonts w:asciiTheme="minorHAnsi" w:eastAsiaTheme="minorEastAsia" w:hAnsiTheme="minorHAnsi" w:cstheme="minorBidi"/>
          <w:noProof/>
          <w:kern w:val="0"/>
          <w:sz w:val="22"/>
          <w:szCs w:val="22"/>
        </w:rPr>
      </w:pPr>
      <w:r>
        <w:rPr>
          <w:noProof/>
        </w:rPr>
        <w:t>28  Information in each offsets report</w:t>
      </w:r>
      <w:r>
        <w:rPr>
          <w:noProof/>
        </w:rPr>
        <w:tab/>
      </w:r>
      <w:r>
        <w:rPr>
          <w:noProof/>
        </w:rPr>
        <w:fldChar w:fldCharType="begin"/>
      </w:r>
      <w:r>
        <w:rPr>
          <w:noProof/>
        </w:rPr>
        <w:instrText xml:space="preserve"> PAGEREF _Toc485212003 \h </w:instrText>
      </w:r>
      <w:r>
        <w:rPr>
          <w:noProof/>
        </w:rPr>
      </w:r>
      <w:r>
        <w:rPr>
          <w:noProof/>
        </w:rPr>
        <w:fldChar w:fldCharType="separate"/>
      </w:r>
      <w:r w:rsidR="00A63FD0">
        <w:rPr>
          <w:noProof/>
        </w:rPr>
        <w:t>29</w:t>
      </w:r>
      <w:r>
        <w:rPr>
          <w:noProof/>
        </w:rPr>
        <w:fldChar w:fldCharType="end"/>
      </w:r>
    </w:p>
    <w:p w14:paraId="0B43F0F1" w14:textId="77777777" w:rsidR="00970B72" w:rsidRDefault="00970B72">
      <w:pPr>
        <w:pStyle w:val="TOC3"/>
        <w:rPr>
          <w:rFonts w:asciiTheme="minorHAnsi" w:eastAsiaTheme="minorEastAsia" w:hAnsiTheme="minorHAnsi" w:cstheme="minorBidi"/>
          <w:b w:val="0"/>
          <w:noProof/>
          <w:kern w:val="0"/>
          <w:szCs w:val="22"/>
        </w:rPr>
      </w:pPr>
      <w:r>
        <w:rPr>
          <w:noProof/>
        </w:rPr>
        <w:t>Division 3—Record</w:t>
      </w:r>
      <w:r>
        <w:rPr>
          <w:noProof/>
        </w:rPr>
        <w:noBreakHyphen/>
        <w:t>keeping requirements</w:t>
      </w:r>
      <w:r>
        <w:rPr>
          <w:noProof/>
        </w:rPr>
        <w:tab/>
      </w:r>
      <w:r>
        <w:rPr>
          <w:noProof/>
        </w:rPr>
        <w:fldChar w:fldCharType="begin"/>
      </w:r>
      <w:r>
        <w:rPr>
          <w:noProof/>
        </w:rPr>
        <w:instrText xml:space="preserve"> PAGEREF _Toc485212004 \h </w:instrText>
      </w:r>
      <w:r>
        <w:rPr>
          <w:noProof/>
        </w:rPr>
      </w:r>
      <w:r>
        <w:rPr>
          <w:noProof/>
        </w:rPr>
        <w:fldChar w:fldCharType="separate"/>
      </w:r>
      <w:r w:rsidR="00A63FD0">
        <w:rPr>
          <w:noProof/>
        </w:rPr>
        <w:t>29</w:t>
      </w:r>
      <w:r>
        <w:rPr>
          <w:noProof/>
        </w:rPr>
        <w:fldChar w:fldCharType="end"/>
      </w:r>
    </w:p>
    <w:p w14:paraId="487EF39D" w14:textId="77777777" w:rsidR="00970B72" w:rsidRDefault="00970B72">
      <w:pPr>
        <w:pStyle w:val="TOC5"/>
        <w:rPr>
          <w:rFonts w:asciiTheme="minorHAnsi" w:eastAsiaTheme="minorEastAsia" w:hAnsiTheme="minorHAnsi" w:cstheme="minorBidi"/>
          <w:noProof/>
          <w:kern w:val="0"/>
          <w:sz w:val="22"/>
          <w:szCs w:val="22"/>
        </w:rPr>
      </w:pPr>
      <w:r>
        <w:rPr>
          <w:noProof/>
        </w:rPr>
        <w:t>28A  General</w:t>
      </w:r>
      <w:r>
        <w:rPr>
          <w:noProof/>
        </w:rPr>
        <w:tab/>
      </w:r>
      <w:r>
        <w:rPr>
          <w:noProof/>
        </w:rPr>
        <w:fldChar w:fldCharType="begin"/>
      </w:r>
      <w:r>
        <w:rPr>
          <w:noProof/>
        </w:rPr>
        <w:instrText xml:space="preserve"> PAGEREF _Toc485212005 \h </w:instrText>
      </w:r>
      <w:r>
        <w:rPr>
          <w:noProof/>
        </w:rPr>
      </w:r>
      <w:r>
        <w:rPr>
          <w:noProof/>
        </w:rPr>
        <w:fldChar w:fldCharType="separate"/>
      </w:r>
      <w:r w:rsidR="00A63FD0">
        <w:rPr>
          <w:noProof/>
        </w:rPr>
        <w:t>29</w:t>
      </w:r>
      <w:r>
        <w:rPr>
          <w:noProof/>
        </w:rPr>
        <w:fldChar w:fldCharType="end"/>
      </w:r>
    </w:p>
    <w:p w14:paraId="4954B25D" w14:textId="77777777" w:rsidR="00970B72" w:rsidRDefault="00970B72">
      <w:pPr>
        <w:pStyle w:val="TOC5"/>
        <w:rPr>
          <w:rFonts w:asciiTheme="minorHAnsi" w:eastAsiaTheme="minorEastAsia" w:hAnsiTheme="minorHAnsi" w:cstheme="minorBidi"/>
          <w:noProof/>
          <w:kern w:val="0"/>
          <w:sz w:val="22"/>
          <w:szCs w:val="22"/>
        </w:rPr>
      </w:pPr>
      <w:r>
        <w:rPr>
          <w:noProof/>
        </w:rPr>
        <w:t>29  Records that must be kept for purchased feed</w:t>
      </w:r>
      <w:r>
        <w:rPr>
          <w:noProof/>
        </w:rPr>
        <w:tab/>
      </w:r>
      <w:r>
        <w:rPr>
          <w:noProof/>
        </w:rPr>
        <w:fldChar w:fldCharType="begin"/>
      </w:r>
      <w:r>
        <w:rPr>
          <w:noProof/>
        </w:rPr>
        <w:instrText xml:space="preserve"> PAGEREF _Toc485212006 \h </w:instrText>
      </w:r>
      <w:r>
        <w:rPr>
          <w:noProof/>
        </w:rPr>
      </w:r>
      <w:r>
        <w:rPr>
          <w:noProof/>
        </w:rPr>
        <w:fldChar w:fldCharType="separate"/>
      </w:r>
      <w:r w:rsidR="00A63FD0">
        <w:rPr>
          <w:noProof/>
        </w:rPr>
        <w:t>30</w:t>
      </w:r>
      <w:r>
        <w:rPr>
          <w:noProof/>
        </w:rPr>
        <w:fldChar w:fldCharType="end"/>
      </w:r>
    </w:p>
    <w:p w14:paraId="514B7BF1" w14:textId="77777777" w:rsidR="00970B72" w:rsidRDefault="00970B72">
      <w:pPr>
        <w:pStyle w:val="TOC3"/>
        <w:rPr>
          <w:rFonts w:asciiTheme="minorHAnsi" w:eastAsiaTheme="minorEastAsia" w:hAnsiTheme="minorHAnsi" w:cstheme="minorBidi"/>
          <w:b w:val="0"/>
          <w:noProof/>
          <w:kern w:val="0"/>
          <w:szCs w:val="22"/>
        </w:rPr>
      </w:pPr>
      <w:r>
        <w:rPr>
          <w:noProof/>
        </w:rPr>
        <w:lastRenderedPageBreak/>
        <w:t>Division 4—Monitoring requirements</w:t>
      </w:r>
      <w:r>
        <w:rPr>
          <w:noProof/>
        </w:rPr>
        <w:tab/>
      </w:r>
      <w:r>
        <w:rPr>
          <w:noProof/>
        </w:rPr>
        <w:fldChar w:fldCharType="begin"/>
      </w:r>
      <w:r>
        <w:rPr>
          <w:noProof/>
        </w:rPr>
        <w:instrText xml:space="preserve"> PAGEREF _Toc485212007 \h </w:instrText>
      </w:r>
      <w:r>
        <w:rPr>
          <w:noProof/>
        </w:rPr>
      </w:r>
      <w:r>
        <w:rPr>
          <w:noProof/>
        </w:rPr>
        <w:fldChar w:fldCharType="separate"/>
      </w:r>
      <w:r w:rsidR="00A63FD0">
        <w:rPr>
          <w:noProof/>
        </w:rPr>
        <w:t>30</w:t>
      </w:r>
      <w:r>
        <w:rPr>
          <w:noProof/>
        </w:rPr>
        <w:fldChar w:fldCharType="end"/>
      </w:r>
    </w:p>
    <w:p w14:paraId="57DEA471" w14:textId="77777777" w:rsidR="00970B72" w:rsidRDefault="00970B72">
      <w:pPr>
        <w:pStyle w:val="TOC5"/>
        <w:rPr>
          <w:rFonts w:asciiTheme="minorHAnsi" w:eastAsiaTheme="minorEastAsia" w:hAnsiTheme="minorHAnsi" w:cstheme="minorBidi"/>
          <w:noProof/>
          <w:kern w:val="0"/>
          <w:sz w:val="22"/>
          <w:szCs w:val="22"/>
        </w:rPr>
      </w:pPr>
      <w:r>
        <w:rPr>
          <w:noProof/>
        </w:rPr>
        <w:t>30  General</w:t>
      </w:r>
      <w:r>
        <w:rPr>
          <w:noProof/>
        </w:rPr>
        <w:tab/>
      </w:r>
      <w:r>
        <w:rPr>
          <w:noProof/>
        </w:rPr>
        <w:fldChar w:fldCharType="begin"/>
      </w:r>
      <w:r>
        <w:rPr>
          <w:noProof/>
        </w:rPr>
        <w:instrText xml:space="preserve"> PAGEREF _Toc485212008 \h </w:instrText>
      </w:r>
      <w:r>
        <w:rPr>
          <w:noProof/>
        </w:rPr>
      </w:r>
      <w:r>
        <w:rPr>
          <w:noProof/>
        </w:rPr>
        <w:fldChar w:fldCharType="separate"/>
      </w:r>
      <w:r w:rsidR="00A63FD0">
        <w:rPr>
          <w:noProof/>
        </w:rPr>
        <w:t>30</w:t>
      </w:r>
      <w:r>
        <w:rPr>
          <w:noProof/>
        </w:rPr>
        <w:fldChar w:fldCharType="end"/>
      </w:r>
    </w:p>
    <w:p w14:paraId="13575F5E" w14:textId="77777777" w:rsidR="00970B72" w:rsidRDefault="00970B72">
      <w:pPr>
        <w:pStyle w:val="TOC3"/>
        <w:rPr>
          <w:rFonts w:asciiTheme="minorHAnsi" w:eastAsiaTheme="minorEastAsia" w:hAnsiTheme="minorHAnsi" w:cstheme="minorBidi"/>
          <w:b w:val="0"/>
          <w:noProof/>
          <w:kern w:val="0"/>
          <w:szCs w:val="22"/>
        </w:rPr>
      </w:pPr>
      <w:r>
        <w:rPr>
          <w:noProof/>
        </w:rPr>
        <w:t>Division 5—Reporting under section 77A of the Act</w:t>
      </w:r>
      <w:r>
        <w:rPr>
          <w:noProof/>
        </w:rPr>
        <w:tab/>
      </w:r>
      <w:r>
        <w:rPr>
          <w:noProof/>
        </w:rPr>
        <w:fldChar w:fldCharType="begin"/>
      </w:r>
      <w:r>
        <w:rPr>
          <w:noProof/>
        </w:rPr>
        <w:instrText xml:space="preserve"> PAGEREF _Toc485212009 \h </w:instrText>
      </w:r>
      <w:r>
        <w:rPr>
          <w:noProof/>
        </w:rPr>
      </w:r>
      <w:r>
        <w:rPr>
          <w:noProof/>
        </w:rPr>
        <w:fldChar w:fldCharType="separate"/>
      </w:r>
      <w:r w:rsidR="00A63FD0">
        <w:rPr>
          <w:noProof/>
        </w:rPr>
        <w:t>30</w:t>
      </w:r>
      <w:r>
        <w:rPr>
          <w:noProof/>
        </w:rPr>
        <w:fldChar w:fldCharType="end"/>
      </w:r>
    </w:p>
    <w:p w14:paraId="19F2443C" w14:textId="77777777" w:rsidR="00970B72" w:rsidRDefault="00970B72">
      <w:pPr>
        <w:pStyle w:val="TOC5"/>
        <w:rPr>
          <w:rFonts w:asciiTheme="minorHAnsi" w:eastAsiaTheme="minorEastAsia" w:hAnsiTheme="minorHAnsi" w:cstheme="minorBidi"/>
          <w:noProof/>
          <w:kern w:val="0"/>
          <w:sz w:val="22"/>
          <w:szCs w:val="22"/>
        </w:rPr>
      </w:pPr>
      <w:r>
        <w:rPr>
          <w:noProof/>
        </w:rPr>
        <w:t>31  Requirements relating to reporting under section 77A of the Act</w:t>
      </w:r>
      <w:r>
        <w:rPr>
          <w:noProof/>
        </w:rPr>
        <w:tab/>
      </w:r>
      <w:r>
        <w:rPr>
          <w:noProof/>
        </w:rPr>
        <w:fldChar w:fldCharType="begin"/>
      </w:r>
      <w:r>
        <w:rPr>
          <w:noProof/>
        </w:rPr>
        <w:instrText xml:space="preserve"> PAGEREF _Toc485212010 \h </w:instrText>
      </w:r>
      <w:r>
        <w:rPr>
          <w:noProof/>
        </w:rPr>
      </w:r>
      <w:r>
        <w:rPr>
          <w:noProof/>
        </w:rPr>
        <w:fldChar w:fldCharType="separate"/>
      </w:r>
      <w:r w:rsidR="00A63FD0">
        <w:rPr>
          <w:noProof/>
        </w:rPr>
        <w:t>30</w:t>
      </w:r>
      <w:r>
        <w:rPr>
          <w:noProof/>
        </w:rPr>
        <w:fldChar w:fldCharType="end"/>
      </w:r>
    </w:p>
    <w:p w14:paraId="7E307647" w14:textId="77777777" w:rsidR="00970B72" w:rsidRDefault="00970B72">
      <w:pPr>
        <w:pStyle w:val="TOC1"/>
        <w:rPr>
          <w:rFonts w:asciiTheme="minorHAnsi" w:eastAsiaTheme="minorEastAsia" w:hAnsiTheme="minorHAnsi" w:cstheme="minorBidi"/>
          <w:b w:val="0"/>
          <w:noProof/>
          <w:kern w:val="0"/>
          <w:sz w:val="22"/>
          <w:szCs w:val="22"/>
        </w:rPr>
      </w:pPr>
      <w:r>
        <w:rPr>
          <w:noProof/>
        </w:rPr>
        <w:t>Schedule 1—Inputs into Herd Management Calculator—general</w:t>
      </w:r>
      <w:r>
        <w:rPr>
          <w:noProof/>
        </w:rPr>
        <w:tab/>
      </w:r>
      <w:r>
        <w:rPr>
          <w:noProof/>
        </w:rPr>
        <w:fldChar w:fldCharType="begin"/>
      </w:r>
      <w:r>
        <w:rPr>
          <w:noProof/>
        </w:rPr>
        <w:instrText xml:space="preserve"> PAGEREF _Toc485212011 \h </w:instrText>
      </w:r>
      <w:r>
        <w:rPr>
          <w:noProof/>
        </w:rPr>
      </w:r>
      <w:r>
        <w:rPr>
          <w:noProof/>
        </w:rPr>
        <w:fldChar w:fldCharType="separate"/>
      </w:r>
      <w:r w:rsidR="00A63FD0">
        <w:rPr>
          <w:noProof/>
        </w:rPr>
        <w:t>31</w:t>
      </w:r>
      <w:r>
        <w:rPr>
          <w:noProof/>
        </w:rPr>
        <w:fldChar w:fldCharType="end"/>
      </w:r>
    </w:p>
    <w:p w14:paraId="243682BF" w14:textId="77777777" w:rsidR="00970B72" w:rsidRDefault="00970B72">
      <w:pPr>
        <w:pStyle w:val="TOC1"/>
        <w:rPr>
          <w:rFonts w:asciiTheme="minorHAnsi" w:eastAsiaTheme="minorEastAsia" w:hAnsiTheme="minorHAnsi" w:cstheme="minorBidi"/>
          <w:b w:val="0"/>
          <w:noProof/>
          <w:kern w:val="0"/>
          <w:sz w:val="22"/>
          <w:szCs w:val="22"/>
        </w:rPr>
      </w:pPr>
      <w:r>
        <w:rPr>
          <w:noProof/>
        </w:rPr>
        <w:t>Schedule 2—Inputs into Herd Management Calculator—dietary change</w:t>
      </w:r>
      <w:r>
        <w:rPr>
          <w:noProof/>
        </w:rPr>
        <w:tab/>
      </w:r>
      <w:r>
        <w:rPr>
          <w:noProof/>
        </w:rPr>
        <w:fldChar w:fldCharType="begin"/>
      </w:r>
      <w:r>
        <w:rPr>
          <w:noProof/>
        </w:rPr>
        <w:instrText xml:space="preserve"> PAGEREF _Toc485212012 \h </w:instrText>
      </w:r>
      <w:r>
        <w:rPr>
          <w:noProof/>
        </w:rPr>
      </w:r>
      <w:r>
        <w:rPr>
          <w:noProof/>
        </w:rPr>
        <w:fldChar w:fldCharType="separate"/>
      </w:r>
      <w:r w:rsidR="00A63FD0">
        <w:rPr>
          <w:noProof/>
        </w:rPr>
        <w:t>34</w:t>
      </w:r>
      <w:r>
        <w:rPr>
          <w:noProof/>
        </w:rPr>
        <w:fldChar w:fldCharType="end"/>
      </w:r>
    </w:p>
    <w:p w14:paraId="5A42A417" w14:textId="77777777" w:rsidR="00970B72" w:rsidRDefault="00970B72" w:rsidP="00970B72">
      <w:pPr>
        <w:pStyle w:val="TOC2"/>
        <w:rPr>
          <w:rFonts w:asciiTheme="minorHAnsi" w:eastAsiaTheme="minorEastAsia" w:hAnsiTheme="minorHAnsi" w:cstheme="minorBidi"/>
          <w:b w:val="0"/>
          <w:noProof/>
          <w:kern w:val="0"/>
          <w:szCs w:val="22"/>
        </w:rPr>
      </w:pPr>
      <w:r>
        <w:rPr>
          <w:noProof/>
        </w:rPr>
        <w:t>Endnotes</w:t>
      </w:r>
      <w:r>
        <w:rPr>
          <w:noProof/>
        </w:rPr>
        <w:tab/>
      </w:r>
      <w:r>
        <w:rPr>
          <w:noProof/>
        </w:rPr>
        <w:fldChar w:fldCharType="begin"/>
      </w:r>
      <w:r>
        <w:rPr>
          <w:noProof/>
        </w:rPr>
        <w:instrText xml:space="preserve"> PAGEREF _Toc485212013 \h </w:instrText>
      </w:r>
      <w:r>
        <w:rPr>
          <w:noProof/>
        </w:rPr>
      </w:r>
      <w:r>
        <w:rPr>
          <w:noProof/>
        </w:rPr>
        <w:fldChar w:fldCharType="separate"/>
      </w:r>
      <w:r w:rsidR="00A63FD0">
        <w:rPr>
          <w:noProof/>
        </w:rPr>
        <w:t>35</w:t>
      </w:r>
      <w:r>
        <w:rPr>
          <w:noProof/>
        </w:rPr>
        <w:fldChar w:fldCharType="end"/>
      </w:r>
    </w:p>
    <w:p w14:paraId="499DE3DE" w14:textId="77777777" w:rsidR="00536929" w:rsidRPr="00B138C4" w:rsidRDefault="00970B72" w:rsidP="00970B72">
      <w:pPr>
        <w:spacing w:line="240" w:lineRule="auto"/>
      </w:pPr>
      <w:r>
        <w:fldChar w:fldCharType="end"/>
      </w:r>
    </w:p>
    <w:p w14:paraId="493B8980" w14:textId="77777777" w:rsidR="00F47AAB" w:rsidRPr="00B138C4" w:rsidRDefault="0010015D" w:rsidP="00C46149">
      <w:pPr>
        <w:pStyle w:val="h2Part"/>
      </w:pPr>
      <w:bookmarkStart w:id="3" w:name="_Toc426038005"/>
      <w:bookmarkStart w:id="4" w:name="_Toc485211961"/>
      <w:r>
        <w:lastRenderedPageBreak/>
        <w:t>Part 1</w:t>
      </w:r>
      <w:r w:rsidR="00C46149" w:rsidRPr="00B138C4">
        <w:t>—</w:t>
      </w:r>
      <w:bookmarkStart w:id="5" w:name="_Toc405889304"/>
      <w:r w:rsidR="00F47AAB" w:rsidRPr="00B138C4">
        <w:t>Preliminary</w:t>
      </w:r>
      <w:bookmarkEnd w:id="3"/>
      <w:bookmarkEnd w:id="4"/>
      <w:bookmarkEnd w:id="5"/>
    </w:p>
    <w:p w14:paraId="0C16C2C7" w14:textId="77777777" w:rsidR="00F47AAB" w:rsidRPr="00B138C4" w:rsidRDefault="0010015D" w:rsidP="00AD7BE4">
      <w:pPr>
        <w:pStyle w:val="h5Section"/>
      </w:pPr>
      <w:bookmarkStart w:id="6" w:name="_Toc405889305"/>
      <w:bookmarkStart w:id="7" w:name="_Toc426038006"/>
      <w:bookmarkStart w:id="8" w:name="_Toc485211962"/>
      <w:r>
        <w:t>1</w:t>
      </w:r>
      <w:r w:rsidR="00AD7BE4" w:rsidRPr="00B138C4">
        <w:t xml:space="preserve"> </w:t>
      </w:r>
      <w:r w:rsidR="004040B2" w:rsidRPr="00B138C4">
        <w:t xml:space="preserve"> </w:t>
      </w:r>
      <w:r w:rsidR="00F47AAB" w:rsidRPr="00B138C4">
        <w:t>Name</w:t>
      </w:r>
      <w:bookmarkEnd w:id="6"/>
      <w:bookmarkEnd w:id="7"/>
      <w:bookmarkEnd w:id="8"/>
    </w:p>
    <w:p w14:paraId="603B0683" w14:textId="77777777" w:rsidR="00F47AAB" w:rsidRPr="00B138C4" w:rsidRDefault="00F47AAB" w:rsidP="00F47AAB">
      <w:pPr>
        <w:pStyle w:val="tMain"/>
      </w:pPr>
      <w:r w:rsidRPr="00B138C4">
        <w:tab/>
      </w:r>
      <w:r w:rsidRPr="00B138C4">
        <w:tab/>
        <w:t xml:space="preserve">This is the </w:t>
      </w:r>
      <w:bookmarkStart w:id="9" w:name="BKCheck15B_3"/>
      <w:bookmarkEnd w:id="9"/>
      <w:r w:rsidR="001C572E">
        <w:rPr>
          <w:i/>
          <w:noProof/>
        </w:rPr>
        <w:t>Carbon Credits (Carbon Farming Initiative—Beef Cattle Herd Management) Methodology Determination 2015</w:t>
      </w:r>
      <w:r w:rsidRPr="00B138C4">
        <w:t>.</w:t>
      </w:r>
    </w:p>
    <w:p w14:paraId="5375AE99" w14:textId="77777777" w:rsidR="00AD7BE4" w:rsidRPr="00B138C4" w:rsidRDefault="0010015D" w:rsidP="00AD7BE4">
      <w:pPr>
        <w:pStyle w:val="h5Section"/>
      </w:pPr>
      <w:bookmarkStart w:id="10" w:name="_Toc405889306"/>
      <w:bookmarkStart w:id="11" w:name="_Toc426038007"/>
      <w:bookmarkStart w:id="12" w:name="_Toc485211963"/>
      <w:r>
        <w:t>2</w:t>
      </w:r>
      <w:r w:rsidR="00AD7BE4" w:rsidRPr="00B138C4">
        <w:t xml:space="preserve">  Commencement</w:t>
      </w:r>
      <w:bookmarkEnd w:id="10"/>
      <w:bookmarkEnd w:id="11"/>
      <w:bookmarkEnd w:id="12"/>
    </w:p>
    <w:p w14:paraId="64B809B5" w14:textId="77777777" w:rsidR="00AD7BE4" w:rsidRPr="00B138C4" w:rsidRDefault="00AD7BE4" w:rsidP="00AD7BE4">
      <w:pPr>
        <w:pStyle w:val="tMain"/>
      </w:pPr>
      <w:r w:rsidRPr="00B138C4">
        <w:tab/>
      </w:r>
      <w:r w:rsidRPr="00B138C4">
        <w:tab/>
        <w:t xml:space="preserve">This </w:t>
      </w:r>
      <w:r w:rsidR="00FC6116" w:rsidRPr="00B138C4">
        <w:t>determination</w:t>
      </w:r>
      <w:r w:rsidRPr="00B138C4">
        <w:t xml:space="preserve"> commences on the day after it is registered.</w:t>
      </w:r>
    </w:p>
    <w:p w14:paraId="035954B3" w14:textId="77777777" w:rsidR="00AD7BE4" w:rsidRPr="00B138C4" w:rsidRDefault="0010015D" w:rsidP="00AD7BE4">
      <w:pPr>
        <w:pStyle w:val="h5Section"/>
      </w:pPr>
      <w:bookmarkStart w:id="13" w:name="_Toc405889307"/>
      <w:bookmarkStart w:id="14" w:name="_Toc426038008"/>
      <w:bookmarkStart w:id="15" w:name="_Toc485211964"/>
      <w:r>
        <w:t>3</w:t>
      </w:r>
      <w:r w:rsidR="00AD7BE4" w:rsidRPr="00B138C4">
        <w:t xml:space="preserve">  Authority</w:t>
      </w:r>
      <w:bookmarkEnd w:id="13"/>
      <w:bookmarkEnd w:id="14"/>
      <w:bookmarkEnd w:id="15"/>
    </w:p>
    <w:p w14:paraId="151318BE" w14:textId="77777777" w:rsidR="00AD7BE4" w:rsidRPr="00B138C4" w:rsidRDefault="00AD7BE4" w:rsidP="00AD7BE4">
      <w:pPr>
        <w:pStyle w:val="tMain"/>
      </w:pPr>
      <w:r w:rsidRPr="00B138C4">
        <w:tab/>
      </w:r>
      <w:r w:rsidRPr="00B138C4">
        <w:tab/>
        <w:t xml:space="preserve">This </w:t>
      </w:r>
      <w:r w:rsidR="00FC6116" w:rsidRPr="00B138C4">
        <w:t>determination</w:t>
      </w:r>
      <w:r w:rsidRPr="00B138C4">
        <w:t xml:space="preserve"> is made under subsection 106(1) of the </w:t>
      </w:r>
      <w:r w:rsidRPr="00B138C4">
        <w:rPr>
          <w:i/>
        </w:rPr>
        <w:t>Carbon Credits (Carbon Farming Initiative) Act 2011</w:t>
      </w:r>
      <w:r w:rsidRPr="00B138C4">
        <w:t>.</w:t>
      </w:r>
    </w:p>
    <w:p w14:paraId="18A8EFF7" w14:textId="77777777" w:rsidR="00AD7BE4" w:rsidRPr="00B138C4" w:rsidRDefault="0010015D" w:rsidP="00AD7BE4">
      <w:pPr>
        <w:pStyle w:val="h5Section"/>
      </w:pPr>
      <w:bookmarkStart w:id="16" w:name="_Toc405889308"/>
      <w:bookmarkStart w:id="17" w:name="_Toc426038009"/>
      <w:bookmarkStart w:id="18" w:name="_Toc485211965"/>
      <w:r>
        <w:t>4</w:t>
      </w:r>
      <w:r w:rsidR="00AD7BE4" w:rsidRPr="00B138C4">
        <w:t xml:space="preserve">  Duration</w:t>
      </w:r>
      <w:bookmarkEnd w:id="16"/>
      <w:bookmarkEnd w:id="17"/>
      <w:bookmarkEnd w:id="18"/>
    </w:p>
    <w:p w14:paraId="240AA063" w14:textId="77777777" w:rsidR="00AD7BE4" w:rsidRPr="00B138C4" w:rsidRDefault="00AD7BE4" w:rsidP="00AD7BE4">
      <w:pPr>
        <w:pStyle w:val="tMain"/>
      </w:pPr>
      <w:r w:rsidRPr="00B138C4">
        <w:tab/>
      </w:r>
      <w:r w:rsidRPr="00B138C4">
        <w:tab/>
        <w:t xml:space="preserve">This </w:t>
      </w:r>
      <w:r w:rsidR="00FC6116" w:rsidRPr="00B138C4">
        <w:t>determination</w:t>
      </w:r>
      <w:r w:rsidRPr="00B138C4">
        <w:t xml:space="preserve"> remains in force for the period that:</w:t>
      </w:r>
    </w:p>
    <w:p w14:paraId="46B7BEA5" w14:textId="77777777" w:rsidR="00AD7BE4" w:rsidRPr="00B138C4" w:rsidRDefault="00AD7BE4" w:rsidP="00AD7BE4">
      <w:pPr>
        <w:pStyle w:val="tPara"/>
      </w:pPr>
      <w:r w:rsidRPr="00B138C4">
        <w:tab/>
      </w:r>
      <w:r w:rsidR="0010015D">
        <w:t>(a)</w:t>
      </w:r>
      <w:r w:rsidRPr="00B138C4">
        <w:tab/>
        <w:t>begins when this instrument commences; and</w:t>
      </w:r>
    </w:p>
    <w:p w14:paraId="1219A120" w14:textId="77777777" w:rsidR="00AD7BE4" w:rsidRPr="00B138C4" w:rsidRDefault="00AD7BE4" w:rsidP="00AD7BE4">
      <w:pPr>
        <w:pStyle w:val="tPara"/>
      </w:pPr>
      <w:r w:rsidRPr="00B138C4">
        <w:tab/>
      </w:r>
      <w:r w:rsidR="0010015D">
        <w:t>(b)</w:t>
      </w:r>
      <w:r w:rsidRPr="00B138C4">
        <w:tab/>
        <w:t xml:space="preserve">ends on the day before this instrument would otherwise be repealed under subsection 50(1) of the </w:t>
      </w:r>
      <w:r w:rsidRPr="00B138C4">
        <w:rPr>
          <w:i/>
        </w:rPr>
        <w:t>Legislative Instruments Act 2003</w:t>
      </w:r>
      <w:r w:rsidRPr="00B138C4">
        <w:t>.</w:t>
      </w:r>
    </w:p>
    <w:p w14:paraId="7C4712A7" w14:textId="77777777" w:rsidR="00AD7BE4" w:rsidRPr="00B138C4" w:rsidRDefault="0010015D" w:rsidP="00AD7BE4">
      <w:pPr>
        <w:pStyle w:val="h5Section"/>
      </w:pPr>
      <w:bookmarkStart w:id="19" w:name="_Toc405889309"/>
      <w:bookmarkStart w:id="20" w:name="_Toc426038010"/>
      <w:bookmarkStart w:id="21" w:name="_Toc485211966"/>
      <w:r>
        <w:t>5</w:t>
      </w:r>
      <w:r w:rsidR="00AD7BE4" w:rsidRPr="00B138C4">
        <w:t xml:space="preserve">  Definitions</w:t>
      </w:r>
      <w:bookmarkEnd w:id="19"/>
      <w:bookmarkEnd w:id="20"/>
      <w:bookmarkEnd w:id="21"/>
    </w:p>
    <w:p w14:paraId="4DA37C31" w14:textId="77777777" w:rsidR="00AD7BE4" w:rsidRPr="00B138C4" w:rsidRDefault="00225934" w:rsidP="00225934">
      <w:pPr>
        <w:pStyle w:val="tMain"/>
      </w:pPr>
      <w:r w:rsidRPr="00B138C4">
        <w:tab/>
      </w:r>
      <w:r w:rsidRPr="00B138C4">
        <w:tab/>
      </w:r>
      <w:r w:rsidR="00AD7BE4" w:rsidRPr="00B138C4">
        <w:t xml:space="preserve">In this </w:t>
      </w:r>
      <w:r w:rsidR="00FC6116" w:rsidRPr="00B138C4">
        <w:t>determination</w:t>
      </w:r>
      <w:r w:rsidR="00AD7BE4" w:rsidRPr="00B138C4">
        <w:t>:</w:t>
      </w:r>
    </w:p>
    <w:p w14:paraId="13E03075" w14:textId="77777777" w:rsidR="00810E64" w:rsidRPr="00B138C4" w:rsidRDefault="00810E64" w:rsidP="00810E64">
      <w:pPr>
        <w:pStyle w:val="tDefn"/>
      </w:pPr>
      <w:r w:rsidRPr="00B138C4">
        <w:rPr>
          <w:b/>
          <w:i/>
        </w:rPr>
        <w:t>Act</w:t>
      </w:r>
      <w:r w:rsidRPr="00B138C4">
        <w:t xml:space="preserve"> means the </w:t>
      </w:r>
      <w:r w:rsidRPr="00B138C4">
        <w:rPr>
          <w:i/>
        </w:rPr>
        <w:t>Carbon Credits (Carbon Farming Initiative) Act 2011</w:t>
      </w:r>
      <w:r w:rsidRPr="00B138C4">
        <w:t>.</w:t>
      </w:r>
    </w:p>
    <w:p w14:paraId="1AAFA504" w14:textId="77777777" w:rsidR="00810E64" w:rsidRDefault="00810E64" w:rsidP="00810E64">
      <w:pPr>
        <w:pStyle w:val="tDefn"/>
        <w:rPr>
          <w:iCs/>
        </w:rPr>
      </w:pPr>
      <w:r w:rsidRPr="00B138C4">
        <w:rPr>
          <w:b/>
          <w:i/>
          <w:iCs/>
        </w:rPr>
        <w:t xml:space="preserve">ANZSIC class </w:t>
      </w:r>
      <w:r w:rsidRPr="00B138C4">
        <w:rPr>
          <w:iCs/>
        </w:rPr>
        <w:t xml:space="preserve">means the industry classification and code for that number published in the </w:t>
      </w:r>
      <w:r w:rsidRPr="00B138C4">
        <w:rPr>
          <w:i/>
          <w:iCs/>
        </w:rPr>
        <w:t>Australian and New Zealand Standard Industrial Classification (ANZSIC) 2006</w:t>
      </w:r>
      <w:r w:rsidRPr="00B138C4">
        <w:rPr>
          <w:iCs/>
        </w:rPr>
        <w:t>.</w:t>
      </w:r>
    </w:p>
    <w:p w14:paraId="5F5A39E2" w14:textId="77777777" w:rsidR="00A24D93" w:rsidRPr="007373D1" w:rsidRDefault="00A24D93" w:rsidP="00A24D93">
      <w:pPr>
        <w:pStyle w:val="tDefn"/>
      </w:pPr>
      <w:r w:rsidRPr="007373D1">
        <w:rPr>
          <w:b/>
          <w:i/>
        </w:rPr>
        <w:t>arm’s length agistment arrangement</w:t>
      </w:r>
      <w:r w:rsidRPr="007373D1">
        <w:t xml:space="preserve"> means a written contract:</w:t>
      </w:r>
    </w:p>
    <w:p w14:paraId="236B6C1E" w14:textId="77777777" w:rsidR="00A24D93" w:rsidRPr="007373D1" w:rsidRDefault="00A24D93" w:rsidP="00A24D93">
      <w:pPr>
        <w:pStyle w:val="tPara"/>
      </w:pPr>
      <w:r w:rsidRPr="007373D1">
        <w:tab/>
        <w:t>(a)</w:t>
      </w:r>
      <w:r w:rsidRPr="007373D1">
        <w:tab/>
        <w:t>under which a party with more grazing available than is needed for its own cattle allows the other party to use the spare grazing capacity; and</w:t>
      </w:r>
    </w:p>
    <w:p w14:paraId="6B1F8CA5" w14:textId="77777777" w:rsidR="00A24D93" w:rsidRDefault="00A24D93" w:rsidP="00A24D93">
      <w:pPr>
        <w:pStyle w:val="tPara"/>
      </w:pPr>
      <w:r w:rsidRPr="007373D1">
        <w:tab/>
        <w:t>(b)</w:t>
      </w:r>
      <w:r w:rsidRPr="007373D1">
        <w:tab/>
        <w:t>where the parties are not linked entities.</w:t>
      </w:r>
    </w:p>
    <w:p w14:paraId="3463764D" w14:textId="77777777" w:rsidR="00A24D93" w:rsidRPr="007373D1" w:rsidRDefault="00A24D93" w:rsidP="00A24D93">
      <w:pPr>
        <w:pStyle w:val="tDefn"/>
      </w:pPr>
      <w:r w:rsidRPr="007373D1">
        <w:rPr>
          <w:b/>
          <w:i/>
        </w:rPr>
        <w:t>assessment day</w:t>
      </w:r>
      <w:r w:rsidRPr="007373D1">
        <w:t xml:space="preserve">, for a herd of a project, means the day of the calendar year specified as the assessment day for the herd in accordance with subsection 8(4), or as varied under subsection 8(5). </w:t>
      </w:r>
    </w:p>
    <w:p w14:paraId="66BE3239" w14:textId="77777777" w:rsidR="00A24D93" w:rsidRPr="007373D1" w:rsidRDefault="00A24D93" w:rsidP="00A24D93">
      <w:pPr>
        <w:pStyle w:val="nMain"/>
      </w:pPr>
      <w:r w:rsidRPr="007373D1">
        <w:t xml:space="preserve">Note: </w:t>
      </w:r>
      <w:r w:rsidRPr="007373D1">
        <w:tab/>
        <w:t>The assessment day for the herd will need to be set so that any annual muster and weighing of animals that is needed to provide data in accordance with section 25 can be done within six weeks before or after the day.  For the first and last assessment days, weights taken more than two weeks from the assessment day will be need be adjusted by linear projection in accordance with subsections 25(7) to (11).</w:t>
      </w:r>
    </w:p>
    <w:p w14:paraId="2999B523" w14:textId="77777777" w:rsidR="00A24D93" w:rsidRPr="007373D1" w:rsidRDefault="00A24D93" w:rsidP="00A24D93">
      <w:pPr>
        <w:pStyle w:val="nMain"/>
      </w:pPr>
      <w:r w:rsidRPr="007373D1">
        <w:tab/>
        <w:t>A project can be divided into several herds with different assessment days.</w:t>
      </w:r>
    </w:p>
    <w:p w14:paraId="08C6BFEF" w14:textId="77777777" w:rsidR="00A24D93" w:rsidRPr="007373D1" w:rsidRDefault="00A24D93" w:rsidP="00A24D93">
      <w:pPr>
        <w:pStyle w:val="tDefn"/>
      </w:pPr>
      <w:r w:rsidRPr="007373D1">
        <w:rPr>
          <w:b/>
          <w:i/>
        </w:rPr>
        <w:t>assessment year</w:t>
      </w:r>
      <w:r w:rsidRPr="007373D1">
        <w:t>, for a herd of a project, means a period of 12 months that:</w:t>
      </w:r>
    </w:p>
    <w:p w14:paraId="4BBDDA7D" w14:textId="77777777" w:rsidR="00A24D93" w:rsidRPr="007373D1" w:rsidRDefault="00A24D93" w:rsidP="00A24D93">
      <w:pPr>
        <w:pStyle w:val="tPara"/>
      </w:pPr>
      <w:r w:rsidRPr="007373D1">
        <w:tab/>
        <w:t>(a)</w:t>
      </w:r>
      <w:r w:rsidRPr="007373D1">
        <w:tab/>
        <w:t>begins on or after the date of the relevant application for the herd; and</w:t>
      </w:r>
    </w:p>
    <w:p w14:paraId="4D73BCC2" w14:textId="77777777" w:rsidR="00A24D93" w:rsidRPr="007373D1" w:rsidRDefault="00A24D93" w:rsidP="00A24D93">
      <w:pPr>
        <w:pStyle w:val="tPara"/>
      </w:pPr>
      <w:r w:rsidRPr="007373D1">
        <w:tab/>
        <w:t>(b)</w:t>
      </w:r>
      <w:r w:rsidRPr="007373D1">
        <w:tab/>
        <w:t>begins on the day after one assessment day and ends on the next assessment day; and</w:t>
      </w:r>
    </w:p>
    <w:p w14:paraId="6C1D4606" w14:textId="77777777" w:rsidR="00A24D93" w:rsidRPr="007373D1" w:rsidRDefault="00A24D93" w:rsidP="00A24D93">
      <w:pPr>
        <w:pStyle w:val="tPara"/>
        <w:keepNext/>
      </w:pPr>
      <w:r w:rsidRPr="007373D1">
        <w:lastRenderedPageBreak/>
        <w:tab/>
        <w:t>(c)</w:t>
      </w:r>
      <w:r w:rsidRPr="007373D1">
        <w:tab/>
        <w:t>ends during the crediting period.</w:t>
      </w:r>
    </w:p>
    <w:p w14:paraId="3A14556F" w14:textId="77777777" w:rsidR="00A24D93" w:rsidRPr="007373D1" w:rsidRDefault="00A24D93" w:rsidP="00A24D93">
      <w:pPr>
        <w:pStyle w:val="nMain"/>
      </w:pPr>
      <w:r w:rsidRPr="007373D1">
        <w:t>Note:</w:t>
      </w:r>
      <w:r w:rsidRPr="007373D1">
        <w:tab/>
        <w:t>A project can be divided into several herds with different assessment days, and therefore different assessment years. The first assessment year of a herd may begin before the beginning of the crediting period, provided that it ends during the crediting period.  In this case there will be 7 assessment years, with the last ending within 12 months before the end of the crediting period.</w:t>
      </w:r>
    </w:p>
    <w:p w14:paraId="391E438A" w14:textId="77777777" w:rsidR="00A24D93" w:rsidRPr="007373D1" w:rsidRDefault="00A24D93" w:rsidP="00A24D93">
      <w:pPr>
        <w:pStyle w:val="tDefn"/>
      </w:pPr>
      <w:r w:rsidRPr="007373D1">
        <w:rPr>
          <w:b/>
          <w:i/>
        </w:rPr>
        <w:t>baseline reference date</w:t>
      </w:r>
      <w:r w:rsidRPr="007373D1">
        <w:t xml:space="preserve">, for a herd of a project, means the day of the calendar year specified as the baseline reference date for the herd in accordance with paragraph 8(6)(e) and subsection 16(1). </w:t>
      </w:r>
    </w:p>
    <w:p w14:paraId="5911D228" w14:textId="77777777" w:rsidR="00A24D93" w:rsidRPr="007373D1" w:rsidRDefault="00A24D93" w:rsidP="00A24D93">
      <w:pPr>
        <w:pStyle w:val="nMain"/>
      </w:pPr>
      <w:r w:rsidRPr="007373D1">
        <w:t>Note:</w:t>
      </w:r>
      <w:r w:rsidRPr="007373D1">
        <w:tab/>
        <w:t>This date is the end of the period of 7 years in which the emissions intensity reference period can be set.</w:t>
      </w:r>
    </w:p>
    <w:p w14:paraId="1BB83E3F" w14:textId="77777777" w:rsidR="00846C2A" w:rsidRPr="00B138C4" w:rsidRDefault="00846C2A" w:rsidP="00846C2A">
      <w:pPr>
        <w:pStyle w:val="tDefn"/>
      </w:pPr>
      <w:r w:rsidRPr="00B138C4">
        <w:rPr>
          <w:b/>
          <w:i/>
        </w:rPr>
        <w:t xml:space="preserve">business operation </w:t>
      </w:r>
      <w:r w:rsidRPr="00B138C4">
        <w:t xml:space="preserve">means an </w:t>
      </w:r>
      <w:r w:rsidRPr="00B9162C">
        <w:t xml:space="preserve">operation consisting of the whole or a part of an entity </w:t>
      </w:r>
      <w:r w:rsidR="00B9162C">
        <w:t xml:space="preserve">or </w:t>
      </w:r>
      <w:r w:rsidRPr="00B9162C">
        <w:t>group of entities</w:t>
      </w:r>
      <w:r w:rsidRPr="00B138C4">
        <w:t>:</w:t>
      </w:r>
    </w:p>
    <w:p w14:paraId="0638B814" w14:textId="77777777" w:rsidR="00846C2A" w:rsidRPr="00B138C4" w:rsidRDefault="00846C2A" w:rsidP="00846C2A">
      <w:pPr>
        <w:pStyle w:val="tPara"/>
      </w:pPr>
      <w:r w:rsidRPr="00B138C4">
        <w:tab/>
        <w:t>(a)</w:t>
      </w:r>
      <w:r w:rsidRPr="00B138C4">
        <w:tab/>
        <w:t>that involves pasture grazing of cattle; and</w:t>
      </w:r>
    </w:p>
    <w:p w14:paraId="48FA8BCA" w14:textId="77777777" w:rsidR="00846C2A" w:rsidRDefault="00846C2A" w:rsidP="00846C2A">
      <w:pPr>
        <w:pStyle w:val="tPara"/>
      </w:pPr>
      <w:r w:rsidRPr="00B138C4">
        <w:tab/>
        <w:t>(b)</w:t>
      </w:r>
      <w:r w:rsidRPr="00B138C4">
        <w:tab/>
        <w:t>in relation to which a livestock inventory of those cattle is maintained.</w:t>
      </w:r>
    </w:p>
    <w:p w14:paraId="4ED1AAE2" w14:textId="77777777" w:rsidR="00A24D93" w:rsidRPr="007373D1" w:rsidRDefault="00A24D93" w:rsidP="00A24D93">
      <w:pPr>
        <w:pStyle w:val="nMain"/>
      </w:pPr>
      <w:r w:rsidRPr="007373D1">
        <w:t>Note:</w:t>
      </w:r>
      <w:r w:rsidRPr="007373D1">
        <w:tab/>
        <w:t>A business operation that defines a herd of cattle for a project must satisfy the separate business operation requirement (section 10) and the herd continuity requirement (section 11).</w:t>
      </w:r>
    </w:p>
    <w:p w14:paraId="5C958C85" w14:textId="77777777" w:rsidR="00810E64" w:rsidRPr="00B138C4" w:rsidRDefault="00810E64" w:rsidP="00810E64">
      <w:pPr>
        <w:pStyle w:val="tDefn"/>
      </w:pPr>
      <w:r w:rsidRPr="00B138C4">
        <w:rPr>
          <w:b/>
          <w:i/>
        </w:rPr>
        <w:t>cattle</w:t>
      </w:r>
      <w:r w:rsidRPr="00B138C4">
        <w:t xml:space="preserve"> means beef cattle.</w:t>
      </w:r>
    </w:p>
    <w:p w14:paraId="703CC426" w14:textId="77777777" w:rsidR="00810E64" w:rsidRPr="00B138C4" w:rsidRDefault="00810E64" w:rsidP="00810E64">
      <w:pPr>
        <w:pStyle w:val="tDefn"/>
      </w:pPr>
      <w:r w:rsidRPr="00B138C4">
        <w:rPr>
          <w:b/>
          <w:i/>
        </w:rPr>
        <w:t>crude protein</w:t>
      </w:r>
      <w:r w:rsidRPr="00B138C4">
        <w:rPr>
          <w:b/>
        </w:rPr>
        <w:t xml:space="preserve"> </w:t>
      </w:r>
      <w:r w:rsidRPr="00B138C4">
        <w:t>means the total protein equivalent in a feed, based on an assumed nitrogen content of 16</w:t>
      </w:r>
      <w:r w:rsidR="001E7BCA">
        <w:t>%</w:t>
      </w:r>
      <w:r w:rsidRPr="00B138C4">
        <w:t xml:space="preserve"> of the total protein equivalent of the feed. Crude protein includes true protein and non</w:t>
      </w:r>
      <w:r w:rsidR="00C338D8" w:rsidRPr="00B138C4">
        <w:noBreakHyphen/>
      </w:r>
      <w:r w:rsidRPr="00B138C4">
        <w:t>protein nitrogen.</w:t>
      </w:r>
    </w:p>
    <w:p w14:paraId="663DCCFB" w14:textId="77777777" w:rsidR="00810E64" w:rsidRPr="00B138C4" w:rsidRDefault="00810E64" w:rsidP="00810E64">
      <w:pPr>
        <w:pStyle w:val="tDefn"/>
      </w:pPr>
      <w:r w:rsidRPr="00B138C4">
        <w:rPr>
          <w:b/>
          <w:i/>
        </w:rPr>
        <w:t>dry matter</w:t>
      </w:r>
      <w:r w:rsidRPr="00B138C4">
        <w:rPr>
          <w:b/>
        </w:rPr>
        <w:t xml:space="preserve"> </w:t>
      </w:r>
      <w:r w:rsidRPr="00B138C4">
        <w:t xml:space="preserve">means the total weight of a feed minus the weight of its water content. </w:t>
      </w:r>
    </w:p>
    <w:p w14:paraId="6BED97AA" w14:textId="77777777" w:rsidR="00810E64" w:rsidRPr="00B138C4" w:rsidRDefault="00810E64" w:rsidP="00810E64">
      <w:pPr>
        <w:pStyle w:val="tDefn"/>
      </w:pPr>
      <w:r w:rsidRPr="00B138C4">
        <w:rPr>
          <w:b/>
          <w:i/>
          <w:lang w:eastAsia="en-NZ"/>
        </w:rPr>
        <w:t xml:space="preserve">dry matter digestibility </w:t>
      </w:r>
      <w:r w:rsidRPr="00B138C4">
        <w:t>means</w:t>
      </w:r>
      <w:r w:rsidRPr="00B138C4">
        <w:rPr>
          <w:b/>
        </w:rPr>
        <w:t xml:space="preserve"> </w:t>
      </w:r>
      <w:r w:rsidRPr="00B138C4">
        <w:t>the percentage of dry matter in a feed able to be digested by cattle, as determined by an in</w:t>
      </w:r>
      <w:r w:rsidR="00C338D8" w:rsidRPr="00B138C4">
        <w:noBreakHyphen/>
      </w:r>
      <w:r w:rsidRPr="00B138C4">
        <w:t xml:space="preserve">vitro testing method. </w:t>
      </w:r>
    </w:p>
    <w:p w14:paraId="14E056D6" w14:textId="77777777" w:rsidR="00B65415" w:rsidRPr="00B138C4" w:rsidRDefault="00B65415" w:rsidP="00B65415">
      <w:pPr>
        <w:pStyle w:val="tDefn"/>
      </w:pPr>
      <w:r w:rsidRPr="00B138C4">
        <w:rPr>
          <w:b/>
          <w:i/>
        </w:rPr>
        <w:t xml:space="preserve">eligible herd management project </w:t>
      </w:r>
      <w:r w:rsidRPr="00B138C4">
        <w:t>means a herd management project that has been declared an eligible offsets project under section 27 of the Act.</w:t>
      </w:r>
    </w:p>
    <w:p w14:paraId="7D700FCD" w14:textId="77777777" w:rsidR="00810E64" w:rsidRPr="00B138C4" w:rsidRDefault="00810E64" w:rsidP="00810E64">
      <w:pPr>
        <w:pStyle w:val="tDefn"/>
      </w:pPr>
      <w:r w:rsidRPr="00B138C4">
        <w:rPr>
          <w:b/>
          <w:i/>
        </w:rPr>
        <w:t>emissions intensity reference period</w:t>
      </w:r>
      <w:r w:rsidR="008800E3" w:rsidRPr="00B138C4">
        <w:t>, for a herd</w:t>
      </w:r>
      <w:r w:rsidR="00CC55AF" w:rsidRPr="00B138C4">
        <w:rPr>
          <w:b/>
          <w:i/>
          <w:iCs/>
        </w:rPr>
        <w:t>—</w:t>
      </w:r>
      <w:r w:rsidR="00CC55AF" w:rsidRPr="00B138C4">
        <w:rPr>
          <w:iCs/>
        </w:rPr>
        <w:t xml:space="preserve">see </w:t>
      </w:r>
      <w:r w:rsidR="009307AD" w:rsidRPr="00B138C4">
        <w:rPr>
          <w:iCs/>
        </w:rPr>
        <w:t>sub</w:t>
      </w:r>
      <w:r w:rsidRPr="00B138C4">
        <w:t xml:space="preserve">section </w:t>
      </w:r>
      <w:r w:rsidR="00A24D93">
        <w:t>16(4)</w:t>
      </w:r>
      <w:r w:rsidRPr="00B138C4">
        <w:t>.</w:t>
      </w:r>
    </w:p>
    <w:p w14:paraId="4F1B374A" w14:textId="77777777" w:rsidR="00745EC4" w:rsidRDefault="00745EC4" w:rsidP="00745EC4">
      <w:pPr>
        <w:pStyle w:val="tDefn"/>
        <w:rPr>
          <w:bCs/>
        </w:rPr>
      </w:pPr>
      <w:r w:rsidRPr="00B138C4">
        <w:rPr>
          <w:b/>
          <w:i/>
        </w:rPr>
        <w:t>entity</w:t>
      </w:r>
      <w:r w:rsidRPr="00B138C4">
        <w:t xml:space="preserve"> </w:t>
      </w:r>
      <w:r w:rsidR="00954629" w:rsidRPr="00B138C4">
        <w:t xml:space="preserve">has the same meaning as in the </w:t>
      </w:r>
      <w:r w:rsidR="00954629" w:rsidRPr="00B138C4">
        <w:rPr>
          <w:bCs/>
          <w:i/>
        </w:rPr>
        <w:t>A New Tax System (Goods and Services Tax) Act 1999</w:t>
      </w:r>
      <w:r w:rsidR="00954629" w:rsidRPr="00B138C4">
        <w:rPr>
          <w:bCs/>
        </w:rPr>
        <w:t>.</w:t>
      </w:r>
    </w:p>
    <w:p w14:paraId="6224E99F" w14:textId="77777777" w:rsidR="00A24D93" w:rsidRPr="007373D1" w:rsidRDefault="00A24D93" w:rsidP="00A24D93">
      <w:pPr>
        <w:pStyle w:val="nMain"/>
      </w:pPr>
      <w:r w:rsidRPr="007373D1">
        <w:t>Note:</w:t>
      </w:r>
      <w:r w:rsidRPr="007373D1">
        <w:tab/>
        <w:t>See section 184.1 of that Act.  The definition covers all kinds of legal persons and other things that in practice are treated as having a separate identity in the same way as a legal person does, and so can be registered for GST. These include an individual, a body corporate, a corporation sole, a body politic, a partnership, any other unincorporated association or body of persons, a trust or a superannuation fund.</w:t>
      </w:r>
    </w:p>
    <w:p w14:paraId="3D236D80" w14:textId="77777777" w:rsidR="00A24D93" w:rsidRPr="007373D1" w:rsidRDefault="00A24D93" w:rsidP="00A24D93">
      <w:pPr>
        <w:pStyle w:val="tDefn"/>
      </w:pPr>
      <w:r w:rsidRPr="007373D1">
        <w:rPr>
          <w:b/>
          <w:i/>
        </w:rPr>
        <w:t>full data herd</w:t>
      </w:r>
      <w:r w:rsidRPr="007373D1">
        <w:t>—see subsection 16(2).</w:t>
      </w:r>
    </w:p>
    <w:p w14:paraId="132CA131" w14:textId="77777777" w:rsidR="00A24D93" w:rsidRPr="007373D1" w:rsidRDefault="00A24D93" w:rsidP="00A24D93">
      <w:pPr>
        <w:pStyle w:val="tDefn"/>
      </w:pPr>
      <w:r w:rsidRPr="007373D1">
        <w:rPr>
          <w:b/>
          <w:i/>
        </w:rPr>
        <w:t>herd</w:t>
      </w:r>
      <w:r w:rsidRPr="007373D1">
        <w:t xml:space="preserve"> of a business operation, at a particular time, means all cattle that are on the livestock inventory of the business operation at that time. </w:t>
      </w:r>
    </w:p>
    <w:p w14:paraId="3230988A" w14:textId="77777777" w:rsidR="00A24D93" w:rsidRPr="007373D1" w:rsidRDefault="00A24D93" w:rsidP="00A24D93">
      <w:pPr>
        <w:pStyle w:val="nMain"/>
      </w:pPr>
      <w:r w:rsidRPr="007373D1">
        <w:t>Note:</w:t>
      </w:r>
      <w:r w:rsidRPr="007373D1">
        <w:tab/>
        <w:t xml:space="preserve">An animal </w:t>
      </w:r>
      <w:r w:rsidRPr="007373D1">
        <w:rPr>
          <w:i/>
        </w:rPr>
        <w:t>in utero</w:t>
      </w:r>
      <w:r w:rsidRPr="007373D1">
        <w:t xml:space="preserve"> will not be a separate member of the herd.</w:t>
      </w:r>
    </w:p>
    <w:p w14:paraId="0D58A168" w14:textId="77777777" w:rsidR="00810E64" w:rsidRPr="00B138C4" w:rsidRDefault="00810E64" w:rsidP="00810E64">
      <w:pPr>
        <w:pStyle w:val="tDefn"/>
        <w:rPr>
          <w:lang w:eastAsia="en-NZ"/>
        </w:rPr>
      </w:pPr>
      <w:r w:rsidRPr="00B138C4">
        <w:rPr>
          <w:b/>
          <w:i/>
          <w:lang w:eastAsia="en-NZ"/>
        </w:rPr>
        <w:t xml:space="preserve">Herd Management Calculator </w:t>
      </w:r>
      <w:r w:rsidRPr="00B138C4">
        <w:rPr>
          <w:lang w:eastAsia="en-NZ"/>
        </w:rPr>
        <w:t xml:space="preserve">means the </w:t>
      </w:r>
      <w:r w:rsidR="00DE24E9">
        <w:rPr>
          <w:lang w:eastAsia="en-NZ"/>
        </w:rPr>
        <w:t>C</w:t>
      </w:r>
      <w:r w:rsidR="00DE24E9" w:rsidRPr="00B138C4">
        <w:rPr>
          <w:lang w:eastAsia="en-NZ"/>
        </w:rPr>
        <w:t xml:space="preserve">alculator </w:t>
      </w:r>
      <w:r w:rsidRPr="00B138C4">
        <w:rPr>
          <w:lang w:eastAsia="en-NZ"/>
        </w:rPr>
        <w:t>that is published from time to time on the Department’s website with a statement that:</w:t>
      </w:r>
    </w:p>
    <w:p w14:paraId="1C34B9E5" w14:textId="77777777" w:rsidR="00810E64" w:rsidRPr="00B138C4" w:rsidRDefault="00810E64" w:rsidP="00810E64">
      <w:pPr>
        <w:pStyle w:val="tPara"/>
        <w:rPr>
          <w:lang w:eastAsia="en-NZ"/>
        </w:rPr>
      </w:pPr>
      <w:r w:rsidRPr="00B138C4">
        <w:rPr>
          <w:lang w:eastAsia="en-NZ"/>
        </w:rPr>
        <w:tab/>
        <w:t>(a)</w:t>
      </w:r>
      <w:r w:rsidRPr="00B138C4">
        <w:rPr>
          <w:lang w:eastAsia="en-NZ"/>
        </w:rPr>
        <w:tab/>
        <w:t>it is the Beef Cattle Herd Management Calculator for this determination; and</w:t>
      </w:r>
    </w:p>
    <w:p w14:paraId="2DCC58FD" w14:textId="77777777" w:rsidR="00810E64" w:rsidRPr="00B138C4" w:rsidRDefault="00810E64" w:rsidP="00810E64">
      <w:pPr>
        <w:pStyle w:val="tPara"/>
        <w:rPr>
          <w:lang w:eastAsia="en-NZ"/>
        </w:rPr>
      </w:pPr>
      <w:r w:rsidRPr="00B138C4">
        <w:rPr>
          <w:lang w:eastAsia="en-NZ"/>
        </w:rPr>
        <w:tab/>
        <w:t>(b)</w:t>
      </w:r>
      <w:r w:rsidRPr="00B138C4">
        <w:rPr>
          <w:lang w:eastAsia="en-NZ"/>
        </w:rPr>
        <w:tab/>
        <w:t>if it differs from the version that was on the website at the time of commencement of this determination</w:t>
      </w:r>
      <w:r w:rsidRPr="00B138C4">
        <w:t>—</w:t>
      </w:r>
      <w:r w:rsidRPr="00B138C4">
        <w:rPr>
          <w:lang w:eastAsia="en-NZ"/>
        </w:rPr>
        <w:t>the differences consist only of one of more of the following:</w:t>
      </w:r>
    </w:p>
    <w:p w14:paraId="137EB0BD" w14:textId="77777777" w:rsidR="00810E64" w:rsidRPr="00B138C4" w:rsidRDefault="00810E64" w:rsidP="00810E64">
      <w:pPr>
        <w:pStyle w:val="tSubpara"/>
        <w:rPr>
          <w:lang w:eastAsia="en-NZ"/>
        </w:rPr>
      </w:pPr>
      <w:r w:rsidRPr="00B138C4">
        <w:rPr>
          <w:lang w:eastAsia="en-NZ"/>
        </w:rPr>
        <w:lastRenderedPageBreak/>
        <w:tab/>
        <w:t>(i)</w:t>
      </w:r>
      <w:r w:rsidRPr="00B138C4">
        <w:rPr>
          <w:lang w:eastAsia="en-NZ"/>
        </w:rPr>
        <w:tab/>
        <w:t xml:space="preserve">updates to inputs and variables used by the </w:t>
      </w:r>
      <w:r w:rsidR="00DE24E9">
        <w:rPr>
          <w:lang w:eastAsia="en-NZ"/>
        </w:rPr>
        <w:t>C</w:t>
      </w:r>
      <w:r w:rsidR="00DE24E9" w:rsidRPr="00B138C4">
        <w:rPr>
          <w:lang w:eastAsia="en-NZ"/>
        </w:rPr>
        <w:t xml:space="preserve">alculator </w:t>
      </w:r>
      <w:r w:rsidR="00B96DDC" w:rsidRPr="00B138C4">
        <w:rPr>
          <w:lang w:eastAsia="en-NZ"/>
        </w:rPr>
        <w:t xml:space="preserve">that </w:t>
      </w:r>
      <w:r w:rsidRPr="00B138C4">
        <w:rPr>
          <w:lang w:eastAsia="en-NZ"/>
        </w:rPr>
        <w:t>are consistent with either or both of the following:</w:t>
      </w:r>
    </w:p>
    <w:p w14:paraId="7E4EF96E" w14:textId="77777777" w:rsidR="00810E64" w:rsidRPr="00B138C4" w:rsidRDefault="00810E64" w:rsidP="00810E64">
      <w:pPr>
        <w:pStyle w:val="tSubsub"/>
        <w:rPr>
          <w:lang w:eastAsia="en-NZ"/>
        </w:rPr>
      </w:pPr>
      <w:r w:rsidRPr="00B138C4">
        <w:rPr>
          <w:lang w:eastAsia="en-NZ"/>
        </w:rPr>
        <w:tab/>
        <w:t>(A)</w:t>
      </w:r>
      <w:r w:rsidRPr="00B138C4">
        <w:rPr>
          <w:lang w:eastAsia="en-NZ"/>
        </w:rPr>
        <w:tab/>
        <w:t>the National Inventory Report;</w:t>
      </w:r>
    </w:p>
    <w:p w14:paraId="36C3E8B2" w14:textId="77777777" w:rsidR="00810E64" w:rsidRPr="00B138C4" w:rsidRDefault="00810E64" w:rsidP="00810E64">
      <w:pPr>
        <w:pStyle w:val="tSubsub"/>
        <w:rPr>
          <w:lang w:eastAsia="en-NZ"/>
        </w:rPr>
      </w:pPr>
      <w:r w:rsidRPr="00B138C4">
        <w:rPr>
          <w:lang w:eastAsia="en-NZ"/>
        </w:rPr>
        <w:tab/>
        <w:t>(B)</w:t>
      </w:r>
      <w:r w:rsidRPr="00B138C4">
        <w:rPr>
          <w:lang w:eastAsia="en-NZ"/>
        </w:rPr>
        <w:tab/>
        <w:t xml:space="preserve">the carbon dioxide equivalence and applicable methods under subsection 10(3) of the </w:t>
      </w:r>
      <w:r w:rsidRPr="00B138C4">
        <w:rPr>
          <w:i/>
          <w:lang w:eastAsia="en-NZ"/>
        </w:rPr>
        <w:t>National Greenhouse and Energy Reporting Act 2007</w:t>
      </w:r>
      <w:r w:rsidRPr="00B138C4">
        <w:rPr>
          <w:lang w:eastAsia="en-NZ"/>
        </w:rPr>
        <w:t>;</w:t>
      </w:r>
    </w:p>
    <w:p w14:paraId="14C2D8B2" w14:textId="77777777" w:rsidR="00810E64" w:rsidRPr="00B138C4" w:rsidRDefault="00810E64" w:rsidP="00810E64">
      <w:pPr>
        <w:pStyle w:val="tSubpara"/>
        <w:rPr>
          <w:lang w:eastAsia="en-NZ"/>
        </w:rPr>
      </w:pPr>
      <w:r w:rsidRPr="00B138C4">
        <w:rPr>
          <w:lang w:eastAsia="en-NZ"/>
        </w:rPr>
        <w:tab/>
        <w:t>(ii)</w:t>
      </w:r>
      <w:r w:rsidRPr="00B138C4">
        <w:rPr>
          <w:lang w:eastAsia="en-NZ"/>
        </w:rPr>
        <w:tab/>
        <w:t xml:space="preserve">updates </w:t>
      </w:r>
      <w:r w:rsidR="00B96DDC" w:rsidRPr="00B138C4">
        <w:rPr>
          <w:lang w:eastAsia="en-NZ"/>
        </w:rPr>
        <w:t xml:space="preserve">that </w:t>
      </w:r>
      <w:r w:rsidR="00A24D93" w:rsidRPr="007373D1">
        <w:t>have a minor effect on the calculation of abatement</w:t>
      </w:r>
      <w:r w:rsidRPr="00B138C4">
        <w:rPr>
          <w:lang w:eastAsia="en-NZ"/>
        </w:rPr>
        <w:t>;</w:t>
      </w:r>
    </w:p>
    <w:p w14:paraId="11FFEAF3" w14:textId="77777777" w:rsidR="00810E64" w:rsidRPr="00B138C4" w:rsidRDefault="00810E64" w:rsidP="00810E64">
      <w:pPr>
        <w:pStyle w:val="tSubpara"/>
        <w:rPr>
          <w:lang w:eastAsia="en-NZ"/>
        </w:rPr>
      </w:pPr>
      <w:r w:rsidRPr="00B138C4">
        <w:rPr>
          <w:lang w:eastAsia="en-NZ"/>
        </w:rPr>
        <w:tab/>
        <w:t>(iii)</w:t>
      </w:r>
      <w:r w:rsidRPr="00B138C4">
        <w:rPr>
          <w:lang w:eastAsia="en-NZ"/>
        </w:rPr>
        <w:tab/>
        <w:t xml:space="preserve">updates </w:t>
      </w:r>
      <w:r w:rsidR="00B96DDC" w:rsidRPr="00B138C4">
        <w:rPr>
          <w:lang w:eastAsia="en-NZ"/>
        </w:rPr>
        <w:t xml:space="preserve">that </w:t>
      </w:r>
      <w:r w:rsidRPr="00B138C4">
        <w:rPr>
          <w:lang w:eastAsia="en-NZ"/>
        </w:rPr>
        <w:t>are necessary or incidental to updates referred to in subparagraph (i) or (ii).</w:t>
      </w:r>
    </w:p>
    <w:p w14:paraId="21E52E4B" w14:textId="77777777" w:rsidR="00AE3418" w:rsidRPr="00B138C4" w:rsidRDefault="00AE3418" w:rsidP="00AE3418">
      <w:pPr>
        <w:pStyle w:val="tDefn"/>
      </w:pPr>
      <w:r w:rsidRPr="00B138C4">
        <w:rPr>
          <w:b/>
          <w:i/>
          <w:lang w:eastAsia="en-NZ"/>
        </w:rPr>
        <w:t>herd management project</w:t>
      </w:r>
      <w:r w:rsidRPr="00B138C4">
        <w:rPr>
          <w:b/>
          <w:i/>
          <w:iCs/>
        </w:rPr>
        <w:t>—</w:t>
      </w:r>
      <w:r w:rsidRPr="00B138C4">
        <w:rPr>
          <w:iCs/>
        </w:rPr>
        <w:t xml:space="preserve">see </w:t>
      </w:r>
      <w:r w:rsidRPr="00B138C4">
        <w:t xml:space="preserve">section </w:t>
      </w:r>
      <w:r w:rsidR="001C572E">
        <w:t>6</w:t>
      </w:r>
      <w:r w:rsidRPr="00B138C4">
        <w:t>.</w:t>
      </w:r>
    </w:p>
    <w:p w14:paraId="702DA7B1" w14:textId="77777777" w:rsidR="00B2677B" w:rsidRPr="00CE420F" w:rsidRDefault="00B2677B" w:rsidP="00B2677B">
      <w:pPr>
        <w:pStyle w:val="tDefn"/>
      </w:pPr>
      <w:r w:rsidRPr="00CE420F">
        <w:rPr>
          <w:b/>
          <w:i/>
          <w:lang w:eastAsia="en-NZ"/>
        </w:rPr>
        <w:t>input date</w:t>
      </w:r>
      <w:r w:rsidRPr="00CE420F">
        <w:rPr>
          <w:b/>
          <w:i/>
          <w:iCs/>
        </w:rPr>
        <w:t>—</w:t>
      </w:r>
      <w:r w:rsidRPr="00CE420F">
        <w:rPr>
          <w:iCs/>
        </w:rPr>
        <w:t xml:space="preserve">see </w:t>
      </w:r>
      <w:r w:rsidRPr="00CE420F">
        <w:t xml:space="preserve">section </w:t>
      </w:r>
      <w:r w:rsidR="001C572E">
        <w:t>24</w:t>
      </w:r>
      <w:r w:rsidRPr="00CE420F">
        <w:t>.</w:t>
      </w:r>
    </w:p>
    <w:p w14:paraId="22873733" w14:textId="77777777" w:rsidR="00B2677B" w:rsidRPr="00CE420F" w:rsidRDefault="00B2677B" w:rsidP="00B2677B">
      <w:pPr>
        <w:pStyle w:val="tDefn"/>
      </w:pPr>
      <w:r w:rsidRPr="00CE420F">
        <w:rPr>
          <w:b/>
          <w:i/>
          <w:lang w:eastAsia="en-NZ"/>
        </w:rPr>
        <w:t>input group</w:t>
      </w:r>
      <w:r w:rsidRPr="00CE420F">
        <w:rPr>
          <w:b/>
          <w:i/>
          <w:iCs/>
        </w:rPr>
        <w:t>—</w:t>
      </w:r>
      <w:r w:rsidRPr="00CE420F">
        <w:rPr>
          <w:iCs/>
        </w:rPr>
        <w:t xml:space="preserve">see </w:t>
      </w:r>
      <w:r w:rsidRPr="00CE420F">
        <w:t xml:space="preserve">section </w:t>
      </w:r>
      <w:r w:rsidR="001C572E">
        <w:t>24</w:t>
      </w:r>
      <w:r w:rsidRPr="00CE420F">
        <w:t>.</w:t>
      </w:r>
    </w:p>
    <w:p w14:paraId="385D69C8" w14:textId="77777777" w:rsidR="00A24D93" w:rsidRPr="007373D1" w:rsidRDefault="00A24D93" w:rsidP="00A24D93">
      <w:pPr>
        <w:pStyle w:val="tDefn"/>
      </w:pPr>
      <w:r w:rsidRPr="007373D1">
        <w:rPr>
          <w:b/>
          <w:i/>
        </w:rPr>
        <w:t>limited data herd</w:t>
      </w:r>
      <w:r w:rsidRPr="007373D1">
        <w:t>—see subsection 16(3).</w:t>
      </w:r>
    </w:p>
    <w:p w14:paraId="72AFF7B8" w14:textId="77777777" w:rsidR="00A24D93" w:rsidRPr="007373D1" w:rsidRDefault="00A24D93" w:rsidP="00A24D93">
      <w:pPr>
        <w:pStyle w:val="tDefn"/>
      </w:pPr>
      <w:r w:rsidRPr="007373D1">
        <w:rPr>
          <w:b/>
          <w:i/>
        </w:rPr>
        <w:t>linked</w:t>
      </w:r>
      <w:r w:rsidRPr="007373D1">
        <w:t>, of an entity</w:t>
      </w:r>
      <w:r>
        <w:t>: if</w:t>
      </w:r>
      <w:r w:rsidRPr="007373D1">
        <w:t xml:space="preserve">:  </w:t>
      </w:r>
    </w:p>
    <w:p w14:paraId="63BF346B" w14:textId="77777777" w:rsidR="00A24D93" w:rsidRPr="007373D1" w:rsidRDefault="00A24D93" w:rsidP="00A24D93">
      <w:pPr>
        <w:pStyle w:val="tPara"/>
      </w:pPr>
      <w:r w:rsidRPr="007373D1">
        <w:tab/>
        <w:t>(a)</w:t>
      </w:r>
      <w:r w:rsidRPr="007373D1">
        <w:tab/>
        <w:t xml:space="preserve">2 entities are members of a group that constitutes the parent entity of a business operation; </w:t>
      </w:r>
      <w:r>
        <w:t>or</w:t>
      </w:r>
    </w:p>
    <w:p w14:paraId="394AE056" w14:textId="77777777" w:rsidR="00A24D93" w:rsidRPr="007373D1" w:rsidRDefault="00A24D93" w:rsidP="00A24D93">
      <w:pPr>
        <w:pStyle w:val="tPara"/>
      </w:pPr>
      <w:r w:rsidRPr="007373D1">
        <w:tab/>
        <w:t>(b)</w:t>
      </w:r>
      <w:r w:rsidRPr="007373D1">
        <w:tab/>
        <w:t xml:space="preserve">2 entities are related entities within the meaning given by section 9 of the </w:t>
      </w:r>
      <w:r w:rsidRPr="007373D1">
        <w:rPr>
          <w:i/>
        </w:rPr>
        <w:t>Corporations Act 2001</w:t>
      </w:r>
      <w:r w:rsidRPr="007373D1">
        <w:t xml:space="preserve">; </w:t>
      </w:r>
      <w:r>
        <w:t>or</w:t>
      </w:r>
    </w:p>
    <w:p w14:paraId="088D1990" w14:textId="77777777" w:rsidR="00A24D93" w:rsidRDefault="00A24D93" w:rsidP="00A24D93">
      <w:pPr>
        <w:pStyle w:val="tPara"/>
      </w:pPr>
      <w:r w:rsidRPr="007373D1">
        <w:tab/>
        <w:t>(c)</w:t>
      </w:r>
      <w:r w:rsidRPr="007373D1">
        <w:tab/>
        <w:t>2 entities are both linked to a third entity under paragraph (a) or (b)</w:t>
      </w:r>
      <w:r>
        <w:t>;</w:t>
      </w:r>
    </w:p>
    <w:p w14:paraId="281A6661" w14:textId="77777777" w:rsidR="00A24D93" w:rsidRPr="007373D1" w:rsidRDefault="00A24D93" w:rsidP="00A24D93">
      <w:pPr>
        <w:pStyle w:val="tPara"/>
        <w:ind w:hanging="510"/>
      </w:pPr>
      <w:r w:rsidRPr="007373D1">
        <w:t xml:space="preserve">the 2 </w:t>
      </w:r>
      <w:r>
        <w:t>entities</w:t>
      </w:r>
      <w:r w:rsidRPr="007373D1">
        <w:t xml:space="preserve"> are </w:t>
      </w:r>
      <w:r w:rsidRPr="007373D1">
        <w:rPr>
          <w:b/>
          <w:i/>
        </w:rPr>
        <w:t>linked</w:t>
      </w:r>
      <w:r w:rsidRPr="007373D1">
        <w:t xml:space="preserve"> to each other.</w:t>
      </w:r>
    </w:p>
    <w:p w14:paraId="17D67281" w14:textId="77777777" w:rsidR="00A24D93" w:rsidRPr="007373D1" w:rsidRDefault="00A24D93" w:rsidP="00A24D93">
      <w:pPr>
        <w:pStyle w:val="tDefn"/>
      </w:pPr>
      <w:r w:rsidRPr="007373D1">
        <w:rPr>
          <w:b/>
          <w:i/>
        </w:rPr>
        <w:t>linked</w:t>
      </w:r>
      <w:r w:rsidRPr="007373D1">
        <w:t>, of a business operation: if:</w:t>
      </w:r>
    </w:p>
    <w:p w14:paraId="18F37B7C" w14:textId="77777777" w:rsidR="00A24D93" w:rsidRPr="007373D1" w:rsidRDefault="00A24D93" w:rsidP="00A24D93">
      <w:pPr>
        <w:pStyle w:val="tPara"/>
      </w:pPr>
      <w:r w:rsidRPr="007373D1">
        <w:tab/>
        <w:t>(a)</w:t>
      </w:r>
      <w:r w:rsidRPr="007373D1">
        <w:tab/>
        <w:t>2 entities are linked to each other; and</w:t>
      </w:r>
    </w:p>
    <w:p w14:paraId="4FD4F580" w14:textId="77777777" w:rsidR="00A24D93" w:rsidRPr="007373D1" w:rsidRDefault="00A24D93" w:rsidP="00A24D93">
      <w:pPr>
        <w:pStyle w:val="tPara"/>
      </w:pPr>
      <w:r w:rsidRPr="007373D1">
        <w:tab/>
        <w:t>(b)</w:t>
      </w:r>
      <w:r w:rsidRPr="007373D1">
        <w:tab/>
        <w:t>each entity is, or is part of the parent entity of, a different business operation;</w:t>
      </w:r>
    </w:p>
    <w:p w14:paraId="37DB04D8" w14:textId="77777777" w:rsidR="00A24D93" w:rsidRPr="007373D1" w:rsidRDefault="00A24D93" w:rsidP="00A24D93">
      <w:pPr>
        <w:pStyle w:val="tMain"/>
        <w:spacing w:before="100"/>
      </w:pPr>
      <w:r w:rsidRPr="007373D1">
        <w:tab/>
      </w:r>
      <w:r w:rsidRPr="007373D1">
        <w:tab/>
        <w:t xml:space="preserve">the 2 business operations are </w:t>
      </w:r>
      <w:r w:rsidRPr="007373D1">
        <w:rPr>
          <w:b/>
          <w:i/>
        </w:rPr>
        <w:t>linked</w:t>
      </w:r>
      <w:r w:rsidRPr="007373D1">
        <w:t xml:space="preserve"> to each other.</w:t>
      </w:r>
    </w:p>
    <w:p w14:paraId="6855A809" w14:textId="77777777" w:rsidR="00A24D93" w:rsidRPr="007373D1" w:rsidRDefault="00A24D93" w:rsidP="00A24D93">
      <w:pPr>
        <w:pStyle w:val="tDefn"/>
      </w:pPr>
      <w:r w:rsidRPr="007373D1">
        <w:rPr>
          <w:b/>
          <w:i/>
        </w:rPr>
        <w:t>linked</w:t>
      </w:r>
      <w:r w:rsidRPr="007373D1">
        <w:t xml:space="preserve">, of a herd: if 2 business operations are linked to each other, their respective herds are </w:t>
      </w:r>
      <w:r w:rsidRPr="007373D1">
        <w:rPr>
          <w:b/>
          <w:i/>
        </w:rPr>
        <w:t>linked</w:t>
      </w:r>
      <w:r w:rsidRPr="007373D1">
        <w:t xml:space="preserve"> to each other. </w:t>
      </w:r>
    </w:p>
    <w:p w14:paraId="391C4BBE" w14:textId="77777777" w:rsidR="00810E64" w:rsidRPr="00B138C4" w:rsidRDefault="00810E64" w:rsidP="00810E64">
      <w:pPr>
        <w:pStyle w:val="tDefn"/>
      </w:pPr>
      <w:r w:rsidRPr="00B138C4">
        <w:rPr>
          <w:b/>
          <w:i/>
        </w:rPr>
        <w:t>livestock class</w:t>
      </w:r>
      <w:r w:rsidRPr="00B138C4">
        <w:t xml:space="preserve"> means a subset of the herd corresponding to the age and gender divisions for beef cattle specified in the Herd Management Calculator.</w:t>
      </w:r>
    </w:p>
    <w:p w14:paraId="0D929623" w14:textId="77777777" w:rsidR="00F57516" w:rsidRPr="007373D1" w:rsidRDefault="00F57516" w:rsidP="00F57516">
      <w:pPr>
        <w:pStyle w:val="tDefn"/>
      </w:pPr>
      <w:r w:rsidRPr="007373D1">
        <w:rPr>
          <w:b/>
          <w:i/>
        </w:rPr>
        <w:t>monthly input day</w:t>
      </w:r>
      <w:r w:rsidRPr="007373D1">
        <w:t>—see subsection (6)</w:t>
      </w:r>
      <w:r w:rsidRPr="007373D1">
        <w:rPr>
          <w:b/>
          <w:i/>
        </w:rPr>
        <w:t xml:space="preserve"> </w:t>
      </w:r>
      <w:r w:rsidRPr="007373D1">
        <w:t>of Schedule 1.</w:t>
      </w:r>
    </w:p>
    <w:p w14:paraId="4B967596" w14:textId="77777777" w:rsidR="00F57516" w:rsidRPr="007373D1" w:rsidRDefault="00F57516" w:rsidP="00F57516">
      <w:pPr>
        <w:pStyle w:val="tDefn"/>
      </w:pPr>
      <w:r w:rsidRPr="007373D1">
        <w:rPr>
          <w:b/>
          <w:i/>
        </w:rPr>
        <w:t>monthly period</w:t>
      </w:r>
      <w:r w:rsidRPr="007373D1">
        <w:t>—see subsection (5)</w:t>
      </w:r>
      <w:r w:rsidRPr="007373D1">
        <w:rPr>
          <w:b/>
          <w:i/>
        </w:rPr>
        <w:t xml:space="preserve"> </w:t>
      </w:r>
      <w:r w:rsidRPr="007373D1">
        <w:t>of Schedule 1.</w:t>
      </w:r>
    </w:p>
    <w:p w14:paraId="6629D029" w14:textId="77777777" w:rsidR="00810E64" w:rsidRPr="00B138C4" w:rsidRDefault="00810E64" w:rsidP="00810E64">
      <w:pPr>
        <w:pStyle w:val="tDefn"/>
      </w:pPr>
      <w:r w:rsidRPr="00B138C4">
        <w:rPr>
          <w:b/>
          <w:i/>
        </w:rPr>
        <w:t xml:space="preserve">National Inventory Report </w:t>
      </w:r>
      <w:r w:rsidRPr="00B138C4">
        <w:t>means the most recently published document that is:</w:t>
      </w:r>
    </w:p>
    <w:p w14:paraId="6D239879" w14:textId="77777777" w:rsidR="00810E64" w:rsidRPr="00B138C4" w:rsidRDefault="00C2721D" w:rsidP="00C2721D">
      <w:pPr>
        <w:pStyle w:val="tPara"/>
      </w:pPr>
      <w:r w:rsidRPr="00B138C4">
        <w:tab/>
        <w:t>(a)</w:t>
      </w:r>
      <w:r w:rsidRPr="00B138C4">
        <w:tab/>
      </w:r>
      <w:r w:rsidR="00810E64" w:rsidRPr="00B138C4">
        <w:t>known as the National Inventory Report; and</w:t>
      </w:r>
    </w:p>
    <w:p w14:paraId="099D4329" w14:textId="77777777" w:rsidR="00810E64" w:rsidRPr="00B138C4" w:rsidRDefault="00C2721D" w:rsidP="00C2721D">
      <w:pPr>
        <w:pStyle w:val="tPara"/>
      </w:pPr>
      <w:r w:rsidRPr="00B138C4">
        <w:tab/>
        <w:t>(b)</w:t>
      </w:r>
      <w:r w:rsidRPr="00B138C4">
        <w:tab/>
      </w:r>
      <w:r w:rsidR="00810E64" w:rsidRPr="00B138C4">
        <w:t>prepared by the Department in fulfilment of obligations that Australia has under the Climate Change Convention.</w:t>
      </w:r>
      <w:r w:rsidR="00810E64" w:rsidRPr="00B138C4">
        <w:tab/>
      </w:r>
    </w:p>
    <w:p w14:paraId="71263044" w14:textId="77777777" w:rsidR="00810E64" w:rsidRPr="00B138C4" w:rsidRDefault="00810E64" w:rsidP="00C2721D">
      <w:pPr>
        <w:pStyle w:val="tDefn"/>
      </w:pPr>
      <w:r w:rsidRPr="00B138C4">
        <w:rPr>
          <w:b/>
          <w:i/>
        </w:rPr>
        <w:t>non</w:t>
      </w:r>
      <w:r w:rsidR="00C338D8" w:rsidRPr="00B138C4">
        <w:rPr>
          <w:b/>
          <w:i/>
        </w:rPr>
        <w:noBreakHyphen/>
      </w:r>
      <w:r w:rsidRPr="00B138C4">
        <w:rPr>
          <w:b/>
          <w:i/>
        </w:rPr>
        <w:t>protein nitrogen</w:t>
      </w:r>
      <w:r w:rsidRPr="00B138C4">
        <w:rPr>
          <w:rFonts w:eastAsiaTheme="minorHAnsi"/>
        </w:rPr>
        <w:t xml:space="preserve"> </w:t>
      </w:r>
      <w:r w:rsidRPr="00B138C4">
        <w:t xml:space="preserve">means substances </w:t>
      </w:r>
      <w:r w:rsidR="003A36FE" w:rsidRPr="00B138C4">
        <w:t xml:space="preserve">that </w:t>
      </w:r>
      <w:r w:rsidRPr="00B138C4">
        <w:t>are not proteins but can be</w:t>
      </w:r>
      <w:r w:rsidR="00C2721D" w:rsidRPr="00B138C4">
        <w:t xml:space="preserve"> </w:t>
      </w:r>
      <w:r w:rsidRPr="00B138C4">
        <w:t>converted into proteins by microbes in the ruminant stomach and includes urea,</w:t>
      </w:r>
      <w:r w:rsidR="00C2721D" w:rsidRPr="00B138C4">
        <w:t xml:space="preserve"> </w:t>
      </w:r>
      <w:r w:rsidRPr="00B138C4">
        <w:t>nitrates, biuret, and ammonia.</w:t>
      </w:r>
    </w:p>
    <w:p w14:paraId="61169FA1" w14:textId="77777777" w:rsidR="00F57516" w:rsidRPr="007373D1" w:rsidRDefault="00F57516" w:rsidP="00F57516">
      <w:pPr>
        <w:pStyle w:val="tDefn"/>
      </w:pPr>
      <w:r w:rsidRPr="007373D1">
        <w:rPr>
          <w:b/>
          <w:i/>
        </w:rPr>
        <w:t>parent entity</w:t>
      </w:r>
      <w:r w:rsidRPr="007373D1">
        <w:t>, of a business operation, means:</w:t>
      </w:r>
    </w:p>
    <w:p w14:paraId="3BF6D84D" w14:textId="77777777" w:rsidR="00F57516" w:rsidRPr="007373D1" w:rsidRDefault="00F57516" w:rsidP="00F57516">
      <w:pPr>
        <w:pStyle w:val="tPara"/>
      </w:pPr>
      <w:r w:rsidRPr="007373D1">
        <w:lastRenderedPageBreak/>
        <w:tab/>
        <w:t>(a)</w:t>
      </w:r>
      <w:r w:rsidRPr="007373D1">
        <w:tab/>
        <w:t>if the business operation (whether or not it is itself an entity or group of entities) is only a part of a larger entity or a group of entities—the entity or group of entities of which it is a part; and</w:t>
      </w:r>
    </w:p>
    <w:p w14:paraId="07D4E2A2" w14:textId="77777777" w:rsidR="00F57516" w:rsidRPr="007373D1" w:rsidRDefault="00F57516" w:rsidP="00F57516">
      <w:pPr>
        <w:pStyle w:val="tPara"/>
      </w:pPr>
      <w:r w:rsidRPr="007373D1">
        <w:tab/>
        <w:t>(b)</w:t>
      </w:r>
      <w:r w:rsidRPr="007373D1">
        <w:tab/>
        <w:t>otherwise—the business operation.</w:t>
      </w:r>
    </w:p>
    <w:p w14:paraId="0D072078" w14:textId="77777777" w:rsidR="00DE00C0" w:rsidRPr="00B138C4" w:rsidRDefault="00DE00C0" w:rsidP="00BA7997">
      <w:pPr>
        <w:pStyle w:val="tDefn"/>
      </w:pPr>
      <w:r w:rsidRPr="00B138C4">
        <w:rPr>
          <w:b/>
          <w:i/>
        </w:rPr>
        <w:t>project activity</w:t>
      </w:r>
      <w:r w:rsidRPr="00B138C4">
        <w:t>—see subsection </w:t>
      </w:r>
      <w:r w:rsidR="001C572E">
        <w:t>17(1)</w:t>
      </w:r>
      <w:r w:rsidRPr="00B138C4">
        <w:t>.</w:t>
      </w:r>
    </w:p>
    <w:p w14:paraId="6575573C" w14:textId="77777777" w:rsidR="00810E64" w:rsidRPr="00B138C4" w:rsidRDefault="00810E64" w:rsidP="00810E64">
      <w:pPr>
        <w:pStyle w:val="tDefn"/>
      </w:pPr>
      <w:r w:rsidRPr="00B138C4">
        <w:rPr>
          <w:b/>
          <w:i/>
        </w:rPr>
        <w:t xml:space="preserve">region </w:t>
      </w:r>
      <w:r w:rsidRPr="00B138C4">
        <w:t>means an area of Australia in which beef cattle farming is undertaken, as published in the National Inventory Report.</w:t>
      </w:r>
    </w:p>
    <w:p w14:paraId="61A0891D" w14:textId="77777777" w:rsidR="00A92FA4" w:rsidRPr="00B138C4" w:rsidRDefault="00A92FA4" w:rsidP="00A92FA4">
      <w:pPr>
        <w:pStyle w:val="tDefn"/>
      </w:pPr>
      <w:r w:rsidRPr="00B138C4">
        <w:rPr>
          <w:b/>
          <w:i/>
        </w:rPr>
        <w:t xml:space="preserve">registered entity </w:t>
      </w:r>
      <w:r w:rsidRPr="00B138C4">
        <w:t>means an entity that is registered on the Australian Business Register under the</w:t>
      </w:r>
      <w:r w:rsidRPr="00B138C4">
        <w:rPr>
          <w:i/>
        </w:rPr>
        <w:t xml:space="preserve"> A New Tax System (Australian Business Number) Act 1999</w:t>
      </w:r>
      <w:r w:rsidRPr="00B138C4">
        <w:t>.</w:t>
      </w:r>
    </w:p>
    <w:p w14:paraId="66B90216" w14:textId="77777777" w:rsidR="00F57516" w:rsidRPr="007373D1" w:rsidRDefault="00F57516" w:rsidP="00F57516">
      <w:pPr>
        <w:pStyle w:val="tDefn"/>
      </w:pPr>
      <w:r w:rsidRPr="007373D1">
        <w:rPr>
          <w:b/>
          <w:i/>
        </w:rPr>
        <w:t>relevant application</w:t>
      </w:r>
      <w:r w:rsidRPr="007373D1">
        <w:t>, for a herd—see subsection 8(4).</w:t>
      </w:r>
    </w:p>
    <w:p w14:paraId="6291FD0D" w14:textId="77777777" w:rsidR="00A0394A" w:rsidRPr="00B138C4" w:rsidRDefault="00A0394A" w:rsidP="00810E64">
      <w:pPr>
        <w:pStyle w:val="tDefn"/>
        <w:rPr>
          <w:b/>
          <w:i/>
        </w:rPr>
      </w:pPr>
      <w:r w:rsidRPr="00B138C4">
        <w:rPr>
          <w:b/>
          <w:i/>
        </w:rPr>
        <w:t xml:space="preserve">Rule </w:t>
      </w:r>
      <w:r w:rsidRPr="00B138C4">
        <w:t xml:space="preserve">means the </w:t>
      </w:r>
      <w:r w:rsidRPr="00B138C4">
        <w:rPr>
          <w:i/>
        </w:rPr>
        <w:t>Carbon Credits (Carbon Farming Initiative) Rule 2015</w:t>
      </w:r>
      <w:r w:rsidRPr="00B138C4">
        <w:t>.</w:t>
      </w:r>
    </w:p>
    <w:p w14:paraId="15A5CD9E" w14:textId="77777777" w:rsidR="00F037A0" w:rsidRPr="00B138C4" w:rsidRDefault="00F037A0" w:rsidP="00810E64">
      <w:pPr>
        <w:pStyle w:val="tDefn"/>
      </w:pPr>
      <w:r w:rsidRPr="00B138C4">
        <w:rPr>
          <w:b/>
          <w:i/>
        </w:rPr>
        <w:t xml:space="preserve">season </w:t>
      </w:r>
      <w:r w:rsidRPr="00B138C4">
        <w:t>means a 3 month period, grouped by calendar month in the following way: Spring (September, October and November); Summer (December, January and February); Autumn (March, April and May); and Winter (June, July and August).</w:t>
      </w:r>
    </w:p>
    <w:p w14:paraId="14CDDD79" w14:textId="77777777" w:rsidR="00F57516" w:rsidRPr="007373D1" w:rsidRDefault="00F57516" w:rsidP="00F57516">
      <w:pPr>
        <w:pStyle w:val="tDefn"/>
      </w:pPr>
      <w:r w:rsidRPr="007373D1">
        <w:rPr>
          <w:b/>
          <w:i/>
        </w:rPr>
        <w:t>section 22 application</w:t>
      </w:r>
      <w:r w:rsidRPr="007373D1">
        <w:t>, in relation to a herd management project, means the application under section 22 of the Act for the declaration of the project as an eligible offsets project.</w:t>
      </w:r>
    </w:p>
    <w:p w14:paraId="38B631D7" w14:textId="77777777" w:rsidR="00810E64" w:rsidRDefault="00810E64" w:rsidP="00810E64">
      <w:pPr>
        <w:pStyle w:val="tDefn"/>
        <w:rPr>
          <w:iCs/>
        </w:rPr>
      </w:pPr>
      <w:r w:rsidRPr="00B138C4">
        <w:rPr>
          <w:b/>
          <w:i/>
          <w:iCs/>
        </w:rPr>
        <w:t>t CO</w:t>
      </w:r>
      <w:r w:rsidRPr="00B138C4">
        <w:rPr>
          <w:b/>
          <w:i/>
          <w:iCs/>
          <w:vertAlign w:val="subscript"/>
        </w:rPr>
        <w:t>2</w:t>
      </w:r>
      <w:r w:rsidR="00C338D8" w:rsidRPr="00B138C4">
        <w:rPr>
          <w:b/>
          <w:i/>
          <w:iCs/>
        </w:rPr>
        <w:noBreakHyphen/>
      </w:r>
      <w:r w:rsidRPr="00B138C4">
        <w:rPr>
          <w:b/>
          <w:i/>
          <w:iCs/>
        </w:rPr>
        <w:t>e</w:t>
      </w:r>
      <w:r w:rsidRPr="00B138C4">
        <w:rPr>
          <w:iCs/>
        </w:rPr>
        <w:t xml:space="preserve"> means tonnes of carbon dioxide equivalent.</w:t>
      </w:r>
    </w:p>
    <w:p w14:paraId="40A2D880" w14:textId="77777777" w:rsidR="000D0D1D" w:rsidRPr="00CE420F" w:rsidRDefault="000D0D1D" w:rsidP="000D0D1D">
      <w:pPr>
        <w:pStyle w:val="tDefn"/>
      </w:pPr>
      <w:r w:rsidRPr="00CE420F">
        <w:rPr>
          <w:b/>
          <w:i/>
          <w:lang w:eastAsia="en-NZ"/>
        </w:rPr>
        <w:t>weighing group</w:t>
      </w:r>
      <w:r w:rsidRPr="00CE420F">
        <w:rPr>
          <w:b/>
          <w:i/>
          <w:iCs/>
        </w:rPr>
        <w:t>—</w:t>
      </w:r>
      <w:r w:rsidRPr="00CE420F">
        <w:rPr>
          <w:iCs/>
        </w:rPr>
        <w:t xml:space="preserve">see </w:t>
      </w:r>
      <w:r w:rsidR="009E5A04">
        <w:rPr>
          <w:iCs/>
        </w:rPr>
        <w:t>sub</w:t>
      </w:r>
      <w:r w:rsidRPr="00CE420F">
        <w:t xml:space="preserve">section </w:t>
      </w:r>
      <w:r w:rsidR="001C572E">
        <w:t>24</w:t>
      </w:r>
      <w:r w:rsidR="009E5A04">
        <w:t>(2)</w:t>
      </w:r>
      <w:r w:rsidRPr="00CE420F">
        <w:t>.</w:t>
      </w:r>
    </w:p>
    <w:p w14:paraId="425886B5" w14:textId="77777777" w:rsidR="00642C1E" w:rsidRPr="00B138C4" w:rsidRDefault="00F105BE" w:rsidP="00F105BE">
      <w:pPr>
        <w:pStyle w:val="nMain"/>
      </w:pPr>
      <w:r w:rsidRPr="00B138C4">
        <w:t>Note:</w:t>
      </w:r>
      <w:r w:rsidRPr="00B138C4">
        <w:tab/>
      </w:r>
      <w:r w:rsidR="00642C1E" w:rsidRPr="00B138C4">
        <w:t>Other words and expressions used in this determination have</w:t>
      </w:r>
      <w:r w:rsidR="002109B0" w:rsidRPr="00B138C4">
        <w:t xml:space="preserve"> the meaning given by the Act. </w:t>
      </w:r>
      <w:r w:rsidR="00642C1E" w:rsidRPr="00B138C4">
        <w:t>These terms include:</w:t>
      </w:r>
    </w:p>
    <w:p w14:paraId="5934B049" w14:textId="77777777" w:rsidR="00DD6AF8" w:rsidRPr="00B138C4" w:rsidRDefault="00F105BE" w:rsidP="00F105BE">
      <w:pPr>
        <w:pStyle w:val="nPara"/>
        <w:rPr>
          <w:b/>
          <w:i/>
        </w:rPr>
      </w:pPr>
      <w:r w:rsidRPr="00B138C4">
        <w:rPr>
          <w:b/>
          <w:i/>
        </w:rPr>
        <w:tab/>
      </w:r>
      <w:r w:rsidR="00DD6AF8" w:rsidRPr="00B138C4">
        <w:rPr>
          <w:b/>
          <w:i/>
        </w:rPr>
        <w:t xml:space="preserve">Climate Change Convention </w:t>
      </w:r>
    </w:p>
    <w:p w14:paraId="555BB4E3" w14:textId="77777777" w:rsidR="00642C1E" w:rsidRPr="00B138C4" w:rsidRDefault="00642C1E" w:rsidP="00DD6AF8">
      <w:pPr>
        <w:pStyle w:val="nPara"/>
        <w:ind w:firstLine="0"/>
        <w:rPr>
          <w:b/>
          <w:i/>
        </w:rPr>
      </w:pPr>
      <w:r w:rsidRPr="00B138C4">
        <w:rPr>
          <w:b/>
          <w:i/>
        </w:rPr>
        <w:t>crediting period</w:t>
      </w:r>
    </w:p>
    <w:p w14:paraId="3A375689" w14:textId="77777777" w:rsidR="00642C1E" w:rsidRPr="00B138C4" w:rsidRDefault="00F105BE" w:rsidP="00F105BE">
      <w:pPr>
        <w:pStyle w:val="nPara"/>
        <w:rPr>
          <w:b/>
          <w:i/>
        </w:rPr>
      </w:pPr>
      <w:r w:rsidRPr="00B138C4">
        <w:rPr>
          <w:b/>
          <w:i/>
        </w:rPr>
        <w:tab/>
      </w:r>
      <w:r w:rsidR="00642C1E" w:rsidRPr="00B138C4">
        <w:rPr>
          <w:b/>
          <w:i/>
        </w:rPr>
        <w:t>eligible offsets project</w:t>
      </w:r>
    </w:p>
    <w:p w14:paraId="77FF9916" w14:textId="77777777" w:rsidR="00642C1E" w:rsidRPr="00B138C4" w:rsidRDefault="00F105BE" w:rsidP="00F105BE">
      <w:pPr>
        <w:pStyle w:val="nPara"/>
        <w:rPr>
          <w:b/>
          <w:i/>
        </w:rPr>
      </w:pPr>
      <w:r w:rsidRPr="00B138C4">
        <w:rPr>
          <w:b/>
          <w:i/>
        </w:rPr>
        <w:tab/>
      </w:r>
      <w:r w:rsidR="00642C1E" w:rsidRPr="00B138C4">
        <w:rPr>
          <w:b/>
          <w:i/>
        </w:rPr>
        <w:t>emission</w:t>
      </w:r>
    </w:p>
    <w:p w14:paraId="23A0E099" w14:textId="77777777" w:rsidR="00642C1E" w:rsidRPr="00B138C4" w:rsidRDefault="00F105BE" w:rsidP="00F105BE">
      <w:pPr>
        <w:pStyle w:val="nPara"/>
        <w:rPr>
          <w:b/>
          <w:i/>
        </w:rPr>
      </w:pPr>
      <w:r w:rsidRPr="00B138C4">
        <w:rPr>
          <w:b/>
          <w:i/>
        </w:rPr>
        <w:tab/>
      </w:r>
      <w:r w:rsidR="00642C1E" w:rsidRPr="00B138C4">
        <w:rPr>
          <w:b/>
          <w:i/>
        </w:rPr>
        <w:t>greenhouse gas</w:t>
      </w:r>
    </w:p>
    <w:p w14:paraId="6DD50DF1" w14:textId="77777777" w:rsidR="00642C1E" w:rsidRPr="00B138C4" w:rsidRDefault="00F105BE" w:rsidP="00F105BE">
      <w:pPr>
        <w:pStyle w:val="nPara"/>
        <w:rPr>
          <w:b/>
          <w:i/>
        </w:rPr>
      </w:pPr>
      <w:r w:rsidRPr="00B138C4">
        <w:rPr>
          <w:b/>
          <w:i/>
        </w:rPr>
        <w:tab/>
      </w:r>
      <w:r w:rsidR="00642C1E" w:rsidRPr="00B138C4">
        <w:rPr>
          <w:b/>
          <w:i/>
        </w:rPr>
        <w:t>offsets project</w:t>
      </w:r>
    </w:p>
    <w:p w14:paraId="2184D7E1" w14:textId="77777777" w:rsidR="00642C1E" w:rsidRPr="00B138C4" w:rsidRDefault="00F105BE" w:rsidP="00F105BE">
      <w:pPr>
        <w:pStyle w:val="nPara"/>
        <w:rPr>
          <w:b/>
          <w:i/>
        </w:rPr>
      </w:pPr>
      <w:r w:rsidRPr="00B138C4">
        <w:rPr>
          <w:b/>
          <w:i/>
        </w:rPr>
        <w:tab/>
      </w:r>
      <w:r w:rsidR="00642C1E" w:rsidRPr="00B138C4">
        <w:rPr>
          <w:b/>
          <w:i/>
        </w:rPr>
        <w:t>offsets report</w:t>
      </w:r>
    </w:p>
    <w:p w14:paraId="005A9A00" w14:textId="77777777" w:rsidR="00642C1E" w:rsidRPr="00B138C4" w:rsidRDefault="00F105BE" w:rsidP="00F105BE">
      <w:pPr>
        <w:pStyle w:val="nPara"/>
        <w:rPr>
          <w:b/>
          <w:i/>
        </w:rPr>
      </w:pPr>
      <w:r w:rsidRPr="00B138C4">
        <w:rPr>
          <w:b/>
          <w:i/>
        </w:rPr>
        <w:tab/>
      </w:r>
      <w:r w:rsidR="00642C1E" w:rsidRPr="00B138C4">
        <w:rPr>
          <w:b/>
          <w:i/>
        </w:rPr>
        <w:t>project</w:t>
      </w:r>
    </w:p>
    <w:p w14:paraId="2ED29B83" w14:textId="77777777" w:rsidR="00642C1E" w:rsidRPr="00B138C4" w:rsidRDefault="00F105BE" w:rsidP="00F105BE">
      <w:pPr>
        <w:pStyle w:val="nPara"/>
        <w:rPr>
          <w:b/>
          <w:i/>
        </w:rPr>
      </w:pPr>
      <w:r w:rsidRPr="00B138C4">
        <w:rPr>
          <w:b/>
          <w:i/>
        </w:rPr>
        <w:tab/>
      </w:r>
      <w:r w:rsidR="00642C1E" w:rsidRPr="00B138C4">
        <w:rPr>
          <w:b/>
          <w:i/>
        </w:rPr>
        <w:t>project proponent</w:t>
      </w:r>
    </w:p>
    <w:p w14:paraId="60A4BC31" w14:textId="77777777" w:rsidR="00642C1E" w:rsidRPr="00B138C4" w:rsidRDefault="00F105BE" w:rsidP="00F105BE">
      <w:pPr>
        <w:pStyle w:val="nPara"/>
      </w:pPr>
      <w:r w:rsidRPr="00B138C4">
        <w:rPr>
          <w:b/>
          <w:i/>
        </w:rPr>
        <w:tab/>
      </w:r>
      <w:r w:rsidR="00642C1E" w:rsidRPr="00B138C4">
        <w:rPr>
          <w:b/>
          <w:i/>
        </w:rPr>
        <w:t>reporting period</w:t>
      </w:r>
      <w:r w:rsidR="00642C1E" w:rsidRPr="00B138C4">
        <w:tab/>
      </w:r>
    </w:p>
    <w:p w14:paraId="2AD49698" w14:textId="77777777" w:rsidR="00380FB2" w:rsidRPr="00B138C4" w:rsidRDefault="0010015D" w:rsidP="00810E64">
      <w:pPr>
        <w:pStyle w:val="h2Part"/>
      </w:pPr>
      <w:bookmarkStart w:id="22" w:name="_Toc405889310"/>
      <w:bookmarkStart w:id="23" w:name="_Toc426038011"/>
      <w:bookmarkStart w:id="24" w:name="_Toc485211967"/>
      <w:r>
        <w:rPr>
          <w:rStyle w:val="CharPartNo"/>
        </w:rPr>
        <w:lastRenderedPageBreak/>
        <w:t>Part 2</w:t>
      </w:r>
      <w:r w:rsidR="00380FB2" w:rsidRPr="00B138C4">
        <w:rPr>
          <w:rStyle w:val="CharPartNo"/>
        </w:rPr>
        <w:t>—</w:t>
      </w:r>
      <w:bookmarkEnd w:id="22"/>
      <w:r w:rsidR="00810E64" w:rsidRPr="00B138C4">
        <w:t>Herd management projects</w:t>
      </w:r>
      <w:bookmarkEnd w:id="23"/>
      <w:bookmarkEnd w:id="24"/>
    </w:p>
    <w:p w14:paraId="38A2032F" w14:textId="77777777" w:rsidR="00810E64" w:rsidRPr="00B138C4" w:rsidRDefault="0010015D" w:rsidP="00810E64">
      <w:pPr>
        <w:pStyle w:val="h5Section"/>
      </w:pPr>
      <w:bookmarkStart w:id="25" w:name="_Toc413161606"/>
      <w:bookmarkStart w:id="26" w:name="_Toc426038012"/>
      <w:bookmarkStart w:id="27" w:name="_Toc485211968"/>
      <w:r>
        <w:t>6</w:t>
      </w:r>
      <w:r w:rsidR="00810E64" w:rsidRPr="00B138C4">
        <w:t xml:space="preserve">  Herd management projects</w:t>
      </w:r>
      <w:bookmarkEnd w:id="25"/>
      <w:bookmarkEnd w:id="26"/>
      <w:bookmarkEnd w:id="27"/>
    </w:p>
    <w:p w14:paraId="3A61043B" w14:textId="77777777" w:rsidR="00810E64" w:rsidRPr="00B9162C" w:rsidRDefault="00810E64" w:rsidP="00810E64">
      <w:pPr>
        <w:pStyle w:val="tMain"/>
      </w:pPr>
      <w:r w:rsidRPr="00B138C4">
        <w:tab/>
      </w:r>
      <w:r w:rsidR="0010015D">
        <w:t>(1)</w:t>
      </w:r>
      <w:r w:rsidRPr="00B138C4">
        <w:tab/>
        <w:t xml:space="preserve">For paragraph 106(1)(a) of the Act, this determination applies to an emissions </w:t>
      </w:r>
      <w:r w:rsidRPr="00B9162C">
        <w:t xml:space="preserve">avoidance offsets project </w:t>
      </w:r>
      <w:r w:rsidR="00CD4383" w:rsidRPr="00B9162C">
        <w:t xml:space="preserve">that </w:t>
      </w:r>
      <w:r w:rsidRPr="00B9162C">
        <w:t xml:space="preserve">can reasonably be expected to result in eligible carbon abatement through </w:t>
      </w:r>
      <w:r w:rsidR="000F49A2" w:rsidRPr="00B9162C">
        <w:t xml:space="preserve">reducing </w:t>
      </w:r>
      <w:r w:rsidRPr="00B9162C">
        <w:t xml:space="preserve">emissions from </w:t>
      </w:r>
      <w:r w:rsidR="0010015D" w:rsidRPr="007373D1">
        <w:t>one or more herds of cattle</w:t>
      </w:r>
      <w:r w:rsidR="004D78D8" w:rsidRPr="00B9162C">
        <w:t>,</w:t>
      </w:r>
      <w:r w:rsidR="00317DC2" w:rsidRPr="00B9162C">
        <w:t xml:space="preserve"> </w:t>
      </w:r>
      <w:r w:rsidRPr="00B9162C">
        <w:t>by any of the following:</w:t>
      </w:r>
    </w:p>
    <w:p w14:paraId="36EC2353" w14:textId="77777777" w:rsidR="00810E64" w:rsidRPr="00B138C4" w:rsidRDefault="00810E64" w:rsidP="00810E64">
      <w:pPr>
        <w:pStyle w:val="tPara"/>
      </w:pPr>
      <w:r w:rsidRPr="00B138C4">
        <w:tab/>
      </w:r>
      <w:r w:rsidR="0010015D">
        <w:t>(a)</w:t>
      </w:r>
      <w:r w:rsidRPr="00FD28BF">
        <w:tab/>
      </w:r>
      <w:r w:rsidR="00CB1E22" w:rsidRPr="00FD28BF">
        <w:t xml:space="preserve">increasing the ratio of </w:t>
      </w:r>
      <w:r w:rsidR="003D029F">
        <w:t xml:space="preserve">weight to </w:t>
      </w:r>
      <w:r w:rsidR="00CB1E22" w:rsidRPr="00FD28BF">
        <w:t>age of the herd</w:t>
      </w:r>
      <w:r w:rsidRPr="00B138C4">
        <w:t xml:space="preserve">; </w:t>
      </w:r>
    </w:p>
    <w:p w14:paraId="1C140377" w14:textId="77777777" w:rsidR="00810E64" w:rsidRPr="00B138C4" w:rsidRDefault="00810E64" w:rsidP="00810E64">
      <w:pPr>
        <w:pStyle w:val="tPara"/>
      </w:pPr>
      <w:r w:rsidRPr="00B138C4">
        <w:tab/>
      </w:r>
      <w:r w:rsidR="0010015D">
        <w:t>(b)</w:t>
      </w:r>
      <w:r w:rsidRPr="00B138C4">
        <w:tab/>
        <w:t xml:space="preserve">reducing the average age of the </w:t>
      </w:r>
      <w:r w:rsidR="002C23F9" w:rsidRPr="00B138C4">
        <w:t>herd</w:t>
      </w:r>
      <w:r w:rsidRPr="00B138C4">
        <w:t xml:space="preserve">; </w:t>
      </w:r>
    </w:p>
    <w:p w14:paraId="46D5BDAD" w14:textId="77777777" w:rsidR="00810E64" w:rsidRPr="00B138C4" w:rsidRDefault="00810E64" w:rsidP="00810E64">
      <w:pPr>
        <w:pStyle w:val="tPara"/>
      </w:pPr>
      <w:r w:rsidRPr="00B138C4">
        <w:tab/>
      </w:r>
      <w:r w:rsidR="0010015D">
        <w:t>(c)</w:t>
      </w:r>
      <w:r w:rsidRPr="00B138C4">
        <w:tab/>
        <w:t xml:space="preserve">reducing the proportion of unproductive animals in the </w:t>
      </w:r>
      <w:r w:rsidR="002C23F9" w:rsidRPr="00B138C4">
        <w:t>herd</w:t>
      </w:r>
      <w:r w:rsidRPr="00B138C4">
        <w:t>;</w:t>
      </w:r>
    </w:p>
    <w:p w14:paraId="10DA80B3" w14:textId="77777777" w:rsidR="00810E64" w:rsidRPr="00B138C4" w:rsidRDefault="00810E64" w:rsidP="00810E64">
      <w:pPr>
        <w:pStyle w:val="tPara"/>
      </w:pPr>
      <w:r w:rsidRPr="00B138C4">
        <w:tab/>
      </w:r>
      <w:r w:rsidR="0010015D">
        <w:t>(d)</w:t>
      </w:r>
      <w:r w:rsidRPr="00B138C4">
        <w:tab/>
      </w:r>
      <w:r w:rsidR="003D029F" w:rsidRPr="00B138C4">
        <w:t xml:space="preserve">changing the ratio of livestock classes within the herd to increase </w:t>
      </w:r>
      <w:r w:rsidR="003D029F">
        <w:t xml:space="preserve">total annual </w:t>
      </w:r>
      <w:r w:rsidR="003D029F" w:rsidRPr="00B138C4">
        <w:t xml:space="preserve">liveweight </w:t>
      </w:r>
      <w:r w:rsidR="003D029F">
        <w:t>gain of the herd</w:t>
      </w:r>
      <w:r w:rsidR="003D029F" w:rsidRPr="00B138C4">
        <w:t>.</w:t>
      </w:r>
    </w:p>
    <w:p w14:paraId="29880741" w14:textId="77777777" w:rsidR="00810E64" w:rsidRPr="00B138C4" w:rsidRDefault="00810E64" w:rsidP="00810E64">
      <w:pPr>
        <w:pStyle w:val="tMain"/>
      </w:pPr>
      <w:r w:rsidRPr="00B138C4">
        <w:tab/>
      </w:r>
      <w:r w:rsidR="0010015D">
        <w:t>(2)</w:t>
      </w:r>
      <w:r w:rsidRPr="00B138C4">
        <w:tab/>
        <w:t xml:space="preserve">A project covered by subsection </w:t>
      </w:r>
      <w:r w:rsidR="001C572E">
        <w:t>(1)</w:t>
      </w:r>
      <w:r w:rsidRPr="00B138C4">
        <w:t xml:space="preserve"> is a</w:t>
      </w:r>
      <w:r w:rsidRPr="00B138C4">
        <w:rPr>
          <w:b/>
          <w:i/>
        </w:rPr>
        <w:t xml:space="preserve"> herd management project</w:t>
      </w:r>
      <w:r w:rsidRPr="00B138C4">
        <w:t>.</w:t>
      </w:r>
    </w:p>
    <w:p w14:paraId="628B133D" w14:textId="77777777" w:rsidR="00810E64" w:rsidRDefault="0010015D" w:rsidP="00810E64">
      <w:pPr>
        <w:pStyle w:val="h2Part"/>
      </w:pPr>
      <w:bookmarkStart w:id="28" w:name="_Toc413161607"/>
      <w:bookmarkStart w:id="29" w:name="_Toc426038013"/>
      <w:bookmarkStart w:id="30" w:name="_Toc485211969"/>
      <w:r>
        <w:lastRenderedPageBreak/>
        <w:t>Part 3</w:t>
      </w:r>
      <w:r w:rsidR="00810E64" w:rsidRPr="00B138C4">
        <w:t>—Project requirements</w:t>
      </w:r>
      <w:bookmarkEnd w:id="28"/>
      <w:bookmarkEnd w:id="29"/>
      <w:bookmarkEnd w:id="30"/>
    </w:p>
    <w:p w14:paraId="0C6E0812" w14:textId="77777777" w:rsidR="00C850F7" w:rsidRDefault="00C850F7" w:rsidP="00C850F7">
      <w:pPr>
        <w:rPr>
          <w:lang w:eastAsia="en-AU"/>
        </w:rPr>
      </w:pPr>
    </w:p>
    <w:p w14:paraId="74384625" w14:textId="77777777" w:rsidR="0010015D" w:rsidRPr="007373D1" w:rsidRDefault="0010015D" w:rsidP="0010015D">
      <w:pPr>
        <w:pStyle w:val="BoxHeadBold"/>
        <w:pBdr>
          <w:left w:val="single" w:sz="6" w:space="4" w:color="auto"/>
        </w:pBdr>
      </w:pPr>
      <w:bookmarkStart w:id="31" w:name="_Toc413161608"/>
      <w:r w:rsidRPr="007373D1">
        <w:t>Summary</w:t>
      </w:r>
    </w:p>
    <w:p w14:paraId="2DE7EEB5" w14:textId="77777777" w:rsidR="0010015D" w:rsidRPr="007373D1" w:rsidRDefault="0010015D" w:rsidP="0010015D">
      <w:pPr>
        <w:pStyle w:val="BoxText"/>
        <w:pBdr>
          <w:left w:val="single" w:sz="6" w:space="4" w:color="auto"/>
        </w:pBdr>
      </w:pPr>
      <w:r w:rsidRPr="007373D1">
        <w:t>The project proponent must specify at least one herd for the project in the section 22 application, and may specify other herds later (these do not extend the crediting period).</w:t>
      </w:r>
    </w:p>
    <w:p w14:paraId="35BD5392" w14:textId="77777777" w:rsidR="0010015D" w:rsidRPr="007373D1" w:rsidRDefault="0010015D" w:rsidP="0010015D">
      <w:pPr>
        <w:pStyle w:val="BoxText"/>
        <w:pBdr>
          <w:left w:val="single" w:sz="6" w:space="4" w:color="auto"/>
        </w:pBdr>
      </w:pPr>
      <w:r w:rsidRPr="007373D1">
        <w:t xml:space="preserve">A herd is specified by specifying the business operation to which it is attached—the herd consists, at any particular time, of the cattle that are on the livestock inventory of the business operation at that time. A business operation does not need to be a separate legal entity, as long as its associated herd is managed as a discrete set of animals over time that can be clearly identified by auditors in the records of its parent entity.  </w:t>
      </w:r>
    </w:p>
    <w:p w14:paraId="3B3BDC42" w14:textId="77777777" w:rsidR="0010015D" w:rsidRPr="007373D1" w:rsidRDefault="0010015D" w:rsidP="0010015D">
      <w:pPr>
        <w:pStyle w:val="BoxText"/>
        <w:pBdr>
          <w:left w:val="single" w:sz="6" w:space="4" w:color="auto"/>
        </w:pBdr>
      </w:pPr>
      <w:r w:rsidRPr="007373D1">
        <w:t>Each herd has an “assessment day”, which the project proponent must specify in the application (although it may be changed if necessary before the start of the crediting period). Each “assessment year” (the annual cycle for measuring the abatement for the herd) will begin immediately after the assessment day of one calendar year and end on the assessment day of the next. The calculator requires data inputs of the weights of animals present in the herd at the end of an assessment day, and these normally require the weighing of the animals, or of statistically valid samples of the animals, within six weeks before or after the day. (There are alternative provisions for obtaining weights that apply in some circumstances, including where normal mustering is delayed by a natural disturbance). Different herds may have different assessment days. The assessment day for the herd cannot be changed after the first offsets report relating to the herd has been given to the Regulator.</w:t>
      </w:r>
    </w:p>
    <w:p w14:paraId="027DB01D" w14:textId="77777777" w:rsidR="0010015D" w:rsidRPr="007373D1" w:rsidRDefault="0010015D" w:rsidP="0010015D">
      <w:pPr>
        <w:pStyle w:val="BoxText"/>
        <w:pBdr>
          <w:left w:val="single" w:sz="6" w:space="4" w:color="auto"/>
        </w:pBdr>
      </w:pPr>
      <w:r w:rsidRPr="007373D1">
        <w:t>The calculator also requires data inputs of the weights of animals entering or leaving the herd during an assessment year. These may be aggregated monthly.</w:t>
      </w:r>
    </w:p>
    <w:p w14:paraId="2AD9FDBC" w14:textId="77777777" w:rsidR="0010015D" w:rsidRPr="007373D1" w:rsidRDefault="0010015D" w:rsidP="0010015D">
      <w:pPr>
        <w:pStyle w:val="BoxText"/>
        <w:pBdr>
          <w:left w:val="single" w:sz="6" w:space="4" w:color="auto"/>
        </w:pBdr>
      </w:pPr>
      <w:r w:rsidRPr="007373D1">
        <w:t xml:space="preserve">For each herd, the project proponent must have historical emissions intensity data that enables the baseline data to be calculated. The historical data is calculated for annual cycles that fall within the period of 7 years that ends on the baseline reference date. This is likely to coincide with the assessment day for measuring abatement, but it is not required to. </w:t>
      </w:r>
    </w:p>
    <w:p w14:paraId="07E7EDCB" w14:textId="77777777" w:rsidR="0010015D" w:rsidRPr="007373D1" w:rsidRDefault="0010015D" w:rsidP="0010015D">
      <w:pPr>
        <w:pStyle w:val="BoxText"/>
        <w:pBdr>
          <w:left w:val="single" w:sz="6" w:space="4" w:color="auto"/>
        </w:pBdr>
      </w:pPr>
      <w:r w:rsidRPr="007373D1">
        <w:t>The majority of the cattle must be in herds that have full historical data (data from 3 full years that are not more than 7 years before the first assessment year of the herd). The baseline emissions of such herds are calculated using the data from that herd only.</w:t>
      </w:r>
    </w:p>
    <w:p w14:paraId="679A3CB7" w14:textId="77777777" w:rsidR="0010015D" w:rsidRPr="007373D1" w:rsidRDefault="0010015D" w:rsidP="0010015D">
      <w:pPr>
        <w:pStyle w:val="BoxText"/>
        <w:pBdr>
          <w:left w:val="single" w:sz="6" w:space="4" w:color="auto"/>
        </w:pBdr>
      </w:pPr>
      <w:r w:rsidRPr="007373D1">
        <w:t>The remainder of the herds of the project may have only partial historical data (data from 2 previous years). When calculating the baseline emissions of such a herd, a cap is imposed that is based on historical data from full data herds.</w:t>
      </w:r>
    </w:p>
    <w:p w14:paraId="23182C9F" w14:textId="77777777" w:rsidR="0010015D" w:rsidRPr="007373D1" w:rsidRDefault="0010015D" w:rsidP="0010015D">
      <w:pPr>
        <w:pStyle w:val="BoxText"/>
        <w:pBdr>
          <w:left w:val="single" w:sz="6" w:space="4" w:color="auto"/>
        </w:pBdr>
      </w:pPr>
      <w:r w:rsidRPr="007373D1">
        <w:t>To comply with this determination:</w:t>
      </w:r>
    </w:p>
    <w:p w14:paraId="71749811" w14:textId="77777777" w:rsidR="0010015D" w:rsidRPr="007373D1" w:rsidRDefault="0010015D" w:rsidP="0010015D">
      <w:pPr>
        <w:pStyle w:val="BoxStep"/>
        <w:pBdr>
          <w:left w:val="single" w:sz="6" w:space="4" w:color="auto"/>
        </w:pBdr>
        <w:ind w:left="2125" w:hanging="991"/>
      </w:pPr>
      <w:r w:rsidRPr="007373D1">
        <w:t xml:space="preserve">       (a)</w:t>
      </w:r>
      <w:r w:rsidRPr="007373D1">
        <w:tab/>
        <w:t>for each herd, the business operation and its livestock inventory must be maintained separately from any others that are part of the project, and have continuity over time; and</w:t>
      </w:r>
    </w:p>
    <w:p w14:paraId="20FAA8E2" w14:textId="77777777" w:rsidR="0010015D" w:rsidRPr="007373D1" w:rsidRDefault="0010015D" w:rsidP="0010015D">
      <w:pPr>
        <w:pStyle w:val="BoxStep"/>
        <w:pBdr>
          <w:left w:val="single" w:sz="6" w:space="4" w:color="auto"/>
        </w:pBdr>
        <w:ind w:left="2125" w:hanging="991"/>
      </w:pPr>
      <w:r w:rsidRPr="007373D1">
        <w:t xml:space="preserve">       (b)</w:t>
      </w:r>
      <w:r w:rsidRPr="007373D1">
        <w:tab/>
        <w:t>each herd must be managed separately and must not be pastured with herds not in a project except under an arm’s length agistment agreement; and</w:t>
      </w:r>
    </w:p>
    <w:p w14:paraId="4B2D9E5F" w14:textId="77777777" w:rsidR="0010015D" w:rsidRPr="007373D1" w:rsidRDefault="0010015D" w:rsidP="0010015D">
      <w:pPr>
        <w:pStyle w:val="BoxStep"/>
        <w:pBdr>
          <w:left w:val="single" w:sz="6" w:space="4" w:color="auto"/>
        </w:pBdr>
        <w:ind w:left="2125" w:hanging="991"/>
      </w:pPr>
      <w:r w:rsidRPr="007373D1">
        <w:lastRenderedPageBreak/>
        <w:t xml:space="preserve">       (c)</w:t>
      </w:r>
      <w:r w:rsidRPr="007373D1">
        <w:tab/>
        <w:t>when cattle are moved to or from the herd (by moving them into or out of the livestock inventory):</w:t>
      </w:r>
    </w:p>
    <w:p w14:paraId="30218C29" w14:textId="77777777" w:rsidR="0010015D" w:rsidRPr="007373D1" w:rsidRDefault="0010015D" w:rsidP="0010015D">
      <w:pPr>
        <w:pStyle w:val="BoxStep"/>
        <w:pBdr>
          <w:left w:val="single" w:sz="6" w:space="4" w:color="auto"/>
        </w:pBdr>
        <w:ind w:left="2550" w:hanging="1416"/>
      </w:pPr>
      <w:r w:rsidRPr="007373D1">
        <w:t xml:space="preserve">                (i)</w:t>
      </w:r>
      <w:r w:rsidRPr="007373D1">
        <w:tab/>
        <w:t>if it is not a transfer from or to a linked herd, it must be a purchase or sale at fair value; and</w:t>
      </w:r>
    </w:p>
    <w:p w14:paraId="120ADF15" w14:textId="77777777" w:rsidR="0010015D" w:rsidRPr="007373D1" w:rsidRDefault="0010015D" w:rsidP="0010015D">
      <w:pPr>
        <w:pStyle w:val="BoxStep"/>
        <w:pBdr>
          <w:left w:val="single" w:sz="6" w:space="4" w:color="auto"/>
        </w:pBdr>
        <w:ind w:left="2550" w:hanging="1416"/>
      </w:pPr>
      <w:r w:rsidRPr="007373D1">
        <w:t xml:space="preserve">                (ii)</w:t>
      </w:r>
      <w:r w:rsidRPr="007373D1">
        <w:tab/>
        <w:t>if it is a transfer from or to a linked herd it:  it must be for a genuine business purpose; it must be recorded as a transaction at fair value, with a statement of the business purpose; and there must be physical movement of the cattle.</w:t>
      </w:r>
    </w:p>
    <w:p w14:paraId="461CE878" w14:textId="77777777" w:rsidR="0010015D" w:rsidRPr="007373D1" w:rsidRDefault="0010015D" w:rsidP="0010015D">
      <w:pPr>
        <w:pStyle w:val="BoxText"/>
        <w:pBdr>
          <w:left w:val="single" w:sz="6" w:space="4" w:color="auto"/>
        </w:pBdr>
      </w:pPr>
      <w:r w:rsidRPr="007373D1">
        <w:t>A project proponent with several herds may find it preferable to include all of them in the project, even if some are not expected to generate significant emission reductions, in order to allow joint pasturing and to simplify transfers from one herd to another.</w:t>
      </w:r>
    </w:p>
    <w:p w14:paraId="5E0F1424" w14:textId="77777777" w:rsidR="0010015D" w:rsidRPr="007373D1" w:rsidRDefault="0010015D" w:rsidP="0010015D">
      <w:pPr>
        <w:pStyle w:val="BoxText"/>
        <w:pBdr>
          <w:left w:val="single" w:sz="6" w:space="4" w:color="auto"/>
        </w:pBdr>
        <w:rPr>
          <w:i/>
        </w:rPr>
      </w:pPr>
      <w:r w:rsidRPr="007373D1">
        <w:rPr>
          <w:i/>
        </w:rPr>
        <w:t>Herds with different assessment cycles</w:t>
      </w:r>
    </w:p>
    <w:p w14:paraId="03848D09" w14:textId="77777777" w:rsidR="0010015D" w:rsidRPr="007373D1" w:rsidRDefault="0010015D" w:rsidP="0010015D">
      <w:pPr>
        <w:pStyle w:val="BoxText"/>
        <w:pBdr>
          <w:left w:val="single" w:sz="6" w:space="4" w:color="auto"/>
        </w:pBdr>
      </w:pPr>
      <w:r w:rsidRPr="007373D1">
        <w:t xml:space="preserve">The determination allows the project proponent to combine herds with different assessment days in a single project.  </w:t>
      </w:r>
    </w:p>
    <w:p w14:paraId="0F235196" w14:textId="77777777" w:rsidR="0010015D" w:rsidRPr="007373D1" w:rsidRDefault="0010015D" w:rsidP="0010015D">
      <w:pPr>
        <w:pStyle w:val="BoxText"/>
        <w:pBdr>
          <w:left w:val="single" w:sz="6" w:space="4" w:color="auto"/>
        </w:pBdr>
      </w:pPr>
      <w:r w:rsidRPr="007373D1">
        <w:t>The determination also allows each herd to have its own reporting cycle, providing a separate offsets report for each herd. However, it is not necessary to do this, even if the herds have different assessment days.  If the proponent has a single reporting cycle with the same reporting periods covering all herds, the offsets report for a reporting period must cover the abatement calculations for each herd with an assessment year that finishes during the reporting period.  The abatement is calculated for the whole of each such assessment year, even if it started before the reporting period.</w:t>
      </w:r>
    </w:p>
    <w:p w14:paraId="58FDADA0" w14:textId="77777777" w:rsidR="0010015D" w:rsidRPr="007373D1" w:rsidRDefault="0010015D" w:rsidP="0010015D">
      <w:pPr>
        <w:pStyle w:val="BoxText"/>
        <w:pBdr>
          <w:left w:val="single" w:sz="6" w:space="4" w:color="auto"/>
        </w:pBdr>
      </w:pPr>
      <w:r w:rsidRPr="007373D1">
        <w:t>In the last reporting period for the project, there will be no abatement calculated for a herd in relation to time after its last assessment year.</w:t>
      </w:r>
    </w:p>
    <w:p w14:paraId="16FAAD91" w14:textId="77777777" w:rsidR="0010015D" w:rsidRPr="007373D1" w:rsidRDefault="0010015D" w:rsidP="0010015D">
      <w:pPr>
        <w:pStyle w:val="BoxText"/>
        <w:pBdr>
          <w:left w:val="single" w:sz="6" w:space="4" w:color="auto"/>
        </w:pBdr>
        <w:rPr>
          <w:i/>
        </w:rPr>
      </w:pPr>
      <w:r w:rsidRPr="007373D1">
        <w:rPr>
          <w:i/>
        </w:rPr>
        <w:t>Setting a crediting period for the project</w:t>
      </w:r>
    </w:p>
    <w:p w14:paraId="29E1505F" w14:textId="77777777" w:rsidR="0010015D" w:rsidRPr="007373D1" w:rsidRDefault="0010015D" w:rsidP="0010015D">
      <w:pPr>
        <w:pStyle w:val="BoxText"/>
        <w:pBdr>
          <w:left w:val="single" w:sz="6" w:space="4" w:color="auto"/>
        </w:pBdr>
      </w:pPr>
      <w:r w:rsidRPr="007373D1">
        <w:t>To ensure that the project proponent can get credit in relation to the full 7 assessment years for each initial herd, it should, in its section 22 application, specify a date for the commencement of the crediting period that is later than the declaration date for the project (which is the default date for the beginning of the crediting period under the Act).</w:t>
      </w:r>
    </w:p>
    <w:p w14:paraId="43D504EF" w14:textId="77777777" w:rsidR="0010015D" w:rsidRPr="007373D1" w:rsidRDefault="0010015D" w:rsidP="0010015D">
      <w:pPr>
        <w:pStyle w:val="BoxText"/>
        <w:pBdr>
          <w:left w:val="single" w:sz="6" w:space="4" w:color="auto"/>
        </w:pBdr>
      </w:pPr>
      <w:r w:rsidRPr="007373D1">
        <w:t xml:space="preserve">The date specified should be after all the initial herds of the project will have had at least one assessment day. This will ensure that they all have one assessment year for each year of the crediting period. (The first assessment year for each herd will begin before the crediting period.) </w:t>
      </w:r>
    </w:p>
    <w:p w14:paraId="5E2B160C" w14:textId="77777777" w:rsidR="00810E64" w:rsidRPr="00B138C4" w:rsidRDefault="0010015D" w:rsidP="00F576B9">
      <w:pPr>
        <w:pStyle w:val="h5Section"/>
      </w:pPr>
      <w:bookmarkStart w:id="32" w:name="_Toc426038014"/>
      <w:bookmarkStart w:id="33" w:name="_Toc485211970"/>
      <w:r>
        <w:t>7</w:t>
      </w:r>
      <w:r w:rsidR="00F576B9" w:rsidRPr="00B138C4">
        <w:t xml:space="preserve">  </w:t>
      </w:r>
      <w:r w:rsidR="00810E64" w:rsidRPr="00B138C4">
        <w:t>Operation of this Part</w:t>
      </w:r>
      <w:bookmarkEnd w:id="31"/>
      <w:bookmarkEnd w:id="32"/>
      <w:bookmarkEnd w:id="33"/>
    </w:p>
    <w:p w14:paraId="35F9A04E" w14:textId="77777777" w:rsidR="00810E64" w:rsidRPr="00B138C4" w:rsidRDefault="00810E64" w:rsidP="00810E64">
      <w:pPr>
        <w:pStyle w:val="tMain"/>
      </w:pPr>
      <w:r w:rsidRPr="00B138C4">
        <w:tab/>
      </w:r>
      <w:r w:rsidRPr="00B138C4">
        <w:tab/>
        <w:t xml:space="preserve">For paragraph 106(1)(b) of the Act, this Part sets out requirements that must be met for a herd management project to </w:t>
      </w:r>
      <w:r w:rsidR="0040072A" w:rsidRPr="00B138C4">
        <w:t>be an eligible offsets project.</w:t>
      </w:r>
    </w:p>
    <w:p w14:paraId="448790ED" w14:textId="77777777" w:rsidR="0010015D" w:rsidRPr="007373D1" w:rsidRDefault="0010015D" w:rsidP="0010015D">
      <w:pPr>
        <w:pStyle w:val="h5Section"/>
      </w:pPr>
      <w:bookmarkStart w:id="34" w:name="_Toc475720108"/>
      <w:bookmarkStart w:id="35" w:name="_Toc477276983"/>
      <w:bookmarkStart w:id="36" w:name="_Toc485211971"/>
      <w:bookmarkStart w:id="37" w:name="_Toc413161611"/>
      <w:bookmarkStart w:id="38" w:name="_Toc426038024"/>
      <w:r w:rsidRPr="007373D1">
        <w:lastRenderedPageBreak/>
        <w:t>8  Specifying herds of the project</w:t>
      </w:r>
      <w:bookmarkEnd w:id="34"/>
      <w:bookmarkEnd w:id="35"/>
      <w:bookmarkEnd w:id="36"/>
    </w:p>
    <w:p w14:paraId="1FCF9D9B" w14:textId="77777777" w:rsidR="0010015D" w:rsidRPr="007373D1" w:rsidRDefault="0010015D" w:rsidP="0010015D">
      <w:pPr>
        <w:pStyle w:val="h6Subsec"/>
      </w:pPr>
      <w:r w:rsidRPr="007373D1">
        <w:t xml:space="preserve">Herd to be identified by specifying business operation </w:t>
      </w:r>
    </w:p>
    <w:p w14:paraId="7ADDFE0D" w14:textId="77777777" w:rsidR="0010015D" w:rsidRPr="007373D1" w:rsidRDefault="0010015D" w:rsidP="0010015D">
      <w:pPr>
        <w:pStyle w:val="tMain"/>
        <w:keepNext/>
      </w:pPr>
      <w:r w:rsidRPr="007373D1">
        <w:tab/>
        <w:t>(1)</w:t>
      </w:r>
      <w:r w:rsidRPr="007373D1">
        <w:tab/>
        <w:t>In the section 22 application, the project proponent must specify at least one herd of the project by specifying the business operation to which it relates.</w:t>
      </w:r>
    </w:p>
    <w:p w14:paraId="31682226" w14:textId="77777777" w:rsidR="0010015D" w:rsidRPr="007373D1" w:rsidRDefault="0010015D" w:rsidP="0010015D">
      <w:pPr>
        <w:pStyle w:val="tMain"/>
      </w:pPr>
      <w:r w:rsidRPr="007373D1">
        <w:tab/>
        <w:t>(2)</w:t>
      </w:r>
      <w:r w:rsidRPr="007373D1">
        <w:tab/>
        <w:t>At least one herd specified in the section 22 application must be a full data herd.</w:t>
      </w:r>
    </w:p>
    <w:p w14:paraId="02F2D52A" w14:textId="77777777" w:rsidR="0010015D" w:rsidRPr="007373D1" w:rsidRDefault="0010015D" w:rsidP="0010015D">
      <w:pPr>
        <w:pStyle w:val="tMain"/>
      </w:pPr>
      <w:r w:rsidRPr="007373D1">
        <w:tab/>
        <w:t>(3)</w:t>
      </w:r>
      <w:r w:rsidRPr="007373D1">
        <w:tab/>
        <w:t>The project proponent may also apply to the Regulator in writing for a herd that relates to another specified business operation to be a herd of the project.</w:t>
      </w:r>
    </w:p>
    <w:p w14:paraId="38E85911" w14:textId="77777777" w:rsidR="0010015D" w:rsidRPr="007373D1" w:rsidRDefault="0010015D" w:rsidP="0010015D">
      <w:pPr>
        <w:pStyle w:val="nMain"/>
      </w:pPr>
      <w:r w:rsidRPr="007373D1">
        <w:t xml:space="preserve"> Note:</w:t>
      </w:r>
      <w:r w:rsidRPr="007373D1">
        <w:tab/>
        <w:t xml:space="preserve">This subsection allows the project proponent to add a herd after the project has started, but doing this does not change the crediting period for the project. </w:t>
      </w:r>
    </w:p>
    <w:p w14:paraId="44ADAC7B" w14:textId="77777777" w:rsidR="0010015D" w:rsidRPr="007373D1" w:rsidRDefault="0010015D" w:rsidP="0010015D">
      <w:pPr>
        <w:pStyle w:val="h6Subsec"/>
      </w:pPr>
      <w:r w:rsidRPr="007373D1">
        <w:t xml:space="preserve">Assessment day to be specified </w:t>
      </w:r>
    </w:p>
    <w:p w14:paraId="55BECA37" w14:textId="77777777" w:rsidR="0010015D" w:rsidRPr="007373D1" w:rsidRDefault="0010015D" w:rsidP="0010015D">
      <w:pPr>
        <w:pStyle w:val="tMain"/>
      </w:pPr>
      <w:r w:rsidRPr="007373D1">
        <w:tab/>
        <w:t>(4)</w:t>
      </w:r>
      <w:r w:rsidRPr="007373D1">
        <w:tab/>
        <w:t xml:space="preserve">For each herd, the relevant section 22 application or application under subsection (3) in relation to the herd (the </w:t>
      </w:r>
      <w:r w:rsidRPr="007373D1">
        <w:rPr>
          <w:b/>
          <w:i/>
        </w:rPr>
        <w:t>relevant application</w:t>
      </w:r>
      <w:r w:rsidRPr="007373D1">
        <w:t xml:space="preserve"> for the herd) must specify a day of the calendar year to be the </w:t>
      </w:r>
      <w:r w:rsidRPr="007373D1">
        <w:rPr>
          <w:b/>
          <w:i/>
        </w:rPr>
        <w:t xml:space="preserve">assessment </w:t>
      </w:r>
      <w:r w:rsidRPr="007373D1">
        <w:t>day for the herd.</w:t>
      </w:r>
    </w:p>
    <w:p w14:paraId="13609087" w14:textId="77777777" w:rsidR="0010015D" w:rsidRPr="007373D1" w:rsidRDefault="0010015D" w:rsidP="0010015D">
      <w:pPr>
        <w:pStyle w:val="nMain"/>
      </w:pPr>
      <w:r w:rsidRPr="007373D1">
        <w:t>Note:</w:t>
      </w:r>
      <w:r w:rsidRPr="007373D1">
        <w:tab/>
        <w:t>The assessment day for the herd sets the annual cycles for measurement of abatement.  It will need to be set so that any annual muster and weighing of animals that is needed to provide data in accordance with section 25 can be done within 6 weeks before or after the day. Different herds of the project may have different assessment days.</w:t>
      </w:r>
    </w:p>
    <w:p w14:paraId="7A9537C6" w14:textId="77777777" w:rsidR="0010015D" w:rsidRPr="007373D1" w:rsidRDefault="0010015D" w:rsidP="0010015D">
      <w:pPr>
        <w:pStyle w:val="tMain"/>
      </w:pPr>
      <w:r w:rsidRPr="007373D1">
        <w:tab/>
        <w:t>(5)</w:t>
      </w:r>
      <w:r w:rsidRPr="007373D1">
        <w:tab/>
        <w:t>The project proponent may change the assessment day for a herd by specifying a new assessment day in the first offsets report relating to the herd.</w:t>
      </w:r>
    </w:p>
    <w:p w14:paraId="498991A1" w14:textId="77777777" w:rsidR="0010015D" w:rsidRPr="007373D1" w:rsidRDefault="0010015D" w:rsidP="0010015D">
      <w:pPr>
        <w:pStyle w:val="h6Subsec"/>
      </w:pPr>
      <w:r w:rsidRPr="007373D1">
        <w:t>Other information required in application</w:t>
      </w:r>
    </w:p>
    <w:p w14:paraId="3DA49A24" w14:textId="77777777" w:rsidR="0010015D" w:rsidRPr="007373D1" w:rsidRDefault="0010015D" w:rsidP="0010015D">
      <w:pPr>
        <w:pStyle w:val="tMain"/>
      </w:pPr>
      <w:r w:rsidRPr="007373D1">
        <w:tab/>
        <w:t>(6)</w:t>
      </w:r>
      <w:r w:rsidRPr="007373D1">
        <w:tab/>
        <w:t>The relevant application must also include the following information for each herd and its related business operation:</w:t>
      </w:r>
    </w:p>
    <w:p w14:paraId="6EBA29F2" w14:textId="77777777" w:rsidR="0010015D" w:rsidRPr="007373D1" w:rsidRDefault="0010015D" w:rsidP="0010015D">
      <w:pPr>
        <w:pStyle w:val="tPara"/>
      </w:pPr>
      <w:r w:rsidRPr="007373D1">
        <w:tab/>
        <w:t>(a)</w:t>
      </w:r>
      <w:r w:rsidRPr="007373D1">
        <w:tab/>
        <w:t>if the business operation consists of a registered entity or group of entities—details of the entity or entities;</w:t>
      </w:r>
    </w:p>
    <w:p w14:paraId="76E82511" w14:textId="77777777" w:rsidR="0010015D" w:rsidRPr="007373D1" w:rsidRDefault="0010015D" w:rsidP="0010015D">
      <w:pPr>
        <w:pStyle w:val="tPara"/>
      </w:pPr>
      <w:r w:rsidRPr="007373D1">
        <w:tab/>
        <w:t>(b)</w:t>
      </w:r>
      <w:r w:rsidRPr="007373D1">
        <w:tab/>
        <w:t>if the business operation does not consist of a registered entity or a group of registered entities—a description of the business operation, including how it satisfies the separate business requirement under subsection 10(3);</w:t>
      </w:r>
    </w:p>
    <w:p w14:paraId="42E2FCA1" w14:textId="77777777" w:rsidR="0010015D" w:rsidRPr="007373D1" w:rsidRDefault="0010015D" w:rsidP="0010015D">
      <w:pPr>
        <w:pStyle w:val="tPara"/>
      </w:pPr>
      <w:r w:rsidRPr="007373D1">
        <w:tab/>
        <w:t>(c)</w:t>
      </w:r>
      <w:r w:rsidRPr="007373D1">
        <w:tab/>
        <w:t>if the business operation is different from its parent entity— details of the entity or entities that make up the parent entity;</w:t>
      </w:r>
    </w:p>
    <w:p w14:paraId="19028548" w14:textId="77777777" w:rsidR="0010015D" w:rsidRPr="007373D1" w:rsidRDefault="0010015D" w:rsidP="0010015D">
      <w:pPr>
        <w:pStyle w:val="tPara"/>
      </w:pPr>
      <w:r w:rsidRPr="007373D1">
        <w:tab/>
        <w:t>(d)</w:t>
      </w:r>
      <w:r w:rsidRPr="007373D1">
        <w:tab/>
        <w:t>if the entity or entities making up the business operation or its parent entity have changed since the beginning of the emissions intensity reference period—a description of the changes and details of all the entities;</w:t>
      </w:r>
    </w:p>
    <w:p w14:paraId="10BFD800" w14:textId="77777777" w:rsidR="0010015D" w:rsidRPr="007373D1" w:rsidRDefault="0010015D" w:rsidP="0010015D">
      <w:pPr>
        <w:pStyle w:val="tPara"/>
        <w:spacing w:before="0"/>
      </w:pPr>
      <w:r w:rsidRPr="007373D1">
        <w:tab/>
        <w:t>(e)</w:t>
      </w:r>
      <w:r w:rsidRPr="007373D1">
        <w:tab/>
        <w:t>the baseline reference day for the herd for the purposes of subsection 16(1);</w:t>
      </w:r>
    </w:p>
    <w:p w14:paraId="2ACE3E5C" w14:textId="77777777" w:rsidR="0010015D" w:rsidRPr="007373D1" w:rsidRDefault="0010015D" w:rsidP="0010015D">
      <w:pPr>
        <w:pStyle w:val="tPara"/>
        <w:spacing w:before="0"/>
      </w:pPr>
      <w:r w:rsidRPr="007373D1">
        <w:tab/>
        <w:t>(f)</w:t>
      </w:r>
      <w:r w:rsidRPr="007373D1">
        <w:tab/>
        <w:t>the number of cattle in the herd on the baseline reference day;</w:t>
      </w:r>
    </w:p>
    <w:p w14:paraId="453B1867" w14:textId="77777777" w:rsidR="0010015D" w:rsidRPr="007373D1" w:rsidRDefault="0010015D" w:rsidP="0010015D">
      <w:pPr>
        <w:pStyle w:val="tPara"/>
      </w:pPr>
      <w:r w:rsidRPr="007373D1">
        <w:tab/>
        <w:t>(g)</w:t>
      </w:r>
      <w:r w:rsidRPr="007373D1">
        <w:tab/>
        <w:t>the years constituting the emissions intensity reference period for the herd;</w:t>
      </w:r>
    </w:p>
    <w:p w14:paraId="0723FE1D" w14:textId="77777777" w:rsidR="0010015D" w:rsidRPr="007373D1" w:rsidRDefault="0010015D" w:rsidP="0010015D">
      <w:pPr>
        <w:pStyle w:val="tPara"/>
      </w:pPr>
      <w:r w:rsidRPr="007373D1">
        <w:tab/>
        <w:t>(h)</w:t>
      </w:r>
      <w:r w:rsidRPr="007373D1">
        <w:tab/>
        <w:t>the land on which the cattle of the herd grazed in each year of the emissions intensity reference period, other than under an arm’s length agistment arrangement;</w:t>
      </w:r>
    </w:p>
    <w:p w14:paraId="0AD85815" w14:textId="77777777" w:rsidR="0010015D" w:rsidRPr="007373D1" w:rsidRDefault="0010015D" w:rsidP="0010015D">
      <w:pPr>
        <w:pStyle w:val="tPara"/>
      </w:pPr>
      <w:r w:rsidRPr="007373D1">
        <w:tab/>
        <w:t>(i)</w:t>
      </w:r>
      <w:r w:rsidRPr="007373D1">
        <w:tab/>
        <w:t>to the extent possible, the land on which the cattle of the herd are expected to graze during each year of the crediting period (including under an arm’s length agistment arrangement).</w:t>
      </w:r>
    </w:p>
    <w:p w14:paraId="28B7E44A" w14:textId="77777777" w:rsidR="0010015D" w:rsidRPr="007373D1" w:rsidRDefault="0010015D" w:rsidP="0010015D">
      <w:pPr>
        <w:pStyle w:val="h5Section"/>
      </w:pPr>
      <w:bookmarkStart w:id="39" w:name="_Toc475720109"/>
      <w:bookmarkStart w:id="40" w:name="_Toc477276984"/>
      <w:bookmarkStart w:id="41" w:name="_Toc485211972"/>
      <w:r w:rsidRPr="007373D1">
        <w:lastRenderedPageBreak/>
        <w:t>9  Requirements for herds of the project</w:t>
      </w:r>
      <w:bookmarkEnd w:id="39"/>
      <w:bookmarkEnd w:id="40"/>
      <w:bookmarkEnd w:id="41"/>
    </w:p>
    <w:p w14:paraId="31BDA960" w14:textId="77777777" w:rsidR="0010015D" w:rsidRPr="007373D1" w:rsidRDefault="0010015D" w:rsidP="0010015D">
      <w:pPr>
        <w:pStyle w:val="h6Subsec"/>
      </w:pPr>
      <w:r w:rsidRPr="007373D1">
        <w:t xml:space="preserve">Requirements for a herd at time of application </w:t>
      </w:r>
    </w:p>
    <w:p w14:paraId="54178E15" w14:textId="77777777" w:rsidR="0010015D" w:rsidRPr="007373D1" w:rsidRDefault="0010015D" w:rsidP="0010015D">
      <w:pPr>
        <w:pStyle w:val="tMain"/>
      </w:pPr>
      <w:r w:rsidRPr="007373D1">
        <w:tab/>
        <w:t>(1)</w:t>
      </w:r>
      <w:r w:rsidRPr="007373D1">
        <w:tab/>
        <w:t>A herd must not be specified in a section 22 application or an application under subsection 8(3) unless:</w:t>
      </w:r>
    </w:p>
    <w:p w14:paraId="26B29D0A" w14:textId="77777777" w:rsidR="0010015D" w:rsidRPr="007373D1" w:rsidRDefault="0010015D" w:rsidP="0010015D">
      <w:pPr>
        <w:pStyle w:val="tPara"/>
      </w:pPr>
      <w:r w:rsidRPr="007373D1">
        <w:tab/>
        <w:t>(a)</w:t>
      </w:r>
      <w:r w:rsidRPr="007373D1">
        <w:tab/>
        <w:t>it has satisfied the following since the beginning of its emissions intensity reference period:</w:t>
      </w:r>
    </w:p>
    <w:p w14:paraId="2D3F4135" w14:textId="77777777" w:rsidR="0010015D" w:rsidRPr="007373D1" w:rsidRDefault="0010015D" w:rsidP="0010015D">
      <w:pPr>
        <w:pStyle w:val="tSubpara"/>
      </w:pPr>
      <w:r w:rsidRPr="007373D1">
        <w:tab/>
        <w:t>(i)</w:t>
      </w:r>
      <w:r w:rsidRPr="007373D1">
        <w:tab/>
        <w:t>the separate business operation requirement (section 10);</w:t>
      </w:r>
    </w:p>
    <w:p w14:paraId="6EB5470C" w14:textId="77777777" w:rsidR="0010015D" w:rsidRPr="007373D1" w:rsidRDefault="0010015D" w:rsidP="0010015D">
      <w:pPr>
        <w:pStyle w:val="tSubpara"/>
      </w:pPr>
      <w:r w:rsidRPr="007373D1">
        <w:tab/>
        <w:t>(ii)</w:t>
      </w:r>
      <w:r w:rsidRPr="007373D1">
        <w:tab/>
        <w:t>the herd continuity requirement (section 11);</w:t>
      </w:r>
    </w:p>
    <w:p w14:paraId="3B738B6D" w14:textId="77777777" w:rsidR="0010015D" w:rsidRPr="007373D1" w:rsidRDefault="0010015D" w:rsidP="0010015D">
      <w:pPr>
        <w:pStyle w:val="tSubpara"/>
      </w:pPr>
      <w:r w:rsidRPr="007373D1">
        <w:tab/>
        <w:t>(iii)</w:t>
      </w:r>
      <w:r w:rsidRPr="007373D1">
        <w:tab/>
        <w:t>the herd management requirement (section 14);</w:t>
      </w:r>
    </w:p>
    <w:p w14:paraId="5AB89602" w14:textId="77777777" w:rsidR="0010015D" w:rsidRPr="007373D1" w:rsidRDefault="0010015D" w:rsidP="0010015D">
      <w:pPr>
        <w:pStyle w:val="tSubpara"/>
      </w:pPr>
      <w:r w:rsidRPr="007373D1">
        <w:tab/>
        <w:t>(iv)</w:t>
      </w:r>
      <w:r w:rsidRPr="007373D1">
        <w:tab/>
        <w:t>the animal identification requirement (section 15); and</w:t>
      </w:r>
    </w:p>
    <w:p w14:paraId="765FBA84" w14:textId="77777777" w:rsidR="0010015D" w:rsidRPr="007373D1" w:rsidRDefault="0010015D" w:rsidP="0010015D">
      <w:pPr>
        <w:pStyle w:val="tPara"/>
      </w:pPr>
      <w:r w:rsidRPr="007373D1">
        <w:tab/>
        <w:t>(b)</w:t>
      </w:r>
      <w:r w:rsidRPr="007373D1">
        <w:tab/>
        <w:t>it is either a full data herd or a limited data herd.</w:t>
      </w:r>
    </w:p>
    <w:p w14:paraId="51835A74" w14:textId="77777777" w:rsidR="0010015D" w:rsidRPr="007373D1" w:rsidRDefault="0010015D" w:rsidP="0010015D">
      <w:pPr>
        <w:pStyle w:val="tMain"/>
      </w:pPr>
      <w:r w:rsidRPr="007373D1">
        <w:tab/>
        <w:t>(2)</w:t>
      </w:r>
      <w:r w:rsidRPr="007373D1">
        <w:tab/>
        <w:t>A limited data herd must not be specified in a section 22 application or an application under subsection 8(3) unless:</w:t>
      </w:r>
    </w:p>
    <w:p w14:paraId="373201C3" w14:textId="77777777" w:rsidR="0010015D" w:rsidRPr="007373D1" w:rsidRDefault="0010015D" w:rsidP="0010015D">
      <w:pPr>
        <w:pStyle w:val="tPara"/>
      </w:pPr>
      <w:r w:rsidRPr="007373D1">
        <w:tab/>
        <w:t>(a)</w:t>
      </w:r>
      <w:r w:rsidRPr="007373D1">
        <w:tab/>
        <w:t xml:space="preserve">there is at least one full data herd (a </w:t>
      </w:r>
      <w:r w:rsidRPr="007373D1">
        <w:rPr>
          <w:b/>
          <w:i/>
        </w:rPr>
        <w:t xml:space="preserve">reference herd </w:t>
      </w:r>
      <w:r w:rsidRPr="007373D1">
        <w:t>for the limited data herd) that is, or was, specified in the section 22 application; and</w:t>
      </w:r>
    </w:p>
    <w:p w14:paraId="147A65B7" w14:textId="77777777" w:rsidR="0010015D" w:rsidRPr="007373D1" w:rsidRDefault="0010015D" w:rsidP="0010015D">
      <w:pPr>
        <w:pStyle w:val="tPara"/>
      </w:pPr>
      <w:r w:rsidRPr="007373D1">
        <w:tab/>
        <w:t>(b)</w:t>
      </w:r>
      <w:r w:rsidRPr="007373D1">
        <w:tab/>
        <w:t xml:space="preserve">the limited data herds together had a smaller number of cattle on their baseline references dates than the reference herds together had on their baseline reference dates. </w:t>
      </w:r>
    </w:p>
    <w:p w14:paraId="369CE916" w14:textId="77777777" w:rsidR="0010015D" w:rsidRPr="007373D1" w:rsidRDefault="0010015D" w:rsidP="0010015D">
      <w:pPr>
        <w:pStyle w:val="tMain"/>
      </w:pPr>
      <w:r w:rsidRPr="007373D1">
        <w:tab/>
        <w:t>(3)</w:t>
      </w:r>
      <w:r w:rsidRPr="007373D1">
        <w:tab/>
        <w:t>A herd must not be specified in a section 22 application or an application under subsection 8(3) unless it can be expected to satisfy the following for the period from the date of the relevant application to the end of the crediting period:</w:t>
      </w:r>
    </w:p>
    <w:p w14:paraId="3CA6AF09" w14:textId="77777777" w:rsidR="0010015D" w:rsidRPr="007373D1" w:rsidRDefault="0010015D" w:rsidP="0010015D">
      <w:pPr>
        <w:pStyle w:val="tPara"/>
      </w:pPr>
      <w:r w:rsidRPr="007373D1">
        <w:tab/>
        <w:t>(a)</w:t>
      </w:r>
      <w:r w:rsidRPr="007373D1">
        <w:tab/>
        <w:t>the separate business operation requirement (section 10);</w:t>
      </w:r>
    </w:p>
    <w:p w14:paraId="6195AF07" w14:textId="77777777" w:rsidR="0010015D" w:rsidRPr="007373D1" w:rsidRDefault="0010015D" w:rsidP="0010015D">
      <w:pPr>
        <w:pStyle w:val="tPara"/>
      </w:pPr>
      <w:r w:rsidRPr="007373D1">
        <w:tab/>
        <w:t>(b)</w:t>
      </w:r>
      <w:r w:rsidRPr="007373D1">
        <w:tab/>
        <w:t>the herd continuity requirement (section 11);</w:t>
      </w:r>
    </w:p>
    <w:p w14:paraId="466899AD" w14:textId="77777777" w:rsidR="0010015D" w:rsidRPr="007373D1" w:rsidRDefault="0010015D" w:rsidP="0010015D">
      <w:pPr>
        <w:pStyle w:val="tPara"/>
      </w:pPr>
      <w:r w:rsidRPr="007373D1">
        <w:tab/>
        <w:t>(c)</w:t>
      </w:r>
      <w:r w:rsidRPr="007373D1">
        <w:tab/>
        <w:t xml:space="preserve">the movement of cattle requirement (section 12); </w:t>
      </w:r>
    </w:p>
    <w:p w14:paraId="35DC5E89" w14:textId="77777777" w:rsidR="0010015D" w:rsidRPr="007373D1" w:rsidRDefault="0010015D" w:rsidP="0010015D">
      <w:pPr>
        <w:pStyle w:val="tPara"/>
      </w:pPr>
      <w:r w:rsidRPr="007373D1">
        <w:tab/>
        <w:t>(d)</w:t>
      </w:r>
      <w:r w:rsidRPr="007373D1">
        <w:tab/>
        <w:t>the co-grazing requirement (section 13); the</w:t>
      </w:r>
    </w:p>
    <w:p w14:paraId="62237BB1" w14:textId="77777777" w:rsidR="0010015D" w:rsidRPr="007373D1" w:rsidRDefault="0010015D" w:rsidP="0010015D">
      <w:pPr>
        <w:pStyle w:val="tPara"/>
      </w:pPr>
      <w:r w:rsidRPr="007373D1">
        <w:tab/>
        <w:t>(e)</w:t>
      </w:r>
      <w:r w:rsidRPr="007373D1">
        <w:tab/>
        <w:t>the herd management requirement (section 14);</w:t>
      </w:r>
    </w:p>
    <w:p w14:paraId="064D31E9" w14:textId="77777777" w:rsidR="0010015D" w:rsidRPr="007373D1" w:rsidRDefault="0010015D" w:rsidP="0010015D">
      <w:pPr>
        <w:pStyle w:val="tPara"/>
      </w:pPr>
      <w:r w:rsidRPr="007373D1">
        <w:tab/>
        <w:t>(f)</w:t>
      </w:r>
      <w:r w:rsidRPr="007373D1">
        <w:tab/>
        <w:t>the animal identification requirement (section 15).</w:t>
      </w:r>
    </w:p>
    <w:p w14:paraId="5A806DBE" w14:textId="77777777" w:rsidR="0010015D" w:rsidRPr="007373D1" w:rsidRDefault="0010015D" w:rsidP="0010015D">
      <w:pPr>
        <w:pStyle w:val="h6Subsec"/>
      </w:pPr>
      <w:r w:rsidRPr="007373D1">
        <w:t xml:space="preserve">Effect of herd ceasing to exist or failing to comply with herd continuity requirement </w:t>
      </w:r>
    </w:p>
    <w:p w14:paraId="0BFEF169" w14:textId="77777777" w:rsidR="0010015D" w:rsidRPr="007373D1" w:rsidRDefault="0010015D" w:rsidP="0010015D">
      <w:pPr>
        <w:pStyle w:val="tMain"/>
      </w:pPr>
      <w:r w:rsidRPr="007373D1">
        <w:tab/>
        <w:t>(4)</w:t>
      </w:r>
      <w:r w:rsidRPr="007373D1">
        <w:tab/>
        <w:t>If, during:</w:t>
      </w:r>
    </w:p>
    <w:p w14:paraId="4E800563" w14:textId="77777777" w:rsidR="0010015D" w:rsidRPr="007373D1" w:rsidRDefault="0010015D" w:rsidP="0010015D">
      <w:pPr>
        <w:pStyle w:val="tPara"/>
      </w:pPr>
      <w:r w:rsidRPr="007373D1">
        <w:tab/>
        <w:t>(a)</w:t>
      </w:r>
      <w:r w:rsidRPr="007373D1">
        <w:tab/>
        <w:t>the period beginning on the date of the relevant application for a herd of the project and ending immediately before the first assessment year for the herd; or</w:t>
      </w:r>
    </w:p>
    <w:p w14:paraId="205B824E" w14:textId="77777777" w:rsidR="0010015D" w:rsidRPr="007373D1" w:rsidRDefault="0010015D" w:rsidP="0010015D">
      <w:pPr>
        <w:pStyle w:val="tPara"/>
      </w:pPr>
      <w:r w:rsidRPr="007373D1">
        <w:tab/>
        <w:t>(b)</w:t>
      </w:r>
      <w:r w:rsidRPr="007373D1">
        <w:tab/>
        <w:t>an assessment year for the herd;</w:t>
      </w:r>
    </w:p>
    <w:p w14:paraId="71A2ADEB" w14:textId="77777777" w:rsidR="0010015D" w:rsidRPr="007373D1" w:rsidRDefault="0010015D" w:rsidP="0010015D">
      <w:pPr>
        <w:pStyle w:val="tMain"/>
      </w:pPr>
      <w:r w:rsidRPr="007373D1">
        <w:tab/>
      </w:r>
      <w:r w:rsidRPr="007373D1">
        <w:tab/>
        <w:t>either:</w:t>
      </w:r>
    </w:p>
    <w:p w14:paraId="08F70A6F" w14:textId="77777777" w:rsidR="0010015D" w:rsidRPr="007373D1" w:rsidRDefault="0010015D" w:rsidP="0010015D">
      <w:pPr>
        <w:pStyle w:val="tPara"/>
      </w:pPr>
      <w:r w:rsidRPr="007373D1">
        <w:tab/>
        <w:t>(c)</w:t>
      </w:r>
      <w:r w:rsidRPr="007373D1">
        <w:tab/>
        <w:t>the business operation to which the herd relates ceases to exist (because the business operation that it relates to ceases to exist); or</w:t>
      </w:r>
    </w:p>
    <w:p w14:paraId="0857F3C2" w14:textId="77777777" w:rsidR="0010015D" w:rsidRPr="007373D1" w:rsidRDefault="0010015D" w:rsidP="0010015D">
      <w:pPr>
        <w:pStyle w:val="tPara"/>
      </w:pPr>
      <w:r w:rsidRPr="007373D1">
        <w:tab/>
        <w:t>(d)</w:t>
      </w:r>
      <w:r w:rsidRPr="007373D1">
        <w:tab/>
        <w:t>the herd fails to satisfy the herd continuity requirement (section 11);</w:t>
      </w:r>
    </w:p>
    <w:p w14:paraId="312F0C21" w14:textId="77777777" w:rsidR="0010015D" w:rsidRPr="007373D1" w:rsidRDefault="0010015D" w:rsidP="0010015D">
      <w:pPr>
        <w:pStyle w:val="tMain"/>
        <w:spacing w:before="100"/>
      </w:pPr>
      <w:r w:rsidRPr="007373D1">
        <w:tab/>
      </w:r>
      <w:r w:rsidRPr="007373D1">
        <w:tab/>
        <w:t>the herd is taken to continue to exist as a herd of the project, with zero members, from the beginning of that period until the end of the crediting period.</w:t>
      </w:r>
    </w:p>
    <w:p w14:paraId="74F11FBB" w14:textId="77777777" w:rsidR="0010015D" w:rsidRPr="007373D1" w:rsidRDefault="0010015D" w:rsidP="0010015D">
      <w:pPr>
        <w:pStyle w:val="nMain"/>
      </w:pPr>
      <w:r w:rsidRPr="007373D1">
        <w:t>Note:</w:t>
      </w:r>
      <w:r w:rsidRPr="007373D1">
        <w:tab/>
        <w:t>An offsets report will be required to record the herd as existing, but as having had zero members.</w:t>
      </w:r>
    </w:p>
    <w:p w14:paraId="615B4FA7" w14:textId="77777777" w:rsidR="0010015D" w:rsidRPr="007373D1" w:rsidRDefault="0010015D" w:rsidP="0010015D">
      <w:pPr>
        <w:pStyle w:val="h6Subsec"/>
      </w:pPr>
      <w:r w:rsidRPr="007373D1">
        <w:lastRenderedPageBreak/>
        <w:t>Effect of failure to comply with another requirement listed in subsection (3)</w:t>
      </w:r>
    </w:p>
    <w:p w14:paraId="070BAA4A" w14:textId="77777777" w:rsidR="0010015D" w:rsidRPr="007373D1" w:rsidRDefault="0010015D" w:rsidP="0010015D">
      <w:pPr>
        <w:pStyle w:val="tMain"/>
      </w:pPr>
      <w:r w:rsidRPr="007373D1">
        <w:tab/>
        <w:t>(5)</w:t>
      </w:r>
      <w:r w:rsidRPr="007373D1">
        <w:tab/>
        <w:t>If a herd of the project fails or ceases to satisfy any other provision listed in subsection (3) for an assessment year, the herd is taken, for the purposes of abatement calculations and offsets reports only, to have had zero members throughout the assessment year.</w:t>
      </w:r>
    </w:p>
    <w:p w14:paraId="65908C95" w14:textId="77777777" w:rsidR="0010015D" w:rsidRPr="007373D1" w:rsidRDefault="0010015D" w:rsidP="0010015D">
      <w:pPr>
        <w:pStyle w:val="nMain"/>
      </w:pPr>
      <w:r w:rsidRPr="007373D1">
        <w:t>Note:</w:t>
      </w:r>
      <w:r w:rsidRPr="007373D1">
        <w:tab/>
        <w:t>An offsets report will be required to record the herd as existing, but as having had zero members during that assessment year.  Abatement can be claimed for later assessment years if the failure is rectified</w:t>
      </w:r>
    </w:p>
    <w:p w14:paraId="756E16B4" w14:textId="77777777" w:rsidR="0010015D" w:rsidRPr="007373D1" w:rsidRDefault="0010015D" w:rsidP="0010015D">
      <w:pPr>
        <w:pStyle w:val="h5Section"/>
      </w:pPr>
      <w:bookmarkStart w:id="42" w:name="_Toc475720110"/>
      <w:bookmarkStart w:id="43" w:name="_Toc477276985"/>
      <w:bookmarkStart w:id="44" w:name="_Toc485211973"/>
      <w:r w:rsidRPr="007373D1">
        <w:t>10  Separate business operation requirement</w:t>
      </w:r>
      <w:bookmarkEnd w:id="42"/>
      <w:bookmarkEnd w:id="43"/>
      <w:bookmarkEnd w:id="44"/>
    </w:p>
    <w:p w14:paraId="1B69EAC8" w14:textId="77777777" w:rsidR="0010015D" w:rsidRPr="007373D1" w:rsidRDefault="0010015D" w:rsidP="0010015D">
      <w:pPr>
        <w:pStyle w:val="tMain"/>
      </w:pPr>
      <w:r w:rsidRPr="007373D1">
        <w:tab/>
        <w:t>(1)</w:t>
      </w:r>
      <w:r w:rsidRPr="007373D1">
        <w:tab/>
        <w:t>A herd of the project satisfies the separate business operation requirement for a period if the business operation for the herd satisfies subsection (2) or (3) throughout the period.</w:t>
      </w:r>
    </w:p>
    <w:p w14:paraId="4960CA01" w14:textId="77777777" w:rsidR="0010015D" w:rsidRPr="007373D1" w:rsidRDefault="0010015D" w:rsidP="0010015D">
      <w:pPr>
        <w:pStyle w:val="h6Subsec"/>
      </w:pPr>
      <w:r w:rsidRPr="007373D1">
        <w:t>Entire entities</w:t>
      </w:r>
    </w:p>
    <w:p w14:paraId="21326FEB" w14:textId="77777777" w:rsidR="0010015D" w:rsidRPr="007373D1" w:rsidRDefault="0010015D" w:rsidP="0010015D">
      <w:pPr>
        <w:pStyle w:val="tMain"/>
      </w:pPr>
      <w:r w:rsidRPr="007373D1">
        <w:tab/>
        <w:t>(2)</w:t>
      </w:r>
      <w:r w:rsidRPr="007373D1">
        <w:tab/>
        <w:t xml:space="preserve">A business operation satisfies this subsection if it consists of a registered entity or a group of registered entities. </w:t>
      </w:r>
    </w:p>
    <w:p w14:paraId="26FC3EE6" w14:textId="77777777" w:rsidR="0010015D" w:rsidRPr="007373D1" w:rsidRDefault="0010015D" w:rsidP="0010015D">
      <w:pPr>
        <w:pStyle w:val="h6Subsec"/>
      </w:pPr>
      <w:r w:rsidRPr="007373D1">
        <w:t xml:space="preserve"> Discrete operations</w:t>
      </w:r>
    </w:p>
    <w:p w14:paraId="3605BDB2" w14:textId="77777777" w:rsidR="0010015D" w:rsidRPr="007373D1" w:rsidRDefault="0010015D" w:rsidP="0010015D">
      <w:pPr>
        <w:pStyle w:val="tMain"/>
      </w:pPr>
      <w:r w:rsidRPr="007373D1">
        <w:tab/>
        <w:t>(3)</w:t>
      </w:r>
      <w:r w:rsidRPr="007373D1">
        <w:tab/>
        <w:t>A business operation satisfies this subsection at a time if:</w:t>
      </w:r>
    </w:p>
    <w:p w14:paraId="154B1BBA" w14:textId="77777777" w:rsidR="0010015D" w:rsidRPr="007373D1" w:rsidRDefault="0010015D" w:rsidP="0010015D">
      <w:pPr>
        <w:pStyle w:val="tPara"/>
      </w:pPr>
      <w:r w:rsidRPr="007373D1">
        <w:tab/>
        <w:t>(a)</w:t>
      </w:r>
      <w:r w:rsidRPr="007373D1">
        <w:tab/>
        <w:t>its parent entity consists of a registered entity or a group of registered entities; and</w:t>
      </w:r>
    </w:p>
    <w:p w14:paraId="7D735BAC" w14:textId="77777777" w:rsidR="0010015D" w:rsidRPr="007373D1" w:rsidRDefault="0010015D" w:rsidP="0010015D">
      <w:pPr>
        <w:pStyle w:val="tPara"/>
      </w:pPr>
      <w:r w:rsidRPr="007373D1">
        <w:tab/>
        <w:t>(b)</w:t>
      </w:r>
      <w:r w:rsidRPr="007373D1">
        <w:tab/>
        <w:t>it maintains a livestock inventory that is separate from other livestock inventories of its parent entity; and</w:t>
      </w:r>
    </w:p>
    <w:p w14:paraId="4D90E306" w14:textId="77777777" w:rsidR="0010015D" w:rsidRPr="007373D1" w:rsidRDefault="0010015D" w:rsidP="0010015D">
      <w:pPr>
        <w:pStyle w:val="tPara"/>
      </w:pPr>
      <w:r w:rsidRPr="007373D1">
        <w:tab/>
        <w:t>(c)</w:t>
      </w:r>
      <w:r w:rsidRPr="007373D1">
        <w:tab/>
        <w:t>after the date of the relevant application—the herd is managed as a discrete group of animals over time; and</w:t>
      </w:r>
    </w:p>
    <w:p w14:paraId="4A623BAA" w14:textId="77777777" w:rsidR="0010015D" w:rsidRPr="007373D1" w:rsidRDefault="0010015D" w:rsidP="0010015D">
      <w:pPr>
        <w:pStyle w:val="tPara"/>
      </w:pPr>
      <w:r w:rsidRPr="007373D1">
        <w:tab/>
        <w:t>(d)</w:t>
      </w:r>
      <w:r w:rsidRPr="007373D1">
        <w:tab/>
        <w:t>it is possible to account for all cattle entering or leaving the livestock inventory (including movements to and from other livestock inventories of the parent entity, and including movements that are not sales or purchases).</w:t>
      </w:r>
    </w:p>
    <w:p w14:paraId="3597C479" w14:textId="77777777" w:rsidR="0010015D" w:rsidRPr="007373D1" w:rsidRDefault="0010015D" w:rsidP="0010015D">
      <w:pPr>
        <w:pStyle w:val="nMain"/>
      </w:pPr>
      <w:r w:rsidRPr="007373D1">
        <w:t>Examples:</w:t>
      </w:r>
      <w:r w:rsidRPr="007373D1">
        <w:tab/>
        <w:t>A registered entity that owns several properties may maintain them as separate business operations.</w:t>
      </w:r>
    </w:p>
    <w:p w14:paraId="1A591606" w14:textId="77777777" w:rsidR="0010015D" w:rsidRPr="007373D1" w:rsidRDefault="0010015D" w:rsidP="0010015D">
      <w:pPr>
        <w:pStyle w:val="nMain"/>
      </w:pPr>
      <w:r w:rsidRPr="007373D1">
        <w:tab/>
        <w:t>Several herds may be maintained on a single property, as long as they are managed as discrete groups—eg animals in each livestock class may be managed as a separate herd, mustered at different times.</w:t>
      </w:r>
    </w:p>
    <w:p w14:paraId="66AEA344" w14:textId="77777777" w:rsidR="0010015D" w:rsidRPr="007373D1" w:rsidRDefault="0010015D" w:rsidP="0010015D">
      <w:pPr>
        <w:pStyle w:val="nMain"/>
      </w:pPr>
      <w:r w:rsidRPr="007373D1">
        <w:t>Note:</w:t>
      </w:r>
      <w:r w:rsidRPr="007373D1">
        <w:tab/>
        <w:t xml:space="preserve">The effect of paragraph (c) is that a proponent may decide at the time of the section 22 application that herds that have been managed together during the emissions intensity reference period should be treated separately during the crediting period, for example to allow annual musters with different assessment days. This will be possible only if the proponent has the data relating to the emissions intensity reference period that allows the emissions intensity of each herd to be calculated. </w:t>
      </w:r>
    </w:p>
    <w:p w14:paraId="54BA65A8" w14:textId="77777777" w:rsidR="0010015D" w:rsidRPr="007373D1" w:rsidRDefault="0010015D" w:rsidP="0010015D">
      <w:pPr>
        <w:pStyle w:val="h5Section"/>
      </w:pPr>
      <w:bookmarkStart w:id="45" w:name="_Toc475720111"/>
      <w:bookmarkStart w:id="46" w:name="_Toc477276986"/>
      <w:bookmarkStart w:id="47" w:name="_Toc485211974"/>
      <w:r w:rsidRPr="007373D1">
        <w:t>11  Herd continuity requirement</w:t>
      </w:r>
      <w:bookmarkEnd w:id="45"/>
      <w:bookmarkEnd w:id="46"/>
      <w:bookmarkEnd w:id="47"/>
    </w:p>
    <w:p w14:paraId="0DDAC4D6" w14:textId="77777777" w:rsidR="0010015D" w:rsidRPr="007373D1" w:rsidRDefault="0010015D" w:rsidP="0010015D">
      <w:pPr>
        <w:pStyle w:val="tMain"/>
      </w:pPr>
      <w:r w:rsidRPr="007373D1">
        <w:tab/>
        <w:t>(1)</w:t>
      </w:r>
      <w:r w:rsidRPr="007373D1">
        <w:tab/>
        <w:t>A herd satisfies the herd continuity requirement for a period if it satisfies the following throughout the period:</w:t>
      </w:r>
    </w:p>
    <w:p w14:paraId="1CBE0150" w14:textId="77777777" w:rsidR="0010015D" w:rsidRPr="007373D1" w:rsidRDefault="0010015D" w:rsidP="0010015D">
      <w:pPr>
        <w:pStyle w:val="tPara"/>
      </w:pPr>
      <w:r w:rsidRPr="007373D1">
        <w:tab/>
        <w:t>(a)</w:t>
      </w:r>
      <w:r w:rsidRPr="007373D1">
        <w:tab/>
        <w:t>where the business operation consists of a registered entity or a group of registered entities—at any change in the entities, the livestock inventories of the entities are transferred in such a way that the same animals are on the livestock inventory of the business operation before and after the change;</w:t>
      </w:r>
    </w:p>
    <w:p w14:paraId="40451D0C" w14:textId="77777777" w:rsidR="0010015D" w:rsidRPr="007373D1" w:rsidRDefault="0010015D" w:rsidP="0010015D">
      <w:pPr>
        <w:pStyle w:val="tPara"/>
      </w:pPr>
      <w:r w:rsidRPr="007373D1">
        <w:tab/>
        <w:t>(b)</w:t>
      </w:r>
      <w:r w:rsidRPr="007373D1">
        <w:tab/>
        <w:t xml:space="preserve">at any change in the registered entity or entities that constitute its parent entity, the livestock inventories of the entities are transferred in such a way that the same </w:t>
      </w:r>
      <w:r w:rsidRPr="007373D1">
        <w:lastRenderedPageBreak/>
        <w:t>animals are on the livestock inventory of the business operation before and after the change;</w:t>
      </w:r>
    </w:p>
    <w:p w14:paraId="36783E09" w14:textId="77777777" w:rsidR="0010015D" w:rsidRPr="007373D1" w:rsidRDefault="0010015D" w:rsidP="0010015D">
      <w:pPr>
        <w:pStyle w:val="tPara"/>
      </w:pPr>
      <w:r w:rsidRPr="007373D1">
        <w:tab/>
        <w:t>(c)</w:t>
      </w:r>
      <w:r w:rsidRPr="007373D1">
        <w:tab/>
        <w:t>there is no break in the continuity of its livestock inventory, and, in particular, its livestock inventory continues to be maintained separately from other livestock inventories of its parent entity;</w:t>
      </w:r>
    </w:p>
    <w:p w14:paraId="3DF0AF98" w14:textId="77777777" w:rsidR="0010015D" w:rsidRPr="007373D1" w:rsidRDefault="0010015D" w:rsidP="0010015D">
      <w:pPr>
        <w:pStyle w:val="tPara"/>
      </w:pPr>
      <w:r w:rsidRPr="007373D1">
        <w:tab/>
        <w:t>(d)</w:t>
      </w:r>
      <w:r w:rsidRPr="007373D1">
        <w:tab/>
        <w:t>the information referred to in Schedule 1 is available for the herd.</w:t>
      </w:r>
    </w:p>
    <w:p w14:paraId="558D2944" w14:textId="77777777" w:rsidR="0010015D" w:rsidRPr="007373D1" w:rsidRDefault="0010015D" w:rsidP="0010015D">
      <w:pPr>
        <w:pStyle w:val="nMain"/>
      </w:pPr>
      <w:r w:rsidRPr="007373D1">
        <w:t>Example:</w:t>
      </w:r>
      <w:r w:rsidRPr="007373D1">
        <w:tab/>
        <w:t xml:space="preserve">There is a merger between two companies, one a backgrounding operation for a feedlot and the other a breeding property that supplies cattle for background fattening before feed-lotting.  If the herds are kept separate and under separate management after the merger, and there is no change to their inventories, there would be no break in continuity for the two business operations. </w:t>
      </w:r>
    </w:p>
    <w:p w14:paraId="237507BF" w14:textId="77777777" w:rsidR="0010015D" w:rsidRPr="007373D1" w:rsidRDefault="0010015D" w:rsidP="0010015D">
      <w:pPr>
        <w:pStyle w:val="tMain"/>
      </w:pPr>
      <w:r w:rsidRPr="007373D1">
        <w:tab/>
        <w:t>(2)</w:t>
      </w:r>
      <w:r w:rsidRPr="007373D1">
        <w:tab/>
        <w:t>A livestock inventory that is temporarily empty does not necessarily have a break in its continuity.</w:t>
      </w:r>
    </w:p>
    <w:p w14:paraId="5BB6EF65" w14:textId="77777777" w:rsidR="0010015D" w:rsidRPr="007373D1" w:rsidRDefault="0010015D" w:rsidP="0010015D">
      <w:pPr>
        <w:pStyle w:val="nMain"/>
      </w:pPr>
      <w:r w:rsidRPr="007373D1">
        <w:t>Example:</w:t>
      </w:r>
      <w:r w:rsidRPr="007373D1">
        <w:tab/>
        <w:t>The livestock inventory of a business operation is temporarily empty because the cattle are sold off due to drought, with the intention of restocking when the drought ends and continuing in the project, as indicated, for example, in the offsets reports.</w:t>
      </w:r>
    </w:p>
    <w:p w14:paraId="140ADAB3" w14:textId="77777777" w:rsidR="0010015D" w:rsidRPr="007373D1" w:rsidRDefault="0010015D" w:rsidP="0010015D">
      <w:pPr>
        <w:pStyle w:val="h5Section"/>
      </w:pPr>
      <w:bookmarkStart w:id="48" w:name="_Toc475720112"/>
      <w:bookmarkStart w:id="49" w:name="_Toc477276987"/>
      <w:bookmarkStart w:id="50" w:name="_Toc485211975"/>
      <w:r w:rsidRPr="007373D1">
        <w:t>12  Requirement relating to movements of cattle</w:t>
      </w:r>
      <w:bookmarkEnd w:id="48"/>
      <w:bookmarkEnd w:id="49"/>
      <w:bookmarkEnd w:id="50"/>
    </w:p>
    <w:p w14:paraId="7F74B2CE" w14:textId="77777777" w:rsidR="0010015D" w:rsidRPr="007373D1" w:rsidRDefault="0010015D" w:rsidP="0010015D">
      <w:pPr>
        <w:pStyle w:val="ntoHeading"/>
      </w:pPr>
      <w:r w:rsidRPr="007373D1">
        <w:t>Note:</w:t>
      </w:r>
      <w:r w:rsidRPr="007373D1">
        <w:tab/>
        <w:t>This section does not apply to cattle that enter the herd by birth or as feral animals or cleanskins, rather than by moving from another herd. (Animals that enter as feral animals or cleanskins are covered by subsection (9) of Schedule 1).</w:t>
      </w:r>
    </w:p>
    <w:p w14:paraId="3AFC885D" w14:textId="77777777" w:rsidR="0010015D" w:rsidRPr="007373D1" w:rsidRDefault="0010015D" w:rsidP="0010015D">
      <w:pPr>
        <w:pStyle w:val="tMain"/>
      </w:pPr>
      <w:r w:rsidRPr="007373D1">
        <w:tab/>
        <w:t>(1)</w:t>
      </w:r>
      <w:r w:rsidRPr="007373D1">
        <w:tab/>
        <w:t>A herd satisfies the movement of cattle requirement for a period if, throughout the period:</w:t>
      </w:r>
    </w:p>
    <w:p w14:paraId="0508379F" w14:textId="77777777" w:rsidR="0010015D" w:rsidRPr="007373D1" w:rsidRDefault="0010015D" w:rsidP="0010015D">
      <w:pPr>
        <w:pStyle w:val="tPara"/>
      </w:pPr>
      <w:r w:rsidRPr="007373D1">
        <w:tab/>
        <w:t>(a)</w:t>
      </w:r>
      <w:r w:rsidRPr="007373D1">
        <w:tab/>
        <w:t>any movement of cattle to or from the herd, other than a movement from or to a linked herd, is a purchase or sale at fair value; and</w:t>
      </w:r>
    </w:p>
    <w:p w14:paraId="274A8E74" w14:textId="77777777" w:rsidR="0010015D" w:rsidRPr="007373D1" w:rsidRDefault="0010015D" w:rsidP="0010015D">
      <w:pPr>
        <w:pStyle w:val="tPara"/>
      </w:pPr>
      <w:r w:rsidRPr="007373D1">
        <w:tab/>
        <w:t>(b)</w:t>
      </w:r>
      <w:r w:rsidRPr="007373D1">
        <w:tab/>
        <w:t>any movement of cattle between the herd and a linked herd:</w:t>
      </w:r>
    </w:p>
    <w:p w14:paraId="7247BAC0" w14:textId="77777777" w:rsidR="0010015D" w:rsidRPr="007373D1" w:rsidRDefault="0010015D" w:rsidP="0010015D">
      <w:pPr>
        <w:pStyle w:val="tSubpara"/>
      </w:pPr>
      <w:r w:rsidRPr="007373D1">
        <w:tab/>
        <w:t>(i)</w:t>
      </w:r>
      <w:r w:rsidRPr="007373D1">
        <w:tab/>
        <w:t>is for a genuine business purpose that accords with established industry practice; and</w:t>
      </w:r>
    </w:p>
    <w:p w14:paraId="44D443F2" w14:textId="77777777" w:rsidR="0010015D" w:rsidRPr="007373D1" w:rsidRDefault="0010015D" w:rsidP="0010015D">
      <w:pPr>
        <w:pStyle w:val="tSubpara"/>
      </w:pPr>
      <w:r w:rsidRPr="007373D1">
        <w:tab/>
        <w:t>(ii)</w:t>
      </w:r>
      <w:r w:rsidRPr="007373D1">
        <w:tab/>
        <w:t>is recorded as a transaction at fair value; and</w:t>
      </w:r>
    </w:p>
    <w:p w14:paraId="1E3F7FD8" w14:textId="77777777" w:rsidR="0010015D" w:rsidRPr="007373D1" w:rsidRDefault="0010015D" w:rsidP="0010015D">
      <w:pPr>
        <w:pStyle w:val="tSubpara"/>
      </w:pPr>
      <w:r w:rsidRPr="007373D1">
        <w:tab/>
        <w:t>(iii)</w:t>
      </w:r>
      <w:r w:rsidRPr="007373D1">
        <w:tab/>
        <w:t>results in a physical movement from one property to another within 6 months; and</w:t>
      </w:r>
    </w:p>
    <w:p w14:paraId="05184EA6" w14:textId="77777777" w:rsidR="0010015D" w:rsidRPr="007373D1" w:rsidRDefault="0010015D" w:rsidP="0010015D">
      <w:pPr>
        <w:pStyle w:val="nPara"/>
      </w:pPr>
      <w:r w:rsidRPr="007373D1">
        <w:t>Note:</w:t>
      </w:r>
      <w:r w:rsidRPr="007373D1">
        <w:tab/>
        <w:t>The project proponent will need to keep a record of the business purpose of such a movement—see paragraph 28A(c).</w:t>
      </w:r>
    </w:p>
    <w:p w14:paraId="108DED3B" w14:textId="77777777" w:rsidR="0010015D" w:rsidRPr="007373D1" w:rsidRDefault="0010015D" w:rsidP="0010015D">
      <w:pPr>
        <w:pStyle w:val="tPara"/>
      </w:pPr>
      <w:r w:rsidRPr="007373D1">
        <w:tab/>
        <w:t>(c)</w:t>
      </w:r>
      <w:r w:rsidRPr="007373D1">
        <w:tab/>
        <w:t>no movements to the herd take place from another herd of the project whose last assessment year has finished at the time of the movement; and</w:t>
      </w:r>
    </w:p>
    <w:p w14:paraId="2FD2A961" w14:textId="77777777" w:rsidR="0010015D" w:rsidRPr="007373D1" w:rsidRDefault="0010015D" w:rsidP="0010015D">
      <w:pPr>
        <w:pStyle w:val="tPara"/>
      </w:pPr>
      <w:r w:rsidRPr="007373D1">
        <w:tab/>
        <w:t>(d)</w:t>
      </w:r>
      <w:r w:rsidRPr="007373D1">
        <w:tab/>
        <w:t>no movements from the herd take place after the end of its last  assessment year to another herd of the project whose last assessment year has not finished at the time of the movement.</w:t>
      </w:r>
      <w:r w:rsidRPr="007373D1">
        <w:tab/>
      </w:r>
    </w:p>
    <w:p w14:paraId="3FB8C9E0" w14:textId="77777777" w:rsidR="0010015D" w:rsidRPr="007373D1" w:rsidRDefault="0010015D" w:rsidP="0010015D">
      <w:pPr>
        <w:pStyle w:val="nPara"/>
        <w:spacing w:before="120"/>
        <w:ind w:left="1985" w:hanging="851"/>
      </w:pPr>
      <w:r w:rsidRPr="007373D1">
        <w:t>Note:</w:t>
      </w:r>
      <w:r w:rsidRPr="007373D1">
        <w:tab/>
        <w:t xml:space="preserve">Additional record requirements apply to movements in the last year of the crediting period for the purposes of ensuring compliance with paragraphs (c) and (d)—see paragraph 28A(d). </w:t>
      </w:r>
    </w:p>
    <w:p w14:paraId="2F2575D6" w14:textId="77777777" w:rsidR="0010015D" w:rsidRPr="007373D1" w:rsidRDefault="0010015D" w:rsidP="0010015D">
      <w:pPr>
        <w:pStyle w:val="tMain"/>
      </w:pPr>
      <w:r w:rsidRPr="007373D1">
        <w:tab/>
        <w:t>(2)</w:t>
      </w:r>
      <w:r w:rsidRPr="007373D1">
        <w:tab/>
        <w:t>For this section, ignore any movement that involves only cattle leaving the herd for the purpose of being exported live, or being slaughtered, as soon as practicable.</w:t>
      </w:r>
    </w:p>
    <w:p w14:paraId="4B2655F4" w14:textId="77777777" w:rsidR="0010015D" w:rsidRPr="007373D1" w:rsidRDefault="0010015D" w:rsidP="0010015D">
      <w:pPr>
        <w:pStyle w:val="h5Section"/>
      </w:pPr>
      <w:bookmarkStart w:id="51" w:name="_Toc475720113"/>
      <w:bookmarkStart w:id="52" w:name="_Toc477276988"/>
      <w:bookmarkStart w:id="53" w:name="_Toc485211976"/>
      <w:r w:rsidRPr="007373D1">
        <w:t>13  Requirement relating to co-grazing</w:t>
      </w:r>
      <w:bookmarkEnd w:id="51"/>
      <w:bookmarkEnd w:id="52"/>
      <w:bookmarkEnd w:id="53"/>
    </w:p>
    <w:p w14:paraId="18BC48DC" w14:textId="77777777" w:rsidR="0010015D" w:rsidRPr="007373D1" w:rsidRDefault="0010015D" w:rsidP="0010015D">
      <w:pPr>
        <w:pStyle w:val="tMain"/>
      </w:pPr>
      <w:r w:rsidRPr="007373D1">
        <w:tab/>
      </w:r>
      <w:r w:rsidRPr="007373D1">
        <w:tab/>
        <w:t>A herd satisfies the co-grazing requirement for a period if cattle are not grazed with other cattle at any time during the period except in circumstances where all the following apply:</w:t>
      </w:r>
    </w:p>
    <w:p w14:paraId="0A43E3E3" w14:textId="77777777" w:rsidR="0010015D" w:rsidRPr="007373D1" w:rsidRDefault="0010015D" w:rsidP="0010015D">
      <w:pPr>
        <w:pStyle w:val="tPara"/>
      </w:pPr>
      <w:r w:rsidRPr="007373D1">
        <w:tab/>
        <w:t>(a)</w:t>
      </w:r>
      <w:r w:rsidRPr="007373D1">
        <w:tab/>
        <w:t>either:</w:t>
      </w:r>
    </w:p>
    <w:p w14:paraId="698A2546" w14:textId="77777777" w:rsidR="0010015D" w:rsidRPr="007373D1" w:rsidRDefault="0010015D" w:rsidP="0010015D">
      <w:pPr>
        <w:pStyle w:val="tSubpara"/>
      </w:pPr>
      <w:r w:rsidRPr="007373D1">
        <w:lastRenderedPageBreak/>
        <w:tab/>
        <w:t>(i)</w:t>
      </w:r>
      <w:r w:rsidRPr="007373D1">
        <w:tab/>
        <w:t>the other cattle are part of a herd of an eligible herd management project (and are therefore accounted for separately); or</w:t>
      </w:r>
    </w:p>
    <w:p w14:paraId="73C4D5E7" w14:textId="77777777" w:rsidR="0010015D" w:rsidRPr="007373D1" w:rsidRDefault="0010015D" w:rsidP="0010015D">
      <w:pPr>
        <w:pStyle w:val="tSubpara"/>
      </w:pPr>
      <w:r w:rsidRPr="007373D1">
        <w:tab/>
        <w:t>(ii)</w:t>
      </w:r>
      <w:r w:rsidRPr="007373D1">
        <w:tab/>
        <w:t>the cattle of the herd are under an arm’s length agistment arrangement; or</w:t>
      </w:r>
    </w:p>
    <w:p w14:paraId="614EF933" w14:textId="77777777" w:rsidR="0010015D" w:rsidRPr="007373D1" w:rsidRDefault="0010015D" w:rsidP="0010015D">
      <w:pPr>
        <w:pStyle w:val="tSubpara"/>
      </w:pPr>
      <w:r w:rsidRPr="007373D1">
        <w:tab/>
        <w:t>(iii)</w:t>
      </w:r>
      <w:r w:rsidRPr="007373D1">
        <w:tab/>
        <w:t>the other cattle are under an arm’s length agistment arrangement;</w:t>
      </w:r>
    </w:p>
    <w:p w14:paraId="2DBB0427" w14:textId="77777777" w:rsidR="0010015D" w:rsidRPr="007373D1" w:rsidRDefault="0010015D" w:rsidP="0010015D">
      <w:pPr>
        <w:pStyle w:val="tPara"/>
      </w:pPr>
      <w:r w:rsidRPr="007373D1">
        <w:tab/>
        <w:t>(b)</w:t>
      </w:r>
      <w:r w:rsidRPr="007373D1">
        <w:tab/>
        <w:t>each animal of the herd is identifiable as a member of the herd (eg through tagging);</w:t>
      </w:r>
    </w:p>
    <w:p w14:paraId="7A9B11D9" w14:textId="77777777" w:rsidR="0010015D" w:rsidRPr="007373D1" w:rsidRDefault="0010015D" w:rsidP="0010015D">
      <w:pPr>
        <w:pStyle w:val="tPara"/>
      </w:pPr>
      <w:r w:rsidRPr="007373D1">
        <w:tab/>
        <w:t>(c)</w:t>
      </w:r>
      <w:r w:rsidRPr="007373D1">
        <w:tab/>
        <w:t>the average liveweight of each input group of the herd will be available for each date in relation to which an input to Calculator will be required under Schedule 1.</w:t>
      </w:r>
    </w:p>
    <w:p w14:paraId="2A08AF30" w14:textId="77777777" w:rsidR="0010015D" w:rsidRPr="007373D1" w:rsidRDefault="0010015D" w:rsidP="0010015D">
      <w:pPr>
        <w:pStyle w:val="h5Section"/>
      </w:pPr>
      <w:bookmarkStart w:id="54" w:name="_Toc475720114"/>
      <w:bookmarkStart w:id="55" w:name="_Toc477276989"/>
      <w:bookmarkStart w:id="56" w:name="_Toc485211977"/>
      <w:r w:rsidRPr="007373D1">
        <w:t>14  Requirements relating to the management of herds</w:t>
      </w:r>
      <w:bookmarkEnd w:id="54"/>
      <w:bookmarkEnd w:id="55"/>
      <w:bookmarkEnd w:id="56"/>
    </w:p>
    <w:p w14:paraId="2A3599EF" w14:textId="77777777" w:rsidR="0010015D" w:rsidRPr="007373D1" w:rsidRDefault="0010015D" w:rsidP="0010015D">
      <w:pPr>
        <w:pStyle w:val="tMain"/>
      </w:pPr>
      <w:r w:rsidRPr="007373D1">
        <w:tab/>
      </w:r>
      <w:r w:rsidRPr="007373D1">
        <w:tab/>
        <w:t>A herd satisfies the herd management requirement for a period if, throughout the period:</w:t>
      </w:r>
    </w:p>
    <w:p w14:paraId="655F22F7" w14:textId="77777777" w:rsidR="0010015D" w:rsidRPr="007373D1" w:rsidRDefault="0010015D" w:rsidP="0010015D">
      <w:pPr>
        <w:pStyle w:val="tPara"/>
      </w:pPr>
      <w:r w:rsidRPr="007373D1">
        <w:tab/>
        <w:t>(a)</w:t>
      </w:r>
      <w:r w:rsidRPr="007373D1">
        <w:tab/>
        <w:t>the cattle of the herd are grazed in Australia; and</w:t>
      </w:r>
    </w:p>
    <w:p w14:paraId="0DCD3FF7" w14:textId="77777777" w:rsidR="0010015D" w:rsidRPr="007373D1" w:rsidRDefault="0010015D" w:rsidP="0010015D">
      <w:pPr>
        <w:pStyle w:val="tPara"/>
      </w:pPr>
      <w:r w:rsidRPr="007373D1">
        <w:tab/>
        <w:t>(b)</w:t>
      </w:r>
      <w:r w:rsidRPr="007373D1">
        <w:tab/>
        <w:t>the feed of the cattle comes principally from grazing or forage; and</w:t>
      </w:r>
    </w:p>
    <w:p w14:paraId="161B9F3B" w14:textId="77777777" w:rsidR="0010015D" w:rsidRPr="007373D1" w:rsidRDefault="0010015D" w:rsidP="0010015D">
      <w:pPr>
        <w:pStyle w:val="tPara"/>
      </w:pPr>
      <w:r w:rsidRPr="007373D1">
        <w:tab/>
        <w:t>(c)</w:t>
      </w:r>
      <w:r w:rsidRPr="007373D1">
        <w:tab/>
        <w:t>the cattle of the herd are managed in a way consistent with:</w:t>
      </w:r>
    </w:p>
    <w:p w14:paraId="3CB84C43" w14:textId="77777777" w:rsidR="0010015D" w:rsidRPr="007373D1" w:rsidRDefault="0010015D" w:rsidP="0010015D">
      <w:pPr>
        <w:pStyle w:val="tSubpara"/>
      </w:pPr>
      <w:r w:rsidRPr="007373D1">
        <w:tab/>
        <w:t>(i)</w:t>
      </w:r>
      <w:r w:rsidRPr="007373D1">
        <w:tab/>
        <w:t>ANZSIC class 0142 (beef cattle farming); or</w:t>
      </w:r>
    </w:p>
    <w:p w14:paraId="0552782A" w14:textId="77777777" w:rsidR="0010015D" w:rsidRPr="007373D1" w:rsidRDefault="0010015D" w:rsidP="0010015D">
      <w:pPr>
        <w:pStyle w:val="tSubpara"/>
      </w:pPr>
      <w:r w:rsidRPr="007373D1">
        <w:tab/>
        <w:t>(ii)</w:t>
      </w:r>
      <w:r w:rsidRPr="007373D1">
        <w:tab/>
        <w:t>ANZSIC class 0144 (sheep</w:t>
      </w:r>
      <w:r w:rsidRPr="007373D1">
        <w:noBreakHyphen/>
        <w:t xml:space="preserve">beef cattle farming); or </w:t>
      </w:r>
    </w:p>
    <w:p w14:paraId="47D8A438" w14:textId="77777777" w:rsidR="0010015D" w:rsidRPr="007373D1" w:rsidRDefault="0010015D" w:rsidP="0010015D">
      <w:pPr>
        <w:pStyle w:val="tSubpara"/>
      </w:pPr>
      <w:r w:rsidRPr="007373D1">
        <w:tab/>
        <w:t>(iii)</w:t>
      </w:r>
      <w:r w:rsidRPr="007373D1">
        <w:tab/>
        <w:t>ANZSIC class 0145 (grain</w:t>
      </w:r>
      <w:r w:rsidRPr="007373D1">
        <w:noBreakHyphen/>
        <w:t>sheep or grain</w:t>
      </w:r>
      <w:r w:rsidRPr="007373D1">
        <w:noBreakHyphen/>
        <w:t>beef cattle farming).</w:t>
      </w:r>
    </w:p>
    <w:p w14:paraId="5D20E4B0" w14:textId="77777777" w:rsidR="0010015D" w:rsidRPr="007373D1" w:rsidRDefault="0010015D" w:rsidP="0010015D">
      <w:pPr>
        <w:pStyle w:val="nMain"/>
      </w:pPr>
      <w:r w:rsidRPr="007373D1">
        <w:t>Note 1:</w:t>
      </w:r>
      <w:r w:rsidRPr="007373D1">
        <w:tab/>
        <w:t xml:space="preserve">Herds managed in a way consistent with ANZSIC class 0143 (beef cattle feedlots) do not meet the requirements of this Part. </w:t>
      </w:r>
    </w:p>
    <w:p w14:paraId="51F226CD" w14:textId="77777777" w:rsidR="0010015D" w:rsidRPr="007373D1" w:rsidRDefault="0010015D" w:rsidP="0010015D">
      <w:pPr>
        <w:pStyle w:val="nMain"/>
      </w:pPr>
      <w:r w:rsidRPr="007373D1">
        <w:t>Note 2:</w:t>
      </w:r>
      <w:r w:rsidRPr="007373D1">
        <w:tab/>
        <w:t>Members of a herd (that is, individual animals) might leave and join the herd over time.</w:t>
      </w:r>
    </w:p>
    <w:p w14:paraId="51C771C5" w14:textId="77777777" w:rsidR="0010015D" w:rsidRPr="007373D1" w:rsidRDefault="0010015D" w:rsidP="0010015D">
      <w:pPr>
        <w:pStyle w:val="h5Section"/>
      </w:pPr>
      <w:bookmarkStart w:id="57" w:name="_Toc475720115"/>
      <w:bookmarkStart w:id="58" w:name="_Toc477276990"/>
      <w:bookmarkStart w:id="59" w:name="_Toc485211978"/>
      <w:r w:rsidRPr="007373D1">
        <w:t>15  Animal identification requirement</w:t>
      </w:r>
      <w:bookmarkEnd w:id="57"/>
      <w:bookmarkEnd w:id="58"/>
      <w:bookmarkEnd w:id="59"/>
    </w:p>
    <w:p w14:paraId="6B647099" w14:textId="77777777" w:rsidR="0010015D" w:rsidRPr="007373D1" w:rsidRDefault="0010015D" w:rsidP="0010015D">
      <w:pPr>
        <w:pStyle w:val="tMain"/>
      </w:pPr>
      <w:r w:rsidRPr="007373D1">
        <w:tab/>
      </w:r>
      <w:r w:rsidRPr="007373D1">
        <w:tab/>
        <w:t>A herd satisfies the animal identification requirement for a period if, throughout the period, the project proponent is able to identify the members of each group of animals in the herd for which inputs are required by Schedule 1.</w:t>
      </w:r>
    </w:p>
    <w:p w14:paraId="07409C37" w14:textId="77777777" w:rsidR="0010015D" w:rsidRPr="007373D1" w:rsidRDefault="0010015D" w:rsidP="0010015D">
      <w:pPr>
        <w:pStyle w:val="h5Section"/>
      </w:pPr>
      <w:bookmarkStart w:id="60" w:name="_Toc475720116"/>
      <w:bookmarkStart w:id="61" w:name="_Toc477276991"/>
      <w:bookmarkStart w:id="62" w:name="_Toc485211979"/>
      <w:r w:rsidRPr="007373D1">
        <w:t>16  Baseline reference date and emissions intensity reference period</w:t>
      </w:r>
      <w:bookmarkEnd w:id="60"/>
      <w:bookmarkEnd w:id="61"/>
      <w:bookmarkEnd w:id="62"/>
    </w:p>
    <w:p w14:paraId="54B59C8E" w14:textId="77777777" w:rsidR="0010015D" w:rsidRPr="007373D1" w:rsidRDefault="0010015D" w:rsidP="0010015D">
      <w:pPr>
        <w:pStyle w:val="h6Subsec"/>
      </w:pPr>
      <w:r w:rsidRPr="007373D1">
        <w:t>The baseline reference date for a herd</w:t>
      </w:r>
    </w:p>
    <w:p w14:paraId="5643E4BA" w14:textId="77777777" w:rsidR="0010015D" w:rsidRPr="007373D1" w:rsidRDefault="0010015D" w:rsidP="0010015D">
      <w:pPr>
        <w:pStyle w:val="tMain"/>
      </w:pPr>
      <w:r w:rsidRPr="007373D1">
        <w:tab/>
        <w:t>(1)</w:t>
      </w:r>
      <w:r w:rsidRPr="007373D1">
        <w:tab/>
        <w:t xml:space="preserve">For the purposes of this section, the project proponent must set for each herd a date, within the period of 12 months before the date of the relevant application, to be the </w:t>
      </w:r>
      <w:r w:rsidRPr="007373D1">
        <w:rPr>
          <w:b/>
          <w:i/>
        </w:rPr>
        <w:t>baseline reference date</w:t>
      </w:r>
      <w:r w:rsidRPr="007373D1">
        <w:t xml:space="preserve"> for the herd.</w:t>
      </w:r>
    </w:p>
    <w:p w14:paraId="05AA980E" w14:textId="77777777" w:rsidR="0010015D" w:rsidRPr="007373D1" w:rsidRDefault="0010015D" w:rsidP="0010015D">
      <w:pPr>
        <w:pStyle w:val="nMain"/>
      </w:pPr>
      <w:r w:rsidRPr="007373D1">
        <w:t>Note:</w:t>
      </w:r>
      <w:r w:rsidRPr="007373D1">
        <w:tab/>
        <w:t>The baseline reference date should be set in accordance with the business-as-usual history of mustering and weighing of the herd so that the data required for this section is obtainable in accordance with section 27.  For most herds, it is likely to be the same day of the year as the assessment day.</w:t>
      </w:r>
    </w:p>
    <w:p w14:paraId="7C97F473" w14:textId="77777777" w:rsidR="0010015D" w:rsidRPr="007373D1" w:rsidRDefault="0010015D" w:rsidP="0010015D">
      <w:pPr>
        <w:pStyle w:val="h6Subsec"/>
      </w:pPr>
      <w:r w:rsidRPr="007373D1">
        <w:t>Full data herd</w:t>
      </w:r>
    </w:p>
    <w:p w14:paraId="6C89D5C9" w14:textId="77777777" w:rsidR="0010015D" w:rsidRPr="007373D1" w:rsidRDefault="0010015D" w:rsidP="0010015D">
      <w:pPr>
        <w:pStyle w:val="tMain"/>
      </w:pPr>
      <w:r w:rsidRPr="007373D1">
        <w:tab/>
        <w:t>(2)</w:t>
      </w:r>
      <w:r w:rsidRPr="007373D1">
        <w:tab/>
      </w:r>
      <w:r w:rsidRPr="007373D1">
        <w:tab/>
        <w:t xml:space="preserve">A herd is a </w:t>
      </w:r>
      <w:r w:rsidRPr="007373D1">
        <w:rPr>
          <w:b/>
          <w:i/>
        </w:rPr>
        <w:t>full data herd</w:t>
      </w:r>
      <w:r w:rsidRPr="007373D1">
        <w:t xml:space="preserve"> if, the herd has a period of a whole number of years:</w:t>
      </w:r>
    </w:p>
    <w:p w14:paraId="7EDB8384" w14:textId="77777777" w:rsidR="0010015D" w:rsidRPr="007373D1" w:rsidRDefault="0010015D" w:rsidP="0010015D">
      <w:pPr>
        <w:pStyle w:val="tPara"/>
      </w:pPr>
      <w:r w:rsidRPr="007373D1">
        <w:tab/>
        <w:t>(a)</w:t>
      </w:r>
      <w:r w:rsidRPr="007373D1">
        <w:tab/>
        <w:t>that ended on the baseline reference date for the herd; and</w:t>
      </w:r>
    </w:p>
    <w:p w14:paraId="465156C3" w14:textId="77777777" w:rsidR="0010015D" w:rsidRPr="007373D1" w:rsidRDefault="0010015D" w:rsidP="0010015D">
      <w:pPr>
        <w:pStyle w:val="tPara"/>
      </w:pPr>
      <w:r w:rsidRPr="007373D1">
        <w:tab/>
        <w:t>(b)</w:t>
      </w:r>
      <w:r w:rsidRPr="007373D1">
        <w:tab/>
        <w:t>consisted of no more than 7 years; and</w:t>
      </w:r>
    </w:p>
    <w:p w14:paraId="397A61C3" w14:textId="77777777" w:rsidR="0010015D" w:rsidRPr="007373D1" w:rsidRDefault="0010015D" w:rsidP="0010015D">
      <w:pPr>
        <w:pStyle w:val="tPara"/>
      </w:pPr>
      <w:r w:rsidRPr="007373D1">
        <w:tab/>
        <w:t>(c)</w:t>
      </w:r>
      <w:r w:rsidRPr="007373D1">
        <w:tab/>
        <w:t>for each year of which the project proponent has the data necessary to calculate the liveweight gain of the herd in accordance with section 26; and</w:t>
      </w:r>
    </w:p>
    <w:p w14:paraId="27055766" w14:textId="77777777" w:rsidR="0010015D" w:rsidRPr="007373D1" w:rsidRDefault="0010015D" w:rsidP="0010015D">
      <w:pPr>
        <w:pStyle w:val="tPara"/>
      </w:pPr>
      <w:r w:rsidRPr="007373D1">
        <w:tab/>
        <w:t>(d)</w:t>
      </w:r>
      <w:r w:rsidRPr="007373D1">
        <w:tab/>
        <w:t>that included the 3 most recent years</w:t>
      </w:r>
      <w:r>
        <w:t xml:space="preserve"> preceding the baseline reference date</w:t>
      </w:r>
      <w:r w:rsidRPr="007373D1">
        <w:t>, and no other years, for which the liveweight gain of the herd was greater than zero.</w:t>
      </w:r>
    </w:p>
    <w:p w14:paraId="12F6AA91" w14:textId="77777777" w:rsidR="0010015D" w:rsidRPr="007373D1" w:rsidRDefault="0010015D" w:rsidP="0010015D">
      <w:pPr>
        <w:pStyle w:val="nMain"/>
      </w:pPr>
      <w:r w:rsidRPr="007373D1">
        <w:lastRenderedPageBreak/>
        <w:t>Note:</w:t>
      </w:r>
      <w:r w:rsidRPr="007373D1">
        <w:tab/>
        <w:t>If there was liveweight gain in each of the 3 years leading up to the baseline reference date, this will constitute the period for this subsection. However, for each year in which there was no liveweight gain, the period can be extended back to include a year in which there was liveweight gain, up to a maximum of 7 years.</w:t>
      </w:r>
    </w:p>
    <w:p w14:paraId="1BFA2D3B" w14:textId="77777777" w:rsidR="0010015D" w:rsidRPr="007373D1" w:rsidRDefault="0010015D" w:rsidP="0010015D">
      <w:pPr>
        <w:pStyle w:val="h6Subsec"/>
      </w:pPr>
      <w:r w:rsidRPr="007373D1">
        <w:t>Limited data herd</w:t>
      </w:r>
    </w:p>
    <w:p w14:paraId="67A5FEE2" w14:textId="77777777" w:rsidR="0010015D" w:rsidRPr="007373D1" w:rsidRDefault="0010015D" w:rsidP="0010015D">
      <w:pPr>
        <w:pStyle w:val="tMain"/>
      </w:pPr>
      <w:r w:rsidRPr="007373D1">
        <w:tab/>
        <w:t>(3)</w:t>
      </w:r>
      <w:r w:rsidRPr="007373D1">
        <w:tab/>
        <w:t xml:space="preserve">A herd is a </w:t>
      </w:r>
      <w:r w:rsidRPr="007373D1">
        <w:rPr>
          <w:b/>
          <w:i/>
        </w:rPr>
        <w:t>limited data herd</w:t>
      </w:r>
      <w:r w:rsidRPr="007373D1">
        <w:t xml:space="preserve"> if:</w:t>
      </w:r>
    </w:p>
    <w:p w14:paraId="663004C2" w14:textId="77777777" w:rsidR="0010015D" w:rsidRPr="007373D1" w:rsidRDefault="0010015D" w:rsidP="0010015D">
      <w:pPr>
        <w:pStyle w:val="tPara"/>
      </w:pPr>
      <w:r w:rsidRPr="007373D1">
        <w:tab/>
        <w:t>(a)</w:t>
      </w:r>
      <w:r w:rsidRPr="007373D1">
        <w:tab/>
        <w:t xml:space="preserve">it is not a full data herd; and </w:t>
      </w:r>
    </w:p>
    <w:p w14:paraId="5B336C74" w14:textId="77777777" w:rsidR="0010015D" w:rsidRPr="007373D1" w:rsidRDefault="0010015D" w:rsidP="0010015D">
      <w:pPr>
        <w:pStyle w:val="tPara"/>
      </w:pPr>
      <w:r w:rsidRPr="007373D1">
        <w:tab/>
        <w:t>(b)</w:t>
      </w:r>
      <w:r w:rsidRPr="007373D1">
        <w:tab/>
        <w:t>it has a period of a whole number of years:</w:t>
      </w:r>
    </w:p>
    <w:p w14:paraId="5ED48025" w14:textId="77777777" w:rsidR="0010015D" w:rsidRPr="007373D1" w:rsidRDefault="0010015D" w:rsidP="0010015D">
      <w:pPr>
        <w:pStyle w:val="tSubpara"/>
      </w:pPr>
      <w:r w:rsidRPr="007373D1">
        <w:tab/>
        <w:t>(i)</w:t>
      </w:r>
      <w:r w:rsidRPr="007373D1">
        <w:tab/>
        <w:t>that ended on the baseline reference date for the herd; and</w:t>
      </w:r>
    </w:p>
    <w:p w14:paraId="1944FBC3" w14:textId="77777777" w:rsidR="0010015D" w:rsidRPr="007373D1" w:rsidRDefault="0010015D" w:rsidP="0010015D">
      <w:pPr>
        <w:pStyle w:val="tSubpara"/>
      </w:pPr>
      <w:r w:rsidRPr="007373D1">
        <w:tab/>
        <w:t>(ii)</w:t>
      </w:r>
      <w:r w:rsidRPr="007373D1">
        <w:tab/>
        <w:t>consisted of no more than 7 years; and</w:t>
      </w:r>
    </w:p>
    <w:p w14:paraId="067B2609" w14:textId="77777777" w:rsidR="0010015D" w:rsidRPr="007373D1" w:rsidRDefault="0010015D" w:rsidP="0010015D">
      <w:pPr>
        <w:pStyle w:val="tSubpara"/>
      </w:pPr>
      <w:r w:rsidRPr="007373D1">
        <w:tab/>
        <w:t>(iii)</w:t>
      </w:r>
      <w:r w:rsidRPr="007373D1">
        <w:tab/>
        <w:t>for each year of which the project proponent has the data necessary to calculate the liveweight gain of the herd in accordance with section 26; and</w:t>
      </w:r>
    </w:p>
    <w:p w14:paraId="3D6ED19B" w14:textId="77777777" w:rsidR="0010015D" w:rsidRPr="007373D1" w:rsidRDefault="0010015D" w:rsidP="0010015D">
      <w:pPr>
        <w:pStyle w:val="tSubpara"/>
      </w:pPr>
      <w:r w:rsidRPr="007373D1">
        <w:tab/>
        <w:t>(iv)</w:t>
      </w:r>
      <w:r w:rsidRPr="007373D1">
        <w:tab/>
        <w:t>that included the 2 most recent years</w:t>
      </w:r>
      <w:r>
        <w:t xml:space="preserve"> preceding the baseline reference date</w:t>
      </w:r>
      <w:r w:rsidRPr="007373D1">
        <w:t>, and no other years, for which the liveweight gain of the herd was greater than zero.</w:t>
      </w:r>
    </w:p>
    <w:p w14:paraId="5F6BF2D6" w14:textId="77777777" w:rsidR="0010015D" w:rsidRPr="007373D1" w:rsidRDefault="0010015D" w:rsidP="0010015D">
      <w:pPr>
        <w:pStyle w:val="nMain"/>
      </w:pPr>
      <w:r w:rsidRPr="007373D1">
        <w:t>Note:</w:t>
      </w:r>
      <w:r w:rsidRPr="007373D1">
        <w:tab/>
        <w:t>If there was liveweight gain in each of the 2 years leading up to the baseline reference date, this will constitute the period for this subsection. However, for each year in which there was no liveweight gain, the period can be extended back to include a year in which there was liveweight gain, up to a maximum of 7 years.</w:t>
      </w:r>
    </w:p>
    <w:p w14:paraId="4B4FD92D" w14:textId="77777777" w:rsidR="0010015D" w:rsidRPr="007373D1" w:rsidRDefault="0010015D" w:rsidP="0010015D">
      <w:pPr>
        <w:pStyle w:val="nMain"/>
      </w:pPr>
      <w:r w:rsidRPr="007373D1">
        <w:tab/>
        <w:t>The effect of paragraph (a) is that a herd that had 3 years of liveweight gain within the 7 years before the baseline reference date must enter that project as a full data herd.</w:t>
      </w:r>
    </w:p>
    <w:p w14:paraId="514B8098" w14:textId="77777777" w:rsidR="0010015D" w:rsidRPr="007373D1" w:rsidRDefault="0010015D" w:rsidP="0010015D">
      <w:pPr>
        <w:pStyle w:val="h6Subsec"/>
      </w:pPr>
      <w:r w:rsidRPr="007373D1">
        <w:t>Emissions intensity reference period</w:t>
      </w:r>
    </w:p>
    <w:p w14:paraId="58911A9D" w14:textId="77777777" w:rsidR="0010015D" w:rsidRPr="007373D1" w:rsidRDefault="0010015D" w:rsidP="0010015D">
      <w:pPr>
        <w:pStyle w:val="tMain"/>
      </w:pPr>
      <w:r w:rsidRPr="007373D1">
        <w:tab/>
        <w:t>(4)</w:t>
      </w:r>
      <w:r w:rsidRPr="007373D1">
        <w:tab/>
        <w:t xml:space="preserve">For this determination, the </w:t>
      </w:r>
      <w:r w:rsidRPr="007373D1">
        <w:rPr>
          <w:b/>
          <w:i/>
        </w:rPr>
        <w:t>emissions intensity reference period</w:t>
      </w:r>
      <w:r w:rsidRPr="007373D1">
        <w:t xml:space="preserve"> for a herd is:</w:t>
      </w:r>
    </w:p>
    <w:p w14:paraId="51B6D93E" w14:textId="77777777" w:rsidR="0010015D" w:rsidRPr="007373D1" w:rsidRDefault="0010015D" w:rsidP="0010015D">
      <w:pPr>
        <w:pStyle w:val="tPara"/>
      </w:pPr>
      <w:r w:rsidRPr="007373D1">
        <w:tab/>
        <w:t>(a)</w:t>
      </w:r>
      <w:r w:rsidRPr="007373D1">
        <w:tab/>
        <w:t>for a full data herd—the 3 years mentioned in paragraph (2)(d); and</w:t>
      </w:r>
    </w:p>
    <w:p w14:paraId="6EB9020D" w14:textId="77777777" w:rsidR="0010015D" w:rsidRPr="007373D1" w:rsidRDefault="0010015D" w:rsidP="0010015D">
      <w:pPr>
        <w:pStyle w:val="tPara"/>
      </w:pPr>
      <w:r w:rsidRPr="007373D1">
        <w:tab/>
        <w:t>(b)</w:t>
      </w:r>
      <w:r w:rsidRPr="007373D1">
        <w:tab/>
        <w:t>for a limited data herd—the 2 years mentioned in subparagraph (3)(b)(iv).</w:t>
      </w:r>
    </w:p>
    <w:p w14:paraId="4A90A774" w14:textId="77777777" w:rsidR="0010015D" w:rsidRPr="007373D1" w:rsidRDefault="0010015D" w:rsidP="0010015D">
      <w:pPr>
        <w:pStyle w:val="nMain"/>
      </w:pPr>
      <w:r w:rsidRPr="007373D1">
        <w:t>Note:</w:t>
      </w:r>
      <w:r w:rsidRPr="007373D1">
        <w:tab/>
        <w:t>The years in the emissions intensity reference period need not be consecutive.</w:t>
      </w:r>
    </w:p>
    <w:p w14:paraId="2A74FB5D" w14:textId="77777777" w:rsidR="0010015D" w:rsidRPr="007373D1" w:rsidRDefault="0010015D" w:rsidP="0010015D">
      <w:pPr>
        <w:pStyle w:val="nMain"/>
      </w:pPr>
      <w:r w:rsidRPr="007373D1">
        <w:tab/>
        <w:t>Each herd in the project will have its own emissions intensity reference period. Each such period might consist of a different set of years.</w:t>
      </w:r>
    </w:p>
    <w:p w14:paraId="64DBD9AD" w14:textId="77777777" w:rsidR="0010015D" w:rsidRPr="007373D1" w:rsidRDefault="0010015D" w:rsidP="0010015D">
      <w:pPr>
        <w:pStyle w:val="h6Subsec"/>
      </w:pPr>
      <w:r w:rsidRPr="007373D1">
        <w:t>Definitions</w:t>
      </w:r>
    </w:p>
    <w:p w14:paraId="613AB935" w14:textId="77777777" w:rsidR="0010015D" w:rsidRPr="007373D1" w:rsidRDefault="0010015D" w:rsidP="0010015D">
      <w:pPr>
        <w:pStyle w:val="tMain"/>
      </w:pPr>
      <w:r w:rsidRPr="007373D1">
        <w:tab/>
        <w:t>(5)</w:t>
      </w:r>
      <w:r w:rsidRPr="007373D1">
        <w:tab/>
        <w:t>For this section:</w:t>
      </w:r>
    </w:p>
    <w:p w14:paraId="24E00DA8" w14:textId="77777777" w:rsidR="0010015D" w:rsidRPr="007373D1" w:rsidRDefault="0010015D" w:rsidP="0010015D">
      <w:pPr>
        <w:pStyle w:val="tDefn"/>
      </w:pPr>
      <w:r w:rsidRPr="007373D1">
        <w:rPr>
          <w:b/>
          <w:i/>
        </w:rPr>
        <w:t>liveweight gain</w:t>
      </w:r>
      <w:r w:rsidRPr="007373D1">
        <w:t xml:space="preserve"> for the herd for the year means the liveweight gain calculated using Equation 5 (section 21C).</w:t>
      </w:r>
    </w:p>
    <w:p w14:paraId="4278B2FC" w14:textId="77777777" w:rsidR="00810E64" w:rsidRPr="00B138C4" w:rsidRDefault="0010015D" w:rsidP="00F73FCF">
      <w:pPr>
        <w:pStyle w:val="h5Section"/>
      </w:pPr>
      <w:bookmarkStart w:id="63" w:name="_Toc485211980"/>
      <w:r>
        <w:t>17</w:t>
      </w:r>
      <w:r w:rsidR="00F73FCF" w:rsidRPr="00B138C4">
        <w:t xml:space="preserve">  </w:t>
      </w:r>
      <w:r w:rsidR="00810E64" w:rsidRPr="00B138C4">
        <w:t>Project activity</w:t>
      </w:r>
      <w:bookmarkEnd w:id="37"/>
      <w:bookmarkEnd w:id="38"/>
      <w:bookmarkEnd w:id="63"/>
    </w:p>
    <w:p w14:paraId="2B7735EE" w14:textId="77777777" w:rsidR="0060662C" w:rsidRPr="00B138C4" w:rsidRDefault="0060662C" w:rsidP="0060662C">
      <w:pPr>
        <w:pStyle w:val="h6Subsec"/>
      </w:pPr>
      <w:r w:rsidRPr="00B138C4">
        <w:t xml:space="preserve">Requirement to </w:t>
      </w:r>
      <w:r w:rsidR="00AA3B69" w:rsidRPr="00B138C4">
        <w:t>implement</w:t>
      </w:r>
      <w:r w:rsidRPr="00B138C4">
        <w:t xml:space="preserve"> project activity</w:t>
      </w:r>
    </w:p>
    <w:p w14:paraId="175CB0C6" w14:textId="77777777" w:rsidR="00481796" w:rsidRPr="00B138C4" w:rsidRDefault="00481796" w:rsidP="00481796">
      <w:pPr>
        <w:pStyle w:val="tMain"/>
      </w:pPr>
      <w:r w:rsidRPr="00B138C4">
        <w:tab/>
      </w:r>
      <w:r w:rsidR="0010015D">
        <w:t>(1)</w:t>
      </w:r>
      <w:r w:rsidRPr="00B138C4">
        <w:tab/>
        <w:t>For each year in the crediting period</w:t>
      </w:r>
      <w:r w:rsidR="00E33904" w:rsidRPr="00B138C4">
        <w:t xml:space="preserve"> and for each herd in the project</w:t>
      </w:r>
      <w:r w:rsidRPr="00B138C4">
        <w:t xml:space="preserve">, the project proponent must </w:t>
      </w:r>
      <w:r w:rsidR="00FF3583" w:rsidRPr="00B138C4">
        <w:t>implement</w:t>
      </w:r>
      <w:r w:rsidRPr="00B138C4">
        <w:t xml:space="preserve"> at least </w:t>
      </w:r>
      <w:r w:rsidR="009D7BCF">
        <w:t>one</w:t>
      </w:r>
      <w:r w:rsidRPr="00B138C4">
        <w:t xml:space="preserve"> </w:t>
      </w:r>
      <w:r w:rsidR="000A4CB9" w:rsidRPr="00B138C4">
        <w:t xml:space="preserve">agricultural practice that </w:t>
      </w:r>
      <w:r w:rsidR="00780655" w:rsidRPr="00B138C4">
        <w:t xml:space="preserve">complies with </w:t>
      </w:r>
      <w:r w:rsidR="004E28D3" w:rsidRPr="00B138C4">
        <w:t>subsection </w:t>
      </w:r>
      <w:r w:rsidR="001C572E">
        <w:t>(2)</w:t>
      </w:r>
      <w:r w:rsidR="004E28D3" w:rsidRPr="00B138C4">
        <w:t xml:space="preserve"> </w:t>
      </w:r>
      <w:r w:rsidR="00FF3583" w:rsidRPr="00B138C4">
        <w:t>(</w:t>
      </w:r>
      <w:r w:rsidR="00780655" w:rsidRPr="00B138C4">
        <w:t xml:space="preserve">a </w:t>
      </w:r>
      <w:r w:rsidRPr="00B138C4">
        <w:rPr>
          <w:b/>
          <w:i/>
        </w:rPr>
        <w:t>project activity</w:t>
      </w:r>
      <w:r w:rsidR="00FF3583" w:rsidRPr="00B138C4">
        <w:t>)</w:t>
      </w:r>
      <w:r w:rsidRPr="00B138C4">
        <w:t>.</w:t>
      </w:r>
    </w:p>
    <w:p w14:paraId="59F65014" w14:textId="77777777" w:rsidR="007B69A4" w:rsidRDefault="00DE00C0" w:rsidP="00DE00C0">
      <w:pPr>
        <w:pStyle w:val="nMain"/>
      </w:pPr>
      <w:r w:rsidRPr="00B138C4">
        <w:t>Note:</w:t>
      </w:r>
      <w:r w:rsidRPr="00B138C4">
        <w:tab/>
        <w:t xml:space="preserve">If there is more than </w:t>
      </w:r>
      <w:r w:rsidR="009D7BCF">
        <w:t>one</w:t>
      </w:r>
      <w:r w:rsidRPr="00B138C4">
        <w:t xml:space="preserve"> herd in the project, different project activities could be implemented in relation to each</w:t>
      </w:r>
      <w:r w:rsidR="000E1167" w:rsidRPr="00B138C4">
        <w:t xml:space="preserve"> </w:t>
      </w:r>
      <w:r w:rsidRPr="00B138C4">
        <w:t xml:space="preserve">herd. </w:t>
      </w:r>
    </w:p>
    <w:p w14:paraId="596AF94A" w14:textId="77777777" w:rsidR="0010212B" w:rsidRPr="004C4D6D" w:rsidRDefault="007B69A4">
      <w:pPr>
        <w:pStyle w:val="nMain"/>
        <w:ind w:firstLine="0"/>
      </w:pPr>
      <w:r w:rsidRPr="004C4D6D">
        <w:t>The project activities for a year must be reported in the offsets report. They can change from year to year</w:t>
      </w:r>
      <w:r w:rsidR="004E7112" w:rsidRPr="004C4D6D">
        <w:t xml:space="preserve"> but must comply with subsection</w:t>
      </w:r>
      <w:r w:rsidR="0035453B" w:rsidRPr="004C4D6D">
        <w:t xml:space="preserve"> </w:t>
      </w:r>
      <w:r w:rsidR="004E7112" w:rsidRPr="004C4D6D">
        <w:t>(2).</w:t>
      </w:r>
    </w:p>
    <w:p w14:paraId="77EA668B" w14:textId="77777777" w:rsidR="003C2A3F" w:rsidRPr="00B9162C" w:rsidRDefault="003C2A3F" w:rsidP="003C2A3F">
      <w:pPr>
        <w:pStyle w:val="tMain"/>
      </w:pPr>
      <w:r w:rsidRPr="00B138C4">
        <w:tab/>
      </w:r>
      <w:r w:rsidR="0010015D">
        <w:t>(2)</w:t>
      </w:r>
      <w:r w:rsidRPr="00B138C4">
        <w:tab/>
      </w:r>
      <w:r w:rsidR="004E28D3" w:rsidRPr="00B138C4">
        <w:t xml:space="preserve">An agricultural </w:t>
      </w:r>
      <w:r w:rsidRPr="00B138C4">
        <w:t>practice must</w:t>
      </w:r>
      <w:r w:rsidR="00EB3473" w:rsidRPr="00B138C4">
        <w:t xml:space="preserve"> be one </w:t>
      </w:r>
      <w:r w:rsidR="00EB3473" w:rsidRPr="00B9162C">
        <w:t>that:</w:t>
      </w:r>
    </w:p>
    <w:p w14:paraId="766CDA74" w14:textId="77777777" w:rsidR="003C2A3F" w:rsidRPr="00B9162C" w:rsidRDefault="003C2A3F" w:rsidP="003C2A3F">
      <w:pPr>
        <w:pStyle w:val="tPara"/>
      </w:pPr>
      <w:r w:rsidRPr="00B9162C">
        <w:lastRenderedPageBreak/>
        <w:tab/>
      </w:r>
      <w:r w:rsidR="0010015D">
        <w:t>(a)</w:t>
      </w:r>
      <w:r w:rsidRPr="00B9162C">
        <w:tab/>
        <w:t xml:space="preserve">can reasonably be expected to </w:t>
      </w:r>
      <w:r w:rsidR="004440AD" w:rsidRPr="00B9162C">
        <w:t xml:space="preserve">reduce </w:t>
      </w:r>
      <w:r w:rsidRPr="00B9162C">
        <w:t xml:space="preserve">emissions from the herd through one of the measures specified in </w:t>
      </w:r>
      <w:r w:rsidR="001F78BF" w:rsidRPr="006A6F92">
        <w:t>paragraph</w:t>
      </w:r>
      <w:r w:rsidR="0065393C">
        <w:t>s</w:t>
      </w:r>
      <w:r w:rsidR="00945FE5" w:rsidRPr="006A6F92">
        <w:rPr>
          <w:szCs w:val="22"/>
        </w:rPr>
        <w:t xml:space="preserve"> 6(1)(a) to (d</w:t>
      </w:r>
      <w:r w:rsidR="009D6C88" w:rsidRPr="006A6F92">
        <w:rPr>
          <w:szCs w:val="22"/>
        </w:rPr>
        <w:t>)</w:t>
      </w:r>
      <w:r w:rsidR="00D1094D">
        <w:rPr>
          <w:szCs w:val="22"/>
        </w:rPr>
        <w:t>;</w:t>
      </w:r>
      <w:r w:rsidR="009D6C88" w:rsidRPr="006A6F92">
        <w:t xml:space="preserve"> </w:t>
      </w:r>
      <w:r w:rsidRPr="006A6F92">
        <w:t>and</w:t>
      </w:r>
    </w:p>
    <w:p w14:paraId="49058D00" w14:textId="77777777" w:rsidR="003C2A3F" w:rsidRPr="00B138C4" w:rsidRDefault="003C2A3F" w:rsidP="003C2A3F">
      <w:pPr>
        <w:pStyle w:val="tPara"/>
      </w:pPr>
      <w:r w:rsidRPr="00B138C4">
        <w:tab/>
      </w:r>
      <w:r w:rsidR="0010015D">
        <w:t>(b)</w:t>
      </w:r>
      <w:r w:rsidRPr="00B138C4">
        <w:tab/>
        <w:t>either:</w:t>
      </w:r>
    </w:p>
    <w:p w14:paraId="74FF1263" w14:textId="77777777" w:rsidR="003C2A3F" w:rsidRPr="00B138C4" w:rsidRDefault="003C2A3F" w:rsidP="003C2A3F">
      <w:pPr>
        <w:pStyle w:val="tSubpara"/>
      </w:pPr>
      <w:r w:rsidRPr="00B138C4">
        <w:tab/>
      </w:r>
      <w:r w:rsidR="0010015D">
        <w:t>(i)</w:t>
      </w:r>
      <w:r w:rsidRPr="00B138C4">
        <w:tab/>
        <w:t>was not undertaken</w:t>
      </w:r>
      <w:r w:rsidR="0044528D" w:rsidRPr="00B138C4">
        <w:t xml:space="preserve"> in relation to the herd </w:t>
      </w:r>
      <w:r w:rsidR="000C3D93" w:rsidRPr="00B138C4">
        <w:t>during the emissions intensity reference period</w:t>
      </w:r>
      <w:r w:rsidRPr="00B138C4">
        <w:t>; or</w:t>
      </w:r>
    </w:p>
    <w:p w14:paraId="7871548D" w14:textId="77777777" w:rsidR="00780655" w:rsidRPr="00B138C4" w:rsidRDefault="003C2A3F" w:rsidP="000C3D93">
      <w:pPr>
        <w:pStyle w:val="tSubpara"/>
      </w:pPr>
      <w:r w:rsidRPr="00B138C4">
        <w:tab/>
      </w:r>
      <w:r w:rsidR="0010015D">
        <w:t>(ii)</w:t>
      </w:r>
      <w:r w:rsidRPr="00B138C4">
        <w:tab/>
        <w:t>is a variation of a practice that was undertaken</w:t>
      </w:r>
      <w:r w:rsidR="000C3D93" w:rsidRPr="00B138C4">
        <w:t xml:space="preserve"> </w:t>
      </w:r>
      <w:r w:rsidR="0044528D" w:rsidRPr="00B138C4">
        <w:t xml:space="preserve">in relation to the herd </w:t>
      </w:r>
      <w:r w:rsidR="000C3D93" w:rsidRPr="00B138C4">
        <w:t>during the emissions intensity reference period</w:t>
      </w:r>
      <w:r w:rsidR="00780655" w:rsidRPr="00B138C4">
        <w:t>; and</w:t>
      </w:r>
    </w:p>
    <w:p w14:paraId="2EC59757" w14:textId="77777777" w:rsidR="00780655" w:rsidRPr="00B138C4" w:rsidRDefault="00780655" w:rsidP="00780655">
      <w:pPr>
        <w:pStyle w:val="tPara"/>
      </w:pPr>
      <w:r w:rsidRPr="00B138C4">
        <w:tab/>
      </w:r>
      <w:r w:rsidR="0010015D">
        <w:t>(c)</w:t>
      </w:r>
      <w:r w:rsidRPr="00B138C4">
        <w:tab/>
        <w:t>does not consist of feeding non</w:t>
      </w:r>
      <w:r w:rsidR="00C338D8" w:rsidRPr="00B138C4">
        <w:noBreakHyphen/>
      </w:r>
      <w:r w:rsidRPr="00B138C4">
        <w:t>protein nitrogen to a herd; and</w:t>
      </w:r>
    </w:p>
    <w:p w14:paraId="6D4BB0A8" w14:textId="77777777" w:rsidR="003C2A3F" w:rsidRPr="00B138C4" w:rsidRDefault="00780655" w:rsidP="00780655">
      <w:pPr>
        <w:pStyle w:val="tPara"/>
      </w:pPr>
      <w:r w:rsidRPr="00B138C4">
        <w:tab/>
      </w:r>
      <w:r w:rsidR="0010015D">
        <w:t>(d)</w:t>
      </w:r>
      <w:r w:rsidRPr="00B138C4">
        <w:tab/>
        <w:t>does not consist only of grazing the herd on a different area of land</w:t>
      </w:r>
      <w:r w:rsidR="00EB3473" w:rsidRPr="00B138C4">
        <w:t>.</w:t>
      </w:r>
    </w:p>
    <w:p w14:paraId="0BC504E3" w14:textId="77777777" w:rsidR="002F5E78" w:rsidRPr="00B138C4" w:rsidRDefault="002F5E78" w:rsidP="002F5E78">
      <w:pPr>
        <w:pStyle w:val="nMain"/>
      </w:pPr>
      <w:r w:rsidRPr="00B138C4">
        <w:t>Note 1:</w:t>
      </w:r>
      <w:r w:rsidRPr="00B138C4">
        <w:tab/>
        <w:t>In relation to paragraph </w:t>
      </w:r>
      <w:r w:rsidR="001C572E">
        <w:t>(2)(c)</w:t>
      </w:r>
      <w:r w:rsidRPr="00B138C4">
        <w:t xml:space="preserve">, </w:t>
      </w:r>
      <w:r w:rsidR="001C572E">
        <w:t>Part 4</w:t>
      </w:r>
      <w:r w:rsidRPr="00B138C4">
        <w:t xml:space="preserve"> of this determination does not calculate abatement resulting from feeding non</w:t>
      </w:r>
      <w:r w:rsidR="00C338D8" w:rsidRPr="00B138C4">
        <w:noBreakHyphen/>
      </w:r>
      <w:r w:rsidRPr="00B138C4">
        <w:t xml:space="preserve">protein nitrogen to cattle. The </w:t>
      </w:r>
      <w:r w:rsidRPr="00B138C4">
        <w:rPr>
          <w:i/>
        </w:rPr>
        <w:t xml:space="preserve">Carbon Credits (Carbon Farming Initiative) (Reducing Greenhouse Gas Emissions by Feeding Nitrates to Beef Cattle) Methodology Determination 2014 </w:t>
      </w:r>
      <w:r w:rsidRPr="00B138C4">
        <w:t>applies to projects that involve feeding non</w:t>
      </w:r>
      <w:r w:rsidR="00C338D8" w:rsidRPr="00B138C4">
        <w:noBreakHyphen/>
      </w:r>
      <w:r w:rsidRPr="00B138C4">
        <w:t xml:space="preserve">protein nitrogen to cattle. </w:t>
      </w:r>
      <w:r w:rsidR="004B5EFF">
        <w:t>P</w:t>
      </w:r>
      <w:r w:rsidR="00014132">
        <w:t>rojects</w:t>
      </w:r>
      <w:r w:rsidR="004B5EFF">
        <w:t xml:space="preserve"> that</w:t>
      </w:r>
      <w:r w:rsidR="00014132">
        <w:t xml:space="preserve"> feed</w:t>
      </w:r>
      <w:r w:rsidR="004B5EFF">
        <w:t xml:space="preserve"> </w:t>
      </w:r>
      <w:r w:rsidR="00014132">
        <w:t xml:space="preserve">non-protein nitrogen to cattle and herd management projects can be </w:t>
      </w:r>
      <w:r w:rsidR="004B5EFF">
        <w:t>applied</w:t>
      </w:r>
      <w:r w:rsidR="00014132">
        <w:t xml:space="preserve"> to the same herd</w:t>
      </w:r>
      <w:r w:rsidRPr="00B138C4">
        <w:t>.</w:t>
      </w:r>
    </w:p>
    <w:p w14:paraId="205922A7" w14:textId="77777777" w:rsidR="002F5E78" w:rsidRPr="00B138C4" w:rsidRDefault="002F5E78" w:rsidP="002F5E78">
      <w:pPr>
        <w:pStyle w:val="nMain"/>
      </w:pPr>
      <w:r w:rsidRPr="00B138C4">
        <w:t>Note 2:</w:t>
      </w:r>
      <w:r w:rsidRPr="00B138C4">
        <w:tab/>
        <w:t>Paragraph </w:t>
      </w:r>
      <w:r w:rsidR="001C572E">
        <w:t>(2)(d)</w:t>
      </w:r>
      <w:r w:rsidRPr="00B138C4">
        <w:t xml:space="preserve"> does not prevent </w:t>
      </w:r>
      <w:r w:rsidR="00871E4B" w:rsidRPr="00B138C4">
        <w:t xml:space="preserve">an </w:t>
      </w:r>
      <w:r w:rsidRPr="00B138C4">
        <w:t>agricultural practice that consists of grazing the herd on a different area of land in combination with another agricultural practice</w:t>
      </w:r>
      <w:r w:rsidR="00871E4B" w:rsidRPr="00B138C4">
        <w:t xml:space="preserve"> </w:t>
      </w:r>
      <w:r w:rsidR="000E1167" w:rsidRPr="00B138C4">
        <w:t>from complying with this section</w:t>
      </w:r>
      <w:r w:rsidRPr="00B138C4">
        <w:t xml:space="preserve">, so long as, when taken together, there is an agricultural practice that </w:t>
      </w:r>
      <w:r w:rsidR="00871E4B" w:rsidRPr="00B138C4">
        <w:t xml:space="preserve">complies with </w:t>
      </w:r>
      <w:r w:rsidRPr="00B138C4">
        <w:t>this section.</w:t>
      </w:r>
    </w:p>
    <w:p w14:paraId="16931E43" w14:textId="77777777" w:rsidR="002F5E78" w:rsidRPr="00B138C4" w:rsidRDefault="002F5E78" w:rsidP="002F5E78">
      <w:pPr>
        <w:pStyle w:val="h6Subsec"/>
      </w:pPr>
      <w:r w:rsidRPr="00B138C4">
        <w:t xml:space="preserve">Initial assessment of agricultural practice </w:t>
      </w:r>
      <w:r w:rsidR="00A40487" w:rsidRPr="00B138C4">
        <w:t xml:space="preserve">for compliance with </w:t>
      </w:r>
      <w:r w:rsidR="002121E2" w:rsidRPr="00B138C4">
        <w:t>subsection </w:t>
      </w:r>
      <w:r w:rsidR="001C572E">
        <w:t>(2)</w:t>
      </w:r>
    </w:p>
    <w:p w14:paraId="24FCAFA8" w14:textId="77777777" w:rsidR="001E43CB" w:rsidRPr="00B138C4" w:rsidRDefault="001E43CB" w:rsidP="00127750">
      <w:pPr>
        <w:pStyle w:val="tMain"/>
      </w:pPr>
      <w:r w:rsidRPr="00B138C4">
        <w:tab/>
      </w:r>
      <w:r w:rsidR="0010015D">
        <w:t>(3)</w:t>
      </w:r>
      <w:r w:rsidRPr="00B138C4">
        <w:tab/>
        <w:t xml:space="preserve">The proponent must </w:t>
      </w:r>
      <w:r w:rsidR="002121E2" w:rsidRPr="00B138C4">
        <w:t>nominate</w:t>
      </w:r>
      <w:r w:rsidR="002F5E78" w:rsidRPr="00B138C4">
        <w:t xml:space="preserve"> </w:t>
      </w:r>
      <w:r w:rsidRPr="00B138C4">
        <w:t xml:space="preserve">at least </w:t>
      </w:r>
      <w:r w:rsidR="009D7BCF">
        <w:t>one</w:t>
      </w:r>
      <w:r w:rsidRPr="00B138C4">
        <w:t xml:space="preserve"> agricultural practice</w:t>
      </w:r>
      <w:r w:rsidR="00127750" w:rsidRPr="00B138C4">
        <w:t xml:space="preserve"> </w:t>
      </w:r>
      <w:r w:rsidR="00A40487" w:rsidRPr="00B138C4">
        <w:t xml:space="preserve">as a project activity </w:t>
      </w:r>
      <w:r w:rsidR="004E28D3" w:rsidRPr="00B138C4">
        <w:t xml:space="preserve">in </w:t>
      </w:r>
      <w:r w:rsidRPr="00B138C4">
        <w:t>the section 22 application</w:t>
      </w:r>
      <w:r w:rsidR="00127750" w:rsidRPr="00B138C4">
        <w:t>.</w:t>
      </w:r>
    </w:p>
    <w:p w14:paraId="0CEB862B" w14:textId="77777777" w:rsidR="004A442C" w:rsidRPr="00B138C4" w:rsidRDefault="000A4CB9" w:rsidP="000A4CB9">
      <w:pPr>
        <w:pStyle w:val="tMain"/>
      </w:pPr>
      <w:r w:rsidRPr="00B138C4">
        <w:tab/>
      </w:r>
      <w:r w:rsidR="0010015D">
        <w:t>(4)</w:t>
      </w:r>
      <w:r w:rsidRPr="00B138C4">
        <w:tab/>
      </w:r>
      <w:r w:rsidR="004A442C" w:rsidRPr="00B138C4">
        <w:t xml:space="preserve">For each practice, the </w:t>
      </w:r>
      <w:r w:rsidR="00BA7997" w:rsidRPr="00B138C4">
        <w:t xml:space="preserve">section 22 application must contain </w:t>
      </w:r>
      <w:r w:rsidR="004A442C" w:rsidRPr="00B138C4">
        <w:t>the following:</w:t>
      </w:r>
    </w:p>
    <w:p w14:paraId="4286D3B2" w14:textId="77777777" w:rsidR="000A4CB9" w:rsidRPr="00B138C4" w:rsidRDefault="000A4CB9" w:rsidP="000A4CB9">
      <w:pPr>
        <w:pStyle w:val="tPara"/>
      </w:pPr>
      <w:r w:rsidRPr="00B138C4">
        <w:tab/>
      </w:r>
      <w:r w:rsidR="0010015D">
        <w:t>(a)</w:t>
      </w:r>
      <w:r w:rsidRPr="00B138C4">
        <w:tab/>
        <w:t>a description of the practice;</w:t>
      </w:r>
    </w:p>
    <w:p w14:paraId="497436B8" w14:textId="77777777" w:rsidR="006E4F27" w:rsidRPr="00B138C4" w:rsidRDefault="006E4F27" w:rsidP="006F58C4">
      <w:pPr>
        <w:pStyle w:val="tPara"/>
      </w:pPr>
      <w:r w:rsidRPr="00B138C4">
        <w:tab/>
      </w:r>
      <w:r w:rsidR="0010015D">
        <w:t>(b)</w:t>
      </w:r>
      <w:r w:rsidRPr="00B138C4">
        <w:tab/>
        <w:t>an explanation of how the practice complies with paragraph </w:t>
      </w:r>
      <w:r w:rsidR="001C572E">
        <w:t>(2)(a)</w:t>
      </w:r>
      <w:r w:rsidRPr="00B138C4">
        <w:t>;</w:t>
      </w:r>
    </w:p>
    <w:p w14:paraId="0A640FA2" w14:textId="77777777" w:rsidR="006E4F27" w:rsidRPr="00B138C4" w:rsidRDefault="006E4F27" w:rsidP="000A4CB9">
      <w:pPr>
        <w:pStyle w:val="tPara"/>
      </w:pPr>
      <w:r w:rsidRPr="00B138C4">
        <w:tab/>
      </w:r>
      <w:r w:rsidR="0010015D">
        <w:t>(c)</w:t>
      </w:r>
      <w:r w:rsidRPr="00B138C4">
        <w:tab/>
        <w:t>evidence to support the explanation;</w:t>
      </w:r>
    </w:p>
    <w:p w14:paraId="3BB864B6" w14:textId="77777777" w:rsidR="000A4CB9" w:rsidRPr="00B138C4" w:rsidRDefault="000A4CB9" w:rsidP="00173362">
      <w:pPr>
        <w:pStyle w:val="tPara"/>
      </w:pPr>
      <w:r w:rsidRPr="00B138C4">
        <w:tab/>
      </w:r>
      <w:r w:rsidR="0010015D">
        <w:t>(d)</w:t>
      </w:r>
      <w:r w:rsidRPr="00B138C4">
        <w:tab/>
        <w:t xml:space="preserve">if </w:t>
      </w:r>
      <w:r w:rsidR="00010827" w:rsidRPr="00B138C4">
        <w:t>the proponent considers that the practice satisfies</w:t>
      </w:r>
      <w:r w:rsidR="00173362" w:rsidRPr="00B138C4">
        <w:t xml:space="preserve"> </w:t>
      </w:r>
      <w:r w:rsidR="000C3D93" w:rsidRPr="00B138C4">
        <w:t>subparagraph </w:t>
      </w:r>
      <w:r w:rsidR="001C572E">
        <w:t>(2)(b)(i)</w:t>
      </w:r>
      <w:r w:rsidRPr="00B138C4">
        <w:t>—a statement of that fact;</w:t>
      </w:r>
    </w:p>
    <w:p w14:paraId="2BFC7010" w14:textId="77777777" w:rsidR="00173362" w:rsidRPr="00B138C4" w:rsidRDefault="00173362" w:rsidP="00173362">
      <w:pPr>
        <w:pStyle w:val="tPara"/>
      </w:pPr>
      <w:r w:rsidRPr="00B138C4">
        <w:tab/>
      </w:r>
      <w:r w:rsidR="0010015D">
        <w:t>(e)</w:t>
      </w:r>
      <w:r w:rsidRPr="00B138C4">
        <w:tab/>
        <w:t xml:space="preserve">if the proponent considers that the practice satisfies </w:t>
      </w:r>
      <w:r w:rsidR="006E4F27" w:rsidRPr="00B138C4">
        <w:t>subparagraph </w:t>
      </w:r>
      <w:r w:rsidR="001C572E">
        <w:t>(2)(b)(ii)</w:t>
      </w:r>
      <w:r w:rsidR="00801536" w:rsidRPr="00B138C4">
        <w:t>—a description of</w:t>
      </w:r>
      <w:r w:rsidRPr="00B138C4">
        <w:t>:</w:t>
      </w:r>
    </w:p>
    <w:p w14:paraId="0E63D667" w14:textId="77777777" w:rsidR="00173362" w:rsidRPr="00B138C4" w:rsidRDefault="00173362" w:rsidP="00173362">
      <w:pPr>
        <w:pStyle w:val="tSubpara"/>
      </w:pPr>
      <w:r w:rsidRPr="00B138C4">
        <w:tab/>
      </w:r>
      <w:r w:rsidR="0010015D">
        <w:t>(i)</w:t>
      </w:r>
      <w:r w:rsidRPr="00B138C4">
        <w:tab/>
      </w:r>
      <w:r w:rsidR="000A4CB9" w:rsidRPr="00B138C4">
        <w:t>the previous practice</w:t>
      </w:r>
      <w:r w:rsidRPr="00B138C4">
        <w:t>;</w:t>
      </w:r>
      <w:r w:rsidR="000A4CB9" w:rsidRPr="00B138C4">
        <w:t xml:space="preserve"> and</w:t>
      </w:r>
      <w:r w:rsidR="00801536" w:rsidRPr="00B138C4">
        <w:t xml:space="preserve"> </w:t>
      </w:r>
    </w:p>
    <w:p w14:paraId="2724F6ED" w14:textId="77777777" w:rsidR="002121E2" w:rsidRPr="00B138C4" w:rsidRDefault="00173362" w:rsidP="00173362">
      <w:pPr>
        <w:pStyle w:val="tSubpara"/>
      </w:pPr>
      <w:r w:rsidRPr="00B138C4">
        <w:tab/>
      </w:r>
      <w:r w:rsidR="0010015D">
        <w:t>(ii)</w:t>
      </w:r>
      <w:r w:rsidRPr="00B138C4">
        <w:tab/>
      </w:r>
      <w:r w:rsidR="000A4CB9" w:rsidRPr="00B138C4">
        <w:t>the variation</w:t>
      </w:r>
      <w:r w:rsidR="002121E2" w:rsidRPr="00B138C4">
        <w:t>;</w:t>
      </w:r>
    </w:p>
    <w:p w14:paraId="50219CD7" w14:textId="77777777" w:rsidR="002121E2" w:rsidRPr="00B138C4" w:rsidRDefault="002121E2" w:rsidP="002121E2">
      <w:pPr>
        <w:pStyle w:val="tPara"/>
      </w:pPr>
      <w:r w:rsidRPr="00B138C4">
        <w:tab/>
      </w:r>
      <w:r w:rsidR="0010015D">
        <w:t>(f)</w:t>
      </w:r>
      <w:r w:rsidRPr="00B138C4">
        <w:tab/>
        <w:t>a statement that the practice does not consist of feeding non</w:t>
      </w:r>
      <w:r w:rsidR="00C338D8" w:rsidRPr="00B138C4">
        <w:noBreakHyphen/>
      </w:r>
      <w:r w:rsidRPr="00B138C4">
        <w:t>protein nitrogen to a herd; and</w:t>
      </w:r>
    </w:p>
    <w:p w14:paraId="348ACD88" w14:textId="77777777" w:rsidR="002121E2" w:rsidRPr="00B138C4" w:rsidRDefault="002121E2" w:rsidP="002121E2">
      <w:pPr>
        <w:pStyle w:val="tPara"/>
      </w:pPr>
      <w:r w:rsidRPr="00B138C4">
        <w:tab/>
      </w:r>
      <w:r w:rsidR="0010015D">
        <w:t>(g)</w:t>
      </w:r>
      <w:r w:rsidRPr="00B138C4">
        <w:tab/>
        <w:t>a statement that the practice does not consist only of grazing the herd on a different area of land.</w:t>
      </w:r>
    </w:p>
    <w:p w14:paraId="4BFBA3B0" w14:textId="77777777" w:rsidR="002F5E78" w:rsidRPr="00B138C4" w:rsidRDefault="002F5E78" w:rsidP="002F5E78">
      <w:pPr>
        <w:pStyle w:val="h6Subsec"/>
      </w:pPr>
      <w:r w:rsidRPr="00B138C4">
        <w:t>Subsequent changes to agricultural practice</w:t>
      </w:r>
    </w:p>
    <w:p w14:paraId="0FC36325" w14:textId="77777777" w:rsidR="002F5E78" w:rsidRPr="00B138C4" w:rsidRDefault="002F5E78" w:rsidP="002F5E78">
      <w:pPr>
        <w:pStyle w:val="tMain"/>
      </w:pPr>
      <w:r w:rsidRPr="00B138C4">
        <w:tab/>
      </w:r>
      <w:r w:rsidR="0010015D">
        <w:t>(5)</w:t>
      </w:r>
      <w:r w:rsidRPr="00B138C4">
        <w:tab/>
        <w:t>If the proponent subsequently wishes to implement a different agricultural practice</w:t>
      </w:r>
      <w:r w:rsidR="004E28D3" w:rsidRPr="00B138C4">
        <w:t xml:space="preserve"> as a project activity</w:t>
      </w:r>
      <w:r w:rsidRPr="00B138C4">
        <w:t xml:space="preserve">, the agricultural practice must </w:t>
      </w:r>
      <w:r w:rsidR="004E28D3" w:rsidRPr="00B138C4">
        <w:t xml:space="preserve">comply with </w:t>
      </w:r>
      <w:r w:rsidR="00263766" w:rsidRPr="00B138C4">
        <w:t>subsection </w:t>
      </w:r>
      <w:r w:rsidR="001C572E">
        <w:t>(2)</w:t>
      </w:r>
      <w:r w:rsidRPr="00B138C4">
        <w:t>.</w:t>
      </w:r>
    </w:p>
    <w:p w14:paraId="55BF2B80" w14:textId="77777777" w:rsidR="00F2503A" w:rsidRPr="00B138C4" w:rsidRDefault="0010015D" w:rsidP="00F2503A">
      <w:pPr>
        <w:pStyle w:val="h5Section"/>
      </w:pPr>
      <w:bookmarkStart w:id="64" w:name="_Toc426038025"/>
      <w:bookmarkStart w:id="65" w:name="_Toc485211981"/>
      <w:r>
        <w:t>18</w:t>
      </w:r>
      <w:r w:rsidR="00F2503A" w:rsidRPr="00B138C4">
        <w:t xml:space="preserve">  </w:t>
      </w:r>
      <w:r w:rsidR="00CD32EB" w:rsidRPr="00B138C4">
        <w:t xml:space="preserve">Project not to involve </w:t>
      </w:r>
      <w:r w:rsidR="000B71B1" w:rsidRPr="00B138C4">
        <w:t xml:space="preserve">feeding </w:t>
      </w:r>
      <w:r w:rsidR="006D7061" w:rsidRPr="00B138C4">
        <w:t xml:space="preserve">of </w:t>
      </w:r>
      <w:r w:rsidR="000B71B1" w:rsidRPr="00B138C4">
        <w:t xml:space="preserve">cattle on </w:t>
      </w:r>
      <w:r w:rsidR="00792442" w:rsidRPr="00B138C4">
        <w:t>c</w:t>
      </w:r>
      <w:r w:rsidR="00F2503A" w:rsidRPr="00B138C4">
        <w:t>lear</w:t>
      </w:r>
      <w:r w:rsidR="000B71B1" w:rsidRPr="00B138C4">
        <w:t>ed</w:t>
      </w:r>
      <w:r w:rsidR="00F2503A" w:rsidRPr="00B138C4">
        <w:t xml:space="preserve"> land</w:t>
      </w:r>
      <w:bookmarkEnd w:id="64"/>
      <w:bookmarkEnd w:id="65"/>
    </w:p>
    <w:p w14:paraId="21F4BC05" w14:textId="77777777" w:rsidR="007A733B" w:rsidRPr="00B138C4" w:rsidRDefault="006031E1" w:rsidP="006031E1">
      <w:pPr>
        <w:pStyle w:val="tMain"/>
      </w:pPr>
      <w:r w:rsidRPr="00B138C4">
        <w:tab/>
      </w:r>
      <w:r w:rsidR="0010015D">
        <w:t>(1)</w:t>
      </w:r>
      <w:r w:rsidRPr="00B138C4">
        <w:tab/>
        <w:t>The project must not involve the feeding of cattle on land that has been, for the purposes of the project, partially or wholly cleared of</w:t>
      </w:r>
      <w:r w:rsidR="007A733B" w:rsidRPr="00B138C4">
        <w:t xml:space="preserve"> perennial woody vegetation.</w:t>
      </w:r>
    </w:p>
    <w:p w14:paraId="44DDE295" w14:textId="77777777" w:rsidR="006031E1" w:rsidRPr="00B138C4" w:rsidRDefault="006031E1" w:rsidP="006031E1">
      <w:pPr>
        <w:pStyle w:val="tMain"/>
      </w:pPr>
      <w:r w:rsidRPr="00B138C4">
        <w:tab/>
      </w:r>
      <w:r w:rsidR="0010015D">
        <w:t>(2)</w:t>
      </w:r>
      <w:r w:rsidRPr="00B138C4">
        <w:tab/>
        <w:t>This section does not apply to the extent that clearing of land was required by law.</w:t>
      </w:r>
    </w:p>
    <w:p w14:paraId="0F4A5502" w14:textId="77777777" w:rsidR="006031E1" w:rsidRPr="00B138C4" w:rsidRDefault="006031E1" w:rsidP="006031E1">
      <w:pPr>
        <w:pStyle w:val="tMain"/>
      </w:pPr>
      <w:r w:rsidRPr="00B138C4">
        <w:lastRenderedPageBreak/>
        <w:tab/>
      </w:r>
      <w:r w:rsidR="0010015D">
        <w:t>(3)</w:t>
      </w:r>
      <w:r w:rsidRPr="00B138C4">
        <w:tab/>
        <w:t>If</w:t>
      </w:r>
      <w:r w:rsidR="0077478D" w:rsidRPr="00B138C4">
        <w:t>:</w:t>
      </w:r>
    </w:p>
    <w:p w14:paraId="31ABF044" w14:textId="77777777" w:rsidR="006031E1" w:rsidRPr="00B138C4" w:rsidRDefault="006031E1" w:rsidP="006031E1">
      <w:pPr>
        <w:pStyle w:val="tPara"/>
      </w:pPr>
      <w:r w:rsidRPr="00B138C4">
        <w:tab/>
      </w:r>
      <w:r w:rsidR="0010015D">
        <w:t>(a)</w:t>
      </w:r>
      <w:r w:rsidRPr="00B138C4">
        <w:tab/>
        <w:t xml:space="preserve">land has been partially or wholly cleared of </w:t>
      </w:r>
      <w:r w:rsidR="007A733B" w:rsidRPr="00B138C4">
        <w:t>perennial woody vegetation</w:t>
      </w:r>
      <w:r w:rsidRPr="00B138C4">
        <w:t>; and</w:t>
      </w:r>
    </w:p>
    <w:p w14:paraId="2C2D1F92" w14:textId="77777777" w:rsidR="006031E1" w:rsidRPr="00B138C4" w:rsidRDefault="006031E1" w:rsidP="006031E1">
      <w:pPr>
        <w:pStyle w:val="tPara"/>
      </w:pPr>
      <w:r w:rsidRPr="00B138C4">
        <w:tab/>
      </w:r>
      <w:r w:rsidR="0010015D">
        <w:t>(b)</w:t>
      </w:r>
      <w:r w:rsidRPr="00B138C4">
        <w:tab/>
        <w:t>the land would have been so cleared even if the project had not been undertaken;</w:t>
      </w:r>
    </w:p>
    <w:p w14:paraId="5A20E6B9" w14:textId="77777777" w:rsidR="006031E1" w:rsidRDefault="006031E1" w:rsidP="00EB71D0">
      <w:pPr>
        <w:pStyle w:val="tMain"/>
        <w:spacing w:before="40"/>
      </w:pPr>
      <w:r w:rsidRPr="00B138C4">
        <w:tab/>
      </w:r>
      <w:r w:rsidRPr="00B138C4">
        <w:tab/>
        <w:t xml:space="preserve">the clearing is taken, for the purposes of this </w:t>
      </w:r>
      <w:r w:rsidR="000A3753" w:rsidRPr="00B138C4">
        <w:t>determination</w:t>
      </w:r>
      <w:r w:rsidRPr="00B138C4">
        <w:t>, not to have been for the purposes of the project.</w:t>
      </w:r>
    </w:p>
    <w:p w14:paraId="3B403A5F" w14:textId="77777777" w:rsidR="0010015D" w:rsidRPr="007373D1" w:rsidRDefault="0010015D" w:rsidP="0010015D">
      <w:pPr>
        <w:pStyle w:val="h5Section"/>
      </w:pPr>
      <w:bookmarkStart w:id="66" w:name="_Toc461268497"/>
      <w:bookmarkStart w:id="67" w:name="_Toc461276073"/>
      <w:bookmarkStart w:id="68" w:name="_Toc462222920"/>
      <w:bookmarkStart w:id="69" w:name="_Toc475720117"/>
      <w:bookmarkStart w:id="70" w:name="_Toc477276992"/>
      <w:bookmarkStart w:id="71" w:name="_Toc485211982"/>
      <w:r w:rsidRPr="007373D1">
        <w:t>18A  Transition from earlier version of this determination</w:t>
      </w:r>
      <w:bookmarkEnd w:id="66"/>
      <w:bookmarkEnd w:id="67"/>
      <w:bookmarkEnd w:id="68"/>
      <w:bookmarkEnd w:id="69"/>
      <w:bookmarkEnd w:id="70"/>
      <w:bookmarkEnd w:id="71"/>
    </w:p>
    <w:p w14:paraId="2A0C2F52" w14:textId="77777777" w:rsidR="0010015D" w:rsidRPr="007373D1" w:rsidRDefault="0010015D" w:rsidP="0010015D">
      <w:pPr>
        <w:pStyle w:val="ntoHeading"/>
      </w:pPr>
      <w:r w:rsidRPr="007373D1">
        <w:t>Note:</w:t>
      </w:r>
      <w:r w:rsidRPr="007373D1">
        <w:tab/>
        <w:t>Under the previous version of this determination, all herds in a project had the same assessment day, and the first assessment year began with the crediting period.  A project proponent who transitions from the previous version of the determination to this version before having submitted an offsets report under the previous version will be able to:</w:t>
      </w:r>
    </w:p>
    <w:p w14:paraId="30802A57" w14:textId="77777777" w:rsidR="0010015D" w:rsidRPr="007373D1" w:rsidRDefault="0010015D" w:rsidP="0010015D">
      <w:pPr>
        <w:pStyle w:val="nMain"/>
      </w:pPr>
      <w:r w:rsidRPr="007373D1">
        <w:t>(a)</w:t>
      </w:r>
      <w:r w:rsidRPr="007373D1">
        <w:tab/>
        <w:t>set different assessment days for each herd;  and</w:t>
      </w:r>
    </w:p>
    <w:p w14:paraId="3FE5255F" w14:textId="77777777" w:rsidR="0010015D" w:rsidRPr="007373D1" w:rsidRDefault="0010015D" w:rsidP="0010015D">
      <w:pPr>
        <w:pStyle w:val="nMain"/>
      </w:pPr>
      <w:r w:rsidRPr="007373D1">
        <w:t>(b)</w:t>
      </w:r>
      <w:r w:rsidRPr="007373D1">
        <w:tab/>
        <w:t>subject to section 69 of the Act, re-set the start time for the crediting period to a date when all the herds have had a first muster, so that each herd will be able to generate seven years of credits. (Section 69, in certain circumstances, allows a project proponent to vary the start time previously set for a crediting period to another time up to 18 months after the declaration of the project.)</w:t>
      </w:r>
    </w:p>
    <w:p w14:paraId="54D77837" w14:textId="77777777" w:rsidR="0010015D" w:rsidRPr="007373D1" w:rsidRDefault="0010015D" w:rsidP="0010015D">
      <w:pPr>
        <w:pStyle w:val="tMain"/>
      </w:pPr>
      <w:r w:rsidRPr="007373D1">
        <w:tab/>
        <w:t>(1)</w:t>
      </w:r>
      <w:r w:rsidRPr="007373D1">
        <w:tab/>
        <w:t>This section applies to a project if:</w:t>
      </w:r>
    </w:p>
    <w:p w14:paraId="692BB37D" w14:textId="77777777" w:rsidR="0010015D" w:rsidRPr="007373D1" w:rsidRDefault="0010015D" w:rsidP="0010015D">
      <w:pPr>
        <w:pStyle w:val="tPara"/>
      </w:pPr>
      <w:r w:rsidRPr="007373D1">
        <w:tab/>
        <w:t>(a)</w:t>
      </w:r>
      <w:r w:rsidRPr="007373D1">
        <w:tab/>
        <w:t>after the transition date, this determination as it stood before the transition date applied to a project in accordance with subsection 126(2) of the Act; and</w:t>
      </w:r>
    </w:p>
    <w:p w14:paraId="4C91B6A0" w14:textId="77777777" w:rsidR="0010015D" w:rsidRPr="007373D1" w:rsidRDefault="0010015D" w:rsidP="0010015D">
      <w:pPr>
        <w:pStyle w:val="tPara"/>
      </w:pPr>
      <w:r w:rsidRPr="007373D1">
        <w:tab/>
        <w:t>(b)</w:t>
      </w:r>
      <w:r w:rsidRPr="007373D1">
        <w:tab/>
        <w:t>the project proponent, under section 128 of the Act:</w:t>
      </w:r>
    </w:p>
    <w:p w14:paraId="0D17E767" w14:textId="77777777" w:rsidR="0010015D" w:rsidRPr="007373D1" w:rsidRDefault="0010015D" w:rsidP="0010015D">
      <w:pPr>
        <w:pStyle w:val="tSubpara"/>
      </w:pPr>
      <w:r w:rsidRPr="007373D1">
        <w:tab/>
        <w:t>(i)</w:t>
      </w:r>
      <w:r w:rsidRPr="007373D1">
        <w:tab/>
        <w:t>requested the Regulator to approve, under section 130 of the Act, the application to the project of this determination as it now stands; and</w:t>
      </w:r>
    </w:p>
    <w:p w14:paraId="691514A3" w14:textId="77777777" w:rsidR="0010015D" w:rsidRPr="007373D1" w:rsidRDefault="0010015D" w:rsidP="0010015D">
      <w:pPr>
        <w:pStyle w:val="tSubpara"/>
      </w:pPr>
      <w:r w:rsidRPr="007373D1">
        <w:tab/>
        <w:t>(ii)</w:t>
      </w:r>
      <w:r w:rsidRPr="007373D1">
        <w:tab/>
        <w:t xml:space="preserve">with the request, provided, for each </w:t>
      </w:r>
      <w:r w:rsidRPr="007373D1">
        <w:rPr>
          <w:b/>
          <w:i/>
        </w:rPr>
        <w:t>pre-transition</w:t>
      </w:r>
      <w:r w:rsidRPr="007373D1">
        <w:t xml:space="preserve"> herd of the project, any information required under section 8 as it now stands that was not provided with the original section 22 application; and </w:t>
      </w:r>
    </w:p>
    <w:p w14:paraId="68C59039" w14:textId="77777777" w:rsidR="0010015D" w:rsidRPr="007373D1" w:rsidRDefault="0010015D" w:rsidP="0010015D">
      <w:pPr>
        <w:pStyle w:val="tPara"/>
      </w:pPr>
      <w:r w:rsidRPr="007373D1">
        <w:tab/>
        <w:t>(c)</w:t>
      </w:r>
      <w:r w:rsidRPr="007373D1">
        <w:tab/>
        <w:t>the Regulator has approved the application.</w:t>
      </w:r>
    </w:p>
    <w:p w14:paraId="7E3AC0D5" w14:textId="77777777" w:rsidR="0010015D" w:rsidRPr="007373D1" w:rsidRDefault="0010015D" w:rsidP="0010015D">
      <w:pPr>
        <w:pStyle w:val="tMain"/>
      </w:pPr>
      <w:r w:rsidRPr="007373D1">
        <w:tab/>
        <w:t>(2)</w:t>
      </w:r>
      <w:r w:rsidRPr="007373D1">
        <w:tab/>
        <w:t>The information is taken to have been provided in the original section 22 application.</w:t>
      </w:r>
    </w:p>
    <w:p w14:paraId="2F049B53" w14:textId="77777777" w:rsidR="0010015D" w:rsidRPr="007373D1" w:rsidRDefault="0010015D" w:rsidP="0010015D">
      <w:pPr>
        <w:pStyle w:val="nMain"/>
      </w:pPr>
      <w:r w:rsidRPr="007373D1">
        <w:t>Note:</w:t>
      </w:r>
      <w:r w:rsidRPr="007373D1">
        <w:tab/>
        <w:t>This provision ensures that, eg, definitions that refer to information provided in the section 22 application operate correctly.</w:t>
      </w:r>
    </w:p>
    <w:p w14:paraId="5EC78103" w14:textId="77777777" w:rsidR="0010015D" w:rsidRPr="007373D1" w:rsidRDefault="0010015D" w:rsidP="0010015D">
      <w:pPr>
        <w:pStyle w:val="tMain"/>
      </w:pPr>
      <w:r w:rsidRPr="007373D1">
        <w:tab/>
        <w:t>(3)</w:t>
      </w:r>
      <w:r w:rsidRPr="007373D1">
        <w:tab/>
        <w:t>Each pre-transition herd of the project is taken to satisfy subsections 9(1) and 9(3) as a full data herd.</w:t>
      </w:r>
    </w:p>
    <w:p w14:paraId="26AD4355" w14:textId="77777777" w:rsidR="0010015D" w:rsidRPr="007373D1" w:rsidRDefault="0010015D" w:rsidP="0010015D">
      <w:pPr>
        <w:pStyle w:val="tMain"/>
      </w:pPr>
      <w:r w:rsidRPr="007373D1">
        <w:tab/>
        <w:t>(4)</w:t>
      </w:r>
      <w:r w:rsidRPr="007373D1">
        <w:tab/>
        <w:t>In this section:</w:t>
      </w:r>
    </w:p>
    <w:p w14:paraId="5FFCD54A" w14:textId="77777777" w:rsidR="0010015D" w:rsidRPr="007373D1" w:rsidRDefault="0010015D" w:rsidP="0010015D">
      <w:pPr>
        <w:pStyle w:val="tDefn"/>
      </w:pPr>
      <w:r w:rsidRPr="007373D1">
        <w:rPr>
          <w:b/>
          <w:i/>
        </w:rPr>
        <w:t>pre-transition herd</w:t>
      </w:r>
      <w:r w:rsidRPr="007373D1">
        <w:t>, in relation to a project to which subsection (1) applies, means a herd that was part of the project at the time of the request to the Regulator under section 130 (ie, it was not added to the project at the time of transition as a result of a concurrent application).</w:t>
      </w:r>
    </w:p>
    <w:p w14:paraId="018F67AE" w14:textId="77777777" w:rsidR="0010015D" w:rsidRPr="007373D1" w:rsidRDefault="0010015D" w:rsidP="0010015D">
      <w:pPr>
        <w:pStyle w:val="tDefn"/>
      </w:pPr>
      <w:r w:rsidRPr="007373D1">
        <w:rPr>
          <w:b/>
          <w:i/>
        </w:rPr>
        <w:t>transition date</w:t>
      </w:r>
      <w:r w:rsidRPr="007373D1">
        <w:t xml:space="preserve"> means the date on which the </w:t>
      </w:r>
      <w:r w:rsidRPr="007373D1">
        <w:rPr>
          <w:i/>
        </w:rPr>
        <w:t xml:space="preserve">Carbon Credits (Carbon Farming Initiative—Beef Cattle Herd Management) Methodology Variation 2017 </w:t>
      </w:r>
      <w:r w:rsidRPr="007373D1">
        <w:t>commenced.</w:t>
      </w:r>
    </w:p>
    <w:p w14:paraId="758931FC" w14:textId="77777777" w:rsidR="00F576B9" w:rsidRPr="00B138C4" w:rsidRDefault="0010015D" w:rsidP="00F576B9">
      <w:pPr>
        <w:pStyle w:val="h2Part"/>
      </w:pPr>
      <w:bookmarkStart w:id="72" w:name="_Toc413161613"/>
      <w:bookmarkStart w:id="73" w:name="_Toc426038026"/>
      <w:bookmarkStart w:id="74" w:name="_Toc485211983"/>
      <w:r>
        <w:lastRenderedPageBreak/>
        <w:t>Part 4</w:t>
      </w:r>
      <w:r w:rsidR="00F576B9" w:rsidRPr="00B138C4">
        <w:t>—Net abatement amount</w:t>
      </w:r>
      <w:bookmarkEnd w:id="72"/>
      <w:bookmarkEnd w:id="73"/>
      <w:bookmarkEnd w:id="74"/>
    </w:p>
    <w:p w14:paraId="2B4F7E18" w14:textId="77777777" w:rsidR="00F576B9" w:rsidRPr="00B138C4" w:rsidRDefault="0010015D" w:rsidP="00F576B9">
      <w:pPr>
        <w:pStyle w:val="h3Div"/>
      </w:pPr>
      <w:bookmarkStart w:id="75" w:name="_Toc413161614"/>
      <w:bookmarkStart w:id="76" w:name="_Toc426038027"/>
      <w:bookmarkStart w:id="77" w:name="_Toc485211984"/>
      <w:r>
        <w:t>Division 1</w:t>
      </w:r>
      <w:r w:rsidR="00F576B9" w:rsidRPr="00B138C4">
        <w:t>—The net abatement amount</w:t>
      </w:r>
      <w:bookmarkEnd w:id="75"/>
      <w:bookmarkEnd w:id="76"/>
      <w:bookmarkEnd w:id="77"/>
    </w:p>
    <w:p w14:paraId="23A5332A" w14:textId="77777777" w:rsidR="00F576B9" w:rsidRPr="00B138C4" w:rsidRDefault="0010015D" w:rsidP="00F576B9">
      <w:pPr>
        <w:pStyle w:val="h5Section"/>
      </w:pPr>
      <w:bookmarkStart w:id="78" w:name="_Toc413161615"/>
      <w:bookmarkStart w:id="79" w:name="_Toc426038028"/>
      <w:bookmarkStart w:id="80" w:name="_Toc485211985"/>
      <w:r>
        <w:t>19</w:t>
      </w:r>
      <w:r w:rsidR="00F576B9" w:rsidRPr="00B138C4">
        <w:t xml:space="preserve">  Method for calculating the net abatement amount</w:t>
      </w:r>
      <w:bookmarkEnd w:id="78"/>
      <w:bookmarkEnd w:id="79"/>
      <w:bookmarkEnd w:id="80"/>
    </w:p>
    <w:p w14:paraId="13A8A0F0" w14:textId="77777777" w:rsidR="00F576B9" w:rsidRPr="00B138C4" w:rsidRDefault="00F576B9" w:rsidP="00F576B9">
      <w:pPr>
        <w:pStyle w:val="tMain"/>
      </w:pPr>
      <w:r w:rsidRPr="00B138C4">
        <w:tab/>
      </w:r>
      <w:r w:rsidR="0010015D">
        <w:t>(1)</w:t>
      </w:r>
      <w:r w:rsidRPr="00B138C4">
        <w:tab/>
        <w:t>For paragraph 106(1)(c) of the Act, this Part specifies the method for working out the carbon dioxide equivalent net abatement amount for a reporting period for a herd management project that is an eligible offsets project.</w:t>
      </w:r>
    </w:p>
    <w:p w14:paraId="4732C006" w14:textId="77777777" w:rsidR="0010015D" w:rsidRPr="007373D1" w:rsidRDefault="0010015D" w:rsidP="0010015D">
      <w:pPr>
        <w:pStyle w:val="nMain"/>
      </w:pPr>
      <w:bookmarkStart w:id="81" w:name="_Toc413161616"/>
      <w:r w:rsidRPr="007373D1">
        <w:t>Note:</w:t>
      </w:r>
      <w:r w:rsidRPr="007373D1">
        <w:tab/>
        <w:t xml:space="preserve">Unless the project proponent divides the project into parts under section 77A of the Act (see also section 31 of this determination), an offsets report must relate to a reporting period that applies to the whole project.  The proponent may choose a period between 6 months and 2 years.  The reporting period need not align with the assessment years of any herd of the project.  The offsets report will cover the abatement calculated for each assessment year of any of the herds that ends during the reporting period.  </w:t>
      </w:r>
    </w:p>
    <w:p w14:paraId="00FD7FCC" w14:textId="77777777" w:rsidR="000610C0" w:rsidRPr="00B138C4" w:rsidRDefault="000610C0" w:rsidP="000610C0">
      <w:pPr>
        <w:pStyle w:val="tMain"/>
      </w:pPr>
      <w:r w:rsidRPr="00B138C4">
        <w:tab/>
      </w:r>
      <w:r w:rsidR="0010015D">
        <w:t>(2)</w:t>
      </w:r>
      <w:r w:rsidRPr="00B138C4">
        <w:tab/>
        <w:t xml:space="preserve">For such a project, the carbon dioxide equivalent net abatement amount, </w:t>
      </w:r>
      <m:oMath>
        <m:r>
          <w:rPr>
            <w:rFonts w:ascii="Cambria Math" w:hAnsi="Cambria Math"/>
            <w:szCs w:val="22"/>
          </w:rPr>
          <m:t>A</m:t>
        </m:r>
      </m:oMath>
      <w:r w:rsidRPr="00B138C4">
        <w:t>, in t CO</w:t>
      </w:r>
      <w:r w:rsidRPr="00B138C4">
        <w:rPr>
          <w:vertAlign w:val="subscript"/>
        </w:rPr>
        <w:t>2</w:t>
      </w:r>
      <w:r w:rsidR="00C338D8" w:rsidRPr="00B138C4">
        <w:noBreakHyphen/>
      </w:r>
      <w:r w:rsidRPr="00B138C4">
        <w:t>e, is given by the following formula:</w:t>
      </w:r>
    </w:p>
    <w:tbl>
      <w:tblPr>
        <w:tblStyle w:val="TableGrid"/>
        <w:tblW w:w="0" w:type="auto"/>
        <w:tblInd w:w="1242" w:type="dxa"/>
        <w:tblLook w:val="04A0" w:firstRow="1" w:lastRow="0" w:firstColumn="1" w:lastColumn="0" w:noHBand="0" w:noVBand="1"/>
      </w:tblPr>
      <w:tblGrid>
        <w:gridCol w:w="5245"/>
        <w:gridCol w:w="2126"/>
      </w:tblGrid>
      <w:tr w:rsidR="000610C0" w:rsidRPr="00B138C4" w14:paraId="1D5EBE98" w14:textId="77777777" w:rsidTr="00207499">
        <w:tc>
          <w:tcPr>
            <w:tcW w:w="5245" w:type="dxa"/>
            <w:vAlign w:val="center"/>
          </w:tcPr>
          <w:p w14:paraId="181C71E1" w14:textId="77777777" w:rsidR="000610C0" w:rsidRPr="00B138C4" w:rsidRDefault="000610C0" w:rsidP="00AD0EC0">
            <w:pPr>
              <w:spacing w:before="120" w:after="120"/>
              <w:rPr>
                <w:b/>
                <w:i/>
              </w:rPr>
            </w:pPr>
            <m:oMathPara>
              <m:oMathParaPr>
                <m:jc m:val="center"/>
              </m:oMathParaPr>
              <m:oMath>
                <m:r>
                  <w:rPr>
                    <w:rFonts w:ascii="Cambria Math" w:hAnsi="Cambria Math"/>
                    <w:szCs w:val="22"/>
                  </w:rPr>
                  <m:t>A</m:t>
                </m:r>
                <m:r>
                  <m:rPr>
                    <m:sty m:val="p"/>
                  </m:rPr>
                  <w:rPr>
                    <w:rFonts w:ascii="Cambria Math" w:hAnsi="Cambria Math"/>
                    <w:szCs w:val="22"/>
                  </w:rPr>
                  <m:t>=</m:t>
                </m:r>
                <m:nary>
                  <m:naryPr>
                    <m:chr m:val="∑"/>
                    <m:limLoc m:val="undOvr"/>
                    <m:ctrlPr>
                      <w:rPr>
                        <w:rFonts w:ascii="Cambria Math" w:hAnsi="Cambria Math"/>
                        <w:b/>
                        <w:szCs w:val="22"/>
                      </w:rPr>
                    </m:ctrlPr>
                  </m:naryPr>
                  <m:sub>
                    <m:d>
                      <m:dPr>
                        <m:ctrlPr>
                          <w:rPr>
                            <w:rFonts w:ascii="Cambria Math" w:hAnsi="Cambria Math"/>
                            <w:b/>
                            <w:szCs w:val="22"/>
                          </w:rPr>
                        </m:ctrlPr>
                      </m:dPr>
                      <m:e>
                        <m:eqArr>
                          <m:eqArrPr>
                            <m:ctrlPr>
                              <w:rPr>
                                <w:rFonts w:ascii="Cambria Math" w:hAnsi="Cambria Math"/>
                                <w:szCs w:val="22"/>
                              </w:rPr>
                            </m:ctrlPr>
                          </m:eqArrPr>
                          <m:e>
                            <m:r>
                              <m:rPr>
                                <m:nor/>
                              </m:rPr>
                              <w:rPr>
                                <w:rFonts w:ascii="Cambria Math" w:hAnsi="Cambria Math"/>
                                <w:szCs w:val="22"/>
                              </w:rPr>
                              <m:t xml:space="preserve">all herds </m:t>
                            </m:r>
                            <m:r>
                              <w:rPr>
                                <w:rFonts w:ascii="Cambria Math" w:hAnsi="Cambria Math"/>
                                <w:szCs w:val="22"/>
                              </w:rPr>
                              <m:t>H</m:t>
                            </m:r>
                            <m:ctrlPr>
                              <w:rPr>
                                <w:rFonts w:ascii="Cambria Math" w:hAnsi="Cambria Math"/>
                                <w:i/>
                                <w:szCs w:val="22"/>
                              </w:rPr>
                            </m:ctrlPr>
                          </m:e>
                          <m:e>
                            <m:r>
                              <m:rPr>
                                <m:nor/>
                              </m:rPr>
                              <w:rPr>
                                <w:rFonts w:ascii="Cambria Math" w:hAnsi="Cambria Math"/>
                                <w:szCs w:val="22"/>
                              </w:rPr>
                              <m:t>reported on</m:t>
                            </m:r>
                            <m:ctrlPr>
                              <w:rPr>
                                <w:rFonts w:ascii="Cambria Math" w:hAnsi="Cambria Math"/>
                                <w:i/>
                                <w:szCs w:val="22"/>
                              </w:rPr>
                            </m:ctrlPr>
                          </m:e>
                        </m:eqArr>
                      </m:e>
                    </m:d>
                  </m:sub>
                  <m:sup/>
                  <m:e>
                    <m:nary>
                      <m:naryPr>
                        <m:chr m:val="∑"/>
                        <m:limLoc m:val="undOvr"/>
                        <m:ctrlPr>
                          <w:rPr>
                            <w:rFonts w:ascii="Cambria Math" w:hAnsi="Cambria Math"/>
                            <w:b/>
                            <w:szCs w:val="22"/>
                          </w:rPr>
                        </m:ctrlPr>
                      </m:naryPr>
                      <m:sub>
                        <m:d>
                          <m:dPr>
                            <m:ctrlPr>
                              <w:rPr>
                                <w:rFonts w:ascii="Cambria Math" w:hAnsi="Cambria Math"/>
                                <w:b/>
                                <w:szCs w:val="22"/>
                              </w:rPr>
                            </m:ctrlPr>
                          </m:dPr>
                          <m:e>
                            <m:eqArr>
                              <m:eqArrPr>
                                <m:ctrlPr>
                                  <w:rPr>
                                    <w:rFonts w:ascii="Cambria Math" w:hAnsi="Cambria Math"/>
                                    <w:szCs w:val="22"/>
                                  </w:rPr>
                                </m:ctrlPr>
                              </m:eqArrPr>
                              <m:e>
                                <m:r>
                                  <m:rPr>
                                    <m:nor/>
                                  </m:rPr>
                                  <w:rPr>
                                    <w:rFonts w:ascii="Cambria Math" w:hAnsi="Cambria Math"/>
                                    <w:szCs w:val="22"/>
                                  </w:rPr>
                                  <m:t xml:space="preserve">all asssessment years </m:t>
                                </m:r>
                                <m:r>
                                  <w:rPr>
                                    <w:rFonts w:ascii="Cambria Math" w:hAnsi="Cambria Math"/>
                                    <w:szCs w:val="22"/>
                                  </w:rPr>
                                  <m:t>y</m:t>
                                </m:r>
                                <m:r>
                                  <m:rPr>
                                    <m:nor/>
                                  </m:rPr>
                                  <w:rPr>
                                    <w:rFonts w:ascii="Cambria Math" w:hAnsi="Cambria Math"/>
                                    <w:szCs w:val="22"/>
                                  </w:rPr>
                                  <m:t xml:space="preserve"> of the herd </m:t>
                                </m:r>
                              </m:e>
                              <m:e>
                                <m:r>
                                  <m:rPr>
                                    <m:nor/>
                                  </m:rPr>
                                  <w:rPr>
                                    <w:rFonts w:ascii="Cambria Math" w:hAnsi="Cambria Math"/>
                                    <w:szCs w:val="22"/>
                                  </w:rPr>
                                  <m:t>that end during the reporting period</m:t>
                                </m:r>
                              </m:e>
                            </m:eqArr>
                          </m:e>
                        </m:d>
                      </m:sub>
                      <m:sup/>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H, y</m:t>
                            </m:r>
                          </m:sub>
                        </m:sSub>
                      </m:e>
                    </m:nary>
                  </m:e>
                </m:nary>
              </m:oMath>
            </m:oMathPara>
          </w:p>
        </w:tc>
        <w:tc>
          <w:tcPr>
            <w:tcW w:w="2126" w:type="dxa"/>
            <w:vAlign w:val="center"/>
          </w:tcPr>
          <w:p w14:paraId="16498422" w14:textId="77777777" w:rsidR="000610C0" w:rsidRPr="00B138C4" w:rsidRDefault="000610C0" w:rsidP="00207499">
            <w:pPr>
              <w:jc w:val="center"/>
              <w:rPr>
                <w:b/>
                <w:i/>
              </w:rPr>
            </w:pPr>
            <w:r w:rsidRPr="00B138C4">
              <w:rPr>
                <w:b/>
                <w:i/>
              </w:rPr>
              <w:t>Equation 1</w:t>
            </w:r>
          </w:p>
        </w:tc>
      </w:tr>
    </w:tbl>
    <w:p w14:paraId="56C28BD2" w14:textId="77777777" w:rsidR="000610C0" w:rsidRPr="00B138C4" w:rsidRDefault="000610C0" w:rsidP="000610C0">
      <w:pPr>
        <w:pStyle w:val="tMain"/>
      </w:pPr>
      <w:r w:rsidRPr="00B138C4">
        <w:tab/>
      </w:r>
      <w:r w:rsidRPr="00B138C4">
        <w:tab/>
        <w:t>where:</w:t>
      </w:r>
    </w:p>
    <w:p w14:paraId="007ADB23" w14:textId="77777777"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A</m:t>
            </m:r>
          </m:e>
          <m:sub>
            <m:r>
              <w:rPr>
                <w:rFonts w:ascii="Cambria Math" w:hAnsi="Cambria Math"/>
              </w:rPr>
              <m:t>H, y</m:t>
            </m:r>
          </m:sub>
        </m:sSub>
        <m:r>
          <w:rPr>
            <w:rFonts w:ascii="Cambria Math" w:hAnsi="Cambria Math"/>
          </w:rPr>
          <m:t xml:space="preserve"> </m:t>
        </m:r>
      </m:oMath>
      <w:r w:rsidRPr="00B138C4">
        <w:t xml:space="preserve">= </w:t>
      </w:r>
      <w:r w:rsidRPr="00B138C4">
        <w:tab/>
        <w:t xml:space="preserve">the abatement amount for herd </w:t>
      </w:r>
      <m:oMath>
        <m:r>
          <w:rPr>
            <w:rFonts w:ascii="Cambria Math" w:hAnsi="Cambria Math"/>
          </w:rPr>
          <m:t>H</m:t>
        </m:r>
      </m:oMath>
      <w:r w:rsidRPr="00B138C4">
        <w:t xml:space="preserve"> and for </w:t>
      </w:r>
      <w:r w:rsidR="00AC175B" w:rsidRPr="007373D1">
        <w:t>an assessment year y of the herd that ends in the reporting period</w:t>
      </w:r>
      <w:r w:rsidRPr="00B138C4">
        <w:t>, in t CO</w:t>
      </w:r>
      <w:r w:rsidRPr="00B138C4">
        <w:rPr>
          <w:vertAlign w:val="subscript"/>
        </w:rPr>
        <w:t>2</w:t>
      </w:r>
      <w:r w:rsidR="00C338D8" w:rsidRPr="00B138C4">
        <w:noBreakHyphen/>
      </w:r>
      <w:r w:rsidRPr="00B138C4">
        <w:t>e, given by subsection </w:t>
      </w:r>
      <w:r w:rsidR="001C572E">
        <w:t>(3)</w:t>
      </w:r>
      <w:r w:rsidRPr="00B138C4">
        <w:t>.</w:t>
      </w:r>
    </w:p>
    <w:p w14:paraId="04356F70" w14:textId="77777777" w:rsidR="000610C0" w:rsidRPr="00B138C4" w:rsidRDefault="000610C0" w:rsidP="000610C0">
      <w:pPr>
        <w:pStyle w:val="tMain"/>
      </w:pPr>
      <w:r w:rsidRPr="00B138C4">
        <w:tab/>
      </w:r>
      <w:r w:rsidR="0010015D">
        <w:t>(3)</w:t>
      </w:r>
      <w:r w:rsidRPr="00B138C4">
        <w:tab/>
        <w:t xml:space="preserve">For Equation 1, the abatement amount for herd </w:t>
      </w:r>
      <m:oMath>
        <m:r>
          <w:rPr>
            <w:rFonts w:ascii="Cambria Math" w:hAnsi="Cambria Math"/>
          </w:rPr>
          <m:t>H</m:t>
        </m:r>
      </m:oMath>
      <w:r w:rsidRPr="00B138C4">
        <w:t xml:space="preserve"> and for </w:t>
      </w:r>
      <w:r w:rsidR="00AD0EC0" w:rsidRPr="007373D1">
        <w:t>an assessment year y of the herd that ends in the reporting period</w:t>
      </w:r>
      <w:r w:rsidRPr="00B138C4">
        <w:t>, in t CO</w:t>
      </w:r>
      <w:r w:rsidRPr="00B138C4">
        <w:rPr>
          <w:vertAlign w:val="subscript"/>
        </w:rPr>
        <w:t>2</w:t>
      </w:r>
      <w:r w:rsidR="00C338D8" w:rsidRPr="00B138C4">
        <w:noBreakHyphen/>
      </w:r>
      <w:r w:rsidRPr="00B138C4">
        <w:t xml:space="preserve">e, </w:t>
      </w:r>
      <m:oMath>
        <m:sSub>
          <m:sSubPr>
            <m:ctrlPr>
              <w:rPr>
                <w:rFonts w:ascii="Cambria Math" w:hAnsi="Cambria Math"/>
                <w:i/>
              </w:rPr>
            </m:ctrlPr>
          </m:sSubPr>
          <m:e>
            <m:r>
              <w:rPr>
                <w:rFonts w:ascii="Cambria Math" w:hAnsi="Cambria Math"/>
              </w:rPr>
              <m:t>A</m:t>
            </m:r>
          </m:e>
          <m:sub>
            <m:r>
              <w:rPr>
                <w:rFonts w:ascii="Cambria Math" w:hAnsi="Cambria Math"/>
              </w:rPr>
              <m:t>H, y</m:t>
            </m:r>
          </m:sub>
        </m:sSub>
      </m:oMath>
      <w:r w:rsidRPr="00B138C4">
        <w:t>, is:</w:t>
      </w:r>
    </w:p>
    <w:p w14:paraId="1100C521" w14:textId="77777777" w:rsidR="000610C0" w:rsidRPr="00B138C4" w:rsidRDefault="000610C0" w:rsidP="000610C0">
      <w:pPr>
        <w:pStyle w:val="tPara"/>
      </w:pPr>
      <w:r w:rsidRPr="00B138C4">
        <w:tab/>
      </w:r>
      <w:r w:rsidR="0010015D">
        <w:t>(a)</w:t>
      </w:r>
      <w:r w:rsidRPr="00B138C4">
        <w:tab/>
        <w:t>given by the formula below, if it gives a positive amount; and</w:t>
      </w:r>
    </w:p>
    <w:p w14:paraId="65972CC1" w14:textId="77777777" w:rsidR="000610C0" w:rsidRPr="00B138C4" w:rsidRDefault="000610C0" w:rsidP="000610C0">
      <w:pPr>
        <w:pStyle w:val="tPara"/>
      </w:pPr>
      <w:r w:rsidRPr="00B138C4">
        <w:tab/>
      </w:r>
      <w:r w:rsidR="0010015D">
        <w:t>(b)</w:t>
      </w:r>
      <w:r w:rsidRPr="00B138C4">
        <w:tab/>
        <w:t>zero otherwise.</w:t>
      </w:r>
    </w:p>
    <w:tbl>
      <w:tblPr>
        <w:tblStyle w:val="TableGrid"/>
        <w:tblW w:w="0" w:type="auto"/>
        <w:tblInd w:w="1242" w:type="dxa"/>
        <w:tblLook w:val="04A0" w:firstRow="1" w:lastRow="0" w:firstColumn="1" w:lastColumn="0" w:noHBand="0" w:noVBand="1"/>
      </w:tblPr>
      <w:tblGrid>
        <w:gridCol w:w="5245"/>
        <w:gridCol w:w="2126"/>
      </w:tblGrid>
      <w:tr w:rsidR="000610C0" w:rsidRPr="00B138C4" w14:paraId="20590B51" w14:textId="77777777" w:rsidTr="00207499">
        <w:tc>
          <w:tcPr>
            <w:tcW w:w="5245" w:type="dxa"/>
            <w:vAlign w:val="center"/>
          </w:tcPr>
          <w:p w14:paraId="739CD7A9" w14:textId="77777777" w:rsidR="000610C0" w:rsidRPr="00B138C4" w:rsidRDefault="007411E9" w:rsidP="00207499">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H, y</m:t>
                    </m:r>
                  </m:sub>
                </m:sSub>
                <m:r>
                  <m:rPr>
                    <m:sty m:val="p"/>
                  </m:rPr>
                  <w:rPr>
                    <w:rFonts w:ascii="Cambria Math" w:hAnsi="Cambria Math"/>
                    <w:szCs w:val="22"/>
                  </w:rPr>
                  <m:t>=</m:t>
                </m:r>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PE</m:t>
                    </m:r>
                  </m:e>
                  <m:sub>
                    <m:r>
                      <w:rPr>
                        <w:rFonts w:ascii="Cambria Math" w:hAnsi="Cambria Math"/>
                        <w:szCs w:val="22"/>
                      </w:rPr>
                      <m:t>H,y</m:t>
                    </m:r>
                  </m:sub>
                </m:sSub>
              </m:oMath>
            </m:oMathPara>
          </w:p>
        </w:tc>
        <w:tc>
          <w:tcPr>
            <w:tcW w:w="2126" w:type="dxa"/>
            <w:vAlign w:val="center"/>
          </w:tcPr>
          <w:p w14:paraId="630A61DB" w14:textId="77777777" w:rsidR="000610C0" w:rsidRPr="00B138C4" w:rsidRDefault="000610C0" w:rsidP="00207499">
            <w:pPr>
              <w:jc w:val="center"/>
              <w:rPr>
                <w:b/>
                <w:i/>
              </w:rPr>
            </w:pPr>
            <w:r w:rsidRPr="00B138C4">
              <w:rPr>
                <w:b/>
                <w:i/>
              </w:rPr>
              <w:t>Equation 2</w:t>
            </w:r>
          </w:p>
        </w:tc>
      </w:tr>
    </w:tbl>
    <w:p w14:paraId="1313E677" w14:textId="77777777" w:rsidR="000610C0" w:rsidRPr="00B138C4" w:rsidRDefault="000610C0" w:rsidP="00AD0EC0">
      <w:pPr>
        <w:pStyle w:val="tMain"/>
        <w:tabs>
          <w:tab w:val="left" w:pos="1136"/>
          <w:tab w:val="left" w:pos="1420"/>
          <w:tab w:val="left" w:pos="1704"/>
          <w:tab w:val="left" w:pos="7395"/>
        </w:tabs>
      </w:pPr>
      <w:r w:rsidRPr="00B138C4">
        <w:tab/>
      </w:r>
      <w:r w:rsidRPr="00B138C4">
        <w:tab/>
        <w:t>where:</w:t>
      </w:r>
      <w:r w:rsidR="00AD0EC0">
        <w:tab/>
      </w:r>
    </w:p>
    <w:p w14:paraId="7D7D1401" w14:textId="77777777"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BE</m:t>
            </m:r>
          </m:e>
          <m:sub>
            <m:r>
              <w:rPr>
                <w:rFonts w:ascii="Cambria Math" w:hAnsi="Cambria Math"/>
              </w:rPr>
              <m:t>H, y</m:t>
            </m:r>
          </m:sub>
        </m:sSub>
      </m:oMath>
      <w:r w:rsidR="00DA3B0F" w:rsidRPr="00B138C4">
        <w:t xml:space="preserve"> </w:t>
      </w:r>
      <w:r w:rsidRPr="00B138C4">
        <w:t xml:space="preserve">= </w:t>
      </w:r>
      <w:r w:rsidRPr="00B138C4">
        <w:tab/>
        <w:t xml:space="preserve">the baseline emissions for herd </w:t>
      </w:r>
      <w:r w:rsidRPr="00B138C4">
        <w:rPr>
          <w:i/>
        </w:rPr>
        <w:t xml:space="preserve">H </w:t>
      </w:r>
      <w:r w:rsidRPr="00B138C4">
        <w:t xml:space="preserve">and for </w:t>
      </w:r>
      <w:r w:rsidR="00AD0EC0" w:rsidRPr="007373D1">
        <w:t>an assessment year y of the herd that ends in the reporting period</w:t>
      </w:r>
      <w:r w:rsidRPr="00B138C4">
        <w:t>, in t CO</w:t>
      </w:r>
      <w:r w:rsidRPr="00B138C4">
        <w:rPr>
          <w:vertAlign w:val="subscript"/>
        </w:rPr>
        <w:t>2</w:t>
      </w:r>
      <w:r w:rsidR="00C338D8" w:rsidRPr="00B138C4">
        <w:noBreakHyphen/>
      </w:r>
      <w:r w:rsidRPr="00B138C4">
        <w:t xml:space="preserve">e, given by </w:t>
      </w:r>
      <w:r w:rsidR="001C572E">
        <w:t>Division 2</w:t>
      </w:r>
      <w:r w:rsidRPr="00B138C4">
        <w:t>.</w:t>
      </w:r>
    </w:p>
    <w:p w14:paraId="42757415" w14:textId="77777777"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PE</m:t>
            </m:r>
          </m:e>
          <m:sub>
            <m:r>
              <w:rPr>
                <w:rFonts w:ascii="Cambria Math" w:hAnsi="Cambria Math"/>
              </w:rPr>
              <m:t>H, y</m:t>
            </m:r>
          </m:sub>
        </m:sSub>
      </m:oMath>
      <w:r w:rsidR="00DA3B0F" w:rsidRPr="00B138C4">
        <w:t xml:space="preserve"> </w:t>
      </w:r>
      <w:r w:rsidRPr="00B138C4">
        <w:t xml:space="preserve">= </w:t>
      </w:r>
      <w:r w:rsidRPr="00B138C4">
        <w:tab/>
        <w:t xml:space="preserve">the project emissions for herd </w:t>
      </w:r>
      <w:r w:rsidRPr="00B138C4">
        <w:rPr>
          <w:i/>
        </w:rPr>
        <w:t xml:space="preserve">H </w:t>
      </w:r>
      <w:r w:rsidRPr="00B138C4">
        <w:t xml:space="preserve">and for </w:t>
      </w:r>
      <w:r w:rsidR="00AC175B" w:rsidRPr="007373D1">
        <w:t>an assessment year y of the herd that ends in the reporting period</w:t>
      </w:r>
      <w:r w:rsidRPr="00B138C4">
        <w:t>, in t CO</w:t>
      </w:r>
      <w:r w:rsidRPr="00B138C4">
        <w:rPr>
          <w:vertAlign w:val="subscript"/>
        </w:rPr>
        <w:t>2</w:t>
      </w:r>
      <w:r w:rsidR="00C338D8" w:rsidRPr="00B138C4">
        <w:noBreakHyphen/>
      </w:r>
      <w:r w:rsidRPr="00B138C4">
        <w:t xml:space="preserve">e, given by </w:t>
      </w:r>
      <w:r w:rsidR="001C572E">
        <w:t>Division 3</w:t>
      </w:r>
      <w:r w:rsidRPr="00B138C4">
        <w:t>.</w:t>
      </w:r>
    </w:p>
    <w:p w14:paraId="2EF31E13" w14:textId="77777777" w:rsidR="00DD6AF8" w:rsidRPr="00B138C4" w:rsidRDefault="00DD6AF8" w:rsidP="00DD6AF8">
      <w:pPr>
        <w:pStyle w:val="nMain"/>
        <w:rPr>
          <w:lang w:val="en-US"/>
        </w:rPr>
      </w:pPr>
      <w:r w:rsidRPr="00B138C4">
        <w:t>Note:          Herd annual abatement amounts that are less than zero are not deducted from the carbon dioxide equivalent net abatement amount. This is possible from a greenhouse gas accounting perspective because of the variance discount applied to baseline emissions, which reduces positive herd annual abatement amounts (see section </w:t>
      </w:r>
      <w:r w:rsidR="001C572E">
        <w:t>21</w:t>
      </w:r>
      <w:r w:rsidR="00CF2182">
        <w:t>)</w:t>
      </w:r>
      <w:r w:rsidRPr="00B138C4">
        <w:t>.</w:t>
      </w:r>
    </w:p>
    <w:p w14:paraId="3FD58D94" w14:textId="77777777" w:rsidR="00F576B9" w:rsidRPr="00B138C4" w:rsidRDefault="0010015D" w:rsidP="00F576B9">
      <w:pPr>
        <w:pStyle w:val="h5Section"/>
      </w:pPr>
      <w:bookmarkStart w:id="82" w:name="_Toc426038029"/>
      <w:bookmarkStart w:id="83" w:name="_Toc485211986"/>
      <w:r>
        <w:t>20</w:t>
      </w:r>
      <w:r w:rsidR="00F576B9" w:rsidRPr="00B138C4">
        <w:t xml:space="preserve">  Gases accounted for in abatement calculations</w:t>
      </w:r>
      <w:bookmarkEnd w:id="81"/>
      <w:bookmarkEnd w:id="82"/>
      <w:bookmarkEnd w:id="83"/>
    </w:p>
    <w:p w14:paraId="7EA535F6" w14:textId="77777777" w:rsidR="00F576B9" w:rsidRPr="00B138C4" w:rsidRDefault="00F576B9" w:rsidP="00F576B9">
      <w:pPr>
        <w:pStyle w:val="tMain"/>
      </w:pPr>
      <w:r w:rsidRPr="00B138C4">
        <w:tab/>
      </w:r>
      <w:r w:rsidRPr="00B138C4">
        <w:tab/>
        <w:t>The following table specifies the greenhouse gases and emissions sources that are relevant to working out the carbon dioxide equivalent net abatement amount for a herd management project.</w:t>
      </w:r>
    </w:p>
    <w:tbl>
      <w:tblPr>
        <w:tblStyle w:val="TableGrid"/>
        <w:tblW w:w="0" w:type="auto"/>
        <w:tblInd w:w="964" w:type="dxa"/>
        <w:tblBorders>
          <w:left w:val="none" w:sz="0" w:space="0" w:color="auto"/>
          <w:right w:val="none" w:sz="0" w:space="0" w:color="auto"/>
          <w:insideV w:val="none" w:sz="0" w:space="0" w:color="auto"/>
        </w:tblBorders>
        <w:tblLook w:val="04A0" w:firstRow="1" w:lastRow="0" w:firstColumn="1" w:lastColumn="0" w:noHBand="0" w:noVBand="1"/>
      </w:tblPr>
      <w:tblGrid>
        <w:gridCol w:w="698"/>
        <w:gridCol w:w="2342"/>
        <w:gridCol w:w="2750"/>
        <w:gridCol w:w="2272"/>
      </w:tblGrid>
      <w:tr w:rsidR="00F576B9" w:rsidRPr="00B138C4" w14:paraId="55DCF919" w14:textId="77777777" w:rsidTr="0097239C">
        <w:trPr>
          <w:tblHeader/>
        </w:trPr>
        <w:tc>
          <w:tcPr>
            <w:tcW w:w="8278" w:type="dxa"/>
            <w:gridSpan w:val="4"/>
            <w:tcBorders>
              <w:top w:val="single" w:sz="18" w:space="0" w:color="auto"/>
            </w:tcBorders>
          </w:tcPr>
          <w:p w14:paraId="23141E59" w14:textId="77777777" w:rsidR="00F576B9" w:rsidRPr="00B138C4" w:rsidRDefault="00F576B9" w:rsidP="00F576B9">
            <w:pPr>
              <w:pStyle w:val="TableHeading"/>
            </w:pPr>
            <w:r w:rsidRPr="00B138C4">
              <w:lastRenderedPageBreak/>
              <w:t>Gases accounted for in abatement calculations</w:t>
            </w:r>
            <w:r w:rsidRPr="00B138C4">
              <w:tab/>
            </w:r>
          </w:p>
        </w:tc>
      </w:tr>
      <w:tr w:rsidR="00F576B9" w:rsidRPr="00B138C4" w14:paraId="3A3C640A" w14:textId="77777777" w:rsidTr="0097239C">
        <w:trPr>
          <w:tblHeader/>
        </w:trPr>
        <w:tc>
          <w:tcPr>
            <w:tcW w:w="704" w:type="dxa"/>
            <w:tcBorders>
              <w:bottom w:val="single" w:sz="18" w:space="0" w:color="auto"/>
            </w:tcBorders>
          </w:tcPr>
          <w:p w14:paraId="194D19D6" w14:textId="77777777" w:rsidR="00F576B9" w:rsidRPr="00B138C4" w:rsidRDefault="00F576B9" w:rsidP="00F576B9">
            <w:pPr>
              <w:pStyle w:val="TableHeading"/>
            </w:pPr>
            <w:r w:rsidRPr="00B138C4">
              <w:t>Item</w:t>
            </w:r>
          </w:p>
        </w:tc>
        <w:tc>
          <w:tcPr>
            <w:tcW w:w="2409" w:type="dxa"/>
            <w:tcBorders>
              <w:bottom w:val="single" w:sz="18" w:space="0" w:color="auto"/>
            </w:tcBorders>
          </w:tcPr>
          <w:p w14:paraId="3DE4F3D8" w14:textId="77777777" w:rsidR="00F576B9" w:rsidRPr="00B138C4" w:rsidRDefault="00F576B9" w:rsidP="00F576B9">
            <w:pPr>
              <w:pStyle w:val="TableHeading"/>
            </w:pPr>
            <w:r w:rsidRPr="00B138C4">
              <w:t>Relevant emissions calculation</w:t>
            </w:r>
          </w:p>
        </w:tc>
        <w:tc>
          <w:tcPr>
            <w:tcW w:w="2835" w:type="dxa"/>
            <w:tcBorders>
              <w:bottom w:val="single" w:sz="18" w:space="0" w:color="auto"/>
            </w:tcBorders>
          </w:tcPr>
          <w:p w14:paraId="136B7BCA" w14:textId="77777777" w:rsidR="00F576B9" w:rsidRPr="00B138C4" w:rsidRDefault="00F576B9" w:rsidP="00F576B9">
            <w:pPr>
              <w:pStyle w:val="TableHeading"/>
            </w:pPr>
            <w:r w:rsidRPr="00B138C4">
              <w:t>Emissions source</w:t>
            </w:r>
          </w:p>
        </w:tc>
        <w:tc>
          <w:tcPr>
            <w:tcW w:w="2330" w:type="dxa"/>
            <w:tcBorders>
              <w:bottom w:val="single" w:sz="18" w:space="0" w:color="auto"/>
            </w:tcBorders>
          </w:tcPr>
          <w:p w14:paraId="1D78B174" w14:textId="77777777" w:rsidR="00F576B9" w:rsidRPr="00B138C4" w:rsidRDefault="00F576B9" w:rsidP="00F576B9">
            <w:pPr>
              <w:pStyle w:val="TableHeading"/>
            </w:pPr>
            <w:r w:rsidRPr="00B138C4">
              <w:t>Greenhouse gas</w:t>
            </w:r>
          </w:p>
        </w:tc>
      </w:tr>
      <w:tr w:rsidR="00F576B9" w:rsidRPr="00B138C4" w14:paraId="24AD2060" w14:textId="77777777" w:rsidTr="00F576B9">
        <w:trPr>
          <w:trHeight w:val="437"/>
        </w:trPr>
        <w:tc>
          <w:tcPr>
            <w:tcW w:w="704" w:type="dxa"/>
            <w:tcBorders>
              <w:top w:val="single" w:sz="18" w:space="0" w:color="auto"/>
              <w:bottom w:val="single" w:sz="4" w:space="0" w:color="auto"/>
            </w:tcBorders>
          </w:tcPr>
          <w:p w14:paraId="39D6B69D" w14:textId="77777777" w:rsidR="00F576B9" w:rsidRPr="00B138C4" w:rsidRDefault="00F576B9" w:rsidP="00F576B9">
            <w:pPr>
              <w:pStyle w:val="Tabletext"/>
            </w:pPr>
            <w:r w:rsidRPr="00B138C4">
              <w:t>1</w:t>
            </w:r>
          </w:p>
        </w:tc>
        <w:tc>
          <w:tcPr>
            <w:tcW w:w="2409" w:type="dxa"/>
            <w:tcBorders>
              <w:top w:val="single" w:sz="18" w:space="0" w:color="auto"/>
              <w:bottom w:val="single" w:sz="4" w:space="0" w:color="auto"/>
            </w:tcBorders>
          </w:tcPr>
          <w:p w14:paraId="7D287CD9" w14:textId="77777777" w:rsidR="00F576B9" w:rsidRPr="00B138C4" w:rsidRDefault="00F576B9" w:rsidP="00F576B9">
            <w:pPr>
              <w:pStyle w:val="Tabletext"/>
            </w:pPr>
            <w:r w:rsidRPr="00B138C4">
              <w:t>Baseline emissions and project emissions</w:t>
            </w:r>
          </w:p>
        </w:tc>
        <w:tc>
          <w:tcPr>
            <w:tcW w:w="2835" w:type="dxa"/>
            <w:tcBorders>
              <w:top w:val="single" w:sz="18" w:space="0" w:color="auto"/>
              <w:bottom w:val="single" w:sz="4" w:space="0" w:color="auto"/>
            </w:tcBorders>
          </w:tcPr>
          <w:p w14:paraId="154A8C8B" w14:textId="77777777" w:rsidR="00F576B9" w:rsidRPr="00B138C4" w:rsidRDefault="00F576B9" w:rsidP="00F576B9">
            <w:pPr>
              <w:pStyle w:val="Tabletext"/>
            </w:pPr>
            <w:r w:rsidRPr="00B138C4">
              <w:t>Enteric fermentation</w:t>
            </w:r>
          </w:p>
        </w:tc>
        <w:tc>
          <w:tcPr>
            <w:tcW w:w="2330" w:type="dxa"/>
            <w:tcBorders>
              <w:top w:val="single" w:sz="18" w:space="0" w:color="auto"/>
              <w:bottom w:val="single" w:sz="4" w:space="0" w:color="auto"/>
            </w:tcBorders>
          </w:tcPr>
          <w:p w14:paraId="67FE5FC6" w14:textId="77777777" w:rsidR="00F576B9" w:rsidRPr="00B138C4" w:rsidRDefault="00F576B9" w:rsidP="00F576B9">
            <w:pPr>
              <w:pStyle w:val="Tabletext"/>
            </w:pPr>
            <w:r w:rsidRPr="00B138C4">
              <w:t>Methane (CH</w:t>
            </w:r>
            <w:r w:rsidRPr="00B138C4">
              <w:rPr>
                <w:vertAlign w:val="subscript"/>
              </w:rPr>
              <w:t>4</w:t>
            </w:r>
            <w:r w:rsidRPr="00B138C4">
              <w:t>)</w:t>
            </w:r>
          </w:p>
        </w:tc>
      </w:tr>
      <w:tr w:rsidR="00F576B9" w:rsidRPr="00B138C4" w14:paraId="74BAF2C8" w14:textId="77777777" w:rsidTr="00F576B9">
        <w:tc>
          <w:tcPr>
            <w:tcW w:w="704" w:type="dxa"/>
            <w:tcBorders>
              <w:bottom w:val="single" w:sz="18" w:space="0" w:color="auto"/>
            </w:tcBorders>
          </w:tcPr>
          <w:p w14:paraId="20BFB681" w14:textId="77777777" w:rsidR="00F576B9" w:rsidRPr="00B138C4" w:rsidRDefault="00F576B9" w:rsidP="00F576B9">
            <w:pPr>
              <w:pStyle w:val="Tabletext"/>
            </w:pPr>
            <w:r w:rsidRPr="00B138C4">
              <w:t>2</w:t>
            </w:r>
          </w:p>
        </w:tc>
        <w:tc>
          <w:tcPr>
            <w:tcW w:w="2409" w:type="dxa"/>
            <w:tcBorders>
              <w:bottom w:val="single" w:sz="18" w:space="0" w:color="auto"/>
            </w:tcBorders>
          </w:tcPr>
          <w:p w14:paraId="75C92C1B" w14:textId="77777777" w:rsidR="00F576B9" w:rsidRPr="00B138C4" w:rsidRDefault="00F576B9" w:rsidP="00F576B9">
            <w:pPr>
              <w:pStyle w:val="Tabletext"/>
            </w:pPr>
            <w:r w:rsidRPr="00B138C4">
              <w:t>Baseline emissions and project emissions</w:t>
            </w:r>
          </w:p>
        </w:tc>
        <w:tc>
          <w:tcPr>
            <w:tcW w:w="2835" w:type="dxa"/>
            <w:tcBorders>
              <w:bottom w:val="single" w:sz="18" w:space="0" w:color="auto"/>
            </w:tcBorders>
          </w:tcPr>
          <w:p w14:paraId="41ADFF52" w14:textId="77777777" w:rsidR="00F576B9" w:rsidRPr="00B138C4" w:rsidRDefault="00F576B9" w:rsidP="00F576B9">
            <w:pPr>
              <w:pStyle w:val="Tabletext"/>
            </w:pPr>
            <w:r w:rsidRPr="00B138C4">
              <w:t>Dung and urine</w:t>
            </w:r>
          </w:p>
        </w:tc>
        <w:tc>
          <w:tcPr>
            <w:tcW w:w="2330" w:type="dxa"/>
            <w:tcBorders>
              <w:bottom w:val="single" w:sz="18" w:space="0" w:color="auto"/>
            </w:tcBorders>
          </w:tcPr>
          <w:p w14:paraId="4B28BBD7" w14:textId="77777777" w:rsidR="00F576B9" w:rsidRPr="00B138C4" w:rsidRDefault="00F576B9" w:rsidP="00F576B9">
            <w:pPr>
              <w:pStyle w:val="Tabletext"/>
            </w:pPr>
            <w:r w:rsidRPr="00B138C4">
              <w:t>Nitrous oxide (N</w:t>
            </w:r>
            <w:r w:rsidRPr="00B138C4">
              <w:rPr>
                <w:vertAlign w:val="subscript"/>
              </w:rPr>
              <w:t>2</w:t>
            </w:r>
            <w:r w:rsidRPr="00B138C4">
              <w:t>O)</w:t>
            </w:r>
          </w:p>
        </w:tc>
      </w:tr>
    </w:tbl>
    <w:p w14:paraId="4300CE07" w14:textId="77777777" w:rsidR="00F576B9" w:rsidRPr="00B138C4" w:rsidRDefault="0010015D" w:rsidP="00F576B9">
      <w:pPr>
        <w:pStyle w:val="h3Div"/>
      </w:pPr>
      <w:bookmarkStart w:id="84" w:name="_Toc413161617"/>
      <w:bookmarkStart w:id="85" w:name="_Toc426038030"/>
      <w:bookmarkStart w:id="86" w:name="_Toc485211987"/>
      <w:r>
        <w:t>Division 2</w:t>
      </w:r>
      <w:r w:rsidR="00F576B9" w:rsidRPr="00B138C4">
        <w:t>—The baseline emissions</w:t>
      </w:r>
      <w:bookmarkEnd w:id="84"/>
      <w:bookmarkEnd w:id="85"/>
      <w:bookmarkEnd w:id="86"/>
    </w:p>
    <w:p w14:paraId="10ECC7A0" w14:textId="77777777" w:rsidR="00AC175B" w:rsidRPr="007373D1" w:rsidRDefault="00AC175B" w:rsidP="00AC175B">
      <w:pPr>
        <w:pStyle w:val="h5Section"/>
      </w:pPr>
      <w:bookmarkStart w:id="87" w:name="_Toc453078726"/>
      <w:bookmarkStart w:id="88" w:name="_Toc461268498"/>
      <w:bookmarkStart w:id="89" w:name="_Toc461276074"/>
      <w:bookmarkStart w:id="90" w:name="_Toc462222921"/>
      <w:bookmarkStart w:id="91" w:name="_Toc475720118"/>
      <w:bookmarkStart w:id="92" w:name="_Toc477276993"/>
      <w:bookmarkStart w:id="93" w:name="_Toc485211988"/>
      <w:bookmarkStart w:id="94" w:name="_Toc413161619"/>
      <w:bookmarkStart w:id="95" w:name="_Toc426038032"/>
      <w:r w:rsidRPr="007373D1">
        <w:t>21 The baseline emissions</w:t>
      </w:r>
      <w:bookmarkEnd w:id="87"/>
      <w:bookmarkEnd w:id="88"/>
      <w:bookmarkEnd w:id="89"/>
      <w:bookmarkEnd w:id="90"/>
      <w:bookmarkEnd w:id="91"/>
      <w:bookmarkEnd w:id="92"/>
      <w:bookmarkEnd w:id="93"/>
    </w:p>
    <w:p w14:paraId="66B2F9DF" w14:textId="77777777" w:rsidR="00AC175B" w:rsidRPr="007373D1" w:rsidRDefault="00AC175B" w:rsidP="00AC175B">
      <w:pPr>
        <w:pStyle w:val="ntoHeading"/>
      </w:pPr>
      <w:r w:rsidRPr="007373D1">
        <w:t>Note:</w:t>
      </w:r>
      <w:r w:rsidRPr="007373D1">
        <w:tab/>
        <w:t>The baseline emissions, for each year in the reporting period and for each herd in the project, is the estimated methane and nitrous oxide emissions for each year in the reporting period and for each herd that would have occurred had the project not been undertaken, and discounted by the 4% variance discount.</w:t>
      </w:r>
    </w:p>
    <w:p w14:paraId="7B28DB6A" w14:textId="77777777" w:rsidR="00AC175B" w:rsidRPr="007373D1" w:rsidRDefault="00AC175B" w:rsidP="00AC175B">
      <w:pPr>
        <w:pStyle w:val="tMain"/>
      </w:pPr>
      <w:r w:rsidRPr="007373D1">
        <w:tab/>
      </w:r>
      <w:r w:rsidRPr="007373D1">
        <w:tab/>
        <w:t xml:space="preserve">For each herd </w:t>
      </w:r>
      <m:oMath>
        <m:r>
          <w:rPr>
            <w:rFonts w:ascii="Cambria Math" w:hAnsi="Cambria Math"/>
            <w:szCs w:val="22"/>
          </w:rPr>
          <m:t>H</m:t>
        </m:r>
      </m:oMath>
      <w:r w:rsidRPr="007373D1">
        <w:t xml:space="preserve"> in the project and each assessment year </w:t>
      </w:r>
      <m:oMath>
        <m:r>
          <w:rPr>
            <w:rFonts w:ascii="Cambria Math" w:hAnsi="Cambria Math"/>
            <w:szCs w:val="22"/>
          </w:rPr>
          <m:t>y</m:t>
        </m:r>
      </m:oMath>
      <w:r w:rsidRPr="007373D1">
        <w:t xml:space="preserve"> of the herd that ends in the reporting period, the baseline emissions</w:t>
      </w:r>
      <w:r w:rsidRPr="007373D1">
        <w:rPr>
          <w:b/>
          <w:i/>
        </w:rPr>
        <w:t xml:space="preserve"> </w:t>
      </w:r>
      <m:oMath>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oMath>
      <w:r w:rsidRPr="007373D1">
        <w:rPr>
          <w:i/>
          <w:szCs w:val="22"/>
        </w:rPr>
        <w:t xml:space="preserve"> </w:t>
      </w:r>
      <w:r w:rsidRPr="007373D1">
        <w:t>is given by the following formula:</w:t>
      </w:r>
    </w:p>
    <w:tbl>
      <w:tblPr>
        <w:tblStyle w:val="TableGrid"/>
        <w:tblW w:w="0" w:type="auto"/>
        <w:tblInd w:w="1242" w:type="dxa"/>
        <w:tblLook w:val="04A0" w:firstRow="1" w:lastRow="0" w:firstColumn="1" w:lastColumn="0" w:noHBand="0" w:noVBand="1"/>
      </w:tblPr>
      <w:tblGrid>
        <w:gridCol w:w="5245"/>
        <w:gridCol w:w="2126"/>
      </w:tblGrid>
      <w:tr w:rsidR="00AC175B" w14:paraId="3B6B4770" w14:textId="77777777" w:rsidTr="00E805C1">
        <w:tc>
          <w:tcPr>
            <w:tcW w:w="5245" w:type="dxa"/>
            <w:vAlign w:val="center"/>
          </w:tcPr>
          <w:p w14:paraId="697677ED" w14:textId="77777777" w:rsidR="00AC175B" w:rsidRPr="007373D1" w:rsidRDefault="007411E9" w:rsidP="00E805C1">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f>
                      <m:fPr>
                        <m:ctrlPr>
                          <w:rPr>
                            <w:rFonts w:ascii="Cambria Math" w:hAnsi="Cambria Math"/>
                            <w:i/>
                            <w:szCs w:val="22"/>
                          </w:rPr>
                        </m:ctrlPr>
                      </m:fPr>
                      <m:num>
                        <m:r>
                          <w:rPr>
                            <w:rFonts w:ascii="Cambria Math" w:hAnsi="Cambria Math"/>
                            <w:szCs w:val="22"/>
                          </w:rPr>
                          <m:t>96</m:t>
                        </m:r>
                      </m:num>
                      <m:den>
                        <m:r>
                          <w:rPr>
                            <w:rFonts w:ascii="Cambria Math" w:hAnsi="Cambria Math"/>
                            <w:szCs w:val="22"/>
                          </w:rPr>
                          <m:t>100</m:t>
                        </m:r>
                      </m:den>
                    </m:f>
                    <m:r>
                      <w:rPr>
                        <w:rFonts w:ascii="Cambria Math" w:hAnsi="Cambria Math"/>
                        <w:szCs w:val="22"/>
                      </w:rPr>
                      <m:t>×LWG</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BAEI</m:t>
                    </m:r>
                  </m:e>
                  <m:sub>
                    <m:r>
                      <w:rPr>
                        <w:rFonts w:ascii="Cambria Math" w:hAnsi="Cambria Math"/>
                        <w:szCs w:val="22"/>
                      </w:rPr>
                      <m:t>H</m:t>
                    </m:r>
                  </m:sub>
                </m:sSub>
              </m:oMath>
            </m:oMathPara>
          </w:p>
        </w:tc>
        <w:tc>
          <w:tcPr>
            <w:tcW w:w="2126" w:type="dxa"/>
            <w:vAlign w:val="center"/>
          </w:tcPr>
          <w:p w14:paraId="00E3BA36" w14:textId="77777777" w:rsidR="00AC175B" w:rsidRPr="007373D1" w:rsidRDefault="00AC175B" w:rsidP="00E805C1">
            <w:pPr>
              <w:jc w:val="center"/>
              <w:rPr>
                <w:b/>
                <w:i/>
              </w:rPr>
            </w:pPr>
            <w:r w:rsidRPr="007373D1">
              <w:rPr>
                <w:b/>
                <w:i/>
              </w:rPr>
              <w:t>Equation 3</w:t>
            </w:r>
          </w:p>
        </w:tc>
      </w:tr>
    </w:tbl>
    <w:p w14:paraId="1DA078C5" w14:textId="77777777" w:rsidR="00AC175B" w:rsidRPr="007373D1" w:rsidRDefault="00AC175B" w:rsidP="00AC175B">
      <w:pPr>
        <w:pStyle w:val="tMain"/>
      </w:pPr>
      <w:r w:rsidRPr="007373D1">
        <w:tab/>
      </w:r>
      <w:r w:rsidRPr="007373D1">
        <w:tab/>
        <w:t>where:</w:t>
      </w:r>
    </w:p>
    <w:p w14:paraId="3045DDC8" w14:textId="77777777" w:rsidR="00AC175B" w:rsidRPr="007373D1" w:rsidRDefault="00AC175B" w:rsidP="00AC175B">
      <w:pPr>
        <w:pStyle w:val="tSubpara"/>
        <w:rPr>
          <w:szCs w:val="22"/>
        </w:rPr>
      </w:pPr>
      <w:r w:rsidRPr="007373D1">
        <w:tab/>
      </w:r>
      <m:oMath>
        <m:sSub>
          <m:sSubPr>
            <m:ctrlPr>
              <w:rPr>
                <w:rFonts w:ascii="Cambria Math" w:eastAsia="Calibri" w:hAnsi="Cambria Math"/>
                <w:i/>
                <w:szCs w:val="22"/>
                <w:lang w:eastAsia="en-US"/>
              </w:rPr>
            </m:ctrlPr>
          </m:sSubPr>
          <m:e>
            <m:r>
              <w:rPr>
                <w:rFonts w:ascii="Cambria Math" w:hAnsi="Cambria Math"/>
                <w:szCs w:val="22"/>
              </w:rPr>
              <m:t>LWG</m:t>
            </m:r>
          </m:e>
          <m:sub>
            <m:r>
              <w:rPr>
                <w:rFonts w:ascii="Cambria Math" w:hAnsi="Cambria Math"/>
                <w:szCs w:val="22"/>
              </w:rPr>
              <m:t>H,y</m:t>
            </m:r>
          </m:sub>
        </m:sSub>
      </m:oMath>
      <w:r w:rsidRPr="007373D1">
        <w:rPr>
          <w:szCs w:val="22"/>
          <w:lang w:eastAsia="en-US"/>
        </w:rPr>
        <w:t xml:space="preserve"> =</w:t>
      </w:r>
      <w:r w:rsidRPr="007373D1">
        <w:rPr>
          <w:szCs w:val="22"/>
          <w:lang w:eastAsia="en-US"/>
        </w:rPr>
        <w:tab/>
        <w:t xml:space="preserve">the liveweight gain for herd </w:t>
      </w:r>
      <m:oMath>
        <m:r>
          <w:rPr>
            <w:rFonts w:ascii="Cambria Math" w:hAnsi="Cambria Math"/>
            <w:szCs w:val="22"/>
          </w:rPr>
          <m:t>H</m:t>
        </m:r>
      </m:oMath>
      <w:r w:rsidRPr="007373D1">
        <w:rPr>
          <w:szCs w:val="22"/>
          <w:lang w:eastAsia="en-US"/>
        </w:rPr>
        <w:t xml:space="preserve"> for assessment year</w:t>
      </w:r>
      <m:oMath>
        <m:r>
          <w:rPr>
            <w:rFonts w:ascii="Cambria Math" w:hAnsi="Cambria Math"/>
            <w:szCs w:val="22"/>
          </w:rPr>
          <m:t xml:space="preserve"> y</m:t>
        </m:r>
      </m:oMath>
      <w:r w:rsidRPr="007373D1">
        <w:rPr>
          <w:szCs w:val="22"/>
        </w:rPr>
        <w:t xml:space="preserve"> of the herd, in tonnes, as given by Equation 5.</w:t>
      </w:r>
    </w:p>
    <w:p w14:paraId="035A0EB0" w14:textId="77777777" w:rsidR="00AC175B" w:rsidRPr="007373D1" w:rsidRDefault="00AC175B" w:rsidP="00AC175B">
      <w:pPr>
        <w:pStyle w:val="tSubpara"/>
        <w:rPr>
          <w:szCs w:val="22"/>
        </w:rPr>
      </w:pPr>
      <w:r w:rsidRPr="007373D1">
        <w:tab/>
      </w:r>
      <m:oMath>
        <m:sSub>
          <m:sSubPr>
            <m:ctrlPr>
              <w:rPr>
                <w:rFonts w:ascii="Cambria Math" w:hAnsi="Cambria Math"/>
                <w:i/>
                <w:szCs w:val="22"/>
              </w:rPr>
            </m:ctrlPr>
          </m:sSubPr>
          <m:e>
            <m:r>
              <w:rPr>
                <w:rFonts w:ascii="Cambria Math" w:hAnsi="Cambria Math"/>
                <w:szCs w:val="22"/>
              </w:rPr>
              <m:t>BAEI</m:t>
            </m:r>
          </m:e>
          <m:sub>
            <m:r>
              <w:rPr>
                <w:rFonts w:ascii="Cambria Math" w:hAnsi="Cambria Math"/>
                <w:szCs w:val="22"/>
              </w:rPr>
              <m:t>H</m:t>
            </m:r>
          </m:sub>
        </m:sSub>
      </m:oMath>
      <w:r w:rsidRPr="007373D1">
        <w:rPr>
          <w:szCs w:val="22"/>
        </w:rPr>
        <w:t xml:space="preserve"> = </w:t>
      </w:r>
      <w:r w:rsidRPr="007373D1">
        <w:rPr>
          <w:szCs w:val="22"/>
        </w:rPr>
        <w:tab/>
        <w:t>the baseline annual emissions intensity for herd H, given by:</w:t>
      </w:r>
    </w:p>
    <w:p w14:paraId="30F21EED" w14:textId="77777777" w:rsidR="00AC175B" w:rsidRPr="007373D1" w:rsidRDefault="00AC175B" w:rsidP="00AC175B">
      <w:pPr>
        <w:pStyle w:val="tSubpara"/>
      </w:pPr>
      <w:r w:rsidRPr="007373D1">
        <w:tab/>
        <w:t>(a)</w:t>
      </w:r>
      <w:r w:rsidRPr="007373D1">
        <w:tab/>
        <w:t>if herd H is a full data herd—</w:t>
      </w:r>
      <w:r w:rsidRPr="007373D1">
        <w:rPr>
          <w:szCs w:val="22"/>
        </w:rPr>
        <w:t xml:space="preserve">the historical annual emissions intensity for </w:t>
      </w:r>
      <w:r w:rsidRPr="007373D1">
        <w:t xml:space="preserve">herd </w:t>
      </w:r>
      <m:oMath>
        <m:r>
          <w:rPr>
            <w:rFonts w:ascii="Cambria Math" w:hAnsi="Cambria Math"/>
            <w:szCs w:val="22"/>
          </w:rPr>
          <m:t>H</m:t>
        </m:r>
      </m:oMath>
      <w:r w:rsidRPr="007373D1">
        <w:rPr>
          <w:szCs w:val="22"/>
        </w:rPr>
        <w:t xml:space="preserve"> (</w:t>
      </w:r>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H</m:t>
            </m:r>
          </m:sub>
        </m:sSub>
        <m:r>
          <w:rPr>
            <w:rFonts w:ascii="Cambria Math" w:hAnsi="Cambria Math"/>
            <w:szCs w:val="22"/>
          </w:rPr>
          <m:t>)</m:t>
        </m:r>
      </m:oMath>
      <w:r w:rsidRPr="007373D1">
        <w:rPr>
          <w:szCs w:val="22"/>
        </w:rPr>
        <w:t>, in t CO</w:t>
      </w:r>
      <w:r w:rsidRPr="007373D1">
        <w:rPr>
          <w:szCs w:val="22"/>
          <w:vertAlign w:val="subscript"/>
        </w:rPr>
        <w:t>2</w:t>
      </w:r>
      <w:r w:rsidRPr="007373D1">
        <w:rPr>
          <w:szCs w:val="22"/>
        </w:rPr>
        <w:noBreakHyphen/>
        <w:t>e per tonne of liveweight, as given by</w:t>
      </w:r>
      <w:r w:rsidRPr="007373D1">
        <w:t xml:space="preserve"> Equation 4; and</w:t>
      </w:r>
    </w:p>
    <w:p w14:paraId="53992B49" w14:textId="77777777" w:rsidR="00AC175B" w:rsidRPr="007373D1" w:rsidRDefault="00AC175B" w:rsidP="00AC175B">
      <w:pPr>
        <w:pStyle w:val="tSubpara"/>
      </w:pPr>
      <w:r w:rsidRPr="007373D1">
        <w:tab/>
        <w:t>(b)</w:t>
      </w:r>
      <w:r w:rsidRPr="007373D1">
        <w:tab/>
        <w:t xml:space="preserve">if herd H is the limited data herd—the lower of the following, </w:t>
      </w:r>
      <w:r w:rsidRPr="007373D1">
        <w:rPr>
          <w:szCs w:val="22"/>
        </w:rPr>
        <w:t>in t CO</w:t>
      </w:r>
      <w:r w:rsidRPr="007373D1">
        <w:rPr>
          <w:szCs w:val="22"/>
          <w:vertAlign w:val="subscript"/>
        </w:rPr>
        <w:t>2</w:t>
      </w:r>
      <w:r w:rsidRPr="007373D1">
        <w:rPr>
          <w:szCs w:val="22"/>
        </w:rPr>
        <w:noBreakHyphen/>
        <w:t>e per tonne of liveweight</w:t>
      </w:r>
      <w:r w:rsidRPr="007373D1">
        <w:t xml:space="preserve">: </w:t>
      </w:r>
    </w:p>
    <w:p w14:paraId="361E6A69" w14:textId="77777777" w:rsidR="00AC175B" w:rsidRPr="007373D1" w:rsidRDefault="00AC175B" w:rsidP="00AC175B">
      <w:pPr>
        <w:pStyle w:val="tSubsub"/>
      </w:pPr>
      <w:r w:rsidRPr="007373D1">
        <w:t xml:space="preserve"> </w:t>
      </w:r>
      <w:r w:rsidRPr="007373D1">
        <w:tab/>
        <w:t>(i)</w:t>
      </w:r>
      <w:r w:rsidRPr="007373D1">
        <w:tab/>
        <w:t xml:space="preserve">the historical annual emissions intensity for herd </w:t>
      </w:r>
      <m:oMath>
        <m:r>
          <w:rPr>
            <w:rFonts w:ascii="Cambria Math" w:hAnsi="Cambria Math"/>
          </w:rPr>
          <m:t>H</m:t>
        </m:r>
      </m:oMath>
      <w:r w:rsidRPr="007373D1">
        <w:t xml:space="preserve"> </w:t>
      </w:r>
      <w:r w:rsidRPr="007373D1">
        <w:rPr>
          <w:szCs w:val="22"/>
        </w:rPr>
        <w:t>(</w:t>
      </w:r>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H</m:t>
            </m:r>
          </m:sub>
        </m:sSub>
        <m:r>
          <w:rPr>
            <w:rFonts w:ascii="Cambria Math" w:hAnsi="Cambria Math"/>
            <w:szCs w:val="22"/>
          </w:rPr>
          <m:t>)</m:t>
        </m:r>
      </m:oMath>
      <w:r w:rsidRPr="007373D1">
        <w:t>, as given by Equation 4;</w:t>
      </w:r>
    </w:p>
    <w:p w14:paraId="47E4FE48" w14:textId="77777777" w:rsidR="00AC175B" w:rsidRPr="007373D1" w:rsidRDefault="00AC175B" w:rsidP="00AC175B">
      <w:pPr>
        <w:pStyle w:val="tSubsub"/>
      </w:pPr>
      <w:r w:rsidRPr="007373D1">
        <w:tab/>
        <w:t>(ii)</w:t>
      </w:r>
      <w:r w:rsidRPr="007373D1">
        <w:tab/>
        <w:t xml:space="preserve">the reference emissions intensity for the project </w:t>
      </w:r>
      <w:r w:rsidRPr="007373D1">
        <w:rPr>
          <w:szCs w:val="22"/>
        </w:rPr>
        <w:t>(</w:t>
      </w:r>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R</m:t>
            </m:r>
          </m:sub>
        </m:sSub>
        <m:r>
          <w:rPr>
            <w:rFonts w:ascii="Cambria Math" w:hAnsi="Cambria Math"/>
            <w:szCs w:val="22"/>
          </w:rPr>
          <m:t>)</m:t>
        </m:r>
      </m:oMath>
      <w:r w:rsidRPr="007373D1">
        <w:t>, as given by Equation 4A.</w:t>
      </w:r>
    </w:p>
    <w:p w14:paraId="36FBFC94" w14:textId="77777777" w:rsidR="00AC175B" w:rsidRPr="007373D1" w:rsidRDefault="00AC175B" w:rsidP="00AC175B">
      <w:pPr>
        <w:pStyle w:val="nMain"/>
      </w:pPr>
      <w:r w:rsidRPr="007373D1">
        <w:t xml:space="preserve">Note:          The factor </w:t>
      </w:r>
      <m:oMath>
        <m:box>
          <m:boxPr>
            <m:ctrlPr>
              <w:rPr>
                <w:rFonts w:ascii="Cambria Math" w:eastAsiaTheme="minorHAnsi" w:hAnsi="Cambria Math"/>
                <w:i/>
                <w:iCs/>
                <w:szCs w:val="18"/>
              </w:rPr>
            </m:ctrlPr>
          </m:boxPr>
          <m:e>
            <m:argPr>
              <m:argSz m:val="-1"/>
            </m:argPr>
            <m:f>
              <m:fPr>
                <m:type m:val="skw"/>
                <m:ctrlPr>
                  <w:rPr>
                    <w:rFonts w:ascii="Cambria Math" w:eastAsiaTheme="minorHAnsi" w:hAnsi="Cambria Math"/>
                    <w:i/>
                    <w:iCs/>
                    <w:szCs w:val="18"/>
                  </w:rPr>
                </m:ctrlPr>
              </m:fPr>
              <m:num>
                <m:r>
                  <w:rPr>
                    <w:rFonts w:ascii="Cambria Math" w:hAnsi="Cambria Math"/>
                    <w:szCs w:val="22"/>
                  </w:rPr>
                  <m:t>96</m:t>
                </m:r>
              </m:num>
              <m:den>
                <m:r>
                  <w:rPr>
                    <w:rFonts w:ascii="Cambria Math" w:hAnsi="Cambria Math"/>
                  </w:rPr>
                  <m:t>100</m:t>
                </m:r>
              </m:den>
            </m:f>
          </m:e>
        </m:box>
      </m:oMath>
      <w:r w:rsidRPr="007373D1">
        <w:t xml:space="preserve"> represents a variance discount, which is applied to account for emissions reductions that were due only to environmental variations and compensates for years when herd annual abatement amounts are less than zero.</w:t>
      </w:r>
    </w:p>
    <w:p w14:paraId="7C158D3B" w14:textId="77777777" w:rsidR="00AC175B" w:rsidRPr="007373D1" w:rsidRDefault="00AC175B" w:rsidP="00AC175B">
      <w:pPr>
        <w:pStyle w:val="h5Section"/>
      </w:pPr>
      <w:bookmarkStart w:id="96" w:name="_Toc453078727"/>
      <w:bookmarkStart w:id="97" w:name="_Toc461268499"/>
      <w:bookmarkStart w:id="98" w:name="_Toc461276075"/>
      <w:bookmarkStart w:id="99" w:name="_Toc462222922"/>
      <w:bookmarkStart w:id="100" w:name="_Toc475720119"/>
      <w:bookmarkStart w:id="101" w:name="_Toc477276994"/>
      <w:bookmarkStart w:id="102" w:name="_Toc485211989"/>
      <w:r w:rsidRPr="007373D1">
        <w:t>21A  Historical annual emissions intensity</w:t>
      </w:r>
      <w:bookmarkEnd w:id="96"/>
      <w:bookmarkEnd w:id="97"/>
      <w:bookmarkEnd w:id="98"/>
      <w:bookmarkEnd w:id="99"/>
      <w:bookmarkEnd w:id="100"/>
      <w:bookmarkEnd w:id="101"/>
      <w:bookmarkEnd w:id="102"/>
    </w:p>
    <w:p w14:paraId="61D81DF9" w14:textId="77777777" w:rsidR="00AC175B" w:rsidRPr="007373D1" w:rsidRDefault="00AC175B" w:rsidP="00AC175B">
      <w:pPr>
        <w:pStyle w:val="tMain"/>
      </w:pPr>
      <w:r w:rsidRPr="007373D1">
        <w:tab/>
        <w:t>(1)</w:t>
      </w:r>
      <w:r w:rsidRPr="007373D1">
        <w:tab/>
        <w:t xml:space="preserve">For the definition of </w:t>
      </w:r>
      <m:oMath>
        <m:sSub>
          <m:sSubPr>
            <m:ctrlPr>
              <w:rPr>
                <w:rFonts w:ascii="Cambria Math" w:hAnsi="Cambria Math"/>
                <w:i/>
                <w:szCs w:val="22"/>
              </w:rPr>
            </m:ctrlPr>
          </m:sSubPr>
          <m:e>
            <m:r>
              <w:rPr>
                <w:rFonts w:ascii="Cambria Math" w:hAnsi="Cambria Math"/>
                <w:szCs w:val="22"/>
              </w:rPr>
              <m:t>BAEI</m:t>
            </m:r>
          </m:e>
          <m:sub>
            <m:r>
              <w:rPr>
                <w:rFonts w:ascii="Cambria Math" w:hAnsi="Cambria Math"/>
                <w:szCs w:val="22"/>
              </w:rPr>
              <m:t>H</m:t>
            </m:r>
          </m:sub>
        </m:sSub>
      </m:oMath>
      <w:r w:rsidRPr="007373D1">
        <w:rPr>
          <w:szCs w:val="22"/>
        </w:rPr>
        <w:t xml:space="preserve"> in</w:t>
      </w:r>
      <w:r w:rsidRPr="007373D1">
        <w:t xml:space="preserve"> Equation 3, the historical annual emissions intensity, </w:t>
      </w:r>
      <m:oMath>
        <m:sSub>
          <m:sSubPr>
            <m:ctrlPr>
              <w:rPr>
                <w:rFonts w:ascii="Cambria Math" w:eastAsia="Calibri" w:hAnsi="Cambria Math"/>
                <w:i/>
                <w:szCs w:val="22"/>
                <w:lang w:eastAsia="en-US"/>
              </w:rPr>
            </m:ctrlPr>
          </m:sSubPr>
          <m:e>
            <m:r>
              <w:rPr>
                <w:rFonts w:ascii="Cambria Math" w:hAnsi="Cambria Math"/>
                <w:szCs w:val="22"/>
              </w:rPr>
              <m:t>HAEI</m:t>
            </m:r>
          </m:e>
          <m:sub>
            <m:r>
              <w:rPr>
                <w:rFonts w:ascii="Cambria Math" w:hAnsi="Cambria Math"/>
                <w:szCs w:val="22"/>
              </w:rPr>
              <m:t>H</m:t>
            </m:r>
          </m:sub>
        </m:sSub>
      </m:oMath>
      <w:r w:rsidRPr="007373D1">
        <w:rPr>
          <w:szCs w:val="22"/>
          <w:lang w:eastAsia="en-US"/>
        </w:rPr>
        <w:t xml:space="preserve">, for herd </w:t>
      </w:r>
      <m:oMath>
        <m:r>
          <w:rPr>
            <w:rFonts w:ascii="Cambria Math" w:hAnsi="Cambria Math"/>
            <w:szCs w:val="22"/>
          </w:rPr>
          <m:t>H</m:t>
        </m:r>
      </m:oMath>
      <w:r w:rsidRPr="007373D1">
        <w:rPr>
          <w:szCs w:val="22"/>
        </w:rPr>
        <w:t>, in t CO</w:t>
      </w:r>
      <w:r w:rsidRPr="007373D1">
        <w:rPr>
          <w:szCs w:val="22"/>
          <w:vertAlign w:val="subscript"/>
        </w:rPr>
        <w:t>2</w:t>
      </w:r>
      <w:r w:rsidRPr="007373D1">
        <w:rPr>
          <w:szCs w:val="22"/>
        </w:rPr>
        <w:noBreakHyphen/>
        <w:t xml:space="preserve">e per tonne of liveweight, is given by the following formula, where the sums are over all years </w:t>
      </w:r>
      <m:oMath>
        <m:r>
          <w:rPr>
            <w:rFonts w:ascii="Cambria Math" w:hAnsi="Cambria Math"/>
            <w:szCs w:val="22"/>
          </w:rPr>
          <m:t>y</m:t>
        </m:r>
      </m:oMath>
      <w:r w:rsidRPr="007373D1">
        <w:rPr>
          <w:szCs w:val="22"/>
        </w:rPr>
        <w:t xml:space="preserve"> of the emissions intensity reference period</w:t>
      </w:r>
      <w:r w:rsidRPr="007373D1">
        <w:t>:</w:t>
      </w:r>
    </w:p>
    <w:tbl>
      <w:tblPr>
        <w:tblStyle w:val="TableGrid"/>
        <w:tblW w:w="0" w:type="auto"/>
        <w:tblInd w:w="1242" w:type="dxa"/>
        <w:tblLook w:val="04A0" w:firstRow="1" w:lastRow="0" w:firstColumn="1" w:lastColumn="0" w:noHBand="0" w:noVBand="1"/>
      </w:tblPr>
      <w:tblGrid>
        <w:gridCol w:w="5245"/>
        <w:gridCol w:w="2126"/>
      </w:tblGrid>
      <w:tr w:rsidR="00AC175B" w14:paraId="201414C5" w14:textId="77777777" w:rsidTr="00E805C1">
        <w:tc>
          <w:tcPr>
            <w:tcW w:w="5245" w:type="dxa"/>
            <w:vAlign w:val="center"/>
          </w:tcPr>
          <w:p w14:paraId="3B02B7F1" w14:textId="77777777" w:rsidR="00AC175B" w:rsidRPr="007373D1" w:rsidRDefault="007411E9" w:rsidP="00E805C1">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H</m:t>
                    </m:r>
                  </m:sub>
                </m:sSub>
                <m:r>
                  <w:rPr>
                    <w:rFonts w:ascii="Cambria Math" w:hAnsi="Cambria Math"/>
                    <w:szCs w:val="22"/>
                  </w:rPr>
                  <m:t>=</m:t>
                </m:r>
                <m:f>
                  <m:fPr>
                    <m:ctrlPr>
                      <w:rPr>
                        <w:rFonts w:ascii="Cambria Math" w:hAnsi="Cambria Math"/>
                        <w:i/>
                        <w:szCs w:val="22"/>
                      </w:rPr>
                    </m:ctrlPr>
                  </m:fPr>
                  <m:num>
                    <m:nary>
                      <m:naryPr>
                        <m:chr m:val="∑"/>
                        <m:limLoc m:val="undOvr"/>
                        <m:supHide m:val="1"/>
                        <m:ctrlPr>
                          <w:rPr>
                            <w:rFonts w:ascii="Cambria Math" w:hAnsi="Cambria Math"/>
                            <w:i/>
                            <w:szCs w:val="22"/>
                          </w:rPr>
                        </m:ctrlPr>
                      </m:naryPr>
                      <m:sub>
                        <m:r>
                          <w:rPr>
                            <w:rFonts w:ascii="Cambria Math" w:hAnsi="Cambria Math"/>
                            <w:szCs w:val="22"/>
                          </w:rPr>
                          <m:t>y</m:t>
                        </m:r>
                      </m:sub>
                      <m:sup/>
                      <m:e>
                        <m:sSub>
                          <m:sSubPr>
                            <m:ctrlPr>
                              <w:rPr>
                                <w:rFonts w:ascii="Cambria Math" w:hAnsi="Cambria Math"/>
                                <w:i/>
                                <w:szCs w:val="22"/>
                              </w:rPr>
                            </m:ctrlPr>
                          </m:sSubPr>
                          <m:e>
                            <m:r>
                              <w:rPr>
                                <w:rFonts w:ascii="Cambria Math" w:hAnsi="Cambria Math"/>
                                <w:szCs w:val="22"/>
                              </w:rPr>
                              <m:t>TE</m:t>
                            </m:r>
                          </m:e>
                          <m:sub>
                            <m:r>
                              <w:rPr>
                                <w:rFonts w:ascii="Cambria Math" w:hAnsi="Cambria Math"/>
                                <w:szCs w:val="22"/>
                              </w:rPr>
                              <m:t>H,y</m:t>
                            </m:r>
                          </m:sub>
                        </m:sSub>
                      </m:e>
                    </m:nary>
                  </m:num>
                  <m:den>
                    <m:nary>
                      <m:naryPr>
                        <m:chr m:val="∑"/>
                        <m:limLoc m:val="undOvr"/>
                        <m:supHide m:val="1"/>
                        <m:ctrlPr>
                          <w:rPr>
                            <w:rFonts w:ascii="Cambria Math" w:hAnsi="Cambria Math"/>
                            <w:i/>
                            <w:szCs w:val="22"/>
                          </w:rPr>
                        </m:ctrlPr>
                      </m:naryPr>
                      <m:sub>
                        <m:r>
                          <w:rPr>
                            <w:rFonts w:ascii="Cambria Math" w:hAnsi="Cambria Math"/>
                            <w:szCs w:val="22"/>
                          </w:rPr>
                          <m:t>y</m:t>
                        </m:r>
                      </m:sub>
                      <m:sup/>
                      <m:e>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e>
                    </m:nary>
                  </m:den>
                </m:f>
              </m:oMath>
            </m:oMathPara>
          </w:p>
        </w:tc>
        <w:tc>
          <w:tcPr>
            <w:tcW w:w="2126" w:type="dxa"/>
            <w:vAlign w:val="center"/>
          </w:tcPr>
          <w:p w14:paraId="72577443" w14:textId="77777777" w:rsidR="00AC175B" w:rsidRPr="007373D1" w:rsidRDefault="00AC175B" w:rsidP="00E805C1">
            <w:pPr>
              <w:jc w:val="center"/>
              <w:rPr>
                <w:b/>
                <w:i/>
              </w:rPr>
            </w:pPr>
            <w:r w:rsidRPr="007373D1">
              <w:rPr>
                <w:b/>
                <w:i/>
              </w:rPr>
              <w:t>Equation 4</w:t>
            </w:r>
          </w:p>
        </w:tc>
      </w:tr>
    </w:tbl>
    <w:p w14:paraId="3D6D88BB" w14:textId="77777777" w:rsidR="00AC175B" w:rsidRPr="007373D1" w:rsidRDefault="00AC175B" w:rsidP="00AC175B">
      <w:pPr>
        <w:pStyle w:val="tMain"/>
      </w:pPr>
      <w:r w:rsidRPr="007373D1">
        <w:tab/>
      </w:r>
      <w:r w:rsidRPr="007373D1">
        <w:tab/>
        <w:t>where:</w:t>
      </w:r>
    </w:p>
    <w:p w14:paraId="2E234C7F" w14:textId="77777777" w:rsidR="00AC175B" w:rsidRPr="007373D1" w:rsidRDefault="00AC175B" w:rsidP="00AC175B">
      <w:pPr>
        <w:pStyle w:val="tSubpara"/>
        <w:rPr>
          <w:szCs w:val="22"/>
        </w:rPr>
      </w:pPr>
      <w:r w:rsidRPr="007373D1">
        <w:rPr>
          <w:szCs w:val="22"/>
          <w:lang w:eastAsia="en-US"/>
        </w:rPr>
        <w:tab/>
      </w:r>
      <m:oMath>
        <m:sSub>
          <m:sSubPr>
            <m:ctrlPr>
              <w:rPr>
                <w:rFonts w:ascii="Cambria Math" w:eastAsia="Calibri" w:hAnsi="Cambria Math"/>
                <w:i/>
                <w:szCs w:val="22"/>
                <w:lang w:eastAsia="en-US"/>
              </w:rPr>
            </m:ctrlPr>
          </m:sSubPr>
          <m:e>
            <m:r>
              <w:rPr>
                <w:rFonts w:ascii="Cambria Math" w:hAnsi="Cambria Math"/>
                <w:szCs w:val="22"/>
              </w:rPr>
              <m:t>TE</m:t>
            </m:r>
          </m:e>
          <m:sub>
            <m:r>
              <w:rPr>
                <w:rFonts w:ascii="Cambria Math" w:hAnsi="Cambria Math"/>
                <w:szCs w:val="22"/>
              </w:rPr>
              <m:t>H,y</m:t>
            </m:r>
          </m:sub>
        </m:sSub>
      </m:oMath>
      <w:r w:rsidRPr="007373D1">
        <w:rPr>
          <w:szCs w:val="22"/>
          <w:lang w:eastAsia="en-US"/>
        </w:rPr>
        <w:t xml:space="preserve"> =</w:t>
      </w:r>
      <w:r w:rsidRPr="007373D1">
        <w:rPr>
          <w:szCs w:val="22"/>
          <w:lang w:eastAsia="en-US"/>
        </w:rPr>
        <w:tab/>
        <w:t xml:space="preserve">the total emissions of herd </w:t>
      </w:r>
      <m:oMath>
        <m:r>
          <w:rPr>
            <w:rFonts w:ascii="Cambria Math" w:hAnsi="Cambria Math"/>
            <w:szCs w:val="22"/>
          </w:rPr>
          <m:t>H</m:t>
        </m:r>
      </m:oMath>
      <w:r w:rsidRPr="007373D1">
        <w:rPr>
          <w:szCs w:val="22"/>
        </w:rPr>
        <w:t xml:space="preserve">, in </w:t>
      </w:r>
      <w:r w:rsidRPr="007373D1">
        <w:t>t CO</w:t>
      </w:r>
      <w:r w:rsidRPr="007373D1">
        <w:rPr>
          <w:vertAlign w:val="subscript"/>
        </w:rPr>
        <w:t>2</w:t>
      </w:r>
      <w:r w:rsidRPr="007373D1">
        <w:noBreakHyphen/>
        <w:t>e</w:t>
      </w:r>
      <w:r w:rsidRPr="007373D1">
        <w:rPr>
          <w:szCs w:val="22"/>
          <w:lang w:eastAsia="en-US"/>
        </w:rPr>
        <w:t xml:space="preserve">, for year </w:t>
      </w:r>
      <m:oMath>
        <m:r>
          <w:rPr>
            <w:rFonts w:ascii="Cambria Math" w:hAnsi="Cambria Math"/>
            <w:szCs w:val="22"/>
          </w:rPr>
          <m:t>y</m:t>
        </m:r>
      </m:oMath>
      <w:r w:rsidRPr="007373D1">
        <w:rPr>
          <w:szCs w:val="22"/>
        </w:rPr>
        <w:t xml:space="preserve"> of the emissions intensity reference period, as calculated in accordance with Division 4.</w:t>
      </w:r>
    </w:p>
    <w:p w14:paraId="1B3A6075" w14:textId="77777777" w:rsidR="00AC175B" w:rsidRPr="007373D1" w:rsidRDefault="00AC175B" w:rsidP="00AC175B">
      <w:pPr>
        <w:pStyle w:val="tSubpara"/>
        <w:rPr>
          <w:szCs w:val="22"/>
        </w:rPr>
      </w:pPr>
      <w:r w:rsidRPr="007373D1">
        <w:lastRenderedPageBreak/>
        <w:tab/>
      </w:r>
      <m:oMath>
        <m:sSub>
          <m:sSubPr>
            <m:ctrlPr>
              <w:rPr>
                <w:rFonts w:ascii="Cambria Math" w:eastAsia="Calibri" w:hAnsi="Cambria Math"/>
                <w:i/>
                <w:szCs w:val="22"/>
                <w:lang w:eastAsia="en-US"/>
              </w:rPr>
            </m:ctrlPr>
          </m:sSubPr>
          <m:e>
            <m:r>
              <w:rPr>
                <w:rFonts w:ascii="Cambria Math" w:hAnsi="Cambria Math"/>
                <w:szCs w:val="22"/>
              </w:rPr>
              <m:t>LWG</m:t>
            </m:r>
          </m:e>
          <m:sub>
            <m:r>
              <w:rPr>
                <w:rFonts w:ascii="Cambria Math" w:hAnsi="Cambria Math"/>
                <w:szCs w:val="22"/>
              </w:rPr>
              <m:t>H,y</m:t>
            </m:r>
          </m:sub>
        </m:sSub>
      </m:oMath>
      <w:r w:rsidRPr="007373D1">
        <w:rPr>
          <w:szCs w:val="22"/>
          <w:lang w:eastAsia="en-US"/>
        </w:rPr>
        <w:t xml:space="preserve"> =</w:t>
      </w:r>
      <w:r w:rsidRPr="007373D1">
        <w:rPr>
          <w:szCs w:val="22"/>
          <w:lang w:eastAsia="en-US"/>
        </w:rPr>
        <w:tab/>
        <w:t xml:space="preserve">the liveweight gain for herd </w:t>
      </w:r>
      <m:oMath>
        <m:r>
          <w:rPr>
            <w:rFonts w:ascii="Cambria Math" w:hAnsi="Cambria Math"/>
            <w:szCs w:val="22"/>
          </w:rPr>
          <m:t>H</m:t>
        </m:r>
      </m:oMath>
      <w:r w:rsidRPr="007373D1">
        <w:rPr>
          <w:szCs w:val="22"/>
          <w:lang w:eastAsia="en-US"/>
        </w:rPr>
        <w:t xml:space="preserve"> for year</w:t>
      </w:r>
      <m:oMath>
        <m:r>
          <w:rPr>
            <w:rFonts w:ascii="Cambria Math" w:hAnsi="Cambria Math"/>
            <w:szCs w:val="22"/>
          </w:rPr>
          <m:t xml:space="preserve"> y</m:t>
        </m:r>
      </m:oMath>
      <w:r w:rsidRPr="007373D1">
        <w:rPr>
          <w:szCs w:val="22"/>
        </w:rPr>
        <w:t xml:space="preserve"> of the emissions intensity reference period, in tonnes, as given by Equation 5.</w:t>
      </w:r>
    </w:p>
    <w:p w14:paraId="29932473" w14:textId="77777777" w:rsidR="00AC175B" w:rsidRPr="007373D1" w:rsidRDefault="00AC175B" w:rsidP="00AC175B">
      <w:pPr>
        <w:pStyle w:val="tSubpara"/>
        <w:rPr>
          <w:szCs w:val="22"/>
        </w:rPr>
      </w:pPr>
    </w:p>
    <w:p w14:paraId="0CEA0F3F" w14:textId="77777777" w:rsidR="00AC175B" w:rsidRPr="007373D1" w:rsidRDefault="00AC175B" w:rsidP="00AC175B">
      <w:pPr>
        <w:pStyle w:val="tMain"/>
      </w:pPr>
      <w:r w:rsidRPr="007373D1">
        <w:tab/>
        <w:t>(2)</w:t>
      </w:r>
      <w:r w:rsidRPr="007373D1">
        <w:tab/>
        <w:t>For subsection (1):</w:t>
      </w:r>
    </w:p>
    <w:p w14:paraId="0A579199" w14:textId="77777777" w:rsidR="00AC175B" w:rsidRPr="007373D1" w:rsidRDefault="00AC175B" w:rsidP="00AC175B">
      <w:pPr>
        <w:pStyle w:val="tPara"/>
      </w:pPr>
      <w:r w:rsidRPr="007373D1">
        <w:tab/>
        <w:t>(a)</w:t>
      </w:r>
      <w:r w:rsidRPr="007373D1">
        <w:tab/>
        <w:t>take into account only emissions from the emissions sources specified in the table in section 20; and</w:t>
      </w:r>
    </w:p>
    <w:p w14:paraId="5C79466A" w14:textId="77777777" w:rsidR="00AC175B" w:rsidRPr="007373D1" w:rsidRDefault="00AC175B" w:rsidP="00AC175B">
      <w:pPr>
        <w:pStyle w:val="tPara"/>
      </w:pPr>
      <w:r w:rsidRPr="007373D1">
        <w:tab/>
        <w:t>(b)</w:t>
      </w:r>
      <w:r w:rsidRPr="007373D1">
        <w:tab/>
        <w:t>assume that the herd’s diet in the emissions intensity reference period consisted entirely of pasture from the region referred to in item 1 of the table in Schedule 1.</w:t>
      </w:r>
    </w:p>
    <w:p w14:paraId="338F3450" w14:textId="77777777" w:rsidR="00AC175B" w:rsidRPr="007373D1" w:rsidRDefault="00AC175B" w:rsidP="00AC175B">
      <w:pPr>
        <w:pStyle w:val="h5Section"/>
      </w:pPr>
      <w:bookmarkStart w:id="103" w:name="_Toc453078728"/>
      <w:bookmarkStart w:id="104" w:name="_Toc461268500"/>
      <w:bookmarkStart w:id="105" w:name="_Toc461276076"/>
      <w:bookmarkStart w:id="106" w:name="_Toc462222923"/>
      <w:bookmarkStart w:id="107" w:name="_Toc475720120"/>
      <w:bookmarkStart w:id="108" w:name="_Toc477276995"/>
      <w:bookmarkStart w:id="109" w:name="_Toc485211990"/>
      <w:r w:rsidRPr="007373D1">
        <w:t>21B  Reference emissions intensity for a limited data herd</w:t>
      </w:r>
      <w:bookmarkEnd w:id="103"/>
      <w:bookmarkEnd w:id="104"/>
      <w:bookmarkEnd w:id="105"/>
      <w:bookmarkEnd w:id="106"/>
      <w:bookmarkEnd w:id="107"/>
      <w:bookmarkEnd w:id="108"/>
      <w:bookmarkEnd w:id="109"/>
    </w:p>
    <w:p w14:paraId="17D6B8CE" w14:textId="77777777" w:rsidR="00AC175B" w:rsidRPr="007373D1" w:rsidRDefault="00AC175B" w:rsidP="00AC175B">
      <w:pPr>
        <w:pStyle w:val="tMain"/>
        <w:rPr>
          <w:szCs w:val="22"/>
        </w:rPr>
      </w:pPr>
      <w:r w:rsidRPr="007373D1">
        <w:tab/>
      </w:r>
      <w:r w:rsidRPr="007373D1">
        <w:tab/>
        <w:t xml:space="preserve">For the definition of </w:t>
      </w:r>
      <m:oMath>
        <m:sSub>
          <m:sSubPr>
            <m:ctrlPr>
              <w:rPr>
                <w:rFonts w:ascii="Cambria Math" w:hAnsi="Cambria Math"/>
                <w:i/>
                <w:szCs w:val="22"/>
              </w:rPr>
            </m:ctrlPr>
          </m:sSubPr>
          <m:e>
            <m:r>
              <w:rPr>
                <w:rFonts w:ascii="Cambria Math" w:hAnsi="Cambria Math"/>
                <w:szCs w:val="22"/>
              </w:rPr>
              <m:t>BAEI</m:t>
            </m:r>
          </m:e>
          <m:sub>
            <m:r>
              <w:rPr>
                <w:rFonts w:ascii="Cambria Math" w:hAnsi="Cambria Math"/>
                <w:szCs w:val="22"/>
              </w:rPr>
              <m:t>H</m:t>
            </m:r>
          </m:sub>
        </m:sSub>
      </m:oMath>
      <w:r w:rsidRPr="007373D1">
        <w:rPr>
          <w:szCs w:val="22"/>
        </w:rPr>
        <w:t xml:space="preserve"> in</w:t>
      </w:r>
      <w:r w:rsidRPr="007373D1">
        <w:t xml:space="preserve"> Equation 3, the reference emissions intensity for the project</w:t>
      </w:r>
      <w:r w:rsidRPr="007373D1">
        <w:rPr>
          <w:szCs w:val="22"/>
        </w:rPr>
        <w:t xml:space="preserve">, </w:t>
      </w:r>
      <w:r w:rsidRPr="007373D1">
        <w:rPr>
          <w:i/>
          <w:szCs w:val="22"/>
        </w:rPr>
        <w:t>HAEI</w:t>
      </w:r>
      <w:r w:rsidRPr="007373D1">
        <w:rPr>
          <w:i/>
          <w:szCs w:val="22"/>
          <w:vertAlign w:val="subscript"/>
        </w:rPr>
        <w:t>R</w:t>
      </w:r>
      <w:r w:rsidRPr="007373D1">
        <w:t>,</w:t>
      </w:r>
      <w:r w:rsidRPr="007373D1">
        <w:rPr>
          <w:i/>
          <w:szCs w:val="22"/>
        </w:rPr>
        <w:t xml:space="preserve"> </w:t>
      </w:r>
      <w:r w:rsidRPr="007373D1">
        <w:rPr>
          <w:szCs w:val="22"/>
        </w:rPr>
        <w:t>in t CO</w:t>
      </w:r>
      <w:r w:rsidRPr="007373D1">
        <w:rPr>
          <w:szCs w:val="22"/>
          <w:vertAlign w:val="subscript"/>
        </w:rPr>
        <w:t>2</w:t>
      </w:r>
      <w:r w:rsidRPr="007373D1">
        <w:rPr>
          <w:szCs w:val="22"/>
        </w:rPr>
        <w:noBreakHyphen/>
        <w:t>e per tonne of liveweight, is given by the following formula, where the sums are over:</w:t>
      </w:r>
    </w:p>
    <w:p w14:paraId="237C8537" w14:textId="77777777" w:rsidR="00AC175B" w:rsidRPr="007373D1" w:rsidRDefault="00AC175B" w:rsidP="00AC175B">
      <w:pPr>
        <w:pStyle w:val="tPara"/>
      </w:pPr>
      <w:r w:rsidRPr="007373D1">
        <w:tab/>
        <w:t>(a)</w:t>
      </w:r>
      <w:r w:rsidRPr="007373D1">
        <w:tab/>
        <w:t>all the herds H that are reference herds for the limited data herd under subsection 9(2); and</w:t>
      </w:r>
    </w:p>
    <w:p w14:paraId="7B0F424E" w14:textId="77777777" w:rsidR="00AC175B" w:rsidRPr="007373D1" w:rsidRDefault="00AC175B" w:rsidP="00AC175B">
      <w:pPr>
        <w:pStyle w:val="tPara"/>
      </w:pPr>
      <w:r w:rsidRPr="007373D1">
        <w:tab/>
        <w:t>(b)</w:t>
      </w:r>
      <w:r w:rsidRPr="007373D1">
        <w:tab/>
        <w:t xml:space="preserve">for each herd H, all years </w:t>
      </w:r>
      <m:oMath>
        <m:r>
          <w:rPr>
            <w:rFonts w:ascii="Cambria Math" w:hAnsi="Cambria Math"/>
          </w:rPr>
          <m:t>y</m:t>
        </m:r>
      </m:oMath>
      <w:r w:rsidRPr="007373D1">
        <w:t xml:space="preserve"> of the emissions intensity reference period for that herd: </w:t>
      </w:r>
    </w:p>
    <w:p w14:paraId="136F9470" w14:textId="77777777" w:rsidR="00AC175B" w:rsidRPr="007373D1" w:rsidRDefault="00AC175B" w:rsidP="00AC175B">
      <w:pPr>
        <w:pStyle w:val="tPara"/>
      </w:pPr>
    </w:p>
    <w:tbl>
      <w:tblPr>
        <w:tblStyle w:val="TableGrid"/>
        <w:tblW w:w="0" w:type="auto"/>
        <w:tblInd w:w="1242" w:type="dxa"/>
        <w:tblLook w:val="04A0" w:firstRow="1" w:lastRow="0" w:firstColumn="1" w:lastColumn="0" w:noHBand="0" w:noVBand="1"/>
      </w:tblPr>
      <w:tblGrid>
        <w:gridCol w:w="5245"/>
        <w:gridCol w:w="2126"/>
      </w:tblGrid>
      <w:tr w:rsidR="00AC175B" w14:paraId="2F64F47B" w14:textId="77777777" w:rsidTr="00E805C1">
        <w:tc>
          <w:tcPr>
            <w:tcW w:w="5245" w:type="dxa"/>
            <w:vAlign w:val="center"/>
          </w:tcPr>
          <w:p w14:paraId="3A9E47F5" w14:textId="77777777" w:rsidR="00AC175B" w:rsidRPr="007373D1" w:rsidRDefault="007411E9" w:rsidP="00E805C1">
            <w:pPr>
              <w:spacing w:before="120" w:after="120"/>
              <w:rPr>
                <w:rFonts w:eastAsia="Times New Roman"/>
                <w:szCs w:val="22"/>
              </w:rPr>
            </w:pPr>
            <m:oMathPara>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R</m:t>
                    </m:r>
                  </m:sub>
                </m:sSub>
                <m:r>
                  <w:rPr>
                    <w:rFonts w:ascii="Cambria Math" w:hAnsi="Cambria Math"/>
                    <w:szCs w:val="22"/>
                  </w:rPr>
                  <m:t>=</m:t>
                </m:r>
                <m:f>
                  <m:fPr>
                    <m:ctrlPr>
                      <w:rPr>
                        <w:rFonts w:ascii="Cambria Math" w:hAnsi="Cambria Math"/>
                        <w:i/>
                        <w:szCs w:val="22"/>
                      </w:rPr>
                    </m:ctrlPr>
                  </m:fPr>
                  <m:num>
                    <m:nary>
                      <m:naryPr>
                        <m:chr m:val="∑"/>
                        <m:limLoc m:val="subSup"/>
                        <m:supHide m:val="1"/>
                        <m:ctrlPr>
                          <w:rPr>
                            <w:rFonts w:ascii="Cambria Math" w:hAnsi="Cambria Math"/>
                            <w:i/>
                            <w:szCs w:val="22"/>
                          </w:rPr>
                        </m:ctrlPr>
                      </m:naryPr>
                      <m:sub>
                        <m:r>
                          <w:rPr>
                            <w:rFonts w:ascii="Cambria Math" w:hAnsi="Cambria Math"/>
                            <w:szCs w:val="22"/>
                          </w:rPr>
                          <m:t>H</m:t>
                        </m:r>
                      </m:sub>
                      <m:sup/>
                      <m:e>
                        <m:nary>
                          <m:naryPr>
                            <m:chr m:val="∑"/>
                            <m:limLoc m:val="undOvr"/>
                            <m:supHide m:val="1"/>
                            <m:ctrlPr>
                              <w:rPr>
                                <w:rFonts w:ascii="Cambria Math" w:hAnsi="Cambria Math"/>
                                <w:i/>
                                <w:szCs w:val="22"/>
                              </w:rPr>
                            </m:ctrlPr>
                          </m:naryPr>
                          <m:sub>
                            <m:r>
                              <w:rPr>
                                <w:rFonts w:ascii="Cambria Math" w:hAnsi="Cambria Math"/>
                                <w:szCs w:val="22"/>
                              </w:rPr>
                              <m:t xml:space="preserve">y </m:t>
                            </m:r>
                          </m:sub>
                          <m:sup/>
                          <m:e>
                            <m:sSub>
                              <m:sSubPr>
                                <m:ctrlPr>
                                  <w:rPr>
                                    <w:rFonts w:ascii="Cambria Math" w:hAnsi="Cambria Math"/>
                                    <w:i/>
                                    <w:szCs w:val="22"/>
                                  </w:rPr>
                                </m:ctrlPr>
                              </m:sSubPr>
                              <m:e>
                                <m:r>
                                  <w:rPr>
                                    <w:rFonts w:ascii="Cambria Math" w:hAnsi="Cambria Math"/>
                                    <w:szCs w:val="22"/>
                                  </w:rPr>
                                  <m:t>TE</m:t>
                                </m:r>
                              </m:e>
                              <m:sub>
                                <m:r>
                                  <w:rPr>
                                    <w:rFonts w:ascii="Cambria Math" w:hAnsi="Cambria Math"/>
                                    <w:szCs w:val="22"/>
                                  </w:rPr>
                                  <m:t>H,y</m:t>
                                </m:r>
                              </m:sub>
                            </m:sSub>
                          </m:e>
                        </m:nary>
                      </m:e>
                    </m:nary>
                  </m:num>
                  <m:den>
                    <m:nary>
                      <m:naryPr>
                        <m:chr m:val="∑"/>
                        <m:limLoc m:val="subSup"/>
                        <m:supHide m:val="1"/>
                        <m:ctrlPr>
                          <w:rPr>
                            <w:rFonts w:ascii="Cambria Math" w:hAnsi="Cambria Math"/>
                            <w:i/>
                            <w:szCs w:val="22"/>
                          </w:rPr>
                        </m:ctrlPr>
                      </m:naryPr>
                      <m:sub>
                        <m:r>
                          <w:rPr>
                            <w:rFonts w:ascii="Cambria Math" w:hAnsi="Cambria Math"/>
                            <w:szCs w:val="22"/>
                          </w:rPr>
                          <m:t>H</m:t>
                        </m:r>
                      </m:sub>
                      <m:sup/>
                      <m:e>
                        <m:nary>
                          <m:naryPr>
                            <m:chr m:val="∑"/>
                            <m:limLoc m:val="undOvr"/>
                            <m:supHide m:val="1"/>
                            <m:ctrlPr>
                              <w:rPr>
                                <w:rFonts w:ascii="Cambria Math" w:hAnsi="Cambria Math"/>
                                <w:i/>
                                <w:szCs w:val="22"/>
                              </w:rPr>
                            </m:ctrlPr>
                          </m:naryPr>
                          <m:sub>
                            <m:r>
                              <w:rPr>
                                <w:rFonts w:ascii="Cambria Math" w:hAnsi="Cambria Math"/>
                                <w:szCs w:val="22"/>
                              </w:rPr>
                              <m:t>y</m:t>
                            </m:r>
                          </m:sub>
                          <m:sup/>
                          <m:e>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e>
                        </m:nary>
                      </m:e>
                    </m:nary>
                  </m:den>
                </m:f>
              </m:oMath>
            </m:oMathPara>
          </w:p>
        </w:tc>
        <w:tc>
          <w:tcPr>
            <w:tcW w:w="2126" w:type="dxa"/>
            <w:vAlign w:val="center"/>
          </w:tcPr>
          <w:p w14:paraId="653B4F7A" w14:textId="77777777" w:rsidR="00AC175B" w:rsidRPr="007373D1" w:rsidRDefault="00AC175B" w:rsidP="00E805C1">
            <w:pPr>
              <w:jc w:val="center"/>
              <w:rPr>
                <w:b/>
                <w:i/>
              </w:rPr>
            </w:pPr>
            <w:r w:rsidRPr="007373D1">
              <w:rPr>
                <w:b/>
                <w:i/>
              </w:rPr>
              <w:t>Equation 4A</w:t>
            </w:r>
          </w:p>
        </w:tc>
      </w:tr>
    </w:tbl>
    <w:p w14:paraId="4F03E182" w14:textId="77777777" w:rsidR="00AC175B" w:rsidRPr="007373D1" w:rsidRDefault="00AC175B" w:rsidP="00AC175B">
      <w:pPr>
        <w:pStyle w:val="tMain"/>
      </w:pPr>
      <w:r w:rsidRPr="007373D1">
        <w:tab/>
      </w:r>
      <w:r w:rsidRPr="007373D1">
        <w:tab/>
        <w:t>where:</w:t>
      </w:r>
    </w:p>
    <w:p w14:paraId="62EF155C" w14:textId="77777777" w:rsidR="00AC175B" w:rsidRPr="007373D1" w:rsidRDefault="00AC175B" w:rsidP="00AC175B">
      <w:pPr>
        <w:pStyle w:val="tSubpara"/>
        <w:rPr>
          <w:szCs w:val="22"/>
          <w:lang w:eastAsia="en-US"/>
        </w:rPr>
      </w:pPr>
      <w:r w:rsidRPr="007373D1">
        <w:rPr>
          <w:szCs w:val="22"/>
          <w:lang w:eastAsia="en-US"/>
        </w:rPr>
        <w:tab/>
      </w:r>
      <m:oMath>
        <m:sSub>
          <m:sSubPr>
            <m:ctrlPr>
              <w:rPr>
                <w:rFonts w:ascii="Cambria Math" w:eastAsia="Calibri" w:hAnsi="Cambria Math"/>
                <w:i/>
                <w:szCs w:val="22"/>
                <w:lang w:eastAsia="en-US"/>
              </w:rPr>
            </m:ctrlPr>
          </m:sSubPr>
          <m:e>
            <m:r>
              <w:rPr>
                <w:rFonts w:ascii="Cambria Math" w:hAnsi="Cambria Math"/>
                <w:szCs w:val="22"/>
              </w:rPr>
              <m:t>TE</m:t>
            </m:r>
          </m:e>
          <m:sub>
            <m:r>
              <w:rPr>
                <w:rFonts w:ascii="Cambria Math" w:hAnsi="Cambria Math"/>
                <w:szCs w:val="22"/>
              </w:rPr>
              <m:t>H,y</m:t>
            </m:r>
          </m:sub>
        </m:sSub>
      </m:oMath>
      <w:r w:rsidRPr="007373D1">
        <w:rPr>
          <w:szCs w:val="22"/>
          <w:lang w:eastAsia="en-US"/>
        </w:rPr>
        <w:tab/>
        <w:t xml:space="preserve">and </w:t>
      </w:r>
      <m:oMath>
        <m:sSub>
          <m:sSubPr>
            <m:ctrlPr>
              <w:rPr>
                <w:rFonts w:ascii="Cambria Math" w:eastAsia="Calibri" w:hAnsi="Cambria Math"/>
                <w:i/>
                <w:szCs w:val="22"/>
                <w:lang w:eastAsia="en-US"/>
              </w:rPr>
            </m:ctrlPr>
          </m:sSubPr>
          <m:e>
            <m:r>
              <w:rPr>
                <w:rFonts w:ascii="Cambria Math" w:hAnsi="Cambria Math"/>
                <w:szCs w:val="22"/>
              </w:rPr>
              <m:t>LWG</m:t>
            </m:r>
          </m:e>
          <m:sub>
            <m:r>
              <w:rPr>
                <w:rFonts w:ascii="Cambria Math" w:hAnsi="Cambria Math"/>
                <w:szCs w:val="22"/>
              </w:rPr>
              <m:t>H,y</m:t>
            </m:r>
          </m:sub>
        </m:sSub>
      </m:oMath>
      <w:r w:rsidRPr="007373D1">
        <w:rPr>
          <w:szCs w:val="22"/>
          <w:lang w:eastAsia="en-US"/>
        </w:rPr>
        <w:t xml:space="preserve"> for herd H and year y of the emissions intensity reference period have the same values as for equation 4.</w:t>
      </w:r>
    </w:p>
    <w:p w14:paraId="09136229" w14:textId="77777777" w:rsidR="00AC175B" w:rsidRPr="007373D1" w:rsidRDefault="00AC175B" w:rsidP="00AC175B">
      <w:pPr>
        <w:pStyle w:val="h5Section"/>
      </w:pPr>
      <w:bookmarkStart w:id="110" w:name="_Toc453078729"/>
      <w:bookmarkStart w:id="111" w:name="_Toc461268501"/>
      <w:bookmarkStart w:id="112" w:name="_Toc461276077"/>
      <w:bookmarkStart w:id="113" w:name="_Toc462222924"/>
      <w:bookmarkStart w:id="114" w:name="_Toc475720121"/>
      <w:bookmarkStart w:id="115" w:name="_Toc477276996"/>
      <w:bookmarkStart w:id="116" w:name="_Toc485211991"/>
      <w:r w:rsidRPr="007373D1">
        <w:t>21C  Liveweight gain for a year</w:t>
      </w:r>
      <w:bookmarkEnd w:id="110"/>
      <w:bookmarkEnd w:id="111"/>
      <w:bookmarkEnd w:id="112"/>
      <w:bookmarkEnd w:id="113"/>
      <w:bookmarkEnd w:id="114"/>
      <w:bookmarkEnd w:id="115"/>
      <w:bookmarkEnd w:id="116"/>
    </w:p>
    <w:p w14:paraId="47A97C69" w14:textId="77777777" w:rsidR="00AC175B" w:rsidRPr="007373D1" w:rsidRDefault="00AC175B" w:rsidP="00AC175B">
      <w:pPr>
        <w:pStyle w:val="tMain"/>
      </w:pPr>
      <w:r w:rsidRPr="007373D1">
        <w:tab/>
      </w:r>
      <w:r w:rsidRPr="007373D1">
        <w:tab/>
        <w:t xml:space="preserve">For Equations 3, 4 and 4A, the </w:t>
      </w:r>
      <w:r w:rsidRPr="007373D1">
        <w:rPr>
          <w:szCs w:val="22"/>
          <w:lang w:eastAsia="en-US"/>
        </w:rPr>
        <w:t xml:space="preserve">liveweight gain for herd </w:t>
      </w:r>
      <m:oMath>
        <m:r>
          <w:rPr>
            <w:rFonts w:ascii="Cambria Math" w:hAnsi="Cambria Math"/>
            <w:szCs w:val="22"/>
          </w:rPr>
          <m:t>H</m:t>
        </m:r>
      </m:oMath>
      <w:r w:rsidRPr="007373D1">
        <w:rPr>
          <w:szCs w:val="22"/>
          <w:lang w:eastAsia="en-US"/>
        </w:rPr>
        <w:t xml:space="preserve"> for year</w:t>
      </w:r>
      <m:oMath>
        <m:r>
          <w:rPr>
            <w:rFonts w:ascii="Cambria Math" w:hAnsi="Cambria Math"/>
            <w:szCs w:val="22"/>
          </w:rPr>
          <m:t xml:space="preserve"> y</m:t>
        </m:r>
      </m:oMath>
      <w:r w:rsidRPr="007373D1">
        <w:rPr>
          <w:szCs w:val="22"/>
        </w:rPr>
        <w:t xml:space="preserve"> (whether a year of the emissions intensity reference period or an assessment year of the herd) </w:t>
      </w:r>
      <w:r w:rsidRPr="007373D1">
        <w:rPr>
          <w:szCs w:val="22"/>
          <w:lang w:eastAsia="en-US"/>
        </w:rPr>
        <w:t xml:space="preserve">in tonnes, </w:t>
      </w:r>
      <m:oMath>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oMath>
      <w:r w:rsidRPr="007373D1">
        <w:rPr>
          <w:szCs w:val="22"/>
        </w:rPr>
        <w:t>, is given by the following formula</w:t>
      </w:r>
      <w:r w:rsidRPr="007373D1">
        <w:t>:</w:t>
      </w:r>
    </w:p>
    <w:tbl>
      <w:tblPr>
        <w:tblStyle w:val="TableGrid"/>
        <w:tblW w:w="0" w:type="auto"/>
        <w:tblInd w:w="1242" w:type="dxa"/>
        <w:tblLook w:val="04A0" w:firstRow="1" w:lastRow="0" w:firstColumn="1" w:lastColumn="0" w:noHBand="0" w:noVBand="1"/>
      </w:tblPr>
      <w:tblGrid>
        <w:gridCol w:w="6076"/>
        <w:gridCol w:w="1698"/>
      </w:tblGrid>
      <w:tr w:rsidR="00AC175B" w14:paraId="1015AAA1" w14:textId="77777777" w:rsidTr="00E805C1">
        <w:tc>
          <w:tcPr>
            <w:tcW w:w="6096" w:type="dxa"/>
            <w:vAlign w:val="center"/>
          </w:tcPr>
          <w:p w14:paraId="4C16A6DA" w14:textId="77777777" w:rsidR="00AC175B" w:rsidRPr="007373D1" w:rsidRDefault="007411E9" w:rsidP="00E805C1">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End</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Departures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Start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Arrivals</m:t>
                    </m:r>
                  </m:sub>
                </m:sSub>
              </m:oMath>
            </m:oMathPara>
          </w:p>
        </w:tc>
        <w:tc>
          <w:tcPr>
            <w:tcW w:w="1701" w:type="dxa"/>
            <w:vAlign w:val="center"/>
          </w:tcPr>
          <w:p w14:paraId="1C0BE9D1" w14:textId="77777777" w:rsidR="00AC175B" w:rsidRPr="007373D1" w:rsidRDefault="00AC175B" w:rsidP="00E805C1">
            <w:pPr>
              <w:jc w:val="center"/>
              <w:rPr>
                <w:b/>
                <w:i/>
              </w:rPr>
            </w:pPr>
            <w:r w:rsidRPr="007373D1">
              <w:rPr>
                <w:b/>
                <w:i/>
              </w:rPr>
              <w:t>Equation 5</w:t>
            </w:r>
          </w:p>
        </w:tc>
      </w:tr>
    </w:tbl>
    <w:p w14:paraId="2A3FA2B4" w14:textId="77777777" w:rsidR="00AC175B" w:rsidRPr="007373D1" w:rsidRDefault="00AC175B" w:rsidP="00AC175B">
      <w:pPr>
        <w:pStyle w:val="tMain"/>
      </w:pPr>
      <w:r w:rsidRPr="007373D1">
        <w:tab/>
      </w:r>
      <w:r w:rsidRPr="007373D1">
        <w:tab/>
        <w:t>where:</w:t>
      </w:r>
    </w:p>
    <w:p w14:paraId="6651A06A" w14:textId="77777777" w:rsidR="00AC175B" w:rsidRPr="007373D1" w:rsidRDefault="00AC175B" w:rsidP="00AC175B">
      <w:pPr>
        <w:pStyle w:val="tSubpara"/>
        <w:rPr>
          <w:szCs w:val="22"/>
          <w:lang w:eastAsia="en-US"/>
        </w:rPr>
      </w:pPr>
      <w:r w:rsidRPr="007373D1">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 xml:space="preserve">End </m:t>
            </m:r>
          </m:sub>
        </m:sSub>
      </m:oMath>
      <w:r w:rsidRPr="007373D1">
        <w:rPr>
          <w:szCs w:val="22"/>
          <w:lang w:eastAsia="en-US"/>
        </w:rPr>
        <w:t xml:space="preserve"> =</w:t>
      </w:r>
      <w:r w:rsidRPr="007373D1">
        <w:rPr>
          <w:szCs w:val="22"/>
          <w:lang w:eastAsia="en-US"/>
        </w:rPr>
        <w:tab/>
        <w:t>the total liveweight in tonnes of animals in the herd at the end of the year.</w:t>
      </w:r>
    </w:p>
    <w:p w14:paraId="6483F838" w14:textId="77777777" w:rsidR="00AC175B" w:rsidRPr="007373D1" w:rsidRDefault="00AC175B" w:rsidP="00AC175B">
      <w:pPr>
        <w:pStyle w:val="tSubpara"/>
      </w:pPr>
      <w:r w:rsidRPr="007373D1">
        <w:rPr>
          <w:szCs w:val="22"/>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Departures</m:t>
            </m:r>
          </m:sub>
        </m:sSub>
      </m:oMath>
      <w:r w:rsidRPr="007373D1">
        <w:rPr>
          <w:szCs w:val="22"/>
        </w:rPr>
        <w:t xml:space="preserve"> </w:t>
      </w:r>
      <w:r w:rsidRPr="007373D1">
        <w:rPr>
          <w:szCs w:val="22"/>
          <w:lang w:eastAsia="en-US"/>
        </w:rPr>
        <w:t>=</w:t>
      </w:r>
      <w:r w:rsidRPr="007373D1">
        <w:rPr>
          <w:szCs w:val="22"/>
          <w:lang w:eastAsia="en-US"/>
        </w:rPr>
        <w:tab/>
        <w:t>the total liveweight in tonnes of animals leaving the herd during the year.</w:t>
      </w:r>
    </w:p>
    <w:p w14:paraId="35D663E5" w14:textId="77777777" w:rsidR="00AC175B" w:rsidRPr="007373D1" w:rsidRDefault="00AC175B" w:rsidP="00AC175B">
      <w:pPr>
        <w:pStyle w:val="tSubpara"/>
        <w:rPr>
          <w:szCs w:val="22"/>
          <w:lang w:eastAsia="en-US"/>
        </w:rPr>
      </w:pPr>
      <w:r w:rsidRPr="007373D1">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Start</m:t>
            </m:r>
          </m:sub>
        </m:sSub>
      </m:oMath>
      <w:r w:rsidRPr="007373D1">
        <w:rPr>
          <w:szCs w:val="22"/>
          <w:lang w:eastAsia="en-US"/>
        </w:rPr>
        <w:t xml:space="preserve"> =</w:t>
      </w:r>
      <w:r w:rsidRPr="007373D1">
        <w:rPr>
          <w:szCs w:val="22"/>
          <w:lang w:eastAsia="en-US"/>
        </w:rPr>
        <w:tab/>
        <w:t>the total liveweight in tonnes of animals in the herd at the beginning of the year.</w:t>
      </w:r>
    </w:p>
    <w:p w14:paraId="7CC32313" w14:textId="77777777" w:rsidR="00AC175B" w:rsidRPr="007373D1" w:rsidRDefault="00AC175B" w:rsidP="00AC175B">
      <w:pPr>
        <w:pStyle w:val="tSubpara"/>
        <w:rPr>
          <w:szCs w:val="22"/>
          <w:lang w:eastAsia="en-US"/>
        </w:rPr>
      </w:pPr>
      <w:r w:rsidRPr="007373D1">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Arrivals</m:t>
            </m:r>
          </m:sub>
        </m:sSub>
      </m:oMath>
      <w:r w:rsidRPr="007373D1">
        <w:rPr>
          <w:szCs w:val="22"/>
          <w:lang w:eastAsia="en-US"/>
        </w:rPr>
        <w:t xml:space="preserve"> =</w:t>
      </w:r>
      <w:r w:rsidRPr="007373D1">
        <w:rPr>
          <w:szCs w:val="22"/>
          <w:lang w:eastAsia="en-US"/>
        </w:rPr>
        <w:tab/>
        <w:t>the total liveweight in tonnes of animals entering the herd during the year.</w:t>
      </w:r>
    </w:p>
    <w:p w14:paraId="65259CC4" w14:textId="77777777" w:rsidR="00F576B9" w:rsidRPr="00B138C4" w:rsidRDefault="0010015D" w:rsidP="00F576B9">
      <w:pPr>
        <w:pStyle w:val="h3Div"/>
      </w:pPr>
      <w:bookmarkStart w:id="117" w:name="_Toc485211992"/>
      <w:r>
        <w:t>Division 3</w:t>
      </w:r>
      <w:r w:rsidR="00F576B9" w:rsidRPr="00B138C4">
        <w:t>—The project emissions</w:t>
      </w:r>
      <w:bookmarkEnd w:id="94"/>
      <w:bookmarkEnd w:id="95"/>
      <w:bookmarkEnd w:id="117"/>
    </w:p>
    <w:p w14:paraId="6EFBF79F" w14:textId="77777777" w:rsidR="00F576B9" w:rsidRPr="00B9162C" w:rsidRDefault="0010015D" w:rsidP="00F576B9">
      <w:pPr>
        <w:pStyle w:val="h5Section"/>
      </w:pPr>
      <w:bookmarkStart w:id="118" w:name="_Toc413161620"/>
      <w:bookmarkStart w:id="119" w:name="_Toc426038033"/>
      <w:bookmarkStart w:id="120" w:name="_Toc485211993"/>
      <w:r>
        <w:t>22</w:t>
      </w:r>
      <w:r w:rsidR="00F576B9" w:rsidRPr="00B138C4">
        <w:t xml:space="preserve">  Project emissions</w:t>
      </w:r>
      <w:bookmarkEnd w:id="118"/>
      <w:bookmarkEnd w:id="119"/>
      <w:bookmarkEnd w:id="120"/>
    </w:p>
    <w:p w14:paraId="53578898" w14:textId="77777777" w:rsidR="00F576B9" w:rsidRPr="00B9162C" w:rsidRDefault="00F576B9" w:rsidP="00F576B9">
      <w:pPr>
        <w:pStyle w:val="tMain"/>
      </w:pPr>
      <w:r w:rsidRPr="00B9162C">
        <w:tab/>
      </w:r>
      <w:r w:rsidRPr="00B9162C">
        <w:tab/>
        <w:t>For each year in the reporting period and for each herd in the project, the project emissions</w:t>
      </w:r>
      <w:r w:rsidRPr="00B9162C">
        <w:rPr>
          <w:b/>
          <w:i/>
        </w:rPr>
        <w:t xml:space="preserve"> </w:t>
      </w:r>
      <w:r w:rsidR="004440AD" w:rsidRPr="00B9162C">
        <w:t xml:space="preserve">are </w:t>
      </w:r>
      <w:r w:rsidRPr="00B9162C">
        <w:t xml:space="preserve">the methane and nitrous oxide emissions from the sources referred to in the table in section </w:t>
      </w:r>
      <w:r w:rsidR="001C572E">
        <w:t>20</w:t>
      </w:r>
      <w:r w:rsidR="004440AD" w:rsidRPr="00B9162C">
        <w:t>, expressed as their carbon dioxide equivalent</w:t>
      </w:r>
      <w:r w:rsidRPr="00B9162C">
        <w:t>.</w:t>
      </w:r>
    </w:p>
    <w:p w14:paraId="6020168B" w14:textId="77777777" w:rsidR="003C45BD" w:rsidRPr="00427A37" w:rsidRDefault="0010015D" w:rsidP="00427A37">
      <w:pPr>
        <w:pStyle w:val="h3Div"/>
      </w:pPr>
      <w:bookmarkStart w:id="121" w:name="_Toc413161621"/>
      <w:bookmarkStart w:id="122" w:name="_Toc426038034"/>
      <w:bookmarkStart w:id="123" w:name="_Toc485211994"/>
      <w:r>
        <w:lastRenderedPageBreak/>
        <w:t>Division 4</w:t>
      </w:r>
      <w:r w:rsidR="00F576B9" w:rsidRPr="00B9162C">
        <w:t>—Use of Herd Management</w:t>
      </w:r>
      <w:r w:rsidR="00F576B9" w:rsidRPr="00B138C4">
        <w:t xml:space="preserve"> Calculator to perform calculations</w:t>
      </w:r>
      <w:bookmarkEnd w:id="121"/>
      <w:bookmarkEnd w:id="122"/>
      <w:bookmarkEnd w:id="123"/>
    </w:p>
    <w:p w14:paraId="4A0DBED8" w14:textId="77777777" w:rsidR="00F576B9" w:rsidRPr="00B138C4" w:rsidRDefault="0010015D" w:rsidP="00F576B9">
      <w:pPr>
        <w:pStyle w:val="h5Section"/>
      </w:pPr>
      <w:bookmarkStart w:id="124" w:name="_Toc413161622"/>
      <w:bookmarkStart w:id="125" w:name="_Toc426038035"/>
      <w:bookmarkStart w:id="126" w:name="_Toc485211995"/>
      <w:r>
        <w:t>23</w:t>
      </w:r>
      <w:r w:rsidR="00F576B9" w:rsidRPr="00B138C4">
        <w:t xml:space="preserve">  Requirement to use Herd Management Calculator</w:t>
      </w:r>
      <w:bookmarkEnd w:id="124"/>
      <w:bookmarkEnd w:id="125"/>
      <w:bookmarkEnd w:id="126"/>
    </w:p>
    <w:p w14:paraId="0C5F30F9" w14:textId="77777777" w:rsidR="00F576B9" w:rsidRPr="00B138C4" w:rsidRDefault="00750493" w:rsidP="00750493">
      <w:pPr>
        <w:pStyle w:val="tMain"/>
      </w:pPr>
      <w:r>
        <w:tab/>
      </w:r>
      <w:r>
        <w:tab/>
      </w:r>
      <w:r w:rsidR="00F576B9" w:rsidRPr="00B138C4">
        <w:t>When performing calculations for the purposes of this Part:</w:t>
      </w:r>
    </w:p>
    <w:p w14:paraId="3AE68564" w14:textId="77777777" w:rsidR="00AC175B" w:rsidRPr="007373D1" w:rsidRDefault="00AC175B" w:rsidP="00AC175B">
      <w:pPr>
        <w:pStyle w:val="tPara"/>
      </w:pPr>
      <w:r>
        <w:tab/>
      </w:r>
      <w:r w:rsidRPr="007373D1">
        <w:t>(a)</w:t>
      </w:r>
      <w:r w:rsidRPr="007373D1">
        <w:tab/>
        <w:t>the Herd Management Calculator, as in force at the end of the relevant reporting period, must be used for any calculation for which it can appropriately be used in relation to a herd for each assessment year of the herd that ends in the reporting period and for each year of the emissions intensity reference period; and</w:t>
      </w:r>
    </w:p>
    <w:p w14:paraId="38982B5D" w14:textId="77777777" w:rsidR="009B5F02" w:rsidRPr="00B138C4" w:rsidRDefault="00F576B9" w:rsidP="00F576B9">
      <w:pPr>
        <w:pStyle w:val="tPara"/>
      </w:pPr>
      <w:r w:rsidRPr="00B138C4">
        <w:tab/>
      </w:r>
      <w:r w:rsidR="0010015D">
        <w:t>(b)</w:t>
      </w:r>
      <w:r w:rsidRPr="00B138C4">
        <w:tab/>
        <w:t xml:space="preserve">the inputs required by the Herd Management Calculator </w:t>
      </w:r>
      <w:r w:rsidR="00284C45" w:rsidRPr="00B138C4">
        <w:t xml:space="preserve">(which are specified in </w:t>
      </w:r>
      <w:r w:rsidR="001C572E">
        <w:t>Schedule 1</w:t>
      </w:r>
      <w:r w:rsidR="009F15E0" w:rsidRPr="00B138C4">
        <w:t xml:space="preserve"> and </w:t>
      </w:r>
      <w:r w:rsidR="001C572E">
        <w:t>Schedule 2</w:t>
      </w:r>
      <w:r w:rsidR="00284C45" w:rsidRPr="00B138C4">
        <w:t xml:space="preserve">) </w:t>
      </w:r>
      <w:r w:rsidR="00994118" w:rsidRPr="00B138C4">
        <w:t>must be entered</w:t>
      </w:r>
      <w:r w:rsidR="009B5F02" w:rsidRPr="00B138C4">
        <w:t>:</w:t>
      </w:r>
    </w:p>
    <w:p w14:paraId="40C4670D" w14:textId="77777777" w:rsidR="009B5F02" w:rsidRPr="00B138C4" w:rsidRDefault="009B5F02" w:rsidP="009B5F02">
      <w:pPr>
        <w:pStyle w:val="tSubpara"/>
      </w:pPr>
      <w:r w:rsidRPr="00B138C4">
        <w:tab/>
      </w:r>
      <w:r w:rsidR="0010015D">
        <w:t>(i)</w:t>
      </w:r>
      <w:r w:rsidRPr="00B138C4">
        <w:tab/>
        <w:t>in the specified units; and</w:t>
      </w:r>
    </w:p>
    <w:p w14:paraId="49B23683" w14:textId="77777777" w:rsidR="00F576B9" w:rsidRPr="00B138C4" w:rsidRDefault="009B5F02" w:rsidP="009B5F02">
      <w:pPr>
        <w:pStyle w:val="tSubpara"/>
      </w:pPr>
      <w:r w:rsidRPr="00B138C4">
        <w:tab/>
      </w:r>
      <w:r w:rsidR="0010015D">
        <w:t>(ii)</w:t>
      </w:r>
      <w:r w:rsidRPr="00B138C4">
        <w:tab/>
        <w:t>in the manner and form required by the Herd Management Calculator</w:t>
      </w:r>
      <w:r w:rsidR="00F576B9" w:rsidRPr="00B138C4">
        <w:t>; and</w:t>
      </w:r>
    </w:p>
    <w:p w14:paraId="54E222CB" w14:textId="77777777" w:rsidR="00F576B9" w:rsidRPr="00B138C4" w:rsidRDefault="00F576B9" w:rsidP="00F576B9">
      <w:pPr>
        <w:pStyle w:val="tPara"/>
      </w:pPr>
      <w:r w:rsidRPr="00B138C4">
        <w:tab/>
      </w:r>
      <w:r w:rsidR="0010015D">
        <w:t>(c)</w:t>
      </w:r>
      <w:r w:rsidRPr="00B138C4">
        <w:tab/>
        <w:t>if a calculation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025DB279" w14:textId="77777777" w:rsidR="00F576B9" w:rsidRDefault="00152CA4" w:rsidP="00152CA4">
      <w:pPr>
        <w:pStyle w:val="nPara"/>
      </w:pPr>
      <w:r w:rsidRPr="00B138C4">
        <w:t>Note:</w:t>
      </w:r>
      <w:r w:rsidRPr="00B138C4">
        <w:tab/>
      </w:r>
      <w:r w:rsidR="00F576B9" w:rsidRPr="00B138C4">
        <w:t>Paragraph </w:t>
      </w:r>
      <w:r w:rsidR="001C572E">
        <w:t>(c)</w:t>
      </w:r>
      <w:r w:rsidR="00F576B9" w:rsidRPr="00B138C4">
        <w:t xml:space="preserve"> includes the global warming potentials for methane and nitrous oxide prescribed by the </w:t>
      </w:r>
      <w:r w:rsidR="00F576B9" w:rsidRPr="00B138C4">
        <w:rPr>
          <w:i/>
        </w:rPr>
        <w:t>National Greenhouse and Energy Reporting Regulations 2008</w:t>
      </w:r>
      <w:r w:rsidR="00F576B9" w:rsidRPr="00B138C4">
        <w:t>.</w:t>
      </w:r>
    </w:p>
    <w:p w14:paraId="5F946E93" w14:textId="77777777" w:rsidR="00D351F5" w:rsidRPr="004B2C09" w:rsidRDefault="0010015D" w:rsidP="0030789E">
      <w:pPr>
        <w:pStyle w:val="h5Section"/>
      </w:pPr>
      <w:bookmarkStart w:id="127" w:name="_Toc426038036"/>
      <w:bookmarkStart w:id="128" w:name="_Toc485211996"/>
      <w:r>
        <w:t>24</w:t>
      </w:r>
      <w:r w:rsidR="0030789E">
        <w:t xml:space="preserve">  </w:t>
      </w:r>
      <w:r w:rsidR="00D351F5" w:rsidRPr="004B2C09">
        <w:t xml:space="preserve">Assessment of </w:t>
      </w:r>
      <w:r w:rsidR="006A7FAC" w:rsidRPr="004B2C09">
        <w:t>average liveweight</w:t>
      </w:r>
      <w:r w:rsidR="004B2C09">
        <w:t xml:space="preserve"> for inputs into the </w:t>
      </w:r>
      <w:bookmarkEnd w:id="127"/>
      <w:r w:rsidR="00DE24E9">
        <w:t>Calculator</w:t>
      </w:r>
      <w:bookmarkEnd w:id="128"/>
    </w:p>
    <w:p w14:paraId="5C62D418" w14:textId="77777777" w:rsidR="004B2C09" w:rsidRPr="001561AF" w:rsidRDefault="00D351F5" w:rsidP="00D351F5">
      <w:pPr>
        <w:pStyle w:val="tMain"/>
      </w:pPr>
      <w:r w:rsidRPr="001561AF">
        <w:tab/>
      </w:r>
      <w:r w:rsidR="0010015D">
        <w:t>(1)</w:t>
      </w:r>
      <w:r w:rsidRPr="001561AF">
        <w:tab/>
        <w:t xml:space="preserve">For this </w:t>
      </w:r>
      <w:r w:rsidR="004B2C09" w:rsidRPr="001561AF">
        <w:t>determination:</w:t>
      </w:r>
    </w:p>
    <w:p w14:paraId="566F93A1" w14:textId="77777777" w:rsidR="004B2C09" w:rsidRPr="001561AF" w:rsidRDefault="004B2C09" w:rsidP="004B2C09">
      <w:pPr>
        <w:pStyle w:val="tPara"/>
      </w:pPr>
      <w:r w:rsidRPr="001561AF">
        <w:tab/>
      </w:r>
      <w:r w:rsidR="0010015D">
        <w:t>(a)</w:t>
      </w:r>
      <w:r w:rsidRPr="001561AF">
        <w:tab/>
      </w:r>
      <w:r w:rsidR="00D351F5" w:rsidRPr="001561AF">
        <w:t xml:space="preserve">each livestock class of a group or subgroup </w:t>
      </w:r>
      <w:r w:rsidR="0064271D" w:rsidRPr="001561AF">
        <w:t>that requires an input</w:t>
      </w:r>
      <w:r w:rsidRPr="001561AF">
        <w:t xml:space="preserve"> into </w:t>
      </w:r>
      <w:r w:rsidR="000A6EFF" w:rsidRPr="001561AF">
        <w:t xml:space="preserve">the </w:t>
      </w:r>
      <w:r w:rsidRPr="001561AF">
        <w:t>Herd Management Calculator</w:t>
      </w:r>
      <w:r w:rsidR="0064271D" w:rsidRPr="001561AF">
        <w:t xml:space="preserve"> under </w:t>
      </w:r>
      <w:r w:rsidR="00F004D1" w:rsidRPr="001561AF">
        <w:t xml:space="preserve">Inputs </w:t>
      </w:r>
      <w:r w:rsidR="00D351F5" w:rsidRPr="001561AF">
        <w:t>2</w:t>
      </w:r>
      <w:r w:rsidR="0064271D" w:rsidRPr="001561AF">
        <w:t>(</w:t>
      </w:r>
      <w:r w:rsidR="00A95AE4" w:rsidRPr="00B9162C">
        <w:t>b</w:t>
      </w:r>
      <w:r w:rsidR="0064271D" w:rsidRPr="001561AF">
        <w:t>), 2(</w:t>
      </w:r>
      <w:r w:rsidR="00A95AE4" w:rsidRPr="00B9162C">
        <w:t>d</w:t>
      </w:r>
      <w:r w:rsidR="0064271D" w:rsidRPr="001561AF">
        <w:t xml:space="preserve">), 3(b), 4(d), 5(d), 6(b) or 7(d) of </w:t>
      </w:r>
      <w:r w:rsidR="001C572E">
        <w:t>Schedule 1</w:t>
      </w:r>
      <w:r w:rsidR="0064271D" w:rsidRPr="001561AF">
        <w:t xml:space="preserve"> is an </w:t>
      </w:r>
      <w:r w:rsidR="0064271D" w:rsidRPr="001561AF">
        <w:rPr>
          <w:b/>
          <w:i/>
        </w:rPr>
        <w:t xml:space="preserve">input </w:t>
      </w:r>
      <w:r w:rsidR="00AF1D96" w:rsidRPr="001561AF">
        <w:rPr>
          <w:b/>
          <w:i/>
        </w:rPr>
        <w:t>group</w:t>
      </w:r>
      <w:r w:rsidRPr="001561AF">
        <w:t xml:space="preserve">; </w:t>
      </w:r>
      <w:r w:rsidR="00144C5B" w:rsidRPr="001561AF">
        <w:t>and</w:t>
      </w:r>
    </w:p>
    <w:p w14:paraId="117F6B72" w14:textId="77777777" w:rsidR="00D351F5" w:rsidRDefault="004B2C09" w:rsidP="004B2C09">
      <w:pPr>
        <w:pStyle w:val="tPara"/>
      </w:pPr>
      <w:r w:rsidRPr="001561AF">
        <w:tab/>
      </w:r>
      <w:r w:rsidR="0010015D">
        <w:t>(b)</w:t>
      </w:r>
      <w:r w:rsidRPr="001561AF">
        <w:tab/>
      </w:r>
      <w:r w:rsidR="00144C5B" w:rsidRPr="001561AF">
        <w:t xml:space="preserve">the date </w:t>
      </w:r>
      <w:r w:rsidR="004D2394" w:rsidRPr="001561AF">
        <w:t xml:space="preserve">in relation to which </w:t>
      </w:r>
      <w:r w:rsidR="00144C5B" w:rsidRPr="001561AF">
        <w:t xml:space="preserve">the input is required is the </w:t>
      </w:r>
      <w:r w:rsidR="00147EB0" w:rsidRPr="001561AF">
        <w:rPr>
          <w:b/>
          <w:i/>
        </w:rPr>
        <w:t>input date</w:t>
      </w:r>
      <w:r w:rsidR="0064271D" w:rsidRPr="001561AF">
        <w:t>.</w:t>
      </w:r>
    </w:p>
    <w:p w14:paraId="6049B3BA" w14:textId="77777777" w:rsidR="00AC175B" w:rsidRPr="007373D1" w:rsidRDefault="00AC175B" w:rsidP="00AC175B">
      <w:pPr>
        <w:pStyle w:val="nMain"/>
      </w:pPr>
      <w:r w:rsidRPr="007373D1">
        <w:t>Note:</w:t>
      </w:r>
      <w:r w:rsidRPr="007373D1">
        <w:tab/>
        <w:t>The input dates are the assessment days that begin and end the calculation year together with either:</w:t>
      </w:r>
    </w:p>
    <w:p w14:paraId="0680D312" w14:textId="77777777" w:rsidR="00AC175B" w:rsidRPr="007373D1" w:rsidRDefault="00AC175B" w:rsidP="00AC175B">
      <w:pPr>
        <w:pStyle w:val="nPara"/>
      </w:pPr>
      <w:r w:rsidRPr="007373D1">
        <w:t xml:space="preserve">      (a)</w:t>
      </w:r>
      <w:r w:rsidRPr="007373D1">
        <w:tab/>
        <w:t>the days on which animals entered or left the herd; or</w:t>
      </w:r>
    </w:p>
    <w:p w14:paraId="172E0D9E" w14:textId="77777777" w:rsidR="00AC175B" w:rsidRPr="007373D1" w:rsidRDefault="00AC175B" w:rsidP="00AC175B">
      <w:pPr>
        <w:pStyle w:val="nPara"/>
      </w:pPr>
      <w:r w:rsidRPr="007373D1">
        <w:t xml:space="preserve">      (b)</w:t>
      </w:r>
      <w:r w:rsidRPr="007373D1">
        <w:tab/>
        <w:t>the days on which the animals are taken to have entered or left the herd under subclause (7) of Schedule 1 (the mid-point days of each month).</w:t>
      </w:r>
    </w:p>
    <w:p w14:paraId="5CCD2317" w14:textId="77777777" w:rsidR="00AF1D96" w:rsidRPr="008A1FC8" w:rsidRDefault="00FA1940" w:rsidP="00AF1D96">
      <w:pPr>
        <w:pStyle w:val="tMain"/>
      </w:pPr>
      <w:r w:rsidRPr="001561AF">
        <w:tab/>
      </w:r>
      <w:r w:rsidR="0010015D">
        <w:t>(2)</w:t>
      </w:r>
      <w:r w:rsidRPr="001561AF">
        <w:tab/>
      </w:r>
      <w:r w:rsidR="00AF1D96" w:rsidRPr="001561AF">
        <w:t xml:space="preserve">For the purpose of establishing the average liveweight of an input group for an input date, the project proponent may either treat the input group as a single </w:t>
      </w:r>
      <w:r w:rsidR="00AF1D96" w:rsidRPr="001561AF">
        <w:rPr>
          <w:b/>
          <w:i/>
        </w:rPr>
        <w:t>weighing group</w:t>
      </w:r>
      <w:r w:rsidR="00AF1D96" w:rsidRPr="001561AF">
        <w:t xml:space="preserve"> or divide it into several </w:t>
      </w:r>
      <w:r w:rsidR="00AF1D96" w:rsidRPr="008A1FC8">
        <w:rPr>
          <w:b/>
          <w:i/>
        </w:rPr>
        <w:t>weighing groups</w:t>
      </w:r>
      <w:r w:rsidR="009676D7" w:rsidRPr="008A1FC8">
        <w:t xml:space="preserve">, each of which is dealt with by one of the methods set out in section </w:t>
      </w:r>
      <w:r w:rsidR="001C572E">
        <w:t>25</w:t>
      </w:r>
      <w:r w:rsidR="00AF1D96" w:rsidRPr="008A1FC8">
        <w:t>.</w:t>
      </w:r>
    </w:p>
    <w:p w14:paraId="44C80824" w14:textId="77777777" w:rsidR="002A6C6A" w:rsidRPr="001561AF" w:rsidRDefault="002A6C6A" w:rsidP="002A6C6A">
      <w:pPr>
        <w:pStyle w:val="nMain"/>
      </w:pPr>
      <w:r w:rsidRPr="001561AF">
        <w:t>Note:</w:t>
      </w:r>
      <w:r w:rsidRPr="001561AF">
        <w:tab/>
        <w:t>A project proponent might wish to do this to apply different methods under subsection</w:t>
      </w:r>
      <w:r w:rsidR="006A11CA" w:rsidRPr="001561AF">
        <w:t xml:space="preserve"> </w:t>
      </w:r>
      <w:r w:rsidR="001C572E">
        <w:t>25(1)</w:t>
      </w:r>
      <w:r w:rsidRPr="001561AF">
        <w:t xml:space="preserve"> to different weighing groups. See </w:t>
      </w:r>
      <w:r w:rsidR="00785172" w:rsidRPr="001561AF">
        <w:t>the example</w:t>
      </w:r>
      <w:r w:rsidR="000A6EFF" w:rsidRPr="001561AF">
        <w:t>s</w:t>
      </w:r>
      <w:r w:rsidR="00785172" w:rsidRPr="001561AF">
        <w:t xml:space="preserve"> </w:t>
      </w:r>
      <w:r w:rsidR="001561AF">
        <w:t>at the end of that subsection.</w:t>
      </w:r>
    </w:p>
    <w:p w14:paraId="48ED1E4D" w14:textId="77777777" w:rsidR="003E2C7C" w:rsidRDefault="00AF1D96" w:rsidP="00AF1D96">
      <w:pPr>
        <w:pStyle w:val="tMain"/>
      </w:pPr>
      <w:r w:rsidRPr="001561AF">
        <w:tab/>
      </w:r>
      <w:r w:rsidR="0010015D">
        <w:t>(3)</w:t>
      </w:r>
      <w:r w:rsidRPr="001561AF">
        <w:tab/>
        <w:t xml:space="preserve">If an input </w:t>
      </w:r>
      <w:r w:rsidR="007B69A4">
        <w:t>group</w:t>
      </w:r>
      <w:r w:rsidR="007B69A4" w:rsidRPr="001561AF">
        <w:t xml:space="preserve"> </w:t>
      </w:r>
      <w:r w:rsidRPr="001561AF">
        <w:t xml:space="preserve">is divided into several weighing groups, the </w:t>
      </w:r>
      <w:r w:rsidR="003E2C7C" w:rsidRPr="001561AF">
        <w:t>average liveweight of the input group is the weighted average of the average liveweight of the weighing groups.</w:t>
      </w:r>
    </w:p>
    <w:p w14:paraId="4BB045EA" w14:textId="77777777" w:rsidR="00AC175B" w:rsidRPr="00327538" w:rsidRDefault="00AC175B" w:rsidP="00AC175B">
      <w:pPr>
        <w:pStyle w:val="tMain"/>
      </w:pPr>
      <w:r>
        <w:tab/>
      </w:r>
      <w:r w:rsidRPr="00327538">
        <w:t>(4)</w:t>
      </w:r>
      <w:r w:rsidRPr="00327538">
        <w:tab/>
        <w:t>If, for an assessment year of a herd, the average liveweight of any input group is not available in accordance with this section and section 25, equation 2 is taken to give an abatement amount for the herd (</w:t>
      </w:r>
      <m:oMath>
        <m:sSub>
          <m:sSubPr>
            <m:ctrlPr>
              <w:rPr>
                <w:rFonts w:ascii="Cambria Math" w:hAnsi="Cambria Math"/>
                <w:i/>
              </w:rPr>
            </m:ctrlPr>
          </m:sSubPr>
          <m:e>
            <m:r>
              <w:rPr>
                <w:rFonts w:ascii="Cambria Math" w:hAnsi="Cambria Math"/>
              </w:rPr>
              <m:t>A</m:t>
            </m:r>
          </m:e>
          <m:sub>
            <m:r>
              <w:rPr>
                <w:rFonts w:ascii="Cambria Math" w:hAnsi="Cambria Math"/>
              </w:rPr>
              <m:t>H, y</m:t>
            </m:r>
          </m:sub>
        </m:sSub>
        <m:r>
          <w:rPr>
            <w:rFonts w:ascii="Cambria Math" w:hAnsi="Cambria Math"/>
          </w:rPr>
          <m:t>)</m:t>
        </m:r>
      </m:oMath>
      <w:r w:rsidRPr="00327538">
        <w:t xml:space="preserve"> of zero for that assessment year.</w:t>
      </w:r>
    </w:p>
    <w:p w14:paraId="447708F6" w14:textId="77777777" w:rsidR="00AC175B" w:rsidRPr="009D580E" w:rsidRDefault="00AC175B" w:rsidP="00AC175B">
      <w:pPr>
        <w:pStyle w:val="h5Section"/>
      </w:pPr>
      <w:bookmarkStart w:id="129" w:name="_Toc461268502"/>
      <w:bookmarkStart w:id="130" w:name="_Toc461276078"/>
      <w:bookmarkStart w:id="131" w:name="_Toc462222925"/>
      <w:bookmarkStart w:id="132" w:name="_Toc475720122"/>
      <w:bookmarkStart w:id="133" w:name="_Toc477276997"/>
      <w:bookmarkStart w:id="134" w:name="_Toc485211997"/>
      <w:bookmarkStart w:id="135" w:name="_Toc426038038"/>
      <w:r w:rsidRPr="009D580E">
        <w:t>25  Inputs relating to the crediting period</w:t>
      </w:r>
      <w:bookmarkEnd w:id="129"/>
      <w:bookmarkEnd w:id="130"/>
      <w:bookmarkEnd w:id="131"/>
      <w:bookmarkEnd w:id="132"/>
      <w:bookmarkEnd w:id="133"/>
      <w:bookmarkEnd w:id="134"/>
    </w:p>
    <w:p w14:paraId="259F8EE0" w14:textId="77777777" w:rsidR="00AC175B" w:rsidRPr="009D580E" w:rsidRDefault="00AC175B" w:rsidP="00AC175B">
      <w:pPr>
        <w:pStyle w:val="BoxText"/>
        <w:pBdr>
          <w:left w:val="single" w:sz="6" w:space="4" w:color="auto"/>
        </w:pBdr>
      </w:pPr>
      <w:r w:rsidRPr="009D580E">
        <w:t xml:space="preserve">Sections 25 and 26, as well as Schedule 1, allow for some flexibility in how the proponent can obtain the average liveweights that are to be entered into the calculator. </w:t>
      </w:r>
      <w:r w:rsidRPr="009D580E">
        <w:lastRenderedPageBreak/>
        <w:t xml:space="preserve">However, it is expected that </w:t>
      </w:r>
      <w:r>
        <w:t>in most cases</w:t>
      </w:r>
      <w:r w:rsidRPr="009D580E">
        <w:t xml:space="preserve">, </w:t>
      </w:r>
      <w:r>
        <w:t xml:space="preserve">the proponent </w:t>
      </w:r>
      <w:r w:rsidRPr="009D580E">
        <w:t>will follow the following procedure.</w:t>
      </w:r>
    </w:p>
    <w:p w14:paraId="7538E21E" w14:textId="77777777" w:rsidR="00AC175B" w:rsidRPr="009D580E" w:rsidRDefault="00AC175B" w:rsidP="00AC175B">
      <w:pPr>
        <w:pStyle w:val="BoxText"/>
        <w:pBdr>
          <w:left w:val="single" w:sz="6" w:space="4" w:color="auto"/>
        </w:pBdr>
      </w:pPr>
      <w:r>
        <w:t>For inputs to the calculator, w</w:t>
      </w:r>
      <w:r w:rsidRPr="009D580E">
        <w:t>henever animals enter or leave the herd:</w:t>
      </w:r>
    </w:p>
    <w:p w14:paraId="22478253" w14:textId="77777777" w:rsidR="00AC175B" w:rsidRPr="009D580E" w:rsidRDefault="00AC175B" w:rsidP="00AC175B">
      <w:pPr>
        <w:pStyle w:val="BoxStep"/>
        <w:pBdr>
          <w:left w:val="single" w:sz="6" w:space="4" w:color="auto"/>
        </w:pBdr>
        <w:spacing w:before="120"/>
        <w:ind w:left="2126" w:hanging="992"/>
      </w:pPr>
      <w:r w:rsidRPr="009D580E">
        <w:t xml:space="preserve">       (a)</w:t>
      </w:r>
      <w:r w:rsidRPr="009D580E">
        <w:tab/>
        <w:t>they are treated as having entered or left at the mid-point of the month in which they entered or left;</w:t>
      </w:r>
    </w:p>
    <w:p w14:paraId="2C5F7382" w14:textId="77777777" w:rsidR="00AC175B" w:rsidRPr="009D580E" w:rsidRDefault="00AC175B" w:rsidP="00AC175B">
      <w:pPr>
        <w:pStyle w:val="BoxStep"/>
        <w:pBdr>
          <w:left w:val="single" w:sz="6" w:space="4" w:color="auto"/>
        </w:pBdr>
        <w:spacing w:before="120"/>
        <w:ind w:left="2126" w:hanging="992"/>
      </w:pPr>
      <w:r w:rsidRPr="009D580E">
        <w:t xml:space="preserve">       (b)</w:t>
      </w:r>
      <w:r w:rsidRPr="009D580E">
        <w:tab/>
        <w:t>if they enter or leave by being bought or sold, the sale weights are used.</w:t>
      </w:r>
    </w:p>
    <w:p w14:paraId="64DF1565" w14:textId="77777777" w:rsidR="00AC175B" w:rsidRPr="009D580E" w:rsidRDefault="00AC175B" w:rsidP="00AC175B">
      <w:pPr>
        <w:pStyle w:val="BoxText"/>
        <w:pBdr>
          <w:left w:val="single" w:sz="6" w:space="4" w:color="auto"/>
        </w:pBdr>
      </w:pPr>
      <w:r w:rsidRPr="009D580E">
        <w:t>Animals that are born into the herd are entered into the calculator as having entered the herd by birth in the month in which they were branded, and are assigned a weight at branding of 75</w:t>
      </w:r>
      <w:r>
        <w:t xml:space="preserve"> </w:t>
      </w:r>
      <w:r w:rsidRPr="009D580E">
        <w:t xml:space="preserve">kg. </w:t>
      </w:r>
    </w:p>
    <w:p w14:paraId="5D44B55B" w14:textId="77777777" w:rsidR="00AC175B" w:rsidRPr="009D580E" w:rsidRDefault="00AC175B" w:rsidP="00AC175B">
      <w:pPr>
        <w:pStyle w:val="BoxText"/>
        <w:pBdr>
          <w:left w:val="single" w:sz="6" w:space="4" w:color="auto"/>
        </w:pBdr>
      </w:pPr>
      <w:r w:rsidRPr="009D580E">
        <w:t xml:space="preserve">In addition, there will be an annual muster at which all animals that are less than 3 years old, but are expected spend more than 12 months in the herd, will be weighed (or suitable samples of them will be weighed). The muster will take place within the period from 6 weeks before to 6 weeks after the assessment day.  (For the first and last assessment days only, weights that are taken outside the period from 2 weeks before to 2 weeks after the assessment day must be adjusted by linear projection. This is because weights taken outside that period could produce discrepancies in the calculations for one assessment year that are not automatically corrected in the next.) </w:t>
      </w:r>
    </w:p>
    <w:p w14:paraId="2FEE52F4" w14:textId="77777777" w:rsidR="00AC175B" w:rsidRPr="009D580E" w:rsidRDefault="00AC175B" w:rsidP="00AC175B">
      <w:pPr>
        <w:pStyle w:val="BoxText"/>
        <w:pBdr>
          <w:left w:val="single" w:sz="6" w:space="4" w:color="auto"/>
        </w:pBdr>
      </w:pPr>
      <w:r w:rsidRPr="009D580E">
        <w:t xml:space="preserve">Animals over 3 years old will be taken to have the weights derived in accordance with paragraph </w:t>
      </w:r>
      <w:r>
        <w:t>(1)(e)</w:t>
      </w:r>
      <w:r w:rsidRPr="009D580E">
        <w:t>.</w:t>
      </w:r>
    </w:p>
    <w:p w14:paraId="64F12DE2" w14:textId="77777777" w:rsidR="00AC175B" w:rsidRPr="009D580E" w:rsidRDefault="00AC175B" w:rsidP="00AC175B">
      <w:pPr>
        <w:pStyle w:val="BoxText"/>
        <w:pBdr>
          <w:left w:val="single" w:sz="6" w:space="4" w:color="auto"/>
        </w:pBdr>
      </w:pPr>
      <w:r w:rsidRPr="009D580E">
        <w:t xml:space="preserve">For animals that that are expected to spend less than 12 months in the herd, the proponent will wait until they are sold, and will then use linear projection under paragraph </w:t>
      </w:r>
      <w:r>
        <w:t>(1)(h)</w:t>
      </w:r>
      <w:r w:rsidRPr="009D580E">
        <w:t xml:space="preserve"> to derive weights for the assessment day. (Note that dates used for linear projection must be after the date of application and before the end of the crediting period.) </w:t>
      </w:r>
    </w:p>
    <w:p w14:paraId="137A2FBD" w14:textId="77777777" w:rsidR="00AC175B" w:rsidRPr="00836093" w:rsidRDefault="00AC175B" w:rsidP="00AC175B">
      <w:pPr>
        <w:pStyle w:val="BoxText"/>
        <w:pBdr>
          <w:left w:val="single" w:sz="6" w:space="4" w:color="auto"/>
        </w:pBdr>
      </w:pPr>
      <w:r w:rsidRPr="009D580E">
        <w:t xml:space="preserve">If the animals recorded by the muster are the same as the animals on the livestock inventory on the assessment day, these figures will be used as the input figures for the end of one year </w:t>
      </w:r>
      <w:r w:rsidRPr="00836093">
        <w:t>and the beginning of the next.  However, if any animals enter or leave the herd:</w:t>
      </w:r>
    </w:p>
    <w:p w14:paraId="51862A12" w14:textId="77777777" w:rsidR="00AC175B" w:rsidRPr="00836093" w:rsidRDefault="00AC175B" w:rsidP="00AC175B">
      <w:pPr>
        <w:pStyle w:val="BoxStep"/>
        <w:pBdr>
          <w:left w:val="single" w:sz="6" w:space="4" w:color="auto"/>
        </w:pBdr>
        <w:spacing w:before="120"/>
        <w:ind w:left="2126" w:hanging="992"/>
      </w:pPr>
      <w:r w:rsidRPr="00836093">
        <w:t xml:space="preserve">       (a)</w:t>
      </w:r>
      <w:r w:rsidRPr="00836093">
        <w:tab/>
        <w:t>between the muster and the assessment day, where the muster is earlier; or</w:t>
      </w:r>
    </w:p>
    <w:p w14:paraId="2308C829" w14:textId="77777777" w:rsidR="00AC175B" w:rsidRPr="00836093" w:rsidRDefault="00AC175B" w:rsidP="00AC175B">
      <w:pPr>
        <w:pStyle w:val="BoxStep"/>
        <w:pBdr>
          <w:left w:val="single" w:sz="6" w:space="4" w:color="auto"/>
        </w:pBdr>
        <w:spacing w:before="120"/>
        <w:ind w:left="2126" w:hanging="992"/>
      </w:pPr>
      <w:r w:rsidRPr="00836093">
        <w:t xml:space="preserve">       (b)</w:t>
      </w:r>
      <w:r w:rsidRPr="00836093">
        <w:tab/>
        <w:t>between the assessment day and the muster, where the muster is later;</w:t>
      </w:r>
    </w:p>
    <w:p w14:paraId="22F39BA5" w14:textId="77777777" w:rsidR="00AC175B" w:rsidRPr="00836093" w:rsidRDefault="00AC175B" w:rsidP="00AC175B">
      <w:pPr>
        <w:pStyle w:val="BoxText"/>
        <w:pBdr>
          <w:left w:val="single" w:sz="6" w:space="4" w:color="auto"/>
        </w:pBdr>
      </w:pPr>
      <w:r w:rsidRPr="00836093">
        <w:t>the arrivals and departures will be entered into the calculator in the normal way, for the assessment year in which they occur, and the input figures for the assessment day will be adjusted accordingly.</w:t>
      </w:r>
    </w:p>
    <w:p w14:paraId="76A6DF1B" w14:textId="77777777" w:rsidR="00AC175B" w:rsidRPr="00836093" w:rsidRDefault="00AC175B" w:rsidP="00AC175B">
      <w:pPr>
        <w:rPr>
          <w:lang w:eastAsia="en-AU"/>
        </w:rPr>
      </w:pPr>
    </w:p>
    <w:p w14:paraId="7ACA0AA9" w14:textId="77777777" w:rsidR="00AC175B" w:rsidRPr="00010200" w:rsidRDefault="00AC175B" w:rsidP="00AC175B">
      <w:pPr>
        <w:pStyle w:val="tMain"/>
      </w:pPr>
      <w:r w:rsidRPr="00010200">
        <w:tab/>
        <w:t>(1)</w:t>
      </w:r>
      <w:r w:rsidRPr="00010200">
        <w:tab/>
        <w:t xml:space="preserve">For an input relating to the crediting period, the average liveweight of a weighing group must be ascertained by one of the following methods: </w:t>
      </w:r>
    </w:p>
    <w:p w14:paraId="3407FF57" w14:textId="77777777" w:rsidR="00AC175B" w:rsidRPr="00010200" w:rsidRDefault="00AC175B" w:rsidP="00AC175B">
      <w:pPr>
        <w:pStyle w:val="tPara"/>
      </w:pPr>
      <w:r w:rsidRPr="00010200">
        <w:tab/>
        <w:t>(a)</w:t>
      </w:r>
      <w:r w:rsidRPr="00010200">
        <w:tab/>
        <w:t>weighing all the animals in the weighing group and calculating the average;</w:t>
      </w:r>
    </w:p>
    <w:p w14:paraId="31DB6F85" w14:textId="77777777" w:rsidR="00AC175B" w:rsidRPr="00010200" w:rsidRDefault="00AC175B" w:rsidP="00AC175B">
      <w:pPr>
        <w:pStyle w:val="tPara"/>
      </w:pPr>
      <w:r w:rsidRPr="00010200">
        <w:tab/>
        <w:t>(b)</w:t>
      </w:r>
      <w:r w:rsidRPr="00010200">
        <w:tab/>
        <w:t>weighing all the animals in a statistically valid sample from the weighing group and estimating the average liveweight from the sample in accordance with, and to an accuracy that is consistent with, industry practice;</w:t>
      </w:r>
    </w:p>
    <w:p w14:paraId="4A51FCA9" w14:textId="77777777" w:rsidR="00AC175B" w:rsidRPr="00010200" w:rsidRDefault="00AC175B" w:rsidP="00AC175B">
      <w:pPr>
        <w:pStyle w:val="tPara"/>
      </w:pPr>
      <w:r w:rsidRPr="00010200">
        <w:tab/>
        <w:t>(c)</w:t>
      </w:r>
      <w:r w:rsidRPr="00010200">
        <w:tab/>
        <w:t xml:space="preserve">for a weighing group with an input date at the start of the first assessment year of the herd—applying the average weight of the relevant livestock class of the herd as a whole, calculated in accordance with subsection </w:t>
      </w:r>
      <w:r>
        <w:t>(4)</w:t>
      </w:r>
      <w:r w:rsidRPr="00010200">
        <w:t>;</w:t>
      </w:r>
    </w:p>
    <w:p w14:paraId="4656B3D7" w14:textId="77777777" w:rsidR="00AC175B" w:rsidRPr="00010200" w:rsidRDefault="00AC175B" w:rsidP="00AC175B">
      <w:pPr>
        <w:pStyle w:val="tPara"/>
      </w:pPr>
      <w:r w:rsidRPr="00010200">
        <w:lastRenderedPageBreak/>
        <w:tab/>
        <w:t>(d)</w:t>
      </w:r>
      <w:r w:rsidRPr="00010200">
        <w:tab/>
        <w:t xml:space="preserve">for a weighing group with an input date at the start of a later assessment year of the herd—applying the average weight of the relevant input group from the end of the previous year, identified in accordance with subsection </w:t>
      </w:r>
      <w:r>
        <w:t>(5)</w:t>
      </w:r>
      <w:r w:rsidRPr="00010200">
        <w:t>;</w:t>
      </w:r>
    </w:p>
    <w:p w14:paraId="073E0DC9" w14:textId="77777777" w:rsidR="00AC175B" w:rsidRPr="00010200" w:rsidRDefault="00AC175B" w:rsidP="00AC175B">
      <w:pPr>
        <w:pStyle w:val="tPara"/>
      </w:pPr>
      <w:r w:rsidRPr="00010200">
        <w:tab/>
        <w:t>(e)</w:t>
      </w:r>
      <w:r w:rsidRPr="00010200">
        <w:tab/>
        <w:t>for cows or bulls aged 3 years or more—applying a figure derived in accordance with subsection (5) from the hot standard carcase weights of all animals of the relevant livestock class culled from the herd during the year of the input date;</w:t>
      </w:r>
    </w:p>
    <w:p w14:paraId="72A380DA" w14:textId="77777777" w:rsidR="00AC175B" w:rsidRPr="009D580E" w:rsidRDefault="00AC175B" w:rsidP="00AC175B">
      <w:pPr>
        <w:pStyle w:val="tPara"/>
      </w:pPr>
      <w:r w:rsidRPr="00010200">
        <w:tab/>
        <w:t>(f)</w:t>
      </w:r>
      <w:r w:rsidRPr="00010200">
        <w:tab/>
        <w:t xml:space="preserve">where </w:t>
      </w:r>
      <w:r w:rsidRPr="009D580E">
        <w:t>the animals in the weighing class were bought or sold on the input date—calculating the average weight from the data in the relevant sale records or receipts;</w:t>
      </w:r>
    </w:p>
    <w:p w14:paraId="05932B2D" w14:textId="77777777" w:rsidR="00AC175B" w:rsidRPr="009D580E" w:rsidRDefault="00AC175B" w:rsidP="00AC175B">
      <w:pPr>
        <w:pStyle w:val="tPara"/>
      </w:pPr>
      <w:r w:rsidRPr="009D580E">
        <w:tab/>
        <w:t>(g)</w:t>
      </w:r>
      <w:r w:rsidRPr="009D580E">
        <w:tab/>
        <w:t>for a weighing class that consists of animals entering the herd by birth, and the input date is the date of their branding—applying a default branding weight of 75 kg;</w:t>
      </w:r>
    </w:p>
    <w:p w14:paraId="79EC1A1C" w14:textId="77777777" w:rsidR="00AC175B" w:rsidRPr="009D580E" w:rsidRDefault="00AC175B" w:rsidP="00AC175B">
      <w:pPr>
        <w:pStyle w:val="tPara"/>
      </w:pPr>
      <w:r w:rsidRPr="009D580E">
        <w:tab/>
        <w:t>(h)</w:t>
      </w:r>
      <w:r w:rsidRPr="009D580E">
        <w:tab/>
        <w:t xml:space="preserve">by linear projection in accordance with subsections </w:t>
      </w:r>
      <w:r>
        <w:t>(7)</w:t>
      </w:r>
      <w:r w:rsidRPr="009D580E">
        <w:t xml:space="preserve"> to </w:t>
      </w:r>
      <w:r>
        <w:t>(12)</w:t>
      </w:r>
      <w:r w:rsidRPr="009D580E">
        <w:t>.</w:t>
      </w:r>
    </w:p>
    <w:p w14:paraId="71B2B049" w14:textId="77777777" w:rsidR="00AC175B" w:rsidRPr="009D580E" w:rsidRDefault="00AC175B" w:rsidP="00AC175B">
      <w:pPr>
        <w:pStyle w:val="nMain"/>
      </w:pPr>
      <w:r w:rsidRPr="009D580E">
        <w:t>Note 1:</w:t>
      </w:r>
      <w:r w:rsidRPr="009D580E">
        <w:tab/>
        <w:t>Values ascertained consistently with Accounting Standard AASB 141—</w:t>
      </w:r>
      <w:r w:rsidRPr="009D580E">
        <w:rPr>
          <w:i/>
          <w:iCs/>
        </w:rPr>
        <w:t>Agriculture</w:t>
      </w:r>
      <w:r w:rsidRPr="009D580E">
        <w:rPr>
          <w:iCs/>
        </w:rPr>
        <w:t xml:space="preserve"> would be expected to comply with paragraph </w:t>
      </w:r>
      <w:r w:rsidRPr="00C52855">
        <w:rPr>
          <w:iCs/>
        </w:rPr>
        <w:t>(b)</w:t>
      </w:r>
      <w:r w:rsidRPr="009D580E">
        <w:t>.</w:t>
      </w:r>
    </w:p>
    <w:p w14:paraId="6F21D422" w14:textId="77777777" w:rsidR="00AC175B" w:rsidRPr="009D580E" w:rsidRDefault="00AC175B" w:rsidP="00AC175B">
      <w:pPr>
        <w:pStyle w:val="nMain"/>
      </w:pPr>
      <w:r w:rsidRPr="009D580E">
        <w:t>Note 2:</w:t>
      </w:r>
      <w:r w:rsidRPr="009D580E">
        <w:tab/>
        <w:t xml:space="preserve">If animals are bought or sold within 1 month before or after an assessment day, paragraph </w:t>
      </w:r>
      <w:r>
        <w:t>(f)</w:t>
      </w:r>
      <w:r w:rsidRPr="009D580E">
        <w:t xml:space="preserve"> allows sale records or receipts to be used for the assessment day input as well as the input for entering or leaving the herd (ie, the same weight may be used for both).  </w:t>
      </w:r>
    </w:p>
    <w:p w14:paraId="7FD400AD" w14:textId="77777777" w:rsidR="00AC175B" w:rsidRPr="009D580E" w:rsidRDefault="00AC175B" w:rsidP="00AC175B">
      <w:pPr>
        <w:pStyle w:val="nMain"/>
      </w:pPr>
      <w:r w:rsidRPr="009D580E">
        <w:t>Note 3:</w:t>
      </w:r>
      <w:r w:rsidRPr="009D580E">
        <w:tab/>
        <w:t xml:space="preserve">For input groups to which paragraph </w:t>
      </w:r>
      <w:r>
        <w:t>(g)</w:t>
      </w:r>
      <w:r w:rsidRPr="009D580E">
        <w:t xml:space="preserve"> applies, see item 5 in Schedule 1. </w:t>
      </w:r>
    </w:p>
    <w:p w14:paraId="032AF572" w14:textId="77777777" w:rsidR="00AC175B" w:rsidRPr="009D580E" w:rsidRDefault="00AC175B" w:rsidP="00AC175B">
      <w:pPr>
        <w:pStyle w:val="nMain"/>
      </w:pPr>
      <w:r w:rsidRPr="009D580E">
        <w:t>Example 1:</w:t>
      </w:r>
      <w:r w:rsidRPr="009D580E">
        <w:tab/>
        <w:t xml:space="preserve">For paragraph </w:t>
      </w:r>
      <w:r>
        <w:t>(d)</w:t>
      </w:r>
      <w:r w:rsidRPr="009D580E">
        <w:t>, for a herd with an assessment day of 31 December, suppose a group of cattle that are in the livestock class of 1-2 year old steers at the start of year 2 are sold in August of year 2 when they are in the livestock class of 2-3 year old steers. Some of the animals had been in the herd for the whole of year 1, while others had been purchased in March of year 1 as steers less than one year old.</w:t>
      </w:r>
    </w:p>
    <w:p w14:paraId="2216CEFD" w14:textId="77777777" w:rsidR="00AC175B" w:rsidRPr="009D580E" w:rsidRDefault="00AC175B" w:rsidP="00AC175B">
      <w:pPr>
        <w:pStyle w:val="nMain"/>
        <w:ind w:firstLine="0"/>
      </w:pPr>
      <w:r w:rsidRPr="009D580E">
        <w:t>At the start of year 2, the animals form an input group requiring an average weight to be entered into the Calculator for the start of year 2. They could be divided into two weighing groups based on their history. The animals that had been in the herd for the whole of year 1 can be taken to have the average weight of 1-2 year-old steers that were entered into the Calculator for paragraph 2(d) of Schedule 1 at the end of the previous year. The rest of the animals can be taken to have the average weight that the under one year olds purchased in March of year 1 had reached by the end of that year, as entered into the Calculator for paragraph 6(b) of Schedule 1.</w:t>
      </w:r>
    </w:p>
    <w:p w14:paraId="600F78B5" w14:textId="77777777" w:rsidR="00AC175B" w:rsidRPr="009D580E" w:rsidRDefault="00AC175B" w:rsidP="00AC175B">
      <w:pPr>
        <w:pStyle w:val="nMain"/>
      </w:pPr>
      <w:r w:rsidRPr="009D580E">
        <w:t>Example 2:</w:t>
      </w:r>
      <w:r w:rsidRPr="009D580E">
        <w:tab/>
        <w:t>A project proponent could collect all the data required for input weights as follows:</w:t>
      </w:r>
    </w:p>
    <w:p w14:paraId="4C969C75" w14:textId="77777777" w:rsidR="00AC175B" w:rsidRPr="009D580E" w:rsidRDefault="00AC175B" w:rsidP="00AC175B">
      <w:pPr>
        <w:pStyle w:val="nPara"/>
        <w:ind w:left="2552"/>
      </w:pPr>
      <w:r w:rsidRPr="009D580E">
        <w:t>•</w:t>
      </w:r>
      <w:r w:rsidRPr="009D580E">
        <w:tab/>
        <w:t>within 6 weeks before or after the start of the first assessment year, take weights or sample weights of each livestock class (possibly relying on paragraph 1(c) and subsection (9))</w:t>
      </w:r>
    </w:p>
    <w:p w14:paraId="48FD1323" w14:textId="77777777" w:rsidR="00AC175B" w:rsidRPr="009D580E" w:rsidRDefault="00AC175B" w:rsidP="00AC175B">
      <w:pPr>
        <w:pStyle w:val="nPara"/>
        <w:ind w:left="2552"/>
      </w:pPr>
      <w:r w:rsidRPr="009D580E">
        <w:t>•</w:t>
      </w:r>
      <w:r w:rsidRPr="009D580E">
        <w:tab/>
        <w:t>ensure that weights are recorded in the sale records or receipts for each sale or purchase</w:t>
      </w:r>
    </w:p>
    <w:p w14:paraId="2FD40F5D" w14:textId="77777777" w:rsidR="00AC175B" w:rsidRPr="009D580E" w:rsidRDefault="00AC175B" w:rsidP="00AC175B">
      <w:pPr>
        <w:pStyle w:val="nPara"/>
        <w:ind w:left="2552"/>
      </w:pPr>
      <w:r w:rsidRPr="009D580E">
        <w:t>•</w:t>
      </w:r>
      <w:r w:rsidRPr="009D580E">
        <w:tab/>
        <w:t xml:space="preserve">within 6 weeks before or after the end of each assessment year, take weights or sample weights of each livestock class in the resident herd and in each group of animals that entered the herd during the year (possibly relying on paragraph 1(c) and subsection (10)). </w:t>
      </w:r>
    </w:p>
    <w:p w14:paraId="755E40F8" w14:textId="77777777" w:rsidR="00AC175B" w:rsidRPr="009D580E" w:rsidRDefault="00AC175B" w:rsidP="00AC175B">
      <w:pPr>
        <w:pStyle w:val="h6Subsec"/>
      </w:pPr>
      <w:r w:rsidRPr="009D580E">
        <w:t xml:space="preserve">Time of weighing—assessment days </w:t>
      </w:r>
    </w:p>
    <w:p w14:paraId="3BEF504C" w14:textId="77777777" w:rsidR="00AC175B" w:rsidRPr="009D580E" w:rsidRDefault="00AC175B" w:rsidP="00AC175B">
      <w:pPr>
        <w:pStyle w:val="tMain"/>
      </w:pPr>
      <w:r w:rsidRPr="009D580E">
        <w:tab/>
        <w:t>(2)</w:t>
      </w:r>
      <w:r w:rsidRPr="009D580E">
        <w:tab/>
        <w:t>For an input date that is an assessment day, if average liveweight is to be ascertained under paragraph (1)(a), (b) or (c), the weighing must be done within the following periods:</w:t>
      </w:r>
    </w:p>
    <w:p w14:paraId="66E84428" w14:textId="77777777" w:rsidR="00AC175B" w:rsidRPr="009D580E" w:rsidRDefault="00AC175B" w:rsidP="00AC175B">
      <w:pPr>
        <w:pStyle w:val="tPara"/>
      </w:pPr>
      <w:r w:rsidRPr="009D580E">
        <w:tab/>
        <w:t>(a)</w:t>
      </w:r>
      <w:r w:rsidRPr="009D580E">
        <w:tab/>
        <w:t>for the first assessment day and last assessment day (beginning of the first assessment year and end of the last assessment year)—within 2 weeks before or after the assessment day;</w:t>
      </w:r>
    </w:p>
    <w:p w14:paraId="778B967C" w14:textId="77777777" w:rsidR="00AC175B" w:rsidRPr="009D580E" w:rsidRDefault="00AC175B" w:rsidP="00AC175B">
      <w:pPr>
        <w:pStyle w:val="tPara"/>
      </w:pPr>
      <w:r w:rsidRPr="009D580E">
        <w:tab/>
        <w:t>(b)</w:t>
      </w:r>
      <w:r w:rsidRPr="009D580E">
        <w:tab/>
        <w:t>for any other assessment day—within 6 weeks before or after the assessment day.</w:t>
      </w:r>
    </w:p>
    <w:p w14:paraId="4118F8BA" w14:textId="77777777" w:rsidR="00AC175B" w:rsidRPr="009D580E" w:rsidRDefault="00AC175B" w:rsidP="00AC175B">
      <w:pPr>
        <w:pStyle w:val="h6Subsec"/>
      </w:pPr>
      <w:r w:rsidRPr="009D580E">
        <w:lastRenderedPageBreak/>
        <w:t xml:space="preserve">Time of weighing—other input dates </w:t>
      </w:r>
    </w:p>
    <w:p w14:paraId="760ABDC6" w14:textId="77777777" w:rsidR="00AC175B" w:rsidRPr="009D580E" w:rsidRDefault="00AC175B" w:rsidP="00AC175B">
      <w:pPr>
        <w:pStyle w:val="tMain"/>
      </w:pPr>
      <w:r w:rsidRPr="009D580E">
        <w:tab/>
        <w:t>(3)</w:t>
      </w:r>
      <w:r w:rsidRPr="009D580E">
        <w:tab/>
        <w:t>For an input date that is not an assessment day, if average liveweight is to be ascertained under paragraph (1)(a), (b) or (c), the weighing must be done within the monthly period in which the input date falls.</w:t>
      </w:r>
    </w:p>
    <w:p w14:paraId="151F5CB4" w14:textId="77777777" w:rsidR="00AC175B" w:rsidRPr="009D580E" w:rsidRDefault="00AC175B" w:rsidP="00AC175B">
      <w:pPr>
        <w:pStyle w:val="nPara"/>
      </w:pPr>
      <w:r w:rsidRPr="009D580E">
        <w:t>Note:</w:t>
      </w:r>
      <w:r w:rsidRPr="009D580E">
        <w:tab/>
        <w:t xml:space="preserve">Subsections </w:t>
      </w:r>
      <w:r>
        <w:t>(2)</w:t>
      </w:r>
      <w:r w:rsidRPr="009D580E">
        <w:t xml:space="preserve"> and </w:t>
      </w:r>
      <w:r>
        <w:t>(3)</w:t>
      </w:r>
      <w:r w:rsidRPr="009D580E">
        <w:t xml:space="preserve"> are not relevant where the project proponent is using weights in sales records or receipts under paragraph </w:t>
      </w:r>
      <w:r>
        <w:t>(1)(f)</w:t>
      </w:r>
      <w:r w:rsidRPr="009D580E">
        <w:t>.</w:t>
      </w:r>
    </w:p>
    <w:p w14:paraId="6F341DF5" w14:textId="77777777" w:rsidR="00AC175B" w:rsidRPr="009D580E" w:rsidRDefault="00AC175B" w:rsidP="00AC175B">
      <w:pPr>
        <w:pStyle w:val="h6Subsec"/>
      </w:pPr>
      <w:r w:rsidRPr="009D580E">
        <w:t>For the first assessment day, average weight of a livestock class may be used for all input groups in the class</w:t>
      </w:r>
    </w:p>
    <w:p w14:paraId="3D6E4587" w14:textId="77777777" w:rsidR="00AC175B" w:rsidRPr="009D580E" w:rsidRDefault="00AC175B" w:rsidP="00AC175B">
      <w:pPr>
        <w:pStyle w:val="tMain"/>
      </w:pPr>
      <w:r w:rsidRPr="009D580E">
        <w:tab/>
        <w:t>(4)</w:t>
      </w:r>
      <w:r w:rsidRPr="009D580E">
        <w:tab/>
        <w:t xml:space="preserve">For the purposes of paragraph </w:t>
      </w:r>
      <w:r>
        <w:t>(1)(c)</w:t>
      </w:r>
      <w:r w:rsidRPr="009D580E">
        <w:t>, the project proponent may calculate the average liveweight of all animals in the herd of a particular livestock class at the start of the first assessment year of the herd by:</w:t>
      </w:r>
    </w:p>
    <w:p w14:paraId="4A6E19E5" w14:textId="77777777" w:rsidR="00AC175B" w:rsidRPr="009D580E" w:rsidRDefault="00AC175B" w:rsidP="00AC175B">
      <w:pPr>
        <w:pStyle w:val="tPara"/>
      </w:pPr>
      <w:r w:rsidRPr="009D580E">
        <w:tab/>
      </w:r>
      <w:r>
        <w:t>(a)</w:t>
      </w:r>
      <w:r w:rsidRPr="009D580E">
        <w:tab/>
        <w:t>weighing all the animals in the livestock class and calculating the average; or</w:t>
      </w:r>
    </w:p>
    <w:p w14:paraId="7CE43576" w14:textId="77777777" w:rsidR="00AC175B" w:rsidRPr="009D580E" w:rsidRDefault="00AC175B" w:rsidP="00AC175B">
      <w:pPr>
        <w:pStyle w:val="tPara"/>
      </w:pPr>
      <w:r w:rsidRPr="009D580E">
        <w:tab/>
      </w:r>
      <w:r>
        <w:t>(b)</w:t>
      </w:r>
      <w:r w:rsidRPr="009D580E">
        <w:tab/>
        <w:t>weighing all the animals in a statistically valid sample from the livestock class and estimating the average liveweight from the sample in accordance with, and to an accuracy that is consistent with, industry practice.</w:t>
      </w:r>
    </w:p>
    <w:p w14:paraId="59E3F6D0" w14:textId="77777777" w:rsidR="00AC175B" w:rsidRPr="009D580E" w:rsidRDefault="00AC175B" w:rsidP="00AC175B">
      <w:pPr>
        <w:pStyle w:val="h6Subsec"/>
      </w:pPr>
      <w:r w:rsidRPr="009D580E">
        <w:t xml:space="preserve">Using weights calculated for inputs at the end of one year in calculating inputs at the beginning of the next year </w:t>
      </w:r>
    </w:p>
    <w:p w14:paraId="198068A6" w14:textId="77777777" w:rsidR="00AC175B" w:rsidRPr="009D580E" w:rsidRDefault="00AC175B" w:rsidP="00AC175B">
      <w:pPr>
        <w:pStyle w:val="tMain"/>
      </w:pPr>
      <w:r w:rsidRPr="009D580E">
        <w:tab/>
        <w:t>(5)</w:t>
      </w:r>
      <w:r w:rsidRPr="009D580E">
        <w:tab/>
        <w:t xml:space="preserve">For the purposes of paragraph </w:t>
      </w:r>
      <w:r>
        <w:t>(1)(d)</w:t>
      </w:r>
      <w:r w:rsidRPr="009D580E">
        <w:t>, an input group from the previous year is relevant to the weighing group if:</w:t>
      </w:r>
    </w:p>
    <w:p w14:paraId="6E3B6F09" w14:textId="77777777" w:rsidR="00AC175B" w:rsidRPr="009D580E" w:rsidRDefault="00AC175B" w:rsidP="00AC175B">
      <w:pPr>
        <w:pStyle w:val="tPara"/>
      </w:pPr>
      <w:r w:rsidRPr="009D580E">
        <w:tab/>
        <w:t>(a)</w:t>
      </w:r>
      <w:r w:rsidRPr="009D580E">
        <w:tab/>
        <w:t>the input date of the input group was the end of the previous year; and</w:t>
      </w:r>
    </w:p>
    <w:p w14:paraId="791F9817" w14:textId="77777777" w:rsidR="00AC175B" w:rsidRPr="009D580E" w:rsidRDefault="00AC175B" w:rsidP="00AC175B">
      <w:pPr>
        <w:pStyle w:val="tPara"/>
      </w:pPr>
      <w:r w:rsidRPr="009D580E">
        <w:tab/>
        <w:t>(b)</w:t>
      </w:r>
      <w:r w:rsidRPr="009D580E">
        <w:tab/>
        <w:t>all the animals in the weighing group were in the input group.</w:t>
      </w:r>
    </w:p>
    <w:p w14:paraId="4C1A92E1" w14:textId="77777777" w:rsidR="00AC175B" w:rsidRPr="009D580E" w:rsidRDefault="00AC175B" w:rsidP="00AC175B">
      <w:pPr>
        <w:pStyle w:val="h6Subsec"/>
      </w:pPr>
      <w:r w:rsidRPr="009D580E">
        <w:t>Estimation using hot standard carcase weight and dress out percentage</w:t>
      </w:r>
    </w:p>
    <w:p w14:paraId="3281AA90" w14:textId="77777777" w:rsidR="00AC175B" w:rsidRPr="009D580E" w:rsidRDefault="00AC175B" w:rsidP="00AC175B">
      <w:pPr>
        <w:pStyle w:val="tMain"/>
      </w:pPr>
      <w:r w:rsidRPr="009D580E">
        <w:tab/>
        <w:t>(6)</w:t>
      </w:r>
      <w:r w:rsidRPr="009D580E">
        <w:tab/>
        <w:t xml:space="preserve">For the purposes of paragraph </w:t>
      </w:r>
      <w:r>
        <w:t>(1)(e)</w:t>
      </w:r>
      <w:r w:rsidRPr="009D580E">
        <w:t>, liveweight of a group of animals that are slaughtered may be estimated by converting hot standard carcase weights for the animals into liveweight using:</w:t>
      </w:r>
    </w:p>
    <w:p w14:paraId="33793493" w14:textId="77777777" w:rsidR="00AC175B" w:rsidRPr="009D580E" w:rsidRDefault="00AC175B" w:rsidP="00AC175B">
      <w:pPr>
        <w:pStyle w:val="tPara"/>
      </w:pPr>
      <w:r w:rsidRPr="009D580E">
        <w:tab/>
        <w:t>(a)</w:t>
      </w:r>
      <w:r w:rsidRPr="009D580E">
        <w:tab/>
        <w:t xml:space="preserve">the abattoir records of dress out percentage for the group of animals; or </w:t>
      </w:r>
    </w:p>
    <w:p w14:paraId="4BE2B236" w14:textId="77777777" w:rsidR="00AC175B" w:rsidRPr="009D580E" w:rsidRDefault="00AC175B" w:rsidP="00AC175B">
      <w:pPr>
        <w:pStyle w:val="tPara"/>
      </w:pPr>
      <w:r w:rsidRPr="009D580E">
        <w:tab/>
        <w:t>(b)</w:t>
      </w:r>
      <w:r w:rsidRPr="009D580E">
        <w:tab/>
        <w:t>a default dress out percentage of 55%.</w:t>
      </w:r>
    </w:p>
    <w:p w14:paraId="52DB8E0B" w14:textId="77777777" w:rsidR="00AC175B" w:rsidRPr="009D580E" w:rsidRDefault="00AC175B" w:rsidP="00AC175B">
      <w:pPr>
        <w:pStyle w:val="h6Subsec"/>
      </w:pPr>
      <w:r w:rsidRPr="009D580E">
        <w:t>Linear projection from known weights</w:t>
      </w:r>
    </w:p>
    <w:p w14:paraId="4BE52053" w14:textId="77777777" w:rsidR="00AC175B" w:rsidRPr="009D580E" w:rsidRDefault="00AC175B" w:rsidP="00AC175B">
      <w:pPr>
        <w:pStyle w:val="tMain"/>
      </w:pPr>
      <w:r w:rsidRPr="009D580E">
        <w:tab/>
        <w:t>(7)</w:t>
      </w:r>
      <w:r w:rsidRPr="009D580E">
        <w:tab/>
        <w:t>Linear projection may be used to establish the average weight of a weighing group on an input date if there are two dates for the group,</w:t>
      </w:r>
      <w:r w:rsidRPr="009D580E">
        <w:rPr>
          <w:b/>
          <w:i/>
        </w:rPr>
        <w:t xml:space="preserve"> Date 1</w:t>
      </w:r>
      <w:r w:rsidRPr="009D580E">
        <w:t xml:space="preserve"> and </w:t>
      </w:r>
      <w:r w:rsidRPr="009D580E">
        <w:rPr>
          <w:b/>
          <w:i/>
        </w:rPr>
        <w:t>Date 2</w:t>
      </w:r>
      <w:r w:rsidRPr="009D580E">
        <w:t xml:space="preserve">, such that: </w:t>
      </w:r>
    </w:p>
    <w:p w14:paraId="3015F24F" w14:textId="77777777" w:rsidR="00AC175B" w:rsidRPr="009D580E" w:rsidRDefault="00AC175B" w:rsidP="00AC175B">
      <w:pPr>
        <w:pStyle w:val="tPara"/>
      </w:pPr>
      <w:r w:rsidRPr="009D580E">
        <w:tab/>
        <w:t>(a)</w:t>
      </w:r>
      <w:r w:rsidRPr="009D580E">
        <w:tab/>
        <w:t>Date 1 is before Date 2; and</w:t>
      </w:r>
    </w:p>
    <w:p w14:paraId="54FD9897" w14:textId="77777777" w:rsidR="00AC175B" w:rsidRPr="009D580E" w:rsidRDefault="00AC175B" w:rsidP="00AC175B">
      <w:pPr>
        <w:pStyle w:val="tPara"/>
      </w:pPr>
      <w:r w:rsidRPr="009D580E">
        <w:tab/>
        <w:t>(b)</w:t>
      </w:r>
      <w:r w:rsidRPr="009D580E">
        <w:tab/>
        <w:t>for each of Date 1 and Date 2, either:</w:t>
      </w:r>
    </w:p>
    <w:p w14:paraId="1FD3B52B" w14:textId="77777777" w:rsidR="00AC175B" w:rsidRPr="009D580E" w:rsidRDefault="00AC175B" w:rsidP="00AC175B">
      <w:pPr>
        <w:pStyle w:val="tSubpara"/>
      </w:pPr>
      <w:r w:rsidRPr="009D580E">
        <w:tab/>
        <w:t>(i)</w:t>
      </w:r>
      <w:r w:rsidRPr="009D580E">
        <w:tab/>
        <w:t>it is an input date for the same group, and the average weight is available in accordance with this section, other than by use of linear projection (paragraph (1)(h) and this subsection); or</w:t>
      </w:r>
    </w:p>
    <w:p w14:paraId="17DA0412" w14:textId="77777777" w:rsidR="00AC175B" w:rsidRPr="009D580E" w:rsidRDefault="00AC175B" w:rsidP="00AC175B">
      <w:pPr>
        <w:pStyle w:val="tSubpara"/>
      </w:pPr>
      <w:r w:rsidRPr="009D580E">
        <w:tab/>
        <w:t>(ii)</w:t>
      </w:r>
      <w:r w:rsidRPr="009D580E">
        <w:tab/>
        <w:t>it is a monthly input day for subsection (6) of Schedule 1 and the average weight of the animals in the group can be established for the date using a method listed in paragraph (1)(a), (b) or (f), as if it were an input date; and</w:t>
      </w:r>
    </w:p>
    <w:p w14:paraId="21DAEB07" w14:textId="77777777" w:rsidR="00AC175B" w:rsidRPr="009D580E" w:rsidRDefault="00AC175B" w:rsidP="00AC175B">
      <w:pPr>
        <w:pStyle w:val="tPara"/>
      </w:pPr>
      <w:r w:rsidRPr="009D580E">
        <w:tab/>
        <w:t>(c)</w:t>
      </w:r>
      <w:r w:rsidRPr="009D580E">
        <w:tab/>
        <w:t>there is no date between Date 1 and Date 2 that satisfies subparagraph (a)(i)</w:t>
      </w:r>
      <w:r>
        <w:t>; and</w:t>
      </w:r>
    </w:p>
    <w:p w14:paraId="66771FC4" w14:textId="77777777" w:rsidR="00AC175B" w:rsidRPr="009D580E" w:rsidRDefault="00AC175B" w:rsidP="00AC175B">
      <w:pPr>
        <w:pStyle w:val="tPara"/>
      </w:pPr>
      <w:r w:rsidRPr="009D580E">
        <w:tab/>
        <w:t>(d)</w:t>
      </w:r>
      <w:r w:rsidRPr="009D580E">
        <w:tab/>
        <w:t>both dates are after the date of the relevant application and no later than the last day of the crediting period; and</w:t>
      </w:r>
    </w:p>
    <w:p w14:paraId="030A9333" w14:textId="77777777" w:rsidR="00AC175B" w:rsidRPr="009D580E" w:rsidRDefault="00AC175B" w:rsidP="00AC175B">
      <w:pPr>
        <w:pStyle w:val="tPara"/>
      </w:pPr>
      <w:r w:rsidRPr="009D580E">
        <w:tab/>
        <w:t>(e)</w:t>
      </w:r>
      <w:r w:rsidRPr="009D580E">
        <w:tab/>
        <w:t>subsection (8), (9), (10) or (11) is satisfied.</w:t>
      </w:r>
    </w:p>
    <w:p w14:paraId="47BDBBB5" w14:textId="77777777" w:rsidR="00AC175B" w:rsidRPr="009D580E" w:rsidRDefault="00AC175B" w:rsidP="00AC175B">
      <w:pPr>
        <w:pStyle w:val="h6Subsec"/>
      </w:pPr>
      <w:r w:rsidRPr="009D580E">
        <w:lastRenderedPageBreak/>
        <w:t>Case A—General—dates on either side of input date and no more than 12 months apart</w:t>
      </w:r>
    </w:p>
    <w:p w14:paraId="54D6E0BA" w14:textId="77777777" w:rsidR="00AC175B" w:rsidRPr="009D580E" w:rsidRDefault="00AC175B" w:rsidP="00AC175B">
      <w:pPr>
        <w:pStyle w:val="tMain"/>
      </w:pPr>
      <w:r w:rsidRPr="009D580E">
        <w:tab/>
        <w:t>(8)</w:t>
      </w:r>
      <w:r w:rsidRPr="009D580E">
        <w:tab/>
        <w:t>This subsection is satisfied if:</w:t>
      </w:r>
    </w:p>
    <w:p w14:paraId="52782579" w14:textId="77777777" w:rsidR="00AC175B" w:rsidRPr="009D580E" w:rsidRDefault="00AC175B" w:rsidP="00AC175B">
      <w:pPr>
        <w:pStyle w:val="tPara"/>
      </w:pPr>
      <w:r w:rsidRPr="009D580E">
        <w:tab/>
        <w:t>(a)</w:t>
      </w:r>
      <w:r w:rsidRPr="009D580E">
        <w:tab/>
        <w:t>Date 1 is before the input date and Date 2 is after the input date; and</w:t>
      </w:r>
    </w:p>
    <w:p w14:paraId="66426DFE" w14:textId="77777777" w:rsidR="00AC175B" w:rsidRPr="009D580E" w:rsidRDefault="00AC175B" w:rsidP="00AC175B">
      <w:pPr>
        <w:pStyle w:val="tPara"/>
      </w:pPr>
      <w:r w:rsidRPr="009D580E">
        <w:tab/>
        <w:t>(b)</w:t>
      </w:r>
      <w:r w:rsidRPr="009D580E">
        <w:tab/>
        <w:t>the two dates are no more than 12 months apart.</w:t>
      </w:r>
    </w:p>
    <w:p w14:paraId="1D829DB7" w14:textId="77777777" w:rsidR="00AC175B" w:rsidRPr="009D580E" w:rsidRDefault="00AC175B" w:rsidP="00AC175B">
      <w:pPr>
        <w:pStyle w:val="h6Subsec"/>
      </w:pPr>
      <w:r w:rsidRPr="009D580E">
        <w:t>Case B—Input date is the first assessment day—early or late muster</w:t>
      </w:r>
    </w:p>
    <w:p w14:paraId="36E9334C" w14:textId="77777777" w:rsidR="00AC175B" w:rsidRPr="009D580E" w:rsidRDefault="00AC175B" w:rsidP="00AC175B">
      <w:pPr>
        <w:pStyle w:val="tMain"/>
      </w:pPr>
      <w:r w:rsidRPr="009D580E">
        <w:tab/>
        <w:t>(9)</w:t>
      </w:r>
      <w:r w:rsidRPr="009D580E">
        <w:tab/>
        <w:t>This subsection is satisfied if:</w:t>
      </w:r>
    </w:p>
    <w:p w14:paraId="2B61BED5" w14:textId="77777777" w:rsidR="00AC175B" w:rsidRPr="009D580E" w:rsidRDefault="00AC175B" w:rsidP="00AC175B">
      <w:pPr>
        <w:pStyle w:val="tPara"/>
      </w:pPr>
      <w:r w:rsidRPr="009D580E">
        <w:tab/>
        <w:t>(a)</w:t>
      </w:r>
      <w:r w:rsidRPr="009D580E">
        <w:tab/>
        <w:t>the input date is the start date of the first assessment year; and</w:t>
      </w:r>
    </w:p>
    <w:p w14:paraId="5FE2AB26" w14:textId="77777777" w:rsidR="00AC175B" w:rsidRPr="009D580E" w:rsidRDefault="00AC175B" w:rsidP="00AC175B">
      <w:pPr>
        <w:pStyle w:val="tPara"/>
      </w:pPr>
      <w:r w:rsidRPr="009D580E">
        <w:tab/>
        <w:t>(b)</w:t>
      </w:r>
      <w:r w:rsidRPr="009D580E">
        <w:tab/>
        <w:t>Date 1 is either 4 weeks before the input date or 4 weeks after the input date; and</w:t>
      </w:r>
    </w:p>
    <w:p w14:paraId="15CCAC5F" w14:textId="77777777" w:rsidR="00AC175B" w:rsidRPr="009D580E" w:rsidRDefault="00AC175B" w:rsidP="00AC175B">
      <w:pPr>
        <w:pStyle w:val="tPara"/>
      </w:pPr>
      <w:r w:rsidRPr="009D580E">
        <w:tab/>
        <w:t>(c)</w:t>
      </w:r>
      <w:r w:rsidRPr="009D580E">
        <w:tab/>
        <w:t>average liveweight for Date 1 is ascertained under paragraph (1)(a), (b) or (c) from weighing within 2 weeks before or after Date 1; and</w:t>
      </w:r>
    </w:p>
    <w:p w14:paraId="67FD6AA3" w14:textId="77777777" w:rsidR="00AC175B" w:rsidRPr="009D580E" w:rsidRDefault="00AC175B" w:rsidP="00AC175B">
      <w:pPr>
        <w:pStyle w:val="tPara"/>
      </w:pPr>
      <w:r w:rsidRPr="009D580E">
        <w:tab/>
        <w:t>(d)</w:t>
      </w:r>
      <w:r w:rsidRPr="009D580E">
        <w:tab/>
        <w:t>Date 2 is after the input date and no later than the next assessment day.</w:t>
      </w:r>
    </w:p>
    <w:p w14:paraId="7FF0DCE8" w14:textId="77777777" w:rsidR="00AC175B" w:rsidRPr="009D580E" w:rsidRDefault="00AC175B" w:rsidP="00AC175B">
      <w:pPr>
        <w:pStyle w:val="nMain"/>
      </w:pPr>
      <w:r w:rsidRPr="009D580E">
        <w:t>Note:</w:t>
      </w:r>
      <w:r w:rsidRPr="009D580E">
        <w:tab/>
        <w:t>If both Date 1 and Date 2 are after the input date, the average weights from those 2 dates will be projected back to the input date.</w:t>
      </w:r>
    </w:p>
    <w:p w14:paraId="5657AD7C" w14:textId="77777777" w:rsidR="00AC175B" w:rsidRPr="009D580E" w:rsidRDefault="00AC175B" w:rsidP="00AC175B">
      <w:pPr>
        <w:pStyle w:val="h6Subsec"/>
      </w:pPr>
      <w:r w:rsidRPr="009D580E">
        <w:t>Case C—Input date is the last assessment day—early or late muster</w:t>
      </w:r>
    </w:p>
    <w:p w14:paraId="7CA75BF7" w14:textId="77777777" w:rsidR="00AC175B" w:rsidRPr="009D580E" w:rsidRDefault="00AC175B" w:rsidP="00AC175B">
      <w:pPr>
        <w:pStyle w:val="tMain"/>
      </w:pPr>
      <w:r w:rsidRPr="009D580E">
        <w:tab/>
        <w:t>(10)</w:t>
      </w:r>
      <w:r w:rsidRPr="009D580E">
        <w:tab/>
        <w:t>This subsection is satisfied if:</w:t>
      </w:r>
    </w:p>
    <w:p w14:paraId="3B7FFE7A" w14:textId="77777777" w:rsidR="00AC175B" w:rsidRPr="009D580E" w:rsidRDefault="00AC175B" w:rsidP="00AC175B">
      <w:pPr>
        <w:pStyle w:val="tPara"/>
      </w:pPr>
      <w:r w:rsidRPr="009D580E">
        <w:tab/>
        <w:t>(a)</w:t>
      </w:r>
      <w:r w:rsidRPr="009D580E">
        <w:tab/>
        <w:t>the input date is the last day of the last assessment year; and</w:t>
      </w:r>
    </w:p>
    <w:p w14:paraId="38526FF4" w14:textId="77777777" w:rsidR="00AC175B" w:rsidRPr="009D580E" w:rsidRDefault="00AC175B" w:rsidP="00AC175B">
      <w:pPr>
        <w:pStyle w:val="tPara"/>
      </w:pPr>
      <w:r w:rsidRPr="009D580E">
        <w:tab/>
        <w:t>(b)</w:t>
      </w:r>
      <w:r w:rsidRPr="009D580E">
        <w:tab/>
        <w:t>Date 1 is before the input date and no earlier than the previous assessment day; and</w:t>
      </w:r>
    </w:p>
    <w:p w14:paraId="4D9DB11E" w14:textId="77777777" w:rsidR="00AC175B" w:rsidRPr="009D580E" w:rsidRDefault="00AC175B" w:rsidP="00AC175B">
      <w:pPr>
        <w:pStyle w:val="tPara"/>
      </w:pPr>
      <w:r w:rsidRPr="009D580E">
        <w:tab/>
        <w:t>(c)</w:t>
      </w:r>
      <w:r w:rsidRPr="009D580E">
        <w:tab/>
        <w:t>Date 2 is either 4 weeks before the input date or 4 weeks after the input date; and</w:t>
      </w:r>
    </w:p>
    <w:p w14:paraId="35A09EB2" w14:textId="77777777" w:rsidR="00AC175B" w:rsidRPr="009D580E" w:rsidRDefault="00AC175B" w:rsidP="00AC175B">
      <w:pPr>
        <w:pStyle w:val="tPara"/>
      </w:pPr>
      <w:r w:rsidRPr="009D580E">
        <w:tab/>
        <w:t>(d)</w:t>
      </w:r>
      <w:r w:rsidRPr="009D580E">
        <w:tab/>
        <w:t>average liveweight for Date 2 is ascertained under paragraph (1)(a), (b) or (c) from weighing within 2 weeks before or after Date 2.</w:t>
      </w:r>
    </w:p>
    <w:p w14:paraId="6DF4E17C" w14:textId="77777777" w:rsidR="00AC175B" w:rsidRPr="009D580E" w:rsidRDefault="00AC175B" w:rsidP="00AC175B">
      <w:pPr>
        <w:pStyle w:val="nMain"/>
      </w:pPr>
      <w:r w:rsidRPr="009D580E">
        <w:t>Note:</w:t>
      </w:r>
      <w:r w:rsidRPr="009D580E">
        <w:tab/>
        <w:t>If both Date 1 and Date 2 are before the input date, the average weights from those 2 dates will be projected forward to the input date.</w:t>
      </w:r>
    </w:p>
    <w:p w14:paraId="667B558B" w14:textId="77777777" w:rsidR="00AC175B" w:rsidRPr="009D580E" w:rsidRDefault="00AC175B" w:rsidP="00AC175B">
      <w:pPr>
        <w:pStyle w:val="h6Subsec"/>
      </w:pPr>
      <w:r w:rsidRPr="009D580E">
        <w:t>Allowance for annual muster delayed by natural disturbance</w:t>
      </w:r>
    </w:p>
    <w:p w14:paraId="248DAD4F" w14:textId="77777777" w:rsidR="00AC175B" w:rsidRPr="009D580E" w:rsidRDefault="00AC175B" w:rsidP="00AC175B">
      <w:pPr>
        <w:pStyle w:val="tMain"/>
      </w:pPr>
      <w:r w:rsidRPr="009D580E">
        <w:tab/>
        <w:t>(11)</w:t>
      </w:r>
      <w:r w:rsidRPr="009D580E">
        <w:tab/>
        <w:t>This subsection is satisfied if:</w:t>
      </w:r>
    </w:p>
    <w:p w14:paraId="6A3E742E" w14:textId="77777777" w:rsidR="00AC175B" w:rsidRPr="009D580E" w:rsidRDefault="00AC175B" w:rsidP="00AC175B">
      <w:pPr>
        <w:pStyle w:val="tPara"/>
      </w:pPr>
      <w:r w:rsidRPr="009D580E">
        <w:tab/>
        <w:t>(a)</w:t>
      </w:r>
      <w:r w:rsidRPr="009D580E">
        <w:tab/>
        <w:t>the input date is an assessment day, other than the end of the last assessment year; and</w:t>
      </w:r>
    </w:p>
    <w:p w14:paraId="78FC09A9" w14:textId="77777777" w:rsidR="00AC175B" w:rsidRPr="009D580E" w:rsidRDefault="00AC175B" w:rsidP="00AC175B">
      <w:pPr>
        <w:pStyle w:val="tPara"/>
      </w:pPr>
      <w:r w:rsidRPr="009D580E">
        <w:tab/>
        <w:t>(b)</w:t>
      </w:r>
      <w:r w:rsidRPr="009D580E">
        <w:tab/>
        <w:t>Date 1 is before the input date and no earlier than:</w:t>
      </w:r>
    </w:p>
    <w:p w14:paraId="780B8962" w14:textId="77777777" w:rsidR="00AC175B" w:rsidRPr="009D580E" w:rsidRDefault="00AC175B" w:rsidP="00AC175B">
      <w:pPr>
        <w:pStyle w:val="tSubpara"/>
      </w:pPr>
      <w:r w:rsidRPr="009D580E">
        <w:tab/>
        <w:t>(i)</w:t>
      </w:r>
      <w:r w:rsidRPr="009D580E">
        <w:tab/>
        <w:t>if the project proponent applied subsection (9) to ascertain the average weights for the previous assessment day—the Date 2 used for that calculation; and</w:t>
      </w:r>
    </w:p>
    <w:p w14:paraId="6DA27181" w14:textId="77777777" w:rsidR="00AC175B" w:rsidRPr="009D580E" w:rsidRDefault="00AC175B" w:rsidP="00AC175B">
      <w:pPr>
        <w:pStyle w:val="tSubpara"/>
      </w:pPr>
      <w:r w:rsidRPr="009D580E">
        <w:tab/>
        <w:t>(ii)</w:t>
      </w:r>
      <w:r w:rsidRPr="009D580E">
        <w:tab/>
        <w:t>otherwise—the previous assessment day; and</w:t>
      </w:r>
    </w:p>
    <w:p w14:paraId="0BE95A47" w14:textId="77777777" w:rsidR="00AC175B" w:rsidRPr="009D580E" w:rsidRDefault="00AC175B" w:rsidP="00AC175B">
      <w:pPr>
        <w:pStyle w:val="tPara"/>
      </w:pPr>
      <w:r w:rsidRPr="009D580E">
        <w:tab/>
        <w:t>(c)</w:t>
      </w:r>
      <w:r w:rsidRPr="009D580E">
        <w:tab/>
        <w:t>Date 2 is after the input date and no later than 3 months after the input date; and</w:t>
      </w:r>
    </w:p>
    <w:p w14:paraId="12390560" w14:textId="77777777" w:rsidR="00AC175B" w:rsidRPr="009D580E" w:rsidRDefault="00AC175B" w:rsidP="00AC175B">
      <w:pPr>
        <w:pStyle w:val="tPara"/>
      </w:pPr>
      <w:r w:rsidRPr="009D580E">
        <w:tab/>
        <w:t>(d)</w:t>
      </w:r>
      <w:r w:rsidRPr="009D580E">
        <w:tab/>
        <w:t>average liveweight for Date 2 is ascertained under paragraph (1)(a), (b) or (c) from weighing within 2 weeks before or after that date; and</w:t>
      </w:r>
    </w:p>
    <w:p w14:paraId="308FF477" w14:textId="77777777" w:rsidR="00AC175B" w:rsidRPr="009D580E" w:rsidRDefault="00AC175B" w:rsidP="00AC175B">
      <w:pPr>
        <w:pStyle w:val="tPara"/>
      </w:pPr>
      <w:r w:rsidRPr="009D580E">
        <w:tab/>
        <w:t>(e)</w:t>
      </w:r>
      <w:r w:rsidRPr="009D580E">
        <w:tab/>
        <w:t>the Regulator has approved in writing the application of this provision to the input.</w:t>
      </w:r>
    </w:p>
    <w:p w14:paraId="1DA242BD" w14:textId="77777777" w:rsidR="00AC175B" w:rsidRDefault="00AC175B" w:rsidP="00AC175B">
      <w:pPr>
        <w:pStyle w:val="tMain"/>
      </w:pPr>
      <w:r w:rsidRPr="009D580E">
        <w:tab/>
        <w:t>(12)</w:t>
      </w:r>
      <w:r w:rsidRPr="009D580E">
        <w:tab/>
        <w:t>The Regulator must not approve the application of subsection (11) unless it is satisfied, on the basis of evidence provided by the project proponent, that because of a natural disturbance or the expectation of a natural disturbance, it was not reasonably practicable for the project proponent to weigh the animals in the weighing group, or a statistically valid sample of the animals, within the period required by subsection (2) or (9).</w:t>
      </w:r>
    </w:p>
    <w:p w14:paraId="74E70767" w14:textId="77777777" w:rsidR="00AC175B" w:rsidRPr="001D1300" w:rsidRDefault="00AC175B" w:rsidP="00AC175B">
      <w:pPr>
        <w:pStyle w:val="nMain"/>
      </w:pPr>
      <w:r w:rsidRPr="001D1300">
        <w:t>Note:</w:t>
      </w:r>
      <w:r w:rsidRPr="001D1300">
        <w:tab/>
        <w:t xml:space="preserve">If the project proponent is unable to satisfy the Regulator of these matters, so that the average weight of the animals in the weighing group cannot be obtained, the abatement amount for the herd for the assessment year will be taken to be zero—see subsection </w:t>
      </w:r>
      <w:r>
        <w:t>24(4)</w:t>
      </w:r>
      <w:r w:rsidRPr="001D1300">
        <w:t>.</w:t>
      </w:r>
    </w:p>
    <w:p w14:paraId="5E13E3D7" w14:textId="77777777" w:rsidR="007931FA" w:rsidRPr="00357CE8" w:rsidRDefault="0010015D" w:rsidP="00F461A3">
      <w:pPr>
        <w:pStyle w:val="h5Section"/>
      </w:pPr>
      <w:bookmarkStart w:id="136" w:name="_Toc485211998"/>
      <w:r>
        <w:lastRenderedPageBreak/>
        <w:t>26</w:t>
      </w:r>
      <w:r w:rsidR="00F461A3">
        <w:t xml:space="preserve">  </w:t>
      </w:r>
      <w:r w:rsidR="007931FA" w:rsidRPr="00357CE8">
        <w:t xml:space="preserve">Inputs </w:t>
      </w:r>
      <w:r w:rsidR="00AC175B">
        <w:t xml:space="preserve">relating to </w:t>
      </w:r>
      <w:r w:rsidR="007931FA" w:rsidRPr="00357CE8">
        <w:t>the</w:t>
      </w:r>
      <w:r w:rsidR="00CE420F" w:rsidRPr="00CE420F">
        <w:t xml:space="preserve"> emissions intensity</w:t>
      </w:r>
      <w:r w:rsidR="007931FA" w:rsidRPr="00357CE8">
        <w:t xml:space="preserve"> period</w:t>
      </w:r>
      <w:bookmarkEnd w:id="135"/>
      <w:bookmarkEnd w:id="136"/>
    </w:p>
    <w:p w14:paraId="3C189ED3" w14:textId="77777777" w:rsidR="007931FA" w:rsidRPr="00F461A3" w:rsidRDefault="007931FA" w:rsidP="007931FA">
      <w:pPr>
        <w:pStyle w:val="tMain"/>
      </w:pPr>
      <w:r w:rsidRPr="00F461A3">
        <w:tab/>
      </w:r>
      <w:r w:rsidR="0010015D">
        <w:t>(1)</w:t>
      </w:r>
      <w:r w:rsidRPr="00F461A3">
        <w:tab/>
        <w:t xml:space="preserve">For an input relating to the </w:t>
      </w:r>
      <w:r w:rsidR="00F461A3" w:rsidRPr="00CE420F">
        <w:t xml:space="preserve">emissions intensity </w:t>
      </w:r>
      <w:r w:rsidRPr="00F461A3">
        <w:t>reference period, the average liveweight of a weighing group must be ascertained</w:t>
      </w:r>
      <w:r w:rsidR="0075591C" w:rsidRPr="00F461A3">
        <w:t xml:space="preserve"> by a method from the first of the following paragraphs that mentions a method for which the relevant data </w:t>
      </w:r>
      <w:r w:rsidR="00D1094D">
        <w:t xml:space="preserve">is </w:t>
      </w:r>
      <w:r w:rsidR="0075591C" w:rsidRPr="00F461A3">
        <w:t>available</w:t>
      </w:r>
      <w:r w:rsidRPr="00F461A3">
        <w:t>:</w:t>
      </w:r>
    </w:p>
    <w:p w14:paraId="1791D7D3" w14:textId="77777777" w:rsidR="007931FA" w:rsidRPr="00F461A3" w:rsidRDefault="007931FA" w:rsidP="007931FA">
      <w:pPr>
        <w:pStyle w:val="tPara"/>
      </w:pPr>
      <w:r w:rsidRPr="00F461A3">
        <w:tab/>
      </w:r>
      <w:r w:rsidR="0010015D">
        <w:t>(a)</w:t>
      </w:r>
      <w:r w:rsidRPr="00F461A3">
        <w:tab/>
        <w:t xml:space="preserve">a method set out in subsection </w:t>
      </w:r>
      <w:r w:rsidR="001C572E">
        <w:t>25(1)</w:t>
      </w:r>
      <w:r w:rsidR="0075591C" w:rsidRPr="00F461A3">
        <w:t xml:space="preserve">, read as if a reference to </w:t>
      </w:r>
      <w:r w:rsidR="000E4D43" w:rsidRPr="009D580E">
        <w:t>an assessment year of the herd were a reference to a year of</w:t>
      </w:r>
      <w:r w:rsidR="000E4D43">
        <w:t xml:space="preserve"> </w:t>
      </w:r>
      <w:r w:rsidR="00CE420F">
        <w:t>the emissions intensity reference period</w:t>
      </w:r>
      <w:r w:rsidR="0075591C" w:rsidRPr="00F461A3">
        <w:t>;</w:t>
      </w:r>
    </w:p>
    <w:p w14:paraId="511184F4" w14:textId="77777777" w:rsidR="006315A1" w:rsidRPr="00F461A3" w:rsidRDefault="007931FA" w:rsidP="006315A1">
      <w:pPr>
        <w:pStyle w:val="tPara"/>
      </w:pPr>
      <w:r w:rsidRPr="00F461A3">
        <w:tab/>
      </w:r>
      <w:r w:rsidR="0010015D">
        <w:t>(b)</w:t>
      </w:r>
      <w:r w:rsidRPr="00F461A3">
        <w:tab/>
      </w:r>
      <w:r w:rsidR="006315A1" w:rsidRPr="00F461A3">
        <w:t xml:space="preserve">where the animals in the weighing class were bought or sold within </w:t>
      </w:r>
      <w:r w:rsidR="009D7BCF">
        <w:t>one</w:t>
      </w:r>
      <w:r w:rsidR="006315A1" w:rsidRPr="00F461A3">
        <w:t xml:space="preserve"> month before or after the input date—using the indicator price weight in accordance with </w:t>
      </w:r>
      <w:r w:rsidR="00D34F4D" w:rsidRPr="00F461A3">
        <w:t>subsection </w:t>
      </w:r>
      <w:r w:rsidR="001C572E">
        <w:t>(2)</w:t>
      </w:r>
      <w:r w:rsidR="006315A1" w:rsidRPr="00F461A3">
        <w:t>;</w:t>
      </w:r>
    </w:p>
    <w:p w14:paraId="28267389" w14:textId="77777777" w:rsidR="007C41A7" w:rsidRPr="00F461A3" w:rsidRDefault="006315A1" w:rsidP="006315A1">
      <w:pPr>
        <w:pStyle w:val="tPara"/>
      </w:pPr>
      <w:r w:rsidRPr="00F461A3">
        <w:tab/>
      </w:r>
      <w:r w:rsidR="0010015D">
        <w:t>(c)</w:t>
      </w:r>
      <w:r w:rsidRPr="00F461A3">
        <w:tab/>
        <w:t xml:space="preserve">where a method set out in paragraph (a) or (b) can be used to </w:t>
      </w:r>
      <w:r w:rsidR="007C41A7" w:rsidRPr="00F461A3">
        <w:t>ascertain the average liveweight of the weighing group at:</w:t>
      </w:r>
    </w:p>
    <w:p w14:paraId="662B2203" w14:textId="77777777" w:rsidR="007C41A7" w:rsidRPr="00F461A3" w:rsidRDefault="007C41A7" w:rsidP="007C41A7">
      <w:pPr>
        <w:pStyle w:val="tSubpara"/>
      </w:pPr>
      <w:r w:rsidRPr="00F461A3">
        <w:tab/>
      </w:r>
      <w:r w:rsidR="0010015D">
        <w:t>(i)</w:t>
      </w:r>
      <w:r w:rsidRPr="00F461A3">
        <w:tab/>
        <w:t>a time within 12 months before the input date; and</w:t>
      </w:r>
    </w:p>
    <w:p w14:paraId="1FC4C5BA" w14:textId="77777777" w:rsidR="007C41A7" w:rsidRPr="00F461A3" w:rsidRDefault="007C41A7" w:rsidP="007C41A7">
      <w:pPr>
        <w:pStyle w:val="tSubpara"/>
      </w:pPr>
      <w:r w:rsidRPr="00F461A3">
        <w:tab/>
      </w:r>
      <w:r w:rsidR="0010015D">
        <w:t>(ii)</w:t>
      </w:r>
      <w:r w:rsidRPr="00F461A3">
        <w:tab/>
        <w:t>a time within 12 months after the input date;</w:t>
      </w:r>
    </w:p>
    <w:p w14:paraId="5AE234FB" w14:textId="77777777" w:rsidR="007C41A7" w:rsidRPr="00F461A3" w:rsidRDefault="007C41A7" w:rsidP="007C41A7">
      <w:pPr>
        <w:pStyle w:val="tPara"/>
      </w:pPr>
      <w:r w:rsidRPr="00F461A3">
        <w:tab/>
      </w:r>
      <w:r w:rsidRPr="00F461A3">
        <w:tab/>
        <w:t xml:space="preserve">using a linear projection between the </w:t>
      </w:r>
      <w:r w:rsidR="00271E04">
        <w:t>two</w:t>
      </w:r>
      <w:r w:rsidRPr="00F461A3">
        <w:t xml:space="preserve"> figures;</w:t>
      </w:r>
    </w:p>
    <w:p w14:paraId="331754CE" w14:textId="77777777" w:rsidR="006315A1" w:rsidRPr="00F461A3" w:rsidRDefault="007C41A7" w:rsidP="007C41A7">
      <w:pPr>
        <w:pStyle w:val="tPara"/>
      </w:pPr>
      <w:r w:rsidRPr="00F461A3">
        <w:tab/>
      </w:r>
      <w:r w:rsidR="0010015D">
        <w:t>(d)</w:t>
      </w:r>
      <w:r w:rsidRPr="00F461A3">
        <w:tab/>
      </w:r>
      <w:r w:rsidR="00892A0B" w:rsidRPr="00F461A3">
        <w:t xml:space="preserve">applying the average liveweight for the relevant livestock class obtained in accordance with subsection </w:t>
      </w:r>
      <w:r w:rsidR="001C572E">
        <w:t>(4)</w:t>
      </w:r>
      <w:r w:rsidR="00CA00C3" w:rsidRPr="00F461A3">
        <w:t>.</w:t>
      </w:r>
    </w:p>
    <w:p w14:paraId="211D3196" w14:textId="77777777" w:rsidR="00D34F4D" w:rsidRPr="00F461A3" w:rsidRDefault="00892A0B" w:rsidP="00D34F4D">
      <w:pPr>
        <w:pStyle w:val="tMain"/>
      </w:pPr>
      <w:r w:rsidRPr="00F461A3">
        <w:tab/>
      </w:r>
      <w:r w:rsidR="0010015D">
        <w:t>(2)</w:t>
      </w:r>
      <w:r w:rsidRPr="00F461A3">
        <w:tab/>
        <w:t xml:space="preserve">For paragraph </w:t>
      </w:r>
      <w:r w:rsidR="001C572E">
        <w:t>(1)(b)</w:t>
      </w:r>
      <w:r w:rsidRPr="00F461A3">
        <w:t xml:space="preserve">, the indicator price weight is </w:t>
      </w:r>
      <w:r w:rsidR="00F461A3" w:rsidRPr="008A1FC8">
        <w:t>calculated</w:t>
      </w:r>
      <w:r w:rsidRPr="008A1FC8">
        <w:t xml:space="preserve"> by converting the</w:t>
      </w:r>
      <w:r w:rsidR="00D34F4D" w:rsidRPr="008A1FC8">
        <w:t xml:space="preserve"> numbers sold and their sale price to livew</w:t>
      </w:r>
      <w:r w:rsidR="00F461A3" w:rsidRPr="008A1FC8">
        <w:t>e</w:t>
      </w:r>
      <w:r w:rsidR="00D34F4D" w:rsidRPr="008A1FC8">
        <w:t>ight using the appropriate prices for the class of animal as published</w:t>
      </w:r>
      <w:r w:rsidR="00D34F4D" w:rsidRPr="00F461A3">
        <w:t xml:space="preserve">, from time to time, by the body that has been declared to be the industry marketing body under subsection 60(1) of the </w:t>
      </w:r>
      <w:r w:rsidR="00D34F4D" w:rsidRPr="00F461A3">
        <w:rPr>
          <w:bCs/>
          <w:i/>
        </w:rPr>
        <w:t>Australian Meat and Livestock Industry Act 1997</w:t>
      </w:r>
      <w:r w:rsidR="00D34F4D" w:rsidRPr="00F461A3">
        <w:t>.</w:t>
      </w:r>
    </w:p>
    <w:p w14:paraId="78041DA8" w14:textId="77777777" w:rsidR="00107DD0" w:rsidRPr="00F461A3" w:rsidRDefault="00107DD0" w:rsidP="00107DD0">
      <w:pPr>
        <w:pStyle w:val="nMain"/>
      </w:pPr>
      <w:r w:rsidRPr="00F461A3">
        <w:t>Note:</w:t>
      </w:r>
      <w:r w:rsidRPr="00F461A3">
        <w:tab/>
        <w:t>At the time of commencement of this determination, Meat &amp; Livestock Australia Limited was the declared industry marketing body, and relevant prices were the Eastern States Daily Indicators prices, published on http://www.mla.com.au.</w:t>
      </w:r>
    </w:p>
    <w:p w14:paraId="50F2B1E3" w14:textId="77777777" w:rsidR="00D34F4D" w:rsidRPr="00F461A3" w:rsidRDefault="00D34F4D" w:rsidP="00D34F4D">
      <w:pPr>
        <w:pStyle w:val="tMain"/>
      </w:pPr>
      <w:r w:rsidRPr="00F461A3">
        <w:tab/>
      </w:r>
      <w:r w:rsidR="0010015D">
        <w:t>(3)</w:t>
      </w:r>
      <w:r w:rsidRPr="00F461A3">
        <w:tab/>
        <w:t>For subsection </w:t>
      </w:r>
      <w:r w:rsidR="001C572E">
        <w:t>(2)</w:t>
      </w:r>
      <w:r w:rsidRPr="00F461A3">
        <w:t>, if the price is given on carcas</w:t>
      </w:r>
      <w:r w:rsidR="00647BAA">
        <w:t>e</w:t>
      </w:r>
      <w:r w:rsidRPr="00F461A3">
        <w:t xml:space="preserve"> weight basis, assume a dress out percentage of 55</w:t>
      </w:r>
      <w:r w:rsidR="00014132">
        <w:t>%</w:t>
      </w:r>
      <w:r w:rsidRPr="00F461A3">
        <w:t xml:space="preserve"> unless the publication referred to in that subsection indicates otherwise.</w:t>
      </w:r>
    </w:p>
    <w:p w14:paraId="099F350C" w14:textId="77777777" w:rsidR="00703673" w:rsidRPr="00F461A3" w:rsidRDefault="00703673" w:rsidP="00703673">
      <w:pPr>
        <w:pStyle w:val="tMain"/>
      </w:pPr>
      <w:r w:rsidRPr="00F461A3">
        <w:tab/>
      </w:r>
      <w:r w:rsidR="0010015D">
        <w:t>(4)</w:t>
      </w:r>
      <w:r w:rsidRPr="00F461A3">
        <w:tab/>
      </w:r>
      <w:r w:rsidR="00D34F4D" w:rsidRPr="00F461A3">
        <w:t xml:space="preserve">For paragraph </w:t>
      </w:r>
      <w:r w:rsidR="001C572E">
        <w:t>(1)(d)</w:t>
      </w:r>
      <w:r w:rsidR="00D34F4D" w:rsidRPr="00F461A3">
        <w:t xml:space="preserve">, the average liveweight for a relevant livestock class </w:t>
      </w:r>
      <w:r w:rsidR="00085116" w:rsidRPr="00F461A3">
        <w:t xml:space="preserve">is </w:t>
      </w:r>
      <w:r w:rsidRPr="00F461A3">
        <w:t xml:space="preserve">the average liveweight of all animals that were bought into or sold from the herd in that livestock class during the course of </w:t>
      </w:r>
      <w:r w:rsidR="00CE420F">
        <w:t xml:space="preserve">the emissions intensity reference </w:t>
      </w:r>
      <w:r w:rsidR="00CE420F" w:rsidRPr="008A1FC8">
        <w:t>period</w:t>
      </w:r>
      <w:r w:rsidR="00A90EF8" w:rsidRPr="008A1FC8">
        <w:t>, calculated</w:t>
      </w:r>
      <w:r w:rsidRPr="008A1FC8">
        <w:t xml:space="preserve"> using weight data in the relevant sale records or receipts where th</w:t>
      </w:r>
      <w:r w:rsidR="00F927C9" w:rsidRPr="008A1FC8">
        <w:t>is data</w:t>
      </w:r>
      <w:r w:rsidRPr="008A1FC8">
        <w:t xml:space="preserve"> </w:t>
      </w:r>
      <w:r w:rsidR="000059CF" w:rsidRPr="008A1FC8">
        <w:t xml:space="preserve">is </w:t>
      </w:r>
      <w:r w:rsidRPr="008A1FC8">
        <w:t>available, and the indicator price weight in accordance with subsection </w:t>
      </w:r>
      <w:r w:rsidR="001C572E">
        <w:t>(2)</w:t>
      </w:r>
      <w:r w:rsidRPr="008A1FC8">
        <w:t xml:space="preserve"> if </w:t>
      </w:r>
      <w:r w:rsidR="00F927C9" w:rsidRPr="008A1FC8">
        <w:t>it is</w:t>
      </w:r>
      <w:r w:rsidR="00F927C9">
        <w:t xml:space="preserve"> </w:t>
      </w:r>
      <w:r w:rsidRPr="00F461A3">
        <w:t xml:space="preserve">not. </w:t>
      </w:r>
    </w:p>
    <w:p w14:paraId="3BC2D032" w14:textId="77777777" w:rsidR="00F576B9" w:rsidRPr="00B138C4" w:rsidRDefault="0010015D" w:rsidP="00F576B9">
      <w:pPr>
        <w:pStyle w:val="h2Part"/>
      </w:pPr>
      <w:bookmarkStart w:id="137" w:name="_Toc413161623"/>
      <w:bookmarkStart w:id="138" w:name="_Toc426038039"/>
      <w:bookmarkStart w:id="139" w:name="_Toc485211999"/>
      <w:r>
        <w:lastRenderedPageBreak/>
        <w:t>Part 5</w:t>
      </w:r>
      <w:r w:rsidR="00F576B9" w:rsidRPr="00B138C4">
        <w:t>—Reporting, record</w:t>
      </w:r>
      <w:r w:rsidR="00C338D8" w:rsidRPr="00B138C4">
        <w:noBreakHyphen/>
      </w:r>
      <w:r w:rsidR="00F576B9" w:rsidRPr="00B138C4">
        <w:t>keeping and monitoring requirements</w:t>
      </w:r>
      <w:bookmarkEnd w:id="137"/>
      <w:bookmarkEnd w:id="138"/>
      <w:bookmarkEnd w:id="139"/>
    </w:p>
    <w:p w14:paraId="3BB9E8E7" w14:textId="77777777" w:rsidR="00F576B9" w:rsidRPr="00B138C4" w:rsidRDefault="0010015D" w:rsidP="00F576B9">
      <w:pPr>
        <w:pStyle w:val="h3Div"/>
      </w:pPr>
      <w:bookmarkStart w:id="140" w:name="_Toc413161624"/>
      <w:bookmarkStart w:id="141" w:name="_Toc426038040"/>
      <w:bookmarkStart w:id="142" w:name="_Toc485212000"/>
      <w:r>
        <w:t>Division 1</w:t>
      </w:r>
      <w:r w:rsidR="00F576B9" w:rsidRPr="00B138C4">
        <w:t>—Operation of this Part</w:t>
      </w:r>
      <w:bookmarkEnd w:id="140"/>
      <w:bookmarkEnd w:id="141"/>
      <w:bookmarkEnd w:id="142"/>
      <w:r w:rsidR="00F576B9" w:rsidRPr="00B138C4">
        <w:tab/>
      </w:r>
    </w:p>
    <w:p w14:paraId="6628BE7B" w14:textId="77777777" w:rsidR="00F576B9" w:rsidRPr="00B138C4" w:rsidRDefault="0010015D" w:rsidP="00C2721D">
      <w:pPr>
        <w:pStyle w:val="h5Section"/>
      </w:pPr>
      <w:bookmarkStart w:id="143" w:name="_Toc413161625"/>
      <w:bookmarkStart w:id="144" w:name="_Toc426038041"/>
      <w:bookmarkStart w:id="145" w:name="_Toc485212001"/>
      <w:r>
        <w:t>27</w:t>
      </w:r>
      <w:r w:rsidR="00C2721D" w:rsidRPr="00B138C4">
        <w:t xml:space="preserve">  </w:t>
      </w:r>
      <w:r w:rsidR="00F576B9" w:rsidRPr="00B138C4">
        <w:t>Application</w:t>
      </w:r>
      <w:bookmarkEnd w:id="143"/>
      <w:bookmarkEnd w:id="144"/>
      <w:bookmarkEnd w:id="145"/>
    </w:p>
    <w:p w14:paraId="44206959" w14:textId="77777777" w:rsidR="00F576B9" w:rsidRPr="00B138C4" w:rsidRDefault="00F576B9" w:rsidP="00F576B9">
      <w:pPr>
        <w:pStyle w:val="tMain"/>
      </w:pPr>
      <w:r w:rsidRPr="00B138C4">
        <w:tab/>
      </w:r>
      <w:r w:rsidRPr="00B138C4">
        <w:tab/>
        <w:t>For subsection 106(3) of the Act, the project proponent of an eligible offsets project to which this determination applies must comply with the reporting, record</w:t>
      </w:r>
      <w:r w:rsidR="00C338D8" w:rsidRPr="00B138C4">
        <w:noBreakHyphen/>
      </w:r>
      <w:r w:rsidRPr="00B138C4">
        <w:t>keeping and monitoring requirements in this Part.</w:t>
      </w:r>
    </w:p>
    <w:p w14:paraId="2A764E0E" w14:textId="77777777" w:rsidR="00F576B9" w:rsidRPr="00B138C4" w:rsidRDefault="0010015D" w:rsidP="00C2721D">
      <w:pPr>
        <w:pStyle w:val="h3Div"/>
      </w:pPr>
      <w:bookmarkStart w:id="146" w:name="_Toc413161626"/>
      <w:bookmarkStart w:id="147" w:name="_Toc426038042"/>
      <w:bookmarkStart w:id="148" w:name="_Toc485212002"/>
      <w:r>
        <w:t>Division 2</w:t>
      </w:r>
      <w:r w:rsidR="00C2721D" w:rsidRPr="00B138C4">
        <w:t>—</w:t>
      </w:r>
      <w:r w:rsidR="00F576B9" w:rsidRPr="00B138C4">
        <w:t>Offsets report requirements</w:t>
      </w:r>
      <w:bookmarkEnd w:id="146"/>
      <w:bookmarkEnd w:id="147"/>
      <w:bookmarkEnd w:id="148"/>
    </w:p>
    <w:p w14:paraId="179D36F2" w14:textId="77777777" w:rsidR="00F554A1" w:rsidRPr="00B138C4" w:rsidRDefault="00F554A1" w:rsidP="00F554A1">
      <w:pPr>
        <w:pStyle w:val="ntoHeading"/>
      </w:pPr>
      <w:r w:rsidRPr="00B138C4">
        <w:t>Note:</w:t>
      </w:r>
      <w:r w:rsidRPr="00B138C4">
        <w:tab/>
        <w:t>Other reporting requirements are prescribed in the Rule.</w:t>
      </w:r>
    </w:p>
    <w:p w14:paraId="05519CD0" w14:textId="77777777" w:rsidR="00F576B9" w:rsidRPr="00B138C4" w:rsidRDefault="0010015D" w:rsidP="00C2721D">
      <w:pPr>
        <w:pStyle w:val="h5Section"/>
      </w:pPr>
      <w:bookmarkStart w:id="149" w:name="_Toc413161627"/>
      <w:bookmarkStart w:id="150" w:name="_Toc426038043"/>
      <w:bookmarkStart w:id="151" w:name="_Toc485212003"/>
      <w:r>
        <w:t>28</w:t>
      </w:r>
      <w:r w:rsidR="00C2721D" w:rsidRPr="00B138C4">
        <w:t xml:space="preserve">  </w:t>
      </w:r>
      <w:r w:rsidR="00F576B9" w:rsidRPr="00B138C4">
        <w:t>Information in each offsets report</w:t>
      </w:r>
      <w:bookmarkEnd w:id="149"/>
      <w:bookmarkEnd w:id="150"/>
      <w:bookmarkEnd w:id="151"/>
    </w:p>
    <w:p w14:paraId="26F98233" w14:textId="77777777" w:rsidR="00F576B9" w:rsidRPr="00B138C4" w:rsidRDefault="00B9455B" w:rsidP="00B9455B">
      <w:pPr>
        <w:pStyle w:val="tMain"/>
      </w:pPr>
      <w:r w:rsidRPr="00B138C4">
        <w:tab/>
      </w:r>
      <w:r w:rsidRPr="00B138C4">
        <w:tab/>
      </w:r>
      <w:r w:rsidR="00F576B9" w:rsidRPr="00B138C4">
        <w:t>For paragraph 106(3)(a) of the Act, the following information must be included in each offsets report</w:t>
      </w:r>
      <w:r w:rsidR="003E1CA2" w:rsidRPr="00B138C4">
        <w:t xml:space="preserve"> in relation to each herd</w:t>
      </w:r>
      <w:r w:rsidR="00F576B9" w:rsidRPr="00B138C4">
        <w:t>:</w:t>
      </w:r>
    </w:p>
    <w:p w14:paraId="4D049F91" w14:textId="77777777" w:rsidR="00F576B9" w:rsidRPr="00B138C4" w:rsidRDefault="00F576B9" w:rsidP="00F576B9">
      <w:pPr>
        <w:pStyle w:val="tPara"/>
      </w:pPr>
      <w:r w:rsidRPr="00B138C4">
        <w:tab/>
      </w:r>
      <w:r w:rsidR="0010015D">
        <w:t>(a)</w:t>
      </w:r>
      <w:r w:rsidRPr="00B138C4">
        <w:tab/>
      </w:r>
      <w:r w:rsidR="002902E7" w:rsidRPr="00B138C4">
        <w:t xml:space="preserve">a description of </w:t>
      </w:r>
      <w:r w:rsidRPr="00B138C4">
        <w:t>the</w:t>
      </w:r>
      <w:r w:rsidR="002902E7" w:rsidRPr="00B138C4">
        <w:t xml:space="preserve"> </w:t>
      </w:r>
      <w:r w:rsidRPr="00B138C4">
        <w:t xml:space="preserve">project activity </w:t>
      </w:r>
      <w:r w:rsidR="0066676E" w:rsidRPr="00B138C4">
        <w:t xml:space="preserve">or </w:t>
      </w:r>
      <w:r w:rsidR="000A26E0" w:rsidRPr="00B138C4">
        <w:t xml:space="preserve">project </w:t>
      </w:r>
      <w:r w:rsidR="0066676E" w:rsidRPr="00B138C4">
        <w:t xml:space="preserve">activities </w:t>
      </w:r>
      <w:r w:rsidRPr="00B138C4">
        <w:t xml:space="preserve">undertaken in </w:t>
      </w:r>
      <w:r w:rsidR="000E4D43" w:rsidRPr="009D580E">
        <w:t>each assessment year of the herd that ends in the reporting period</w:t>
      </w:r>
      <w:r w:rsidRPr="00B138C4">
        <w:t xml:space="preserve">; </w:t>
      </w:r>
    </w:p>
    <w:p w14:paraId="456A4AA1" w14:textId="77777777" w:rsidR="008470AA" w:rsidRPr="00B138C4" w:rsidRDefault="00F576B9" w:rsidP="008470AA">
      <w:pPr>
        <w:pStyle w:val="tPara"/>
        <w:rPr>
          <w:lang w:val="en-NZ"/>
        </w:rPr>
      </w:pPr>
      <w:r w:rsidRPr="00B138C4">
        <w:tab/>
      </w:r>
      <w:r w:rsidR="0010015D">
        <w:t>(b)</w:t>
      </w:r>
      <w:r w:rsidRPr="00B138C4">
        <w:tab/>
        <w:t xml:space="preserve">all inputs and outputs from the </w:t>
      </w:r>
      <w:r w:rsidRPr="00B138C4">
        <w:rPr>
          <w:lang w:val="en-NZ"/>
        </w:rPr>
        <w:t xml:space="preserve">Herd Management Calculator for the reporting </w:t>
      </w:r>
      <w:r w:rsidR="008470AA" w:rsidRPr="00B138C4">
        <w:rPr>
          <w:lang w:val="en-NZ"/>
        </w:rPr>
        <w:t xml:space="preserve">period; </w:t>
      </w:r>
    </w:p>
    <w:p w14:paraId="19BDCADF" w14:textId="77777777" w:rsidR="000E4D43" w:rsidRPr="0085228F" w:rsidRDefault="000E4D43" w:rsidP="000E4D43">
      <w:pPr>
        <w:pStyle w:val="tPara"/>
        <w:rPr>
          <w:lang w:val="en-NZ"/>
        </w:rPr>
      </w:pPr>
      <w:r>
        <w:rPr>
          <w:lang w:val="en-NZ"/>
        </w:rPr>
        <w:tab/>
      </w:r>
      <w:r w:rsidRPr="0085228F">
        <w:rPr>
          <w:lang w:val="en-NZ"/>
        </w:rPr>
        <w:t>(c)</w:t>
      </w:r>
      <w:r w:rsidRPr="0085228F">
        <w:rPr>
          <w:lang w:val="en-NZ"/>
        </w:rPr>
        <w:tab/>
        <w:t xml:space="preserve">the </w:t>
      </w:r>
      <w:r>
        <w:rPr>
          <w:lang w:val="en-NZ"/>
        </w:rPr>
        <w:t>assessment day for the herd;</w:t>
      </w:r>
    </w:p>
    <w:p w14:paraId="211C9253" w14:textId="77777777" w:rsidR="000E4D43" w:rsidRPr="0085228F" w:rsidRDefault="000E4D43" w:rsidP="000E4D43">
      <w:pPr>
        <w:pStyle w:val="tPara"/>
      </w:pPr>
      <w:r w:rsidRPr="0085228F">
        <w:rPr>
          <w:lang w:val="en-NZ"/>
        </w:rPr>
        <w:tab/>
      </w:r>
      <w:r w:rsidRPr="0085228F">
        <w:t>(d)</w:t>
      </w:r>
      <w:r w:rsidRPr="0085228F">
        <w:tab/>
        <w:t>in the first offsets report relating to the herd, if the assessment day for the herd is a new assessment day specified in accordance with subsection 8(5)—the assessment day originally specified for the herd in the section 22 application or the application under subsection 8(3);</w:t>
      </w:r>
    </w:p>
    <w:p w14:paraId="60262E4D" w14:textId="77777777" w:rsidR="0034755A" w:rsidRPr="00B138C4" w:rsidRDefault="00D94177" w:rsidP="00D94177">
      <w:pPr>
        <w:pStyle w:val="tPara"/>
      </w:pPr>
      <w:r w:rsidRPr="00B138C4">
        <w:tab/>
      </w:r>
      <w:r w:rsidR="0010015D">
        <w:t>(e)</w:t>
      </w:r>
      <w:r w:rsidRPr="00B138C4">
        <w:tab/>
      </w:r>
      <w:r w:rsidR="007F7639" w:rsidRPr="00B138C4">
        <w:t>a statement that:</w:t>
      </w:r>
    </w:p>
    <w:p w14:paraId="33CB29FF" w14:textId="77777777" w:rsidR="000E4D43" w:rsidRPr="009D580E" w:rsidRDefault="000E4D43" w:rsidP="000E4D43">
      <w:pPr>
        <w:pStyle w:val="tSubpara"/>
      </w:pPr>
      <w:r>
        <w:tab/>
      </w:r>
      <w:r w:rsidRPr="009D580E">
        <w:t>(i)</w:t>
      </w:r>
      <w:r w:rsidRPr="009D580E">
        <w:tab/>
        <w:t>identifies the land on which the herd grazed in each year of the reporting period; and</w:t>
      </w:r>
    </w:p>
    <w:p w14:paraId="1416F64E" w14:textId="77777777" w:rsidR="00D94177" w:rsidRPr="00B138C4" w:rsidRDefault="0034755A" w:rsidP="0034755A">
      <w:pPr>
        <w:pStyle w:val="tSubpara"/>
      </w:pPr>
      <w:r w:rsidRPr="00B138C4">
        <w:tab/>
      </w:r>
      <w:r w:rsidR="0010015D">
        <w:t>(ii)</w:t>
      </w:r>
      <w:r w:rsidRPr="00B138C4">
        <w:tab/>
        <w:t>indicat</w:t>
      </w:r>
      <w:r w:rsidR="00761436" w:rsidRPr="00B138C4">
        <w:t>es</w:t>
      </w:r>
      <w:r w:rsidRPr="00B138C4">
        <w:t xml:space="preserve"> that the land was not cleared, for the purposes of the project, partially or wholly of perennial woody vegetation except as allowed under section </w:t>
      </w:r>
      <w:r w:rsidR="001C572E">
        <w:t>18</w:t>
      </w:r>
      <w:r w:rsidRPr="00B138C4">
        <w:t>.</w:t>
      </w:r>
    </w:p>
    <w:p w14:paraId="4FF3B992" w14:textId="77777777" w:rsidR="00F576B9" w:rsidRPr="00B138C4" w:rsidRDefault="0010015D" w:rsidP="00C2721D">
      <w:pPr>
        <w:pStyle w:val="h3Div"/>
      </w:pPr>
      <w:bookmarkStart w:id="152" w:name="_Toc413161628"/>
      <w:bookmarkStart w:id="153" w:name="_Toc426038044"/>
      <w:bookmarkStart w:id="154" w:name="_Toc485212004"/>
      <w:r>
        <w:t>Division 3</w:t>
      </w:r>
      <w:r w:rsidR="00C2721D" w:rsidRPr="00B138C4">
        <w:t>—</w:t>
      </w:r>
      <w:r w:rsidR="00F576B9" w:rsidRPr="00B138C4">
        <w:t>Record</w:t>
      </w:r>
      <w:r w:rsidR="00C338D8" w:rsidRPr="00B138C4">
        <w:noBreakHyphen/>
      </w:r>
      <w:r w:rsidR="00F576B9" w:rsidRPr="00B138C4">
        <w:t>keeping requirements</w:t>
      </w:r>
      <w:bookmarkEnd w:id="152"/>
      <w:bookmarkEnd w:id="153"/>
      <w:bookmarkEnd w:id="154"/>
    </w:p>
    <w:p w14:paraId="5422E876" w14:textId="77777777" w:rsidR="00F554A1" w:rsidRPr="00B138C4" w:rsidRDefault="00F554A1" w:rsidP="00F554A1">
      <w:pPr>
        <w:pStyle w:val="ntoHeading"/>
      </w:pPr>
      <w:r w:rsidRPr="00B138C4">
        <w:t>Note:</w:t>
      </w:r>
      <w:r w:rsidRPr="00B138C4">
        <w:tab/>
        <w:t>Other record</w:t>
      </w:r>
      <w:r w:rsidR="00C338D8" w:rsidRPr="00B138C4">
        <w:noBreakHyphen/>
      </w:r>
      <w:r w:rsidRPr="00B138C4">
        <w:t>keeping requirements are prescribed in the Rule.</w:t>
      </w:r>
    </w:p>
    <w:p w14:paraId="5A3CC936" w14:textId="77777777" w:rsidR="000E4D43" w:rsidRPr="009D580E" w:rsidRDefault="000E4D43" w:rsidP="000E4D43">
      <w:pPr>
        <w:pStyle w:val="h5Section"/>
      </w:pPr>
      <w:bookmarkStart w:id="155" w:name="_Toc475720124"/>
      <w:bookmarkStart w:id="156" w:name="_Toc477276999"/>
      <w:bookmarkStart w:id="157" w:name="_Toc485212005"/>
      <w:bookmarkStart w:id="158" w:name="_Toc413161629"/>
      <w:bookmarkStart w:id="159" w:name="_Toc426038045"/>
      <w:r w:rsidRPr="009D580E">
        <w:t>28A  General</w:t>
      </w:r>
      <w:bookmarkEnd w:id="155"/>
      <w:bookmarkEnd w:id="156"/>
      <w:bookmarkEnd w:id="157"/>
    </w:p>
    <w:p w14:paraId="69000E5B" w14:textId="77777777" w:rsidR="000E4D43" w:rsidRPr="009D580E" w:rsidRDefault="000E4D43" w:rsidP="000E4D43">
      <w:pPr>
        <w:pStyle w:val="tMain"/>
      </w:pPr>
      <w:r w:rsidRPr="009D580E">
        <w:tab/>
      </w:r>
      <w:r w:rsidRPr="009D580E">
        <w:tab/>
        <w:t>For each herd, as part of or in addition to the records required by the Rule, the project proponent must maintain a separate and self-contained record in relation to each of the following matters</w:t>
      </w:r>
      <w:r>
        <w:t xml:space="preserve"> that is in an easily accessible</w:t>
      </w:r>
      <w:r w:rsidRPr="009D580E">
        <w:t xml:space="preserve"> form to facilitate an audit of whether the relevant provisions have been complied with in relation to the herd at all relevant times:</w:t>
      </w:r>
    </w:p>
    <w:p w14:paraId="4233AEEC" w14:textId="77777777" w:rsidR="000E4D43" w:rsidRPr="009D580E" w:rsidRDefault="000E4D43" w:rsidP="000E4D43">
      <w:pPr>
        <w:pStyle w:val="tPara"/>
      </w:pPr>
      <w:r w:rsidRPr="009D580E">
        <w:tab/>
        <w:t>(a)</w:t>
      </w:r>
      <w:r w:rsidRPr="009D580E">
        <w:tab/>
        <w:t>the separate business operation requirements (section 10);</w:t>
      </w:r>
    </w:p>
    <w:p w14:paraId="53CA62DC" w14:textId="77777777" w:rsidR="000E4D43" w:rsidRPr="009D580E" w:rsidRDefault="000E4D43" w:rsidP="000E4D43">
      <w:pPr>
        <w:pStyle w:val="tPara"/>
      </w:pPr>
      <w:r w:rsidRPr="009D580E">
        <w:tab/>
        <w:t>(b)</w:t>
      </w:r>
      <w:r w:rsidRPr="009D580E">
        <w:tab/>
        <w:t>the herd continuity requirements (section 11);</w:t>
      </w:r>
    </w:p>
    <w:p w14:paraId="163F6492" w14:textId="77777777" w:rsidR="000E4D43" w:rsidRPr="009D580E" w:rsidRDefault="000E4D43" w:rsidP="000E4D43">
      <w:pPr>
        <w:pStyle w:val="tPara"/>
      </w:pPr>
      <w:r w:rsidRPr="009D580E">
        <w:tab/>
        <w:t>(c)</w:t>
      </w:r>
      <w:r w:rsidRPr="009D580E">
        <w:tab/>
        <w:t>the movement of cattle requirement for movements between a project herd and a linked herd (paragraph 12(1)(b); and</w:t>
      </w:r>
    </w:p>
    <w:p w14:paraId="1901F5EE" w14:textId="77777777" w:rsidR="000E4D43" w:rsidRPr="009D580E" w:rsidRDefault="000E4D43" w:rsidP="000E4D43">
      <w:pPr>
        <w:pStyle w:val="tPara"/>
      </w:pPr>
      <w:r w:rsidRPr="009D580E">
        <w:tab/>
        <w:t>(d)</w:t>
      </w:r>
      <w:r w:rsidRPr="009D580E">
        <w:tab/>
        <w:t>the movement of cattle requirement in relation to the last year of the crediting period (paragraphs 12(1)(c) and (d)).</w:t>
      </w:r>
    </w:p>
    <w:p w14:paraId="7B446A79" w14:textId="77777777" w:rsidR="00F576B9" w:rsidRPr="00B138C4" w:rsidRDefault="0010015D" w:rsidP="006C6B7A">
      <w:pPr>
        <w:pStyle w:val="h5Section"/>
      </w:pPr>
      <w:bookmarkStart w:id="160" w:name="_Toc485212006"/>
      <w:r>
        <w:lastRenderedPageBreak/>
        <w:t>29</w:t>
      </w:r>
      <w:r w:rsidR="00EC4107" w:rsidRPr="00B138C4">
        <w:t xml:space="preserve"> </w:t>
      </w:r>
      <w:r w:rsidR="006C6B7A" w:rsidRPr="00B138C4">
        <w:t xml:space="preserve"> </w:t>
      </w:r>
      <w:r w:rsidR="00F576B9" w:rsidRPr="00B138C4">
        <w:t xml:space="preserve">Records that must be kept for purchased </w:t>
      </w:r>
      <w:bookmarkEnd w:id="158"/>
      <w:bookmarkEnd w:id="159"/>
      <w:r w:rsidR="004B25F1">
        <w:t>feed</w:t>
      </w:r>
      <w:bookmarkEnd w:id="160"/>
      <w:r w:rsidR="00BA3540">
        <w:t xml:space="preserve"> </w:t>
      </w:r>
    </w:p>
    <w:p w14:paraId="0AB59AF2" w14:textId="77777777" w:rsidR="00F576B9" w:rsidRPr="00B138C4" w:rsidRDefault="00F576B9" w:rsidP="00F576B9">
      <w:pPr>
        <w:pStyle w:val="tMain"/>
      </w:pPr>
      <w:r w:rsidRPr="00B138C4">
        <w:tab/>
      </w:r>
      <w:r w:rsidR="0010015D">
        <w:t>(1)</w:t>
      </w:r>
      <w:r w:rsidRPr="00B138C4">
        <w:tab/>
        <w:t>This section applies if:</w:t>
      </w:r>
    </w:p>
    <w:p w14:paraId="7405FA78" w14:textId="77777777" w:rsidR="00F576B9" w:rsidRPr="00B138C4" w:rsidRDefault="00F576B9" w:rsidP="00F576B9">
      <w:pPr>
        <w:pStyle w:val="tPara"/>
      </w:pPr>
      <w:r w:rsidRPr="00B138C4">
        <w:tab/>
      </w:r>
      <w:r w:rsidR="0010015D">
        <w:t>(a)</w:t>
      </w:r>
      <w:r w:rsidRPr="00B138C4">
        <w:tab/>
        <w:t xml:space="preserve">the project activity is a </w:t>
      </w:r>
      <w:r w:rsidR="006D1192" w:rsidRPr="00B138C4">
        <w:t xml:space="preserve">dietary </w:t>
      </w:r>
      <w:r w:rsidRPr="00B138C4">
        <w:t xml:space="preserve">change </w:t>
      </w:r>
      <w:r w:rsidR="006D1192" w:rsidRPr="00B138C4">
        <w:t xml:space="preserve">for the herd or </w:t>
      </w:r>
      <w:r w:rsidR="00967319" w:rsidRPr="00B138C4">
        <w:t>for a livestock class</w:t>
      </w:r>
      <w:r w:rsidRPr="00B138C4">
        <w:t xml:space="preserve">; and </w:t>
      </w:r>
    </w:p>
    <w:p w14:paraId="2466D584" w14:textId="77777777" w:rsidR="00F576B9" w:rsidRPr="00B138C4" w:rsidRDefault="00F576B9" w:rsidP="00F576B9">
      <w:pPr>
        <w:pStyle w:val="tPara"/>
      </w:pPr>
      <w:r w:rsidRPr="00B138C4">
        <w:tab/>
      </w:r>
      <w:r w:rsidR="0010015D">
        <w:t>(b)</w:t>
      </w:r>
      <w:r w:rsidRPr="00B138C4">
        <w:tab/>
      </w:r>
      <w:r w:rsidR="006D1192" w:rsidRPr="00B138C4">
        <w:t xml:space="preserve">some or all of </w:t>
      </w:r>
      <w:r w:rsidR="00F57AD9" w:rsidRPr="00B138C4">
        <w:t xml:space="preserve">the supplementary </w:t>
      </w:r>
      <w:r w:rsidR="006D1192" w:rsidRPr="00B138C4">
        <w:t xml:space="preserve">feed for the dietary change was purchased. </w:t>
      </w:r>
    </w:p>
    <w:p w14:paraId="1819EF9D" w14:textId="77777777" w:rsidR="00F576B9" w:rsidRPr="00B138C4" w:rsidRDefault="00F576B9" w:rsidP="00F576B9">
      <w:pPr>
        <w:pStyle w:val="tMain"/>
      </w:pPr>
      <w:r w:rsidRPr="00B138C4">
        <w:tab/>
      </w:r>
      <w:r w:rsidR="0010015D">
        <w:t>(2)</w:t>
      </w:r>
      <w:r w:rsidRPr="00B138C4">
        <w:tab/>
        <w:t>If the feed was purchased from a commercial feed supplier</w:t>
      </w:r>
      <w:r w:rsidR="000C436A" w:rsidRPr="00B138C4">
        <w:rPr>
          <w:noProof/>
        </w:rPr>
        <w:t xml:space="preserve">, </w:t>
      </w:r>
      <w:r w:rsidRPr="00B138C4">
        <w:t>the project proponent must keep a commodity vendor declaration form, fodder declaration form, or equivalent specifying the crude protein and dry matter digestibility of the purchased feed.</w:t>
      </w:r>
    </w:p>
    <w:p w14:paraId="360A1887" w14:textId="77777777" w:rsidR="00F576B9" w:rsidRPr="00B138C4" w:rsidRDefault="00F576B9" w:rsidP="00F576B9">
      <w:pPr>
        <w:pStyle w:val="tMain"/>
        <w:rPr>
          <w:noProof/>
        </w:rPr>
      </w:pPr>
      <w:r w:rsidRPr="00B138C4">
        <w:tab/>
      </w:r>
      <w:r w:rsidR="0010015D">
        <w:t>(3)</w:t>
      </w:r>
      <w:r w:rsidRPr="00B138C4">
        <w:tab/>
        <w:t>If the feed was purchased from a person who is not a commercial feed supplier</w:t>
      </w:r>
      <w:r w:rsidR="000C436A" w:rsidRPr="00B138C4">
        <w:rPr>
          <w:noProof/>
        </w:rPr>
        <w:t xml:space="preserve">, </w:t>
      </w:r>
      <w:r w:rsidRPr="00B138C4">
        <w:rPr>
          <w:noProof/>
        </w:rPr>
        <w:t>the project proponent must keep a purchase invoice describing the purchased feed.</w:t>
      </w:r>
    </w:p>
    <w:p w14:paraId="3C5BB940" w14:textId="77777777" w:rsidR="00F576B9" w:rsidRPr="00B138C4" w:rsidRDefault="00152CA4" w:rsidP="00152CA4">
      <w:pPr>
        <w:pStyle w:val="nMain"/>
        <w:rPr>
          <w:noProof/>
        </w:rPr>
      </w:pPr>
      <w:r w:rsidRPr="00B138C4">
        <w:rPr>
          <w:noProof/>
        </w:rPr>
        <w:t>Note:</w:t>
      </w:r>
      <w:r w:rsidRPr="00B138C4">
        <w:rPr>
          <w:noProof/>
        </w:rPr>
        <w:tab/>
      </w:r>
      <w:r w:rsidR="00F576B9" w:rsidRPr="00B138C4">
        <w:rPr>
          <w:noProof/>
        </w:rPr>
        <w:t xml:space="preserve">Examples of descriptions for the purposes of subsection </w:t>
      </w:r>
      <w:r w:rsidR="001C572E">
        <w:rPr>
          <w:noProof/>
        </w:rPr>
        <w:t>(3)</w:t>
      </w:r>
      <w:r w:rsidR="00F576B9" w:rsidRPr="00B138C4">
        <w:rPr>
          <w:noProof/>
        </w:rPr>
        <w:t xml:space="preserve"> include hay, silage and dried distillers grain.</w:t>
      </w:r>
    </w:p>
    <w:p w14:paraId="25DEADA9" w14:textId="77777777" w:rsidR="00F576B9" w:rsidRPr="00B138C4" w:rsidRDefault="0010015D" w:rsidP="00C2721D">
      <w:pPr>
        <w:pStyle w:val="h3Div"/>
      </w:pPr>
      <w:bookmarkStart w:id="161" w:name="_Toc413161630"/>
      <w:bookmarkStart w:id="162" w:name="_Toc426038046"/>
      <w:bookmarkStart w:id="163" w:name="_Toc485212007"/>
      <w:r>
        <w:t>Division 4</w:t>
      </w:r>
      <w:r w:rsidR="00C2721D" w:rsidRPr="00B138C4">
        <w:t>—</w:t>
      </w:r>
      <w:r w:rsidR="00F576B9" w:rsidRPr="00B138C4">
        <w:t>Monitoring requirements</w:t>
      </w:r>
      <w:bookmarkEnd w:id="161"/>
      <w:bookmarkEnd w:id="162"/>
      <w:bookmarkEnd w:id="163"/>
    </w:p>
    <w:p w14:paraId="6AB8E4F7" w14:textId="77777777" w:rsidR="00F554A1" w:rsidRPr="00B138C4" w:rsidRDefault="00F554A1" w:rsidP="00F554A1">
      <w:pPr>
        <w:pStyle w:val="ntoHeading"/>
      </w:pPr>
      <w:r w:rsidRPr="00B138C4">
        <w:t>Note:</w:t>
      </w:r>
      <w:r w:rsidRPr="00B138C4">
        <w:tab/>
        <w:t>Part 17 of the Rule sets out record</w:t>
      </w:r>
      <w:r w:rsidR="00C338D8" w:rsidRPr="00B138C4">
        <w:noBreakHyphen/>
      </w:r>
      <w:r w:rsidRPr="00B138C4">
        <w:t>keeping requirements that relate to showing that monitoring requirements for the project are being complied with, and to collection of data while monitoring the project.</w:t>
      </w:r>
    </w:p>
    <w:p w14:paraId="5234B6E3" w14:textId="77777777" w:rsidR="00F576B9" w:rsidRPr="00B138C4" w:rsidRDefault="0010015D" w:rsidP="00C2721D">
      <w:pPr>
        <w:pStyle w:val="h5Section"/>
      </w:pPr>
      <w:bookmarkStart w:id="164" w:name="_Toc413161631"/>
      <w:bookmarkStart w:id="165" w:name="_Toc426038047"/>
      <w:bookmarkStart w:id="166" w:name="_Toc485212008"/>
      <w:r>
        <w:t>30</w:t>
      </w:r>
      <w:r w:rsidR="00C2721D" w:rsidRPr="00B138C4">
        <w:t xml:space="preserve">  </w:t>
      </w:r>
      <w:r w:rsidR="00F576B9" w:rsidRPr="00B138C4">
        <w:t>General</w:t>
      </w:r>
      <w:bookmarkEnd w:id="164"/>
      <w:bookmarkEnd w:id="165"/>
      <w:bookmarkEnd w:id="166"/>
    </w:p>
    <w:p w14:paraId="4B591687" w14:textId="77777777" w:rsidR="00F576B9" w:rsidRPr="00B138C4" w:rsidRDefault="00F576B9" w:rsidP="00F576B9">
      <w:pPr>
        <w:pStyle w:val="tMain"/>
      </w:pPr>
      <w:r w:rsidRPr="00B138C4">
        <w:tab/>
      </w:r>
      <w:r w:rsidR="0010015D">
        <w:t>(1)</w:t>
      </w:r>
      <w:r w:rsidRPr="00B138C4">
        <w:tab/>
        <w:t xml:space="preserve">The project proponent must undertake sufficient monitoring </w:t>
      </w:r>
      <w:r w:rsidR="00A274C2" w:rsidRPr="00B138C4">
        <w:t xml:space="preserve">of each animal in each herd </w:t>
      </w:r>
      <w:r w:rsidRPr="00B138C4">
        <w:t xml:space="preserve">to determine the inputs specified in </w:t>
      </w:r>
      <w:r w:rsidR="001C572E">
        <w:t>Schedule 1</w:t>
      </w:r>
      <w:r w:rsidRPr="00B138C4">
        <w:t>.</w:t>
      </w:r>
    </w:p>
    <w:p w14:paraId="33C220BF" w14:textId="77777777" w:rsidR="00F576B9" w:rsidRPr="00B138C4" w:rsidRDefault="00F576B9" w:rsidP="00F576B9">
      <w:pPr>
        <w:pStyle w:val="tMain"/>
      </w:pPr>
      <w:r w:rsidRPr="00B138C4">
        <w:tab/>
      </w:r>
      <w:r w:rsidR="0010015D">
        <w:t>(2)</w:t>
      </w:r>
      <w:r w:rsidRPr="00B138C4">
        <w:tab/>
        <w:t xml:space="preserve">For the crediting period, if the project activity is a </w:t>
      </w:r>
      <w:r w:rsidR="00CE2D69" w:rsidRPr="00B138C4">
        <w:t>dietary change for the herd or for a livestock class</w:t>
      </w:r>
      <w:r w:rsidRPr="00B138C4">
        <w:t xml:space="preserve">, the project proponent must undertake sufficient monitoring to determine the inputs specified in </w:t>
      </w:r>
      <w:r w:rsidR="001C572E">
        <w:t>Schedule 2</w:t>
      </w:r>
      <w:r w:rsidRPr="00B138C4">
        <w:t>.</w:t>
      </w:r>
    </w:p>
    <w:p w14:paraId="396F01D9" w14:textId="77777777" w:rsidR="000E4D43" w:rsidRPr="009D580E" w:rsidRDefault="000E4D43" w:rsidP="000E4D43">
      <w:pPr>
        <w:pStyle w:val="tMain"/>
      </w:pPr>
      <w:bookmarkStart w:id="167" w:name="_Toc413155628"/>
      <w:bookmarkStart w:id="168" w:name="_Toc426038048"/>
      <w:r w:rsidRPr="009D580E">
        <w:tab/>
        <w:t>(3)</w:t>
      </w:r>
      <w:r w:rsidRPr="009D580E">
        <w:tab/>
        <w:t>For each herd, the project proponent must monitor the following:</w:t>
      </w:r>
    </w:p>
    <w:p w14:paraId="72A6C017" w14:textId="77777777" w:rsidR="000E4D43" w:rsidRPr="009D580E" w:rsidRDefault="000E4D43" w:rsidP="000E4D43">
      <w:pPr>
        <w:pStyle w:val="tPara"/>
      </w:pPr>
      <w:r w:rsidRPr="009D580E">
        <w:tab/>
        <w:t>(a)</w:t>
      </w:r>
      <w:r w:rsidRPr="009D580E">
        <w:tab/>
        <w:t>the land on which the herd grazed in each year of the reporting period;</w:t>
      </w:r>
    </w:p>
    <w:p w14:paraId="02241F88" w14:textId="77777777" w:rsidR="000E4D43" w:rsidRPr="009D580E" w:rsidRDefault="000E4D43" w:rsidP="000E4D43">
      <w:pPr>
        <w:pStyle w:val="tPara"/>
      </w:pPr>
      <w:r w:rsidRPr="009D580E">
        <w:tab/>
        <w:t>(b)</w:t>
      </w:r>
      <w:r w:rsidRPr="009D580E">
        <w:tab/>
        <w:t>the cattle of the herd during each year of the reporting period;</w:t>
      </w:r>
    </w:p>
    <w:p w14:paraId="3EDA4A8C" w14:textId="77777777" w:rsidR="000E4D43" w:rsidRPr="009D580E" w:rsidRDefault="000E4D43" w:rsidP="000E4D43">
      <w:pPr>
        <w:pStyle w:val="tPara"/>
      </w:pPr>
      <w:r w:rsidRPr="009D580E">
        <w:tab/>
        <w:t>(c)</w:t>
      </w:r>
      <w:r w:rsidRPr="009D580E">
        <w:tab/>
        <w:t>any changes to the entity or entities that constitute:</w:t>
      </w:r>
    </w:p>
    <w:p w14:paraId="576AA1CB" w14:textId="77777777" w:rsidR="000E4D43" w:rsidRPr="009D580E" w:rsidRDefault="000E4D43" w:rsidP="000E4D43">
      <w:pPr>
        <w:pStyle w:val="tSubpara"/>
      </w:pPr>
      <w:r w:rsidRPr="009D580E">
        <w:tab/>
        <w:t>(i)</w:t>
      </w:r>
      <w:r w:rsidRPr="009D580E">
        <w:tab/>
        <w:t>the business operation for the herd during the reporting period; or</w:t>
      </w:r>
    </w:p>
    <w:p w14:paraId="30CDDDC9" w14:textId="77777777" w:rsidR="000E4D43" w:rsidRPr="009D580E" w:rsidRDefault="000E4D43" w:rsidP="000E4D43">
      <w:pPr>
        <w:pStyle w:val="tSubpara"/>
      </w:pPr>
      <w:r w:rsidRPr="009D580E">
        <w:tab/>
        <w:t>(ii)</w:t>
      </w:r>
      <w:r w:rsidRPr="009D580E">
        <w:tab/>
        <w:t>the parent entity of the business operation.</w:t>
      </w:r>
      <w:r w:rsidRPr="009D580E">
        <w:tab/>
      </w:r>
    </w:p>
    <w:p w14:paraId="64C23738" w14:textId="77777777" w:rsidR="006A09E5" w:rsidRPr="00B138C4" w:rsidRDefault="0010015D" w:rsidP="006A09E5">
      <w:pPr>
        <w:pStyle w:val="h3Div"/>
      </w:pPr>
      <w:bookmarkStart w:id="169" w:name="_Toc485212009"/>
      <w:r>
        <w:t>Division 5</w:t>
      </w:r>
      <w:r w:rsidR="006A09E5" w:rsidRPr="00B138C4">
        <w:t>—Reporting</w:t>
      </w:r>
      <w:bookmarkEnd w:id="167"/>
      <w:r w:rsidR="006A09E5" w:rsidRPr="00B138C4">
        <w:t xml:space="preserve"> under section 77A of the Act</w:t>
      </w:r>
      <w:bookmarkEnd w:id="168"/>
      <w:bookmarkEnd w:id="169"/>
    </w:p>
    <w:p w14:paraId="09CD38F6" w14:textId="77777777" w:rsidR="006A09E5" w:rsidRPr="00B138C4" w:rsidRDefault="0010015D" w:rsidP="006A09E5">
      <w:pPr>
        <w:pStyle w:val="h5Section"/>
      </w:pPr>
      <w:bookmarkStart w:id="170" w:name="_Toc426038049"/>
      <w:bookmarkStart w:id="171" w:name="_Toc485212010"/>
      <w:r>
        <w:t>31</w:t>
      </w:r>
      <w:r w:rsidR="006A09E5" w:rsidRPr="00B138C4">
        <w:t xml:space="preserve">  Requirements relating to reporting under section 77A of the Act</w:t>
      </w:r>
      <w:bookmarkEnd w:id="170"/>
      <w:bookmarkEnd w:id="171"/>
    </w:p>
    <w:p w14:paraId="210EF223" w14:textId="77777777" w:rsidR="006A09E5" w:rsidRPr="00B138C4" w:rsidRDefault="006A09E5" w:rsidP="006A09E5">
      <w:pPr>
        <w:pStyle w:val="tMain"/>
      </w:pPr>
      <w:r w:rsidRPr="00B138C4">
        <w:tab/>
      </w:r>
      <w:r w:rsidRPr="00B138C4">
        <w:tab/>
        <w:t>For section 77A of the Act, an overall project may only be divided into parts that consist of one or more whole herds.</w:t>
      </w:r>
    </w:p>
    <w:p w14:paraId="556BE81A" w14:textId="77777777" w:rsidR="006A09E5" w:rsidRPr="00B138C4" w:rsidRDefault="006A09E5" w:rsidP="002C0EA7">
      <w:pPr>
        <w:pStyle w:val="tPara"/>
      </w:pPr>
    </w:p>
    <w:p w14:paraId="27B420E9" w14:textId="77777777" w:rsidR="00083638" w:rsidRDefault="00083638">
      <w:pPr>
        <w:spacing w:line="240" w:lineRule="auto"/>
        <w:rPr>
          <w:rFonts w:eastAsia="Times New Roman" w:cs="Arial"/>
          <w:b/>
          <w:bCs/>
          <w:kern w:val="32"/>
          <w:sz w:val="36"/>
          <w:szCs w:val="32"/>
          <w:lang w:eastAsia="en-AU"/>
        </w:rPr>
      </w:pPr>
      <w:r>
        <w:br w:type="page"/>
      </w:r>
    </w:p>
    <w:p w14:paraId="445F60F6" w14:textId="77777777" w:rsidR="00511595" w:rsidRPr="00B138C4" w:rsidRDefault="0010015D" w:rsidP="00511595">
      <w:pPr>
        <w:pStyle w:val="h1Sch"/>
      </w:pPr>
      <w:bookmarkStart w:id="172" w:name="_Toc426038050"/>
      <w:bookmarkStart w:id="173" w:name="_Toc485212011"/>
      <w:r>
        <w:lastRenderedPageBreak/>
        <w:t>Schedule 1</w:t>
      </w:r>
      <w:r w:rsidR="00511595" w:rsidRPr="00B138C4">
        <w:t>—Inputs into Herd Management Calculator</w:t>
      </w:r>
      <w:r w:rsidR="00BD7AFA" w:rsidRPr="00B138C4">
        <w:t>—general</w:t>
      </w:r>
      <w:bookmarkEnd w:id="172"/>
      <w:bookmarkEnd w:id="173"/>
    </w:p>
    <w:p w14:paraId="1A17A0CD" w14:textId="77777777" w:rsidR="000E4D43" w:rsidRPr="009D580E" w:rsidRDefault="000E4D43" w:rsidP="000E4D43">
      <w:pPr>
        <w:pStyle w:val="ntoHeading"/>
      </w:pPr>
      <w:r w:rsidRPr="009D580E">
        <w:t>Note:</w:t>
      </w:r>
      <w:r w:rsidRPr="009D580E">
        <w:tab/>
        <w:t xml:space="preserve">See sections </w:t>
      </w:r>
      <w:r>
        <w:t>23</w:t>
      </w:r>
      <w:r w:rsidRPr="009D580E">
        <w:t xml:space="preserve"> and </w:t>
      </w:r>
      <w:r>
        <w:t>24</w:t>
      </w:r>
      <w:r w:rsidRPr="009D580E">
        <w:t>.</w:t>
      </w:r>
    </w:p>
    <w:p w14:paraId="17808D60" w14:textId="77777777" w:rsidR="000E4D43" w:rsidRPr="009D580E" w:rsidRDefault="000E4D43" w:rsidP="000E4D43">
      <w:pPr>
        <w:pStyle w:val="tMain"/>
      </w:pPr>
      <w:r w:rsidRPr="009D580E">
        <w:tab/>
        <w:t>(1)</w:t>
      </w:r>
      <w:r w:rsidRPr="009D580E">
        <w:tab/>
        <w:t>In this Schedule:</w:t>
      </w:r>
    </w:p>
    <w:p w14:paraId="39BC587E" w14:textId="77777777" w:rsidR="000E4D43" w:rsidRPr="009D580E" w:rsidRDefault="000E4D43" w:rsidP="000E4D43">
      <w:pPr>
        <w:pStyle w:val="tPara"/>
      </w:pPr>
      <w:r w:rsidRPr="009D580E">
        <w:tab/>
        <w:t>(a)</w:t>
      </w:r>
      <w:r w:rsidRPr="009D580E">
        <w:tab/>
        <w:t xml:space="preserve">a reference to a </w:t>
      </w:r>
      <w:r w:rsidRPr="009D580E">
        <w:rPr>
          <w:b/>
          <w:i/>
        </w:rPr>
        <w:t>calculation year</w:t>
      </w:r>
      <w:r w:rsidRPr="009D580E">
        <w:t xml:space="preserve"> is a reference to the assessment year or year of the emissions intensity reference period for the herd to which the Herd Management Calculator is being applied; and</w:t>
      </w:r>
    </w:p>
    <w:p w14:paraId="099BB198" w14:textId="77777777" w:rsidR="000E4D43" w:rsidRPr="009D580E" w:rsidRDefault="000E4D43" w:rsidP="000E4D43">
      <w:pPr>
        <w:pStyle w:val="tPara"/>
      </w:pPr>
      <w:r w:rsidRPr="009D580E">
        <w:tab/>
        <w:t>(b)</w:t>
      </w:r>
      <w:r w:rsidRPr="009D580E">
        <w:tab/>
        <w:t xml:space="preserve">where the calculation year is a year of the emissions intensity reference period for the herd, a reference to an </w:t>
      </w:r>
      <w:r w:rsidRPr="009D580E">
        <w:rPr>
          <w:b/>
          <w:i/>
        </w:rPr>
        <w:t>assessment day</w:t>
      </w:r>
      <w:r w:rsidRPr="009D580E">
        <w:t xml:space="preserve"> for the herd is a reference to the day of the calendar year on which the calculation year ends.</w:t>
      </w:r>
    </w:p>
    <w:p w14:paraId="34F8C333" w14:textId="77777777" w:rsidR="000E4D43" w:rsidRPr="009D580E" w:rsidRDefault="000E4D43" w:rsidP="000E4D43">
      <w:pPr>
        <w:pStyle w:val="tMain"/>
      </w:pPr>
      <w:r w:rsidRPr="009D580E">
        <w:tab/>
        <w:t>(2)</w:t>
      </w:r>
      <w:r w:rsidRPr="009D580E">
        <w:tab/>
        <w:t>The start day to be entered for item 1(b) of the table is the assessment day immediately before the beginning of the calculation year.</w:t>
      </w:r>
    </w:p>
    <w:p w14:paraId="46655118" w14:textId="77777777" w:rsidR="000E4D43" w:rsidRPr="009D580E" w:rsidRDefault="000E4D43" w:rsidP="000E4D43">
      <w:pPr>
        <w:pStyle w:val="tMain"/>
      </w:pPr>
      <w:r w:rsidRPr="009D580E">
        <w:tab/>
        <w:t>(3)</w:t>
      </w:r>
      <w:r w:rsidRPr="009D580E">
        <w:tab/>
        <w:t>A reference in the table to numbers at the start of the year is a reference to numbers at the end of the start day.</w:t>
      </w:r>
    </w:p>
    <w:p w14:paraId="37E4F031" w14:textId="77777777" w:rsidR="000E4D43" w:rsidRPr="009D580E" w:rsidRDefault="000E4D43" w:rsidP="000E4D43">
      <w:pPr>
        <w:pStyle w:val="tMain"/>
      </w:pPr>
      <w:r w:rsidRPr="009D580E">
        <w:tab/>
        <w:t>(4)</w:t>
      </w:r>
      <w:r w:rsidRPr="009D580E">
        <w:tab/>
        <w:t xml:space="preserve">A reference in the table to numbers at the end of the year is a reference to numbers at the end of the assessment day that ends the calculation year.  </w:t>
      </w:r>
    </w:p>
    <w:p w14:paraId="64DF65E9" w14:textId="77777777" w:rsidR="000E4D43" w:rsidRPr="009D580E" w:rsidRDefault="000E4D43" w:rsidP="000E4D43">
      <w:pPr>
        <w:pStyle w:val="tMain"/>
      </w:pPr>
      <w:r w:rsidRPr="009D580E">
        <w:tab/>
        <w:t>(5)</w:t>
      </w:r>
      <w:r w:rsidRPr="009D580E">
        <w:tab/>
        <w:t xml:space="preserve">The calculation year is divided into 12 </w:t>
      </w:r>
      <w:r w:rsidRPr="009D580E">
        <w:rPr>
          <w:b/>
          <w:i/>
        </w:rPr>
        <w:t>monthly periods</w:t>
      </w:r>
      <w:r w:rsidRPr="009D580E">
        <w:t>, lasting one month each.</w:t>
      </w:r>
    </w:p>
    <w:p w14:paraId="69557AE0" w14:textId="77777777" w:rsidR="000E4D43" w:rsidRPr="009D580E" w:rsidRDefault="000E4D43" w:rsidP="000E4D43">
      <w:pPr>
        <w:pStyle w:val="tMain"/>
      </w:pPr>
      <w:r w:rsidRPr="009D580E">
        <w:tab/>
        <w:t>(6)</w:t>
      </w:r>
      <w:r w:rsidRPr="009D580E">
        <w:tab/>
        <w:t xml:space="preserve">For each monthly period, there is a </w:t>
      </w:r>
      <w:r w:rsidRPr="009D580E">
        <w:rPr>
          <w:b/>
          <w:i/>
        </w:rPr>
        <w:t>monthly input day</w:t>
      </w:r>
      <w:r w:rsidRPr="009D580E">
        <w:t>, which is day that includes or starts on the mid-point of the monthly period.</w:t>
      </w:r>
    </w:p>
    <w:p w14:paraId="0F57DE69" w14:textId="77777777" w:rsidR="000E4D43" w:rsidRPr="009D580E" w:rsidRDefault="000E4D43" w:rsidP="000E4D43">
      <w:pPr>
        <w:pStyle w:val="tMain"/>
      </w:pPr>
      <w:r w:rsidRPr="009D580E">
        <w:tab/>
        <w:t>(7)</w:t>
      </w:r>
      <w:r w:rsidRPr="009D580E">
        <w:tab/>
        <w:t>The project proponent may treat animals that entered or left the herd during a monthly period as having entered or left on the monthly input day.</w:t>
      </w:r>
    </w:p>
    <w:p w14:paraId="38FC1F5D" w14:textId="77777777" w:rsidR="000E4D43" w:rsidRPr="009D580E" w:rsidRDefault="000E4D43" w:rsidP="000E4D43">
      <w:pPr>
        <w:pStyle w:val="nPara"/>
      </w:pPr>
      <w:r w:rsidRPr="009D580E">
        <w:t>Note:</w:t>
      </w:r>
      <w:r w:rsidRPr="009D580E">
        <w:tab/>
        <w:t>This allows the project proponent to consolidate into a single input group animals that were sold at differe</w:t>
      </w:r>
      <w:r>
        <w:t>nt times within the same month.</w:t>
      </w:r>
      <w:r w:rsidRPr="009D580E">
        <w:t xml:space="preserve">  Paragraph 25(1)(f) allows the sale weights to be used for the input.</w:t>
      </w:r>
    </w:p>
    <w:p w14:paraId="3B4BF59F" w14:textId="77777777" w:rsidR="000E4D43" w:rsidRDefault="000E4D43" w:rsidP="000E4D43">
      <w:pPr>
        <w:pStyle w:val="tMain"/>
      </w:pPr>
      <w:r w:rsidRPr="009D580E">
        <w:tab/>
        <w:t>(8)</w:t>
      </w:r>
      <w:r w:rsidRPr="009D580E">
        <w:tab/>
        <w:t>For item 5 of the table, branding includes tagging or other application of identification marks to an unidentified animal.</w:t>
      </w:r>
    </w:p>
    <w:p w14:paraId="6C1AAF7F" w14:textId="77777777" w:rsidR="000E4D43" w:rsidRPr="00E55CF1" w:rsidRDefault="000E4D43" w:rsidP="000E4D43">
      <w:pPr>
        <w:pStyle w:val="tMain"/>
      </w:pPr>
      <w:r w:rsidRPr="00E55CF1">
        <w:tab/>
      </w:r>
      <w:r>
        <w:t>(9)</w:t>
      </w:r>
      <w:r>
        <w:tab/>
      </w:r>
      <w:r w:rsidRPr="00E55CF1">
        <w:t>For item 5 of the table, feral animals or cleanskins brought into the herd are treated as entering the herd by ‘other management action’ when they are branded. (They, or suitable samples of them, will need to be weighed at the same time.) If this is done as part of a general muster in which weights are obtained that can be used for the input on an assessment day, the animals may be treated as having been branded on the assessment day.</w:t>
      </w:r>
    </w:p>
    <w:p w14:paraId="56CB9A10" w14:textId="77777777" w:rsidR="000E4D43" w:rsidRPr="00E55CF1" w:rsidRDefault="000E4D43" w:rsidP="000E4D43">
      <w:pPr>
        <w:pStyle w:val="nMain"/>
      </w:pPr>
      <w:r w:rsidRPr="00E55CF1">
        <w:t>Note:</w:t>
      </w:r>
      <w:r w:rsidRPr="00E55CF1">
        <w:tab/>
        <w:t>The Herd Management Calculator does not require entry of data on deaths or unaccounted departures—these are dealt with by calculations from the other data.</w:t>
      </w:r>
    </w:p>
    <w:p w14:paraId="5BE24CA0" w14:textId="77777777" w:rsidR="000E4D43" w:rsidRPr="009D580E" w:rsidRDefault="000E4D43" w:rsidP="000E4D43">
      <w:pPr>
        <w:pStyle w:val="h6Subsec"/>
      </w:pPr>
      <w:r w:rsidRPr="009D580E">
        <w:t>Table of inputs into the Calculator</w:t>
      </w:r>
    </w:p>
    <w:p w14:paraId="13A276C9" w14:textId="77777777" w:rsidR="000E4D43" w:rsidRPr="009D580E" w:rsidRDefault="000E4D43" w:rsidP="000E4D43">
      <w:pPr>
        <w:pStyle w:val="tMain"/>
      </w:pPr>
      <w:r w:rsidRPr="009D580E">
        <w:tab/>
        <w:t>(</w:t>
      </w:r>
      <w:r>
        <w:t>10</w:t>
      </w:r>
      <w:r w:rsidRPr="009D580E">
        <w:t>)</w:t>
      </w:r>
      <w:r w:rsidRPr="009D580E">
        <w:tab/>
        <w:t>Inputs required by the Herd Management Calculator, in relation to a calculation year, are set out in the following table.</w:t>
      </w:r>
    </w:p>
    <w:tbl>
      <w:tblPr>
        <w:tblStyle w:val="TableGrid"/>
        <w:tblW w:w="8788" w:type="dxa"/>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1275"/>
        <w:gridCol w:w="2127"/>
        <w:gridCol w:w="3260"/>
        <w:gridCol w:w="1417"/>
      </w:tblGrid>
      <w:tr w:rsidR="009F15E0" w:rsidRPr="00B138C4" w14:paraId="2887E5E1" w14:textId="77777777" w:rsidTr="009F15E0">
        <w:trPr>
          <w:cantSplit/>
          <w:tblHeader/>
        </w:trPr>
        <w:tc>
          <w:tcPr>
            <w:tcW w:w="1984" w:type="dxa"/>
            <w:gridSpan w:val="2"/>
            <w:tcBorders>
              <w:top w:val="single" w:sz="18" w:space="0" w:color="auto"/>
              <w:bottom w:val="single" w:sz="4" w:space="0" w:color="auto"/>
            </w:tcBorders>
          </w:tcPr>
          <w:p w14:paraId="5AB3BCA2" w14:textId="77777777" w:rsidR="009F15E0" w:rsidRPr="00B138C4" w:rsidRDefault="009F15E0" w:rsidP="009F15E0">
            <w:pPr>
              <w:pStyle w:val="TableHeading"/>
            </w:pPr>
          </w:p>
        </w:tc>
        <w:tc>
          <w:tcPr>
            <w:tcW w:w="6804" w:type="dxa"/>
            <w:gridSpan w:val="3"/>
            <w:tcBorders>
              <w:top w:val="single" w:sz="18" w:space="0" w:color="auto"/>
              <w:bottom w:val="single" w:sz="4" w:space="0" w:color="auto"/>
            </w:tcBorders>
          </w:tcPr>
          <w:p w14:paraId="3C5874DC" w14:textId="77777777" w:rsidR="009F15E0" w:rsidRPr="00B138C4" w:rsidRDefault="009F15E0" w:rsidP="009F15E0">
            <w:pPr>
              <w:pStyle w:val="TableHeading"/>
            </w:pPr>
            <w:r w:rsidRPr="00B138C4">
              <w:t>Inputs required by the Herd Management Calculator</w:t>
            </w:r>
            <w:r w:rsidRPr="00B138C4">
              <w:tab/>
            </w:r>
          </w:p>
        </w:tc>
      </w:tr>
      <w:tr w:rsidR="009F15E0" w:rsidRPr="00B138C4" w14:paraId="56481294" w14:textId="77777777" w:rsidTr="009F15E0">
        <w:trPr>
          <w:cantSplit/>
          <w:tblHeader/>
        </w:trPr>
        <w:tc>
          <w:tcPr>
            <w:tcW w:w="709" w:type="dxa"/>
            <w:tcBorders>
              <w:bottom w:val="single" w:sz="18" w:space="0" w:color="auto"/>
            </w:tcBorders>
          </w:tcPr>
          <w:p w14:paraId="008AA6EF" w14:textId="77777777" w:rsidR="009F15E0" w:rsidRPr="00B138C4" w:rsidRDefault="009F15E0" w:rsidP="009F15E0">
            <w:pPr>
              <w:pStyle w:val="TableHeading"/>
            </w:pPr>
            <w:r w:rsidRPr="00B138C4">
              <w:t>Item</w:t>
            </w:r>
          </w:p>
        </w:tc>
        <w:tc>
          <w:tcPr>
            <w:tcW w:w="3402" w:type="dxa"/>
            <w:gridSpan w:val="2"/>
            <w:tcBorders>
              <w:bottom w:val="single" w:sz="18" w:space="0" w:color="auto"/>
            </w:tcBorders>
          </w:tcPr>
          <w:p w14:paraId="6232C928" w14:textId="77777777" w:rsidR="009F15E0" w:rsidRPr="008A1FC8" w:rsidRDefault="009F15E0" w:rsidP="009F15E0">
            <w:pPr>
              <w:pStyle w:val="TableHeading"/>
            </w:pPr>
            <w:r w:rsidRPr="008A1FC8">
              <w:t>Group</w:t>
            </w:r>
          </w:p>
        </w:tc>
        <w:tc>
          <w:tcPr>
            <w:tcW w:w="3260" w:type="dxa"/>
            <w:tcBorders>
              <w:bottom w:val="single" w:sz="18" w:space="0" w:color="auto"/>
            </w:tcBorders>
          </w:tcPr>
          <w:p w14:paraId="515BF56C" w14:textId="77777777" w:rsidR="009F15E0" w:rsidRPr="008A1FC8" w:rsidRDefault="009F15E0" w:rsidP="009F15E0">
            <w:pPr>
              <w:pStyle w:val="TableHeading"/>
            </w:pPr>
            <w:r w:rsidRPr="008A1FC8">
              <w:t>Input</w:t>
            </w:r>
            <w:r w:rsidR="00E86D6E" w:rsidRPr="008A1FC8">
              <w:t xml:space="preserve"> relating to the group</w:t>
            </w:r>
          </w:p>
        </w:tc>
        <w:tc>
          <w:tcPr>
            <w:tcW w:w="1417" w:type="dxa"/>
            <w:tcBorders>
              <w:bottom w:val="single" w:sz="18" w:space="0" w:color="auto"/>
            </w:tcBorders>
          </w:tcPr>
          <w:p w14:paraId="4FE31922" w14:textId="77777777" w:rsidR="009F15E0" w:rsidRPr="00B138C4" w:rsidRDefault="009F15E0" w:rsidP="009F15E0">
            <w:pPr>
              <w:pStyle w:val="TableHeading"/>
            </w:pPr>
            <w:r w:rsidRPr="00B138C4">
              <w:t>Unit</w:t>
            </w:r>
          </w:p>
        </w:tc>
      </w:tr>
      <w:tr w:rsidR="009F15E0" w:rsidRPr="00B138C4" w14:paraId="5E1BE2E2" w14:textId="77777777" w:rsidTr="009F15E0">
        <w:trPr>
          <w:cantSplit/>
          <w:trHeight w:val="437"/>
        </w:trPr>
        <w:tc>
          <w:tcPr>
            <w:tcW w:w="709" w:type="dxa"/>
            <w:tcBorders>
              <w:top w:val="single" w:sz="18" w:space="0" w:color="auto"/>
              <w:left w:val="nil"/>
              <w:bottom w:val="single" w:sz="2" w:space="0" w:color="auto"/>
              <w:right w:val="nil"/>
            </w:tcBorders>
          </w:tcPr>
          <w:p w14:paraId="25FDA0D1" w14:textId="77777777" w:rsidR="009F15E0" w:rsidRPr="00B138C4" w:rsidRDefault="009F15E0" w:rsidP="009F15E0">
            <w:pPr>
              <w:pStyle w:val="Tabletext"/>
            </w:pPr>
            <w:r w:rsidRPr="00B138C4">
              <w:t>1</w:t>
            </w:r>
          </w:p>
        </w:tc>
        <w:tc>
          <w:tcPr>
            <w:tcW w:w="3402" w:type="dxa"/>
            <w:gridSpan w:val="2"/>
            <w:tcBorders>
              <w:top w:val="single" w:sz="18" w:space="0" w:color="auto"/>
              <w:left w:val="nil"/>
              <w:bottom w:val="single" w:sz="2" w:space="0" w:color="auto"/>
              <w:right w:val="nil"/>
            </w:tcBorders>
          </w:tcPr>
          <w:p w14:paraId="0E0F3EBB" w14:textId="77777777" w:rsidR="009F15E0" w:rsidRPr="008A1FC8" w:rsidRDefault="009F15E0" w:rsidP="009F15E0">
            <w:pPr>
              <w:pStyle w:val="Tabletext"/>
            </w:pPr>
            <w:r w:rsidRPr="008A1FC8">
              <w:t>The herd</w:t>
            </w:r>
          </w:p>
        </w:tc>
        <w:tc>
          <w:tcPr>
            <w:tcW w:w="3260" w:type="dxa"/>
            <w:tcBorders>
              <w:top w:val="single" w:sz="18" w:space="0" w:color="auto"/>
              <w:left w:val="nil"/>
              <w:bottom w:val="single" w:sz="2" w:space="0" w:color="auto"/>
              <w:right w:val="nil"/>
            </w:tcBorders>
          </w:tcPr>
          <w:p w14:paraId="79E64660" w14:textId="77777777" w:rsidR="000E4D43" w:rsidRPr="009D580E" w:rsidRDefault="000E4D43" w:rsidP="000E4D43">
            <w:pPr>
              <w:pStyle w:val="Tabletext"/>
              <w:ind w:left="425" w:hanging="425"/>
            </w:pPr>
            <w:r w:rsidRPr="009D580E">
              <w:t>(a)</w:t>
            </w:r>
            <w:r w:rsidRPr="009D580E">
              <w:tab/>
              <w:t>region primarily occupied by the herd in the year</w:t>
            </w:r>
          </w:p>
          <w:p w14:paraId="1226C4CB" w14:textId="77777777" w:rsidR="000E4D43" w:rsidRPr="009D580E" w:rsidRDefault="000E4D43" w:rsidP="000E4D43">
            <w:pPr>
              <w:pStyle w:val="Tabletext"/>
              <w:ind w:left="425" w:hanging="425"/>
            </w:pPr>
            <w:r w:rsidRPr="009D580E">
              <w:t>(b)</w:t>
            </w:r>
            <w:r w:rsidRPr="009D580E">
              <w:tab/>
              <w:t>start day for the calculation year</w:t>
            </w:r>
          </w:p>
          <w:p w14:paraId="74585338" w14:textId="77777777" w:rsidR="009F15E0" w:rsidRPr="008A1FC8" w:rsidRDefault="009F15E0" w:rsidP="009F15E0">
            <w:pPr>
              <w:pStyle w:val="Tabletext"/>
            </w:pPr>
          </w:p>
        </w:tc>
        <w:tc>
          <w:tcPr>
            <w:tcW w:w="1417" w:type="dxa"/>
            <w:tcBorders>
              <w:top w:val="single" w:sz="18" w:space="0" w:color="auto"/>
              <w:left w:val="nil"/>
              <w:bottom w:val="single" w:sz="2" w:space="0" w:color="auto"/>
              <w:right w:val="nil"/>
            </w:tcBorders>
          </w:tcPr>
          <w:p w14:paraId="7B7D8360" w14:textId="77777777" w:rsidR="000E4D43" w:rsidRPr="009D580E" w:rsidRDefault="000E4D43" w:rsidP="000E4D43">
            <w:pPr>
              <w:pStyle w:val="Tabletext"/>
            </w:pPr>
            <w:r w:rsidRPr="009D580E">
              <w:t>Region</w:t>
            </w:r>
            <w:r w:rsidRPr="009D580E">
              <w:br/>
            </w:r>
          </w:p>
          <w:p w14:paraId="1925F9C8" w14:textId="77777777" w:rsidR="000E4D43" w:rsidRPr="009D580E" w:rsidRDefault="000E4D43" w:rsidP="000E4D43">
            <w:pPr>
              <w:pStyle w:val="Tabletext"/>
            </w:pPr>
            <w:r w:rsidRPr="009D580E">
              <w:t>Date</w:t>
            </w:r>
          </w:p>
          <w:p w14:paraId="60EC2387" w14:textId="77777777" w:rsidR="009F15E0" w:rsidRPr="00B138C4" w:rsidRDefault="009F15E0" w:rsidP="009F15E0">
            <w:pPr>
              <w:pStyle w:val="Tabletext"/>
            </w:pPr>
          </w:p>
        </w:tc>
      </w:tr>
      <w:tr w:rsidR="009F15E0" w:rsidRPr="00B138C4" w14:paraId="1F1DD98E" w14:textId="77777777" w:rsidTr="009F15E0">
        <w:trPr>
          <w:cantSplit/>
          <w:trHeight w:val="403"/>
        </w:trPr>
        <w:tc>
          <w:tcPr>
            <w:tcW w:w="709" w:type="dxa"/>
            <w:tcBorders>
              <w:top w:val="single" w:sz="2" w:space="0" w:color="auto"/>
              <w:left w:val="nil"/>
              <w:bottom w:val="nil"/>
              <w:right w:val="nil"/>
            </w:tcBorders>
          </w:tcPr>
          <w:p w14:paraId="6EDBE711" w14:textId="77777777" w:rsidR="009F15E0" w:rsidRPr="00B138C4" w:rsidRDefault="009F15E0" w:rsidP="009F15E0">
            <w:pPr>
              <w:pStyle w:val="Tabletext"/>
            </w:pPr>
            <w:r w:rsidRPr="00B138C4">
              <w:t>2</w:t>
            </w:r>
          </w:p>
        </w:tc>
        <w:tc>
          <w:tcPr>
            <w:tcW w:w="3402" w:type="dxa"/>
            <w:gridSpan w:val="2"/>
            <w:tcBorders>
              <w:top w:val="single" w:sz="2" w:space="0" w:color="auto"/>
              <w:left w:val="nil"/>
              <w:bottom w:val="nil"/>
              <w:right w:val="nil"/>
            </w:tcBorders>
          </w:tcPr>
          <w:p w14:paraId="053C77C2" w14:textId="77777777" w:rsidR="009F15E0" w:rsidRPr="008A1FC8" w:rsidRDefault="00C30D03" w:rsidP="00C30D03">
            <w:pPr>
              <w:pStyle w:val="Tabletext"/>
            </w:pPr>
            <w:r w:rsidRPr="008A1FC8">
              <w:t xml:space="preserve">For each livestock class, the group of </w:t>
            </w:r>
            <w:r w:rsidR="009F15E0" w:rsidRPr="008A1FC8">
              <w:t>animals that were in the herd at both the start and the end of the year</w:t>
            </w:r>
          </w:p>
        </w:tc>
        <w:tc>
          <w:tcPr>
            <w:tcW w:w="3260" w:type="dxa"/>
            <w:tcBorders>
              <w:top w:val="single" w:sz="2" w:space="0" w:color="auto"/>
              <w:left w:val="nil"/>
              <w:bottom w:val="nil"/>
              <w:right w:val="nil"/>
            </w:tcBorders>
          </w:tcPr>
          <w:p w14:paraId="7BCAF543" w14:textId="77777777" w:rsidR="009F15E0" w:rsidRPr="00B138C4" w:rsidRDefault="009F15E0" w:rsidP="009F15E0">
            <w:pPr>
              <w:pStyle w:val="Tabletext"/>
              <w:ind w:left="425" w:hanging="425"/>
            </w:pPr>
            <w:r w:rsidRPr="00B138C4">
              <w:t>(a)</w:t>
            </w:r>
            <w:r w:rsidRPr="00B138C4">
              <w:tab/>
              <w:t>number at the start of the year</w:t>
            </w:r>
          </w:p>
          <w:p w14:paraId="342FF67D" w14:textId="77777777" w:rsidR="009F15E0" w:rsidRPr="00B138C4" w:rsidRDefault="008A1FC8" w:rsidP="009F15E0">
            <w:pPr>
              <w:pStyle w:val="Tabletext"/>
              <w:ind w:left="425" w:hanging="425"/>
            </w:pPr>
            <w:r>
              <w:t>(b)</w:t>
            </w:r>
            <w:r>
              <w:tab/>
              <w:t>average liveweight</w:t>
            </w:r>
            <w:r w:rsidR="009F15E0" w:rsidRPr="00B138C4">
              <w:t xml:space="preserve"> at the start of the year</w:t>
            </w:r>
          </w:p>
          <w:p w14:paraId="2F0FE9A9" w14:textId="77777777" w:rsidR="009F15E0" w:rsidRPr="00B138C4" w:rsidRDefault="009F15E0" w:rsidP="009F15E0">
            <w:pPr>
              <w:pStyle w:val="Tabletext"/>
              <w:ind w:left="425" w:hanging="425"/>
            </w:pPr>
            <w:r w:rsidRPr="00B138C4">
              <w:t>(c)</w:t>
            </w:r>
            <w:r w:rsidRPr="00B138C4">
              <w:tab/>
              <w:t>number at the end of the year</w:t>
            </w:r>
          </w:p>
          <w:p w14:paraId="1083C07B" w14:textId="77777777" w:rsidR="009F15E0" w:rsidRPr="00B138C4" w:rsidRDefault="009F15E0" w:rsidP="009F15E0">
            <w:pPr>
              <w:pStyle w:val="Tabletext"/>
              <w:ind w:left="425" w:hanging="425"/>
            </w:pPr>
            <w:r w:rsidRPr="00B138C4">
              <w:t>(d)</w:t>
            </w:r>
            <w:r w:rsidRPr="00B138C4">
              <w:tab/>
              <w:t>average liveweight at the end of the year</w:t>
            </w:r>
          </w:p>
          <w:p w14:paraId="297BD81F" w14:textId="77777777" w:rsidR="009F15E0" w:rsidRPr="00B138C4" w:rsidRDefault="009F15E0" w:rsidP="009F15E0">
            <w:pPr>
              <w:pStyle w:val="Tabletext"/>
              <w:ind w:left="425" w:hanging="425"/>
            </w:pPr>
          </w:p>
        </w:tc>
        <w:tc>
          <w:tcPr>
            <w:tcW w:w="1417" w:type="dxa"/>
            <w:tcBorders>
              <w:top w:val="single" w:sz="2" w:space="0" w:color="auto"/>
              <w:left w:val="nil"/>
              <w:bottom w:val="nil"/>
              <w:right w:val="nil"/>
            </w:tcBorders>
          </w:tcPr>
          <w:p w14:paraId="0F1EE1E6" w14:textId="77777777" w:rsidR="009F15E0" w:rsidRPr="00B138C4" w:rsidRDefault="009F15E0" w:rsidP="009F15E0">
            <w:pPr>
              <w:pStyle w:val="Tabletext"/>
            </w:pPr>
            <w:r w:rsidRPr="00B138C4">
              <w:t>Head</w:t>
            </w:r>
          </w:p>
          <w:p w14:paraId="2ECCF6B8" w14:textId="77777777" w:rsidR="009F15E0" w:rsidRPr="00B138C4" w:rsidRDefault="009F15E0" w:rsidP="009F15E0">
            <w:pPr>
              <w:pStyle w:val="Tabletext"/>
            </w:pPr>
            <w:r w:rsidRPr="00B138C4">
              <w:t>Kilograms</w:t>
            </w:r>
            <w:r w:rsidRPr="00B138C4">
              <w:br/>
            </w:r>
          </w:p>
          <w:p w14:paraId="0821B33C" w14:textId="77777777" w:rsidR="009F15E0" w:rsidRPr="00B138C4" w:rsidRDefault="009F15E0" w:rsidP="009F15E0">
            <w:pPr>
              <w:pStyle w:val="Tabletext"/>
            </w:pPr>
            <w:r w:rsidRPr="00B138C4">
              <w:t>Head</w:t>
            </w:r>
          </w:p>
          <w:p w14:paraId="0FE5B5BA" w14:textId="77777777" w:rsidR="009F15E0" w:rsidRPr="00B138C4" w:rsidRDefault="009F15E0" w:rsidP="009F15E0">
            <w:pPr>
              <w:pStyle w:val="Tabletext"/>
            </w:pPr>
            <w:r w:rsidRPr="00B138C4">
              <w:t>Kilograms</w:t>
            </w:r>
          </w:p>
          <w:p w14:paraId="7A796B7F" w14:textId="77777777" w:rsidR="009F15E0" w:rsidRPr="00B138C4" w:rsidRDefault="009F15E0" w:rsidP="009F15E0">
            <w:pPr>
              <w:pStyle w:val="Tabletext"/>
            </w:pPr>
          </w:p>
        </w:tc>
      </w:tr>
      <w:tr w:rsidR="009F15E0" w:rsidRPr="00B138C4" w14:paraId="7999EC00" w14:textId="77777777" w:rsidTr="009F15E0">
        <w:trPr>
          <w:cantSplit/>
          <w:trHeight w:val="299"/>
        </w:trPr>
        <w:tc>
          <w:tcPr>
            <w:tcW w:w="709" w:type="dxa"/>
            <w:tcBorders>
              <w:top w:val="single" w:sz="4" w:space="0" w:color="auto"/>
              <w:bottom w:val="nil"/>
            </w:tcBorders>
          </w:tcPr>
          <w:p w14:paraId="572FDE26" w14:textId="77777777" w:rsidR="009F15E0" w:rsidRPr="008A1FC8" w:rsidRDefault="009F15E0" w:rsidP="009F15E0">
            <w:pPr>
              <w:pStyle w:val="Tabletext"/>
            </w:pPr>
            <w:r w:rsidRPr="008A1FC8">
              <w:t>3</w:t>
            </w:r>
          </w:p>
        </w:tc>
        <w:tc>
          <w:tcPr>
            <w:tcW w:w="3402" w:type="dxa"/>
            <w:gridSpan w:val="2"/>
            <w:tcBorders>
              <w:top w:val="single" w:sz="4" w:space="0" w:color="auto"/>
              <w:bottom w:val="nil"/>
            </w:tcBorders>
          </w:tcPr>
          <w:p w14:paraId="626A2F2B" w14:textId="77777777" w:rsidR="009F15E0" w:rsidRPr="008A1FC8" w:rsidRDefault="00C30D03" w:rsidP="00C30D03">
            <w:pPr>
              <w:pStyle w:val="Tabletext"/>
            </w:pPr>
            <w:r w:rsidRPr="008A1FC8">
              <w:t xml:space="preserve">For each livestock class, the group of </w:t>
            </w:r>
            <w:r w:rsidR="009F15E0" w:rsidRPr="008A1FC8">
              <w:t>animals that were in the herd at the start of the year, but left during the year</w:t>
            </w:r>
          </w:p>
        </w:tc>
        <w:tc>
          <w:tcPr>
            <w:tcW w:w="3260" w:type="dxa"/>
            <w:tcBorders>
              <w:top w:val="single" w:sz="4" w:space="0" w:color="auto"/>
              <w:bottom w:val="nil"/>
            </w:tcBorders>
          </w:tcPr>
          <w:p w14:paraId="1EA07CE2" w14:textId="77777777" w:rsidR="009F15E0" w:rsidRPr="00B138C4" w:rsidRDefault="009F15E0" w:rsidP="009F15E0">
            <w:pPr>
              <w:pStyle w:val="Tabletext"/>
              <w:ind w:left="425" w:hanging="425"/>
            </w:pPr>
            <w:r w:rsidRPr="00B138C4">
              <w:t>(a)</w:t>
            </w:r>
            <w:r w:rsidRPr="00B138C4">
              <w:tab/>
              <w:t>number at the start of the year</w:t>
            </w:r>
          </w:p>
          <w:p w14:paraId="0DE3B209" w14:textId="77777777" w:rsidR="009F15E0" w:rsidRPr="00B138C4" w:rsidRDefault="009F15E0" w:rsidP="009F15E0">
            <w:pPr>
              <w:pStyle w:val="Tabletext"/>
              <w:ind w:left="425" w:hanging="425"/>
            </w:pPr>
            <w:r w:rsidRPr="00B138C4">
              <w:t>(b)</w:t>
            </w:r>
            <w:r w:rsidRPr="00B138C4">
              <w:tab/>
              <w:t>average liveweight at the start of the year</w:t>
            </w:r>
          </w:p>
          <w:p w14:paraId="7331C521" w14:textId="77777777" w:rsidR="009F15E0" w:rsidRPr="00B138C4" w:rsidRDefault="009F15E0" w:rsidP="009F15E0">
            <w:pPr>
              <w:pStyle w:val="Tabletext"/>
              <w:ind w:left="425" w:hanging="425"/>
            </w:pPr>
          </w:p>
        </w:tc>
        <w:tc>
          <w:tcPr>
            <w:tcW w:w="1417" w:type="dxa"/>
            <w:tcBorders>
              <w:top w:val="single" w:sz="4" w:space="0" w:color="auto"/>
              <w:bottom w:val="nil"/>
            </w:tcBorders>
          </w:tcPr>
          <w:p w14:paraId="5764763A" w14:textId="77777777" w:rsidR="009F15E0" w:rsidRPr="00B138C4" w:rsidRDefault="009F15E0" w:rsidP="009F15E0">
            <w:pPr>
              <w:pStyle w:val="Tabletext"/>
            </w:pPr>
            <w:r w:rsidRPr="00B138C4">
              <w:t>Head</w:t>
            </w:r>
          </w:p>
          <w:p w14:paraId="441876FF" w14:textId="77777777" w:rsidR="009F15E0" w:rsidRPr="00B138C4" w:rsidRDefault="009F15E0" w:rsidP="009F15E0">
            <w:pPr>
              <w:pStyle w:val="Tabletext"/>
            </w:pPr>
            <w:r w:rsidRPr="00B138C4">
              <w:t xml:space="preserve">Kilograms </w:t>
            </w:r>
          </w:p>
        </w:tc>
      </w:tr>
      <w:tr w:rsidR="009F15E0" w:rsidRPr="00B138C4" w14:paraId="56AFC8C4" w14:textId="77777777" w:rsidTr="009F15E0">
        <w:trPr>
          <w:cantSplit/>
          <w:trHeight w:val="350"/>
        </w:trPr>
        <w:tc>
          <w:tcPr>
            <w:tcW w:w="709" w:type="dxa"/>
            <w:tcBorders>
              <w:top w:val="single" w:sz="4" w:space="0" w:color="auto"/>
              <w:bottom w:val="nil"/>
            </w:tcBorders>
          </w:tcPr>
          <w:p w14:paraId="20FFB443" w14:textId="77777777" w:rsidR="009F15E0" w:rsidRPr="008A1FC8" w:rsidRDefault="009F15E0" w:rsidP="009F15E0">
            <w:pPr>
              <w:pStyle w:val="Tabletext"/>
            </w:pPr>
            <w:r w:rsidRPr="008A1FC8">
              <w:t>4</w:t>
            </w:r>
          </w:p>
        </w:tc>
        <w:tc>
          <w:tcPr>
            <w:tcW w:w="3402" w:type="dxa"/>
            <w:gridSpan w:val="2"/>
            <w:tcBorders>
              <w:top w:val="single" w:sz="4" w:space="0" w:color="auto"/>
              <w:bottom w:val="nil"/>
            </w:tcBorders>
          </w:tcPr>
          <w:p w14:paraId="0CB33659" w14:textId="77777777" w:rsidR="009F15E0" w:rsidRPr="008A1FC8" w:rsidRDefault="009F15E0" w:rsidP="009F15E0">
            <w:pPr>
              <w:pStyle w:val="Tabletext"/>
            </w:pPr>
            <w:r w:rsidRPr="008A1FC8">
              <w:t>Each sub</w:t>
            </w:r>
            <w:r w:rsidR="00C338D8" w:rsidRPr="008A1FC8">
              <w:noBreakHyphen/>
            </w:r>
            <w:r w:rsidRPr="008A1FC8">
              <w:t xml:space="preserve">group of </w:t>
            </w:r>
            <w:r w:rsidR="002E177B" w:rsidRPr="008A1FC8">
              <w:t xml:space="preserve">each </w:t>
            </w:r>
            <w:r w:rsidRPr="008A1FC8">
              <w:t>group defined in item 3, as defined by:</w:t>
            </w:r>
          </w:p>
          <w:p w14:paraId="5238BD29" w14:textId="77777777" w:rsidR="009F15E0" w:rsidRPr="008A1FC8" w:rsidRDefault="009F15E0" w:rsidP="009F15E0">
            <w:pPr>
              <w:pStyle w:val="Tabletext"/>
              <w:ind w:left="425" w:hanging="425"/>
            </w:pPr>
            <w:r w:rsidRPr="008A1FC8">
              <w:t>(a)</w:t>
            </w:r>
            <w:r w:rsidRPr="008A1FC8">
              <w:tab/>
              <w:t xml:space="preserve">the date when they </w:t>
            </w:r>
            <w:r w:rsidR="004C7601" w:rsidRPr="008A1FC8">
              <w:t>left the herd</w:t>
            </w:r>
            <w:r w:rsidRPr="008A1FC8">
              <w:t>; and</w:t>
            </w:r>
          </w:p>
          <w:p w14:paraId="65BDBD03" w14:textId="77777777" w:rsidR="009F15E0" w:rsidRPr="008A1FC8" w:rsidRDefault="009F15E0" w:rsidP="009F15E0">
            <w:pPr>
              <w:pStyle w:val="Tabletext"/>
              <w:ind w:left="425" w:hanging="425"/>
            </w:pPr>
            <w:r w:rsidRPr="008A1FC8">
              <w:t>(b)</w:t>
            </w:r>
            <w:r w:rsidRPr="008A1FC8">
              <w:tab/>
              <w:t>whether they left:</w:t>
            </w:r>
          </w:p>
          <w:p w14:paraId="3B09043E" w14:textId="77777777" w:rsidR="009F15E0" w:rsidRPr="008A1FC8" w:rsidRDefault="009F15E0" w:rsidP="009F15E0">
            <w:pPr>
              <w:pStyle w:val="Tabletext"/>
              <w:tabs>
                <w:tab w:val="right" w:pos="737"/>
              </w:tabs>
              <w:ind w:left="851" w:hanging="851"/>
            </w:pPr>
            <w:r w:rsidRPr="008A1FC8">
              <w:tab/>
              <w:t>(i)</w:t>
            </w:r>
            <w:r w:rsidRPr="008A1FC8">
              <w:tab/>
              <w:t xml:space="preserve">for live export or slaughter; or </w:t>
            </w:r>
          </w:p>
          <w:p w14:paraId="63F4846E" w14:textId="77777777" w:rsidR="009F15E0" w:rsidRPr="008A1FC8" w:rsidRDefault="009F15E0" w:rsidP="009F15E0">
            <w:pPr>
              <w:pStyle w:val="Tabletext"/>
              <w:tabs>
                <w:tab w:val="right" w:pos="737"/>
              </w:tabs>
              <w:ind w:left="851" w:hanging="851"/>
            </w:pPr>
            <w:r w:rsidRPr="008A1FC8">
              <w:tab/>
              <w:t>(ii)</w:t>
            </w:r>
            <w:r w:rsidRPr="008A1FC8">
              <w:tab/>
              <w:t>for another destination</w:t>
            </w:r>
          </w:p>
          <w:p w14:paraId="36895BDC" w14:textId="77777777" w:rsidR="009F15E0" w:rsidRPr="008A1FC8" w:rsidRDefault="009F15E0" w:rsidP="009F15E0">
            <w:pPr>
              <w:pStyle w:val="Tabletext"/>
            </w:pPr>
          </w:p>
        </w:tc>
        <w:tc>
          <w:tcPr>
            <w:tcW w:w="3260" w:type="dxa"/>
            <w:tcBorders>
              <w:top w:val="single" w:sz="4" w:space="0" w:color="auto"/>
              <w:bottom w:val="nil"/>
            </w:tcBorders>
          </w:tcPr>
          <w:p w14:paraId="4E95CFFA" w14:textId="77777777" w:rsidR="009F15E0" w:rsidRPr="00B75689" w:rsidRDefault="009F15E0" w:rsidP="009F15E0">
            <w:pPr>
              <w:pStyle w:val="Tabletext"/>
              <w:ind w:left="425" w:hanging="425"/>
            </w:pPr>
            <w:r w:rsidRPr="00B75689">
              <w:t>(a)</w:t>
            </w:r>
            <w:r w:rsidRPr="00B75689">
              <w:tab/>
              <w:t xml:space="preserve">date when they </w:t>
            </w:r>
            <w:r w:rsidR="00EB42EA" w:rsidRPr="00B75689">
              <w:t>left the herd</w:t>
            </w:r>
          </w:p>
          <w:p w14:paraId="6458877B" w14:textId="77777777" w:rsidR="009F15E0" w:rsidRPr="00B75689" w:rsidRDefault="009F15E0" w:rsidP="009F15E0">
            <w:pPr>
              <w:pStyle w:val="Tabletext"/>
              <w:ind w:left="425" w:hanging="425"/>
            </w:pPr>
            <w:r w:rsidRPr="00B75689">
              <w:t>(b)</w:t>
            </w:r>
            <w:r w:rsidRPr="00B75689">
              <w:tab/>
              <w:t>whether they left for live export or slaughter, or for another destination</w:t>
            </w:r>
          </w:p>
          <w:p w14:paraId="33525579" w14:textId="77777777" w:rsidR="009F15E0" w:rsidRPr="00B75689" w:rsidRDefault="009F15E0" w:rsidP="009F15E0">
            <w:pPr>
              <w:pStyle w:val="Tabletext"/>
              <w:ind w:left="425" w:hanging="425"/>
            </w:pPr>
            <w:r w:rsidRPr="00B75689">
              <w:t>(c)</w:t>
            </w:r>
            <w:r w:rsidRPr="00B75689">
              <w:tab/>
              <w:t>number</w:t>
            </w:r>
            <w:r w:rsidR="008A1FC8" w:rsidRPr="00B75689">
              <w:t xml:space="preserve"> </w:t>
            </w:r>
            <w:r w:rsidRPr="00B75689">
              <w:t>on that date</w:t>
            </w:r>
          </w:p>
          <w:p w14:paraId="78A5C9FC" w14:textId="77777777" w:rsidR="009F15E0" w:rsidRPr="00B75689" w:rsidRDefault="009F15E0" w:rsidP="009F15E0">
            <w:pPr>
              <w:pStyle w:val="Tabletext"/>
              <w:ind w:left="425" w:hanging="425"/>
            </w:pPr>
            <w:r w:rsidRPr="00B75689">
              <w:t>(d)</w:t>
            </w:r>
            <w:r w:rsidRPr="00B75689">
              <w:tab/>
              <w:t>average liveweight on that date</w:t>
            </w:r>
          </w:p>
          <w:p w14:paraId="0B42D03F" w14:textId="77777777" w:rsidR="000A317A" w:rsidRPr="00B75689" w:rsidRDefault="000A317A" w:rsidP="00757EB4">
            <w:pPr>
              <w:pStyle w:val="Tabletext"/>
              <w:ind w:left="425" w:hanging="425"/>
            </w:pPr>
          </w:p>
        </w:tc>
        <w:tc>
          <w:tcPr>
            <w:tcW w:w="1417" w:type="dxa"/>
            <w:tcBorders>
              <w:top w:val="single" w:sz="4" w:space="0" w:color="auto"/>
              <w:bottom w:val="nil"/>
            </w:tcBorders>
          </w:tcPr>
          <w:p w14:paraId="1D3BB291" w14:textId="77777777" w:rsidR="009F15E0" w:rsidRPr="00B138C4" w:rsidRDefault="009F15E0" w:rsidP="009F15E0">
            <w:pPr>
              <w:pStyle w:val="Tabletext"/>
            </w:pPr>
            <w:r w:rsidRPr="00B138C4">
              <w:t>Date</w:t>
            </w:r>
          </w:p>
          <w:p w14:paraId="163E2890" w14:textId="77777777" w:rsidR="009F15E0" w:rsidRPr="00B138C4" w:rsidRDefault="009F15E0" w:rsidP="009F15E0">
            <w:pPr>
              <w:pStyle w:val="Tabletext"/>
            </w:pPr>
            <w:r w:rsidRPr="00B138C4">
              <w:t>Destination</w:t>
            </w:r>
            <w:r w:rsidRPr="00B138C4">
              <w:br/>
            </w:r>
            <w:r w:rsidRPr="00B138C4">
              <w:br/>
            </w:r>
          </w:p>
          <w:p w14:paraId="69A6E584" w14:textId="77777777" w:rsidR="009F15E0" w:rsidRPr="00B138C4" w:rsidRDefault="009F15E0" w:rsidP="009F15E0">
            <w:pPr>
              <w:pStyle w:val="Tabletext"/>
            </w:pPr>
            <w:r w:rsidRPr="00B138C4">
              <w:t>Head</w:t>
            </w:r>
          </w:p>
          <w:p w14:paraId="42BFE48D" w14:textId="77777777" w:rsidR="009F15E0" w:rsidRPr="00B138C4" w:rsidRDefault="009F15E0" w:rsidP="009F15E0">
            <w:pPr>
              <w:pStyle w:val="Tabletext"/>
            </w:pPr>
            <w:r w:rsidRPr="00B138C4">
              <w:t>Kilograms</w:t>
            </w:r>
          </w:p>
        </w:tc>
      </w:tr>
      <w:tr w:rsidR="009F15E0" w:rsidRPr="00B138C4" w14:paraId="59433D7C" w14:textId="77777777" w:rsidTr="009F15E0">
        <w:trPr>
          <w:cantSplit/>
          <w:trHeight w:val="437"/>
        </w:trPr>
        <w:tc>
          <w:tcPr>
            <w:tcW w:w="709" w:type="dxa"/>
            <w:tcBorders>
              <w:top w:val="single" w:sz="4" w:space="0" w:color="auto"/>
              <w:bottom w:val="single" w:sz="4" w:space="0" w:color="auto"/>
            </w:tcBorders>
          </w:tcPr>
          <w:p w14:paraId="30B5F559" w14:textId="77777777" w:rsidR="009F15E0" w:rsidRPr="008A1FC8" w:rsidRDefault="009F15E0" w:rsidP="009F15E0">
            <w:pPr>
              <w:pStyle w:val="Tabletext"/>
            </w:pPr>
            <w:r w:rsidRPr="008A1FC8">
              <w:t>5</w:t>
            </w:r>
          </w:p>
        </w:tc>
        <w:tc>
          <w:tcPr>
            <w:tcW w:w="3402" w:type="dxa"/>
            <w:gridSpan w:val="2"/>
            <w:tcBorders>
              <w:top w:val="single" w:sz="4" w:space="0" w:color="auto"/>
              <w:bottom w:val="single" w:sz="4" w:space="0" w:color="auto"/>
            </w:tcBorders>
          </w:tcPr>
          <w:p w14:paraId="4F92319F" w14:textId="77777777" w:rsidR="009F15E0" w:rsidRPr="008A1FC8" w:rsidRDefault="002E177B" w:rsidP="009F15E0">
            <w:pPr>
              <w:pStyle w:val="Tabletext"/>
            </w:pPr>
            <w:r w:rsidRPr="008A1FC8">
              <w:t>For each livestock class, e</w:t>
            </w:r>
            <w:r w:rsidR="009F15E0" w:rsidRPr="008A1FC8">
              <w:t xml:space="preserve">ach group of animals that entered the herd during the year, as defined by: </w:t>
            </w:r>
          </w:p>
          <w:p w14:paraId="368675E2" w14:textId="77777777" w:rsidR="009F15E0" w:rsidRPr="008A1FC8" w:rsidRDefault="009F15E0" w:rsidP="009F15E0">
            <w:pPr>
              <w:pStyle w:val="Tabletext"/>
              <w:ind w:left="425" w:hanging="425"/>
            </w:pPr>
            <w:r w:rsidRPr="008A1FC8">
              <w:t>(</w:t>
            </w:r>
            <w:r w:rsidR="005C0D65" w:rsidRPr="008A1FC8">
              <w:t>a</w:t>
            </w:r>
            <w:r w:rsidRPr="008A1FC8">
              <w:t>)</w:t>
            </w:r>
            <w:r w:rsidRPr="008A1FC8">
              <w:tab/>
              <w:t>whether they entered:</w:t>
            </w:r>
          </w:p>
          <w:p w14:paraId="5F651FC3" w14:textId="77777777" w:rsidR="009F15E0" w:rsidRPr="008A1FC8" w:rsidRDefault="009F15E0" w:rsidP="009F15E0">
            <w:pPr>
              <w:pStyle w:val="Tabletext"/>
              <w:tabs>
                <w:tab w:val="right" w:pos="737"/>
              </w:tabs>
              <w:ind w:left="851" w:hanging="851"/>
            </w:pPr>
            <w:r w:rsidRPr="008A1FC8">
              <w:tab/>
              <w:t xml:space="preserve">(i) </w:t>
            </w:r>
            <w:r w:rsidRPr="008A1FC8">
              <w:tab/>
              <w:t>by birth; or</w:t>
            </w:r>
          </w:p>
          <w:p w14:paraId="458072AD" w14:textId="77777777" w:rsidR="009F15E0" w:rsidRPr="008A1FC8" w:rsidRDefault="009F15E0" w:rsidP="009F15E0">
            <w:pPr>
              <w:pStyle w:val="Tabletext"/>
              <w:tabs>
                <w:tab w:val="right" w:pos="737"/>
              </w:tabs>
              <w:ind w:left="851" w:hanging="851"/>
            </w:pPr>
            <w:r w:rsidRPr="008A1FC8">
              <w:tab/>
              <w:t xml:space="preserve">(ii) </w:t>
            </w:r>
            <w:r w:rsidRPr="008A1FC8">
              <w:tab/>
              <w:t>by purchase or other management action</w:t>
            </w:r>
            <w:r w:rsidR="008E31B7" w:rsidRPr="008A1FC8">
              <w:t>; and</w:t>
            </w:r>
          </w:p>
          <w:p w14:paraId="6BBC33D5" w14:textId="77777777" w:rsidR="005C0D65" w:rsidRPr="008A1FC8" w:rsidRDefault="005C0D65" w:rsidP="008E31B7">
            <w:pPr>
              <w:pStyle w:val="Tabletext"/>
              <w:ind w:left="425" w:hanging="425"/>
            </w:pPr>
            <w:r w:rsidRPr="008A1FC8">
              <w:t>(b)</w:t>
            </w:r>
            <w:r w:rsidRPr="008A1FC8">
              <w:tab/>
              <w:t>the date when they entered the herd (this is</w:t>
            </w:r>
            <w:r w:rsidR="006D6F51" w:rsidRPr="008A1FC8">
              <w:t>,</w:t>
            </w:r>
            <w:r w:rsidRPr="008A1FC8">
              <w:t xml:space="preserve"> the date of branding for animals that entered by birth)</w:t>
            </w:r>
          </w:p>
          <w:p w14:paraId="2E1D5C2E" w14:textId="77777777" w:rsidR="009F15E0" w:rsidRPr="008A1FC8" w:rsidRDefault="009F15E0" w:rsidP="009F15E0">
            <w:pPr>
              <w:pStyle w:val="Tabletext"/>
              <w:tabs>
                <w:tab w:val="left" w:pos="340"/>
              </w:tabs>
              <w:ind w:left="851" w:hanging="851"/>
            </w:pPr>
          </w:p>
        </w:tc>
        <w:tc>
          <w:tcPr>
            <w:tcW w:w="3260" w:type="dxa"/>
            <w:tcBorders>
              <w:top w:val="single" w:sz="4" w:space="0" w:color="auto"/>
              <w:bottom w:val="single" w:sz="4" w:space="0" w:color="auto"/>
            </w:tcBorders>
          </w:tcPr>
          <w:p w14:paraId="37661678" w14:textId="77777777" w:rsidR="00014132" w:rsidRDefault="009F15E0" w:rsidP="00014132">
            <w:pPr>
              <w:pStyle w:val="Tabletext"/>
              <w:ind w:left="425" w:hanging="425"/>
            </w:pPr>
            <w:r w:rsidRPr="00B138C4">
              <w:t>(a)</w:t>
            </w:r>
            <w:r w:rsidRPr="00B138C4">
              <w:tab/>
              <w:t>date when they entered the herd</w:t>
            </w:r>
          </w:p>
          <w:p w14:paraId="6278D78D" w14:textId="77777777" w:rsidR="009F15E0" w:rsidRPr="00B138C4" w:rsidRDefault="00DC0A1F" w:rsidP="00014132">
            <w:pPr>
              <w:pStyle w:val="Tabletext"/>
              <w:ind w:left="425" w:hanging="425"/>
            </w:pPr>
            <w:r>
              <w:t xml:space="preserve"> </w:t>
            </w:r>
            <w:r w:rsidR="009F15E0" w:rsidRPr="00B138C4">
              <w:t>(b)</w:t>
            </w:r>
            <w:r w:rsidR="009F15E0" w:rsidRPr="00B138C4">
              <w:tab/>
              <w:t>whether they entered by birth, or by purchase or other management action</w:t>
            </w:r>
          </w:p>
          <w:p w14:paraId="50F233E2" w14:textId="77777777" w:rsidR="009F15E0" w:rsidRPr="00B138C4" w:rsidRDefault="009F15E0" w:rsidP="009F15E0">
            <w:pPr>
              <w:pStyle w:val="Tabletext"/>
              <w:ind w:left="425" w:hanging="425"/>
            </w:pPr>
            <w:r w:rsidRPr="00B138C4">
              <w:t>(c)</w:t>
            </w:r>
            <w:r w:rsidRPr="00B138C4">
              <w:tab/>
              <w:t>number on that date</w:t>
            </w:r>
          </w:p>
          <w:p w14:paraId="76BD4202" w14:textId="77777777" w:rsidR="009F15E0" w:rsidRPr="00B138C4" w:rsidRDefault="009F15E0" w:rsidP="009F15E0">
            <w:pPr>
              <w:pStyle w:val="Tabletext"/>
              <w:ind w:left="425" w:hanging="425"/>
            </w:pPr>
            <w:r w:rsidRPr="00B138C4">
              <w:t>(d)</w:t>
            </w:r>
            <w:r w:rsidRPr="00B138C4">
              <w:tab/>
              <w:t>average liveweight</w:t>
            </w:r>
            <w:r w:rsidR="008A1FC8">
              <w:t xml:space="preserve"> </w:t>
            </w:r>
            <w:r w:rsidRPr="00B138C4">
              <w:t>on that date</w:t>
            </w:r>
          </w:p>
        </w:tc>
        <w:tc>
          <w:tcPr>
            <w:tcW w:w="1417" w:type="dxa"/>
            <w:tcBorders>
              <w:top w:val="single" w:sz="4" w:space="0" w:color="auto"/>
              <w:bottom w:val="single" w:sz="4" w:space="0" w:color="auto"/>
            </w:tcBorders>
          </w:tcPr>
          <w:p w14:paraId="559A4FEB" w14:textId="77777777" w:rsidR="009F15E0" w:rsidRPr="00B138C4" w:rsidRDefault="009F15E0" w:rsidP="009F15E0">
            <w:pPr>
              <w:pStyle w:val="Tabletext"/>
            </w:pPr>
            <w:r w:rsidRPr="00B138C4">
              <w:t>Date</w:t>
            </w:r>
          </w:p>
          <w:p w14:paraId="1BF8DAB1" w14:textId="77777777" w:rsidR="009F15E0" w:rsidRPr="00B138C4" w:rsidRDefault="009F15E0" w:rsidP="009F15E0">
            <w:pPr>
              <w:pStyle w:val="Tabletext"/>
            </w:pPr>
            <w:r w:rsidRPr="00B138C4">
              <w:t>Origin</w:t>
            </w:r>
            <w:r w:rsidRPr="00B138C4">
              <w:br/>
            </w:r>
            <w:r w:rsidRPr="00B138C4">
              <w:br/>
            </w:r>
          </w:p>
          <w:p w14:paraId="34EA767E" w14:textId="77777777" w:rsidR="009F15E0" w:rsidRPr="00B138C4" w:rsidRDefault="009F15E0" w:rsidP="009F15E0">
            <w:pPr>
              <w:pStyle w:val="Tabletext"/>
            </w:pPr>
            <w:r w:rsidRPr="00B138C4">
              <w:t>Head</w:t>
            </w:r>
          </w:p>
          <w:p w14:paraId="21D09079" w14:textId="77777777" w:rsidR="009F15E0" w:rsidRPr="00B138C4" w:rsidRDefault="009F15E0" w:rsidP="009F15E0">
            <w:pPr>
              <w:pStyle w:val="Tabletext"/>
            </w:pPr>
            <w:r w:rsidRPr="00B138C4">
              <w:t>Kilograms</w:t>
            </w:r>
          </w:p>
        </w:tc>
      </w:tr>
      <w:tr w:rsidR="009F15E0" w:rsidRPr="00B138C4" w14:paraId="7EC1E87B" w14:textId="77777777" w:rsidTr="009F15E0">
        <w:trPr>
          <w:cantSplit/>
          <w:trHeight w:val="350"/>
        </w:trPr>
        <w:tc>
          <w:tcPr>
            <w:tcW w:w="709" w:type="dxa"/>
            <w:tcBorders>
              <w:top w:val="single" w:sz="4" w:space="0" w:color="auto"/>
              <w:bottom w:val="single" w:sz="4" w:space="0" w:color="auto"/>
            </w:tcBorders>
          </w:tcPr>
          <w:p w14:paraId="039A9B7D" w14:textId="77777777" w:rsidR="009F15E0" w:rsidRPr="00B138C4" w:rsidRDefault="009F15E0" w:rsidP="009F15E0">
            <w:pPr>
              <w:pStyle w:val="Tabletext"/>
            </w:pPr>
            <w:r w:rsidRPr="00B138C4">
              <w:t>6</w:t>
            </w:r>
          </w:p>
        </w:tc>
        <w:tc>
          <w:tcPr>
            <w:tcW w:w="3402" w:type="dxa"/>
            <w:gridSpan w:val="2"/>
            <w:tcBorders>
              <w:top w:val="single" w:sz="4" w:space="0" w:color="auto"/>
              <w:bottom w:val="single" w:sz="4" w:space="0" w:color="auto"/>
            </w:tcBorders>
          </w:tcPr>
          <w:p w14:paraId="5D4BAAED" w14:textId="77777777" w:rsidR="009F15E0" w:rsidRPr="00B138C4" w:rsidRDefault="009F15E0" w:rsidP="009F15E0">
            <w:pPr>
              <w:pStyle w:val="Tabletext"/>
            </w:pPr>
            <w:r w:rsidRPr="00B138C4">
              <w:t>For each group defined in item 5—the sub</w:t>
            </w:r>
            <w:r w:rsidR="00C338D8" w:rsidRPr="00B138C4">
              <w:noBreakHyphen/>
            </w:r>
            <w:r w:rsidRPr="00B138C4">
              <w:t xml:space="preserve">group of those that did not </w:t>
            </w:r>
            <w:r w:rsidR="004C7601" w:rsidRPr="00B138C4">
              <w:t>leave the herd</w:t>
            </w:r>
            <w:r w:rsidRPr="00B138C4">
              <w:t xml:space="preserve"> during the year</w:t>
            </w:r>
          </w:p>
          <w:p w14:paraId="3AE93FDB" w14:textId="77777777" w:rsidR="009F15E0" w:rsidRPr="00B138C4" w:rsidRDefault="009F15E0" w:rsidP="009F15E0">
            <w:pPr>
              <w:pStyle w:val="Tabletext"/>
              <w:tabs>
                <w:tab w:val="left" w:pos="567"/>
              </w:tabs>
              <w:ind w:left="1276" w:hanging="1276"/>
            </w:pPr>
          </w:p>
        </w:tc>
        <w:tc>
          <w:tcPr>
            <w:tcW w:w="3260" w:type="dxa"/>
            <w:tcBorders>
              <w:top w:val="single" w:sz="4" w:space="0" w:color="auto"/>
              <w:bottom w:val="single" w:sz="4" w:space="0" w:color="auto"/>
            </w:tcBorders>
          </w:tcPr>
          <w:p w14:paraId="214394C5" w14:textId="77777777" w:rsidR="009F15E0" w:rsidRPr="00B138C4" w:rsidRDefault="009F15E0" w:rsidP="009F15E0">
            <w:pPr>
              <w:pStyle w:val="Tabletext"/>
              <w:ind w:left="425" w:hanging="425"/>
            </w:pPr>
            <w:r w:rsidRPr="00B138C4">
              <w:t>(a)</w:t>
            </w:r>
            <w:r w:rsidRPr="00B138C4">
              <w:tab/>
              <w:t>number at the end of the year</w:t>
            </w:r>
          </w:p>
          <w:p w14:paraId="38AF05BC" w14:textId="77777777" w:rsidR="009F15E0" w:rsidRPr="00B138C4" w:rsidRDefault="009F15E0" w:rsidP="009F15E0">
            <w:pPr>
              <w:pStyle w:val="Tabletext"/>
              <w:ind w:left="425" w:hanging="425"/>
            </w:pPr>
            <w:r w:rsidRPr="00B138C4">
              <w:t>(b)</w:t>
            </w:r>
            <w:r w:rsidRPr="00B138C4">
              <w:tab/>
              <w:t>average liveweight at the end of the year</w:t>
            </w:r>
          </w:p>
          <w:p w14:paraId="2D7BD1AB" w14:textId="77777777" w:rsidR="009F15E0" w:rsidRPr="00B138C4" w:rsidRDefault="009F15E0" w:rsidP="009F15E0">
            <w:pPr>
              <w:pStyle w:val="Tabletext"/>
              <w:ind w:left="425" w:hanging="425"/>
            </w:pPr>
          </w:p>
        </w:tc>
        <w:tc>
          <w:tcPr>
            <w:tcW w:w="1417" w:type="dxa"/>
            <w:tcBorders>
              <w:top w:val="single" w:sz="4" w:space="0" w:color="auto"/>
              <w:bottom w:val="single" w:sz="4" w:space="0" w:color="auto"/>
            </w:tcBorders>
          </w:tcPr>
          <w:p w14:paraId="022754D5" w14:textId="77777777" w:rsidR="009F15E0" w:rsidRPr="00B138C4" w:rsidRDefault="009F15E0" w:rsidP="009F15E0">
            <w:pPr>
              <w:pStyle w:val="Tabletext"/>
            </w:pPr>
            <w:r w:rsidRPr="00B138C4">
              <w:t>Head</w:t>
            </w:r>
          </w:p>
          <w:p w14:paraId="39EE1C56" w14:textId="77777777" w:rsidR="009F15E0" w:rsidRPr="00B138C4" w:rsidRDefault="009F15E0" w:rsidP="009F15E0">
            <w:pPr>
              <w:pStyle w:val="Tabletext"/>
            </w:pPr>
            <w:r w:rsidRPr="00B138C4">
              <w:t>Kilograms</w:t>
            </w:r>
          </w:p>
        </w:tc>
      </w:tr>
      <w:tr w:rsidR="009F15E0" w:rsidRPr="00B138C4" w14:paraId="2C0D5E6C" w14:textId="77777777" w:rsidTr="009F15E0">
        <w:trPr>
          <w:cantSplit/>
          <w:trHeight w:val="350"/>
        </w:trPr>
        <w:tc>
          <w:tcPr>
            <w:tcW w:w="709" w:type="dxa"/>
            <w:tcBorders>
              <w:top w:val="single" w:sz="4" w:space="0" w:color="auto"/>
              <w:bottom w:val="single" w:sz="12" w:space="0" w:color="auto"/>
            </w:tcBorders>
          </w:tcPr>
          <w:p w14:paraId="7000B456" w14:textId="77777777" w:rsidR="009F15E0" w:rsidRPr="00B138C4" w:rsidRDefault="009F15E0" w:rsidP="009F15E0">
            <w:pPr>
              <w:pStyle w:val="Tabletext"/>
            </w:pPr>
            <w:r w:rsidRPr="00B138C4">
              <w:lastRenderedPageBreak/>
              <w:t>7</w:t>
            </w:r>
          </w:p>
        </w:tc>
        <w:tc>
          <w:tcPr>
            <w:tcW w:w="3402" w:type="dxa"/>
            <w:gridSpan w:val="2"/>
            <w:tcBorders>
              <w:top w:val="single" w:sz="4" w:space="0" w:color="auto"/>
              <w:bottom w:val="single" w:sz="12" w:space="0" w:color="auto"/>
            </w:tcBorders>
          </w:tcPr>
          <w:p w14:paraId="6613389B" w14:textId="77777777" w:rsidR="009F15E0" w:rsidRPr="00B138C4" w:rsidRDefault="009F15E0" w:rsidP="009F15E0">
            <w:pPr>
              <w:pStyle w:val="Tabletext"/>
            </w:pPr>
            <w:r w:rsidRPr="00B138C4">
              <w:t>For each group defined in item 5— each sub</w:t>
            </w:r>
            <w:r w:rsidR="00C338D8" w:rsidRPr="00B138C4">
              <w:noBreakHyphen/>
            </w:r>
            <w:r w:rsidRPr="00B138C4">
              <w:t xml:space="preserve">group of those that </w:t>
            </w:r>
            <w:r w:rsidR="00EB42EA" w:rsidRPr="00B138C4">
              <w:t xml:space="preserve">left the herd </w:t>
            </w:r>
            <w:r w:rsidRPr="00B138C4">
              <w:t>during the year, as defined by:</w:t>
            </w:r>
          </w:p>
          <w:p w14:paraId="0A6F8BC5" w14:textId="77777777" w:rsidR="009F15E0" w:rsidRPr="00B138C4" w:rsidRDefault="009F15E0" w:rsidP="009F15E0">
            <w:pPr>
              <w:pStyle w:val="Tabletext"/>
              <w:ind w:left="425" w:hanging="425"/>
            </w:pPr>
            <w:r w:rsidRPr="00B138C4">
              <w:t>(a)</w:t>
            </w:r>
            <w:r w:rsidRPr="00B138C4">
              <w:tab/>
              <w:t>the date when they left; and</w:t>
            </w:r>
          </w:p>
          <w:p w14:paraId="7451C8E6" w14:textId="77777777" w:rsidR="009F15E0" w:rsidRPr="00B138C4" w:rsidRDefault="009F15E0" w:rsidP="009F15E0">
            <w:pPr>
              <w:pStyle w:val="Tabletext"/>
              <w:ind w:left="425" w:hanging="425"/>
            </w:pPr>
            <w:r w:rsidRPr="00B138C4">
              <w:t>(b)</w:t>
            </w:r>
            <w:r w:rsidRPr="00B138C4">
              <w:tab/>
              <w:t>whether they left:</w:t>
            </w:r>
          </w:p>
          <w:p w14:paraId="00951293" w14:textId="77777777" w:rsidR="009F15E0" w:rsidRPr="00B138C4" w:rsidRDefault="009F15E0" w:rsidP="009F15E0">
            <w:pPr>
              <w:pStyle w:val="Tabletext"/>
              <w:tabs>
                <w:tab w:val="right" w:pos="737"/>
              </w:tabs>
              <w:ind w:left="851" w:hanging="851"/>
            </w:pPr>
            <w:r w:rsidRPr="00B138C4">
              <w:tab/>
              <w:t xml:space="preserve">(i) </w:t>
            </w:r>
            <w:r w:rsidRPr="00B138C4">
              <w:tab/>
              <w:t>for live export or slaughter; or</w:t>
            </w:r>
          </w:p>
          <w:p w14:paraId="71F63DFB" w14:textId="77777777" w:rsidR="009F15E0" w:rsidRPr="00B138C4" w:rsidRDefault="009F15E0" w:rsidP="009F15E0">
            <w:pPr>
              <w:pStyle w:val="Tabletext"/>
              <w:tabs>
                <w:tab w:val="right" w:pos="737"/>
              </w:tabs>
              <w:ind w:left="851" w:hanging="851"/>
            </w:pPr>
            <w:r w:rsidRPr="00B138C4">
              <w:tab/>
              <w:t xml:space="preserve">(ii) </w:t>
            </w:r>
            <w:r w:rsidRPr="00B138C4">
              <w:tab/>
              <w:t xml:space="preserve">for another destination </w:t>
            </w:r>
          </w:p>
          <w:p w14:paraId="0EB4C950" w14:textId="77777777" w:rsidR="009F15E0" w:rsidRPr="00B138C4" w:rsidRDefault="009F15E0" w:rsidP="009F15E0">
            <w:pPr>
              <w:pStyle w:val="Tabletext"/>
              <w:tabs>
                <w:tab w:val="left" w:pos="340"/>
              </w:tabs>
              <w:ind w:left="851" w:hanging="851"/>
            </w:pPr>
          </w:p>
        </w:tc>
        <w:tc>
          <w:tcPr>
            <w:tcW w:w="3260" w:type="dxa"/>
            <w:tcBorders>
              <w:top w:val="single" w:sz="4" w:space="0" w:color="auto"/>
              <w:bottom w:val="single" w:sz="12" w:space="0" w:color="auto"/>
            </w:tcBorders>
          </w:tcPr>
          <w:p w14:paraId="489BBC22" w14:textId="77777777" w:rsidR="009F15E0" w:rsidRPr="00B138C4" w:rsidRDefault="009F15E0" w:rsidP="009F15E0">
            <w:pPr>
              <w:pStyle w:val="Tabletext"/>
              <w:ind w:left="425" w:hanging="425"/>
            </w:pPr>
            <w:r w:rsidRPr="00B138C4">
              <w:t>(a)</w:t>
            </w:r>
            <w:r w:rsidRPr="00B138C4">
              <w:tab/>
              <w:t xml:space="preserve">date when they </w:t>
            </w:r>
            <w:r w:rsidR="00EB42EA" w:rsidRPr="00B138C4">
              <w:t>left the herd</w:t>
            </w:r>
          </w:p>
          <w:p w14:paraId="198D356D" w14:textId="77777777" w:rsidR="009F15E0" w:rsidRPr="00B138C4" w:rsidRDefault="009F15E0" w:rsidP="009F15E0">
            <w:pPr>
              <w:pStyle w:val="Tabletext"/>
              <w:ind w:left="425" w:hanging="425"/>
            </w:pPr>
            <w:r w:rsidRPr="00B138C4">
              <w:t>(b)</w:t>
            </w:r>
            <w:r w:rsidRPr="00B138C4">
              <w:tab/>
              <w:t>whether they left for live export or slaughter, or for another destination</w:t>
            </w:r>
          </w:p>
          <w:p w14:paraId="59475E9A" w14:textId="77777777" w:rsidR="009F15E0" w:rsidRPr="00B138C4" w:rsidRDefault="009F15E0" w:rsidP="009F15E0">
            <w:pPr>
              <w:pStyle w:val="Tabletext"/>
              <w:ind w:left="425" w:hanging="425"/>
            </w:pPr>
            <w:r w:rsidRPr="00B138C4">
              <w:t>(c)</w:t>
            </w:r>
            <w:r w:rsidRPr="00B138C4">
              <w:tab/>
              <w:t>number on that date</w:t>
            </w:r>
          </w:p>
          <w:p w14:paraId="22052924" w14:textId="77777777" w:rsidR="009F15E0" w:rsidRPr="00B138C4" w:rsidRDefault="009F15E0" w:rsidP="008A1FC8">
            <w:pPr>
              <w:pStyle w:val="Tabletext"/>
              <w:ind w:left="425" w:hanging="425"/>
            </w:pPr>
            <w:r w:rsidRPr="00B138C4">
              <w:t>(d)</w:t>
            </w:r>
            <w:r w:rsidRPr="00B138C4">
              <w:tab/>
              <w:t>average liveweight on that date</w:t>
            </w:r>
          </w:p>
        </w:tc>
        <w:tc>
          <w:tcPr>
            <w:tcW w:w="1417" w:type="dxa"/>
            <w:tcBorders>
              <w:top w:val="single" w:sz="4" w:space="0" w:color="auto"/>
              <w:bottom w:val="single" w:sz="12" w:space="0" w:color="auto"/>
            </w:tcBorders>
          </w:tcPr>
          <w:p w14:paraId="3B0812D6" w14:textId="77777777" w:rsidR="009F15E0" w:rsidRPr="00B138C4" w:rsidRDefault="009F15E0" w:rsidP="009F15E0">
            <w:pPr>
              <w:pStyle w:val="Tabletext"/>
            </w:pPr>
            <w:r w:rsidRPr="00B138C4">
              <w:t>Date</w:t>
            </w:r>
          </w:p>
          <w:p w14:paraId="3FC75D88" w14:textId="77777777" w:rsidR="009F15E0" w:rsidRPr="00B138C4" w:rsidRDefault="009F15E0" w:rsidP="009F15E0">
            <w:pPr>
              <w:pStyle w:val="Tabletext"/>
            </w:pPr>
            <w:r w:rsidRPr="00B138C4">
              <w:t>Destination</w:t>
            </w:r>
            <w:r w:rsidRPr="00B138C4">
              <w:br/>
            </w:r>
            <w:r w:rsidRPr="00B138C4">
              <w:br/>
            </w:r>
          </w:p>
          <w:p w14:paraId="5E5BF050" w14:textId="77777777" w:rsidR="009F15E0" w:rsidRPr="00B138C4" w:rsidRDefault="009F15E0" w:rsidP="009F15E0">
            <w:pPr>
              <w:pStyle w:val="Tabletext"/>
            </w:pPr>
            <w:r w:rsidRPr="00B138C4">
              <w:t>Head</w:t>
            </w:r>
          </w:p>
          <w:p w14:paraId="081F18F7" w14:textId="77777777" w:rsidR="009F15E0" w:rsidRPr="00B138C4" w:rsidRDefault="009F15E0" w:rsidP="009F15E0">
            <w:pPr>
              <w:pStyle w:val="Tabletext"/>
            </w:pPr>
            <w:r w:rsidRPr="00B138C4">
              <w:t>Kilograms</w:t>
            </w:r>
          </w:p>
        </w:tc>
      </w:tr>
    </w:tbl>
    <w:p w14:paraId="17EC32E6" w14:textId="77777777" w:rsidR="00511595" w:rsidRPr="00B138C4" w:rsidRDefault="00511595" w:rsidP="00511595">
      <w:pPr>
        <w:pStyle w:val="h2SchPart"/>
      </w:pPr>
    </w:p>
    <w:p w14:paraId="5B6956FA" w14:textId="77777777" w:rsidR="009F15E0" w:rsidRPr="00B138C4" w:rsidRDefault="0010015D" w:rsidP="009F15E0">
      <w:pPr>
        <w:pStyle w:val="h1Sch"/>
      </w:pPr>
      <w:bookmarkStart w:id="174" w:name="_Toc426038051"/>
      <w:bookmarkStart w:id="175" w:name="_Toc485212012"/>
      <w:r>
        <w:lastRenderedPageBreak/>
        <w:t>Schedule 2</w:t>
      </w:r>
      <w:r w:rsidR="009F15E0" w:rsidRPr="00B138C4">
        <w:t>—Inputs into Herd Management Calculator—</w:t>
      </w:r>
      <w:r w:rsidR="00BD7AFA" w:rsidRPr="00B138C4">
        <w:t>dietary change</w:t>
      </w:r>
      <w:bookmarkEnd w:id="174"/>
      <w:bookmarkEnd w:id="175"/>
    </w:p>
    <w:p w14:paraId="733AA236" w14:textId="77777777" w:rsidR="009F15E0" w:rsidRPr="00B138C4" w:rsidRDefault="009F15E0" w:rsidP="00BD7AFA">
      <w:pPr>
        <w:pStyle w:val="tMain"/>
      </w:pPr>
      <w:r w:rsidRPr="00B138C4">
        <w:tab/>
      </w:r>
      <w:r w:rsidRPr="00B138C4">
        <w:tab/>
      </w:r>
      <w:r w:rsidR="00BD7AFA" w:rsidRPr="00B138C4">
        <w:t>For paragraph </w:t>
      </w:r>
      <w:r w:rsidR="001C572E">
        <w:t>23(b)</w:t>
      </w:r>
      <w:r w:rsidR="00BD7AFA" w:rsidRPr="00B138C4">
        <w:t>, f</w:t>
      </w:r>
      <w:r w:rsidRPr="00B138C4">
        <w:t>or a year in the crediting period during which one of the project activities is a dietary change for the herd, or for a livestock class of the herd, the following table specifies inputs to the Herd Management Calculator.</w:t>
      </w:r>
    </w:p>
    <w:p w14:paraId="2B6DF950" w14:textId="77777777" w:rsidR="009F15E0" w:rsidRPr="00B138C4" w:rsidRDefault="009F15E0" w:rsidP="009F15E0">
      <w:pPr>
        <w:pStyle w:val="nMain"/>
        <w:spacing w:after="120"/>
      </w:pPr>
      <w:r w:rsidRPr="00B138C4">
        <w:t>Note:</w:t>
      </w:r>
      <w:r w:rsidRPr="00B138C4">
        <w:tab/>
        <w:t>The inputs are used, with seasonal values of pastures of the region published in the National Inventory Report, to calculate the weighted average of diets for each livestock class.</w:t>
      </w:r>
    </w:p>
    <w:tbl>
      <w:tblPr>
        <w:tblStyle w:val="TableGrid"/>
        <w:tblW w:w="8278" w:type="dxa"/>
        <w:tblInd w:w="964" w:type="dxa"/>
        <w:tblBorders>
          <w:left w:val="none" w:sz="0" w:space="0" w:color="auto"/>
          <w:right w:val="none" w:sz="0" w:space="0" w:color="auto"/>
          <w:insideV w:val="none" w:sz="0" w:space="0" w:color="auto"/>
        </w:tblBorders>
        <w:tblLook w:val="04A0" w:firstRow="1" w:lastRow="0" w:firstColumn="1" w:lastColumn="0" w:noHBand="0" w:noVBand="1"/>
      </w:tblPr>
      <w:tblGrid>
        <w:gridCol w:w="987"/>
        <w:gridCol w:w="5059"/>
        <w:gridCol w:w="2232"/>
      </w:tblGrid>
      <w:tr w:rsidR="009F15E0" w:rsidRPr="00B138C4" w14:paraId="33E1B1B2" w14:textId="77777777" w:rsidTr="009F15E0">
        <w:trPr>
          <w:tblHeader/>
        </w:trPr>
        <w:tc>
          <w:tcPr>
            <w:tcW w:w="8278" w:type="dxa"/>
            <w:gridSpan w:val="3"/>
            <w:tcBorders>
              <w:top w:val="single" w:sz="18" w:space="0" w:color="auto"/>
            </w:tcBorders>
          </w:tcPr>
          <w:p w14:paraId="35024A1B" w14:textId="77777777" w:rsidR="009F15E0" w:rsidRPr="00B138C4" w:rsidRDefault="009F15E0" w:rsidP="009F15E0">
            <w:pPr>
              <w:pStyle w:val="TableHeading"/>
            </w:pPr>
            <w:r w:rsidRPr="00B138C4">
              <w:t>Dietary change contingent inputs required by the Herd Management Calculator</w:t>
            </w:r>
          </w:p>
        </w:tc>
      </w:tr>
      <w:tr w:rsidR="009F15E0" w:rsidRPr="00B138C4" w14:paraId="14A5981C" w14:textId="77777777" w:rsidTr="009F15E0">
        <w:trPr>
          <w:tblHeader/>
        </w:trPr>
        <w:tc>
          <w:tcPr>
            <w:tcW w:w="987" w:type="dxa"/>
            <w:tcBorders>
              <w:bottom w:val="single" w:sz="18" w:space="0" w:color="auto"/>
            </w:tcBorders>
          </w:tcPr>
          <w:p w14:paraId="746AC2DE" w14:textId="77777777" w:rsidR="009F15E0" w:rsidRPr="00B138C4" w:rsidRDefault="009F15E0" w:rsidP="009F15E0">
            <w:pPr>
              <w:pStyle w:val="TableHeading"/>
              <w:rPr>
                <w:b w:val="0"/>
              </w:rPr>
            </w:pPr>
            <w:r w:rsidRPr="00B138C4">
              <w:t>Item</w:t>
            </w:r>
          </w:p>
        </w:tc>
        <w:tc>
          <w:tcPr>
            <w:tcW w:w="5059" w:type="dxa"/>
            <w:tcBorders>
              <w:bottom w:val="single" w:sz="18" w:space="0" w:color="auto"/>
            </w:tcBorders>
          </w:tcPr>
          <w:p w14:paraId="3EC2AA3F" w14:textId="77777777" w:rsidR="009F15E0" w:rsidRPr="00B138C4" w:rsidRDefault="009F15E0" w:rsidP="009F15E0">
            <w:pPr>
              <w:pStyle w:val="TableHeading"/>
            </w:pPr>
            <w:r w:rsidRPr="00B138C4">
              <w:t>Input</w:t>
            </w:r>
          </w:p>
        </w:tc>
        <w:tc>
          <w:tcPr>
            <w:tcW w:w="2232" w:type="dxa"/>
            <w:tcBorders>
              <w:bottom w:val="single" w:sz="18" w:space="0" w:color="auto"/>
            </w:tcBorders>
          </w:tcPr>
          <w:p w14:paraId="4D0A066E" w14:textId="77777777" w:rsidR="009F15E0" w:rsidRPr="00B138C4" w:rsidRDefault="009F15E0" w:rsidP="009F15E0">
            <w:pPr>
              <w:pStyle w:val="TableHeading"/>
            </w:pPr>
            <w:r w:rsidRPr="00B138C4">
              <w:t>Unit</w:t>
            </w:r>
          </w:p>
        </w:tc>
      </w:tr>
      <w:tr w:rsidR="009F15E0" w:rsidRPr="00B138C4" w14:paraId="4DF8596F" w14:textId="77777777" w:rsidTr="009F15E0">
        <w:tc>
          <w:tcPr>
            <w:tcW w:w="987" w:type="dxa"/>
            <w:tcBorders>
              <w:top w:val="single" w:sz="18" w:space="0" w:color="auto"/>
              <w:bottom w:val="single" w:sz="4" w:space="0" w:color="auto"/>
            </w:tcBorders>
          </w:tcPr>
          <w:p w14:paraId="2FC91E19" w14:textId="77777777" w:rsidR="009F15E0" w:rsidRPr="00B138C4" w:rsidRDefault="009F15E0" w:rsidP="009F15E0">
            <w:pPr>
              <w:pStyle w:val="Tabletext"/>
              <w:keepLines/>
            </w:pPr>
            <w:r w:rsidRPr="00B138C4">
              <w:t>1</w:t>
            </w:r>
          </w:p>
        </w:tc>
        <w:tc>
          <w:tcPr>
            <w:tcW w:w="5059" w:type="dxa"/>
            <w:tcBorders>
              <w:top w:val="single" w:sz="18" w:space="0" w:color="auto"/>
              <w:bottom w:val="single" w:sz="4" w:space="0" w:color="auto"/>
            </w:tcBorders>
          </w:tcPr>
          <w:p w14:paraId="51947A33" w14:textId="77777777" w:rsidR="009F15E0" w:rsidRPr="00B138C4" w:rsidRDefault="009F15E0" w:rsidP="009F15E0">
            <w:pPr>
              <w:pStyle w:val="Tabletext"/>
              <w:keepLines/>
            </w:pPr>
            <w:r w:rsidRPr="00B138C4">
              <w:t>Average dry matter digestibility of diet in each season in the year without dietary change</w:t>
            </w:r>
          </w:p>
          <w:p w14:paraId="4820DD8E" w14:textId="77777777" w:rsidR="009F15E0" w:rsidRPr="00B138C4" w:rsidRDefault="009F15E0" w:rsidP="009F15E0">
            <w:pPr>
              <w:pStyle w:val="Tabletext"/>
              <w:keepLines/>
            </w:pPr>
          </w:p>
        </w:tc>
        <w:tc>
          <w:tcPr>
            <w:tcW w:w="2232" w:type="dxa"/>
            <w:tcBorders>
              <w:top w:val="single" w:sz="18" w:space="0" w:color="auto"/>
              <w:bottom w:val="single" w:sz="4" w:space="0" w:color="auto"/>
            </w:tcBorders>
          </w:tcPr>
          <w:p w14:paraId="2FE0610F" w14:textId="77777777" w:rsidR="009F15E0" w:rsidRPr="00B138C4" w:rsidRDefault="009F15E0" w:rsidP="009F15E0">
            <w:pPr>
              <w:pStyle w:val="Tabletext"/>
              <w:keepLines/>
            </w:pPr>
            <w:r w:rsidRPr="00B138C4">
              <w:t>Percentage of total dry matter</w:t>
            </w:r>
          </w:p>
        </w:tc>
      </w:tr>
      <w:tr w:rsidR="009F15E0" w:rsidRPr="00B138C4" w14:paraId="3CB52996" w14:textId="77777777" w:rsidTr="009F15E0">
        <w:tc>
          <w:tcPr>
            <w:tcW w:w="987" w:type="dxa"/>
            <w:tcBorders>
              <w:top w:val="single" w:sz="4" w:space="0" w:color="auto"/>
              <w:bottom w:val="single" w:sz="4" w:space="0" w:color="auto"/>
            </w:tcBorders>
          </w:tcPr>
          <w:p w14:paraId="4B8BE11F" w14:textId="77777777" w:rsidR="009F15E0" w:rsidRPr="00B138C4" w:rsidRDefault="009F15E0" w:rsidP="009F15E0">
            <w:pPr>
              <w:pStyle w:val="Tabletext"/>
              <w:keepLines/>
            </w:pPr>
            <w:r w:rsidRPr="00B138C4">
              <w:t>2</w:t>
            </w:r>
          </w:p>
        </w:tc>
        <w:tc>
          <w:tcPr>
            <w:tcW w:w="5059" w:type="dxa"/>
            <w:tcBorders>
              <w:top w:val="single" w:sz="4" w:space="0" w:color="auto"/>
              <w:bottom w:val="single" w:sz="4" w:space="0" w:color="auto"/>
            </w:tcBorders>
          </w:tcPr>
          <w:p w14:paraId="50484E62" w14:textId="77777777" w:rsidR="009F15E0" w:rsidRPr="00B138C4" w:rsidRDefault="009F15E0" w:rsidP="009F15E0">
            <w:pPr>
              <w:pStyle w:val="Tabletext"/>
              <w:keepLines/>
            </w:pPr>
            <w:r w:rsidRPr="00B138C4">
              <w:t>Average crude protein of diet in each season of the year without dietary change</w:t>
            </w:r>
          </w:p>
          <w:p w14:paraId="00F3E391" w14:textId="77777777" w:rsidR="009F15E0" w:rsidRPr="00B138C4" w:rsidRDefault="009F15E0" w:rsidP="009F15E0">
            <w:pPr>
              <w:pStyle w:val="Tabletext"/>
              <w:keepLines/>
            </w:pPr>
          </w:p>
        </w:tc>
        <w:tc>
          <w:tcPr>
            <w:tcW w:w="2232" w:type="dxa"/>
            <w:tcBorders>
              <w:top w:val="single" w:sz="4" w:space="0" w:color="auto"/>
              <w:bottom w:val="single" w:sz="4" w:space="0" w:color="auto"/>
            </w:tcBorders>
          </w:tcPr>
          <w:p w14:paraId="276DDC9D" w14:textId="77777777" w:rsidR="009F15E0" w:rsidRPr="00B138C4" w:rsidRDefault="009F15E0" w:rsidP="009F15E0">
            <w:pPr>
              <w:pStyle w:val="Tabletext"/>
              <w:keepLines/>
            </w:pPr>
            <w:r w:rsidRPr="00B138C4">
              <w:t>Percentage of total dry matter</w:t>
            </w:r>
          </w:p>
        </w:tc>
      </w:tr>
      <w:tr w:rsidR="009F15E0" w:rsidRPr="00B138C4" w14:paraId="0624F655" w14:textId="77777777" w:rsidTr="00647793">
        <w:tc>
          <w:tcPr>
            <w:tcW w:w="987" w:type="dxa"/>
            <w:tcBorders>
              <w:top w:val="single" w:sz="4" w:space="0" w:color="auto"/>
              <w:bottom w:val="single" w:sz="4" w:space="0" w:color="auto"/>
            </w:tcBorders>
          </w:tcPr>
          <w:p w14:paraId="0D092777" w14:textId="77777777" w:rsidR="009F15E0" w:rsidRPr="00B138C4" w:rsidRDefault="009F15E0" w:rsidP="009F15E0">
            <w:pPr>
              <w:pStyle w:val="Tabletext"/>
              <w:keepLines/>
            </w:pPr>
            <w:r w:rsidRPr="00B138C4">
              <w:t>3</w:t>
            </w:r>
          </w:p>
        </w:tc>
        <w:tc>
          <w:tcPr>
            <w:tcW w:w="5059" w:type="dxa"/>
            <w:tcBorders>
              <w:top w:val="single" w:sz="4" w:space="0" w:color="auto"/>
              <w:bottom w:val="single" w:sz="4" w:space="0" w:color="auto"/>
            </w:tcBorders>
          </w:tcPr>
          <w:p w14:paraId="333BB26F" w14:textId="77777777" w:rsidR="009F15E0" w:rsidRPr="00B138C4" w:rsidRDefault="009F15E0" w:rsidP="009F15E0">
            <w:pPr>
              <w:pStyle w:val="Tabletext"/>
              <w:keepLines/>
            </w:pPr>
            <w:r w:rsidRPr="00B138C4">
              <w:t xml:space="preserve">For each livestock class for which a dietary change was </w:t>
            </w:r>
            <w:r w:rsidR="009931DE" w:rsidRPr="00B138C4">
              <w:t xml:space="preserve">a </w:t>
            </w:r>
            <w:r w:rsidRPr="00B138C4">
              <w:t>project activity:</w:t>
            </w:r>
          </w:p>
          <w:p w14:paraId="14391AA1" w14:textId="77777777" w:rsidR="009F15E0" w:rsidRPr="00B138C4" w:rsidRDefault="009F15E0" w:rsidP="009F15E0">
            <w:pPr>
              <w:pStyle w:val="Tabletext"/>
              <w:keepLines/>
              <w:ind w:left="425" w:hanging="425"/>
            </w:pPr>
            <w:r w:rsidRPr="00B138C4">
              <w:t>(a)</w:t>
            </w:r>
            <w:r w:rsidRPr="00B138C4">
              <w:tab/>
              <w:t>the period or periods of the year during which more than 50</w:t>
            </w:r>
            <w:r w:rsidR="00014132">
              <w:t>%</w:t>
            </w:r>
            <w:r w:rsidRPr="00B138C4">
              <w:t xml:space="preserve"> of the animals in the livestock class experienced the dietary change </w:t>
            </w:r>
          </w:p>
          <w:p w14:paraId="6DBF3ED8" w14:textId="77777777" w:rsidR="009F15E0" w:rsidRPr="00B138C4" w:rsidRDefault="009F15E0" w:rsidP="009F15E0">
            <w:pPr>
              <w:pStyle w:val="Tabletext"/>
              <w:keepLines/>
              <w:ind w:left="425" w:hanging="425"/>
            </w:pPr>
            <w:r w:rsidRPr="00B138C4">
              <w:t>(b)</w:t>
            </w:r>
            <w:r w:rsidRPr="00B138C4">
              <w:tab/>
              <w:t>for supplementary feed used for the dietary change that was purchased from a commercial feed supplier—the dietary values of the supplements, as specified in a commodity vendor declaration form, fodder declaration form, or equivalent</w:t>
            </w:r>
          </w:p>
          <w:p w14:paraId="5CDAD2B0" w14:textId="77777777" w:rsidR="009F15E0" w:rsidRPr="00B138C4" w:rsidRDefault="009F15E0" w:rsidP="009F15E0">
            <w:pPr>
              <w:pStyle w:val="Tabletext"/>
              <w:keepLines/>
              <w:ind w:left="425" w:hanging="425"/>
            </w:pPr>
            <w:r w:rsidRPr="00B138C4">
              <w:t>(c)</w:t>
            </w:r>
            <w:r w:rsidRPr="00B138C4">
              <w:tab/>
              <w:t>for supplementary feed used for the dietary change that was not purchased from a commercial feed supplier—the type of supplement</w:t>
            </w:r>
          </w:p>
          <w:p w14:paraId="51D18B45" w14:textId="77777777" w:rsidR="009F15E0" w:rsidRPr="00B138C4" w:rsidRDefault="009F15E0" w:rsidP="009F15E0">
            <w:pPr>
              <w:pStyle w:val="Tabletext"/>
              <w:keepLines/>
              <w:ind w:left="425" w:hanging="425"/>
            </w:pPr>
          </w:p>
        </w:tc>
        <w:tc>
          <w:tcPr>
            <w:tcW w:w="2232" w:type="dxa"/>
            <w:tcBorders>
              <w:top w:val="single" w:sz="4" w:space="0" w:color="auto"/>
              <w:bottom w:val="single" w:sz="4" w:space="0" w:color="auto"/>
            </w:tcBorders>
          </w:tcPr>
          <w:p w14:paraId="6ED8AE08" w14:textId="77777777" w:rsidR="009F15E0" w:rsidRPr="00B138C4" w:rsidRDefault="009F15E0" w:rsidP="009F15E0">
            <w:pPr>
              <w:pStyle w:val="Tabletext"/>
              <w:keepLines/>
            </w:pPr>
            <w:r w:rsidRPr="00B138C4">
              <w:br/>
            </w:r>
          </w:p>
          <w:p w14:paraId="09994C31" w14:textId="77777777" w:rsidR="009F15E0" w:rsidRPr="00B138C4" w:rsidRDefault="009F15E0" w:rsidP="009F15E0">
            <w:pPr>
              <w:pStyle w:val="Tabletext"/>
              <w:keepLines/>
            </w:pPr>
            <w:r w:rsidRPr="00B138C4">
              <w:t>Days</w:t>
            </w:r>
            <w:r w:rsidRPr="00B138C4">
              <w:br/>
            </w:r>
            <w:r w:rsidRPr="00B138C4">
              <w:br/>
            </w:r>
          </w:p>
          <w:p w14:paraId="590C9AD6" w14:textId="77777777" w:rsidR="009F15E0" w:rsidRPr="00B138C4" w:rsidRDefault="009F15E0" w:rsidP="009F15E0">
            <w:pPr>
              <w:pStyle w:val="Tabletext"/>
              <w:keepLines/>
            </w:pPr>
            <w:r w:rsidRPr="00B138C4">
              <w:t>Dietary values of supplements</w:t>
            </w:r>
            <w:r w:rsidRPr="00B138C4">
              <w:br/>
            </w:r>
            <w:r w:rsidRPr="00B138C4">
              <w:br/>
            </w:r>
            <w:r w:rsidRPr="00B138C4">
              <w:br/>
            </w:r>
          </w:p>
          <w:p w14:paraId="539CF5EF" w14:textId="77777777" w:rsidR="009F15E0" w:rsidRPr="00B138C4" w:rsidRDefault="009F15E0" w:rsidP="009F15E0">
            <w:pPr>
              <w:pStyle w:val="Tabletext"/>
              <w:keepLines/>
            </w:pPr>
            <w:r w:rsidRPr="00B138C4">
              <w:t>Type of supplement</w:t>
            </w:r>
          </w:p>
          <w:p w14:paraId="4793A4C5" w14:textId="77777777" w:rsidR="009F15E0" w:rsidRPr="00B138C4" w:rsidRDefault="009F15E0" w:rsidP="009F15E0">
            <w:pPr>
              <w:pStyle w:val="Tabletext"/>
              <w:keepLines/>
            </w:pPr>
          </w:p>
        </w:tc>
      </w:tr>
    </w:tbl>
    <w:p w14:paraId="530AC969" w14:textId="77777777" w:rsidR="00D7771E" w:rsidRDefault="00D7771E" w:rsidP="00BB3ECA">
      <w:pPr>
        <w:pStyle w:val="tMain"/>
      </w:pPr>
    </w:p>
    <w:p w14:paraId="5FDD9344" w14:textId="77777777" w:rsidR="00D7771E" w:rsidRDefault="00D7771E">
      <w:pPr>
        <w:spacing w:line="240" w:lineRule="auto"/>
        <w:rPr>
          <w:rFonts w:eastAsia="Times New Roman"/>
          <w:lang w:eastAsia="en-AU"/>
        </w:rPr>
      </w:pPr>
      <w:r>
        <w:br w:type="page"/>
      </w:r>
    </w:p>
    <w:p w14:paraId="5267748A" w14:textId="77777777" w:rsidR="00005530" w:rsidRPr="00AF61FA" w:rsidRDefault="00005530" w:rsidP="00005530">
      <w:pPr>
        <w:pStyle w:val="ENotesHeading1"/>
      </w:pPr>
      <w:bookmarkStart w:id="176" w:name="_Toc451422853"/>
      <w:bookmarkStart w:id="177" w:name="_Toc485212013"/>
      <w:r w:rsidRPr="00AF61FA">
        <w:lastRenderedPageBreak/>
        <w:t>Endnotes</w:t>
      </w:r>
      <w:bookmarkEnd w:id="176"/>
      <w:bookmarkEnd w:id="177"/>
    </w:p>
    <w:p w14:paraId="65EEADFE" w14:textId="77777777" w:rsidR="00005530" w:rsidRPr="00AF61FA" w:rsidRDefault="00005530" w:rsidP="00005530">
      <w:pPr>
        <w:pStyle w:val="ENotesHeading2"/>
      </w:pPr>
      <w:bookmarkStart w:id="178" w:name="_Toc451422854"/>
      <w:bookmarkStart w:id="179" w:name="_Toc485212014"/>
      <w:r w:rsidRPr="00AF61FA">
        <w:t>Endnote 1—About the endnotes</w:t>
      </w:r>
      <w:bookmarkEnd w:id="178"/>
      <w:bookmarkEnd w:id="179"/>
    </w:p>
    <w:p w14:paraId="1095DDA4" w14:textId="77777777" w:rsidR="00005530" w:rsidRPr="00AF61FA" w:rsidRDefault="00005530" w:rsidP="00005530">
      <w:pPr>
        <w:spacing w:after="120"/>
      </w:pPr>
      <w:r w:rsidRPr="00AF61FA">
        <w:t>The endnotes provide information about this compilation and the compiled law.</w:t>
      </w:r>
    </w:p>
    <w:p w14:paraId="6064936D" w14:textId="77777777" w:rsidR="00005530" w:rsidRPr="00AF61FA" w:rsidRDefault="00005530" w:rsidP="00005530">
      <w:pPr>
        <w:spacing w:after="120"/>
      </w:pPr>
      <w:r w:rsidRPr="00AF61FA">
        <w:t>The following endnotes are included in every compilation:</w:t>
      </w:r>
    </w:p>
    <w:p w14:paraId="0D7894F1" w14:textId="77777777" w:rsidR="00005530" w:rsidRPr="00AF61FA" w:rsidRDefault="00005530" w:rsidP="00005530">
      <w:r w:rsidRPr="00AF61FA">
        <w:t>Endnote 1—About the endnotes</w:t>
      </w:r>
    </w:p>
    <w:p w14:paraId="65F69AF2" w14:textId="77777777" w:rsidR="00005530" w:rsidRPr="00AF61FA" w:rsidRDefault="00005530" w:rsidP="00005530">
      <w:r w:rsidRPr="00AF61FA">
        <w:t>Endnote 2—Abbreviation key</w:t>
      </w:r>
    </w:p>
    <w:p w14:paraId="40A31500" w14:textId="77777777" w:rsidR="00005530" w:rsidRPr="00AF61FA" w:rsidRDefault="00005530" w:rsidP="00005530">
      <w:r w:rsidRPr="00AF61FA">
        <w:t>Endnote 3—Legislation history</w:t>
      </w:r>
    </w:p>
    <w:p w14:paraId="4B6967BB" w14:textId="77777777" w:rsidR="00005530" w:rsidRPr="00AF61FA" w:rsidRDefault="00005530" w:rsidP="00005530">
      <w:pPr>
        <w:spacing w:after="120"/>
      </w:pPr>
      <w:r w:rsidRPr="00AF61FA">
        <w:t>Endnote 4—Amendment history</w:t>
      </w:r>
    </w:p>
    <w:p w14:paraId="25BD5CC2" w14:textId="77777777" w:rsidR="00005530" w:rsidRPr="00AF61FA" w:rsidRDefault="00005530" w:rsidP="00005530">
      <w:r w:rsidRPr="00AF61FA">
        <w:rPr>
          <w:b/>
        </w:rPr>
        <w:t>Abbreviation key—Endnote 2</w:t>
      </w:r>
    </w:p>
    <w:p w14:paraId="6C9C4090" w14:textId="77777777" w:rsidR="00005530" w:rsidRPr="00AF61FA" w:rsidRDefault="00005530" w:rsidP="00005530">
      <w:pPr>
        <w:spacing w:after="120"/>
      </w:pPr>
      <w:r w:rsidRPr="00AF61FA">
        <w:t>The abbreviation key sets out abbreviations that may be used in the endnotes.</w:t>
      </w:r>
    </w:p>
    <w:p w14:paraId="4165B618" w14:textId="77777777" w:rsidR="00005530" w:rsidRPr="00AF61FA" w:rsidRDefault="00005530" w:rsidP="00005530">
      <w:pPr>
        <w:rPr>
          <w:b/>
        </w:rPr>
      </w:pPr>
      <w:r w:rsidRPr="00AF61FA">
        <w:rPr>
          <w:b/>
        </w:rPr>
        <w:t>Legislation history and amendment history—Endnotes 3 and 4</w:t>
      </w:r>
    </w:p>
    <w:p w14:paraId="76079234" w14:textId="77777777" w:rsidR="00005530" w:rsidRPr="00AF61FA" w:rsidRDefault="00005530" w:rsidP="00005530">
      <w:pPr>
        <w:spacing w:after="120"/>
      </w:pPr>
      <w:r w:rsidRPr="00AF61FA">
        <w:t>Amending laws are annotated in the legislation history and amendment history.</w:t>
      </w:r>
    </w:p>
    <w:p w14:paraId="1B80CCC7" w14:textId="77777777" w:rsidR="00005530" w:rsidRPr="00AF61FA" w:rsidRDefault="00005530" w:rsidP="00005530">
      <w:pPr>
        <w:spacing w:after="120"/>
      </w:pPr>
      <w:r w:rsidRPr="00AF61F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73CB9BF" w14:textId="77777777" w:rsidR="00005530" w:rsidRPr="00AF61FA" w:rsidRDefault="00005530" w:rsidP="00005530">
      <w:pPr>
        <w:spacing w:after="120"/>
      </w:pPr>
      <w:r w:rsidRPr="00AF61F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FAEAADB" w14:textId="77777777" w:rsidR="00005530" w:rsidRPr="00AF61FA" w:rsidRDefault="00005530" w:rsidP="00005530">
      <w:pPr>
        <w:spacing w:after="120"/>
        <w:rPr>
          <w:b/>
        </w:rPr>
      </w:pPr>
      <w:r w:rsidRPr="00AF61FA">
        <w:rPr>
          <w:b/>
        </w:rPr>
        <w:t>Editorial changes</w:t>
      </w:r>
    </w:p>
    <w:p w14:paraId="5ADD5E8F" w14:textId="77777777" w:rsidR="00005530" w:rsidRPr="00AF61FA" w:rsidRDefault="00005530" w:rsidP="00005530">
      <w:pPr>
        <w:spacing w:after="120"/>
      </w:pPr>
      <w:r w:rsidRPr="00AF61FA">
        <w:t xml:space="preserve">The </w:t>
      </w:r>
      <w:r w:rsidRPr="00AF61FA">
        <w:rPr>
          <w:i/>
        </w:rPr>
        <w:t>Legislation Act 2003</w:t>
      </w:r>
      <w:r w:rsidRPr="00AF61F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 </w:t>
      </w:r>
    </w:p>
    <w:p w14:paraId="79818D54" w14:textId="77777777" w:rsidR="00005530" w:rsidRPr="00AF61FA" w:rsidRDefault="00005530" w:rsidP="00005530">
      <w:pPr>
        <w:spacing w:after="120"/>
      </w:pPr>
      <w:r w:rsidRPr="00AF61FA">
        <w:t xml:space="preserve">If the compilation includes editorial changes, the endnotes include a brief outline of the changes in general terms. Full details of any changes can be obtained from the Office of the Parliamentary Counsel. </w:t>
      </w:r>
    </w:p>
    <w:p w14:paraId="7A17D99B" w14:textId="77777777" w:rsidR="00005530" w:rsidRPr="00AF61FA" w:rsidRDefault="00005530" w:rsidP="00005530">
      <w:pPr>
        <w:keepNext/>
      </w:pPr>
      <w:r w:rsidRPr="00AF61FA">
        <w:rPr>
          <w:b/>
        </w:rPr>
        <w:t>Misdescribed amendments</w:t>
      </w:r>
    </w:p>
    <w:p w14:paraId="00040686" w14:textId="77777777" w:rsidR="00005530" w:rsidRPr="00AF61FA" w:rsidRDefault="00005530" w:rsidP="00005530">
      <w:pPr>
        <w:spacing w:after="120"/>
      </w:pPr>
      <w:r w:rsidRPr="00AF61F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57AF5DB" w14:textId="77777777" w:rsidR="00005530" w:rsidRPr="00AF61FA" w:rsidRDefault="00005530" w:rsidP="00005530">
      <w:pPr>
        <w:spacing w:before="120"/>
      </w:pPr>
      <w:r w:rsidRPr="00AF61FA">
        <w:t xml:space="preserve">If a misdescribed amendment cannot be given effect as intended, the abbreviation “(md not incorp)” is added to the details of the amendment included in the amendment history.  </w:t>
      </w:r>
    </w:p>
    <w:p w14:paraId="4936AEB9" w14:textId="77777777" w:rsidR="00005530" w:rsidRPr="00AF61FA" w:rsidRDefault="00005530" w:rsidP="00005530">
      <w:pPr>
        <w:pStyle w:val="ENotesHeading2"/>
        <w:pageBreakBefore/>
        <w:outlineLvl w:val="9"/>
      </w:pPr>
      <w:bookmarkStart w:id="180" w:name="_Toc485212015"/>
      <w:r w:rsidRPr="00AF61FA">
        <w:lastRenderedPageBreak/>
        <w:t>Endnote 2—Abbreviation key</w:t>
      </w:r>
      <w:bookmarkEnd w:id="180"/>
    </w:p>
    <w:tbl>
      <w:tblPr>
        <w:tblW w:w="7939" w:type="dxa"/>
        <w:tblInd w:w="108" w:type="dxa"/>
        <w:tblLayout w:type="fixed"/>
        <w:tblLook w:val="0000" w:firstRow="0" w:lastRow="0" w:firstColumn="0" w:lastColumn="0" w:noHBand="0" w:noVBand="0"/>
      </w:tblPr>
      <w:tblGrid>
        <w:gridCol w:w="4253"/>
        <w:gridCol w:w="3686"/>
      </w:tblGrid>
      <w:tr w:rsidR="00005530" w:rsidRPr="00AF61FA" w14:paraId="722085A6" w14:textId="77777777" w:rsidTr="0010015D">
        <w:tc>
          <w:tcPr>
            <w:tcW w:w="4253" w:type="dxa"/>
            <w:shd w:val="clear" w:color="auto" w:fill="auto"/>
          </w:tcPr>
          <w:p w14:paraId="51D9C094" w14:textId="77777777" w:rsidR="00005530" w:rsidRPr="00AF61FA" w:rsidRDefault="00005530" w:rsidP="0010015D">
            <w:pPr>
              <w:spacing w:before="60"/>
              <w:ind w:left="34"/>
              <w:rPr>
                <w:sz w:val="20"/>
              </w:rPr>
            </w:pPr>
          </w:p>
        </w:tc>
        <w:tc>
          <w:tcPr>
            <w:tcW w:w="3686" w:type="dxa"/>
            <w:shd w:val="clear" w:color="auto" w:fill="auto"/>
          </w:tcPr>
          <w:p w14:paraId="29BDD1A6" w14:textId="77777777" w:rsidR="00005530" w:rsidRPr="00AF61FA" w:rsidRDefault="00005530" w:rsidP="0010015D">
            <w:pPr>
              <w:spacing w:before="60"/>
              <w:ind w:left="34"/>
              <w:rPr>
                <w:sz w:val="20"/>
              </w:rPr>
            </w:pPr>
            <w:r w:rsidRPr="00AF61FA">
              <w:rPr>
                <w:sz w:val="20"/>
              </w:rPr>
              <w:t>o = order(s)</w:t>
            </w:r>
          </w:p>
        </w:tc>
      </w:tr>
      <w:tr w:rsidR="00005530" w:rsidRPr="00AF61FA" w14:paraId="50A73C8E" w14:textId="77777777" w:rsidTr="0010015D">
        <w:tc>
          <w:tcPr>
            <w:tcW w:w="4253" w:type="dxa"/>
            <w:shd w:val="clear" w:color="auto" w:fill="auto"/>
          </w:tcPr>
          <w:p w14:paraId="64B421EC" w14:textId="77777777" w:rsidR="00005530" w:rsidRPr="00AF61FA" w:rsidRDefault="00005530" w:rsidP="0010015D">
            <w:pPr>
              <w:spacing w:before="60"/>
              <w:ind w:left="34"/>
              <w:rPr>
                <w:sz w:val="20"/>
              </w:rPr>
            </w:pPr>
            <w:r w:rsidRPr="00AF61FA">
              <w:rPr>
                <w:sz w:val="20"/>
              </w:rPr>
              <w:t>ad = added or inserted</w:t>
            </w:r>
          </w:p>
        </w:tc>
        <w:tc>
          <w:tcPr>
            <w:tcW w:w="3686" w:type="dxa"/>
            <w:shd w:val="clear" w:color="auto" w:fill="auto"/>
          </w:tcPr>
          <w:p w14:paraId="6D8634DF" w14:textId="77777777" w:rsidR="00005530" w:rsidRPr="00AF61FA" w:rsidRDefault="00005530" w:rsidP="0010015D">
            <w:pPr>
              <w:spacing w:before="60"/>
              <w:ind w:left="34"/>
              <w:rPr>
                <w:sz w:val="20"/>
              </w:rPr>
            </w:pPr>
            <w:r w:rsidRPr="00AF61FA">
              <w:rPr>
                <w:sz w:val="20"/>
              </w:rPr>
              <w:t>Ord = Ordinance</w:t>
            </w:r>
          </w:p>
        </w:tc>
      </w:tr>
      <w:tr w:rsidR="00005530" w:rsidRPr="00AF61FA" w14:paraId="24FC90F8" w14:textId="77777777" w:rsidTr="0010015D">
        <w:tc>
          <w:tcPr>
            <w:tcW w:w="4253" w:type="dxa"/>
            <w:shd w:val="clear" w:color="auto" w:fill="auto"/>
          </w:tcPr>
          <w:p w14:paraId="3ACB0301" w14:textId="77777777" w:rsidR="00005530" w:rsidRPr="00AF61FA" w:rsidRDefault="00005530" w:rsidP="0010015D">
            <w:pPr>
              <w:spacing w:before="60"/>
              <w:ind w:left="34"/>
              <w:rPr>
                <w:sz w:val="20"/>
              </w:rPr>
            </w:pPr>
            <w:r w:rsidRPr="00AF61FA">
              <w:rPr>
                <w:sz w:val="20"/>
              </w:rPr>
              <w:t>am = amended</w:t>
            </w:r>
          </w:p>
        </w:tc>
        <w:tc>
          <w:tcPr>
            <w:tcW w:w="3686" w:type="dxa"/>
            <w:shd w:val="clear" w:color="auto" w:fill="auto"/>
          </w:tcPr>
          <w:p w14:paraId="193F1B07" w14:textId="77777777" w:rsidR="00005530" w:rsidRPr="00AF61FA" w:rsidRDefault="00005530" w:rsidP="0010015D">
            <w:pPr>
              <w:spacing w:before="60"/>
              <w:ind w:left="34"/>
              <w:rPr>
                <w:sz w:val="20"/>
              </w:rPr>
            </w:pPr>
            <w:r w:rsidRPr="00AF61FA">
              <w:rPr>
                <w:sz w:val="20"/>
              </w:rPr>
              <w:t>orig = original</w:t>
            </w:r>
          </w:p>
        </w:tc>
      </w:tr>
      <w:tr w:rsidR="00005530" w:rsidRPr="00AF61FA" w14:paraId="51B713F8" w14:textId="77777777" w:rsidTr="0010015D">
        <w:tc>
          <w:tcPr>
            <w:tcW w:w="4253" w:type="dxa"/>
            <w:shd w:val="clear" w:color="auto" w:fill="auto"/>
          </w:tcPr>
          <w:p w14:paraId="08524121" w14:textId="77777777" w:rsidR="00005530" w:rsidRPr="00AF61FA" w:rsidRDefault="00005530" w:rsidP="0010015D">
            <w:pPr>
              <w:spacing w:before="60"/>
              <w:ind w:left="34"/>
              <w:rPr>
                <w:sz w:val="20"/>
              </w:rPr>
            </w:pPr>
            <w:r w:rsidRPr="00AF61FA">
              <w:rPr>
                <w:sz w:val="20"/>
              </w:rPr>
              <w:t>amdt = amendment</w:t>
            </w:r>
          </w:p>
        </w:tc>
        <w:tc>
          <w:tcPr>
            <w:tcW w:w="3686" w:type="dxa"/>
            <w:shd w:val="clear" w:color="auto" w:fill="auto"/>
          </w:tcPr>
          <w:p w14:paraId="569949F5" w14:textId="77777777" w:rsidR="00005530" w:rsidRPr="00AF61FA" w:rsidRDefault="00005530" w:rsidP="0010015D">
            <w:pPr>
              <w:spacing w:before="60"/>
              <w:ind w:left="34"/>
              <w:rPr>
                <w:sz w:val="20"/>
              </w:rPr>
            </w:pPr>
            <w:r w:rsidRPr="00AF61FA">
              <w:rPr>
                <w:sz w:val="20"/>
              </w:rPr>
              <w:t>par = paragraph(s)/subparagraph(s)</w:t>
            </w:r>
          </w:p>
        </w:tc>
      </w:tr>
      <w:tr w:rsidR="00005530" w:rsidRPr="00AF61FA" w14:paraId="466593C0" w14:textId="77777777" w:rsidTr="0010015D">
        <w:tc>
          <w:tcPr>
            <w:tcW w:w="4253" w:type="dxa"/>
            <w:shd w:val="clear" w:color="auto" w:fill="auto"/>
          </w:tcPr>
          <w:p w14:paraId="7785F45F" w14:textId="77777777" w:rsidR="00005530" w:rsidRPr="00AF61FA" w:rsidRDefault="00005530" w:rsidP="0010015D">
            <w:pPr>
              <w:spacing w:before="60"/>
              <w:ind w:left="34"/>
              <w:rPr>
                <w:sz w:val="20"/>
              </w:rPr>
            </w:pPr>
            <w:r w:rsidRPr="00AF61FA">
              <w:rPr>
                <w:sz w:val="20"/>
              </w:rPr>
              <w:t>c = clause(s)</w:t>
            </w:r>
          </w:p>
        </w:tc>
        <w:tc>
          <w:tcPr>
            <w:tcW w:w="3686" w:type="dxa"/>
            <w:shd w:val="clear" w:color="auto" w:fill="auto"/>
          </w:tcPr>
          <w:p w14:paraId="68FCD433" w14:textId="77777777" w:rsidR="00005530" w:rsidRPr="00AF61FA" w:rsidRDefault="00005530" w:rsidP="0010015D">
            <w:pPr>
              <w:ind w:left="34"/>
              <w:rPr>
                <w:sz w:val="20"/>
              </w:rPr>
            </w:pPr>
            <w:r w:rsidRPr="00AF61FA">
              <w:rPr>
                <w:sz w:val="20"/>
              </w:rPr>
              <w:t xml:space="preserve">    /sub</w:t>
            </w:r>
            <w:r w:rsidRPr="00AF61FA">
              <w:rPr>
                <w:sz w:val="20"/>
              </w:rPr>
              <w:noBreakHyphen/>
              <w:t>subparagraph(s)</w:t>
            </w:r>
          </w:p>
        </w:tc>
      </w:tr>
      <w:tr w:rsidR="00005530" w:rsidRPr="00AF61FA" w14:paraId="5CA4E67A" w14:textId="77777777" w:rsidTr="0010015D">
        <w:tc>
          <w:tcPr>
            <w:tcW w:w="4253" w:type="dxa"/>
            <w:shd w:val="clear" w:color="auto" w:fill="auto"/>
          </w:tcPr>
          <w:p w14:paraId="41E203D1" w14:textId="77777777" w:rsidR="00005530" w:rsidRPr="00AF61FA" w:rsidRDefault="00005530" w:rsidP="0010015D">
            <w:pPr>
              <w:spacing w:before="60"/>
              <w:ind w:left="34"/>
              <w:rPr>
                <w:sz w:val="20"/>
              </w:rPr>
            </w:pPr>
            <w:r w:rsidRPr="00AF61FA">
              <w:rPr>
                <w:sz w:val="20"/>
              </w:rPr>
              <w:t>C[x] = Compilation No. x</w:t>
            </w:r>
          </w:p>
        </w:tc>
        <w:tc>
          <w:tcPr>
            <w:tcW w:w="3686" w:type="dxa"/>
            <w:shd w:val="clear" w:color="auto" w:fill="auto"/>
          </w:tcPr>
          <w:p w14:paraId="16B94551" w14:textId="77777777" w:rsidR="00005530" w:rsidRPr="00AF61FA" w:rsidRDefault="00005530" w:rsidP="0010015D">
            <w:pPr>
              <w:spacing w:before="60"/>
              <w:ind w:left="34"/>
              <w:rPr>
                <w:sz w:val="20"/>
              </w:rPr>
            </w:pPr>
            <w:r w:rsidRPr="00AF61FA">
              <w:rPr>
                <w:sz w:val="20"/>
              </w:rPr>
              <w:t>pres = present</w:t>
            </w:r>
          </w:p>
        </w:tc>
      </w:tr>
      <w:tr w:rsidR="00005530" w:rsidRPr="00AF61FA" w14:paraId="334D4743" w14:textId="77777777" w:rsidTr="0010015D">
        <w:tc>
          <w:tcPr>
            <w:tcW w:w="4253" w:type="dxa"/>
            <w:shd w:val="clear" w:color="auto" w:fill="auto"/>
          </w:tcPr>
          <w:p w14:paraId="3D2ABD0C" w14:textId="77777777" w:rsidR="00005530" w:rsidRPr="00AF61FA" w:rsidRDefault="00005530" w:rsidP="0010015D">
            <w:pPr>
              <w:spacing w:before="60"/>
              <w:ind w:left="34"/>
              <w:rPr>
                <w:sz w:val="20"/>
              </w:rPr>
            </w:pPr>
            <w:r w:rsidRPr="00AF61FA">
              <w:rPr>
                <w:sz w:val="20"/>
              </w:rPr>
              <w:t>Ch = Chapter(s)</w:t>
            </w:r>
          </w:p>
        </w:tc>
        <w:tc>
          <w:tcPr>
            <w:tcW w:w="3686" w:type="dxa"/>
            <w:shd w:val="clear" w:color="auto" w:fill="auto"/>
          </w:tcPr>
          <w:p w14:paraId="2BA35053" w14:textId="77777777" w:rsidR="00005530" w:rsidRPr="00AF61FA" w:rsidRDefault="00005530" w:rsidP="0010015D">
            <w:pPr>
              <w:spacing w:before="60"/>
              <w:ind w:left="34"/>
              <w:rPr>
                <w:sz w:val="20"/>
              </w:rPr>
            </w:pPr>
            <w:r w:rsidRPr="00AF61FA">
              <w:rPr>
                <w:sz w:val="20"/>
              </w:rPr>
              <w:t>prev = previous</w:t>
            </w:r>
          </w:p>
        </w:tc>
      </w:tr>
      <w:tr w:rsidR="00005530" w:rsidRPr="00AF61FA" w14:paraId="20D21ADF" w14:textId="77777777" w:rsidTr="0010015D">
        <w:tc>
          <w:tcPr>
            <w:tcW w:w="4253" w:type="dxa"/>
            <w:shd w:val="clear" w:color="auto" w:fill="auto"/>
          </w:tcPr>
          <w:p w14:paraId="36B39747" w14:textId="77777777" w:rsidR="00005530" w:rsidRPr="00AF61FA" w:rsidRDefault="00005530" w:rsidP="0010015D">
            <w:pPr>
              <w:spacing w:before="60"/>
              <w:ind w:left="34"/>
              <w:rPr>
                <w:sz w:val="20"/>
              </w:rPr>
            </w:pPr>
            <w:r w:rsidRPr="00AF61FA">
              <w:rPr>
                <w:sz w:val="20"/>
              </w:rPr>
              <w:t>def = definition(s)</w:t>
            </w:r>
          </w:p>
        </w:tc>
        <w:tc>
          <w:tcPr>
            <w:tcW w:w="3686" w:type="dxa"/>
            <w:shd w:val="clear" w:color="auto" w:fill="auto"/>
          </w:tcPr>
          <w:p w14:paraId="22BF52A4" w14:textId="77777777" w:rsidR="00005530" w:rsidRPr="00AF61FA" w:rsidRDefault="00005530" w:rsidP="0010015D">
            <w:pPr>
              <w:spacing w:before="60"/>
              <w:ind w:left="34"/>
              <w:rPr>
                <w:sz w:val="20"/>
              </w:rPr>
            </w:pPr>
            <w:r w:rsidRPr="00AF61FA">
              <w:rPr>
                <w:sz w:val="20"/>
              </w:rPr>
              <w:t>(prev…) = previously</w:t>
            </w:r>
          </w:p>
        </w:tc>
      </w:tr>
      <w:tr w:rsidR="00005530" w:rsidRPr="00AF61FA" w14:paraId="7E318B6F" w14:textId="77777777" w:rsidTr="0010015D">
        <w:tc>
          <w:tcPr>
            <w:tcW w:w="4253" w:type="dxa"/>
            <w:shd w:val="clear" w:color="auto" w:fill="auto"/>
          </w:tcPr>
          <w:p w14:paraId="375DA6D1" w14:textId="77777777" w:rsidR="00005530" w:rsidRPr="00AF61FA" w:rsidRDefault="00005530" w:rsidP="0010015D">
            <w:pPr>
              <w:spacing w:before="60"/>
              <w:ind w:left="34"/>
              <w:rPr>
                <w:sz w:val="20"/>
              </w:rPr>
            </w:pPr>
            <w:r w:rsidRPr="00AF61FA">
              <w:rPr>
                <w:sz w:val="20"/>
              </w:rPr>
              <w:t>Dict = Dictionary</w:t>
            </w:r>
          </w:p>
        </w:tc>
        <w:tc>
          <w:tcPr>
            <w:tcW w:w="3686" w:type="dxa"/>
            <w:shd w:val="clear" w:color="auto" w:fill="auto"/>
          </w:tcPr>
          <w:p w14:paraId="1ED5768C" w14:textId="77777777" w:rsidR="00005530" w:rsidRPr="00AF61FA" w:rsidRDefault="00005530" w:rsidP="0010015D">
            <w:pPr>
              <w:spacing w:before="60"/>
              <w:ind w:left="34"/>
              <w:rPr>
                <w:sz w:val="20"/>
              </w:rPr>
            </w:pPr>
            <w:r w:rsidRPr="00AF61FA">
              <w:rPr>
                <w:sz w:val="20"/>
              </w:rPr>
              <w:t>Pt = Part(s)</w:t>
            </w:r>
          </w:p>
        </w:tc>
      </w:tr>
      <w:tr w:rsidR="00005530" w:rsidRPr="00AF61FA" w14:paraId="0E1C2697" w14:textId="77777777" w:rsidTr="0010015D">
        <w:tc>
          <w:tcPr>
            <w:tcW w:w="4253" w:type="dxa"/>
            <w:shd w:val="clear" w:color="auto" w:fill="auto"/>
          </w:tcPr>
          <w:p w14:paraId="4DBF1277" w14:textId="77777777" w:rsidR="00005530" w:rsidRPr="00AF61FA" w:rsidRDefault="00005530" w:rsidP="0010015D">
            <w:pPr>
              <w:spacing w:before="60"/>
              <w:ind w:left="34"/>
              <w:rPr>
                <w:sz w:val="20"/>
              </w:rPr>
            </w:pPr>
            <w:r w:rsidRPr="00AF61FA">
              <w:rPr>
                <w:sz w:val="20"/>
              </w:rPr>
              <w:t>disallowed = disallowed by Parliament</w:t>
            </w:r>
          </w:p>
        </w:tc>
        <w:tc>
          <w:tcPr>
            <w:tcW w:w="3686" w:type="dxa"/>
            <w:shd w:val="clear" w:color="auto" w:fill="auto"/>
          </w:tcPr>
          <w:p w14:paraId="363443DC" w14:textId="77777777" w:rsidR="00005530" w:rsidRPr="00AF61FA" w:rsidRDefault="00005530" w:rsidP="0010015D">
            <w:pPr>
              <w:spacing w:before="60"/>
              <w:ind w:left="34"/>
              <w:rPr>
                <w:sz w:val="20"/>
              </w:rPr>
            </w:pPr>
            <w:r w:rsidRPr="00AF61FA">
              <w:rPr>
                <w:sz w:val="20"/>
              </w:rPr>
              <w:t>r = regulation(s)/rule(s)</w:t>
            </w:r>
          </w:p>
        </w:tc>
      </w:tr>
      <w:tr w:rsidR="00005530" w:rsidRPr="00AF61FA" w14:paraId="79A64986" w14:textId="77777777" w:rsidTr="0010015D">
        <w:tc>
          <w:tcPr>
            <w:tcW w:w="4253" w:type="dxa"/>
            <w:shd w:val="clear" w:color="auto" w:fill="auto"/>
          </w:tcPr>
          <w:p w14:paraId="69013643" w14:textId="77777777" w:rsidR="00005530" w:rsidRPr="00AF61FA" w:rsidRDefault="00005530" w:rsidP="0010015D">
            <w:pPr>
              <w:spacing w:before="60"/>
              <w:ind w:left="34"/>
              <w:rPr>
                <w:sz w:val="20"/>
              </w:rPr>
            </w:pPr>
            <w:r w:rsidRPr="00AF61FA">
              <w:rPr>
                <w:sz w:val="20"/>
              </w:rPr>
              <w:t>Div = Division(s)</w:t>
            </w:r>
          </w:p>
        </w:tc>
        <w:tc>
          <w:tcPr>
            <w:tcW w:w="3686" w:type="dxa"/>
            <w:shd w:val="clear" w:color="auto" w:fill="auto"/>
          </w:tcPr>
          <w:p w14:paraId="6E8B8626" w14:textId="77777777" w:rsidR="00005530" w:rsidRPr="00AF61FA" w:rsidRDefault="00005530" w:rsidP="0010015D">
            <w:pPr>
              <w:spacing w:before="60"/>
              <w:ind w:left="34"/>
              <w:rPr>
                <w:sz w:val="20"/>
              </w:rPr>
            </w:pPr>
          </w:p>
        </w:tc>
      </w:tr>
      <w:tr w:rsidR="00005530" w:rsidRPr="00AF61FA" w14:paraId="7BEFF8A4" w14:textId="77777777" w:rsidTr="0010015D">
        <w:tc>
          <w:tcPr>
            <w:tcW w:w="4253" w:type="dxa"/>
            <w:shd w:val="clear" w:color="auto" w:fill="auto"/>
          </w:tcPr>
          <w:p w14:paraId="7B5FA545" w14:textId="77777777" w:rsidR="00005530" w:rsidRPr="00AF61FA" w:rsidRDefault="00005530" w:rsidP="0010015D">
            <w:pPr>
              <w:spacing w:before="60"/>
              <w:ind w:left="34"/>
              <w:rPr>
                <w:sz w:val="20"/>
              </w:rPr>
            </w:pPr>
            <w:r w:rsidRPr="00AF61FA">
              <w:rPr>
                <w:sz w:val="20"/>
              </w:rPr>
              <w:t>exp = expires/expired or ceases/ceased to have</w:t>
            </w:r>
          </w:p>
        </w:tc>
        <w:tc>
          <w:tcPr>
            <w:tcW w:w="3686" w:type="dxa"/>
            <w:shd w:val="clear" w:color="auto" w:fill="auto"/>
          </w:tcPr>
          <w:p w14:paraId="1F543131" w14:textId="77777777" w:rsidR="00005530" w:rsidRPr="00AF61FA" w:rsidRDefault="00005530" w:rsidP="0010015D">
            <w:pPr>
              <w:spacing w:before="60"/>
              <w:ind w:left="34"/>
              <w:rPr>
                <w:sz w:val="20"/>
              </w:rPr>
            </w:pPr>
            <w:r w:rsidRPr="00AF61FA">
              <w:rPr>
                <w:sz w:val="20"/>
              </w:rPr>
              <w:t>reloc = relocated</w:t>
            </w:r>
          </w:p>
        </w:tc>
      </w:tr>
      <w:tr w:rsidR="00005530" w:rsidRPr="00AF61FA" w14:paraId="4A260453" w14:textId="77777777" w:rsidTr="0010015D">
        <w:tc>
          <w:tcPr>
            <w:tcW w:w="4253" w:type="dxa"/>
            <w:shd w:val="clear" w:color="auto" w:fill="auto"/>
          </w:tcPr>
          <w:p w14:paraId="4022B599" w14:textId="77777777" w:rsidR="00005530" w:rsidRPr="00AF61FA" w:rsidRDefault="00005530" w:rsidP="0010015D">
            <w:pPr>
              <w:ind w:left="34"/>
              <w:rPr>
                <w:sz w:val="20"/>
              </w:rPr>
            </w:pPr>
            <w:r w:rsidRPr="00AF61FA">
              <w:rPr>
                <w:sz w:val="20"/>
              </w:rPr>
              <w:t xml:space="preserve">    effect</w:t>
            </w:r>
          </w:p>
        </w:tc>
        <w:tc>
          <w:tcPr>
            <w:tcW w:w="3686" w:type="dxa"/>
            <w:shd w:val="clear" w:color="auto" w:fill="auto"/>
          </w:tcPr>
          <w:p w14:paraId="0E9D788A" w14:textId="77777777" w:rsidR="00005530" w:rsidRPr="00AF61FA" w:rsidRDefault="00005530" w:rsidP="0010015D">
            <w:pPr>
              <w:spacing w:before="60"/>
              <w:ind w:left="34"/>
              <w:rPr>
                <w:sz w:val="20"/>
              </w:rPr>
            </w:pPr>
            <w:r w:rsidRPr="00AF61FA">
              <w:rPr>
                <w:sz w:val="20"/>
              </w:rPr>
              <w:t>renum = renumbered</w:t>
            </w:r>
          </w:p>
        </w:tc>
      </w:tr>
      <w:tr w:rsidR="00005530" w:rsidRPr="00AF61FA" w14:paraId="5721C8A4" w14:textId="77777777" w:rsidTr="0010015D">
        <w:tc>
          <w:tcPr>
            <w:tcW w:w="4253" w:type="dxa"/>
            <w:shd w:val="clear" w:color="auto" w:fill="auto"/>
          </w:tcPr>
          <w:p w14:paraId="2F80B4DA" w14:textId="77777777" w:rsidR="00005530" w:rsidRPr="00AF61FA" w:rsidRDefault="00005530" w:rsidP="0010015D">
            <w:pPr>
              <w:spacing w:before="60"/>
              <w:ind w:left="34"/>
              <w:rPr>
                <w:sz w:val="20"/>
              </w:rPr>
            </w:pPr>
            <w:r w:rsidRPr="00AF61FA">
              <w:rPr>
                <w:sz w:val="20"/>
              </w:rPr>
              <w:t>F = Federal Register of Legislation</w:t>
            </w:r>
          </w:p>
        </w:tc>
        <w:tc>
          <w:tcPr>
            <w:tcW w:w="3686" w:type="dxa"/>
            <w:shd w:val="clear" w:color="auto" w:fill="auto"/>
          </w:tcPr>
          <w:p w14:paraId="77A6DAB8" w14:textId="77777777" w:rsidR="00005530" w:rsidRPr="00AF61FA" w:rsidRDefault="00005530" w:rsidP="0010015D">
            <w:pPr>
              <w:spacing w:before="60"/>
              <w:ind w:left="34"/>
              <w:rPr>
                <w:sz w:val="20"/>
              </w:rPr>
            </w:pPr>
            <w:r w:rsidRPr="00AF61FA">
              <w:rPr>
                <w:sz w:val="20"/>
              </w:rPr>
              <w:t>rep = repealed</w:t>
            </w:r>
          </w:p>
        </w:tc>
      </w:tr>
      <w:tr w:rsidR="00005530" w:rsidRPr="00AF61FA" w14:paraId="7140E875" w14:textId="77777777" w:rsidTr="0010015D">
        <w:tc>
          <w:tcPr>
            <w:tcW w:w="4253" w:type="dxa"/>
            <w:shd w:val="clear" w:color="auto" w:fill="auto"/>
          </w:tcPr>
          <w:p w14:paraId="461B28E6" w14:textId="77777777" w:rsidR="00005530" w:rsidRPr="00AF61FA" w:rsidRDefault="00005530" w:rsidP="0010015D">
            <w:pPr>
              <w:spacing w:before="60"/>
              <w:ind w:left="34"/>
              <w:rPr>
                <w:sz w:val="20"/>
              </w:rPr>
            </w:pPr>
            <w:r w:rsidRPr="00AF61FA">
              <w:rPr>
                <w:sz w:val="20"/>
              </w:rPr>
              <w:t>gaz = gazette</w:t>
            </w:r>
          </w:p>
        </w:tc>
        <w:tc>
          <w:tcPr>
            <w:tcW w:w="3686" w:type="dxa"/>
            <w:shd w:val="clear" w:color="auto" w:fill="auto"/>
          </w:tcPr>
          <w:p w14:paraId="1AFCD9EC" w14:textId="77777777" w:rsidR="00005530" w:rsidRPr="00AF61FA" w:rsidRDefault="00005530" w:rsidP="0010015D">
            <w:pPr>
              <w:spacing w:before="60"/>
              <w:ind w:left="34"/>
              <w:rPr>
                <w:sz w:val="20"/>
              </w:rPr>
            </w:pPr>
            <w:r w:rsidRPr="00AF61FA">
              <w:rPr>
                <w:sz w:val="20"/>
              </w:rPr>
              <w:t>rs = repealed and substituted</w:t>
            </w:r>
          </w:p>
        </w:tc>
      </w:tr>
      <w:tr w:rsidR="00005530" w:rsidRPr="00AF61FA" w14:paraId="69BF50BC" w14:textId="77777777" w:rsidTr="0010015D">
        <w:tc>
          <w:tcPr>
            <w:tcW w:w="4253" w:type="dxa"/>
            <w:shd w:val="clear" w:color="auto" w:fill="auto"/>
          </w:tcPr>
          <w:p w14:paraId="6222B368" w14:textId="77777777" w:rsidR="00005530" w:rsidRPr="00AF61FA" w:rsidRDefault="00005530" w:rsidP="0010015D">
            <w:pPr>
              <w:spacing w:before="60"/>
              <w:ind w:left="34"/>
              <w:rPr>
                <w:sz w:val="20"/>
              </w:rPr>
            </w:pPr>
            <w:r w:rsidRPr="00AF61FA">
              <w:rPr>
                <w:sz w:val="20"/>
              </w:rPr>
              <w:t xml:space="preserve">LA = </w:t>
            </w:r>
            <w:r w:rsidRPr="00AF61FA">
              <w:rPr>
                <w:i/>
                <w:sz w:val="20"/>
              </w:rPr>
              <w:t>Legislation Act 2003</w:t>
            </w:r>
          </w:p>
        </w:tc>
        <w:tc>
          <w:tcPr>
            <w:tcW w:w="3686" w:type="dxa"/>
            <w:shd w:val="clear" w:color="auto" w:fill="auto"/>
          </w:tcPr>
          <w:p w14:paraId="684993FD" w14:textId="77777777" w:rsidR="00005530" w:rsidRPr="00AF61FA" w:rsidRDefault="00005530" w:rsidP="0010015D">
            <w:pPr>
              <w:spacing w:before="60"/>
              <w:ind w:left="34"/>
              <w:rPr>
                <w:sz w:val="20"/>
              </w:rPr>
            </w:pPr>
            <w:r w:rsidRPr="00AF61FA">
              <w:rPr>
                <w:sz w:val="20"/>
              </w:rPr>
              <w:t>s = section(s)/subsection(s)</w:t>
            </w:r>
          </w:p>
        </w:tc>
      </w:tr>
      <w:tr w:rsidR="00005530" w:rsidRPr="00AF61FA" w14:paraId="04B1E828" w14:textId="77777777" w:rsidTr="0010015D">
        <w:tc>
          <w:tcPr>
            <w:tcW w:w="4253" w:type="dxa"/>
            <w:shd w:val="clear" w:color="auto" w:fill="auto"/>
          </w:tcPr>
          <w:p w14:paraId="6B8937DA" w14:textId="77777777" w:rsidR="00005530" w:rsidRPr="00AF61FA" w:rsidRDefault="00005530" w:rsidP="0010015D">
            <w:pPr>
              <w:spacing w:before="60"/>
              <w:ind w:left="34"/>
              <w:rPr>
                <w:sz w:val="20"/>
              </w:rPr>
            </w:pPr>
            <w:r w:rsidRPr="00AF61FA">
              <w:rPr>
                <w:sz w:val="20"/>
              </w:rPr>
              <w:t xml:space="preserve">LIA = </w:t>
            </w:r>
            <w:r w:rsidRPr="00AF61FA">
              <w:rPr>
                <w:i/>
                <w:sz w:val="20"/>
              </w:rPr>
              <w:t>Legislative Instruments Act 2003</w:t>
            </w:r>
          </w:p>
        </w:tc>
        <w:tc>
          <w:tcPr>
            <w:tcW w:w="3686" w:type="dxa"/>
            <w:shd w:val="clear" w:color="auto" w:fill="auto"/>
          </w:tcPr>
          <w:p w14:paraId="0A309432" w14:textId="77777777" w:rsidR="00005530" w:rsidRPr="00AF61FA" w:rsidRDefault="00005530" w:rsidP="0010015D">
            <w:pPr>
              <w:spacing w:before="60"/>
              <w:ind w:left="34"/>
              <w:rPr>
                <w:sz w:val="20"/>
              </w:rPr>
            </w:pPr>
            <w:r w:rsidRPr="00AF61FA">
              <w:rPr>
                <w:sz w:val="20"/>
              </w:rPr>
              <w:t>Sch = Schedule(s)</w:t>
            </w:r>
          </w:p>
        </w:tc>
      </w:tr>
      <w:tr w:rsidR="00005530" w:rsidRPr="00AF61FA" w14:paraId="4A12C34E" w14:textId="77777777" w:rsidTr="0010015D">
        <w:tc>
          <w:tcPr>
            <w:tcW w:w="4253" w:type="dxa"/>
            <w:shd w:val="clear" w:color="auto" w:fill="auto"/>
          </w:tcPr>
          <w:p w14:paraId="3823FD88" w14:textId="77777777" w:rsidR="00005530" w:rsidRPr="00AF61FA" w:rsidRDefault="00005530" w:rsidP="0010015D">
            <w:pPr>
              <w:spacing w:before="60"/>
              <w:ind w:left="34"/>
              <w:rPr>
                <w:sz w:val="20"/>
              </w:rPr>
            </w:pPr>
            <w:r w:rsidRPr="00AF61FA">
              <w:rPr>
                <w:sz w:val="20"/>
              </w:rPr>
              <w:t>(md) = misdescribed amendment can be given</w:t>
            </w:r>
          </w:p>
        </w:tc>
        <w:tc>
          <w:tcPr>
            <w:tcW w:w="3686" w:type="dxa"/>
            <w:shd w:val="clear" w:color="auto" w:fill="auto"/>
          </w:tcPr>
          <w:p w14:paraId="57C20A52" w14:textId="77777777" w:rsidR="00005530" w:rsidRPr="00AF61FA" w:rsidRDefault="00005530" w:rsidP="0010015D">
            <w:pPr>
              <w:spacing w:before="60"/>
              <w:ind w:left="34"/>
              <w:rPr>
                <w:sz w:val="20"/>
              </w:rPr>
            </w:pPr>
            <w:r w:rsidRPr="00AF61FA">
              <w:rPr>
                <w:sz w:val="20"/>
              </w:rPr>
              <w:t>Sdiv = Subdivision(s)</w:t>
            </w:r>
          </w:p>
        </w:tc>
      </w:tr>
      <w:tr w:rsidR="00005530" w:rsidRPr="00AF61FA" w14:paraId="7C662975" w14:textId="77777777" w:rsidTr="0010015D">
        <w:tc>
          <w:tcPr>
            <w:tcW w:w="4253" w:type="dxa"/>
            <w:shd w:val="clear" w:color="auto" w:fill="auto"/>
          </w:tcPr>
          <w:p w14:paraId="4CDB672B" w14:textId="77777777" w:rsidR="00005530" w:rsidRPr="00AF61FA" w:rsidRDefault="00005530" w:rsidP="0010015D">
            <w:pPr>
              <w:ind w:left="34"/>
              <w:rPr>
                <w:sz w:val="20"/>
              </w:rPr>
            </w:pPr>
            <w:r w:rsidRPr="00AF61FA">
              <w:rPr>
                <w:sz w:val="20"/>
              </w:rPr>
              <w:t xml:space="preserve">    effect</w:t>
            </w:r>
          </w:p>
        </w:tc>
        <w:tc>
          <w:tcPr>
            <w:tcW w:w="3686" w:type="dxa"/>
            <w:shd w:val="clear" w:color="auto" w:fill="auto"/>
          </w:tcPr>
          <w:p w14:paraId="1811C2AD" w14:textId="77777777" w:rsidR="00005530" w:rsidRPr="00AF61FA" w:rsidRDefault="00005530" w:rsidP="0010015D">
            <w:pPr>
              <w:spacing w:before="60"/>
              <w:ind w:left="34"/>
              <w:rPr>
                <w:sz w:val="20"/>
              </w:rPr>
            </w:pPr>
            <w:r w:rsidRPr="00AF61FA">
              <w:rPr>
                <w:sz w:val="20"/>
              </w:rPr>
              <w:t>SLI = Select Legislative Instrument</w:t>
            </w:r>
          </w:p>
        </w:tc>
      </w:tr>
      <w:tr w:rsidR="00005530" w:rsidRPr="00AF61FA" w14:paraId="395CE041" w14:textId="77777777" w:rsidTr="0010015D">
        <w:tc>
          <w:tcPr>
            <w:tcW w:w="4253" w:type="dxa"/>
            <w:shd w:val="clear" w:color="auto" w:fill="auto"/>
          </w:tcPr>
          <w:p w14:paraId="765159B3" w14:textId="77777777" w:rsidR="00005530" w:rsidRPr="00AF61FA" w:rsidRDefault="00005530" w:rsidP="0010015D">
            <w:pPr>
              <w:spacing w:before="60"/>
              <w:ind w:left="34"/>
              <w:rPr>
                <w:sz w:val="20"/>
              </w:rPr>
            </w:pPr>
            <w:r w:rsidRPr="00AF61FA">
              <w:rPr>
                <w:sz w:val="20"/>
              </w:rPr>
              <w:t>(md not incorp) = misdescribed amendment</w:t>
            </w:r>
          </w:p>
        </w:tc>
        <w:tc>
          <w:tcPr>
            <w:tcW w:w="3686" w:type="dxa"/>
            <w:shd w:val="clear" w:color="auto" w:fill="auto"/>
          </w:tcPr>
          <w:p w14:paraId="29EB0CF5" w14:textId="77777777" w:rsidR="00005530" w:rsidRPr="00AF61FA" w:rsidRDefault="00005530" w:rsidP="0010015D">
            <w:pPr>
              <w:spacing w:before="60"/>
              <w:ind w:left="34"/>
              <w:rPr>
                <w:sz w:val="20"/>
              </w:rPr>
            </w:pPr>
            <w:r w:rsidRPr="00AF61FA">
              <w:rPr>
                <w:sz w:val="20"/>
              </w:rPr>
              <w:t>SR = Statutory Rules</w:t>
            </w:r>
          </w:p>
        </w:tc>
      </w:tr>
      <w:tr w:rsidR="00005530" w:rsidRPr="00AF61FA" w14:paraId="39F9F9C1" w14:textId="77777777" w:rsidTr="0010015D">
        <w:tc>
          <w:tcPr>
            <w:tcW w:w="4253" w:type="dxa"/>
            <w:shd w:val="clear" w:color="auto" w:fill="auto"/>
          </w:tcPr>
          <w:p w14:paraId="3B1401DE" w14:textId="77777777" w:rsidR="00005530" w:rsidRPr="00AF61FA" w:rsidRDefault="00005530" w:rsidP="0010015D">
            <w:pPr>
              <w:ind w:left="34"/>
              <w:rPr>
                <w:sz w:val="20"/>
              </w:rPr>
            </w:pPr>
            <w:r w:rsidRPr="00AF61FA">
              <w:rPr>
                <w:sz w:val="20"/>
              </w:rPr>
              <w:t xml:space="preserve">    cannot be given effect</w:t>
            </w:r>
          </w:p>
        </w:tc>
        <w:tc>
          <w:tcPr>
            <w:tcW w:w="3686" w:type="dxa"/>
            <w:shd w:val="clear" w:color="auto" w:fill="auto"/>
          </w:tcPr>
          <w:p w14:paraId="09987CD7" w14:textId="77777777" w:rsidR="00005530" w:rsidRPr="00AF61FA" w:rsidRDefault="00005530" w:rsidP="0010015D">
            <w:pPr>
              <w:spacing w:before="60"/>
              <w:ind w:left="34"/>
              <w:rPr>
                <w:sz w:val="20"/>
              </w:rPr>
            </w:pPr>
            <w:r w:rsidRPr="00AF61FA">
              <w:rPr>
                <w:sz w:val="20"/>
              </w:rPr>
              <w:t>Sub</w:t>
            </w:r>
            <w:r w:rsidRPr="00AF61FA">
              <w:rPr>
                <w:sz w:val="20"/>
              </w:rPr>
              <w:noBreakHyphen/>
              <w:t>Ch = Sub</w:t>
            </w:r>
            <w:r w:rsidRPr="00AF61FA">
              <w:rPr>
                <w:sz w:val="20"/>
              </w:rPr>
              <w:noBreakHyphen/>
              <w:t>Chapter(s)</w:t>
            </w:r>
          </w:p>
        </w:tc>
      </w:tr>
      <w:tr w:rsidR="00005530" w:rsidRPr="00AF61FA" w14:paraId="2CEF8F64" w14:textId="77777777" w:rsidTr="0010015D">
        <w:tc>
          <w:tcPr>
            <w:tcW w:w="4253" w:type="dxa"/>
            <w:shd w:val="clear" w:color="auto" w:fill="auto"/>
          </w:tcPr>
          <w:p w14:paraId="45EF3D0D" w14:textId="77777777" w:rsidR="00005530" w:rsidRPr="00AF61FA" w:rsidRDefault="00005530" w:rsidP="0010015D">
            <w:pPr>
              <w:spacing w:before="60"/>
              <w:ind w:left="34"/>
              <w:rPr>
                <w:sz w:val="20"/>
              </w:rPr>
            </w:pPr>
            <w:r w:rsidRPr="00AF61FA">
              <w:rPr>
                <w:sz w:val="20"/>
              </w:rPr>
              <w:t>mod = modified/modification</w:t>
            </w:r>
          </w:p>
        </w:tc>
        <w:tc>
          <w:tcPr>
            <w:tcW w:w="3686" w:type="dxa"/>
            <w:shd w:val="clear" w:color="auto" w:fill="auto"/>
          </w:tcPr>
          <w:p w14:paraId="0605F0B2" w14:textId="77777777" w:rsidR="00005530" w:rsidRPr="00AF61FA" w:rsidRDefault="00005530" w:rsidP="0010015D">
            <w:pPr>
              <w:spacing w:before="60"/>
              <w:ind w:left="34"/>
              <w:rPr>
                <w:sz w:val="20"/>
              </w:rPr>
            </w:pPr>
            <w:r w:rsidRPr="00AF61FA">
              <w:rPr>
                <w:sz w:val="20"/>
              </w:rPr>
              <w:t>SubPt = Subpart(s)</w:t>
            </w:r>
          </w:p>
        </w:tc>
      </w:tr>
      <w:tr w:rsidR="00005530" w:rsidRPr="00AF61FA" w14:paraId="3C280A5A" w14:textId="77777777" w:rsidTr="0010015D">
        <w:tc>
          <w:tcPr>
            <w:tcW w:w="4253" w:type="dxa"/>
            <w:shd w:val="clear" w:color="auto" w:fill="auto"/>
          </w:tcPr>
          <w:p w14:paraId="7D5CC80A" w14:textId="77777777" w:rsidR="00005530" w:rsidRPr="00AF61FA" w:rsidRDefault="00005530" w:rsidP="0010015D">
            <w:pPr>
              <w:spacing w:before="60"/>
              <w:ind w:left="34"/>
              <w:rPr>
                <w:sz w:val="20"/>
              </w:rPr>
            </w:pPr>
            <w:r w:rsidRPr="00AF61FA">
              <w:rPr>
                <w:sz w:val="20"/>
              </w:rPr>
              <w:t>No. = Number(s)</w:t>
            </w:r>
          </w:p>
        </w:tc>
        <w:tc>
          <w:tcPr>
            <w:tcW w:w="3686" w:type="dxa"/>
            <w:shd w:val="clear" w:color="auto" w:fill="auto"/>
          </w:tcPr>
          <w:p w14:paraId="6B732A3B" w14:textId="77777777" w:rsidR="00005530" w:rsidRPr="00AF61FA" w:rsidRDefault="00005530" w:rsidP="0010015D">
            <w:pPr>
              <w:spacing w:before="60"/>
              <w:ind w:left="34"/>
              <w:rPr>
                <w:sz w:val="20"/>
              </w:rPr>
            </w:pPr>
            <w:r w:rsidRPr="00AF61FA">
              <w:rPr>
                <w:sz w:val="20"/>
                <w:u w:val="single"/>
              </w:rPr>
              <w:t>underlining</w:t>
            </w:r>
            <w:r w:rsidRPr="00AF61FA">
              <w:rPr>
                <w:sz w:val="20"/>
              </w:rPr>
              <w:t xml:space="preserve"> = whole or part not</w:t>
            </w:r>
          </w:p>
        </w:tc>
      </w:tr>
      <w:tr w:rsidR="00005530" w:rsidRPr="00AF61FA" w14:paraId="69CC944F" w14:textId="77777777" w:rsidTr="0010015D">
        <w:trPr>
          <w:trHeight w:val="302"/>
        </w:trPr>
        <w:tc>
          <w:tcPr>
            <w:tcW w:w="4253" w:type="dxa"/>
            <w:shd w:val="clear" w:color="auto" w:fill="auto"/>
          </w:tcPr>
          <w:p w14:paraId="6721EE58" w14:textId="77777777" w:rsidR="00005530" w:rsidRPr="00AF61FA" w:rsidRDefault="00005530" w:rsidP="0010015D">
            <w:pPr>
              <w:spacing w:before="60"/>
              <w:ind w:left="34"/>
              <w:rPr>
                <w:sz w:val="20"/>
              </w:rPr>
            </w:pPr>
          </w:p>
        </w:tc>
        <w:tc>
          <w:tcPr>
            <w:tcW w:w="3686" w:type="dxa"/>
            <w:shd w:val="clear" w:color="auto" w:fill="auto"/>
          </w:tcPr>
          <w:p w14:paraId="1BC18308" w14:textId="77777777" w:rsidR="00005530" w:rsidRPr="00AF61FA" w:rsidRDefault="00005530" w:rsidP="0010015D">
            <w:pPr>
              <w:ind w:left="34"/>
              <w:rPr>
                <w:sz w:val="20"/>
              </w:rPr>
            </w:pPr>
            <w:r w:rsidRPr="00AF61FA">
              <w:rPr>
                <w:sz w:val="20"/>
              </w:rPr>
              <w:t xml:space="preserve">    commenced or to be commenced</w:t>
            </w:r>
          </w:p>
        </w:tc>
      </w:tr>
    </w:tbl>
    <w:p w14:paraId="686282B3" w14:textId="77777777" w:rsidR="00005530" w:rsidRPr="00AF61FA" w:rsidRDefault="00005530" w:rsidP="00005530">
      <w:pPr>
        <w:pStyle w:val="Tabletext"/>
      </w:pPr>
    </w:p>
    <w:p w14:paraId="263CEB5D" w14:textId="77777777" w:rsidR="00005530" w:rsidRPr="00AF61FA" w:rsidRDefault="00005530" w:rsidP="00005530">
      <w:pPr>
        <w:pStyle w:val="ENotesHeading2"/>
        <w:pageBreakBefore/>
      </w:pPr>
      <w:bookmarkStart w:id="181" w:name="_Toc451422855"/>
      <w:bookmarkStart w:id="182" w:name="_Toc485212016"/>
      <w:r w:rsidRPr="00AF61FA">
        <w:lastRenderedPageBreak/>
        <w:t>Endnote 3—Legislation history</w:t>
      </w:r>
      <w:bookmarkEnd w:id="181"/>
      <w:bookmarkEnd w:id="182"/>
    </w:p>
    <w:p w14:paraId="0A1E1C90" w14:textId="77777777" w:rsidR="00005530" w:rsidRPr="00AF61FA" w:rsidRDefault="00005530" w:rsidP="00005530">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005530" w:rsidRPr="00AF61FA" w14:paraId="158CFD32" w14:textId="77777777" w:rsidTr="00402D91">
        <w:trPr>
          <w:cantSplit/>
          <w:tblHeader/>
        </w:trPr>
        <w:tc>
          <w:tcPr>
            <w:tcW w:w="1806" w:type="dxa"/>
            <w:tcBorders>
              <w:top w:val="single" w:sz="12" w:space="0" w:color="auto"/>
              <w:bottom w:val="single" w:sz="12" w:space="0" w:color="auto"/>
            </w:tcBorders>
            <w:shd w:val="clear" w:color="auto" w:fill="auto"/>
          </w:tcPr>
          <w:p w14:paraId="403A889E" w14:textId="77777777" w:rsidR="00005530" w:rsidRPr="00AF61FA" w:rsidRDefault="00005530" w:rsidP="0010015D">
            <w:pPr>
              <w:pStyle w:val="ENoteTableHeading"/>
              <w:rPr>
                <w:rFonts w:ascii="Times New Roman" w:hAnsi="Times New Roman"/>
              </w:rPr>
            </w:pPr>
            <w:r w:rsidRPr="00AF61FA">
              <w:rPr>
                <w:rFonts w:ascii="Times New Roman" w:hAnsi="Times New Roman"/>
              </w:rPr>
              <w:t>Name</w:t>
            </w:r>
          </w:p>
        </w:tc>
        <w:tc>
          <w:tcPr>
            <w:tcW w:w="1806" w:type="dxa"/>
            <w:tcBorders>
              <w:top w:val="single" w:sz="12" w:space="0" w:color="auto"/>
              <w:bottom w:val="single" w:sz="12" w:space="0" w:color="auto"/>
            </w:tcBorders>
            <w:shd w:val="clear" w:color="auto" w:fill="auto"/>
          </w:tcPr>
          <w:p w14:paraId="2097FA1B" w14:textId="77777777" w:rsidR="00005530" w:rsidRPr="00AF61FA" w:rsidRDefault="00005530" w:rsidP="0010015D">
            <w:pPr>
              <w:pStyle w:val="ENoteTableHeading"/>
              <w:rPr>
                <w:rFonts w:ascii="Times New Roman" w:hAnsi="Times New Roman"/>
              </w:rPr>
            </w:pPr>
            <w:r w:rsidRPr="00AF61FA">
              <w:rPr>
                <w:rFonts w:ascii="Times New Roman" w:hAnsi="Times New Roman"/>
              </w:rPr>
              <w:t>Registration</w:t>
            </w:r>
          </w:p>
        </w:tc>
        <w:tc>
          <w:tcPr>
            <w:tcW w:w="1806" w:type="dxa"/>
            <w:tcBorders>
              <w:top w:val="single" w:sz="12" w:space="0" w:color="auto"/>
              <w:bottom w:val="single" w:sz="12" w:space="0" w:color="auto"/>
            </w:tcBorders>
            <w:shd w:val="clear" w:color="auto" w:fill="auto"/>
          </w:tcPr>
          <w:p w14:paraId="01629615" w14:textId="77777777" w:rsidR="00005530" w:rsidRPr="00AF61FA" w:rsidRDefault="00005530" w:rsidP="0010015D">
            <w:pPr>
              <w:pStyle w:val="ENoteTableHeading"/>
              <w:rPr>
                <w:rFonts w:ascii="Times New Roman" w:hAnsi="Times New Roman"/>
              </w:rPr>
            </w:pPr>
            <w:r w:rsidRPr="00AF61FA">
              <w:rPr>
                <w:rFonts w:ascii="Times New Roman" w:hAnsi="Times New Roman"/>
              </w:rPr>
              <w:t>Commencement</w:t>
            </w:r>
          </w:p>
        </w:tc>
        <w:tc>
          <w:tcPr>
            <w:tcW w:w="1806" w:type="dxa"/>
            <w:tcBorders>
              <w:top w:val="single" w:sz="12" w:space="0" w:color="auto"/>
              <w:bottom w:val="single" w:sz="12" w:space="0" w:color="auto"/>
            </w:tcBorders>
            <w:shd w:val="clear" w:color="auto" w:fill="auto"/>
          </w:tcPr>
          <w:p w14:paraId="3E2466EA" w14:textId="77777777" w:rsidR="00005530" w:rsidRPr="00AF61FA" w:rsidRDefault="00005530" w:rsidP="0010015D">
            <w:pPr>
              <w:pStyle w:val="ENoteTableHeading"/>
              <w:rPr>
                <w:rFonts w:ascii="Times New Roman" w:hAnsi="Times New Roman"/>
              </w:rPr>
            </w:pPr>
            <w:r w:rsidRPr="00AF61FA">
              <w:rPr>
                <w:rFonts w:ascii="Times New Roman" w:hAnsi="Times New Roman"/>
              </w:rPr>
              <w:t>Application, saving and transitional provisions</w:t>
            </w:r>
          </w:p>
        </w:tc>
      </w:tr>
      <w:tr w:rsidR="00005530" w:rsidRPr="00AF61FA" w14:paraId="388A740E" w14:textId="77777777" w:rsidTr="00402D91">
        <w:trPr>
          <w:cantSplit/>
        </w:trPr>
        <w:tc>
          <w:tcPr>
            <w:tcW w:w="1806" w:type="dxa"/>
            <w:tcBorders>
              <w:top w:val="single" w:sz="12" w:space="0" w:color="auto"/>
              <w:bottom w:val="single" w:sz="4" w:space="0" w:color="auto"/>
            </w:tcBorders>
            <w:shd w:val="clear" w:color="auto" w:fill="auto"/>
          </w:tcPr>
          <w:p w14:paraId="5CDA3277" w14:textId="77777777" w:rsidR="00005530" w:rsidRPr="00AF61FA" w:rsidRDefault="00402D91" w:rsidP="0010015D">
            <w:pPr>
              <w:pStyle w:val="ENoteTableText"/>
            </w:pPr>
            <w:r w:rsidRPr="00B138C4">
              <w:t>Carbon Credits (Carbon Farming Initiative</w:t>
            </w:r>
            <w:r w:rsidRPr="00B138C4">
              <w:rPr>
                <w:i/>
                <w:noProof/>
              </w:rPr>
              <w:t>—</w:t>
            </w:r>
            <w:r w:rsidRPr="00B138C4">
              <w:t>Beef Cattle Herd Management) Methodology Determination 2015</w:t>
            </w:r>
          </w:p>
          <w:p w14:paraId="39CEEE20" w14:textId="77777777" w:rsidR="00005530" w:rsidRPr="00AF61FA" w:rsidRDefault="00005530" w:rsidP="0010015D">
            <w:pPr>
              <w:pStyle w:val="ENoteTableText"/>
            </w:pPr>
          </w:p>
          <w:p w14:paraId="529214DF" w14:textId="77777777" w:rsidR="00005530" w:rsidRPr="00AF61FA" w:rsidRDefault="00402D91" w:rsidP="0010015D">
            <w:pPr>
              <w:pStyle w:val="ENoteTableText"/>
            </w:pPr>
            <w:r w:rsidRPr="007373D1">
              <w:t>Carbon Credits (Carbon Farming Initiative—Beef Cattle Herd Management) Methodology</w:t>
            </w:r>
            <w:r>
              <w:t xml:space="preserve"> </w:t>
            </w:r>
            <w:r w:rsidRPr="007373D1">
              <w:t>Variation 2017</w:t>
            </w:r>
          </w:p>
        </w:tc>
        <w:tc>
          <w:tcPr>
            <w:tcW w:w="1806" w:type="dxa"/>
            <w:tcBorders>
              <w:top w:val="single" w:sz="12" w:space="0" w:color="auto"/>
              <w:bottom w:val="single" w:sz="4" w:space="0" w:color="auto"/>
            </w:tcBorders>
            <w:shd w:val="clear" w:color="auto" w:fill="auto"/>
          </w:tcPr>
          <w:p w14:paraId="49378148" w14:textId="77777777" w:rsidR="00005530" w:rsidRPr="00AF61FA" w:rsidRDefault="00824BB4" w:rsidP="0010015D">
            <w:pPr>
              <w:pStyle w:val="ENoteTableText"/>
            </w:pPr>
            <w:r>
              <w:t>15 Septemeber 2015</w:t>
            </w:r>
            <w:r w:rsidR="00402D91" w:rsidRPr="0081227A">
              <w:rPr>
                <w:szCs w:val="16"/>
              </w:rPr>
              <w:br/>
            </w:r>
            <w:r w:rsidR="0081227A">
              <w:rPr>
                <w:szCs w:val="16"/>
              </w:rPr>
              <w:t>(</w:t>
            </w:r>
            <w:r w:rsidR="000E4D43" w:rsidRPr="0081227A">
              <w:rPr>
                <w:szCs w:val="16"/>
              </w:rPr>
              <w:t>F2015L01434</w:t>
            </w:r>
            <w:r w:rsidR="0081227A">
              <w:rPr>
                <w:szCs w:val="16"/>
              </w:rPr>
              <w:t>)</w:t>
            </w:r>
            <w:r w:rsidR="00402D91">
              <w:br/>
            </w:r>
            <w:r w:rsidR="00402D91">
              <w:br/>
            </w:r>
            <w:r w:rsidR="00402D91">
              <w:br/>
            </w:r>
            <w:r w:rsidR="00402D91">
              <w:br/>
            </w:r>
            <w:r w:rsidR="00402D91">
              <w:br/>
            </w:r>
          </w:p>
          <w:p w14:paraId="716791ED" w14:textId="77777777" w:rsidR="00005530" w:rsidRPr="00AF61FA" w:rsidRDefault="0081227A" w:rsidP="0081227A">
            <w:pPr>
              <w:pStyle w:val="ENoteTableText"/>
            </w:pPr>
            <w:r>
              <w:t>24 May 2017</w:t>
            </w:r>
            <w:r>
              <w:br/>
              <w:t>(F2017L00596)</w:t>
            </w:r>
          </w:p>
        </w:tc>
        <w:tc>
          <w:tcPr>
            <w:tcW w:w="1806" w:type="dxa"/>
            <w:tcBorders>
              <w:top w:val="single" w:sz="12" w:space="0" w:color="auto"/>
              <w:bottom w:val="single" w:sz="4" w:space="0" w:color="auto"/>
            </w:tcBorders>
            <w:shd w:val="clear" w:color="auto" w:fill="auto"/>
          </w:tcPr>
          <w:p w14:paraId="2D562B15" w14:textId="77777777" w:rsidR="00005530" w:rsidRPr="00AF61FA" w:rsidRDefault="0081227A" w:rsidP="0010015D">
            <w:pPr>
              <w:pStyle w:val="ENoteTableText"/>
            </w:pPr>
            <w:r>
              <w:t>16 September 20</w:t>
            </w:r>
            <w:r w:rsidR="00824BB4">
              <w:t>15</w:t>
            </w:r>
            <w:r>
              <w:br/>
            </w:r>
            <w:r>
              <w:br/>
            </w:r>
            <w:r>
              <w:br/>
            </w:r>
            <w:r>
              <w:br/>
            </w:r>
            <w:r>
              <w:br/>
            </w:r>
            <w:r>
              <w:br/>
            </w:r>
          </w:p>
          <w:p w14:paraId="5DBF9361" w14:textId="77777777" w:rsidR="0081227A" w:rsidRPr="00AF61FA" w:rsidRDefault="0081227A" w:rsidP="0081227A">
            <w:pPr>
              <w:pStyle w:val="ENoteTableText"/>
            </w:pPr>
            <w:r>
              <w:t>25 May 2017</w:t>
            </w:r>
          </w:p>
          <w:p w14:paraId="1985C669" w14:textId="77777777" w:rsidR="00005530" w:rsidRPr="00AF61FA" w:rsidRDefault="00005530" w:rsidP="0010015D">
            <w:pPr>
              <w:pStyle w:val="ENoteTableText"/>
            </w:pPr>
          </w:p>
        </w:tc>
        <w:tc>
          <w:tcPr>
            <w:tcW w:w="1806" w:type="dxa"/>
            <w:tcBorders>
              <w:top w:val="single" w:sz="12" w:space="0" w:color="auto"/>
              <w:bottom w:val="single" w:sz="4" w:space="0" w:color="auto"/>
            </w:tcBorders>
            <w:shd w:val="clear" w:color="auto" w:fill="auto"/>
          </w:tcPr>
          <w:p w14:paraId="3C195946" w14:textId="77777777" w:rsidR="00005530" w:rsidRDefault="0081227A" w:rsidP="0010015D">
            <w:pPr>
              <w:pStyle w:val="ENoteTableText"/>
            </w:pPr>
            <w:r>
              <w:t>—</w:t>
            </w:r>
            <w:r>
              <w:br/>
            </w:r>
            <w:r>
              <w:br/>
            </w:r>
            <w:r>
              <w:br/>
            </w:r>
            <w:r>
              <w:br/>
            </w:r>
            <w:r>
              <w:br/>
            </w:r>
            <w:r>
              <w:br/>
            </w:r>
          </w:p>
          <w:p w14:paraId="3382B5EF" w14:textId="77777777" w:rsidR="0081227A" w:rsidRPr="00AF61FA" w:rsidRDefault="0081227A" w:rsidP="0010015D">
            <w:pPr>
              <w:pStyle w:val="ENoteTableText"/>
            </w:pPr>
            <w:r>
              <w:t>—</w:t>
            </w:r>
          </w:p>
        </w:tc>
      </w:tr>
    </w:tbl>
    <w:p w14:paraId="32931BF2" w14:textId="77777777" w:rsidR="00005530" w:rsidRPr="00AF61FA" w:rsidRDefault="00005530" w:rsidP="00005530"/>
    <w:p w14:paraId="50A3EB1B" w14:textId="77777777" w:rsidR="00005530" w:rsidRPr="00AF61FA" w:rsidRDefault="00005530" w:rsidP="00005530">
      <w:pPr>
        <w:pStyle w:val="ENotesHeading2"/>
        <w:pageBreakBefore/>
      </w:pPr>
      <w:bookmarkStart w:id="183" w:name="_Toc451422856"/>
      <w:bookmarkStart w:id="184" w:name="_Toc485212017"/>
      <w:r w:rsidRPr="00AF61FA">
        <w:lastRenderedPageBreak/>
        <w:t>Endnote 4—Amendment history</w:t>
      </w:r>
      <w:bookmarkEnd w:id="183"/>
      <w:bookmarkEnd w:id="184"/>
    </w:p>
    <w:p w14:paraId="3B7F3CA2" w14:textId="77777777" w:rsidR="00005530" w:rsidRPr="00AF61FA" w:rsidRDefault="00005530" w:rsidP="00005530">
      <w:pPr>
        <w:pStyle w:val="Tabletext"/>
      </w:pPr>
    </w:p>
    <w:tbl>
      <w:tblPr>
        <w:tblW w:w="7082" w:type="dxa"/>
        <w:tblInd w:w="108" w:type="dxa"/>
        <w:tblLayout w:type="fixed"/>
        <w:tblLook w:val="0000" w:firstRow="0" w:lastRow="0" w:firstColumn="0" w:lastColumn="0" w:noHBand="0" w:noVBand="0"/>
      </w:tblPr>
      <w:tblGrid>
        <w:gridCol w:w="2139"/>
        <w:gridCol w:w="4943"/>
      </w:tblGrid>
      <w:tr w:rsidR="00005530" w:rsidRPr="00AF61FA" w14:paraId="6937BD25" w14:textId="77777777" w:rsidTr="0010015D">
        <w:trPr>
          <w:cantSplit/>
          <w:tblHeader/>
        </w:trPr>
        <w:tc>
          <w:tcPr>
            <w:tcW w:w="2139" w:type="dxa"/>
            <w:tcBorders>
              <w:top w:val="single" w:sz="12" w:space="0" w:color="auto"/>
              <w:bottom w:val="single" w:sz="12" w:space="0" w:color="auto"/>
            </w:tcBorders>
            <w:shd w:val="clear" w:color="auto" w:fill="auto"/>
          </w:tcPr>
          <w:p w14:paraId="1B45D3D1" w14:textId="77777777" w:rsidR="00005530" w:rsidRPr="00AF61FA" w:rsidRDefault="00005530" w:rsidP="0010015D">
            <w:pPr>
              <w:pStyle w:val="ENoteTableHeading"/>
              <w:rPr>
                <w:rFonts w:ascii="Times New Roman" w:hAnsi="Times New Roman"/>
              </w:rPr>
            </w:pPr>
            <w:r w:rsidRPr="00AF61FA">
              <w:rPr>
                <w:rFonts w:ascii="Times New Roman" w:hAnsi="Times New Roman"/>
              </w:rPr>
              <w:t>Provision affected</w:t>
            </w:r>
          </w:p>
        </w:tc>
        <w:tc>
          <w:tcPr>
            <w:tcW w:w="4943" w:type="dxa"/>
            <w:tcBorders>
              <w:top w:val="single" w:sz="12" w:space="0" w:color="auto"/>
              <w:bottom w:val="single" w:sz="12" w:space="0" w:color="auto"/>
            </w:tcBorders>
            <w:shd w:val="clear" w:color="auto" w:fill="auto"/>
          </w:tcPr>
          <w:p w14:paraId="60DBBEE8" w14:textId="77777777" w:rsidR="00005530" w:rsidRPr="00AF61FA" w:rsidRDefault="00005530" w:rsidP="0010015D">
            <w:pPr>
              <w:pStyle w:val="ENoteTableHeading"/>
              <w:rPr>
                <w:rFonts w:ascii="Times New Roman" w:hAnsi="Times New Roman"/>
              </w:rPr>
            </w:pPr>
            <w:r w:rsidRPr="00AF61FA">
              <w:rPr>
                <w:rFonts w:ascii="Times New Roman" w:hAnsi="Times New Roman"/>
              </w:rPr>
              <w:t>How affected</w:t>
            </w:r>
          </w:p>
        </w:tc>
      </w:tr>
      <w:tr w:rsidR="00005530" w:rsidRPr="00AF61FA" w14:paraId="63994BEE" w14:textId="77777777" w:rsidTr="0010015D">
        <w:trPr>
          <w:cantSplit/>
        </w:trPr>
        <w:tc>
          <w:tcPr>
            <w:tcW w:w="2139" w:type="dxa"/>
            <w:tcBorders>
              <w:top w:val="single" w:sz="12" w:space="0" w:color="auto"/>
            </w:tcBorders>
            <w:shd w:val="clear" w:color="auto" w:fill="auto"/>
          </w:tcPr>
          <w:p w14:paraId="1A601FBE" w14:textId="77777777" w:rsidR="00005530" w:rsidRPr="006E478E" w:rsidRDefault="0081227A" w:rsidP="0081227A">
            <w:pPr>
              <w:pStyle w:val="ENoteTableText"/>
              <w:rPr>
                <w:b/>
              </w:rPr>
            </w:pPr>
            <w:r>
              <w:rPr>
                <w:b/>
              </w:rPr>
              <w:t>Part 1</w:t>
            </w:r>
          </w:p>
        </w:tc>
        <w:tc>
          <w:tcPr>
            <w:tcW w:w="4943" w:type="dxa"/>
            <w:tcBorders>
              <w:top w:val="single" w:sz="12" w:space="0" w:color="auto"/>
            </w:tcBorders>
            <w:shd w:val="clear" w:color="auto" w:fill="auto"/>
          </w:tcPr>
          <w:p w14:paraId="74AE73B1" w14:textId="77777777" w:rsidR="00005530" w:rsidRPr="00AF61FA" w:rsidRDefault="00005530" w:rsidP="0010015D">
            <w:pPr>
              <w:pStyle w:val="ENoteTableText"/>
            </w:pPr>
          </w:p>
        </w:tc>
      </w:tr>
      <w:tr w:rsidR="00005530" w:rsidRPr="00AF61FA" w14:paraId="1155C6A5" w14:textId="77777777" w:rsidTr="0010015D">
        <w:trPr>
          <w:cantSplit/>
        </w:trPr>
        <w:tc>
          <w:tcPr>
            <w:tcW w:w="2139" w:type="dxa"/>
            <w:shd w:val="clear" w:color="auto" w:fill="auto"/>
          </w:tcPr>
          <w:p w14:paraId="0B02C268" w14:textId="54C97C2D" w:rsidR="00005530" w:rsidRPr="006E478E" w:rsidRDefault="00CF2182" w:rsidP="00CF4CDA">
            <w:pPr>
              <w:pStyle w:val="ENoteTableText"/>
              <w:tabs>
                <w:tab w:val="center" w:leader="dot" w:pos="2268"/>
              </w:tabs>
            </w:pPr>
            <w:r>
              <w:t>s</w:t>
            </w:r>
            <w:r w:rsidR="006028FA">
              <w:t xml:space="preserve"> </w:t>
            </w:r>
            <w:r>
              <w:t>5</w:t>
            </w:r>
          </w:p>
        </w:tc>
        <w:tc>
          <w:tcPr>
            <w:tcW w:w="4943" w:type="dxa"/>
            <w:shd w:val="clear" w:color="auto" w:fill="auto"/>
          </w:tcPr>
          <w:p w14:paraId="03E8B433" w14:textId="77777777" w:rsidR="00005530" w:rsidRPr="00AF61FA" w:rsidRDefault="00005530" w:rsidP="00CF4CDA">
            <w:pPr>
              <w:pStyle w:val="ENoteTableText"/>
              <w:tabs>
                <w:tab w:val="center" w:leader="dot" w:pos="2268"/>
              </w:tabs>
            </w:pPr>
            <w:r>
              <w:t xml:space="preserve">am </w:t>
            </w:r>
            <w:r w:rsidR="00CF4CDA">
              <w:t>F2017L00596</w:t>
            </w:r>
          </w:p>
        </w:tc>
      </w:tr>
      <w:tr w:rsidR="006028FA" w:rsidRPr="00AF61FA" w14:paraId="5C166EA1" w14:textId="77777777" w:rsidTr="0010015D">
        <w:trPr>
          <w:cantSplit/>
        </w:trPr>
        <w:tc>
          <w:tcPr>
            <w:tcW w:w="2139" w:type="dxa"/>
            <w:shd w:val="clear" w:color="auto" w:fill="auto"/>
          </w:tcPr>
          <w:p w14:paraId="045A79F7" w14:textId="6354FA6E" w:rsidR="006028FA" w:rsidRDefault="006028FA" w:rsidP="006028FA">
            <w:pPr>
              <w:pStyle w:val="ENoteTableText"/>
              <w:tabs>
                <w:tab w:val="center" w:leader="dot" w:pos="2268"/>
              </w:tabs>
            </w:pPr>
            <w:r>
              <w:rPr>
                <w:b/>
              </w:rPr>
              <w:t>Part 2</w:t>
            </w:r>
          </w:p>
        </w:tc>
        <w:tc>
          <w:tcPr>
            <w:tcW w:w="4943" w:type="dxa"/>
            <w:shd w:val="clear" w:color="auto" w:fill="auto"/>
          </w:tcPr>
          <w:p w14:paraId="1E05B5A6" w14:textId="77777777" w:rsidR="006028FA" w:rsidRDefault="006028FA" w:rsidP="006028FA">
            <w:pPr>
              <w:pStyle w:val="ENoteTableText"/>
              <w:tabs>
                <w:tab w:val="center" w:leader="dot" w:pos="2268"/>
              </w:tabs>
            </w:pPr>
          </w:p>
        </w:tc>
      </w:tr>
      <w:tr w:rsidR="006028FA" w:rsidRPr="00AF61FA" w14:paraId="7CE22C69" w14:textId="77777777" w:rsidTr="0010015D">
        <w:trPr>
          <w:cantSplit/>
        </w:trPr>
        <w:tc>
          <w:tcPr>
            <w:tcW w:w="2139" w:type="dxa"/>
            <w:shd w:val="clear" w:color="auto" w:fill="auto"/>
          </w:tcPr>
          <w:p w14:paraId="22B271AC" w14:textId="77777777" w:rsidR="006028FA" w:rsidRPr="006E478E" w:rsidRDefault="006028FA" w:rsidP="006028FA">
            <w:pPr>
              <w:pStyle w:val="ENoteTableText"/>
              <w:tabs>
                <w:tab w:val="center" w:leader="dot" w:pos="2268"/>
              </w:tabs>
            </w:pPr>
            <w:r>
              <w:t>s 6</w:t>
            </w:r>
          </w:p>
        </w:tc>
        <w:tc>
          <w:tcPr>
            <w:tcW w:w="4943" w:type="dxa"/>
            <w:shd w:val="clear" w:color="auto" w:fill="auto"/>
          </w:tcPr>
          <w:p w14:paraId="32BFA322" w14:textId="77777777" w:rsidR="006028FA" w:rsidRDefault="006028FA" w:rsidP="006028FA">
            <w:pPr>
              <w:pStyle w:val="ENoteTableText"/>
              <w:tabs>
                <w:tab w:val="center" w:leader="dot" w:pos="2268"/>
              </w:tabs>
            </w:pPr>
            <w:r>
              <w:t>am F2017L00596</w:t>
            </w:r>
          </w:p>
        </w:tc>
      </w:tr>
      <w:tr w:rsidR="006028FA" w:rsidRPr="00AF61FA" w14:paraId="43FDAA26" w14:textId="77777777" w:rsidTr="0010015D">
        <w:trPr>
          <w:cantSplit/>
        </w:trPr>
        <w:tc>
          <w:tcPr>
            <w:tcW w:w="2139" w:type="dxa"/>
            <w:shd w:val="clear" w:color="auto" w:fill="auto"/>
          </w:tcPr>
          <w:p w14:paraId="0BCEA8EA" w14:textId="77777777" w:rsidR="006028FA" w:rsidRDefault="006028FA" w:rsidP="006028FA">
            <w:pPr>
              <w:pStyle w:val="ENoteTableText"/>
              <w:tabs>
                <w:tab w:val="center" w:leader="dot" w:pos="2268"/>
              </w:tabs>
            </w:pPr>
            <w:r w:rsidRPr="00CF4CDA">
              <w:rPr>
                <w:b/>
              </w:rPr>
              <w:t>Part 3</w:t>
            </w:r>
          </w:p>
        </w:tc>
        <w:tc>
          <w:tcPr>
            <w:tcW w:w="4943" w:type="dxa"/>
            <w:shd w:val="clear" w:color="auto" w:fill="auto"/>
          </w:tcPr>
          <w:p w14:paraId="1232DAB9" w14:textId="77777777" w:rsidR="006028FA" w:rsidRDefault="006028FA" w:rsidP="006028FA">
            <w:pPr>
              <w:pStyle w:val="ENoteTableText"/>
              <w:tabs>
                <w:tab w:val="center" w:leader="dot" w:pos="2268"/>
              </w:tabs>
            </w:pPr>
          </w:p>
        </w:tc>
      </w:tr>
      <w:tr w:rsidR="006028FA" w:rsidRPr="00AF61FA" w14:paraId="44F2FC31" w14:textId="77777777" w:rsidTr="0010015D">
        <w:trPr>
          <w:cantSplit/>
        </w:trPr>
        <w:tc>
          <w:tcPr>
            <w:tcW w:w="2139" w:type="dxa"/>
            <w:shd w:val="clear" w:color="auto" w:fill="auto"/>
          </w:tcPr>
          <w:p w14:paraId="75753D75" w14:textId="77777777" w:rsidR="006028FA" w:rsidRDefault="006028FA" w:rsidP="006028FA">
            <w:pPr>
              <w:pStyle w:val="ENoteTableText"/>
              <w:tabs>
                <w:tab w:val="center" w:leader="dot" w:pos="2268"/>
              </w:tabs>
            </w:pPr>
            <w:r>
              <w:t>Boxed note before s 7</w:t>
            </w:r>
          </w:p>
        </w:tc>
        <w:tc>
          <w:tcPr>
            <w:tcW w:w="4943" w:type="dxa"/>
            <w:shd w:val="clear" w:color="auto" w:fill="auto"/>
          </w:tcPr>
          <w:p w14:paraId="2DC3A08D" w14:textId="77777777" w:rsidR="006028FA" w:rsidRDefault="006028FA" w:rsidP="006028FA">
            <w:pPr>
              <w:pStyle w:val="ENoteTableText"/>
              <w:tabs>
                <w:tab w:val="center" w:leader="dot" w:pos="2268"/>
              </w:tabs>
            </w:pPr>
            <w:r>
              <w:t>rs F2017L00596</w:t>
            </w:r>
          </w:p>
        </w:tc>
      </w:tr>
      <w:tr w:rsidR="006028FA" w:rsidRPr="00AF61FA" w14:paraId="5B702F5F" w14:textId="77777777" w:rsidTr="0010015D">
        <w:trPr>
          <w:cantSplit/>
        </w:trPr>
        <w:tc>
          <w:tcPr>
            <w:tcW w:w="2139" w:type="dxa"/>
            <w:shd w:val="clear" w:color="auto" w:fill="auto"/>
          </w:tcPr>
          <w:p w14:paraId="38C1BBC4" w14:textId="77777777" w:rsidR="006028FA" w:rsidRDefault="006028FA" w:rsidP="006028FA">
            <w:pPr>
              <w:pStyle w:val="ENoteTableText"/>
              <w:tabs>
                <w:tab w:val="center" w:leader="dot" w:pos="2268"/>
              </w:tabs>
            </w:pPr>
            <w:r>
              <w:t>s 8</w:t>
            </w:r>
          </w:p>
        </w:tc>
        <w:tc>
          <w:tcPr>
            <w:tcW w:w="4943" w:type="dxa"/>
            <w:shd w:val="clear" w:color="auto" w:fill="auto"/>
          </w:tcPr>
          <w:p w14:paraId="7B4D317B" w14:textId="77777777" w:rsidR="006028FA" w:rsidRDefault="006028FA" w:rsidP="006028FA">
            <w:pPr>
              <w:pStyle w:val="ENoteTableText"/>
              <w:tabs>
                <w:tab w:val="center" w:leader="dot" w:pos="2268"/>
              </w:tabs>
            </w:pPr>
            <w:r>
              <w:t>rs F2017L00596</w:t>
            </w:r>
          </w:p>
        </w:tc>
      </w:tr>
      <w:tr w:rsidR="006028FA" w:rsidRPr="00AF61FA" w14:paraId="27786D53" w14:textId="77777777" w:rsidTr="0010015D">
        <w:trPr>
          <w:cantSplit/>
        </w:trPr>
        <w:tc>
          <w:tcPr>
            <w:tcW w:w="2139" w:type="dxa"/>
            <w:shd w:val="clear" w:color="auto" w:fill="auto"/>
          </w:tcPr>
          <w:p w14:paraId="79D63ABB" w14:textId="77777777" w:rsidR="006028FA" w:rsidRDefault="006028FA" w:rsidP="006028FA">
            <w:pPr>
              <w:pStyle w:val="ENoteTableText"/>
              <w:tabs>
                <w:tab w:val="center" w:leader="dot" w:pos="2268"/>
              </w:tabs>
            </w:pPr>
            <w:r>
              <w:t>s 9</w:t>
            </w:r>
          </w:p>
        </w:tc>
        <w:tc>
          <w:tcPr>
            <w:tcW w:w="4943" w:type="dxa"/>
            <w:shd w:val="clear" w:color="auto" w:fill="auto"/>
          </w:tcPr>
          <w:p w14:paraId="2A98155D" w14:textId="77777777" w:rsidR="006028FA" w:rsidRDefault="006028FA" w:rsidP="006028FA">
            <w:pPr>
              <w:pStyle w:val="ENoteTableText"/>
              <w:tabs>
                <w:tab w:val="center" w:leader="dot" w:pos="2268"/>
              </w:tabs>
            </w:pPr>
            <w:r>
              <w:t>rs F2017L00596</w:t>
            </w:r>
          </w:p>
        </w:tc>
      </w:tr>
      <w:tr w:rsidR="006028FA" w:rsidRPr="00AF61FA" w14:paraId="076F9807" w14:textId="77777777" w:rsidTr="0010015D">
        <w:trPr>
          <w:cantSplit/>
        </w:trPr>
        <w:tc>
          <w:tcPr>
            <w:tcW w:w="2139" w:type="dxa"/>
            <w:shd w:val="clear" w:color="auto" w:fill="auto"/>
          </w:tcPr>
          <w:p w14:paraId="5206C924" w14:textId="77777777" w:rsidR="006028FA" w:rsidRDefault="006028FA" w:rsidP="006028FA">
            <w:pPr>
              <w:pStyle w:val="ENoteTableText"/>
              <w:tabs>
                <w:tab w:val="center" w:leader="dot" w:pos="2268"/>
              </w:tabs>
            </w:pPr>
            <w:r>
              <w:t>s 10</w:t>
            </w:r>
          </w:p>
        </w:tc>
        <w:tc>
          <w:tcPr>
            <w:tcW w:w="4943" w:type="dxa"/>
            <w:shd w:val="clear" w:color="auto" w:fill="auto"/>
          </w:tcPr>
          <w:p w14:paraId="695F488F" w14:textId="77777777" w:rsidR="006028FA" w:rsidRDefault="006028FA" w:rsidP="006028FA">
            <w:pPr>
              <w:pStyle w:val="ENoteTableText"/>
              <w:tabs>
                <w:tab w:val="center" w:leader="dot" w:pos="2268"/>
              </w:tabs>
            </w:pPr>
            <w:r>
              <w:t>rs F2017L00596</w:t>
            </w:r>
          </w:p>
        </w:tc>
      </w:tr>
      <w:tr w:rsidR="006028FA" w:rsidRPr="00AF61FA" w14:paraId="1142776F" w14:textId="77777777" w:rsidTr="0010015D">
        <w:trPr>
          <w:cantSplit/>
        </w:trPr>
        <w:tc>
          <w:tcPr>
            <w:tcW w:w="2139" w:type="dxa"/>
            <w:shd w:val="clear" w:color="auto" w:fill="auto"/>
          </w:tcPr>
          <w:p w14:paraId="5F28049B" w14:textId="77777777" w:rsidR="006028FA" w:rsidRDefault="006028FA" w:rsidP="006028FA">
            <w:pPr>
              <w:pStyle w:val="ENoteTableText"/>
              <w:tabs>
                <w:tab w:val="center" w:leader="dot" w:pos="2268"/>
              </w:tabs>
            </w:pPr>
            <w:r>
              <w:t>s 11</w:t>
            </w:r>
          </w:p>
        </w:tc>
        <w:tc>
          <w:tcPr>
            <w:tcW w:w="4943" w:type="dxa"/>
            <w:shd w:val="clear" w:color="auto" w:fill="auto"/>
          </w:tcPr>
          <w:p w14:paraId="1D4593C4" w14:textId="77777777" w:rsidR="006028FA" w:rsidRDefault="006028FA" w:rsidP="006028FA">
            <w:pPr>
              <w:pStyle w:val="ENoteTableText"/>
              <w:tabs>
                <w:tab w:val="center" w:leader="dot" w:pos="2268"/>
              </w:tabs>
            </w:pPr>
            <w:r>
              <w:t>rs F2017L00596</w:t>
            </w:r>
          </w:p>
        </w:tc>
      </w:tr>
      <w:tr w:rsidR="006028FA" w:rsidRPr="00AF61FA" w14:paraId="2B0225EB" w14:textId="77777777" w:rsidTr="0010015D">
        <w:trPr>
          <w:cantSplit/>
        </w:trPr>
        <w:tc>
          <w:tcPr>
            <w:tcW w:w="2139" w:type="dxa"/>
            <w:shd w:val="clear" w:color="auto" w:fill="auto"/>
          </w:tcPr>
          <w:p w14:paraId="3DEC9DC3" w14:textId="77777777" w:rsidR="006028FA" w:rsidRDefault="006028FA" w:rsidP="006028FA">
            <w:pPr>
              <w:pStyle w:val="ENoteTableText"/>
              <w:tabs>
                <w:tab w:val="center" w:leader="dot" w:pos="2268"/>
              </w:tabs>
            </w:pPr>
            <w:r>
              <w:t>s 12</w:t>
            </w:r>
          </w:p>
        </w:tc>
        <w:tc>
          <w:tcPr>
            <w:tcW w:w="4943" w:type="dxa"/>
            <w:shd w:val="clear" w:color="auto" w:fill="auto"/>
          </w:tcPr>
          <w:p w14:paraId="396D23C6" w14:textId="77777777" w:rsidR="006028FA" w:rsidRDefault="006028FA" w:rsidP="006028FA">
            <w:pPr>
              <w:pStyle w:val="ENoteTableText"/>
              <w:tabs>
                <w:tab w:val="center" w:leader="dot" w:pos="2268"/>
              </w:tabs>
            </w:pPr>
            <w:r>
              <w:t>rs F2017L00596</w:t>
            </w:r>
          </w:p>
        </w:tc>
      </w:tr>
      <w:tr w:rsidR="006028FA" w:rsidRPr="00AF61FA" w14:paraId="5125C59A" w14:textId="77777777" w:rsidTr="0010015D">
        <w:trPr>
          <w:cantSplit/>
        </w:trPr>
        <w:tc>
          <w:tcPr>
            <w:tcW w:w="2139" w:type="dxa"/>
            <w:shd w:val="clear" w:color="auto" w:fill="auto"/>
          </w:tcPr>
          <w:p w14:paraId="0C756AB0" w14:textId="77777777" w:rsidR="006028FA" w:rsidRDefault="006028FA" w:rsidP="006028FA">
            <w:pPr>
              <w:pStyle w:val="ENoteTableText"/>
              <w:tabs>
                <w:tab w:val="center" w:leader="dot" w:pos="2268"/>
              </w:tabs>
            </w:pPr>
            <w:r>
              <w:t>s 13</w:t>
            </w:r>
          </w:p>
        </w:tc>
        <w:tc>
          <w:tcPr>
            <w:tcW w:w="4943" w:type="dxa"/>
            <w:shd w:val="clear" w:color="auto" w:fill="auto"/>
          </w:tcPr>
          <w:p w14:paraId="0F8A8BE7" w14:textId="77777777" w:rsidR="006028FA" w:rsidRDefault="006028FA" w:rsidP="006028FA">
            <w:pPr>
              <w:pStyle w:val="ENoteTableText"/>
              <w:tabs>
                <w:tab w:val="center" w:leader="dot" w:pos="2268"/>
              </w:tabs>
            </w:pPr>
            <w:r>
              <w:t>rs F2017L00596</w:t>
            </w:r>
          </w:p>
        </w:tc>
      </w:tr>
      <w:tr w:rsidR="006028FA" w:rsidRPr="00AF61FA" w14:paraId="1B0B1861" w14:textId="77777777" w:rsidTr="0010015D">
        <w:trPr>
          <w:cantSplit/>
        </w:trPr>
        <w:tc>
          <w:tcPr>
            <w:tcW w:w="2139" w:type="dxa"/>
            <w:shd w:val="clear" w:color="auto" w:fill="auto"/>
          </w:tcPr>
          <w:p w14:paraId="311A96FD" w14:textId="4E183044" w:rsidR="006028FA" w:rsidRDefault="006028FA" w:rsidP="006028FA">
            <w:pPr>
              <w:pStyle w:val="ENoteTableText"/>
              <w:tabs>
                <w:tab w:val="center" w:leader="dot" w:pos="2268"/>
              </w:tabs>
            </w:pPr>
            <w:r>
              <w:t>s 14</w:t>
            </w:r>
          </w:p>
        </w:tc>
        <w:tc>
          <w:tcPr>
            <w:tcW w:w="4943" w:type="dxa"/>
            <w:shd w:val="clear" w:color="auto" w:fill="auto"/>
          </w:tcPr>
          <w:p w14:paraId="641F2CEB" w14:textId="77777777" w:rsidR="006028FA" w:rsidRDefault="006028FA" w:rsidP="006028FA">
            <w:pPr>
              <w:pStyle w:val="ENoteTableText"/>
              <w:tabs>
                <w:tab w:val="center" w:leader="dot" w:pos="2268"/>
              </w:tabs>
            </w:pPr>
            <w:r>
              <w:t>rs F2017L00596</w:t>
            </w:r>
          </w:p>
        </w:tc>
      </w:tr>
      <w:tr w:rsidR="006028FA" w:rsidRPr="00AF61FA" w14:paraId="56A35BDE" w14:textId="77777777" w:rsidTr="0010015D">
        <w:trPr>
          <w:cantSplit/>
        </w:trPr>
        <w:tc>
          <w:tcPr>
            <w:tcW w:w="2139" w:type="dxa"/>
            <w:shd w:val="clear" w:color="auto" w:fill="auto"/>
          </w:tcPr>
          <w:p w14:paraId="13B2EF06" w14:textId="77777777" w:rsidR="006028FA" w:rsidRDefault="006028FA" w:rsidP="006028FA">
            <w:pPr>
              <w:pStyle w:val="ENoteTableText"/>
              <w:tabs>
                <w:tab w:val="center" w:leader="dot" w:pos="2268"/>
              </w:tabs>
            </w:pPr>
            <w:r>
              <w:t>s 15</w:t>
            </w:r>
          </w:p>
        </w:tc>
        <w:tc>
          <w:tcPr>
            <w:tcW w:w="4943" w:type="dxa"/>
            <w:shd w:val="clear" w:color="auto" w:fill="auto"/>
          </w:tcPr>
          <w:p w14:paraId="52886BFB" w14:textId="77777777" w:rsidR="006028FA" w:rsidRDefault="006028FA" w:rsidP="006028FA">
            <w:pPr>
              <w:pStyle w:val="ENoteTableText"/>
              <w:tabs>
                <w:tab w:val="center" w:leader="dot" w:pos="2268"/>
              </w:tabs>
            </w:pPr>
            <w:r>
              <w:t>rs F2017L00596</w:t>
            </w:r>
          </w:p>
        </w:tc>
      </w:tr>
      <w:tr w:rsidR="006028FA" w:rsidRPr="00AF61FA" w14:paraId="52C50988" w14:textId="77777777" w:rsidTr="0010015D">
        <w:trPr>
          <w:cantSplit/>
        </w:trPr>
        <w:tc>
          <w:tcPr>
            <w:tcW w:w="2139" w:type="dxa"/>
            <w:shd w:val="clear" w:color="auto" w:fill="auto"/>
          </w:tcPr>
          <w:p w14:paraId="54082BC3" w14:textId="77777777" w:rsidR="006028FA" w:rsidRDefault="006028FA" w:rsidP="006028FA">
            <w:pPr>
              <w:pStyle w:val="ENoteTableText"/>
              <w:tabs>
                <w:tab w:val="center" w:leader="dot" w:pos="2268"/>
              </w:tabs>
            </w:pPr>
            <w:r>
              <w:t>s 16</w:t>
            </w:r>
          </w:p>
        </w:tc>
        <w:tc>
          <w:tcPr>
            <w:tcW w:w="4943" w:type="dxa"/>
            <w:shd w:val="clear" w:color="auto" w:fill="auto"/>
          </w:tcPr>
          <w:p w14:paraId="5883C90E" w14:textId="77777777" w:rsidR="006028FA" w:rsidRDefault="006028FA" w:rsidP="006028FA">
            <w:pPr>
              <w:pStyle w:val="ENoteTableText"/>
              <w:tabs>
                <w:tab w:val="center" w:leader="dot" w:pos="2268"/>
              </w:tabs>
            </w:pPr>
            <w:r>
              <w:t>rs F2017L00596</w:t>
            </w:r>
          </w:p>
        </w:tc>
      </w:tr>
      <w:tr w:rsidR="006028FA" w:rsidRPr="00AF61FA" w14:paraId="511BDAE1" w14:textId="77777777" w:rsidTr="0010015D">
        <w:trPr>
          <w:cantSplit/>
        </w:trPr>
        <w:tc>
          <w:tcPr>
            <w:tcW w:w="2139" w:type="dxa"/>
            <w:shd w:val="clear" w:color="auto" w:fill="auto"/>
          </w:tcPr>
          <w:p w14:paraId="6C0B9260" w14:textId="77777777" w:rsidR="006028FA" w:rsidRDefault="006028FA" w:rsidP="006028FA">
            <w:pPr>
              <w:pStyle w:val="ENoteTableText"/>
              <w:tabs>
                <w:tab w:val="center" w:leader="dot" w:pos="2268"/>
              </w:tabs>
            </w:pPr>
            <w:r>
              <w:t>s 18A</w:t>
            </w:r>
          </w:p>
        </w:tc>
        <w:tc>
          <w:tcPr>
            <w:tcW w:w="4943" w:type="dxa"/>
            <w:shd w:val="clear" w:color="auto" w:fill="auto"/>
          </w:tcPr>
          <w:p w14:paraId="12FB6344" w14:textId="77777777" w:rsidR="006028FA" w:rsidRDefault="006028FA" w:rsidP="006028FA">
            <w:pPr>
              <w:pStyle w:val="ENoteTableText"/>
              <w:tabs>
                <w:tab w:val="center" w:leader="dot" w:pos="2268"/>
              </w:tabs>
            </w:pPr>
            <w:r>
              <w:t>ad F2017L00596</w:t>
            </w:r>
          </w:p>
        </w:tc>
      </w:tr>
      <w:tr w:rsidR="006028FA" w:rsidRPr="00AF61FA" w14:paraId="70AD32AF" w14:textId="77777777" w:rsidTr="00E805C1">
        <w:trPr>
          <w:cantSplit/>
        </w:trPr>
        <w:tc>
          <w:tcPr>
            <w:tcW w:w="2139" w:type="dxa"/>
            <w:shd w:val="clear" w:color="auto" w:fill="auto"/>
          </w:tcPr>
          <w:p w14:paraId="34A8C5E7" w14:textId="77777777" w:rsidR="006028FA" w:rsidRDefault="006028FA" w:rsidP="006028FA">
            <w:pPr>
              <w:pStyle w:val="ENoteTableText"/>
              <w:tabs>
                <w:tab w:val="center" w:leader="dot" w:pos="2268"/>
              </w:tabs>
            </w:pPr>
            <w:r w:rsidRPr="00CF4CDA">
              <w:rPr>
                <w:b/>
              </w:rPr>
              <w:t>P</w:t>
            </w:r>
            <w:r>
              <w:rPr>
                <w:b/>
              </w:rPr>
              <w:t>art 4</w:t>
            </w:r>
          </w:p>
        </w:tc>
        <w:tc>
          <w:tcPr>
            <w:tcW w:w="4943" w:type="dxa"/>
            <w:shd w:val="clear" w:color="auto" w:fill="auto"/>
          </w:tcPr>
          <w:p w14:paraId="49BCF26E" w14:textId="77777777" w:rsidR="006028FA" w:rsidRDefault="006028FA" w:rsidP="006028FA">
            <w:pPr>
              <w:pStyle w:val="ENoteTableText"/>
              <w:tabs>
                <w:tab w:val="center" w:leader="dot" w:pos="2268"/>
              </w:tabs>
            </w:pPr>
          </w:p>
        </w:tc>
      </w:tr>
      <w:tr w:rsidR="006028FA" w:rsidRPr="00AF61FA" w14:paraId="5436AEFD" w14:textId="77777777" w:rsidTr="0010015D">
        <w:trPr>
          <w:cantSplit/>
        </w:trPr>
        <w:tc>
          <w:tcPr>
            <w:tcW w:w="2139" w:type="dxa"/>
            <w:shd w:val="clear" w:color="auto" w:fill="auto"/>
          </w:tcPr>
          <w:p w14:paraId="3F7E63C7" w14:textId="77777777" w:rsidR="006028FA" w:rsidRDefault="006028FA" w:rsidP="006028FA">
            <w:pPr>
              <w:pStyle w:val="ENoteTableText"/>
              <w:tabs>
                <w:tab w:val="center" w:leader="dot" w:pos="2268"/>
              </w:tabs>
            </w:pPr>
            <w:r>
              <w:t>s 19</w:t>
            </w:r>
          </w:p>
        </w:tc>
        <w:tc>
          <w:tcPr>
            <w:tcW w:w="4943" w:type="dxa"/>
            <w:shd w:val="clear" w:color="auto" w:fill="auto"/>
          </w:tcPr>
          <w:p w14:paraId="6EC69B0A" w14:textId="77777777" w:rsidR="006028FA" w:rsidRDefault="006028FA" w:rsidP="006028FA">
            <w:pPr>
              <w:pStyle w:val="ENoteTableText"/>
              <w:tabs>
                <w:tab w:val="center" w:leader="dot" w:pos="2268"/>
              </w:tabs>
            </w:pPr>
            <w:r>
              <w:t>am F2017L00596</w:t>
            </w:r>
          </w:p>
        </w:tc>
      </w:tr>
      <w:tr w:rsidR="006028FA" w:rsidRPr="00AF61FA" w14:paraId="32142363" w14:textId="77777777" w:rsidTr="0010015D">
        <w:trPr>
          <w:cantSplit/>
        </w:trPr>
        <w:tc>
          <w:tcPr>
            <w:tcW w:w="2139" w:type="dxa"/>
            <w:shd w:val="clear" w:color="auto" w:fill="auto"/>
          </w:tcPr>
          <w:p w14:paraId="50E41087" w14:textId="77777777" w:rsidR="006028FA" w:rsidRDefault="006028FA" w:rsidP="006028FA">
            <w:pPr>
              <w:pStyle w:val="ENoteTableText"/>
              <w:tabs>
                <w:tab w:val="center" w:leader="dot" w:pos="2268"/>
              </w:tabs>
            </w:pPr>
            <w:r>
              <w:t>s 21</w:t>
            </w:r>
          </w:p>
        </w:tc>
        <w:tc>
          <w:tcPr>
            <w:tcW w:w="4943" w:type="dxa"/>
            <w:shd w:val="clear" w:color="auto" w:fill="auto"/>
          </w:tcPr>
          <w:p w14:paraId="585AE51B" w14:textId="77777777" w:rsidR="006028FA" w:rsidRDefault="006028FA" w:rsidP="006028FA">
            <w:pPr>
              <w:pStyle w:val="ENoteTableText"/>
              <w:tabs>
                <w:tab w:val="center" w:leader="dot" w:pos="2268"/>
              </w:tabs>
            </w:pPr>
            <w:r>
              <w:t>rs F2017L00596</w:t>
            </w:r>
          </w:p>
        </w:tc>
      </w:tr>
      <w:tr w:rsidR="006028FA" w:rsidRPr="00AF61FA" w14:paraId="25C29F51" w14:textId="77777777" w:rsidTr="0010015D">
        <w:trPr>
          <w:cantSplit/>
        </w:trPr>
        <w:tc>
          <w:tcPr>
            <w:tcW w:w="2139" w:type="dxa"/>
            <w:shd w:val="clear" w:color="auto" w:fill="auto"/>
          </w:tcPr>
          <w:p w14:paraId="499E59FE" w14:textId="77777777" w:rsidR="006028FA" w:rsidRDefault="006028FA" w:rsidP="006028FA">
            <w:pPr>
              <w:pStyle w:val="ENoteTableText"/>
              <w:tabs>
                <w:tab w:val="center" w:leader="dot" w:pos="2268"/>
              </w:tabs>
            </w:pPr>
            <w:r>
              <w:t>s 21A</w:t>
            </w:r>
          </w:p>
        </w:tc>
        <w:tc>
          <w:tcPr>
            <w:tcW w:w="4943" w:type="dxa"/>
            <w:shd w:val="clear" w:color="auto" w:fill="auto"/>
          </w:tcPr>
          <w:p w14:paraId="5AEF349F" w14:textId="77777777" w:rsidR="006028FA" w:rsidRDefault="006028FA" w:rsidP="006028FA">
            <w:pPr>
              <w:pStyle w:val="ENoteTableText"/>
              <w:tabs>
                <w:tab w:val="center" w:leader="dot" w:pos="2268"/>
              </w:tabs>
            </w:pPr>
            <w:r>
              <w:t>ad F2017L00596</w:t>
            </w:r>
          </w:p>
        </w:tc>
      </w:tr>
      <w:tr w:rsidR="006028FA" w:rsidRPr="00AF61FA" w14:paraId="2A35B8B7" w14:textId="77777777" w:rsidTr="0010015D">
        <w:trPr>
          <w:cantSplit/>
        </w:trPr>
        <w:tc>
          <w:tcPr>
            <w:tcW w:w="2139" w:type="dxa"/>
            <w:shd w:val="clear" w:color="auto" w:fill="auto"/>
          </w:tcPr>
          <w:p w14:paraId="36669AF4" w14:textId="77777777" w:rsidR="006028FA" w:rsidRDefault="006028FA" w:rsidP="006028FA">
            <w:pPr>
              <w:pStyle w:val="ENoteTableText"/>
              <w:tabs>
                <w:tab w:val="center" w:leader="dot" w:pos="2268"/>
              </w:tabs>
            </w:pPr>
            <w:r>
              <w:t>s 21B</w:t>
            </w:r>
          </w:p>
        </w:tc>
        <w:tc>
          <w:tcPr>
            <w:tcW w:w="4943" w:type="dxa"/>
            <w:shd w:val="clear" w:color="auto" w:fill="auto"/>
          </w:tcPr>
          <w:p w14:paraId="195342C8" w14:textId="77777777" w:rsidR="006028FA" w:rsidRDefault="006028FA" w:rsidP="006028FA">
            <w:pPr>
              <w:pStyle w:val="ENoteTableText"/>
              <w:tabs>
                <w:tab w:val="center" w:leader="dot" w:pos="2268"/>
              </w:tabs>
            </w:pPr>
            <w:r>
              <w:t>ad F2017L00596</w:t>
            </w:r>
          </w:p>
        </w:tc>
      </w:tr>
      <w:tr w:rsidR="006028FA" w:rsidRPr="00AF61FA" w14:paraId="4AF7BC8D" w14:textId="77777777" w:rsidTr="0010015D">
        <w:trPr>
          <w:cantSplit/>
        </w:trPr>
        <w:tc>
          <w:tcPr>
            <w:tcW w:w="2139" w:type="dxa"/>
            <w:shd w:val="clear" w:color="auto" w:fill="auto"/>
          </w:tcPr>
          <w:p w14:paraId="69FC17F3" w14:textId="77777777" w:rsidR="006028FA" w:rsidRDefault="006028FA" w:rsidP="006028FA">
            <w:pPr>
              <w:pStyle w:val="ENoteTableText"/>
              <w:tabs>
                <w:tab w:val="center" w:leader="dot" w:pos="2268"/>
              </w:tabs>
            </w:pPr>
            <w:r>
              <w:t>s 21C</w:t>
            </w:r>
          </w:p>
        </w:tc>
        <w:tc>
          <w:tcPr>
            <w:tcW w:w="4943" w:type="dxa"/>
            <w:shd w:val="clear" w:color="auto" w:fill="auto"/>
          </w:tcPr>
          <w:p w14:paraId="072FAC75" w14:textId="77777777" w:rsidR="006028FA" w:rsidRDefault="006028FA" w:rsidP="006028FA">
            <w:pPr>
              <w:pStyle w:val="ENoteTableText"/>
              <w:tabs>
                <w:tab w:val="center" w:leader="dot" w:pos="2268"/>
              </w:tabs>
            </w:pPr>
            <w:r>
              <w:t>ad F2017L00596</w:t>
            </w:r>
          </w:p>
        </w:tc>
      </w:tr>
      <w:tr w:rsidR="006028FA" w:rsidRPr="00AF61FA" w14:paraId="05D007E0" w14:textId="77777777" w:rsidTr="0010015D">
        <w:trPr>
          <w:cantSplit/>
        </w:trPr>
        <w:tc>
          <w:tcPr>
            <w:tcW w:w="2139" w:type="dxa"/>
            <w:shd w:val="clear" w:color="auto" w:fill="auto"/>
          </w:tcPr>
          <w:p w14:paraId="1D0941F8" w14:textId="77777777" w:rsidR="006028FA" w:rsidRDefault="006028FA" w:rsidP="006028FA">
            <w:pPr>
              <w:pStyle w:val="ENoteTableText"/>
              <w:tabs>
                <w:tab w:val="center" w:leader="dot" w:pos="2268"/>
              </w:tabs>
            </w:pPr>
            <w:r>
              <w:t>s 23</w:t>
            </w:r>
          </w:p>
        </w:tc>
        <w:tc>
          <w:tcPr>
            <w:tcW w:w="4943" w:type="dxa"/>
            <w:shd w:val="clear" w:color="auto" w:fill="auto"/>
          </w:tcPr>
          <w:p w14:paraId="07348B48" w14:textId="77777777" w:rsidR="006028FA" w:rsidRDefault="006028FA" w:rsidP="006028FA">
            <w:pPr>
              <w:pStyle w:val="ENoteTableText"/>
              <w:tabs>
                <w:tab w:val="center" w:leader="dot" w:pos="2268"/>
              </w:tabs>
            </w:pPr>
            <w:r>
              <w:t>am F2017L00596</w:t>
            </w:r>
          </w:p>
        </w:tc>
      </w:tr>
      <w:tr w:rsidR="006028FA" w:rsidRPr="00AF61FA" w14:paraId="30D8B92E" w14:textId="77777777" w:rsidTr="0010015D">
        <w:trPr>
          <w:cantSplit/>
        </w:trPr>
        <w:tc>
          <w:tcPr>
            <w:tcW w:w="2139" w:type="dxa"/>
            <w:shd w:val="clear" w:color="auto" w:fill="auto"/>
          </w:tcPr>
          <w:p w14:paraId="18CAD121" w14:textId="77777777" w:rsidR="006028FA" w:rsidRDefault="006028FA" w:rsidP="006028FA">
            <w:pPr>
              <w:pStyle w:val="ENoteTableText"/>
              <w:tabs>
                <w:tab w:val="center" w:leader="dot" w:pos="2268"/>
              </w:tabs>
            </w:pPr>
            <w:r>
              <w:t>s 24</w:t>
            </w:r>
          </w:p>
        </w:tc>
        <w:tc>
          <w:tcPr>
            <w:tcW w:w="4943" w:type="dxa"/>
            <w:shd w:val="clear" w:color="auto" w:fill="auto"/>
          </w:tcPr>
          <w:p w14:paraId="37C58DAB" w14:textId="77777777" w:rsidR="006028FA" w:rsidRDefault="006028FA" w:rsidP="006028FA">
            <w:pPr>
              <w:pStyle w:val="ENoteTableText"/>
              <w:tabs>
                <w:tab w:val="center" w:leader="dot" w:pos="2268"/>
              </w:tabs>
            </w:pPr>
            <w:r>
              <w:t>am F2017L00596</w:t>
            </w:r>
          </w:p>
        </w:tc>
      </w:tr>
      <w:tr w:rsidR="006028FA" w:rsidRPr="00AF61FA" w14:paraId="30B8EB3C" w14:textId="77777777" w:rsidTr="0010015D">
        <w:trPr>
          <w:cantSplit/>
        </w:trPr>
        <w:tc>
          <w:tcPr>
            <w:tcW w:w="2139" w:type="dxa"/>
            <w:shd w:val="clear" w:color="auto" w:fill="auto"/>
          </w:tcPr>
          <w:p w14:paraId="0544EE4F" w14:textId="77777777" w:rsidR="006028FA" w:rsidRDefault="006028FA" w:rsidP="006028FA">
            <w:pPr>
              <w:pStyle w:val="ENoteTableText"/>
              <w:tabs>
                <w:tab w:val="center" w:leader="dot" w:pos="2268"/>
              </w:tabs>
            </w:pPr>
            <w:r>
              <w:t>s 25</w:t>
            </w:r>
          </w:p>
        </w:tc>
        <w:tc>
          <w:tcPr>
            <w:tcW w:w="4943" w:type="dxa"/>
            <w:shd w:val="clear" w:color="auto" w:fill="auto"/>
          </w:tcPr>
          <w:p w14:paraId="407702F3" w14:textId="77777777" w:rsidR="006028FA" w:rsidRDefault="006028FA" w:rsidP="006028FA">
            <w:pPr>
              <w:pStyle w:val="ENoteTableText"/>
              <w:tabs>
                <w:tab w:val="center" w:leader="dot" w:pos="2268"/>
              </w:tabs>
            </w:pPr>
            <w:r>
              <w:t>rs F2017L00596</w:t>
            </w:r>
          </w:p>
        </w:tc>
      </w:tr>
      <w:tr w:rsidR="006028FA" w:rsidRPr="00AF61FA" w14:paraId="6BECAF16" w14:textId="77777777" w:rsidTr="0010015D">
        <w:trPr>
          <w:cantSplit/>
        </w:trPr>
        <w:tc>
          <w:tcPr>
            <w:tcW w:w="2139" w:type="dxa"/>
            <w:shd w:val="clear" w:color="auto" w:fill="auto"/>
          </w:tcPr>
          <w:p w14:paraId="41253729" w14:textId="77777777" w:rsidR="006028FA" w:rsidRDefault="006028FA" w:rsidP="006028FA">
            <w:pPr>
              <w:pStyle w:val="ENoteTableText"/>
              <w:tabs>
                <w:tab w:val="center" w:leader="dot" w:pos="2268"/>
              </w:tabs>
            </w:pPr>
            <w:r>
              <w:t>s 26</w:t>
            </w:r>
          </w:p>
        </w:tc>
        <w:tc>
          <w:tcPr>
            <w:tcW w:w="4943" w:type="dxa"/>
            <w:shd w:val="clear" w:color="auto" w:fill="auto"/>
          </w:tcPr>
          <w:p w14:paraId="4BC1FBFB" w14:textId="77777777" w:rsidR="006028FA" w:rsidRDefault="006028FA" w:rsidP="006028FA">
            <w:pPr>
              <w:pStyle w:val="ENoteTableText"/>
              <w:tabs>
                <w:tab w:val="center" w:leader="dot" w:pos="2268"/>
              </w:tabs>
            </w:pPr>
            <w:r>
              <w:t>am F2017L00596</w:t>
            </w:r>
          </w:p>
        </w:tc>
      </w:tr>
      <w:tr w:rsidR="006028FA" w:rsidRPr="00AF61FA" w14:paraId="0187F234" w14:textId="77777777" w:rsidTr="0010015D">
        <w:trPr>
          <w:cantSplit/>
        </w:trPr>
        <w:tc>
          <w:tcPr>
            <w:tcW w:w="2139" w:type="dxa"/>
            <w:shd w:val="clear" w:color="auto" w:fill="auto"/>
          </w:tcPr>
          <w:p w14:paraId="7205D633" w14:textId="77777777" w:rsidR="006028FA" w:rsidRDefault="006028FA" w:rsidP="006028FA">
            <w:pPr>
              <w:pStyle w:val="ENoteTableText"/>
              <w:tabs>
                <w:tab w:val="center" w:leader="dot" w:pos="2268"/>
              </w:tabs>
            </w:pPr>
            <w:r w:rsidRPr="00CF4CDA">
              <w:rPr>
                <w:b/>
              </w:rPr>
              <w:t>P</w:t>
            </w:r>
            <w:r>
              <w:rPr>
                <w:b/>
              </w:rPr>
              <w:t>art 5</w:t>
            </w:r>
          </w:p>
        </w:tc>
        <w:tc>
          <w:tcPr>
            <w:tcW w:w="4943" w:type="dxa"/>
            <w:shd w:val="clear" w:color="auto" w:fill="auto"/>
          </w:tcPr>
          <w:p w14:paraId="64F7626E" w14:textId="77777777" w:rsidR="006028FA" w:rsidRDefault="006028FA" w:rsidP="006028FA">
            <w:pPr>
              <w:pStyle w:val="ENoteTableText"/>
              <w:tabs>
                <w:tab w:val="center" w:leader="dot" w:pos="2268"/>
              </w:tabs>
            </w:pPr>
          </w:p>
        </w:tc>
      </w:tr>
      <w:tr w:rsidR="006028FA" w:rsidRPr="00AF61FA" w14:paraId="3CAE248F" w14:textId="77777777" w:rsidTr="0010015D">
        <w:trPr>
          <w:cantSplit/>
        </w:trPr>
        <w:tc>
          <w:tcPr>
            <w:tcW w:w="2139" w:type="dxa"/>
            <w:shd w:val="clear" w:color="auto" w:fill="auto"/>
          </w:tcPr>
          <w:p w14:paraId="57635901" w14:textId="77777777" w:rsidR="006028FA" w:rsidRDefault="006028FA" w:rsidP="006028FA">
            <w:pPr>
              <w:pStyle w:val="ENoteTableText"/>
              <w:tabs>
                <w:tab w:val="center" w:leader="dot" w:pos="2268"/>
              </w:tabs>
            </w:pPr>
            <w:r>
              <w:t>s 28</w:t>
            </w:r>
          </w:p>
        </w:tc>
        <w:tc>
          <w:tcPr>
            <w:tcW w:w="4943" w:type="dxa"/>
            <w:shd w:val="clear" w:color="auto" w:fill="auto"/>
          </w:tcPr>
          <w:p w14:paraId="195A6A56" w14:textId="77777777" w:rsidR="006028FA" w:rsidRDefault="006028FA" w:rsidP="006028FA">
            <w:pPr>
              <w:pStyle w:val="ENoteTableText"/>
              <w:tabs>
                <w:tab w:val="center" w:leader="dot" w:pos="2268"/>
              </w:tabs>
            </w:pPr>
            <w:r>
              <w:t>am F2017L00596</w:t>
            </w:r>
          </w:p>
        </w:tc>
      </w:tr>
      <w:tr w:rsidR="006028FA" w:rsidRPr="00AF61FA" w14:paraId="11A4F74F" w14:textId="77777777" w:rsidTr="0010015D">
        <w:trPr>
          <w:cantSplit/>
        </w:trPr>
        <w:tc>
          <w:tcPr>
            <w:tcW w:w="2139" w:type="dxa"/>
            <w:shd w:val="clear" w:color="auto" w:fill="auto"/>
          </w:tcPr>
          <w:p w14:paraId="7FBD4814" w14:textId="77777777" w:rsidR="006028FA" w:rsidRDefault="006028FA" w:rsidP="006028FA">
            <w:pPr>
              <w:pStyle w:val="ENoteTableText"/>
              <w:tabs>
                <w:tab w:val="center" w:leader="dot" w:pos="2268"/>
              </w:tabs>
            </w:pPr>
            <w:r>
              <w:t>s 28A</w:t>
            </w:r>
          </w:p>
        </w:tc>
        <w:tc>
          <w:tcPr>
            <w:tcW w:w="4943" w:type="dxa"/>
            <w:shd w:val="clear" w:color="auto" w:fill="auto"/>
          </w:tcPr>
          <w:p w14:paraId="1B832812" w14:textId="77777777" w:rsidR="006028FA" w:rsidRDefault="006028FA" w:rsidP="006028FA">
            <w:pPr>
              <w:pStyle w:val="ENoteTableText"/>
              <w:tabs>
                <w:tab w:val="center" w:leader="dot" w:pos="2268"/>
              </w:tabs>
            </w:pPr>
            <w:r>
              <w:t>ad F2017L00596</w:t>
            </w:r>
          </w:p>
        </w:tc>
      </w:tr>
      <w:tr w:rsidR="006028FA" w:rsidRPr="00AF61FA" w14:paraId="7E9BDAD2" w14:textId="77777777" w:rsidTr="0010015D">
        <w:trPr>
          <w:cantSplit/>
        </w:trPr>
        <w:tc>
          <w:tcPr>
            <w:tcW w:w="2139" w:type="dxa"/>
            <w:shd w:val="clear" w:color="auto" w:fill="auto"/>
          </w:tcPr>
          <w:p w14:paraId="00B05118" w14:textId="77777777" w:rsidR="006028FA" w:rsidRDefault="006028FA" w:rsidP="006028FA">
            <w:pPr>
              <w:pStyle w:val="ENoteTableText"/>
              <w:tabs>
                <w:tab w:val="center" w:leader="dot" w:pos="2268"/>
              </w:tabs>
            </w:pPr>
            <w:r>
              <w:t>s 30</w:t>
            </w:r>
          </w:p>
        </w:tc>
        <w:tc>
          <w:tcPr>
            <w:tcW w:w="4943" w:type="dxa"/>
            <w:shd w:val="clear" w:color="auto" w:fill="auto"/>
          </w:tcPr>
          <w:p w14:paraId="0723AC76" w14:textId="77777777" w:rsidR="006028FA" w:rsidRDefault="006028FA" w:rsidP="006028FA">
            <w:pPr>
              <w:pStyle w:val="ENoteTableText"/>
              <w:tabs>
                <w:tab w:val="center" w:leader="dot" w:pos="2268"/>
              </w:tabs>
            </w:pPr>
            <w:r>
              <w:t>am F2017L00596</w:t>
            </w:r>
          </w:p>
        </w:tc>
      </w:tr>
      <w:tr w:rsidR="006028FA" w:rsidRPr="00AF61FA" w14:paraId="7BAF67CF" w14:textId="77777777" w:rsidTr="0010015D">
        <w:trPr>
          <w:cantSplit/>
        </w:trPr>
        <w:tc>
          <w:tcPr>
            <w:tcW w:w="2139" w:type="dxa"/>
            <w:shd w:val="clear" w:color="auto" w:fill="auto"/>
          </w:tcPr>
          <w:p w14:paraId="3C269939" w14:textId="77777777" w:rsidR="006028FA" w:rsidRDefault="006028FA" w:rsidP="006028FA">
            <w:pPr>
              <w:pStyle w:val="ENoteTableText"/>
              <w:tabs>
                <w:tab w:val="center" w:leader="dot" w:pos="2268"/>
              </w:tabs>
            </w:pPr>
            <w:r>
              <w:rPr>
                <w:b/>
              </w:rPr>
              <w:t>Schedules</w:t>
            </w:r>
          </w:p>
        </w:tc>
        <w:tc>
          <w:tcPr>
            <w:tcW w:w="4943" w:type="dxa"/>
            <w:shd w:val="clear" w:color="auto" w:fill="auto"/>
          </w:tcPr>
          <w:p w14:paraId="2FD0E35E" w14:textId="77777777" w:rsidR="006028FA" w:rsidRDefault="006028FA" w:rsidP="006028FA">
            <w:pPr>
              <w:pStyle w:val="ENoteTableText"/>
              <w:tabs>
                <w:tab w:val="center" w:leader="dot" w:pos="2268"/>
              </w:tabs>
            </w:pPr>
          </w:p>
        </w:tc>
      </w:tr>
      <w:tr w:rsidR="006028FA" w:rsidRPr="00AF61FA" w14:paraId="2BE138A5" w14:textId="77777777" w:rsidTr="0010015D">
        <w:trPr>
          <w:cantSplit/>
        </w:trPr>
        <w:tc>
          <w:tcPr>
            <w:tcW w:w="2139" w:type="dxa"/>
            <w:tcBorders>
              <w:bottom w:val="single" w:sz="12" w:space="0" w:color="auto"/>
            </w:tcBorders>
            <w:shd w:val="clear" w:color="auto" w:fill="auto"/>
          </w:tcPr>
          <w:p w14:paraId="132E682A" w14:textId="77777777" w:rsidR="006028FA" w:rsidRDefault="006028FA" w:rsidP="006028FA">
            <w:pPr>
              <w:pStyle w:val="ENoteTableText"/>
              <w:tabs>
                <w:tab w:val="center" w:leader="dot" w:pos="2268"/>
              </w:tabs>
            </w:pPr>
            <w:r>
              <w:t>Schedule 1</w:t>
            </w:r>
          </w:p>
        </w:tc>
        <w:tc>
          <w:tcPr>
            <w:tcW w:w="4943" w:type="dxa"/>
            <w:tcBorders>
              <w:bottom w:val="single" w:sz="12" w:space="0" w:color="auto"/>
            </w:tcBorders>
            <w:shd w:val="clear" w:color="auto" w:fill="auto"/>
          </w:tcPr>
          <w:p w14:paraId="765EBF63" w14:textId="77777777" w:rsidR="006028FA" w:rsidRDefault="006028FA" w:rsidP="006028FA">
            <w:pPr>
              <w:pStyle w:val="ENoteTableText"/>
              <w:tabs>
                <w:tab w:val="center" w:leader="dot" w:pos="2268"/>
              </w:tabs>
            </w:pPr>
            <w:r>
              <w:t>am F2017L00596</w:t>
            </w:r>
          </w:p>
        </w:tc>
      </w:tr>
    </w:tbl>
    <w:p w14:paraId="7A46D932" w14:textId="77777777" w:rsidR="00DC1C46" w:rsidRPr="008A1FC8" w:rsidRDefault="00DC1C46" w:rsidP="00BB3ECA">
      <w:pPr>
        <w:pStyle w:val="tMain"/>
      </w:pPr>
    </w:p>
    <w:sectPr w:rsidR="00DC1C46" w:rsidRPr="008A1FC8" w:rsidSect="00D3333F">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EB653" w14:textId="77777777" w:rsidR="00E805C1" w:rsidRDefault="00E805C1">
      <w:r>
        <w:separator/>
      </w:r>
    </w:p>
  </w:endnote>
  <w:endnote w:type="continuationSeparator" w:id="0">
    <w:p w14:paraId="301EB5E0" w14:textId="77777777" w:rsidR="00E805C1" w:rsidRDefault="00E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FDDE" w14:textId="77777777" w:rsidR="00E805C1" w:rsidRDefault="00E805C1" w:rsidP="009818F6">
    <w:pPr>
      <w:pStyle w:val="Footer"/>
      <w:pBdr>
        <w:top w:val="single" w:sz="4" w:space="1" w:color="auto"/>
      </w:pBd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164"/>
      <w:gridCol w:w="3609"/>
      <w:gridCol w:w="1885"/>
      <w:gridCol w:w="827"/>
    </w:tblGrid>
    <w:tr w:rsidR="00E805C1" w:rsidRPr="007B3B51" w14:paraId="5927F621" w14:textId="77777777" w:rsidTr="00D7771E">
      <w:tc>
        <w:tcPr>
          <w:tcW w:w="854" w:type="pct"/>
        </w:tcPr>
        <w:p w14:paraId="7F4D0097" w14:textId="77777777" w:rsidR="00E805C1" w:rsidRPr="007B3B51" w:rsidRDefault="00E805C1" w:rsidP="00D7771E">
          <w:pPr>
            <w:rPr>
              <w:i/>
              <w:sz w:val="16"/>
              <w:szCs w:val="16"/>
            </w:rPr>
          </w:pPr>
        </w:p>
      </w:tc>
      <w:tc>
        <w:tcPr>
          <w:tcW w:w="3688" w:type="pct"/>
          <w:gridSpan w:val="3"/>
        </w:tcPr>
        <w:p w14:paraId="481CA3FB" w14:textId="77777777" w:rsidR="00E805C1" w:rsidRPr="007B3B51" w:rsidRDefault="00E805C1" w:rsidP="00D777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11E9">
            <w:rPr>
              <w:i/>
              <w:noProof/>
              <w:sz w:val="16"/>
              <w:szCs w:val="16"/>
            </w:rPr>
            <w:t>Carbon Credits (Carbon Farming Initiative—Beef Cattle Herd Management) Methodology Determination 2015</w:t>
          </w:r>
          <w:r w:rsidRPr="007B3B51">
            <w:rPr>
              <w:i/>
              <w:sz w:val="16"/>
              <w:szCs w:val="16"/>
            </w:rPr>
            <w:fldChar w:fldCharType="end"/>
          </w:r>
        </w:p>
      </w:tc>
      <w:tc>
        <w:tcPr>
          <w:tcW w:w="458" w:type="pct"/>
        </w:tcPr>
        <w:p w14:paraId="0DCBA93B" w14:textId="77777777" w:rsidR="00E805C1" w:rsidRPr="007B3B51" w:rsidRDefault="00E805C1" w:rsidP="00D777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411E9">
            <w:rPr>
              <w:i/>
              <w:noProof/>
              <w:sz w:val="16"/>
              <w:szCs w:val="16"/>
            </w:rPr>
            <w:t>4</w:t>
          </w:r>
          <w:r w:rsidRPr="007B3B51">
            <w:rPr>
              <w:i/>
              <w:sz w:val="16"/>
              <w:szCs w:val="16"/>
            </w:rPr>
            <w:fldChar w:fldCharType="end"/>
          </w:r>
        </w:p>
      </w:tc>
    </w:tr>
    <w:tr w:rsidR="00E805C1" w:rsidRPr="00130F37" w14:paraId="6B3BBE8B" w14:textId="77777777" w:rsidTr="00D7771E">
      <w:tc>
        <w:tcPr>
          <w:tcW w:w="1499" w:type="pct"/>
          <w:gridSpan w:val="2"/>
        </w:tcPr>
        <w:p w14:paraId="6D1A2494" w14:textId="77777777" w:rsidR="00E805C1" w:rsidRPr="00130F37" w:rsidRDefault="00E805C1" w:rsidP="00D7771E">
          <w:pPr>
            <w:spacing w:before="120"/>
            <w:rPr>
              <w:sz w:val="16"/>
              <w:szCs w:val="16"/>
            </w:rPr>
          </w:pPr>
          <w:r w:rsidRPr="00130F37">
            <w:rPr>
              <w:sz w:val="16"/>
              <w:szCs w:val="16"/>
            </w:rPr>
            <w:t xml:space="preserve">Compilation No. </w:t>
          </w:r>
          <w:r>
            <w:rPr>
              <w:sz w:val="16"/>
              <w:szCs w:val="16"/>
            </w:rPr>
            <w:t>1</w:t>
          </w:r>
        </w:p>
      </w:tc>
      <w:tc>
        <w:tcPr>
          <w:tcW w:w="1999" w:type="pct"/>
        </w:tcPr>
        <w:p w14:paraId="1EFA44BE" w14:textId="77777777" w:rsidR="00E805C1" w:rsidRPr="00130F37" w:rsidRDefault="00E805C1" w:rsidP="00D7771E">
          <w:pPr>
            <w:spacing w:before="120"/>
            <w:jc w:val="center"/>
            <w:rPr>
              <w:sz w:val="16"/>
              <w:szCs w:val="16"/>
            </w:rPr>
          </w:pPr>
        </w:p>
      </w:tc>
      <w:tc>
        <w:tcPr>
          <w:tcW w:w="1502" w:type="pct"/>
          <w:gridSpan w:val="2"/>
        </w:tcPr>
        <w:p w14:paraId="022BF3FC" w14:textId="2BD5F1E8" w:rsidR="00E805C1" w:rsidRPr="00130F37" w:rsidRDefault="00E805C1" w:rsidP="00FE6D8A">
          <w:pPr>
            <w:spacing w:before="120"/>
            <w:jc w:val="right"/>
            <w:rPr>
              <w:sz w:val="16"/>
              <w:szCs w:val="16"/>
            </w:rPr>
          </w:pPr>
          <w:r w:rsidRPr="00130F37">
            <w:rPr>
              <w:sz w:val="16"/>
              <w:szCs w:val="16"/>
            </w:rPr>
            <w:t xml:space="preserve">Compilation date: </w:t>
          </w:r>
          <w:r>
            <w:rPr>
              <w:sz w:val="16"/>
              <w:szCs w:val="16"/>
            </w:rPr>
            <w:t xml:space="preserve">25/05/2017 </w:t>
          </w:r>
        </w:p>
      </w:tc>
    </w:tr>
  </w:tbl>
  <w:p w14:paraId="6E09DCF2" w14:textId="77777777" w:rsidR="00E805C1" w:rsidRPr="00C2721D" w:rsidRDefault="00E805C1" w:rsidP="00D7771E">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BBE54" w14:textId="77777777" w:rsidR="00E805C1" w:rsidRDefault="00E805C1">
      <w:r>
        <w:separator/>
      </w:r>
    </w:p>
  </w:footnote>
  <w:footnote w:type="continuationSeparator" w:id="0">
    <w:p w14:paraId="6BBB4539" w14:textId="77777777" w:rsidR="00E805C1" w:rsidRDefault="00E80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A2633"/>
    <w:multiLevelType w:val="hybridMultilevel"/>
    <w:tmpl w:val="442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2" w15:restartNumberingAfterBreak="0">
    <w:nsid w:val="067E2F13"/>
    <w:multiLevelType w:val="hybridMultilevel"/>
    <w:tmpl w:val="32F6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A71D1D"/>
    <w:multiLevelType w:val="hybridMultilevel"/>
    <w:tmpl w:val="31E80B7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5" w15:restartNumberingAfterBreak="0">
    <w:nsid w:val="1B553696"/>
    <w:multiLevelType w:val="hybridMultilevel"/>
    <w:tmpl w:val="9234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B18E0"/>
    <w:multiLevelType w:val="hybridMultilevel"/>
    <w:tmpl w:val="1F1E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D72A5"/>
    <w:multiLevelType w:val="hybridMultilevel"/>
    <w:tmpl w:val="F5C8C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E32454"/>
    <w:multiLevelType w:val="hybridMultilevel"/>
    <w:tmpl w:val="C4966BFC"/>
    <w:lvl w:ilvl="0" w:tplc="9FD08F9C">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034B6A"/>
    <w:multiLevelType w:val="hybridMultilevel"/>
    <w:tmpl w:val="196CA040"/>
    <w:lvl w:ilvl="0" w:tplc="909AFC00">
      <w:start w:val="4"/>
      <w:numFmt w:val="lowerLetter"/>
      <w:lvlText w:val="%1)"/>
      <w:lvlJc w:val="left"/>
      <w:pPr>
        <w:ind w:left="2360" w:hanging="360"/>
      </w:pPr>
      <w:rPr>
        <w:rFonts w:hint="default"/>
      </w:r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3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A5830FF"/>
    <w:multiLevelType w:val="hybridMultilevel"/>
    <w:tmpl w:val="B0DA27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13D22C9"/>
    <w:multiLevelType w:val="hybridMultilevel"/>
    <w:tmpl w:val="DA80DF72"/>
    <w:lvl w:ilvl="0" w:tplc="58121250">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92116D"/>
    <w:multiLevelType w:val="hybridMultilevel"/>
    <w:tmpl w:val="507037D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70844A8C"/>
    <w:multiLevelType w:val="hybridMultilevel"/>
    <w:tmpl w:val="27ECDF56"/>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1725" w:hanging="360"/>
      </w:pPr>
      <w:rPr>
        <w:rFonts w:ascii="Courier New" w:hAnsi="Courier New" w:cs="Courier New" w:hint="default"/>
      </w:rPr>
    </w:lvl>
    <w:lvl w:ilvl="2" w:tplc="0C090005">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3"/>
  </w:num>
  <w:num w:numId="5">
    <w:abstractNumId w:val="35"/>
  </w:num>
  <w:num w:numId="6">
    <w:abstractNumId w:val="27"/>
  </w:num>
  <w:num w:numId="7">
    <w:abstractNumId w:val="19"/>
  </w:num>
  <w:num w:numId="8">
    <w:abstractNumId w:val="26"/>
  </w:num>
  <w:num w:numId="9">
    <w:abstractNumId w:val="44"/>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1"/>
  </w:num>
  <w:num w:numId="20">
    <w:abstractNumId w:val="18"/>
  </w:num>
  <w:num w:numId="21">
    <w:abstractNumId w:val="24"/>
  </w:num>
  <w:num w:numId="22">
    <w:abstractNumId w:val="38"/>
  </w:num>
  <w:num w:numId="23">
    <w:abstractNumId w:val="17"/>
  </w:num>
  <w:num w:numId="24">
    <w:abstractNumId w:val="12"/>
  </w:num>
  <w:num w:numId="25">
    <w:abstractNumId w:val="42"/>
  </w:num>
  <w:num w:numId="26">
    <w:abstractNumId w:val="21"/>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33"/>
  </w:num>
  <w:num w:numId="31">
    <w:abstractNumId w:val="16"/>
  </w:num>
  <w:num w:numId="32">
    <w:abstractNumId w:val="13"/>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284"/>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48A"/>
    <w:rsid w:val="0000079F"/>
    <w:rsid w:val="00000EC6"/>
    <w:rsid w:val="000010AB"/>
    <w:rsid w:val="00002024"/>
    <w:rsid w:val="00002804"/>
    <w:rsid w:val="000032DB"/>
    <w:rsid w:val="000039D7"/>
    <w:rsid w:val="00004B7C"/>
    <w:rsid w:val="0000518A"/>
    <w:rsid w:val="00005530"/>
    <w:rsid w:val="000059CF"/>
    <w:rsid w:val="00005A07"/>
    <w:rsid w:val="00005FB8"/>
    <w:rsid w:val="000066E8"/>
    <w:rsid w:val="00010827"/>
    <w:rsid w:val="00010CF5"/>
    <w:rsid w:val="00011C6A"/>
    <w:rsid w:val="00012088"/>
    <w:rsid w:val="00012B72"/>
    <w:rsid w:val="000133D7"/>
    <w:rsid w:val="00014132"/>
    <w:rsid w:val="00014257"/>
    <w:rsid w:val="00015FB9"/>
    <w:rsid w:val="000164A8"/>
    <w:rsid w:val="000166DD"/>
    <w:rsid w:val="000175AB"/>
    <w:rsid w:val="000203EF"/>
    <w:rsid w:val="000204B1"/>
    <w:rsid w:val="000207C9"/>
    <w:rsid w:val="0002099B"/>
    <w:rsid w:val="00020B2D"/>
    <w:rsid w:val="00023397"/>
    <w:rsid w:val="0002452E"/>
    <w:rsid w:val="000248C7"/>
    <w:rsid w:val="0002518F"/>
    <w:rsid w:val="000258A0"/>
    <w:rsid w:val="0002660C"/>
    <w:rsid w:val="0002684F"/>
    <w:rsid w:val="00027FFE"/>
    <w:rsid w:val="00031189"/>
    <w:rsid w:val="000320F2"/>
    <w:rsid w:val="0003370B"/>
    <w:rsid w:val="000337AA"/>
    <w:rsid w:val="00033B19"/>
    <w:rsid w:val="00033F37"/>
    <w:rsid w:val="00035779"/>
    <w:rsid w:val="00035A5D"/>
    <w:rsid w:val="00036384"/>
    <w:rsid w:val="00036984"/>
    <w:rsid w:val="00036B74"/>
    <w:rsid w:val="000371D0"/>
    <w:rsid w:val="0003757F"/>
    <w:rsid w:val="0003764D"/>
    <w:rsid w:val="00037987"/>
    <w:rsid w:val="00041037"/>
    <w:rsid w:val="0004199A"/>
    <w:rsid w:val="00041E62"/>
    <w:rsid w:val="000422D0"/>
    <w:rsid w:val="000427A8"/>
    <w:rsid w:val="000428B6"/>
    <w:rsid w:val="00043329"/>
    <w:rsid w:val="0004373B"/>
    <w:rsid w:val="00043DC8"/>
    <w:rsid w:val="00044368"/>
    <w:rsid w:val="0004479F"/>
    <w:rsid w:val="00044D8C"/>
    <w:rsid w:val="000453D0"/>
    <w:rsid w:val="00045E90"/>
    <w:rsid w:val="00046216"/>
    <w:rsid w:val="00050664"/>
    <w:rsid w:val="00050C06"/>
    <w:rsid w:val="00051424"/>
    <w:rsid w:val="00051826"/>
    <w:rsid w:val="00051EA8"/>
    <w:rsid w:val="00052C2D"/>
    <w:rsid w:val="00053845"/>
    <w:rsid w:val="00053A37"/>
    <w:rsid w:val="0005423E"/>
    <w:rsid w:val="00056020"/>
    <w:rsid w:val="00057555"/>
    <w:rsid w:val="00057A9B"/>
    <w:rsid w:val="00057AD0"/>
    <w:rsid w:val="00057CD4"/>
    <w:rsid w:val="00057DAD"/>
    <w:rsid w:val="00060219"/>
    <w:rsid w:val="00060287"/>
    <w:rsid w:val="000606B3"/>
    <w:rsid w:val="00060985"/>
    <w:rsid w:val="000610C0"/>
    <w:rsid w:val="000611DD"/>
    <w:rsid w:val="00061588"/>
    <w:rsid w:val="0006184E"/>
    <w:rsid w:val="00063C97"/>
    <w:rsid w:val="00064F51"/>
    <w:rsid w:val="00065492"/>
    <w:rsid w:val="00065ACE"/>
    <w:rsid w:val="00066112"/>
    <w:rsid w:val="00066A91"/>
    <w:rsid w:val="000673B4"/>
    <w:rsid w:val="000702FC"/>
    <w:rsid w:val="00070581"/>
    <w:rsid w:val="000723E4"/>
    <w:rsid w:val="000731B2"/>
    <w:rsid w:val="0007386A"/>
    <w:rsid w:val="00073A26"/>
    <w:rsid w:val="00074AB4"/>
    <w:rsid w:val="00076025"/>
    <w:rsid w:val="0007688D"/>
    <w:rsid w:val="0007696F"/>
    <w:rsid w:val="0007764C"/>
    <w:rsid w:val="00080254"/>
    <w:rsid w:val="000804EC"/>
    <w:rsid w:val="0008058F"/>
    <w:rsid w:val="00080D66"/>
    <w:rsid w:val="000813F8"/>
    <w:rsid w:val="0008233E"/>
    <w:rsid w:val="000826C0"/>
    <w:rsid w:val="00082BCD"/>
    <w:rsid w:val="00082D07"/>
    <w:rsid w:val="00083638"/>
    <w:rsid w:val="00083DB1"/>
    <w:rsid w:val="00085116"/>
    <w:rsid w:val="00087167"/>
    <w:rsid w:val="00090D8B"/>
    <w:rsid w:val="00091191"/>
    <w:rsid w:val="000914CE"/>
    <w:rsid w:val="000921ED"/>
    <w:rsid w:val="00092930"/>
    <w:rsid w:val="00095895"/>
    <w:rsid w:val="0009669E"/>
    <w:rsid w:val="000967FA"/>
    <w:rsid w:val="00096837"/>
    <w:rsid w:val="00097203"/>
    <w:rsid w:val="000974E1"/>
    <w:rsid w:val="000978C5"/>
    <w:rsid w:val="00097922"/>
    <w:rsid w:val="000979D2"/>
    <w:rsid w:val="000A25C2"/>
    <w:rsid w:val="000A26E0"/>
    <w:rsid w:val="000A317A"/>
    <w:rsid w:val="000A3753"/>
    <w:rsid w:val="000A3C83"/>
    <w:rsid w:val="000A4314"/>
    <w:rsid w:val="000A43F5"/>
    <w:rsid w:val="000A4CB9"/>
    <w:rsid w:val="000A6EFF"/>
    <w:rsid w:val="000A71D4"/>
    <w:rsid w:val="000A7903"/>
    <w:rsid w:val="000A7C9A"/>
    <w:rsid w:val="000A7E3E"/>
    <w:rsid w:val="000B042A"/>
    <w:rsid w:val="000B05AB"/>
    <w:rsid w:val="000B1259"/>
    <w:rsid w:val="000B177D"/>
    <w:rsid w:val="000B218E"/>
    <w:rsid w:val="000B231E"/>
    <w:rsid w:val="000B2B15"/>
    <w:rsid w:val="000B2C64"/>
    <w:rsid w:val="000B3C91"/>
    <w:rsid w:val="000B418E"/>
    <w:rsid w:val="000B4BF5"/>
    <w:rsid w:val="000B4DA5"/>
    <w:rsid w:val="000B5DCB"/>
    <w:rsid w:val="000B71B1"/>
    <w:rsid w:val="000C02B0"/>
    <w:rsid w:val="000C2287"/>
    <w:rsid w:val="000C2440"/>
    <w:rsid w:val="000C250B"/>
    <w:rsid w:val="000C26E3"/>
    <w:rsid w:val="000C2F04"/>
    <w:rsid w:val="000C3D93"/>
    <w:rsid w:val="000C436A"/>
    <w:rsid w:val="000C61CF"/>
    <w:rsid w:val="000C75F0"/>
    <w:rsid w:val="000C7999"/>
    <w:rsid w:val="000D0D1D"/>
    <w:rsid w:val="000D19C9"/>
    <w:rsid w:val="000D2D22"/>
    <w:rsid w:val="000D2FFA"/>
    <w:rsid w:val="000D3F3D"/>
    <w:rsid w:val="000D40E2"/>
    <w:rsid w:val="000D5433"/>
    <w:rsid w:val="000D59BF"/>
    <w:rsid w:val="000D5D96"/>
    <w:rsid w:val="000D5F02"/>
    <w:rsid w:val="000D628D"/>
    <w:rsid w:val="000D7205"/>
    <w:rsid w:val="000D7FA1"/>
    <w:rsid w:val="000E1167"/>
    <w:rsid w:val="000E1305"/>
    <w:rsid w:val="000E1A8B"/>
    <w:rsid w:val="000E2025"/>
    <w:rsid w:val="000E2406"/>
    <w:rsid w:val="000E2AF3"/>
    <w:rsid w:val="000E2E9E"/>
    <w:rsid w:val="000E39DA"/>
    <w:rsid w:val="000E3DC7"/>
    <w:rsid w:val="000E4D39"/>
    <w:rsid w:val="000E4D43"/>
    <w:rsid w:val="000E5203"/>
    <w:rsid w:val="000E5EED"/>
    <w:rsid w:val="000E5F1A"/>
    <w:rsid w:val="000E6405"/>
    <w:rsid w:val="000E6831"/>
    <w:rsid w:val="000E750C"/>
    <w:rsid w:val="000F0319"/>
    <w:rsid w:val="000F081D"/>
    <w:rsid w:val="000F1FF3"/>
    <w:rsid w:val="000F2EBE"/>
    <w:rsid w:val="000F2EC1"/>
    <w:rsid w:val="000F31F8"/>
    <w:rsid w:val="000F39FE"/>
    <w:rsid w:val="000F3A88"/>
    <w:rsid w:val="000F3BF1"/>
    <w:rsid w:val="000F4275"/>
    <w:rsid w:val="000F4818"/>
    <w:rsid w:val="000F49A2"/>
    <w:rsid w:val="000F56D9"/>
    <w:rsid w:val="000F5B30"/>
    <w:rsid w:val="00100120"/>
    <w:rsid w:val="0010015D"/>
    <w:rsid w:val="0010212B"/>
    <w:rsid w:val="00102896"/>
    <w:rsid w:val="00102E2C"/>
    <w:rsid w:val="00103155"/>
    <w:rsid w:val="00103914"/>
    <w:rsid w:val="00103920"/>
    <w:rsid w:val="001053ED"/>
    <w:rsid w:val="00106C4E"/>
    <w:rsid w:val="00107507"/>
    <w:rsid w:val="00107DD0"/>
    <w:rsid w:val="00107E81"/>
    <w:rsid w:val="00107EE2"/>
    <w:rsid w:val="001104D5"/>
    <w:rsid w:val="001113C5"/>
    <w:rsid w:val="00111A99"/>
    <w:rsid w:val="00112158"/>
    <w:rsid w:val="00112B72"/>
    <w:rsid w:val="001131F2"/>
    <w:rsid w:val="0011343D"/>
    <w:rsid w:val="001141AE"/>
    <w:rsid w:val="00115B37"/>
    <w:rsid w:val="00115E41"/>
    <w:rsid w:val="001171EA"/>
    <w:rsid w:val="00117694"/>
    <w:rsid w:val="0012117B"/>
    <w:rsid w:val="00121631"/>
    <w:rsid w:val="001219AD"/>
    <w:rsid w:val="00121A23"/>
    <w:rsid w:val="00123118"/>
    <w:rsid w:val="00124559"/>
    <w:rsid w:val="001245D0"/>
    <w:rsid w:val="00126887"/>
    <w:rsid w:val="00127750"/>
    <w:rsid w:val="001300B0"/>
    <w:rsid w:val="00130699"/>
    <w:rsid w:val="00131D1C"/>
    <w:rsid w:val="001326CC"/>
    <w:rsid w:val="00133B74"/>
    <w:rsid w:val="001369B9"/>
    <w:rsid w:val="00137A06"/>
    <w:rsid w:val="00140EBC"/>
    <w:rsid w:val="00142EC4"/>
    <w:rsid w:val="0014387D"/>
    <w:rsid w:val="001443B4"/>
    <w:rsid w:val="00144C5B"/>
    <w:rsid w:val="00144E82"/>
    <w:rsid w:val="00145774"/>
    <w:rsid w:val="00146D90"/>
    <w:rsid w:val="001476F6"/>
    <w:rsid w:val="00147EB0"/>
    <w:rsid w:val="00150C00"/>
    <w:rsid w:val="0015282F"/>
    <w:rsid w:val="00152CA4"/>
    <w:rsid w:val="001530FD"/>
    <w:rsid w:val="001532D6"/>
    <w:rsid w:val="001537DF"/>
    <w:rsid w:val="00154AA1"/>
    <w:rsid w:val="00155649"/>
    <w:rsid w:val="00155AA5"/>
    <w:rsid w:val="001561AF"/>
    <w:rsid w:val="001569F0"/>
    <w:rsid w:val="00157385"/>
    <w:rsid w:val="00157EBA"/>
    <w:rsid w:val="00161662"/>
    <w:rsid w:val="001620A7"/>
    <w:rsid w:val="001626E0"/>
    <w:rsid w:val="00162985"/>
    <w:rsid w:val="00163565"/>
    <w:rsid w:val="001636DE"/>
    <w:rsid w:val="00163D29"/>
    <w:rsid w:val="0016436A"/>
    <w:rsid w:val="00164E18"/>
    <w:rsid w:val="00165893"/>
    <w:rsid w:val="00166840"/>
    <w:rsid w:val="00167130"/>
    <w:rsid w:val="00167A5E"/>
    <w:rsid w:val="00170675"/>
    <w:rsid w:val="00172839"/>
    <w:rsid w:val="00173306"/>
    <w:rsid w:val="00173362"/>
    <w:rsid w:val="00174847"/>
    <w:rsid w:val="0017505D"/>
    <w:rsid w:val="00176EAE"/>
    <w:rsid w:val="00176FF3"/>
    <w:rsid w:val="001771D6"/>
    <w:rsid w:val="0017769F"/>
    <w:rsid w:val="001776B2"/>
    <w:rsid w:val="0017797D"/>
    <w:rsid w:val="0018005A"/>
    <w:rsid w:val="00181FAC"/>
    <w:rsid w:val="0018217B"/>
    <w:rsid w:val="0018273C"/>
    <w:rsid w:val="00182E3C"/>
    <w:rsid w:val="00182E6C"/>
    <w:rsid w:val="00183182"/>
    <w:rsid w:val="00184268"/>
    <w:rsid w:val="00184286"/>
    <w:rsid w:val="00184B5E"/>
    <w:rsid w:val="0018657F"/>
    <w:rsid w:val="00186587"/>
    <w:rsid w:val="00186AF6"/>
    <w:rsid w:val="00186B14"/>
    <w:rsid w:val="001876A2"/>
    <w:rsid w:val="00190AA1"/>
    <w:rsid w:val="00190AB5"/>
    <w:rsid w:val="00191512"/>
    <w:rsid w:val="00191B6C"/>
    <w:rsid w:val="00194039"/>
    <w:rsid w:val="00195069"/>
    <w:rsid w:val="00195354"/>
    <w:rsid w:val="00195776"/>
    <w:rsid w:val="00196023"/>
    <w:rsid w:val="001962C9"/>
    <w:rsid w:val="00196B6E"/>
    <w:rsid w:val="00196DA5"/>
    <w:rsid w:val="00196E20"/>
    <w:rsid w:val="00197532"/>
    <w:rsid w:val="001979DC"/>
    <w:rsid w:val="001A0405"/>
    <w:rsid w:val="001A0DDF"/>
    <w:rsid w:val="001A1130"/>
    <w:rsid w:val="001A15AC"/>
    <w:rsid w:val="001A17C8"/>
    <w:rsid w:val="001A2271"/>
    <w:rsid w:val="001A2B66"/>
    <w:rsid w:val="001A3BC1"/>
    <w:rsid w:val="001A5591"/>
    <w:rsid w:val="001A562A"/>
    <w:rsid w:val="001A5CB2"/>
    <w:rsid w:val="001A6B86"/>
    <w:rsid w:val="001A7ACB"/>
    <w:rsid w:val="001B0571"/>
    <w:rsid w:val="001B0B41"/>
    <w:rsid w:val="001B2D72"/>
    <w:rsid w:val="001B40A3"/>
    <w:rsid w:val="001B4173"/>
    <w:rsid w:val="001B4AB1"/>
    <w:rsid w:val="001B59B7"/>
    <w:rsid w:val="001B644D"/>
    <w:rsid w:val="001B7250"/>
    <w:rsid w:val="001B7B5C"/>
    <w:rsid w:val="001B7C15"/>
    <w:rsid w:val="001C0768"/>
    <w:rsid w:val="001C10CA"/>
    <w:rsid w:val="001C117C"/>
    <w:rsid w:val="001C1662"/>
    <w:rsid w:val="001C1A73"/>
    <w:rsid w:val="001C2A01"/>
    <w:rsid w:val="001C3289"/>
    <w:rsid w:val="001C3392"/>
    <w:rsid w:val="001C3788"/>
    <w:rsid w:val="001C4AD6"/>
    <w:rsid w:val="001C53A5"/>
    <w:rsid w:val="001C572E"/>
    <w:rsid w:val="001C6AD2"/>
    <w:rsid w:val="001C6CD1"/>
    <w:rsid w:val="001C6EF3"/>
    <w:rsid w:val="001C6EFB"/>
    <w:rsid w:val="001C72FA"/>
    <w:rsid w:val="001C7EBD"/>
    <w:rsid w:val="001D07AE"/>
    <w:rsid w:val="001D0830"/>
    <w:rsid w:val="001D0852"/>
    <w:rsid w:val="001D1E30"/>
    <w:rsid w:val="001D2B8E"/>
    <w:rsid w:val="001D55EE"/>
    <w:rsid w:val="001D597F"/>
    <w:rsid w:val="001D65D8"/>
    <w:rsid w:val="001E0960"/>
    <w:rsid w:val="001E1A0E"/>
    <w:rsid w:val="001E1B02"/>
    <w:rsid w:val="001E1BB3"/>
    <w:rsid w:val="001E2AA2"/>
    <w:rsid w:val="001E3057"/>
    <w:rsid w:val="001E43CB"/>
    <w:rsid w:val="001E4824"/>
    <w:rsid w:val="001E647F"/>
    <w:rsid w:val="001E65F5"/>
    <w:rsid w:val="001E7074"/>
    <w:rsid w:val="001E7BCA"/>
    <w:rsid w:val="001E7C39"/>
    <w:rsid w:val="001F12B6"/>
    <w:rsid w:val="001F1745"/>
    <w:rsid w:val="001F18C4"/>
    <w:rsid w:val="001F373E"/>
    <w:rsid w:val="001F42A9"/>
    <w:rsid w:val="001F43D4"/>
    <w:rsid w:val="001F4A3C"/>
    <w:rsid w:val="001F50EC"/>
    <w:rsid w:val="001F5AF2"/>
    <w:rsid w:val="001F661E"/>
    <w:rsid w:val="001F7838"/>
    <w:rsid w:val="001F78BF"/>
    <w:rsid w:val="00201661"/>
    <w:rsid w:val="00201A33"/>
    <w:rsid w:val="00201DD5"/>
    <w:rsid w:val="002030C1"/>
    <w:rsid w:val="00203485"/>
    <w:rsid w:val="00203CF3"/>
    <w:rsid w:val="00204D52"/>
    <w:rsid w:val="002052B0"/>
    <w:rsid w:val="00205358"/>
    <w:rsid w:val="002059E7"/>
    <w:rsid w:val="00206215"/>
    <w:rsid w:val="002073EE"/>
    <w:rsid w:val="00207499"/>
    <w:rsid w:val="00207560"/>
    <w:rsid w:val="00210328"/>
    <w:rsid w:val="002104CE"/>
    <w:rsid w:val="002109B0"/>
    <w:rsid w:val="00210BEF"/>
    <w:rsid w:val="00210C28"/>
    <w:rsid w:val="0021145F"/>
    <w:rsid w:val="00211856"/>
    <w:rsid w:val="002119A3"/>
    <w:rsid w:val="002121E2"/>
    <w:rsid w:val="00213130"/>
    <w:rsid w:val="00213788"/>
    <w:rsid w:val="002146BA"/>
    <w:rsid w:val="0021484E"/>
    <w:rsid w:val="00214D90"/>
    <w:rsid w:val="00214F1C"/>
    <w:rsid w:val="00214F9D"/>
    <w:rsid w:val="0021522F"/>
    <w:rsid w:val="00217234"/>
    <w:rsid w:val="0021764C"/>
    <w:rsid w:val="00217A90"/>
    <w:rsid w:val="00217C89"/>
    <w:rsid w:val="0022021B"/>
    <w:rsid w:val="00220F1C"/>
    <w:rsid w:val="00221332"/>
    <w:rsid w:val="00222042"/>
    <w:rsid w:val="002221BC"/>
    <w:rsid w:val="00223A01"/>
    <w:rsid w:val="002241CE"/>
    <w:rsid w:val="00224293"/>
    <w:rsid w:val="00224D02"/>
    <w:rsid w:val="00225934"/>
    <w:rsid w:val="00225D68"/>
    <w:rsid w:val="0022621E"/>
    <w:rsid w:val="00226343"/>
    <w:rsid w:val="0022742C"/>
    <w:rsid w:val="002274CF"/>
    <w:rsid w:val="00230215"/>
    <w:rsid w:val="00230317"/>
    <w:rsid w:val="002309B3"/>
    <w:rsid w:val="002312B6"/>
    <w:rsid w:val="0023131D"/>
    <w:rsid w:val="00232329"/>
    <w:rsid w:val="00232CE1"/>
    <w:rsid w:val="002337AB"/>
    <w:rsid w:val="00233BC0"/>
    <w:rsid w:val="00234173"/>
    <w:rsid w:val="00235E1E"/>
    <w:rsid w:val="00236F95"/>
    <w:rsid w:val="00240805"/>
    <w:rsid w:val="00240CC2"/>
    <w:rsid w:val="00240E9E"/>
    <w:rsid w:val="00240EA1"/>
    <w:rsid w:val="0024155A"/>
    <w:rsid w:val="00241798"/>
    <w:rsid w:val="002432A9"/>
    <w:rsid w:val="00243924"/>
    <w:rsid w:val="00246A59"/>
    <w:rsid w:val="00246A83"/>
    <w:rsid w:val="00246C4C"/>
    <w:rsid w:val="0024706F"/>
    <w:rsid w:val="002472BC"/>
    <w:rsid w:val="00247F48"/>
    <w:rsid w:val="00250155"/>
    <w:rsid w:val="00250FCF"/>
    <w:rsid w:val="0025194D"/>
    <w:rsid w:val="0025313B"/>
    <w:rsid w:val="002533F0"/>
    <w:rsid w:val="0025445B"/>
    <w:rsid w:val="00254817"/>
    <w:rsid w:val="00255070"/>
    <w:rsid w:val="002552A7"/>
    <w:rsid w:val="00257896"/>
    <w:rsid w:val="00257927"/>
    <w:rsid w:val="00263766"/>
    <w:rsid w:val="00265192"/>
    <w:rsid w:val="00266DC8"/>
    <w:rsid w:val="00267470"/>
    <w:rsid w:val="002716BC"/>
    <w:rsid w:val="00271E04"/>
    <w:rsid w:val="00272846"/>
    <w:rsid w:val="00274534"/>
    <w:rsid w:val="00274C08"/>
    <w:rsid w:val="00274E2B"/>
    <w:rsid w:val="0027655D"/>
    <w:rsid w:val="002767D1"/>
    <w:rsid w:val="002768A8"/>
    <w:rsid w:val="00277AA4"/>
    <w:rsid w:val="00277FC2"/>
    <w:rsid w:val="00280929"/>
    <w:rsid w:val="00280B8E"/>
    <w:rsid w:val="00281043"/>
    <w:rsid w:val="00281B07"/>
    <w:rsid w:val="00282EDD"/>
    <w:rsid w:val="002832F4"/>
    <w:rsid w:val="00284C45"/>
    <w:rsid w:val="0028502C"/>
    <w:rsid w:val="002902E7"/>
    <w:rsid w:val="00291EC1"/>
    <w:rsid w:val="00293143"/>
    <w:rsid w:val="00293320"/>
    <w:rsid w:val="00293EB5"/>
    <w:rsid w:val="00294058"/>
    <w:rsid w:val="00294245"/>
    <w:rsid w:val="00294DE8"/>
    <w:rsid w:val="00296564"/>
    <w:rsid w:val="00296FC4"/>
    <w:rsid w:val="002971A5"/>
    <w:rsid w:val="00297293"/>
    <w:rsid w:val="00297588"/>
    <w:rsid w:val="00297B2B"/>
    <w:rsid w:val="00297D02"/>
    <w:rsid w:val="002A0596"/>
    <w:rsid w:val="002A18C9"/>
    <w:rsid w:val="002A1AB9"/>
    <w:rsid w:val="002A1EA1"/>
    <w:rsid w:val="002A2785"/>
    <w:rsid w:val="002A2938"/>
    <w:rsid w:val="002A3283"/>
    <w:rsid w:val="002A35E6"/>
    <w:rsid w:val="002A430A"/>
    <w:rsid w:val="002A50C2"/>
    <w:rsid w:val="002A5322"/>
    <w:rsid w:val="002A5DB8"/>
    <w:rsid w:val="002A6680"/>
    <w:rsid w:val="002A6992"/>
    <w:rsid w:val="002A6C6A"/>
    <w:rsid w:val="002A7E6F"/>
    <w:rsid w:val="002B0EAC"/>
    <w:rsid w:val="002B1972"/>
    <w:rsid w:val="002B3521"/>
    <w:rsid w:val="002B3677"/>
    <w:rsid w:val="002B3A14"/>
    <w:rsid w:val="002B514A"/>
    <w:rsid w:val="002B51CC"/>
    <w:rsid w:val="002B5D79"/>
    <w:rsid w:val="002B7974"/>
    <w:rsid w:val="002C0EA7"/>
    <w:rsid w:val="002C15A1"/>
    <w:rsid w:val="002C23F9"/>
    <w:rsid w:val="002C2CD4"/>
    <w:rsid w:val="002C33F6"/>
    <w:rsid w:val="002C3465"/>
    <w:rsid w:val="002C50AE"/>
    <w:rsid w:val="002C5409"/>
    <w:rsid w:val="002C575C"/>
    <w:rsid w:val="002C5795"/>
    <w:rsid w:val="002C5A38"/>
    <w:rsid w:val="002C6122"/>
    <w:rsid w:val="002C66EE"/>
    <w:rsid w:val="002C6A96"/>
    <w:rsid w:val="002D1BC3"/>
    <w:rsid w:val="002D25A5"/>
    <w:rsid w:val="002D26FD"/>
    <w:rsid w:val="002D74F6"/>
    <w:rsid w:val="002D7E13"/>
    <w:rsid w:val="002E00BC"/>
    <w:rsid w:val="002E02F7"/>
    <w:rsid w:val="002E0925"/>
    <w:rsid w:val="002E0AC9"/>
    <w:rsid w:val="002E0E23"/>
    <w:rsid w:val="002E177B"/>
    <w:rsid w:val="002E2E64"/>
    <w:rsid w:val="002E39E0"/>
    <w:rsid w:val="002E44EE"/>
    <w:rsid w:val="002E7EE0"/>
    <w:rsid w:val="002F03D7"/>
    <w:rsid w:val="002F07F2"/>
    <w:rsid w:val="002F0C47"/>
    <w:rsid w:val="002F0E31"/>
    <w:rsid w:val="002F1183"/>
    <w:rsid w:val="002F1A02"/>
    <w:rsid w:val="002F242B"/>
    <w:rsid w:val="002F3556"/>
    <w:rsid w:val="002F4A68"/>
    <w:rsid w:val="002F58DD"/>
    <w:rsid w:val="002F5E78"/>
    <w:rsid w:val="002F664A"/>
    <w:rsid w:val="002F707F"/>
    <w:rsid w:val="002F7961"/>
    <w:rsid w:val="00300497"/>
    <w:rsid w:val="00301367"/>
    <w:rsid w:val="00301941"/>
    <w:rsid w:val="003019E8"/>
    <w:rsid w:val="00301C22"/>
    <w:rsid w:val="00301DB0"/>
    <w:rsid w:val="003053DE"/>
    <w:rsid w:val="00305D36"/>
    <w:rsid w:val="00306DB7"/>
    <w:rsid w:val="00306EFA"/>
    <w:rsid w:val="0030789E"/>
    <w:rsid w:val="00307A85"/>
    <w:rsid w:val="00307E87"/>
    <w:rsid w:val="0031117B"/>
    <w:rsid w:val="00311794"/>
    <w:rsid w:val="00312364"/>
    <w:rsid w:val="003127F8"/>
    <w:rsid w:val="00312E64"/>
    <w:rsid w:val="0031398B"/>
    <w:rsid w:val="00313FCD"/>
    <w:rsid w:val="00315E28"/>
    <w:rsid w:val="00315F70"/>
    <w:rsid w:val="0031630B"/>
    <w:rsid w:val="0031739C"/>
    <w:rsid w:val="00317C27"/>
    <w:rsid w:val="00317DC2"/>
    <w:rsid w:val="00320289"/>
    <w:rsid w:val="0032052B"/>
    <w:rsid w:val="00321884"/>
    <w:rsid w:val="0032204D"/>
    <w:rsid w:val="00322CCD"/>
    <w:rsid w:val="00324611"/>
    <w:rsid w:val="0032508B"/>
    <w:rsid w:val="003257CA"/>
    <w:rsid w:val="0032598E"/>
    <w:rsid w:val="00325E3A"/>
    <w:rsid w:val="00326A7D"/>
    <w:rsid w:val="00327822"/>
    <w:rsid w:val="00327CA0"/>
    <w:rsid w:val="00327DA7"/>
    <w:rsid w:val="00330844"/>
    <w:rsid w:val="00331347"/>
    <w:rsid w:val="00331571"/>
    <w:rsid w:val="003316D3"/>
    <w:rsid w:val="00331757"/>
    <w:rsid w:val="0033258A"/>
    <w:rsid w:val="003328E2"/>
    <w:rsid w:val="00332C68"/>
    <w:rsid w:val="00333748"/>
    <w:rsid w:val="00333A4F"/>
    <w:rsid w:val="00334FB3"/>
    <w:rsid w:val="00335540"/>
    <w:rsid w:val="003377CB"/>
    <w:rsid w:val="00337C19"/>
    <w:rsid w:val="00340AA4"/>
    <w:rsid w:val="003424CD"/>
    <w:rsid w:val="00343D28"/>
    <w:rsid w:val="00344143"/>
    <w:rsid w:val="00344345"/>
    <w:rsid w:val="00345E62"/>
    <w:rsid w:val="0034755A"/>
    <w:rsid w:val="0034760F"/>
    <w:rsid w:val="00347F04"/>
    <w:rsid w:val="00350078"/>
    <w:rsid w:val="0035186D"/>
    <w:rsid w:val="00352B83"/>
    <w:rsid w:val="0035453B"/>
    <w:rsid w:val="003545E1"/>
    <w:rsid w:val="00354E4F"/>
    <w:rsid w:val="00355A7F"/>
    <w:rsid w:val="00357CE8"/>
    <w:rsid w:val="00361F9F"/>
    <w:rsid w:val="00362571"/>
    <w:rsid w:val="00362FC3"/>
    <w:rsid w:val="003633FA"/>
    <w:rsid w:val="00363B9D"/>
    <w:rsid w:val="00364922"/>
    <w:rsid w:val="003661C1"/>
    <w:rsid w:val="00366243"/>
    <w:rsid w:val="00366381"/>
    <w:rsid w:val="00366A9D"/>
    <w:rsid w:val="003678F0"/>
    <w:rsid w:val="0037136A"/>
    <w:rsid w:val="00371E2D"/>
    <w:rsid w:val="003728A6"/>
    <w:rsid w:val="003740B5"/>
    <w:rsid w:val="003746AE"/>
    <w:rsid w:val="0037493B"/>
    <w:rsid w:val="0037790D"/>
    <w:rsid w:val="00377DAC"/>
    <w:rsid w:val="003802AF"/>
    <w:rsid w:val="00380FB2"/>
    <w:rsid w:val="00381154"/>
    <w:rsid w:val="003816E8"/>
    <w:rsid w:val="00382276"/>
    <w:rsid w:val="00382358"/>
    <w:rsid w:val="003843D4"/>
    <w:rsid w:val="003856E9"/>
    <w:rsid w:val="00385D75"/>
    <w:rsid w:val="00387434"/>
    <w:rsid w:val="00387718"/>
    <w:rsid w:val="00390055"/>
    <w:rsid w:val="0039016F"/>
    <w:rsid w:val="0039076C"/>
    <w:rsid w:val="00390A97"/>
    <w:rsid w:val="00390B03"/>
    <w:rsid w:val="00390B3C"/>
    <w:rsid w:val="003911B4"/>
    <w:rsid w:val="00392F5A"/>
    <w:rsid w:val="003931FD"/>
    <w:rsid w:val="003939A2"/>
    <w:rsid w:val="00394B35"/>
    <w:rsid w:val="0039749E"/>
    <w:rsid w:val="003A080E"/>
    <w:rsid w:val="003A34AE"/>
    <w:rsid w:val="003A36FE"/>
    <w:rsid w:val="003A46AE"/>
    <w:rsid w:val="003A488B"/>
    <w:rsid w:val="003A4CFF"/>
    <w:rsid w:val="003A4E08"/>
    <w:rsid w:val="003A56C0"/>
    <w:rsid w:val="003A5B56"/>
    <w:rsid w:val="003A6158"/>
    <w:rsid w:val="003A644D"/>
    <w:rsid w:val="003A72A8"/>
    <w:rsid w:val="003A7AD1"/>
    <w:rsid w:val="003A7B5E"/>
    <w:rsid w:val="003B09A1"/>
    <w:rsid w:val="003B114C"/>
    <w:rsid w:val="003B2719"/>
    <w:rsid w:val="003B3DB9"/>
    <w:rsid w:val="003B4E23"/>
    <w:rsid w:val="003B51DA"/>
    <w:rsid w:val="003B563F"/>
    <w:rsid w:val="003B676D"/>
    <w:rsid w:val="003B7386"/>
    <w:rsid w:val="003B74F4"/>
    <w:rsid w:val="003B777A"/>
    <w:rsid w:val="003B799D"/>
    <w:rsid w:val="003B7E87"/>
    <w:rsid w:val="003C0B9D"/>
    <w:rsid w:val="003C13F5"/>
    <w:rsid w:val="003C1DED"/>
    <w:rsid w:val="003C1E61"/>
    <w:rsid w:val="003C2A3F"/>
    <w:rsid w:val="003C32EE"/>
    <w:rsid w:val="003C3EAD"/>
    <w:rsid w:val="003C43DB"/>
    <w:rsid w:val="003C452F"/>
    <w:rsid w:val="003C45BD"/>
    <w:rsid w:val="003C4D1E"/>
    <w:rsid w:val="003C563D"/>
    <w:rsid w:val="003C5FF2"/>
    <w:rsid w:val="003C62D4"/>
    <w:rsid w:val="003C6E1B"/>
    <w:rsid w:val="003C6EDC"/>
    <w:rsid w:val="003C70C9"/>
    <w:rsid w:val="003C7569"/>
    <w:rsid w:val="003D029F"/>
    <w:rsid w:val="003D02F7"/>
    <w:rsid w:val="003D1FE2"/>
    <w:rsid w:val="003D2FFD"/>
    <w:rsid w:val="003D37FC"/>
    <w:rsid w:val="003D3B28"/>
    <w:rsid w:val="003D600B"/>
    <w:rsid w:val="003D6C8F"/>
    <w:rsid w:val="003D7C75"/>
    <w:rsid w:val="003D7D9E"/>
    <w:rsid w:val="003E05B4"/>
    <w:rsid w:val="003E0AF3"/>
    <w:rsid w:val="003E1765"/>
    <w:rsid w:val="003E1CA2"/>
    <w:rsid w:val="003E284A"/>
    <w:rsid w:val="003E2A9A"/>
    <w:rsid w:val="003E2C7C"/>
    <w:rsid w:val="003E2DA2"/>
    <w:rsid w:val="003E2DCB"/>
    <w:rsid w:val="003E3108"/>
    <w:rsid w:val="003E352A"/>
    <w:rsid w:val="003E3624"/>
    <w:rsid w:val="003E49CC"/>
    <w:rsid w:val="003E4D83"/>
    <w:rsid w:val="003E53A0"/>
    <w:rsid w:val="003E613F"/>
    <w:rsid w:val="003E6481"/>
    <w:rsid w:val="003E6641"/>
    <w:rsid w:val="003E7045"/>
    <w:rsid w:val="003E7194"/>
    <w:rsid w:val="003E79E1"/>
    <w:rsid w:val="003E7BF9"/>
    <w:rsid w:val="003F007A"/>
    <w:rsid w:val="003F2E8A"/>
    <w:rsid w:val="003F3469"/>
    <w:rsid w:val="003F4406"/>
    <w:rsid w:val="003F4E82"/>
    <w:rsid w:val="003F58A1"/>
    <w:rsid w:val="003F61C0"/>
    <w:rsid w:val="003F7EF1"/>
    <w:rsid w:val="003F7F36"/>
    <w:rsid w:val="0040072A"/>
    <w:rsid w:val="00400FD7"/>
    <w:rsid w:val="0040186F"/>
    <w:rsid w:val="00402542"/>
    <w:rsid w:val="00402803"/>
    <w:rsid w:val="00402812"/>
    <w:rsid w:val="00402CEA"/>
    <w:rsid w:val="00402D91"/>
    <w:rsid w:val="00402F91"/>
    <w:rsid w:val="004036C0"/>
    <w:rsid w:val="00403EE0"/>
    <w:rsid w:val="004040B2"/>
    <w:rsid w:val="00404E41"/>
    <w:rsid w:val="004052C3"/>
    <w:rsid w:val="004058CE"/>
    <w:rsid w:val="00405EA7"/>
    <w:rsid w:val="0040665C"/>
    <w:rsid w:val="00406C4A"/>
    <w:rsid w:val="00407203"/>
    <w:rsid w:val="004077A2"/>
    <w:rsid w:val="00407A73"/>
    <w:rsid w:val="0041054E"/>
    <w:rsid w:val="00410CAE"/>
    <w:rsid w:val="00411295"/>
    <w:rsid w:val="00412EE5"/>
    <w:rsid w:val="00413BB8"/>
    <w:rsid w:val="00414008"/>
    <w:rsid w:val="00414C7D"/>
    <w:rsid w:val="00416635"/>
    <w:rsid w:val="004209C2"/>
    <w:rsid w:val="0042248F"/>
    <w:rsid w:val="00422918"/>
    <w:rsid w:val="004236EE"/>
    <w:rsid w:val="00423A11"/>
    <w:rsid w:val="00423DA5"/>
    <w:rsid w:val="004252C9"/>
    <w:rsid w:val="00425E31"/>
    <w:rsid w:val="00427604"/>
    <w:rsid w:val="0042792D"/>
    <w:rsid w:val="00427A37"/>
    <w:rsid w:val="00427B8B"/>
    <w:rsid w:val="00427E07"/>
    <w:rsid w:val="00430CB4"/>
    <w:rsid w:val="00430D10"/>
    <w:rsid w:val="00430D5F"/>
    <w:rsid w:val="00430F76"/>
    <w:rsid w:val="004327A6"/>
    <w:rsid w:val="00432EE0"/>
    <w:rsid w:val="00433AE2"/>
    <w:rsid w:val="00434202"/>
    <w:rsid w:val="004349DD"/>
    <w:rsid w:val="004349F4"/>
    <w:rsid w:val="00435726"/>
    <w:rsid w:val="00435DA0"/>
    <w:rsid w:val="00436098"/>
    <w:rsid w:val="00436219"/>
    <w:rsid w:val="00436C5C"/>
    <w:rsid w:val="00437FB7"/>
    <w:rsid w:val="00441379"/>
    <w:rsid w:val="00441B69"/>
    <w:rsid w:val="00441B6B"/>
    <w:rsid w:val="00441BA1"/>
    <w:rsid w:val="00442227"/>
    <w:rsid w:val="004423CD"/>
    <w:rsid w:val="004428F7"/>
    <w:rsid w:val="00442D45"/>
    <w:rsid w:val="004440AD"/>
    <w:rsid w:val="00444507"/>
    <w:rsid w:val="00444584"/>
    <w:rsid w:val="00444743"/>
    <w:rsid w:val="0044528D"/>
    <w:rsid w:val="0044726A"/>
    <w:rsid w:val="00447E81"/>
    <w:rsid w:val="004503EC"/>
    <w:rsid w:val="00451BBA"/>
    <w:rsid w:val="00452A96"/>
    <w:rsid w:val="00452C13"/>
    <w:rsid w:val="004547FD"/>
    <w:rsid w:val="00454A1A"/>
    <w:rsid w:val="00454BE1"/>
    <w:rsid w:val="00454FD3"/>
    <w:rsid w:val="00456895"/>
    <w:rsid w:val="00457F83"/>
    <w:rsid w:val="00461B33"/>
    <w:rsid w:val="00462237"/>
    <w:rsid w:val="00462727"/>
    <w:rsid w:val="00462D38"/>
    <w:rsid w:val="00463E97"/>
    <w:rsid w:val="0046446A"/>
    <w:rsid w:val="00464538"/>
    <w:rsid w:val="0046459F"/>
    <w:rsid w:val="00464B14"/>
    <w:rsid w:val="0046595B"/>
    <w:rsid w:val="0047009A"/>
    <w:rsid w:val="00472AC6"/>
    <w:rsid w:val="00472CB7"/>
    <w:rsid w:val="00475240"/>
    <w:rsid w:val="00475CF2"/>
    <w:rsid w:val="00476094"/>
    <w:rsid w:val="00476141"/>
    <w:rsid w:val="00476C74"/>
    <w:rsid w:val="00477A30"/>
    <w:rsid w:val="00477BB5"/>
    <w:rsid w:val="004803D4"/>
    <w:rsid w:val="00481796"/>
    <w:rsid w:val="0048279F"/>
    <w:rsid w:val="00483061"/>
    <w:rsid w:val="004832CB"/>
    <w:rsid w:val="0048362D"/>
    <w:rsid w:val="004838F2"/>
    <w:rsid w:val="00484FE4"/>
    <w:rsid w:val="004855D0"/>
    <w:rsid w:val="00486667"/>
    <w:rsid w:val="00487B34"/>
    <w:rsid w:val="00490881"/>
    <w:rsid w:val="00491433"/>
    <w:rsid w:val="00492BCD"/>
    <w:rsid w:val="004938A3"/>
    <w:rsid w:val="00494CD5"/>
    <w:rsid w:val="00495699"/>
    <w:rsid w:val="00495B6B"/>
    <w:rsid w:val="00495BBC"/>
    <w:rsid w:val="00496493"/>
    <w:rsid w:val="004966AC"/>
    <w:rsid w:val="00497194"/>
    <w:rsid w:val="004971E4"/>
    <w:rsid w:val="00497742"/>
    <w:rsid w:val="004977FA"/>
    <w:rsid w:val="00497F77"/>
    <w:rsid w:val="004A0E30"/>
    <w:rsid w:val="004A37E5"/>
    <w:rsid w:val="004A4366"/>
    <w:rsid w:val="004A442C"/>
    <w:rsid w:val="004A5F7A"/>
    <w:rsid w:val="004A6063"/>
    <w:rsid w:val="004A6523"/>
    <w:rsid w:val="004A6791"/>
    <w:rsid w:val="004A70ED"/>
    <w:rsid w:val="004A7615"/>
    <w:rsid w:val="004A7C6D"/>
    <w:rsid w:val="004B1CE6"/>
    <w:rsid w:val="004B2246"/>
    <w:rsid w:val="004B25F1"/>
    <w:rsid w:val="004B2C09"/>
    <w:rsid w:val="004B34A6"/>
    <w:rsid w:val="004B4227"/>
    <w:rsid w:val="004B46A8"/>
    <w:rsid w:val="004B4ABD"/>
    <w:rsid w:val="004B4EA7"/>
    <w:rsid w:val="004B5A00"/>
    <w:rsid w:val="004B5B4A"/>
    <w:rsid w:val="004B5E2C"/>
    <w:rsid w:val="004B5EFF"/>
    <w:rsid w:val="004B644E"/>
    <w:rsid w:val="004B7528"/>
    <w:rsid w:val="004B7D69"/>
    <w:rsid w:val="004C1015"/>
    <w:rsid w:val="004C1309"/>
    <w:rsid w:val="004C144E"/>
    <w:rsid w:val="004C1A87"/>
    <w:rsid w:val="004C23C2"/>
    <w:rsid w:val="004C33F5"/>
    <w:rsid w:val="004C481A"/>
    <w:rsid w:val="004C4D6D"/>
    <w:rsid w:val="004C5AFE"/>
    <w:rsid w:val="004C6902"/>
    <w:rsid w:val="004C7601"/>
    <w:rsid w:val="004D181E"/>
    <w:rsid w:val="004D2394"/>
    <w:rsid w:val="004D256F"/>
    <w:rsid w:val="004D4BDD"/>
    <w:rsid w:val="004D6209"/>
    <w:rsid w:val="004D67F1"/>
    <w:rsid w:val="004D6D6A"/>
    <w:rsid w:val="004D78D8"/>
    <w:rsid w:val="004E03CE"/>
    <w:rsid w:val="004E1067"/>
    <w:rsid w:val="004E2186"/>
    <w:rsid w:val="004E246C"/>
    <w:rsid w:val="004E28D3"/>
    <w:rsid w:val="004E2BBF"/>
    <w:rsid w:val="004E2C6E"/>
    <w:rsid w:val="004E33A5"/>
    <w:rsid w:val="004E4D7E"/>
    <w:rsid w:val="004E51AD"/>
    <w:rsid w:val="004E688D"/>
    <w:rsid w:val="004E6D18"/>
    <w:rsid w:val="004E6D63"/>
    <w:rsid w:val="004E7112"/>
    <w:rsid w:val="004E7B2E"/>
    <w:rsid w:val="004F0122"/>
    <w:rsid w:val="004F0BBD"/>
    <w:rsid w:val="004F132F"/>
    <w:rsid w:val="004F17F7"/>
    <w:rsid w:val="004F18EA"/>
    <w:rsid w:val="004F2FAE"/>
    <w:rsid w:val="004F308D"/>
    <w:rsid w:val="004F349D"/>
    <w:rsid w:val="004F39B7"/>
    <w:rsid w:val="004F3D2C"/>
    <w:rsid w:val="004F5362"/>
    <w:rsid w:val="004F5DE3"/>
    <w:rsid w:val="004F7418"/>
    <w:rsid w:val="004F76CF"/>
    <w:rsid w:val="00500012"/>
    <w:rsid w:val="00500343"/>
    <w:rsid w:val="00502DD0"/>
    <w:rsid w:val="00503A93"/>
    <w:rsid w:val="005046F9"/>
    <w:rsid w:val="00504C49"/>
    <w:rsid w:val="00505299"/>
    <w:rsid w:val="00505B5C"/>
    <w:rsid w:val="00505FCA"/>
    <w:rsid w:val="00507195"/>
    <w:rsid w:val="00507791"/>
    <w:rsid w:val="00511595"/>
    <w:rsid w:val="00511A90"/>
    <w:rsid w:val="00511AC4"/>
    <w:rsid w:val="00511EAF"/>
    <w:rsid w:val="00512CE7"/>
    <w:rsid w:val="00512DA6"/>
    <w:rsid w:val="0051597E"/>
    <w:rsid w:val="00517A9D"/>
    <w:rsid w:val="00517E97"/>
    <w:rsid w:val="00521933"/>
    <w:rsid w:val="005223A0"/>
    <w:rsid w:val="00522766"/>
    <w:rsid w:val="00524388"/>
    <w:rsid w:val="0052690F"/>
    <w:rsid w:val="005269D0"/>
    <w:rsid w:val="005276E4"/>
    <w:rsid w:val="00530066"/>
    <w:rsid w:val="005311ED"/>
    <w:rsid w:val="0053160E"/>
    <w:rsid w:val="00531C0C"/>
    <w:rsid w:val="00532D74"/>
    <w:rsid w:val="0053510F"/>
    <w:rsid w:val="005351C1"/>
    <w:rsid w:val="005351D0"/>
    <w:rsid w:val="005352DD"/>
    <w:rsid w:val="0053577D"/>
    <w:rsid w:val="00536929"/>
    <w:rsid w:val="00536F2E"/>
    <w:rsid w:val="0053790F"/>
    <w:rsid w:val="00537924"/>
    <w:rsid w:val="00537B4E"/>
    <w:rsid w:val="00540465"/>
    <w:rsid w:val="00540CD4"/>
    <w:rsid w:val="00541149"/>
    <w:rsid w:val="00541411"/>
    <w:rsid w:val="00541830"/>
    <w:rsid w:val="00542F52"/>
    <w:rsid w:val="0054428D"/>
    <w:rsid w:val="00545C50"/>
    <w:rsid w:val="00546049"/>
    <w:rsid w:val="00547B4D"/>
    <w:rsid w:val="00547B82"/>
    <w:rsid w:val="00547E30"/>
    <w:rsid w:val="00547EF7"/>
    <w:rsid w:val="0055241B"/>
    <w:rsid w:val="0055370A"/>
    <w:rsid w:val="0055467F"/>
    <w:rsid w:val="00554B06"/>
    <w:rsid w:val="005556A2"/>
    <w:rsid w:val="00555706"/>
    <w:rsid w:val="00562634"/>
    <w:rsid w:val="00563F20"/>
    <w:rsid w:val="00571ACA"/>
    <w:rsid w:val="00571E2B"/>
    <w:rsid w:val="005722B4"/>
    <w:rsid w:val="005735D4"/>
    <w:rsid w:val="00573C50"/>
    <w:rsid w:val="00574629"/>
    <w:rsid w:val="0057482B"/>
    <w:rsid w:val="00574926"/>
    <w:rsid w:val="00574C38"/>
    <w:rsid w:val="00574D2B"/>
    <w:rsid w:val="00574EED"/>
    <w:rsid w:val="00575359"/>
    <w:rsid w:val="005754AF"/>
    <w:rsid w:val="00575F22"/>
    <w:rsid w:val="00576317"/>
    <w:rsid w:val="00576545"/>
    <w:rsid w:val="0057684A"/>
    <w:rsid w:val="00576E35"/>
    <w:rsid w:val="00576ED9"/>
    <w:rsid w:val="00577941"/>
    <w:rsid w:val="005809F9"/>
    <w:rsid w:val="00582180"/>
    <w:rsid w:val="00582C28"/>
    <w:rsid w:val="00582C7D"/>
    <w:rsid w:val="00583629"/>
    <w:rsid w:val="00583E10"/>
    <w:rsid w:val="00584F3F"/>
    <w:rsid w:val="005851FB"/>
    <w:rsid w:val="0058653A"/>
    <w:rsid w:val="00586C23"/>
    <w:rsid w:val="00587307"/>
    <w:rsid w:val="005902E6"/>
    <w:rsid w:val="005907E9"/>
    <w:rsid w:val="005923A0"/>
    <w:rsid w:val="00592607"/>
    <w:rsid w:val="00593529"/>
    <w:rsid w:val="00593633"/>
    <w:rsid w:val="00593B28"/>
    <w:rsid w:val="00594537"/>
    <w:rsid w:val="00595849"/>
    <w:rsid w:val="00596334"/>
    <w:rsid w:val="005A0240"/>
    <w:rsid w:val="005A0814"/>
    <w:rsid w:val="005A09BE"/>
    <w:rsid w:val="005A2D09"/>
    <w:rsid w:val="005A3A4F"/>
    <w:rsid w:val="005A4E82"/>
    <w:rsid w:val="005A5570"/>
    <w:rsid w:val="005A5BDA"/>
    <w:rsid w:val="005A5FB2"/>
    <w:rsid w:val="005A62B9"/>
    <w:rsid w:val="005A6626"/>
    <w:rsid w:val="005A68F5"/>
    <w:rsid w:val="005A6BB4"/>
    <w:rsid w:val="005A6EA9"/>
    <w:rsid w:val="005A7BAF"/>
    <w:rsid w:val="005A7BC6"/>
    <w:rsid w:val="005B0693"/>
    <w:rsid w:val="005B1C8A"/>
    <w:rsid w:val="005B1E10"/>
    <w:rsid w:val="005B29AD"/>
    <w:rsid w:val="005B3475"/>
    <w:rsid w:val="005B42FE"/>
    <w:rsid w:val="005B5048"/>
    <w:rsid w:val="005B52E3"/>
    <w:rsid w:val="005B5536"/>
    <w:rsid w:val="005B6238"/>
    <w:rsid w:val="005B63B2"/>
    <w:rsid w:val="005B67F8"/>
    <w:rsid w:val="005B6D70"/>
    <w:rsid w:val="005B7033"/>
    <w:rsid w:val="005C0397"/>
    <w:rsid w:val="005C0421"/>
    <w:rsid w:val="005C0D65"/>
    <w:rsid w:val="005C265E"/>
    <w:rsid w:val="005C358B"/>
    <w:rsid w:val="005C3CA5"/>
    <w:rsid w:val="005C4293"/>
    <w:rsid w:val="005C4310"/>
    <w:rsid w:val="005C4923"/>
    <w:rsid w:val="005C4997"/>
    <w:rsid w:val="005C49DF"/>
    <w:rsid w:val="005C4BFB"/>
    <w:rsid w:val="005C4D0E"/>
    <w:rsid w:val="005C5445"/>
    <w:rsid w:val="005C590E"/>
    <w:rsid w:val="005C5A19"/>
    <w:rsid w:val="005C604E"/>
    <w:rsid w:val="005D09B7"/>
    <w:rsid w:val="005D1AD0"/>
    <w:rsid w:val="005D1FCA"/>
    <w:rsid w:val="005D2DB4"/>
    <w:rsid w:val="005D3D11"/>
    <w:rsid w:val="005D3D2C"/>
    <w:rsid w:val="005D4CA5"/>
    <w:rsid w:val="005D4E84"/>
    <w:rsid w:val="005D66FD"/>
    <w:rsid w:val="005D73A2"/>
    <w:rsid w:val="005D753B"/>
    <w:rsid w:val="005D7C25"/>
    <w:rsid w:val="005E017E"/>
    <w:rsid w:val="005E0910"/>
    <w:rsid w:val="005E4601"/>
    <w:rsid w:val="005E62BA"/>
    <w:rsid w:val="005E63C1"/>
    <w:rsid w:val="005E6789"/>
    <w:rsid w:val="005E6F7B"/>
    <w:rsid w:val="005E736A"/>
    <w:rsid w:val="005F1884"/>
    <w:rsid w:val="005F1DF4"/>
    <w:rsid w:val="005F1E24"/>
    <w:rsid w:val="005F253E"/>
    <w:rsid w:val="005F27EF"/>
    <w:rsid w:val="005F3B58"/>
    <w:rsid w:val="005F3DC1"/>
    <w:rsid w:val="005F5622"/>
    <w:rsid w:val="005F60DB"/>
    <w:rsid w:val="005F69C7"/>
    <w:rsid w:val="005F69E2"/>
    <w:rsid w:val="005F6A2F"/>
    <w:rsid w:val="006006CF"/>
    <w:rsid w:val="0060188B"/>
    <w:rsid w:val="006028CC"/>
    <w:rsid w:val="006028FA"/>
    <w:rsid w:val="006029C9"/>
    <w:rsid w:val="00602E88"/>
    <w:rsid w:val="006031E1"/>
    <w:rsid w:val="00604125"/>
    <w:rsid w:val="0060418E"/>
    <w:rsid w:val="00604BC6"/>
    <w:rsid w:val="00605ADC"/>
    <w:rsid w:val="006061C8"/>
    <w:rsid w:val="0060662C"/>
    <w:rsid w:val="00606ADD"/>
    <w:rsid w:val="0060703E"/>
    <w:rsid w:val="0061025B"/>
    <w:rsid w:val="00610C1C"/>
    <w:rsid w:val="00610DA3"/>
    <w:rsid w:val="006122E1"/>
    <w:rsid w:val="00612814"/>
    <w:rsid w:val="00613AF2"/>
    <w:rsid w:val="006147BE"/>
    <w:rsid w:val="00614D32"/>
    <w:rsid w:val="006161CB"/>
    <w:rsid w:val="006161F8"/>
    <w:rsid w:val="00616491"/>
    <w:rsid w:val="0061731A"/>
    <w:rsid w:val="00617902"/>
    <w:rsid w:val="0062122C"/>
    <w:rsid w:val="00622460"/>
    <w:rsid w:val="00622A44"/>
    <w:rsid w:val="006237D7"/>
    <w:rsid w:val="00623FA5"/>
    <w:rsid w:val="0062440A"/>
    <w:rsid w:val="0062512C"/>
    <w:rsid w:val="00625763"/>
    <w:rsid w:val="00625E46"/>
    <w:rsid w:val="00631393"/>
    <w:rsid w:val="006315A1"/>
    <w:rsid w:val="00632033"/>
    <w:rsid w:val="0063247B"/>
    <w:rsid w:val="00632984"/>
    <w:rsid w:val="006342DF"/>
    <w:rsid w:val="0063445A"/>
    <w:rsid w:val="00634F72"/>
    <w:rsid w:val="006352F4"/>
    <w:rsid w:val="00636F13"/>
    <w:rsid w:val="0063702D"/>
    <w:rsid w:val="00637434"/>
    <w:rsid w:val="006375DC"/>
    <w:rsid w:val="006376CC"/>
    <w:rsid w:val="00637B91"/>
    <w:rsid w:val="00637EFF"/>
    <w:rsid w:val="0064038E"/>
    <w:rsid w:val="0064066E"/>
    <w:rsid w:val="00641007"/>
    <w:rsid w:val="00641347"/>
    <w:rsid w:val="00642476"/>
    <w:rsid w:val="00642695"/>
    <w:rsid w:val="0064271D"/>
    <w:rsid w:val="00642C1E"/>
    <w:rsid w:val="006448E4"/>
    <w:rsid w:val="006462FA"/>
    <w:rsid w:val="0064647A"/>
    <w:rsid w:val="0064667D"/>
    <w:rsid w:val="00646D73"/>
    <w:rsid w:val="00647372"/>
    <w:rsid w:val="00647793"/>
    <w:rsid w:val="00647BAA"/>
    <w:rsid w:val="0065130D"/>
    <w:rsid w:val="00651D95"/>
    <w:rsid w:val="00651FAC"/>
    <w:rsid w:val="00652BBE"/>
    <w:rsid w:val="0065393C"/>
    <w:rsid w:val="00653E2A"/>
    <w:rsid w:val="0065413D"/>
    <w:rsid w:val="006542FB"/>
    <w:rsid w:val="00654750"/>
    <w:rsid w:val="00654D94"/>
    <w:rsid w:val="006552B3"/>
    <w:rsid w:val="006574AB"/>
    <w:rsid w:val="006615C0"/>
    <w:rsid w:val="00662B72"/>
    <w:rsid w:val="00662D2A"/>
    <w:rsid w:val="00663ADA"/>
    <w:rsid w:val="00664FEB"/>
    <w:rsid w:val="00665157"/>
    <w:rsid w:val="00665AEC"/>
    <w:rsid w:val="006660BC"/>
    <w:rsid w:val="0066676E"/>
    <w:rsid w:val="00666AB2"/>
    <w:rsid w:val="0066733F"/>
    <w:rsid w:val="00667A1F"/>
    <w:rsid w:val="00670A3C"/>
    <w:rsid w:val="00671509"/>
    <w:rsid w:val="00672150"/>
    <w:rsid w:val="006722F9"/>
    <w:rsid w:val="006738A8"/>
    <w:rsid w:val="00674C4E"/>
    <w:rsid w:val="00674EDA"/>
    <w:rsid w:val="00676434"/>
    <w:rsid w:val="00676981"/>
    <w:rsid w:val="00676CC5"/>
    <w:rsid w:val="006775C7"/>
    <w:rsid w:val="00680C95"/>
    <w:rsid w:val="00681548"/>
    <w:rsid w:val="0068239C"/>
    <w:rsid w:val="006829B7"/>
    <w:rsid w:val="00682F95"/>
    <w:rsid w:val="00683F33"/>
    <w:rsid w:val="006842F8"/>
    <w:rsid w:val="0068442B"/>
    <w:rsid w:val="006854EA"/>
    <w:rsid w:val="00685DC9"/>
    <w:rsid w:val="00686BF7"/>
    <w:rsid w:val="0068769D"/>
    <w:rsid w:val="00687D1F"/>
    <w:rsid w:val="006906F7"/>
    <w:rsid w:val="0069103D"/>
    <w:rsid w:val="00692892"/>
    <w:rsid w:val="00693E44"/>
    <w:rsid w:val="0069460A"/>
    <w:rsid w:val="006948D4"/>
    <w:rsid w:val="006961BC"/>
    <w:rsid w:val="006965F9"/>
    <w:rsid w:val="00696BF9"/>
    <w:rsid w:val="00696CB6"/>
    <w:rsid w:val="006A09E5"/>
    <w:rsid w:val="006A0E83"/>
    <w:rsid w:val="006A0FAA"/>
    <w:rsid w:val="006A11CA"/>
    <w:rsid w:val="006A1924"/>
    <w:rsid w:val="006A22F6"/>
    <w:rsid w:val="006A37A5"/>
    <w:rsid w:val="006A44B5"/>
    <w:rsid w:val="006A45FF"/>
    <w:rsid w:val="006A5026"/>
    <w:rsid w:val="006A5F75"/>
    <w:rsid w:val="006A6F92"/>
    <w:rsid w:val="006A7F57"/>
    <w:rsid w:val="006A7FAC"/>
    <w:rsid w:val="006B17DB"/>
    <w:rsid w:val="006B24A4"/>
    <w:rsid w:val="006B2863"/>
    <w:rsid w:val="006B3B22"/>
    <w:rsid w:val="006B404D"/>
    <w:rsid w:val="006B4454"/>
    <w:rsid w:val="006B495A"/>
    <w:rsid w:val="006B4F13"/>
    <w:rsid w:val="006B5AED"/>
    <w:rsid w:val="006B60D8"/>
    <w:rsid w:val="006B7145"/>
    <w:rsid w:val="006C030F"/>
    <w:rsid w:val="006C1EA8"/>
    <w:rsid w:val="006C2838"/>
    <w:rsid w:val="006C305B"/>
    <w:rsid w:val="006C3358"/>
    <w:rsid w:val="006C3904"/>
    <w:rsid w:val="006C3E6C"/>
    <w:rsid w:val="006C4A30"/>
    <w:rsid w:val="006C663A"/>
    <w:rsid w:val="006C6B7A"/>
    <w:rsid w:val="006C77F6"/>
    <w:rsid w:val="006C7992"/>
    <w:rsid w:val="006C7EEA"/>
    <w:rsid w:val="006D0A68"/>
    <w:rsid w:val="006D1192"/>
    <w:rsid w:val="006D315F"/>
    <w:rsid w:val="006D3270"/>
    <w:rsid w:val="006D3A25"/>
    <w:rsid w:val="006D4D28"/>
    <w:rsid w:val="006D51FC"/>
    <w:rsid w:val="006D6000"/>
    <w:rsid w:val="006D6154"/>
    <w:rsid w:val="006D6F51"/>
    <w:rsid w:val="006D7061"/>
    <w:rsid w:val="006D7611"/>
    <w:rsid w:val="006D7960"/>
    <w:rsid w:val="006E12A9"/>
    <w:rsid w:val="006E2406"/>
    <w:rsid w:val="006E2FF8"/>
    <w:rsid w:val="006E446F"/>
    <w:rsid w:val="006E4F27"/>
    <w:rsid w:val="006E5377"/>
    <w:rsid w:val="006E5A81"/>
    <w:rsid w:val="006E6687"/>
    <w:rsid w:val="006E6D8A"/>
    <w:rsid w:val="006E7937"/>
    <w:rsid w:val="006F05FC"/>
    <w:rsid w:val="006F166C"/>
    <w:rsid w:val="006F1BB4"/>
    <w:rsid w:val="006F2F46"/>
    <w:rsid w:val="006F2FD6"/>
    <w:rsid w:val="006F335D"/>
    <w:rsid w:val="006F39FC"/>
    <w:rsid w:val="006F3F04"/>
    <w:rsid w:val="006F3F95"/>
    <w:rsid w:val="006F58C4"/>
    <w:rsid w:val="006F59B9"/>
    <w:rsid w:val="006F6CBF"/>
    <w:rsid w:val="006F7EF6"/>
    <w:rsid w:val="00700043"/>
    <w:rsid w:val="007005B7"/>
    <w:rsid w:val="00700C57"/>
    <w:rsid w:val="00700E2D"/>
    <w:rsid w:val="00701A4B"/>
    <w:rsid w:val="00701FD7"/>
    <w:rsid w:val="0070284B"/>
    <w:rsid w:val="00702E87"/>
    <w:rsid w:val="00703673"/>
    <w:rsid w:val="007042B4"/>
    <w:rsid w:val="00705767"/>
    <w:rsid w:val="00705857"/>
    <w:rsid w:val="0070761B"/>
    <w:rsid w:val="00711B6C"/>
    <w:rsid w:val="00711DAC"/>
    <w:rsid w:val="007126AA"/>
    <w:rsid w:val="007128ED"/>
    <w:rsid w:val="007144DA"/>
    <w:rsid w:val="00717D21"/>
    <w:rsid w:val="00720B8F"/>
    <w:rsid w:val="00721544"/>
    <w:rsid w:val="00722E06"/>
    <w:rsid w:val="00723F20"/>
    <w:rsid w:val="0072459D"/>
    <w:rsid w:val="007249E6"/>
    <w:rsid w:val="00725D2A"/>
    <w:rsid w:val="0072656B"/>
    <w:rsid w:val="007275FE"/>
    <w:rsid w:val="0073065D"/>
    <w:rsid w:val="00730DC0"/>
    <w:rsid w:val="007316BD"/>
    <w:rsid w:val="00731D1E"/>
    <w:rsid w:val="00732CD4"/>
    <w:rsid w:val="00732F52"/>
    <w:rsid w:val="007330A3"/>
    <w:rsid w:val="00733299"/>
    <w:rsid w:val="00733912"/>
    <w:rsid w:val="00734178"/>
    <w:rsid w:val="00734902"/>
    <w:rsid w:val="007351F3"/>
    <w:rsid w:val="00735226"/>
    <w:rsid w:val="007356F1"/>
    <w:rsid w:val="00736F58"/>
    <w:rsid w:val="00736F68"/>
    <w:rsid w:val="007411E9"/>
    <w:rsid w:val="00741738"/>
    <w:rsid w:val="007431DD"/>
    <w:rsid w:val="00743DE8"/>
    <w:rsid w:val="00744E7A"/>
    <w:rsid w:val="00745EC4"/>
    <w:rsid w:val="00746DC8"/>
    <w:rsid w:val="00747AD3"/>
    <w:rsid w:val="00750493"/>
    <w:rsid w:val="007515A9"/>
    <w:rsid w:val="00753459"/>
    <w:rsid w:val="00754E6A"/>
    <w:rsid w:val="007551B7"/>
    <w:rsid w:val="007557A9"/>
    <w:rsid w:val="0075591C"/>
    <w:rsid w:val="00757BFF"/>
    <w:rsid w:val="00757EB4"/>
    <w:rsid w:val="00757FF8"/>
    <w:rsid w:val="00760638"/>
    <w:rsid w:val="0076090D"/>
    <w:rsid w:val="00761436"/>
    <w:rsid w:val="0076180C"/>
    <w:rsid w:val="00762F41"/>
    <w:rsid w:val="007643BC"/>
    <w:rsid w:val="0076485B"/>
    <w:rsid w:val="007648CD"/>
    <w:rsid w:val="0076507E"/>
    <w:rsid w:val="007661CD"/>
    <w:rsid w:val="0076777C"/>
    <w:rsid w:val="00767F90"/>
    <w:rsid w:val="007701BF"/>
    <w:rsid w:val="0077116C"/>
    <w:rsid w:val="0077308C"/>
    <w:rsid w:val="007736DE"/>
    <w:rsid w:val="00774156"/>
    <w:rsid w:val="0077478D"/>
    <w:rsid w:val="0077493A"/>
    <w:rsid w:val="00774C1D"/>
    <w:rsid w:val="00775230"/>
    <w:rsid w:val="00775C14"/>
    <w:rsid w:val="007760FD"/>
    <w:rsid w:val="007778C8"/>
    <w:rsid w:val="00777BB6"/>
    <w:rsid w:val="00780655"/>
    <w:rsid w:val="00781B3A"/>
    <w:rsid w:val="00782444"/>
    <w:rsid w:val="007829BB"/>
    <w:rsid w:val="00783811"/>
    <w:rsid w:val="00785172"/>
    <w:rsid w:val="00785341"/>
    <w:rsid w:val="007856B2"/>
    <w:rsid w:val="00786611"/>
    <w:rsid w:val="00786BE6"/>
    <w:rsid w:val="00787F0F"/>
    <w:rsid w:val="00787F19"/>
    <w:rsid w:val="00790545"/>
    <w:rsid w:val="0079175E"/>
    <w:rsid w:val="00791D7E"/>
    <w:rsid w:val="00792442"/>
    <w:rsid w:val="007929C5"/>
    <w:rsid w:val="007931FA"/>
    <w:rsid w:val="007932ED"/>
    <w:rsid w:val="007934F1"/>
    <w:rsid w:val="0079567A"/>
    <w:rsid w:val="00795AC2"/>
    <w:rsid w:val="007963EC"/>
    <w:rsid w:val="007968D1"/>
    <w:rsid w:val="00796E32"/>
    <w:rsid w:val="00797355"/>
    <w:rsid w:val="007A15D9"/>
    <w:rsid w:val="007A2B63"/>
    <w:rsid w:val="007A323A"/>
    <w:rsid w:val="007A337B"/>
    <w:rsid w:val="007A3BEA"/>
    <w:rsid w:val="007A44EA"/>
    <w:rsid w:val="007A4C5E"/>
    <w:rsid w:val="007A5A4C"/>
    <w:rsid w:val="007A67D4"/>
    <w:rsid w:val="007A6FD4"/>
    <w:rsid w:val="007A733B"/>
    <w:rsid w:val="007B03C7"/>
    <w:rsid w:val="007B0407"/>
    <w:rsid w:val="007B1945"/>
    <w:rsid w:val="007B1C64"/>
    <w:rsid w:val="007B4284"/>
    <w:rsid w:val="007B4605"/>
    <w:rsid w:val="007B4A75"/>
    <w:rsid w:val="007B5835"/>
    <w:rsid w:val="007B5D87"/>
    <w:rsid w:val="007B69A4"/>
    <w:rsid w:val="007B7BD9"/>
    <w:rsid w:val="007C1C1D"/>
    <w:rsid w:val="007C24A5"/>
    <w:rsid w:val="007C31EF"/>
    <w:rsid w:val="007C33D8"/>
    <w:rsid w:val="007C41A7"/>
    <w:rsid w:val="007C5613"/>
    <w:rsid w:val="007C5963"/>
    <w:rsid w:val="007C5A3E"/>
    <w:rsid w:val="007C5D94"/>
    <w:rsid w:val="007C61F7"/>
    <w:rsid w:val="007C6401"/>
    <w:rsid w:val="007C6DA4"/>
    <w:rsid w:val="007C6E3D"/>
    <w:rsid w:val="007C7285"/>
    <w:rsid w:val="007D042E"/>
    <w:rsid w:val="007D046E"/>
    <w:rsid w:val="007D07E7"/>
    <w:rsid w:val="007D40DF"/>
    <w:rsid w:val="007D57CF"/>
    <w:rsid w:val="007D5F84"/>
    <w:rsid w:val="007D656B"/>
    <w:rsid w:val="007D6E07"/>
    <w:rsid w:val="007D7127"/>
    <w:rsid w:val="007D729A"/>
    <w:rsid w:val="007D798D"/>
    <w:rsid w:val="007E19D5"/>
    <w:rsid w:val="007E238A"/>
    <w:rsid w:val="007E2EED"/>
    <w:rsid w:val="007E3201"/>
    <w:rsid w:val="007E385C"/>
    <w:rsid w:val="007E47C8"/>
    <w:rsid w:val="007E55F6"/>
    <w:rsid w:val="007E57ED"/>
    <w:rsid w:val="007E6272"/>
    <w:rsid w:val="007E6966"/>
    <w:rsid w:val="007E753F"/>
    <w:rsid w:val="007F01B2"/>
    <w:rsid w:val="007F06B9"/>
    <w:rsid w:val="007F096A"/>
    <w:rsid w:val="007F11B3"/>
    <w:rsid w:val="007F1966"/>
    <w:rsid w:val="007F3512"/>
    <w:rsid w:val="007F38EB"/>
    <w:rsid w:val="007F434A"/>
    <w:rsid w:val="007F5181"/>
    <w:rsid w:val="007F64E3"/>
    <w:rsid w:val="007F7639"/>
    <w:rsid w:val="0080020C"/>
    <w:rsid w:val="00801536"/>
    <w:rsid w:val="0080256C"/>
    <w:rsid w:val="00802B25"/>
    <w:rsid w:val="008035E5"/>
    <w:rsid w:val="00804494"/>
    <w:rsid w:val="008049E1"/>
    <w:rsid w:val="00804BE9"/>
    <w:rsid w:val="00805150"/>
    <w:rsid w:val="0080541C"/>
    <w:rsid w:val="00805AD7"/>
    <w:rsid w:val="008066D6"/>
    <w:rsid w:val="00806905"/>
    <w:rsid w:val="00806AE3"/>
    <w:rsid w:val="00806E09"/>
    <w:rsid w:val="008077BA"/>
    <w:rsid w:val="00807B33"/>
    <w:rsid w:val="00810255"/>
    <w:rsid w:val="00810E64"/>
    <w:rsid w:val="0081227A"/>
    <w:rsid w:val="00812F65"/>
    <w:rsid w:val="008145A8"/>
    <w:rsid w:val="0081483E"/>
    <w:rsid w:val="00814DB1"/>
    <w:rsid w:val="00816115"/>
    <w:rsid w:val="00816C76"/>
    <w:rsid w:val="00816DFC"/>
    <w:rsid w:val="008173C5"/>
    <w:rsid w:val="0081779B"/>
    <w:rsid w:val="00817B0C"/>
    <w:rsid w:val="008205BA"/>
    <w:rsid w:val="00821543"/>
    <w:rsid w:val="0082171E"/>
    <w:rsid w:val="00822056"/>
    <w:rsid w:val="00822BE0"/>
    <w:rsid w:val="00824B62"/>
    <w:rsid w:val="00824BB4"/>
    <w:rsid w:val="00826696"/>
    <w:rsid w:val="00827023"/>
    <w:rsid w:val="0083000C"/>
    <w:rsid w:val="00831969"/>
    <w:rsid w:val="00831BAE"/>
    <w:rsid w:val="0083235A"/>
    <w:rsid w:val="00832572"/>
    <w:rsid w:val="008329DA"/>
    <w:rsid w:val="00832A4B"/>
    <w:rsid w:val="00832BF7"/>
    <w:rsid w:val="0083344E"/>
    <w:rsid w:val="00833D41"/>
    <w:rsid w:val="00834650"/>
    <w:rsid w:val="00834912"/>
    <w:rsid w:val="00834C64"/>
    <w:rsid w:val="00835C39"/>
    <w:rsid w:val="00836307"/>
    <w:rsid w:val="00836BF9"/>
    <w:rsid w:val="008372B3"/>
    <w:rsid w:val="00840B44"/>
    <w:rsid w:val="008415F7"/>
    <w:rsid w:val="0084282A"/>
    <w:rsid w:val="008429F4"/>
    <w:rsid w:val="00842E52"/>
    <w:rsid w:val="00843658"/>
    <w:rsid w:val="0084685C"/>
    <w:rsid w:val="00846C2A"/>
    <w:rsid w:val="008470AA"/>
    <w:rsid w:val="00847E4C"/>
    <w:rsid w:val="008502D1"/>
    <w:rsid w:val="0085142C"/>
    <w:rsid w:val="00851E2D"/>
    <w:rsid w:val="00852794"/>
    <w:rsid w:val="008555C4"/>
    <w:rsid w:val="00855DE5"/>
    <w:rsid w:val="00856E2A"/>
    <w:rsid w:val="00857B4E"/>
    <w:rsid w:val="00857D22"/>
    <w:rsid w:val="0086227C"/>
    <w:rsid w:val="00862EE8"/>
    <w:rsid w:val="00862F94"/>
    <w:rsid w:val="00863979"/>
    <w:rsid w:val="008647BB"/>
    <w:rsid w:val="00866271"/>
    <w:rsid w:val="008671B1"/>
    <w:rsid w:val="00867347"/>
    <w:rsid w:val="008678EB"/>
    <w:rsid w:val="0087019A"/>
    <w:rsid w:val="00870824"/>
    <w:rsid w:val="00871797"/>
    <w:rsid w:val="00871E4B"/>
    <w:rsid w:val="00872187"/>
    <w:rsid w:val="00872A40"/>
    <w:rsid w:val="00873268"/>
    <w:rsid w:val="00873E84"/>
    <w:rsid w:val="00873F6C"/>
    <w:rsid w:val="00874E24"/>
    <w:rsid w:val="00876AE2"/>
    <w:rsid w:val="008800E3"/>
    <w:rsid w:val="00880AB9"/>
    <w:rsid w:val="00880D82"/>
    <w:rsid w:val="0088313F"/>
    <w:rsid w:val="008834A6"/>
    <w:rsid w:val="00883B0A"/>
    <w:rsid w:val="00883F99"/>
    <w:rsid w:val="008846DD"/>
    <w:rsid w:val="00884BD4"/>
    <w:rsid w:val="008858BF"/>
    <w:rsid w:val="00885CD3"/>
    <w:rsid w:val="00885DF4"/>
    <w:rsid w:val="00886D9E"/>
    <w:rsid w:val="008903C3"/>
    <w:rsid w:val="00892443"/>
    <w:rsid w:val="00892A0B"/>
    <w:rsid w:val="008937DF"/>
    <w:rsid w:val="008944CC"/>
    <w:rsid w:val="00895A75"/>
    <w:rsid w:val="00895C50"/>
    <w:rsid w:val="00896689"/>
    <w:rsid w:val="00896865"/>
    <w:rsid w:val="008A1475"/>
    <w:rsid w:val="008A1585"/>
    <w:rsid w:val="008A17E3"/>
    <w:rsid w:val="008A1FC8"/>
    <w:rsid w:val="008A21B6"/>
    <w:rsid w:val="008A28B4"/>
    <w:rsid w:val="008A29CD"/>
    <w:rsid w:val="008A3284"/>
    <w:rsid w:val="008A33C9"/>
    <w:rsid w:val="008A33FD"/>
    <w:rsid w:val="008A4262"/>
    <w:rsid w:val="008A470E"/>
    <w:rsid w:val="008A5285"/>
    <w:rsid w:val="008B1356"/>
    <w:rsid w:val="008B1F9C"/>
    <w:rsid w:val="008B1FA6"/>
    <w:rsid w:val="008B23EF"/>
    <w:rsid w:val="008B3176"/>
    <w:rsid w:val="008B3541"/>
    <w:rsid w:val="008B3830"/>
    <w:rsid w:val="008B3BA5"/>
    <w:rsid w:val="008B5189"/>
    <w:rsid w:val="008B58E8"/>
    <w:rsid w:val="008B5A09"/>
    <w:rsid w:val="008B5C06"/>
    <w:rsid w:val="008B5D95"/>
    <w:rsid w:val="008B67E0"/>
    <w:rsid w:val="008B7B6D"/>
    <w:rsid w:val="008B7CB7"/>
    <w:rsid w:val="008B7F65"/>
    <w:rsid w:val="008C002E"/>
    <w:rsid w:val="008C0291"/>
    <w:rsid w:val="008C04DD"/>
    <w:rsid w:val="008C0F53"/>
    <w:rsid w:val="008C0F91"/>
    <w:rsid w:val="008C352D"/>
    <w:rsid w:val="008C3E60"/>
    <w:rsid w:val="008C3FDE"/>
    <w:rsid w:val="008C5B4E"/>
    <w:rsid w:val="008C6C78"/>
    <w:rsid w:val="008C7234"/>
    <w:rsid w:val="008C75C4"/>
    <w:rsid w:val="008C7668"/>
    <w:rsid w:val="008D0CD3"/>
    <w:rsid w:val="008D1C6A"/>
    <w:rsid w:val="008D2CF6"/>
    <w:rsid w:val="008D34B3"/>
    <w:rsid w:val="008D3B2B"/>
    <w:rsid w:val="008D3BCC"/>
    <w:rsid w:val="008D3E1F"/>
    <w:rsid w:val="008D5015"/>
    <w:rsid w:val="008D522E"/>
    <w:rsid w:val="008D5FE7"/>
    <w:rsid w:val="008D6654"/>
    <w:rsid w:val="008D6A9D"/>
    <w:rsid w:val="008E03E2"/>
    <w:rsid w:val="008E07E1"/>
    <w:rsid w:val="008E1095"/>
    <w:rsid w:val="008E1C73"/>
    <w:rsid w:val="008E1FD1"/>
    <w:rsid w:val="008E204F"/>
    <w:rsid w:val="008E24DA"/>
    <w:rsid w:val="008E31B7"/>
    <w:rsid w:val="008E357B"/>
    <w:rsid w:val="008E3691"/>
    <w:rsid w:val="008E38D7"/>
    <w:rsid w:val="008E46BC"/>
    <w:rsid w:val="008E5932"/>
    <w:rsid w:val="008E622D"/>
    <w:rsid w:val="008F12C5"/>
    <w:rsid w:val="008F3A94"/>
    <w:rsid w:val="008F418F"/>
    <w:rsid w:val="008F4AC7"/>
    <w:rsid w:val="008F58D2"/>
    <w:rsid w:val="008F61DB"/>
    <w:rsid w:val="008F67E8"/>
    <w:rsid w:val="008F6D64"/>
    <w:rsid w:val="008F7133"/>
    <w:rsid w:val="0090102D"/>
    <w:rsid w:val="0090142C"/>
    <w:rsid w:val="009021D6"/>
    <w:rsid w:val="00902A2B"/>
    <w:rsid w:val="00903370"/>
    <w:rsid w:val="00904042"/>
    <w:rsid w:val="00904115"/>
    <w:rsid w:val="0090466A"/>
    <w:rsid w:val="009053F0"/>
    <w:rsid w:val="00905441"/>
    <w:rsid w:val="00906B82"/>
    <w:rsid w:val="00906CD8"/>
    <w:rsid w:val="009102CA"/>
    <w:rsid w:val="00910CDE"/>
    <w:rsid w:val="00910DA6"/>
    <w:rsid w:val="0091134D"/>
    <w:rsid w:val="009113E1"/>
    <w:rsid w:val="009121A5"/>
    <w:rsid w:val="00912F84"/>
    <w:rsid w:val="009136A7"/>
    <w:rsid w:val="00913D7D"/>
    <w:rsid w:val="00915077"/>
    <w:rsid w:val="0091585D"/>
    <w:rsid w:val="00915D39"/>
    <w:rsid w:val="0091668E"/>
    <w:rsid w:val="0091674D"/>
    <w:rsid w:val="00917469"/>
    <w:rsid w:val="00917DF8"/>
    <w:rsid w:val="009203BD"/>
    <w:rsid w:val="009218BA"/>
    <w:rsid w:val="009228AE"/>
    <w:rsid w:val="00923267"/>
    <w:rsid w:val="00923443"/>
    <w:rsid w:val="009249F0"/>
    <w:rsid w:val="00924FD6"/>
    <w:rsid w:val="00925B80"/>
    <w:rsid w:val="00925E1A"/>
    <w:rsid w:val="009307AD"/>
    <w:rsid w:val="00931135"/>
    <w:rsid w:val="00931772"/>
    <w:rsid w:val="009317A2"/>
    <w:rsid w:val="0093199E"/>
    <w:rsid w:val="009319D5"/>
    <w:rsid w:val="00931B7A"/>
    <w:rsid w:val="00932FBE"/>
    <w:rsid w:val="00933314"/>
    <w:rsid w:val="00933869"/>
    <w:rsid w:val="00935515"/>
    <w:rsid w:val="0093569B"/>
    <w:rsid w:val="009359F9"/>
    <w:rsid w:val="009367AD"/>
    <w:rsid w:val="00936D77"/>
    <w:rsid w:val="00937CB8"/>
    <w:rsid w:val="009405E1"/>
    <w:rsid w:val="0094154E"/>
    <w:rsid w:val="009444D7"/>
    <w:rsid w:val="00945645"/>
    <w:rsid w:val="00945E41"/>
    <w:rsid w:val="00945FE5"/>
    <w:rsid w:val="00947FF0"/>
    <w:rsid w:val="009503B2"/>
    <w:rsid w:val="009515BA"/>
    <w:rsid w:val="00951A70"/>
    <w:rsid w:val="00951F30"/>
    <w:rsid w:val="00952097"/>
    <w:rsid w:val="00952109"/>
    <w:rsid w:val="009535BD"/>
    <w:rsid w:val="0095384A"/>
    <w:rsid w:val="00953ABB"/>
    <w:rsid w:val="00954629"/>
    <w:rsid w:val="00954DD6"/>
    <w:rsid w:val="00955BBE"/>
    <w:rsid w:val="00956372"/>
    <w:rsid w:val="009570FF"/>
    <w:rsid w:val="00962A76"/>
    <w:rsid w:val="00963489"/>
    <w:rsid w:val="009646BA"/>
    <w:rsid w:val="00964948"/>
    <w:rsid w:val="00964974"/>
    <w:rsid w:val="00965120"/>
    <w:rsid w:val="00967156"/>
    <w:rsid w:val="00967319"/>
    <w:rsid w:val="0096743B"/>
    <w:rsid w:val="0096757F"/>
    <w:rsid w:val="009676D7"/>
    <w:rsid w:val="009676EF"/>
    <w:rsid w:val="009679CE"/>
    <w:rsid w:val="00970B72"/>
    <w:rsid w:val="00970FE1"/>
    <w:rsid w:val="00971164"/>
    <w:rsid w:val="009719B9"/>
    <w:rsid w:val="0097239C"/>
    <w:rsid w:val="00974113"/>
    <w:rsid w:val="00974672"/>
    <w:rsid w:val="00974EE4"/>
    <w:rsid w:val="009760E9"/>
    <w:rsid w:val="00976856"/>
    <w:rsid w:val="009768DD"/>
    <w:rsid w:val="0097758B"/>
    <w:rsid w:val="00977690"/>
    <w:rsid w:val="009778BB"/>
    <w:rsid w:val="009804ED"/>
    <w:rsid w:val="00980C36"/>
    <w:rsid w:val="009817E2"/>
    <w:rsid w:val="009818AD"/>
    <w:rsid w:val="009818F6"/>
    <w:rsid w:val="00981B44"/>
    <w:rsid w:val="00981E88"/>
    <w:rsid w:val="00981EEC"/>
    <w:rsid w:val="00982770"/>
    <w:rsid w:val="00982D68"/>
    <w:rsid w:val="00982EC9"/>
    <w:rsid w:val="00983492"/>
    <w:rsid w:val="00983AE0"/>
    <w:rsid w:val="00984549"/>
    <w:rsid w:val="009854A6"/>
    <w:rsid w:val="0098596B"/>
    <w:rsid w:val="00986D70"/>
    <w:rsid w:val="00987709"/>
    <w:rsid w:val="0098787C"/>
    <w:rsid w:val="00987BBD"/>
    <w:rsid w:val="00991262"/>
    <w:rsid w:val="009917F3"/>
    <w:rsid w:val="00991BDF"/>
    <w:rsid w:val="00993017"/>
    <w:rsid w:val="00993086"/>
    <w:rsid w:val="0099319F"/>
    <w:rsid w:val="009931DE"/>
    <w:rsid w:val="00993854"/>
    <w:rsid w:val="00994118"/>
    <w:rsid w:val="009941FB"/>
    <w:rsid w:val="009951F7"/>
    <w:rsid w:val="00996158"/>
    <w:rsid w:val="009967A7"/>
    <w:rsid w:val="00996A3A"/>
    <w:rsid w:val="00997505"/>
    <w:rsid w:val="009A0317"/>
    <w:rsid w:val="009A0438"/>
    <w:rsid w:val="009A0F10"/>
    <w:rsid w:val="009A1958"/>
    <w:rsid w:val="009A1BAA"/>
    <w:rsid w:val="009A274B"/>
    <w:rsid w:val="009A2CE0"/>
    <w:rsid w:val="009A53E2"/>
    <w:rsid w:val="009A6BDC"/>
    <w:rsid w:val="009A7A04"/>
    <w:rsid w:val="009B03EE"/>
    <w:rsid w:val="009B0BA1"/>
    <w:rsid w:val="009B24A8"/>
    <w:rsid w:val="009B36F4"/>
    <w:rsid w:val="009B4083"/>
    <w:rsid w:val="009B4188"/>
    <w:rsid w:val="009B41C6"/>
    <w:rsid w:val="009B4A55"/>
    <w:rsid w:val="009B5C8C"/>
    <w:rsid w:val="009B5F02"/>
    <w:rsid w:val="009B615E"/>
    <w:rsid w:val="009B6FD5"/>
    <w:rsid w:val="009C0AA4"/>
    <w:rsid w:val="009C0DC6"/>
    <w:rsid w:val="009C1F37"/>
    <w:rsid w:val="009C2745"/>
    <w:rsid w:val="009C3122"/>
    <w:rsid w:val="009C4621"/>
    <w:rsid w:val="009C4B53"/>
    <w:rsid w:val="009C6F1A"/>
    <w:rsid w:val="009C7BFA"/>
    <w:rsid w:val="009D0428"/>
    <w:rsid w:val="009D08E6"/>
    <w:rsid w:val="009D170B"/>
    <w:rsid w:val="009D197D"/>
    <w:rsid w:val="009D3749"/>
    <w:rsid w:val="009D3A5D"/>
    <w:rsid w:val="009D6C88"/>
    <w:rsid w:val="009D768F"/>
    <w:rsid w:val="009D78FB"/>
    <w:rsid w:val="009D7BCF"/>
    <w:rsid w:val="009D7DF2"/>
    <w:rsid w:val="009D7EFE"/>
    <w:rsid w:val="009E012E"/>
    <w:rsid w:val="009E11D3"/>
    <w:rsid w:val="009E1396"/>
    <w:rsid w:val="009E2270"/>
    <w:rsid w:val="009E43C0"/>
    <w:rsid w:val="009E56E6"/>
    <w:rsid w:val="009E5A04"/>
    <w:rsid w:val="009E5AE6"/>
    <w:rsid w:val="009E5F58"/>
    <w:rsid w:val="009E7EF5"/>
    <w:rsid w:val="009F0190"/>
    <w:rsid w:val="009F02DE"/>
    <w:rsid w:val="009F15E0"/>
    <w:rsid w:val="009F23E6"/>
    <w:rsid w:val="009F316B"/>
    <w:rsid w:val="009F3A92"/>
    <w:rsid w:val="009F572A"/>
    <w:rsid w:val="009F5868"/>
    <w:rsid w:val="009F6869"/>
    <w:rsid w:val="009F6B02"/>
    <w:rsid w:val="009F6BF2"/>
    <w:rsid w:val="009F6E8A"/>
    <w:rsid w:val="009F7257"/>
    <w:rsid w:val="009F75F7"/>
    <w:rsid w:val="009F7BD5"/>
    <w:rsid w:val="00A0076A"/>
    <w:rsid w:val="00A00C87"/>
    <w:rsid w:val="00A0120A"/>
    <w:rsid w:val="00A01898"/>
    <w:rsid w:val="00A01E08"/>
    <w:rsid w:val="00A026A0"/>
    <w:rsid w:val="00A02FB0"/>
    <w:rsid w:val="00A0394A"/>
    <w:rsid w:val="00A03D2A"/>
    <w:rsid w:val="00A03DE4"/>
    <w:rsid w:val="00A046F9"/>
    <w:rsid w:val="00A04A38"/>
    <w:rsid w:val="00A05E48"/>
    <w:rsid w:val="00A1077C"/>
    <w:rsid w:val="00A10AEE"/>
    <w:rsid w:val="00A114B5"/>
    <w:rsid w:val="00A11E18"/>
    <w:rsid w:val="00A11EA3"/>
    <w:rsid w:val="00A133BB"/>
    <w:rsid w:val="00A14354"/>
    <w:rsid w:val="00A14BFC"/>
    <w:rsid w:val="00A14C78"/>
    <w:rsid w:val="00A14DB8"/>
    <w:rsid w:val="00A15BA4"/>
    <w:rsid w:val="00A16949"/>
    <w:rsid w:val="00A170DC"/>
    <w:rsid w:val="00A20C49"/>
    <w:rsid w:val="00A22771"/>
    <w:rsid w:val="00A22C2F"/>
    <w:rsid w:val="00A22FBD"/>
    <w:rsid w:val="00A2382C"/>
    <w:rsid w:val="00A23FD4"/>
    <w:rsid w:val="00A2439F"/>
    <w:rsid w:val="00A24756"/>
    <w:rsid w:val="00A24D93"/>
    <w:rsid w:val="00A252F3"/>
    <w:rsid w:val="00A262BF"/>
    <w:rsid w:val="00A265A4"/>
    <w:rsid w:val="00A268B4"/>
    <w:rsid w:val="00A26D61"/>
    <w:rsid w:val="00A274C2"/>
    <w:rsid w:val="00A31487"/>
    <w:rsid w:val="00A31843"/>
    <w:rsid w:val="00A32017"/>
    <w:rsid w:val="00A333D4"/>
    <w:rsid w:val="00A34643"/>
    <w:rsid w:val="00A35837"/>
    <w:rsid w:val="00A362C4"/>
    <w:rsid w:val="00A3639A"/>
    <w:rsid w:val="00A365A5"/>
    <w:rsid w:val="00A3784C"/>
    <w:rsid w:val="00A4029E"/>
    <w:rsid w:val="00A40487"/>
    <w:rsid w:val="00A41D37"/>
    <w:rsid w:val="00A42666"/>
    <w:rsid w:val="00A42F93"/>
    <w:rsid w:val="00A441F2"/>
    <w:rsid w:val="00A44801"/>
    <w:rsid w:val="00A44F49"/>
    <w:rsid w:val="00A45E59"/>
    <w:rsid w:val="00A46B71"/>
    <w:rsid w:val="00A46D59"/>
    <w:rsid w:val="00A47D5F"/>
    <w:rsid w:val="00A51366"/>
    <w:rsid w:val="00A5283F"/>
    <w:rsid w:val="00A538B6"/>
    <w:rsid w:val="00A53BDB"/>
    <w:rsid w:val="00A542A1"/>
    <w:rsid w:val="00A5489B"/>
    <w:rsid w:val="00A56126"/>
    <w:rsid w:val="00A5656D"/>
    <w:rsid w:val="00A56B83"/>
    <w:rsid w:val="00A57BC5"/>
    <w:rsid w:val="00A607E1"/>
    <w:rsid w:val="00A60A98"/>
    <w:rsid w:val="00A60DB3"/>
    <w:rsid w:val="00A63645"/>
    <w:rsid w:val="00A6385D"/>
    <w:rsid w:val="00A6397F"/>
    <w:rsid w:val="00A63A64"/>
    <w:rsid w:val="00A63FD0"/>
    <w:rsid w:val="00A64967"/>
    <w:rsid w:val="00A64D47"/>
    <w:rsid w:val="00A6553D"/>
    <w:rsid w:val="00A659ED"/>
    <w:rsid w:val="00A65F25"/>
    <w:rsid w:val="00A66511"/>
    <w:rsid w:val="00A66894"/>
    <w:rsid w:val="00A66C66"/>
    <w:rsid w:val="00A677E2"/>
    <w:rsid w:val="00A67FE0"/>
    <w:rsid w:val="00A70695"/>
    <w:rsid w:val="00A72693"/>
    <w:rsid w:val="00A7363F"/>
    <w:rsid w:val="00A73AFB"/>
    <w:rsid w:val="00A7572D"/>
    <w:rsid w:val="00A75819"/>
    <w:rsid w:val="00A75FF6"/>
    <w:rsid w:val="00A76AB6"/>
    <w:rsid w:val="00A76F77"/>
    <w:rsid w:val="00A77A5B"/>
    <w:rsid w:val="00A77BC2"/>
    <w:rsid w:val="00A80659"/>
    <w:rsid w:val="00A81153"/>
    <w:rsid w:val="00A81445"/>
    <w:rsid w:val="00A81C2C"/>
    <w:rsid w:val="00A81E89"/>
    <w:rsid w:val="00A821EF"/>
    <w:rsid w:val="00A82DA0"/>
    <w:rsid w:val="00A8320B"/>
    <w:rsid w:val="00A837EB"/>
    <w:rsid w:val="00A84C69"/>
    <w:rsid w:val="00A853AC"/>
    <w:rsid w:val="00A8563B"/>
    <w:rsid w:val="00A86735"/>
    <w:rsid w:val="00A87458"/>
    <w:rsid w:val="00A874C1"/>
    <w:rsid w:val="00A878C8"/>
    <w:rsid w:val="00A87DED"/>
    <w:rsid w:val="00A90033"/>
    <w:rsid w:val="00A90EF8"/>
    <w:rsid w:val="00A926E6"/>
    <w:rsid w:val="00A92FA4"/>
    <w:rsid w:val="00A95300"/>
    <w:rsid w:val="00A95AE4"/>
    <w:rsid w:val="00A95F0C"/>
    <w:rsid w:val="00A97217"/>
    <w:rsid w:val="00A97E1B"/>
    <w:rsid w:val="00AA1056"/>
    <w:rsid w:val="00AA1247"/>
    <w:rsid w:val="00AA1B9A"/>
    <w:rsid w:val="00AA27E9"/>
    <w:rsid w:val="00AA2B7A"/>
    <w:rsid w:val="00AA3484"/>
    <w:rsid w:val="00AA3B69"/>
    <w:rsid w:val="00AA54DA"/>
    <w:rsid w:val="00AA5DF4"/>
    <w:rsid w:val="00AA607A"/>
    <w:rsid w:val="00AA66E8"/>
    <w:rsid w:val="00AA693A"/>
    <w:rsid w:val="00AA7455"/>
    <w:rsid w:val="00AA777A"/>
    <w:rsid w:val="00AA795C"/>
    <w:rsid w:val="00AB20E2"/>
    <w:rsid w:val="00AB24D7"/>
    <w:rsid w:val="00AB396C"/>
    <w:rsid w:val="00AB3A76"/>
    <w:rsid w:val="00AB426F"/>
    <w:rsid w:val="00AB4560"/>
    <w:rsid w:val="00AB4EFD"/>
    <w:rsid w:val="00AB55B1"/>
    <w:rsid w:val="00AB5F20"/>
    <w:rsid w:val="00AB6123"/>
    <w:rsid w:val="00AB6618"/>
    <w:rsid w:val="00AC0312"/>
    <w:rsid w:val="00AC04B6"/>
    <w:rsid w:val="00AC0A60"/>
    <w:rsid w:val="00AC175B"/>
    <w:rsid w:val="00AC2028"/>
    <w:rsid w:val="00AC386C"/>
    <w:rsid w:val="00AC3C56"/>
    <w:rsid w:val="00AC4663"/>
    <w:rsid w:val="00AC4971"/>
    <w:rsid w:val="00AC5107"/>
    <w:rsid w:val="00AC5CE2"/>
    <w:rsid w:val="00AC7BFF"/>
    <w:rsid w:val="00AD012D"/>
    <w:rsid w:val="00AD0D1B"/>
    <w:rsid w:val="00AD0EC0"/>
    <w:rsid w:val="00AD1972"/>
    <w:rsid w:val="00AD1D4D"/>
    <w:rsid w:val="00AD26A1"/>
    <w:rsid w:val="00AD2D6F"/>
    <w:rsid w:val="00AD310A"/>
    <w:rsid w:val="00AD3721"/>
    <w:rsid w:val="00AD391F"/>
    <w:rsid w:val="00AD3B26"/>
    <w:rsid w:val="00AD69C3"/>
    <w:rsid w:val="00AD6B86"/>
    <w:rsid w:val="00AD6FDA"/>
    <w:rsid w:val="00AD7BE4"/>
    <w:rsid w:val="00AD7C65"/>
    <w:rsid w:val="00AD7DC9"/>
    <w:rsid w:val="00AE0494"/>
    <w:rsid w:val="00AE0499"/>
    <w:rsid w:val="00AE1403"/>
    <w:rsid w:val="00AE193C"/>
    <w:rsid w:val="00AE3418"/>
    <w:rsid w:val="00AE378A"/>
    <w:rsid w:val="00AE3945"/>
    <w:rsid w:val="00AE5094"/>
    <w:rsid w:val="00AE5361"/>
    <w:rsid w:val="00AE55FC"/>
    <w:rsid w:val="00AE69F2"/>
    <w:rsid w:val="00AF0517"/>
    <w:rsid w:val="00AF0943"/>
    <w:rsid w:val="00AF0A89"/>
    <w:rsid w:val="00AF18C6"/>
    <w:rsid w:val="00AF1966"/>
    <w:rsid w:val="00AF19AB"/>
    <w:rsid w:val="00AF1D96"/>
    <w:rsid w:val="00AF1FE5"/>
    <w:rsid w:val="00AF2EE9"/>
    <w:rsid w:val="00AF3D7E"/>
    <w:rsid w:val="00AF444F"/>
    <w:rsid w:val="00AF61A3"/>
    <w:rsid w:val="00AF743C"/>
    <w:rsid w:val="00AF7CE4"/>
    <w:rsid w:val="00B0289B"/>
    <w:rsid w:val="00B035A6"/>
    <w:rsid w:val="00B035DD"/>
    <w:rsid w:val="00B035E9"/>
    <w:rsid w:val="00B03609"/>
    <w:rsid w:val="00B041FA"/>
    <w:rsid w:val="00B04243"/>
    <w:rsid w:val="00B0437D"/>
    <w:rsid w:val="00B0477A"/>
    <w:rsid w:val="00B07066"/>
    <w:rsid w:val="00B079CB"/>
    <w:rsid w:val="00B10898"/>
    <w:rsid w:val="00B11161"/>
    <w:rsid w:val="00B11DFD"/>
    <w:rsid w:val="00B1217F"/>
    <w:rsid w:val="00B125C2"/>
    <w:rsid w:val="00B12B69"/>
    <w:rsid w:val="00B12EDF"/>
    <w:rsid w:val="00B131A2"/>
    <w:rsid w:val="00B13373"/>
    <w:rsid w:val="00B13564"/>
    <w:rsid w:val="00B138C4"/>
    <w:rsid w:val="00B14858"/>
    <w:rsid w:val="00B14C0F"/>
    <w:rsid w:val="00B14FBA"/>
    <w:rsid w:val="00B21129"/>
    <w:rsid w:val="00B213B0"/>
    <w:rsid w:val="00B21B8B"/>
    <w:rsid w:val="00B2344D"/>
    <w:rsid w:val="00B236BD"/>
    <w:rsid w:val="00B241C0"/>
    <w:rsid w:val="00B242D8"/>
    <w:rsid w:val="00B2498D"/>
    <w:rsid w:val="00B256F2"/>
    <w:rsid w:val="00B263A3"/>
    <w:rsid w:val="00B263B7"/>
    <w:rsid w:val="00B26513"/>
    <w:rsid w:val="00B2677B"/>
    <w:rsid w:val="00B2730F"/>
    <w:rsid w:val="00B30123"/>
    <w:rsid w:val="00B304A7"/>
    <w:rsid w:val="00B327F7"/>
    <w:rsid w:val="00B32CAD"/>
    <w:rsid w:val="00B34926"/>
    <w:rsid w:val="00B34972"/>
    <w:rsid w:val="00B34B31"/>
    <w:rsid w:val="00B34D42"/>
    <w:rsid w:val="00B34E7C"/>
    <w:rsid w:val="00B35104"/>
    <w:rsid w:val="00B35B42"/>
    <w:rsid w:val="00B35E8E"/>
    <w:rsid w:val="00B371B2"/>
    <w:rsid w:val="00B3769C"/>
    <w:rsid w:val="00B404DC"/>
    <w:rsid w:val="00B41719"/>
    <w:rsid w:val="00B41E5A"/>
    <w:rsid w:val="00B42633"/>
    <w:rsid w:val="00B427F4"/>
    <w:rsid w:val="00B429AE"/>
    <w:rsid w:val="00B42EED"/>
    <w:rsid w:val="00B435E8"/>
    <w:rsid w:val="00B4543C"/>
    <w:rsid w:val="00B4554B"/>
    <w:rsid w:val="00B458F5"/>
    <w:rsid w:val="00B4723D"/>
    <w:rsid w:val="00B50527"/>
    <w:rsid w:val="00B50554"/>
    <w:rsid w:val="00B50C69"/>
    <w:rsid w:val="00B51542"/>
    <w:rsid w:val="00B515EC"/>
    <w:rsid w:val="00B51F42"/>
    <w:rsid w:val="00B52136"/>
    <w:rsid w:val="00B52572"/>
    <w:rsid w:val="00B53926"/>
    <w:rsid w:val="00B53B85"/>
    <w:rsid w:val="00B53DD3"/>
    <w:rsid w:val="00B56012"/>
    <w:rsid w:val="00B56026"/>
    <w:rsid w:val="00B57BDA"/>
    <w:rsid w:val="00B60EB9"/>
    <w:rsid w:val="00B62245"/>
    <w:rsid w:val="00B62880"/>
    <w:rsid w:val="00B62C9E"/>
    <w:rsid w:val="00B63CFC"/>
    <w:rsid w:val="00B65044"/>
    <w:rsid w:val="00B65415"/>
    <w:rsid w:val="00B656E0"/>
    <w:rsid w:val="00B66073"/>
    <w:rsid w:val="00B67AB5"/>
    <w:rsid w:val="00B67F74"/>
    <w:rsid w:val="00B71D68"/>
    <w:rsid w:val="00B73A45"/>
    <w:rsid w:val="00B748B5"/>
    <w:rsid w:val="00B74B99"/>
    <w:rsid w:val="00B74C48"/>
    <w:rsid w:val="00B75689"/>
    <w:rsid w:val="00B76A26"/>
    <w:rsid w:val="00B773CF"/>
    <w:rsid w:val="00B77CF7"/>
    <w:rsid w:val="00B804FD"/>
    <w:rsid w:val="00B80E62"/>
    <w:rsid w:val="00B81F73"/>
    <w:rsid w:val="00B82614"/>
    <w:rsid w:val="00B83263"/>
    <w:rsid w:val="00B838F3"/>
    <w:rsid w:val="00B83E51"/>
    <w:rsid w:val="00B85368"/>
    <w:rsid w:val="00B8578A"/>
    <w:rsid w:val="00B85DEF"/>
    <w:rsid w:val="00B85F75"/>
    <w:rsid w:val="00B87530"/>
    <w:rsid w:val="00B9039D"/>
    <w:rsid w:val="00B910A6"/>
    <w:rsid w:val="00B9136A"/>
    <w:rsid w:val="00B9162C"/>
    <w:rsid w:val="00B92A16"/>
    <w:rsid w:val="00B92CA0"/>
    <w:rsid w:val="00B9319C"/>
    <w:rsid w:val="00B93695"/>
    <w:rsid w:val="00B9396B"/>
    <w:rsid w:val="00B9455B"/>
    <w:rsid w:val="00B949E1"/>
    <w:rsid w:val="00B95097"/>
    <w:rsid w:val="00B95F59"/>
    <w:rsid w:val="00B9645B"/>
    <w:rsid w:val="00B9648D"/>
    <w:rsid w:val="00B9656F"/>
    <w:rsid w:val="00B96DDC"/>
    <w:rsid w:val="00B97548"/>
    <w:rsid w:val="00B97EC5"/>
    <w:rsid w:val="00BA050F"/>
    <w:rsid w:val="00BA068C"/>
    <w:rsid w:val="00BA12D4"/>
    <w:rsid w:val="00BA2A96"/>
    <w:rsid w:val="00BA3374"/>
    <w:rsid w:val="00BA3540"/>
    <w:rsid w:val="00BA3AFA"/>
    <w:rsid w:val="00BA3C10"/>
    <w:rsid w:val="00BA538F"/>
    <w:rsid w:val="00BA5C41"/>
    <w:rsid w:val="00BA5C74"/>
    <w:rsid w:val="00BA6C2C"/>
    <w:rsid w:val="00BA70E7"/>
    <w:rsid w:val="00BA7997"/>
    <w:rsid w:val="00BB0081"/>
    <w:rsid w:val="00BB0355"/>
    <w:rsid w:val="00BB0BCE"/>
    <w:rsid w:val="00BB26D5"/>
    <w:rsid w:val="00BB37F4"/>
    <w:rsid w:val="00BB3ECA"/>
    <w:rsid w:val="00BB477A"/>
    <w:rsid w:val="00BB4FDD"/>
    <w:rsid w:val="00BB5389"/>
    <w:rsid w:val="00BB57DF"/>
    <w:rsid w:val="00BB66BB"/>
    <w:rsid w:val="00BB6C06"/>
    <w:rsid w:val="00BB6D08"/>
    <w:rsid w:val="00BB77C8"/>
    <w:rsid w:val="00BB7871"/>
    <w:rsid w:val="00BB7AB6"/>
    <w:rsid w:val="00BB7D78"/>
    <w:rsid w:val="00BC0592"/>
    <w:rsid w:val="00BC08D8"/>
    <w:rsid w:val="00BC0E77"/>
    <w:rsid w:val="00BC1CEF"/>
    <w:rsid w:val="00BC25E0"/>
    <w:rsid w:val="00BC3E98"/>
    <w:rsid w:val="00BC4207"/>
    <w:rsid w:val="00BC5541"/>
    <w:rsid w:val="00BC5BAD"/>
    <w:rsid w:val="00BC6BF3"/>
    <w:rsid w:val="00BD028E"/>
    <w:rsid w:val="00BD0776"/>
    <w:rsid w:val="00BD170D"/>
    <w:rsid w:val="00BD1DEF"/>
    <w:rsid w:val="00BD2B53"/>
    <w:rsid w:val="00BD3DBE"/>
    <w:rsid w:val="00BD3EFC"/>
    <w:rsid w:val="00BD4330"/>
    <w:rsid w:val="00BD4771"/>
    <w:rsid w:val="00BD5595"/>
    <w:rsid w:val="00BD6839"/>
    <w:rsid w:val="00BD7076"/>
    <w:rsid w:val="00BD78CE"/>
    <w:rsid w:val="00BD7AFA"/>
    <w:rsid w:val="00BE035E"/>
    <w:rsid w:val="00BE2207"/>
    <w:rsid w:val="00BE24F3"/>
    <w:rsid w:val="00BE2F59"/>
    <w:rsid w:val="00BE2FED"/>
    <w:rsid w:val="00BE3731"/>
    <w:rsid w:val="00BE3866"/>
    <w:rsid w:val="00BE3BF7"/>
    <w:rsid w:val="00BE4B17"/>
    <w:rsid w:val="00BE4D1D"/>
    <w:rsid w:val="00BE4FF6"/>
    <w:rsid w:val="00BE51F5"/>
    <w:rsid w:val="00BE5C95"/>
    <w:rsid w:val="00BE5ECB"/>
    <w:rsid w:val="00BE6B83"/>
    <w:rsid w:val="00BF0B49"/>
    <w:rsid w:val="00BF0F4A"/>
    <w:rsid w:val="00BF1214"/>
    <w:rsid w:val="00BF267A"/>
    <w:rsid w:val="00BF2780"/>
    <w:rsid w:val="00BF2EA6"/>
    <w:rsid w:val="00BF3151"/>
    <w:rsid w:val="00BF32B5"/>
    <w:rsid w:val="00BF5A69"/>
    <w:rsid w:val="00BF67C3"/>
    <w:rsid w:val="00BF76EA"/>
    <w:rsid w:val="00C00092"/>
    <w:rsid w:val="00C0147E"/>
    <w:rsid w:val="00C015F9"/>
    <w:rsid w:val="00C01A33"/>
    <w:rsid w:val="00C0301D"/>
    <w:rsid w:val="00C03134"/>
    <w:rsid w:val="00C0452A"/>
    <w:rsid w:val="00C04964"/>
    <w:rsid w:val="00C04A90"/>
    <w:rsid w:val="00C10D9D"/>
    <w:rsid w:val="00C11859"/>
    <w:rsid w:val="00C121E1"/>
    <w:rsid w:val="00C15E51"/>
    <w:rsid w:val="00C16C6A"/>
    <w:rsid w:val="00C20AA0"/>
    <w:rsid w:val="00C2117E"/>
    <w:rsid w:val="00C21D66"/>
    <w:rsid w:val="00C23CC1"/>
    <w:rsid w:val="00C24192"/>
    <w:rsid w:val="00C24200"/>
    <w:rsid w:val="00C24437"/>
    <w:rsid w:val="00C24EC9"/>
    <w:rsid w:val="00C25875"/>
    <w:rsid w:val="00C25DDA"/>
    <w:rsid w:val="00C26A4D"/>
    <w:rsid w:val="00C2721D"/>
    <w:rsid w:val="00C30B6A"/>
    <w:rsid w:val="00C30D03"/>
    <w:rsid w:val="00C31D67"/>
    <w:rsid w:val="00C32253"/>
    <w:rsid w:val="00C330A4"/>
    <w:rsid w:val="00C3317E"/>
    <w:rsid w:val="00C333C0"/>
    <w:rsid w:val="00C338D8"/>
    <w:rsid w:val="00C354F5"/>
    <w:rsid w:val="00C35EED"/>
    <w:rsid w:val="00C36399"/>
    <w:rsid w:val="00C36DA9"/>
    <w:rsid w:val="00C3797D"/>
    <w:rsid w:val="00C4311A"/>
    <w:rsid w:val="00C448BB"/>
    <w:rsid w:val="00C448DB"/>
    <w:rsid w:val="00C4493B"/>
    <w:rsid w:val="00C44F0F"/>
    <w:rsid w:val="00C46149"/>
    <w:rsid w:val="00C4706E"/>
    <w:rsid w:val="00C4756B"/>
    <w:rsid w:val="00C510A5"/>
    <w:rsid w:val="00C51766"/>
    <w:rsid w:val="00C51861"/>
    <w:rsid w:val="00C524E7"/>
    <w:rsid w:val="00C53A14"/>
    <w:rsid w:val="00C53AF7"/>
    <w:rsid w:val="00C540E3"/>
    <w:rsid w:val="00C544C5"/>
    <w:rsid w:val="00C546A3"/>
    <w:rsid w:val="00C552DD"/>
    <w:rsid w:val="00C557D7"/>
    <w:rsid w:val="00C55AEA"/>
    <w:rsid w:val="00C56FFA"/>
    <w:rsid w:val="00C614A2"/>
    <w:rsid w:val="00C62335"/>
    <w:rsid w:val="00C62BBF"/>
    <w:rsid w:val="00C6307B"/>
    <w:rsid w:val="00C6326A"/>
    <w:rsid w:val="00C65261"/>
    <w:rsid w:val="00C65A78"/>
    <w:rsid w:val="00C665E9"/>
    <w:rsid w:val="00C66A32"/>
    <w:rsid w:val="00C67153"/>
    <w:rsid w:val="00C70056"/>
    <w:rsid w:val="00C70485"/>
    <w:rsid w:val="00C70F97"/>
    <w:rsid w:val="00C72B15"/>
    <w:rsid w:val="00C7321C"/>
    <w:rsid w:val="00C738C6"/>
    <w:rsid w:val="00C7424B"/>
    <w:rsid w:val="00C746A5"/>
    <w:rsid w:val="00C7539F"/>
    <w:rsid w:val="00C75BDA"/>
    <w:rsid w:val="00C76ED1"/>
    <w:rsid w:val="00C776DD"/>
    <w:rsid w:val="00C823F0"/>
    <w:rsid w:val="00C83BE1"/>
    <w:rsid w:val="00C83BE6"/>
    <w:rsid w:val="00C84119"/>
    <w:rsid w:val="00C84A61"/>
    <w:rsid w:val="00C84CB5"/>
    <w:rsid w:val="00C850F7"/>
    <w:rsid w:val="00C857AB"/>
    <w:rsid w:val="00C857D3"/>
    <w:rsid w:val="00C85D76"/>
    <w:rsid w:val="00C87115"/>
    <w:rsid w:val="00C872FF"/>
    <w:rsid w:val="00C91471"/>
    <w:rsid w:val="00C91CC3"/>
    <w:rsid w:val="00C9342F"/>
    <w:rsid w:val="00C9456D"/>
    <w:rsid w:val="00C951B9"/>
    <w:rsid w:val="00C9544E"/>
    <w:rsid w:val="00C958CD"/>
    <w:rsid w:val="00C97985"/>
    <w:rsid w:val="00CA00C3"/>
    <w:rsid w:val="00CA0606"/>
    <w:rsid w:val="00CA0690"/>
    <w:rsid w:val="00CA18FA"/>
    <w:rsid w:val="00CA38F1"/>
    <w:rsid w:val="00CA3DEB"/>
    <w:rsid w:val="00CA58F3"/>
    <w:rsid w:val="00CA591F"/>
    <w:rsid w:val="00CA63C6"/>
    <w:rsid w:val="00CA6694"/>
    <w:rsid w:val="00CA7091"/>
    <w:rsid w:val="00CA72BF"/>
    <w:rsid w:val="00CB0132"/>
    <w:rsid w:val="00CB0BA2"/>
    <w:rsid w:val="00CB0DAA"/>
    <w:rsid w:val="00CB1905"/>
    <w:rsid w:val="00CB1E22"/>
    <w:rsid w:val="00CB23A1"/>
    <w:rsid w:val="00CB44A5"/>
    <w:rsid w:val="00CB4E07"/>
    <w:rsid w:val="00CB5128"/>
    <w:rsid w:val="00CB53CE"/>
    <w:rsid w:val="00CB6842"/>
    <w:rsid w:val="00CB6981"/>
    <w:rsid w:val="00CB6FE1"/>
    <w:rsid w:val="00CB6FE8"/>
    <w:rsid w:val="00CB75C1"/>
    <w:rsid w:val="00CC0A47"/>
    <w:rsid w:val="00CC1713"/>
    <w:rsid w:val="00CC1C01"/>
    <w:rsid w:val="00CC1DAE"/>
    <w:rsid w:val="00CC200B"/>
    <w:rsid w:val="00CC2EBA"/>
    <w:rsid w:val="00CC381F"/>
    <w:rsid w:val="00CC443C"/>
    <w:rsid w:val="00CC4FB2"/>
    <w:rsid w:val="00CC525F"/>
    <w:rsid w:val="00CC540F"/>
    <w:rsid w:val="00CC55AF"/>
    <w:rsid w:val="00CC66AF"/>
    <w:rsid w:val="00CC6710"/>
    <w:rsid w:val="00CC68E4"/>
    <w:rsid w:val="00CC718E"/>
    <w:rsid w:val="00CC7A76"/>
    <w:rsid w:val="00CC7D50"/>
    <w:rsid w:val="00CD080B"/>
    <w:rsid w:val="00CD25BF"/>
    <w:rsid w:val="00CD3296"/>
    <w:rsid w:val="00CD32EB"/>
    <w:rsid w:val="00CD365B"/>
    <w:rsid w:val="00CD3B9B"/>
    <w:rsid w:val="00CD41FC"/>
    <w:rsid w:val="00CD4383"/>
    <w:rsid w:val="00CD4B76"/>
    <w:rsid w:val="00CD52AD"/>
    <w:rsid w:val="00CD66C4"/>
    <w:rsid w:val="00CD6D6C"/>
    <w:rsid w:val="00CD718B"/>
    <w:rsid w:val="00CD71DE"/>
    <w:rsid w:val="00CD7982"/>
    <w:rsid w:val="00CD7C8D"/>
    <w:rsid w:val="00CE0E1B"/>
    <w:rsid w:val="00CE13B6"/>
    <w:rsid w:val="00CE17E5"/>
    <w:rsid w:val="00CE1A66"/>
    <w:rsid w:val="00CE2D69"/>
    <w:rsid w:val="00CE420F"/>
    <w:rsid w:val="00CE4382"/>
    <w:rsid w:val="00CE466E"/>
    <w:rsid w:val="00CE4770"/>
    <w:rsid w:val="00CE4F6B"/>
    <w:rsid w:val="00CE53C6"/>
    <w:rsid w:val="00CE7443"/>
    <w:rsid w:val="00CE79D0"/>
    <w:rsid w:val="00CF0278"/>
    <w:rsid w:val="00CF0567"/>
    <w:rsid w:val="00CF0BF5"/>
    <w:rsid w:val="00CF0D0C"/>
    <w:rsid w:val="00CF11ED"/>
    <w:rsid w:val="00CF148E"/>
    <w:rsid w:val="00CF1717"/>
    <w:rsid w:val="00CF2182"/>
    <w:rsid w:val="00CF238E"/>
    <w:rsid w:val="00CF2A37"/>
    <w:rsid w:val="00CF2D2E"/>
    <w:rsid w:val="00CF2FA1"/>
    <w:rsid w:val="00CF3864"/>
    <w:rsid w:val="00CF4002"/>
    <w:rsid w:val="00CF41A3"/>
    <w:rsid w:val="00CF4CDA"/>
    <w:rsid w:val="00CF4D15"/>
    <w:rsid w:val="00CF7230"/>
    <w:rsid w:val="00CF7E3D"/>
    <w:rsid w:val="00D016C4"/>
    <w:rsid w:val="00D01B2A"/>
    <w:rsid w:val="00D02E0F"/>
    <w:rsid w:val="00D03040"/>
    <w:rsid w:val="00D031FF"/>
    <w:rsid w:val="00D037C8"/>
    <w:rsid w:val="00D03B21"/>
    <w:rsid w:val="00D052A3"/>
    <w:rsid w:val="00D05FB0"/>
    <w:rsid w:val="00D06DB5"/>
    <w:rsid w:val="00D07184"/>
    <w:rsid w:val="00D07CEA"/>
    <w:rsid w:val="00D1094D"/>
    <w:rsid w:val="00D11105"/>
    <w:rsid w:val="00D11416"/>
    <w:rsid w:val="00D1186A"/>
    <w:rsid w:val="00D11A58"/>
    <w:rsid w:val="00D11A96"/>
    <w:rsid w:val="00D11E56"/>
    <w:rsid w:val="00D130AB"/>
    <w:rsid w:val="00D14231"/>
    <w:rsid w:val="00D14D2D"/>
    <w:rsid w:val="00D15268"/>
    <w:rsid w:val="00D1660C"/>
    <w:rsid w:val="00D1706D"/>
    <w:rsid w:val="00D17C79"/>
    <w:rsid w:val="00D17E3D"/>
    <w:rsid w:val="00D20693"/>
    <w:rsid w:val="00D2253C"/>
    <w:rsid w:val="00D22A70"/>
    <w:rsid w:val="00D24BCF"/>
    <w:rsid w:val="00D250E4"/>
    <w:rsid w:val="00D257D4"/>
    <w:rsid w:val="00D258CE"/>
    <w:rsid w:val="00D27501"/>
    <w:rsid w:val="00D27545"/>
    <w:rsid w:val="00D27AE6"/>
    <w:rsid w:val="00D3031B"/>
    <w:rsid w:val="00D311F7"/>
    <w:rsid w:val="00D32322"/>
    <w:rsid w:val="00D32B71"/>
    <w:rsid w:val="00D32BB0"/>
    <w:rsid w:val="00D3333F"/>
    <w:rsid w:val="00D33AEC"/>
    <w:rsid w:val="00D342B1"/>
    <w:rsid w:val="00D34349"/>
    <w:rsid w:val="00D34F4D"/>
    <w:rsid w:val="00D351F5"/>
    <w:rsid w:val="00D362F2"/>
    <w:rsid w:val="00D36752"/>
    <w:rsid w:val="00D36C1A"/>
    <w:rsid w:val="00D37160"/>
    <w:rsid w:val="00D37FC2"/>
    <w:rsid w:val="00D4028E"/>
    <w:rsid w:val="00D40E83"/>
    <w:rsid w:val="00D4274B"/>
    <w:rsid w:val="00D44266"/>
    <w:rsid w:val="00D4516C"/>
    <w:rsid w:val="00D45207"/>
    <w:rsid w:val="00D45B4E"/>
    <w:rsid w:val="00D45CD7"/>
    <w:rsid w:val="00D46D8A"/>
    <w:rsid w:val="00D47110"/>
    <w:rsid w:val="00D47D3A"/>
    <w:rsid w:val="00D518B9"/>
    <w:rsid w:val="00D5242A"/>
    <w:rsid w:val="00D528BF"/>
    <w:rsid w:val="00D5358F"/>
    <w:rsid w:val="00D535BE"/>
    <w:rsid w:val="00D54154"/>
    <w:rsid w:val="00D54F79"/>
    <w:rsid w:val="00D55478"/>
    <w:rsid w:val="00D56C15"/>
    <w:rsid w:val="00D56F02"/>
    <w:rsid w:val="00D57BC6"/>
    <w:rsid w:val="00D57C3E"/>
    <w:rsid w:val="00D613F8"/>
    <w:rsid w:val="00D620B9"/>
    <w:rsid w:val="00D62499"/>
    <w:rsid w:val="00D62CEB"/>
    <w:rsid w:val="00D633D5"/>
    <w:rsid w:val="00D636F9"/>
    <w:rsid w:val="00D63AAA"/>
    <w:rsid w:val="00D642B6"/>
    <w:rsid w:val="00D64F9F"/>
    <w:rsid w:val="00D65363"/>
    <w:rsid w:val="00D65D78"/>
    <w:rsid w:val="00D66256"/>
    <w:rsid w:val="00D66814"/>
    <w:rsid w:val="00D6713C"/>
    <w:rsid w:val="00D67B29"/>
    <w:rsid w:val="00D67DB1"/>
    <w:rsid w:val="00D70DFD"/>
    <w:rsid w:val="00D70FE9"/>
    <w:rsid w:val="00D71798"/>
    <w:rsid w:val="00D7186D"/>
    <w:rsid w:val="00D719C5"/>
    <w:rsid w:val="00D72023"/>
    <w:rsid w:val="00D72834"/>
    <w:rsid w:val="00D72B5A"/>
    <w:rsid w:val="00D74386"/>
    <w:rsid w:val="00D74CD2"/>
    <w:rsid w:val="00D75A4B"/>
    <w:rsid w:val="00D75BCE"/>
    <w:rsid w:val="00D76B53"/>
    <w:rsid w:val="00D76C4B"/>
    <w:rsid w:val="00D7771E"/>
    <w:rsid w:val="00D77B2A"/>
    <w:rsid w:val="00D80172"/>
    <w:rsid w:val="00D80651"/>
    <w:rsid w:val="00D814C2"/>
    <w:rsid w:val="00D81E0B"/>
    <w:rsid w:val="00D81E0F"/>
    <w:rsid w:val="00D83296"/>
    <w:rsid w:val="00D84D32"/>
    <w:rsid w:val="00D868F7"/>
    <w:rsid w:val="00D87281"/>
    <w:rsid w:val="00D87FA9"/>
    <w:rsid w:val="00D90616"/>
    <w:rsid w:val="00D90A15"/>
    <w:rsid w:val="00D90CBE"/>
    <w:rsid w:val="00D91AFB"/>
    <w:rsid w:val="00D91DA2"/>
    <w:rsid w:val="00D92598"/>
    <w:rsid w:val="00D93349"/>
    <w:rsid w:val="00D9352B"/>
    <w:rsid w:val="00D9411A"/>
    <w:rsid w:val="00D94177"/>
    <w:rsid w:val="00D94A0D"/>
    <w:rsid w:val="00D94FE7"/>
    <w:rsid w:val="00D95B92"/>
    <w:rsid w:val="00D960E7"/>
    <w:rsid w:val="00D97855"/>
    <w:rsid w:val="00DA02AA"/>
    <w:rsid w:val="00DA046F"/>
    <w:rsid w:val="00DA0E11"/>
    <w:rsid w:val="00DA122A"/>
    <w:rsid w:val="00DA3B0F"/>
    <w:rsid w:val="00DA408D"/>
    <w:rsid w:val="00DA5E5B"/>
    <w:rsid w:val="00DA5F08"/>
    <w:rsid w:val="00DA67C7"/>
    <w:rsid w:val="00DA6B8B"/>
    <w:rsid w:val="00DA741B"/>
    <w:rsid w:val="00DB0C6E"/>
    <w:rsid w:val="00DB191F"/>
    <w:rsid w:val="00DB1B92"/>
    <w:rsid w:val="00DB2396"/>
    <w:rsid w:val="00DB2BBA"/>
    <w:rsid w:val="00DB33AC"/>
    <w:rsid w:val="00DB416F"/>
    <w:rsid w:val="00DB51E8"/>
    <w:rsid w:val="00DB6A32"/>
    <w:rsid w:val="00DB6A4B"/>
    <w:rsid w:val="00DB6F79"/>
    <w:rsid w:val="00DB7281"/>
    <w:rsid w:val="00DB756E"/>
    <w:rsid w:val="00DC0A1F"/>
    <w:rsid w:val="00DC1750"/>
    <w:rsid w:val="00DC1C46"/>
    <w:rsid w:val="00DC1DD3"/>
    <w:rsid w:val="00DC26AB"/>
    <w:rsid w:val="00DC3DA7"/>
    <w:rsid w:val="00DC422B"/>
    <w:rsid w:val="00DC4738"/>
    <w:rsid w:val="00DC49C8"/>
    <w:rsid w:val="00DC518B"/>
    <w:rsid w:val="00DC51B8"/>
    <w:rsid w:val="00DC5391"/>
    <w:rsid w:val="00DC5866"/>
    <w:rsid w:val="00DC7626"/>
    <w:rsid w:val="00DC7F35"/>
    <w:rsid w:val="00DC7F39"/>
    <w:rsid w:val="00DD0C87"/>
    <w:rsid w:val="00DD0F29"/>
    <w:rsid w:val="00DD1520"/>
    <w:rsid w:val="00DD179D"/>
    <w:rsid w:val="00DD1855"/>
    <w:rsid w:val="00DD19A1"/>
    <w:rsid w:val="00DD19B7"/>
    <w:rsid w:val="00DD2247"/>
    <w:rsid w:val="00DD320E"/>
    <w:rsid w:val="00DD409F"/>
    <w:rsid w:val="00DD40A2"/>
    <w:rsid w:val="00DD45CA"/>
    <w:rsid w:val="00DD5382"/>
    <w:rsid w:val="00DD5A03"/>
    <w:rsid w:val="00DD5BE9"/>
    <w:rsid w:val="00DD5EAD"/>
    <w:rsid w:val="00DD63CF"/>
    <w:rsid w:val="00DD645A"/>
    <w:rsid w:val="00DD6AF8"/>
    <w:rsid w:val="00DD7FCE"/>
    <w:rsid w:val="00DE00C0"/>
    <w:rsid w:val="00DE0439"/>
    <w:rsid w:val="00DE0949"/>
    <w:rsid w:val="00DE24E9"/>
    <w:rsid w:val="00DE2A48"/>
    <w:rsid w:val="00DE398E"/>
    <w:rsid w:val="00DE4140"/>
    <w:rsid w:val="00DE4C8A"/>
    <w:rsid w:val="00DE4D9D"/>
    <w:rsid w:val="00DE54F4"/>
    <w:rsid w:val="00DE6052"/>
    <w:rsid w:val="00DE6122"/>
    <w:rsid w:val="00DE6D67"/>
    <w:rsid w:val="00DE781C"/>
    <w:rsid w:val="00DE7859"/>
    <w:rsid w:val="00DF0C86"/>
    <w:rsid w:val="00DF1BEE"/>
    <w:rsid w:val="00DF2A84"/>
    <w:rsid w:val="00DF32EC"/>
    <w:rsid w:val="00DF3F75"/>
    <w:rsid w:val="00DF4B1F"/>
    <w:rsid w:val="00DF618E"/>
    <w:rsid w:val="00DF6B41"/>
    <w:rsid w:val="00DF6D02"/>
    <w:rsid w:val="00DF7602"/>
    <w:rsid w:val="00DF7E97"/>
    <w:rsid w:val="00DF7EDD"/>
    <w:rsid w:val="00E00654"/>
    <w:rsid w:val="00E01B3A"/>
    <w:rsid w:val="00E0244B"/>
    <w:rsid w:val="00E03555"/>
    <w:rsid w:val="00E03D9E"/>
    <w:rsid w:val="00E03DBF"/>
    <w:rsid w:val="00E0444A"/>
    <w:rsid w:val="00E047D9"/>
    <w:rsid w:val="00E05066"/>
    <w:rsid w:val="00E05393"/>
    <w:rsid w:val="00E05CDC"/>
    <w:rsid w:val="00E062EC"/>
    <w:rsid w:val="00E071E3"/>
    <w:rsid w:val="00E1180C"/>
    <w:rsid w:val="00E122B3"/>
    <w:rsid w:val="00E126A8"/>
    <w:rsid w:val="00E1350C"/>
    <w:rsid w:val="00E13949"/>
    <w:rsid w:val="00E1419A"/>
    <w:rsid w:val="00E14B25"/>
    <w:rsid w:val="00E1567B"/>
    <w:rsid w:val="00E15696"/>
    <w:rsid w:val="00E1642F"/>
    <w:rsid w:val="00E20242"/>
    <w:rsid w:val="00E21569"/>
    <w:rsid w:val="00E21CC1"/>
    <w:rsid w:val="00E223E4"/>
    <w:rsid w:val="00E248EA"/>
    <w:rsid w:val="00E24EB7"/>
    <w:rsid w:val="00E254AE"/>
    <w:rsid w:val="00E2567C"/>
    <w:rsid w:val="00E25815"/>
    <w:rsid w:val="00E25D2A"/>
    <w:rsid w:val="00E260A9"/>
    <w:rsid w:val="00E269B9"/>
    <w:rsid w:val="00E2713B"/>
    <w:rsid w:val="00E2747B"/>
    <w:rsid w:val="00E27484"/>
    <w:rsid w:val="00E2756B"/>
    <w:rsid w:val="00E27CC8"/>
    <w:rsid w:val="00E3004D"/>
    <w:rsid w:val="00E3018C"/>
    <w:rsid w:val="00E30857"/>
    <w:rsid w:val="00E30DB5"/>
    <w:rsid w:val="00E31927"/>
    <w:rsid w:val="00E31A5B"/>
    <w:rsid w:val="00E31B40"/>
    <w:rsid w:val="00E332E3"/>
    <w:rsid w:val="00E337ED"/>
    <w:rsid w:val="00E33904"/>
    <w:rsid w:val="00E33C58"/>
    <w:rsid w:val="00E3402B"/>
    <w:rsid w:val="00E349FE"/>
    <w:rsid w:val="00E37628"/>
    <w:rsid w:val="00E3787C"/>
    <w:rsid w:val="00E37DD9"/>
    <w:rsid w:val="00E40BFD"/>
    <w:rsid w:val="00E41F98"/>
    <w:rsid w:val="00E425B9"/>
    <w:rsid w:val="00E43A3A"/>
    <w:rsid w:val="00E453E7"/>
    <w:rsid w:val="00E45616"/>
    <w:rsid w:val="00E456B7"/>
    <w:rsid w:val="00E46843"/>
    <w:rsid w:val="00E47579"/>
    <w:rsid w:val="00E4776F"/>
    <w:rsid w:val="00E47AFB"/>
    <w:rsid w:val="00E500A9"/>
    <w:rsid w:val="00E50919"/>
    <w:rsid w:val="00E514D0"/>
    <w:rsid w:val="00E530D1"/>
    <w:rsid w:val="00E5393E"/>
    <w:rsid w:val="00E53E36"/>
    <w:rsid w:val="00E5694B"/>
    <w:rsid w:val="00E56D84"/>
    <w:rsid w:val="00E57CDD"/>
    <w:rsid w:val="00E60C96"/>
    <w:rsid w:val="00E612B4"/>
    <w:rsid w:val="00E61B83"/>
    <w:rsid w:val="00E61DB3"/>
    <w:rsid w:val="00E6249B"/>
    <w:rsid w:val="00E6251D"/>
    <w:rsid w:val="00E62B33"/>
    <w:rsid w:val="00E631C4"/>
    <w:rsid w:val="00E64568"/>
    <w:rsid w:val="00E651D8"/>
    <w:rsid w:val="00E65336"/>
    <w:rsid w:val="00E65A30"/>
    <w:rsid w:val="00E66C13"/>
    <w:rsid w:val="00E6758A"/>
    <w:rsid w:val="00E67AD9"/>
    <w:rsid w:val="00E67D61"/>
    <w:rsid w:val="00E708ED"/>
    <w:rsid w:val="00E70BF8"/>
    <w:rsid w:val="00E70D20"/>
    <w:rsid w:val="00E71606"/>
    <w:rsid w:val="00E71687"/>
    <w:rsid w:val="00E721F7"/>
    <w:rsid w:val="00E7358F"/>
    <w:rsid w:val="00E73B4F"/>
    <w:rsid w:val="00E751CC"/>
    <w:rsid w:val="00E7546C"/>
    <w:rsid w:val="00E75C0C"/>
    <w:rsid w:val="00E76371"/>
    <w:rsid w:val="00E77A18"/>
    <w:rsid w:val="00E805C1"/>
    <w:rsid w:val="00E8089D"/>
    <w:rsid w:val="00E81533"/>
    <w:rsid w:val="00E84B94"/>
    <w:rsid w:val="00E84D17"/>
    <w:rsid w:val="00E85790"/>
    <w:rsid w:val="00E86BBF"/>
    <w:rsid w:val="00E86BC7"/>
    <w:rsid w:val="00E86D6E"/>
    <w:rsid w:val="00E86D84"/>
    <w:rsid w:val="00E86E26"/>
    <w:rsid w:val="00E8743C"/>
    <w:rsid w:val="00E87475"/>
    <w:rsid w:val="00E8791B"/>
    <w:rsid w:val="00E87D4E"/>
    <w:rsid w:val="00E91055"/>
    <w:rsid w:val="00E91CA9"/>
    <w:rsid w:val="00E92039"/>
    <w:rsid w:val="00E929A7"/>
    <w:rsid w:val="00E93883"/>
    <w:rsid w:val="00E93D89"/>
    <w:rsid w:val="00E94543"/>
    <w:rsid w:val="00E946D3"/>
    <w:rsid w:val="00E94E4C"/>
    <w:rsid w:val="00E956D4"/>
    <w:rsid w:val="00E95A42"/>
    <w:rsid w:val="00E95AD0"/>
    <w:rsid w:val="00E95BE0"/>
    <w:rsid w:val="00E96F24"/>
    <w:rsid w:val="00EA0824"/>
    <w:rsid w:val="00EA1C89"/>
    <w:rsid w:val="00EA1D56"/>
    <w:rsid w:val="00EA219F"/>
    <w:rsid w:val="00EA2681"/>
    <w:rsid w:val="00EA3EED"/>
    <w:rsid w:val="00EA409E"/>
    <w:rsid w:val="00EA4C16"/>
    <w:rsid w:val="00EA5419"/>
    <w:rsid w:val="00EA60ED"/>
    <w:rsid w:val="00EA65E7"/>
    <w:rsid w:val="00EA74CE"/>
    <w:rsid w:val="00EB03CB"/>
    <w:rsid w:val="00EB09C1"/>
    <w:rsid w:val="00EB1F25"/>
    <w:rsid w:val="00EB2EDF"/>
    <w:rsid w:val="00EB3473"/>
    <w:rsid w:val="00EB3680"/>
    <w:rsid w:val="00EB42EA"/>
    <w:rsid w:val="00EB45A7"/>
    <w:rsid w:val="00EB46A7"/>
    <w:rsid w:val="00EB5263"/>
    <w:rsid w:val="00EB580C"/>
    <w:rsid w:val="00EB6664"/>
    <w:rsid w:val="00EB6A2A"/>
    <w:rsid w:val="00EB71D0"/>
    <w:rsid w:val="00EB776B"/>
    <w:rsid w:val="00EC0B92"/>
    <w:rsid w:val="00EC104A"/>
    <w:rsid w:val="00EC15BA"/>
    <w:rsid w:val="00EC193E"/>
    <w:rsid w:val="00EC1DDF"/>
    <w:rsid w:val="00EC3302"/>
    <w:rsid w:val="00EC3426"/>
    <w:rsid w:val="00EC4093"/>
    <w:rsid w:val="00EC4107"/>
    <w:rsid w:val="00EC4E1C"/>
    <w:rsid w:val="00EC5DE9"/>
    <w:rsid w:val="00EC69E0"/>
    <w:rsid w:val="00EC7580"/>
    <w:rsid w:val="00EC762B"/>
    <w:rsid w:val="00ED045B"/>
    <w:rsid w:val="00ED0D41"/>
    <w:rsid w:val="00ED1731"/>
    <w:rsid w:val="00ED18A1"/>
    <w:rsid w:val="00ED2018"/>
    <w:rsid w:val="00ED222C"/>
    <w:rsid w:val="00ED24B0"/>
    <w:rsid w:val="00ED2BB1"/>
    <w:rsid w:val="00ED3DB5"/>
    <w:rsid w:val="00ED3F58"/>
    <w:rsid w:val="00ED6EC5"/>
    <w:rsid w:val="00ED7A59"/>
    <w:rsid w:val="00EE0535"/>
    <w:rsid w:val="00EE0A10"/>
    <w:rsid w:val="00EE0DCD"/>
    <w:rsid w:val="00EE1DE7"/>
    <w:rsid w:val="00EE21DA"/>
    <w:rsid w:val="00EE252D"/>
    <w:rsid w:val="00EE2A83"/>
    <w:rsid w:val="00EE325D"/>
    <w:rsid w:val="00EE680B"/>
    <w:rsid w:val="00EF158B"/>
    <w:rsid w:val="00EF1F52"/>
    <w:rsid w:val="00EF21E1"/>
    <w:rsid w:val="00EF24E8"/>
    <w:rsid w:val="00EF2A67"/>
    <w:rsid w:val="00EF3ED7"/>
    <w:rsid w:val="00EF577F"/>
    <w:rsid w:val="00F00132"/>
    <w:rsid w:val="00F004D1"/>
    <w:rsid w:val="00F00AF4"/>
    <w:rsid w:val="00F00ED0"/>
    <w:rsid w:val="00F01417"/>
    <w:rsid w:val="00F02573"/>
    <w:rsid w:val="00F02887"/>
    <w:rsid w:val="00F02C11"/>
    <w:rsid w:val="00F036E7"/>
    <w:rsid w:val="00F037A0"/>
    <w:rsid w:val="00F0444B"/>
    <w:rsid w:val="00F05AF8"/>
    <w:rsid w:val="00F05E3A"/>
    <w:rsid w:val="00F06231"/>
    <w:rsid w:val="00F06C77"/>
    <w:rsid w:val="00F06DE7"/>
    <w:rsid w:val="00F071AA"/>
    <w:rsid w:val="00F07FCE"/>
    <w:rsid w:val="00F1019A"/>
    <w:rsid w:val="00F10429"/>
    <w:rsid w:val="00F105BE"/>
    <w:rsid w:val="00F107FD"/>
    <w:rsid w:val="00F10AF5"/>
    <w:rsid w:val="00F11AA5"/>
    <w:rsid w:val="00F1241D"/>
    <w:rsid w:val="00F12531"/>
    <w:rsid w:val="00F12F16"/>
    <w:rsid w:val="00F15CBA"/>
    <w:rsid w:val="00F15FB5"/>
    <w:rsid w:val="00F20255"/>
    <w:rsid w:val="00F2065A"/>
    <w:rsid w:val="00F20881"/>
    <w:rsid w:val="00F22259"/>
    <w:rsid w:val="00F223C0"/>
    <w:rsid w:val="00F22B66"/>
    <w:rsid w:val="00F22DB7"/>
    <w:rsid w:val="00F23209"/>
    <w:rsid w:val="00F24565"/>
    <w:rsid w:val="00F2503A"/>
    <w:rsid w:val="00F25817"/>
    <w:rsid w:val="00F258D4"/>
    <w:rsid w:val="00F25998"/>
    <w:rsid w:val="00F26596"/>
    <w:rsid w:val="00F26747"/>
    <w:rsid w:val="00F27552"/>
    <w:rsid w:val="00F27A4B"/>
    <w:rsid w:val="00F30109"/>
    <w:rsid w:val="00F31EDE"/>
    <w:rsid w:val="00F32661"/>
    <w:rsid w:val="00F32AE2"/>
    <w:rsid w:val="00F3401A"/>
    <w:rsid w:val="00F34AA4"/>
    <w:rsid w:val="00F34C2E"/>
    <w:rsid w:val="00F34F40"/>
    <w:rsid w:val="00F35C6D"/>
    <w:rsid w:val="00F363D1"/>
    <w:rsid w:val="00F36BF5"/>
    <w:rsid w:val="00F36BF7"/>
    <w:rsid w:val="00F4189E"/>
    <w:rsid w:val="00F435C5"/>
    <w:rsid w:val="00F4417E"/>
    <w:rsid w:val="00F449DD"/>
    <w:rsid w:val="00F44F07"/>
    <w:rsid w:val="00F461A3"/>
    <w:rsid w:val="00F47AAB"/>
    <w:rsid w:val="00F521B6"/>
    <w:rsid w:val="00F53DBF"/>
    <w:rsid w:val="00F53EC3"/>
    <w:rsid w:val="00F53F72"/>
    <w:rsid w:val="00F5468A"/>
    <w:rsid w:val="00F54777"/>
    <w:rsid w:val="00F55476"/>
    <w:rsid w:val="00F554A1"/>
    <w:rsid w:val="00F56386"/>
    <w:rsid w:val="00F56B03"/>
    <w:rsid w:val="00F57516"/>
    <w:rsid w:val="00F576B9"/>
    <w:rsid w:val="00F57AD9"/>
    <w:rsid w:val="00F61150"/>
    <w:rsid w:val="00F61A79"/>
    <w:rsid w:val="00F62E4E"/>
    <w:rsid w:val="00F64146"/>
    <w:rsid w:val="00F6472A"/>
    <w:rsid w:val="00F64D0D"/>
    <w:rsid w:val="00F652A8"/>
    <w:rsid w:val="00F664EC"/>
    <w:rsid w:val="00F67704"/>
    <w:rsid w:val="00F67842"/>
    <w:rsid w:val="00F67D2E"/>
    <w:rsid w:val="00F70555"/>
    <w:rsid w:val="00F7166E"/>
    <w:rsid w:val="00F71C56"/>
    <w:rsid w:val="00F72871"/>
    <w:rsid w:val="00F72BBC"/>
    <w:rsid w:val="00F73D51"/>
    <w:rsid w:val="00F73FCF"/>
    <w:rsid w:val="00F74A75"/>
    <w:rsid w:val="00F751C5"/>
    <w:rsid w:val="00F759FA"/>
    <w:rsid w:val="00F75D37"/>
    <w:rsid w:val="00F75E3A"/>
    <w:rsid w:val="00F76C83"/>
    <w:rsid w:val="00F80678"/>
    <w:rsid w:val="00F81A21"/>
    <w:rsid w:val="00F8292D"/>
    <w:rsid w:val="00F82AEF"/>
    <w:rsid w:val="00F83A46"/>
    <w:rsid w:val="00F840CE"/>
    <w:rsid w:val="00F842F1"/>
    <w:rsid w:val="00F84974"/>
    <w:rsid w:val="00F84DCD"/>
    <w:rsid w:val="00F85C89"/>
    <w:rsid w:val="00F86983"/>
    <w:rsid w:val="00F86E27"/>
    <w:rsid w:val="00F873B6"/>
    <w:rsid w:val="00F874F7"/>
    <w:rsid w:val="00F87CFE"/>
    <w:rsid w:val="00F87E5A"/>
    <w:rsid w:val="00F9005A"/>
    <w:rsid w:val="00F902BD"/>
    <w:rsid w:val="00F9059C"/>
    <w:rsid w:val="00F91213"/>
    <w:rsid w:val="00F91E13"/>
    <w:rsid w:val="00F927C9"/>
    <w:rsid w:val="00F958D6"/>
    <w:rsid w:val="00F95D81"/>
    <w:rsid w:val="00F95E38"/>
    <w:rsid w:val="00F96294"/>
    <w:rsid w:val="00F9743A"/>
    <w:rsid w:val="00F979C4"/>
    <w:rsid w:val="00FA07AA"/>
    <w:rsid w:val="00FA1940"/>
    <w:rsid w:val="00FA348B"/>
    <w:rsid w:val="00FA394F"/>
    <w:rsid w:val="00FA539C"/>
    <w:rsid w:val="00FA59B5"/>
    <w:rsid w:val="00FA5BB2"/>
    <w:rsid w:val="00FA5CEC"/>
    <w:rsid w:val="00FA7517"/>
    <w:rsid w:val="00FB0286"/>
    <w:rsid w:val="00FB0858"/>
    <w:rsid w:val="00FB0AE1"/>
    <w:rsid w:val="00FB2137"/>
    <w:rsid w:val="00FB2C16"/>
    <w:rsid w:val="00FB33FF"/>
    <w:rsid w:val="00FB3A5E"/>
    <w:rsid w:val="00FB3C2D"/>
    <w:rsid w:val="00FB3DB1"/>
    <w:rsid w:val="00FB5AB0"/>
    <w:rsid w:val="00FB5CD0"/>
    <w:rsid w:val="00FB65B8"/>
    <w:rsid w:val="00FB7028"/>
    <w:rsid w:val="00FC004B"/>
    <w:rsid w:val="00FC08B8"/>
    <w:rsid w:val="00FC08C9"/>
    <w:rsid w:val="00FC10AD"/>
    <w:rsid w:val="00FC2529"/>
    <w:rsid w:val="00FC2581"/>
    <w:rsid w:val="00FC34C3"/>
    <w:rsid w:val="00FC3534"/>
    <w:rsid w:val="00FC3D42"/>
    <w:rsid w:val="00FC4496"/>
    <w:rsid w:val="00FC4DB3"/>
    <w:rsid w:val="00FC6116"/>
    <w:rsid w:val="00FC63EF"/>
    <w:rsid w:val="00FC67F9"/>
    <w:rsid w:val="00FC6B70"/>
    <w:rsid w:val="00FC70C5"/>
    <w:rsid w:val="00FC75D3"/>
    <w:rsid w:val="00FC77C3"/>
    <w:rsid w:val="00FC7871"/>
    <w:rsid w:val="00FD01C1"/>
    <w:rsid w:val="00FD0417"/>
    <w:rsid w:val="00FD1335"/>
    <w:rsid w:val="00FD1BA2"/>
    <w:rsid w:val="00FD279E"/>
    <w:rsid w:val="00FD28BF"/>
    <w:rsid w:val="00FD3140"/>
    <w:rsid w:val="00FD3151"/>
    <w:rsid w:val="00FD3A91"/>
    <w:rsid w:val="00FD3F90"/>
    <w:rsid w:val="00FD5602"/>
    <w:rsid w:val="00FD6428"/>
    <w:rsid w:val="00FD6C39"/>
    <w:rsid w:val="00FD7512"/>
    <w:rsid w:val="00FD7EB3"/>
    <w:rsid w:val="00FE005B"/>
    <w:rsid w:val="00FE00FE"/>
    <w:rsid w:val="00FE21C8"/>
    <w:rsid w:val="00FE2487"/>
    <w:rsid w:val="00FE3A64"/>
    <w:rsid w:val="00FE3C4C"/>
    <w:rsid w:val="00FE50D7"/>
    <w:rsid w:val="00FE522A"/>
    <w:rsid w:val="00FE63E0"/>
    <w:rsid w:val="00FE6D8A"/>
    <w:rsid w:val="00FE79CD"/>
    <w:rsid w:val="00FF005D"/>
    <w:rsid w:val="00FF01B4"/>
    <w:rsid w:val="00FF0253"/>
    <w:rsid w:val="00FF08D7"/>
    <w:rsid w:val="00FF167D"/>
    <w:rsid w:val="00FF1EB0"/>
    <w:rsid w:val="00FF1FDB"/>
    <w:rsid w:val="00FF3583"/>
    <w:rsid w:val="00FF4833"/>
    <w:rsid w:val="00FF49AE"/>
    <w:rsid w:val="00FF4E75"/>
    <w:rsid w:val="00FF4ED6"/>
    <w:rsid w:val="00FF6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0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050F"/>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ENh1"/>
    <w:basedOn w:val="OPCParaBase"/>
    <w:next w:val="Normal"/>
    <w:rsid w:val="00D67B29"/>
    <w:pPr>
      <w:spacing w:before="120"/>
      <w:outlineLvl w:val="1"/>
    </w:pPr>
    <w:rPr>
      <w:b/>
      <w:sz w:val="28"/>
      <w:szCs w:val="28"/>
    </w:rPr>
  </w:style>
  <w:style w:type="paragraph" w:customStyle="1" w:styleId="ENotesHeading2">
    <w:name w:val="ENotesHeading 2"/>
    <w:aliases w:val="Enh2,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511595"/>
    <w:pPr>
      <w:pageBreakBefore/>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A026A0"/>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Tablea"/>
    <w:rsid w:val="00BA050F"/>
    <w:pPr>
      <w:tabs>
        <w:tab w:val="right" w:pos="-6543"/>
        <w:tab w:val="left" w:pos="-6260"/>
        <w:tab w:val="right" w:pos="970"/>
      </w:tabs>
      <w:spacing w:line="240" w:lineRule="exact"/>
      <w:ind w:left="1112"/>
    </w:p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notePara">
    <w:name w:val="note_Para"/>
    <w:basedOn w:val="tPara"/>
    <w:qFormat/>
    <w:rsid w:val="00810E64"/>
    <w:pPr>
      <w:keepLines/>
      <w:spacing w:before="0" w:after="100" w:line="220" w:lineRule="exact"/>
      <w:ind w:left="1701" w:hanging="1701"/>
      <w:jc w:val="both"/>
    </w:pPr>
    <w:rPr>
      <w:sz w:val="20"/>
      <w:szCs w:val="24"/>
    </w:rPr>
  </w:style>
  <w:style w:type="character" w:customStyle="1" w:styleId="ssens">
    <w:name w:val="ssens"/>
    <w:basedOn w:val="DefaultParagraphFont"/>
    <w:rsid w:val="00810E64"/>
  </w:style>
  <w:style w:type="paragraph" w:customStyle="1" w:styleId="noteDrafter">
    <w:name w:val="note_Drafter"/>
    <w:basedOn w:val="Normal"/>
    <w:qFormat/>
    <w:rsid w:val="00810E64"/>
    <w:pPr>
      <w:spacing w:before="80" w:after="80" w:line="240" w:lineRule="auto"/>
    </w:pPr>
    <w:rPr>
      <w:rFonts w:eastAsia="Times New Roman"/>
      <w:color w:val="0070C0"/>
      <w:sz w:val="24"/>
      <w:szCs w:val="24"/>
      <w:lang w:eastAsia="en-AU"/>
    </w:rPr>
  </w:style>
  <w:style w:type="paragraph" w:customStyle="1" w:styleId="noteSubpara">
    <w:name w:val="note_Subpara"/>
    <w:basedOn w:val="tSubpara"/>
    <w:qFormat/>
    <w:rsid w:val="00810E64"/>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810E64"/>
    <w:pPr>
      <w:tabs>
        <w:tab w:val="clear" w:pos="2722"/>
        <w:tab w:val="right" w:pos="2948"/>
      </w:tabs>
      <w:spacing w:before="0" w:after="100" w:line="220" w:lineRule="exact"/>
      <w:ind w:left="3119" w:hanging="3119"/>
      <w:jc w:val="both"/>
    </w:pPr>
    <w:rPr>
      <w:sz w:val="20"/>
      <w:szCs w:val="24"/>
    </w:rPr>
  </w:style>
  <w:style w:type="paragraph" w:customStyle="1" w:styleId="noteMain">
    <w:name w:val="note_Main"/>
    <w:basedOn w:val="tMain"/>
    <w:qFormat/>
    <w:rsid w:val="00F576B9"/>
    <w:pPr>
      <w:keepLines/>
      <w:tabs>
        <w:tab w:val="clear" w:pos="1021"/>
        <w:tab w:val="right" w:pos="794"/>
      </w:tabs>
      <w:spacing w:before="80" w:after="100" w:line="220" w:lineRule="exact"/>
      <w:ind w:left="964" w:hanging="964"/>
      <w:jc w:val="both"/>
    </w:pPr>
    <w:rPr>
      <w:sz w:val="20"/>
      <w:szCs w:val="24"/>
    </w:rPr>
  </w:style>
  <w:style w:type="table" w:customStyle="1" w:styleId="LightShading-Accent11">
    <w:name w:val="Light Shading - Accent 11"/>
    <w:basedOn w:val="TableNormal"/>
    <w:uiPriority w:val="60"/>
    <w:rsid w:val="00ED2018"/>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ubsectionChar">
    <w:name w:val="subsection Char"/>
    <w:aliases w:val="ss Char"/>
    <w:basedOn w:val="DefaultParagraphFont"/>
    <w:link w:val="tMain"/>
    <w:locked/>
    <w:rsid w:val="006A09E5"/>
    <w:rPr>
      <w:sz w:val="22"/>
    </w:rPr>
  </w:style>
  <w:style w:type="character" w:styleId="FollowedHyperlink">
    <w:name w:val="FollowedHyperlink"/>
    <w:basedOn w:val="DefaultParagraphFont"/>
    <w:uiPriority w:val="99"/>
    <w:semiHidden/>
    <w:unhideWhenUsed/>
    <w:rsid w:val="003843D4"/>
    <w:rPr>
      <w:color w:val="800080" w:themeColor="followedHyperlink"/>
      <w:u w:val="single"/>
    </w:rPr>
  </w:style>
  <w:style w:type="character" w:customStyle="1" w:styleId="SOTextChar">
    <w:name w:val="SO Text Char"/>
    <w:aliases w:val="sot Char"/>
    <w:link w:val="SOText"/>
    <w:rsid w:val="000C26E3"/>
    <w:rPr>
      <w:rFonts w:eastAsia="Calibri"/>
      <w:sz w:val="22"/>
    </w:rPr>
  </w:style>
  <w:style w:type="character" w:customStyle="1" w:styleId="legtitle1">
    <w:name w:val="legtitle1"/>
    <w:basedOn w:val="DefaultParagraphFont"/>
    <w:rsid w:val="00082D07"/>
    <w:rPr>
      <w:rFonts w:ascii="Arial" w:hAnsi="Arial" w:cs="Arial" w:hint="default"/>
      <w:b/>
      <w:bCs/>
      <w:color w:val="10418E"/>
      <w:sz w:val="40"/>
      <w:szCs w:val="40"/>
    </w:rPr>
  </w:style>
  <w:style w:type="paragraph" w:customStyle="1" w:styleId="Tablepara">
    <w:name w:val="Tablepara"/>
    <w:basedOn w:val="Tablea"/>
    <w:rsid w:val="00BA050F"/>
    <w:rPr>
      <w:rFonts w:eastAsia="Calibri"/>
    </w:rPr>
  </w:style>
  <w:style w:type="character" w:styleId="CommentReference">
    <w:name w:val="annotation reference"/>
    <w:basedOn w:val="DefaultParagraphFont"/>
    <w:uiPriority w:val="99"/>
    <w:semiHidden/>
    <w:unhideWhenUsed/>
    <w:rsid w:val="0057684A"/>
    <w:rPr>
      <w:sz w:val="16"/>
      <w:szCs w:val="16"/>
    </w:rPr>
  </w:style>
  <w:style w:type="paragraph" w:styleId="Revision">
    <w:name w:val="Revision"/>
    <w:hidden/>
    <w:uiPriority w:val="99"/>
    <w:semiHidden/>
    <w:rsid w:val="00E254AE"/>
    <w:rPr>
      <w:rFonts w:eastAsia="Calibri"/>
      <w:sz w:val="22"/>
      <w:lang w:eastAsia="en-US"/>
    </w:rPr>
  </w:style>
  <w:style w:type="paragraph" w:customStyle="1" w:styleId="Default">
    <w:name w:val="Default"/>
    <w:rsid w:val="003B51DA"/>
    <w:pPr>
      <w:autoSpaceDE w:val="0"/>
      <w:autoSpaceDN w:val="0"/>
      <w:adjustRightInd w:val="0"/>
    </w:pPr>
    <w:rPr>
      <w:color w:val="000000"/>
      <w:sz w:val="24"/>
      <w:szCs w:val="24"/>
    </w:rPr>
  </w:style>
  <w:style w:type="character" w:customStyle="1" w:styleId="paragraphChar">
    <w:name w:val="paragraph Char"/>
    <w:aliases w:val="a Char"/>
    <w:basedOn w:val="DefaultParagraphFont"/>
    <w:link w:val="tPara"/>
    <w:locked/>
    <w:rsid w:val="00A24D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4834">
      <w:bodyDiv w:val="1"/>
      <w:marLeft w:val="0"/>
      <w:marRight w:val="0"/>
      <w:marTop w:val="0"/>
      <w:marBottom w:val="0"/>
      <w:divBdr>
        <w:top w:val="none" w:sz="0" w:space="0" w:color="auto"/>
        <w:left w:val="none" w:sz="0" w:space="0" w:color="auto"/>
        <w:bottom w:val="none" w:sz="0" w:space="0" w:color="auto"/>
        <w:right w:val="none" w:sz="0" w:space="0" w:color="auto"/>
      </w:divBdr>
    </w:div>
    <w:div w:id="87895999">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74778845">
      <w:bodyDiv w:val="1"/>
      <w:marLeft w:val="0"/>
      <w:marRight w:val="0"/>
      <w:marTop w:val="0"/>
      <w:marBottom w:val="0"/>
      <w:divBdr>
        <w:top w:val="none" w:sz="0" w:space="0" w:color="auto"/>
        <w:left w:val="none" w:sz="0" w:space="0" w:color="auto"/>
        <w:bottom w:val="none" w:sz="0" w:space="0" w:color="auto"/>
        <w:right w:val="none" w:sz="0" w:space="0" w:color="auto"/>
      </w:divBdr>
    </w:div>
    <w:div w:id="820922996">
      <w:bodyDiv w:val="1"/>
      <w:marLeft w:val="0"/>
      <w:marRight w:val="0"/>
      <w:marTop w:val="0"/>
      <w:marBottom w:val="0"/>
      <w:divBdr>
        <w:top w:val="none" w:sz="0" w:space="0" w:color="auto"/>
        <w:left w:val="none" w:sz="0" w:space="0" w:color="auto"/>
        <w:bottom w:val="none" w:sz="0" w:space="0" w:color="auto"/>
        <w:right w:val="none" w:sz="0" w:space="0" w:color="auto"/>
      </w:divBdr>
    </w:div>
    <w:div w:id="830877802">
      <w:bodyDiv w:val="1"/>
      <w:marLeft w:val="0"/>
      <w:marRight w:val="0"/>
      <w:marTop w:val="0"/>
      <w:marBottom w:val="0"/>
      <w:divBdr>
        <w:top w:val="none" w:sz="0" w:space="0" w:color="auto"/>
        <w:left w:val="none" w:sz="0" w:space="0" w:color="auto"/>
        <w:bottom w:val="none" w:sz="0" w:space="0" w:color="auto"/>
        <w:right w:val="none" w:sz="0" w:space="0" w:color="auto"/>
      </w:divBdr>
      <w:divsChild>
        <w:div w:id="1924608348">
          <w:marLeft w:val="0"/>
          <w:marRight w:val="0"/>
          <w:marTop w:val="0"/>
          <w:marBottom w:val="0"/>
          <w:divBdr>
            <w:top w:val="none" w:sz="0" w:space="0" w:color="auto"/>
            <w:left w:val="none" w:sz="0" w:space="0" w:color="auto"/>
            <w:bottom w:val="none" w:sz="0" w:space="0" w:color="auto"/>
            <w:right w:val="none" w:sz="0" w:space="0" w:color="auto"/>
          </w:divBdr>
          <w:divsChild>
            <w:div w:id="1678924442">
              <w:marLeft w:val="0"/>
              <w:marRight w:val="0"/>
              <w:marTop w:val="0"/>
              <w:marBottom w:val="0"/>
              <w:divBdr>
                <w:top w:val="none" w:sz="0" w:space="0" w:color="auto"/>
                <w:left w:val="none" w:sz="0" w:space="0" w:color="auto"/>
                <w:bottom w:val="none" w:sz="0" w:space="0" w:color="auto"/>
                <w:right w:val="none" w:sz="0" w:space="0" w:color="auto"/>
              </w:divBdr>
              <w:divsChild>
                <w:div w:id="1178422483">
                  <w:marLeft w:val="0"/>
                  <w:marRight w:val="0"/>
                  <w:marTop w:val="0"/>
                  <w:marBottom w:val="0"/>
                  <w:divBdr>
                    <w:top w:val="none" w:sz="0" w:space="0" w:color="auto"/>
                    <w:left w:val="none" w:sz="0" w:space="0" w:color="auto"/>
                    <w:bottom w:val="none" w:sz="0" w:space="0" w:color="auto"/>
                    <w:right w:val="none" w:sz="0" w:space="0" w:color="auto"/>
                  </w:divBdr>
                  <w:divsChild>
                    <w:div w:id="1705209802">
                      <w:marLeft w:val="0"/>
                      <w:marRight w:val="0"/>
                      <w:marTop w:val="0"/>
                      <w:marBottom w:val="0"/>
                      <w:divBdr>
                        <w:top w:val="none" w:sz="0" w:space="0" w:color="auto"/>
                        <w:left w:val="none" w:sz="0" w:space="0" w:color="auto"/>
                        <w:bottom w:val="none" w:sz="0" w:space="0" w:color="auto"/>
                        <w:right w:val="none" w:sz="0" w:space="0" w:color="auto"/>
                      </w:divBdr>
                      <w:divsChild>
                        <w:div w:id="1051735630">
                          <w:marLeft w:val="0"/>
                          <w:marRight w:val="0"/>
                          <w:marTop w:val="0"/>
                          <w:marBottom w:val="0"/>
                          <w:divBdr>
                            <w:top w:val="none" w:sz="0" w:space="0" w:color="auto"/>
                            <w:left w:val="none" w:sz="0" w:space="0" w:color="auto"/>
                            <w:bottom w:val="none" w:sz="0" w:space="0" w:color="auto"/>
                            <w:right w:val="none" w:sz="0" w:space="0" w:color="auto"/>
                          </w:divBdr>
                          <w:divsChild>
                            <w:div w:id="1202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682142">
      <w:bodyDiv w:val="1"/>
      <w:marLeft w:val="0"/>
      <w:marRight w:val="0"/>
      <w:marTop w:val="0"/>
      <w:marBottom w:val="0"/>
      <w:divBdr>
        <w:top w:val="none" w:sz="0" w:space="0" w:color="auto"/>
        <w:left w:val="none" w:sz="0" w:space="0" w:color="auto"/>
        <w:bottom w:val="none" w:sz="0" w:space="0" w:color="auto"/>
        <w:right w:val="none" w:sz="0" w:space="0" w:color="auto"/>
      </w:divBdr>
    </w:div>
    <w:div w:id="1151554953">
      <w:bodyDiv w:val="1"/>
      <w:marLeft w:val="0"/>
      <w:marRight w:val="0"/>
      <w:marTop w:val="0"/>
      <w:marBottom w:val="0"/>
      <w:divBdr>
        <w:top w:val="none" w:sz="0" w:space="0" w:color="auto"/>
        <w:left w:val="none" w:sz="0" w:space="0" w:color="auto"/>
        <w:bottom w:val="none" w:sz="0" w:space="0" w:color="auto"/>
        <w:right w:val="none" w:sz="0" w:space="0" w:color="auto"/>
      </w:divBdr>
      <w:divsChild>
        <w:div w:id="1974209075">
          <w:marLeft w:val="0"/>
          <w:marRight w:val="0"/>
          <w:marTop w:val="0"/>
          <w:marBottom w:val="0"/>
          <w:divBdr>
            <w:top w:val="none" w:sz="0" w:space="0" w:color="auto"/>
            <w:left w:val="none" w:sz="0" w:space="0" w:color="auto"/>
            <w:bottom w:val="none" w:sz="0" w:space="0" w:color="auto"/>
            <w:right w:val="none" w:sz="0" w:space="0" w:color="auto"/>
          </w:divBdr>
          <w:divsChild>
            <w:div w:id="24408322">
              <w:marLeft w:val="0"/>
              <w:marRight w:val="0"/>
              <w:marTop w:val="0"/>
              <w:marBottom w:val="0"/>
              <w:divBdr>
                <w:top w:val="none" w:sz="0" w:space="0" w:color="auto"/>
                <w:left w:val="none" w:sz="0" w:space="0" w:color="auto"/>
                <w:bottom w:val="none" w:sz="0" w:space="0" w:color="auto"/>
                <w:right w:val="none" w:sz="0" w:space="0" w:color="auto"/>
              </w:divBdr>
              <w:divsChild>
                <w:div w:id="647396257">
                  <w:marLeft w:val="0"/>
                  <w:marRight w:val="0"/>
                  <w:marTop w:val="0"/>
                  <w:marBottom w:val="0"/>
                  <w:divBdr>
                    <w:top w:val="none" w:sz="0" w:space="0" w:color="auto"/>
                    <w:left w:val="none" w:sz="0" w:space="0" w:color="auto"/>
                    <w:bottom w:val="none" w:sz="0" w:space="0" w:color="auto"/>
                    <w:right w:val="none" w:sz="0" w:space="0" w:color="auto"/>
                  </w:divBdr>
                  <w:divsChild>
                    <w:div w:id="1449816493">
                      <w:marLeft w:val="0"/>
                      <w:marRight w:val="0"/>
                      <w:marTop w:val="0"/>
                      <w:marBottom w:val="0"/>
                      <w:divBdr>
                        <w:top w:val="none" w:sz="0" w:space="0" w:color="auto"/>
                        <w:left w:val="none" w:sz="0" w:space="0" w:color="auto"/>
                        <w:bottom w:val="none" w:sz="0" w:space="0" w:color="auto"/>
                        <w:right w:val="none" w:sz="0" w:space="0" w:color="auto"/>
                      </w:divBdr>
                      <w:divsChild>
                        <w:div w:id="1738937187">
                          <w:marLeft w:val="0"/>
                          <w:marRight w:val="0"/>
                          <w:marTop w:val="0"/>
                          <w:marBottom w:val="0"/>
                          <w:divBdr>
                            <w:top w:val="single" w:sz="6" w:space="0" w:color="828282"/>
                            <w:left w:val="single" w:sz="6" w:space="0" w:color="828282"/>
                            <w:bottom w:val="single" w:sz="6" w:space="0" w:color="828282"/>
                            <w:right w:val="single" w:sz="6" w:space="0" w:color="828282"/>
                          </w:divBdr>
                          <w:divsChild>
                            <w:div w:id="1685355181">
                              <w:marLeft w:val="0"/>
                              <w:marRight w:val="0"/>
                              <w:marTop w:val="0"/>
                              <w:marBottom w:val="0"/>
                              <w:divBdr>
                                <w:top w:val="none" w:sz="0" w:space="0" w:color="auto"/>
                                <w:left w:val="none" w:sz="0" w:space="0" w:color="auto"/>
                                <w:bottom w:val="none" w:sz="0" w:space="0" w:color="auto"/>
                                <w:right w:val="none" w:sz="0" w:space="0" w:color="auto"/>
                              </w:divBdr>
                              <w:divsChild>
                                <w:div w:id="1776830034">
                                  <w:marLeft w:val="0"/>
                                  <w:marRight w:val="0"/>
                                  <w:marTop w:val="0"/>
                                  <w:marBottom w:val="0"/>
                                  <w:divBdr>
                                    <w:top w:val="none" w:sz="0" w:space="0" w:color="auto"/>
                                    <w:left w:val="none" w:sz="0" w:space="0" w:color="auto"/>
                                    <w:bottom w:val="none" w:sz="0" w:space="0" w:color="auto"/>
                                    <w:right w:val="none" w:sz="0" w:space="0" w:color="auto"/>
                                  </w:divBdr>
                                  <w:divsChild>
                                    <w:div w:id="1466392519">
                                      <w:marLeft w:val="0"/>
                                      <w:marRight w:val="0"/>
                                      <w:marTop w:val="0"/>
                                      <w:marBottom w:val="0"/>
                                      <w:divBdr>
                                        <w:top w:val="none" w:sz="0" w:space="0" w:color="auto"/>
                                        <w:left w:val="none" w:sz="0" w:space="0" w:color="auto"/>
                                        <w:bottom w:val="none" w:sz="0" w:space="0" w:color="auto"/>
                                        <w:right w:val="none" w:sz="0" w:space="0" w:color="auto"/>
                                      </w:divBdr>
                                      <w:divsChild>
                                        <w:div w:id="1549105082">
                                          <w:marLeft w:val="0"/>
                                          <w:marRight w:val="0"/>
                                          <w:marTop w:val="0"/>
                                          <w:marBottom w:val="0"/>
                                          <w:divBdr>
                                            <w:top w:val="none" w:sz="0" w:space="0" w:color="auto"/>
                                            <w:left w:val="none" w:sz="0" w:space="0" w:color="auto"/>
                                            <w:bottom w:val="none" w:sz="0" w:space="0" w:color="auto"/>
                                            <w:right w:val="none" w:sz="0" w:space="0" w:color="auto"/>
                                          </w:divBdr>
                                          <w:divsChild>
                                            <w:div w:id="2129422936">
                                              <w:marLeft w:val="0"/>
                                              <w:marRight w:val="0"/>
                                              <w:marTop w:val="0"/>
                                              <w:marBottom w:val="0"/>
                                              <w:divBdr>
                                                <w:top w:val="none" w:sz="0" w:space="0" w:color="auto"/>
                                                <w:left w:val="none" w:sz="0" w:space="0" w:color="auto"/>
                                                <w:bottom w:val="none" w:sz="0" w:space="0" w:color="auto"/>
                                                <w:right w:val="none" w:sz="0" w:space="0" w:color="auto"/>
                                              </w:divBdr>
                                              <w:divsChild>
                                                <w:div w:id="14376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18097">
      <w:bodyDiv w:val="1"/>
      <w:marLeft w:val="0"/>
      <w:marRight w:val="0"/>
      <w:marTop w:val="0"/>
      <w:marBottom w:val="0"/>
      <w:divBdr>
        <w:top w:val="none" w:sz="0" w:space="0" w:color="auto"/>
        <w:left w:val="none" w:sz="0" w:space="0" w:color="auto"/>
        <w:bottom w:val="none" w:sz="0" w:space="0" w:color="auto"/>
        <w:right w:val="none" w:sz="0" w:space="0" w:color="auto"/>
      </w:divBdr>
      <w:divsChild>
        <w:div w:id="392235127">
          <w:marLeft w:val="0"/>
          <w:marRight w:val="0"/>
          <w:marTop w:val="0"/>
          <w:marBottom w:val="0"/>
          <w:divBdr>
            <w:top w:val="none" w:sz="0" w:space="0" w:color="auto"/>
            <w:left w:val="none" w:sz="0" w:space="0" w:color="auto"/>
            <w:bottom w:val="none" w:sz="0" w:space="0" w:color="auto"/>
            <w:right w:val="none" w:sz="0" w:space="0" w:color="auto"/>
          </w:divBdr>
          <w:divsChild>
            <w:div w:id="1435052089">
              <w:marLeft w:val="0"/>
              <w:marRight w:val="0"/>
              <w:marTop w:val="0"/>
              <w:marBottom w:val="0"/>
              <w:divBdr>
                <w:top w:val="none" w:sz="0" w:space="0" w:color="auto"/>
                <w:left w:val="none" w:sz="0" w:space="0" w:color="auto"/>
                <w:bottom w:val="none" w:sz="0" w:space="0" w:color="auto"/>
                <w:right w:val="none" w:sz="0" w:space="0" w:color="auto"/>
              </w:divBdr>
              <w:divsChild>
                <w:div w:id="2131624135">
                  <w:marLeft w:val="0"/>
                  <w:marRight w:val="0"/>
                  <w:marTop w:val="0"/>
                  <w:marBottom w:val="0"/>
                  <w:divBdr>
                    <w:top w:val="none" w:sz="0" w:space="0" w:color="auto"/>
                    <w:left w:val="none" w:sz="0" w:space="0" w:color="auto"/>
                    <w:bottom w:val="none" w:sz="0" w:space="0" w:color="auto"/>
                    <w:right w:val="none" w:sz="0" w:space="0" w:color="auto"/>
                  </w:divBdr>
                  <w:divsChild>
                    <w:div w:id="560870580">
                      <w:marLeft w:val="0"/>
                      <w:marRight w:val="0"/>
                      <w:marTop w:val="0"/>
                      <w:marBottom w:val="0"/>
                      <w:divBdr>
                        <w:top w:val="none" w:sz="0" w:space="0" w:color="auto"/>
                        <w:left w:val="none" w:sz="0" w:space="0" w:color="auto"/>
                        <w:bottom w:val="none" w:sz="0" w:space="0" w:color="auto"/>
                        <w:right w:val="none" w:sz="0" w:space="0" w:color="auto"/>
                      </w:divBdr>
                      <w:divsChild>
                        <w:div w:id="136653824">
                          <w:marLeft w:val="0"/>
                          <w:marRight w:val="0"/>
                          <w:marTop w:val="0"/>
                          <w:marBottom w:val="0"/>
                          <w:divBdr>
                            <w:top w:val="none" w:sz="0" w:space="0" w:color="auto"/>
                            <w:left w:val="none" w:sz="0" w:space="0" w:color="auto"/>
                            <w:bottom w:val="none" w:sz="0" w:space="0" w:color="auto"/>
                            <w:right w:val="none" w:sz="0" w:space="0" w:color="auto"/>
                          </w:divBdr>
                          <w:divsChild>
                            <w:div w:id="11212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119800">
      <w:bodyDiv w:val="1"/>
      <w:marLeft w:val="0"/>
      <w:marRight w:val="0"/>
      <w:marTop w:val="0"/>
      <w:marBottom w:val="0"/>
      <w:divBdr>
        <w:top w:val="none" w:sz="0" w:space="0" w:color="auto"/>
        <w:left w:val="none" w:sz="0" w:space="0" w:color="auto"/>
        <w:bottom w:val="none" w:sz="0" w:space="0" w:color="auto"/>
        <w:right w:val="none" w:sz="0" w:space="0" w:color="auto"/>
      </w:divBdr>
    </w:div>
    <w:div w:id="1236087006">
      <w:bodyDiv w:val="1"/>
      <w:marLeft w:val="0"/>
      <w:marRight w:val="0"/>
      <w:marTop w:val="0"/>
      <w:marBottom w:val="0"/>
      <w:divBdr>
        <w:top w:val="none" w:sz="0" w:space="0" w:color="auto"/>
        <w:left w:val="none" w:sz="0" w:space="0" w:color="auto"/>
        <w:bottom w:val="none" w:sz="0" w:space="0" w:color="auto"/>
        <w:right w:val="none" w:sz="0" w:space="0" w:color="auto"/>
      </w:divBdr>
    </w:div>
    <w:div w:id="1248922516">
      <w:bodyDiv w:val="1"/>
      <w:marLeft w:val="0"/>
      <w:marRight w:val="0"/>
      <w:marTop w:val="0"/>
      <w:marBottom w:val="0"/>
      <w:divBdr>
        <w:top w:val="none" w:sz="0" w:space="0" w:color="auto"/>
        <w:left w:val="none" w:sz="0" w:space="0" w:color="auto"/>
        <w:bottom w:val="none" w:sz="0" w:space="0" w:color="auto"/>
        <w:right w:val="none" w:sz="0" w:space="0" w:color="auto"/>
      </w:divBdr>
      <w:divsChild>
        <w:div w:id="426341373">
          <w:marLeft w:val="0"/>
          <w:marRight w:val="0"/>
          <w:marTop w:val="0"/>
          <w:marBottom w:val="0"/>
          <w:divBdr>
            <w:top w:val="none" w:sz="0" w:space="0" w:color="auto"/>
            <w:left w:val="none" w:sz="0" w:space="0" w:color="auto"/>
            <w:bottom w:val="none" w:sz="0" w:space="0" w:color="auto"/>
            <w:right w:val="none" w:sz="0" w:space="0" w:color="auto"/>
          </w:divBdr>
          <w:divsChild>
            <w:div w:id="1539008680">
              <w:marLeft w:val="0"/>
              <w:marRight w:val="0"/>
              <w:marTop w:val="0"/>
              <w:marBottom w:val="0"/>
              <w:divBdr>
                <w:top w:val="none" w:sz="0" w:space="0" w:color="auto"/>
                <w:left w:val="none" w:sz="0" w:space="0" w:color="auto"/>
                <w:bottom w:val="none" w:sz="0" w:space="0" w:color="auto"/>
                <w:right w:val="none" w:sz="0" w:space="0" w:color="auto"/>
              </w:divBdr>
              <w:divsChild>
                <w:div w:id="919366082">
                  <w:marLeft w:val="0"/>
                  <w:marRight w:val="0"/>
                  <w:marTop w:val="0"/>
                  <w:marBottom w:val="0"/>
                  <w:divBdr>
                    <w:top w:val="none" w:sz="0" w:space="0" w:color="auto"/>
                    <w:left w:val="none" w:sz="0" w:space="0" w:color="auto"/>
                    <w:bottom w:val="none" w:sz="0" w:space="0" w:color="auto"/>
                    <w:right w:val="none" w:sz="0" w:space="0" w:color="auto"/>
                  </w:divBdr>
                  <w:divsChild>
                    <w:div w:id="1161117565">
                      <w:marLeft w:val="0"/>
                      <w:marRight w:val="0"/>
                      <w:marTop w:val="0"/>
                      <w:marBottom w:val="0"/>
                      <w:divBdr>
                        <w:top w:val="none" w:sz="0" w:space="0" w:color="auto"/>
                        <w:left w:val="none" w:sz="0" w:space="0" w:color="auto"/>
                        <w:bottom w:val="none" w:sz="0" w:space="0" w:color="auto"/>
                        <w:right w:val="none" w:sz="0" w:space="0" w:color="auto"/>
                      </w:divBdr>
                      <w:divsChild>
                        <w:div w:id="1068383942">
                          <w:marLeft w:val="0"/>
                          <w:marRight w:val="0"/>
                          <w:marTop w:val="0"/>
                          <w:marBottom w:val="0"/>
                          <w:divBdr>
                            <w:top w:val="none" w:sz="0" w:space="0" w:color="auto"/>
                            <w:left w:val="none" w:sz="0" w:space="0" w:color="auto"/>
                            <w:bottom w:val="none" w:sz="0" w:space="0" w:color="auto"/>
                            <w:right w:val="none" w:sz="0" w:space="0" w:color="auto"/>
                          </w:divBdr>
                          <w:divsChild>
                            <w:div w:id="1497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69142">
      <w:bodyDiv w:val="1"/>
      <w:marLeft w:val="0"/>
      <w:marRight w:val="0"/>
      <w:marTop w:val="0"/>
      <w:marBottom w:val="0"/>
      <w:divBdr>
        <w:top w:val="none" w:sz="0" w:space="0" w:color="auto"/>
        <w:left w:val="none" w:sz="0" w:space="0" w:color="auto"/>
        <w:bottom w:val="none" w:sz="0" w:space="0" w:color="auto"/>
        <w:right w:val="none" w:sz="0" w:space="0" w:color="auto"/>
      </w:divBdr>
    </w:div>
    <w:div w:id="1511944768">
      <w:bodyDiv w:val="1"/>
      <w:marLeft w:val="0"/>
      <w:marRight w:val="0"/>
      <w:marTop w:val="0"/>
      <w:marBottom w:val="0"/>
      <w:divBdr>
        <w:top w:val="none" w:sz="0" w:space="0" w:color="auto"/>
        <w:left w:val="none" w:sz="0" w:space="0" w:color="auto"/>
        <w:bottom w:val="none" w:sz="0" w:space="0" w:color="auto"/>
        <w:right w:val="none" w:sz="0" w:space="0" w:color="auto"/>
      </w:divBdr>
      <w:divsChild>
        <w:div w:id="137192094">
          <w:marLeft w:val="0"/>
          <w:marRight w:val="0"/>
          <w:marTop w:val="0"/>
          <w:marBottom w:val="0"/>
          <w:divBdr>
            <w:top w:val="none" w:sz="0" w:space="0" w:color="auto"/>
            <w:left w:val="none" w:sz="0" w:space="0" w:color="auto"/>
            <w:bottom w:val="none" w:sz="0" w:space="0" w:color="auto"/>
            <w:right w:val="none" w:sz="0" w:space="0" w:color="auto"/>
          </w:divBdr>
          <w:divsChild>
            <w:div w:id="1559824908">
              <w:marLeft w:val="0"/>
              <w:marRight w:val="0"/>
              <w:marTop w:val="0"/>
              <w:marBottom w:val="0"/>
              <w:divBdr>
                <w:top w:val="none" w:sz="0" w:space="0" w:color="auto"/>
                <w:left w:val="none" w:sz="0" w:space="0" w:color="auto"/>
                <w:bottom w:val="none" w:sz="0" w:space="0" w:color="auto"/>
                <w:right w:val="none" w:sz="0" w:space="0" w:color="auto"/>
              </w:divBdr>
              <w:divsChild>
                <w:div w:id="1861627055">
                  <w:marLeft w:val="0"/>
                  <w:marRight w:val="0"/>
                  <w:marTop w:val="0"/>
                  <w:marBottom w:val="0"/>
                  <w:divBdr>
                    <w:top w:val="none" w:sz="0" w:space="0" w:color="auto"/>
                    <w:left w:val="none" w:sz="0" w:space="0" w:color="auto"/>
                    <w:bottom w:val="none" w:sz="0" w:space="0" w:color="auto"/>
                    <w:right w:val="none" w:sz="0" w:space="0" w:color="auto"/>
                  </w:divBdr>
                  <w:divsChild>
                    <w:div w:id="74129947">
                      <w:marLeft w:val="0"/>
                      <w:marRight w:val="0"/>
                      <w:marTop w:val="0"/>
                      <w:marBottom w:val="0"/>
                      <w:divBdr>
                        <w:top w:val="none" w:sz="0" w:space="0" w:color="auto"/>
                        <w:left w:val="none" w:sz="0" w:space="0" w:color="auto"/>
                        <w:bottom w:val="none" w:sz="0" w:space="0" w:color="auto"/>
                        <w:right w:val="none" w:sz="0" w:space="0" w:color="auto"/>
                      </w:divBdr>
                      <w:divsChild>
                        <w:div w:id="254360310">
                          <w:marLeft w:val="0"/>
                          <w:marRight w:val="0"/>
                          <w:marTop w:val="0"/>
                          <w:marBottom w:val="0"/>
                          <w:divBdr>
                            <w:top w:val="single" w:sz="6" w:space="0" w:color="828282"/>
                            <w:left w:val="single" w:sz="6" w:space="0" w:color="828282"/>
                            <w:bottom w:val="single" w:sz="6" w:space="0" w:color="828282"/>
                            <w:right w:val="single" w:sz="6" w:space="0" w:color="828282"/>
                          </w:divBdr>
                          <w:divsChild>
                            <w:div w:id="1151212233">
                              <w:marLeft w:val="0"/>
                              <w:marRight w:val="0"/>
                              <w:marTop w:val="0"/>
                              <w:marBottom w:val="0"/>
                              <w:divBdr>
                                <w:top w:val="none" w:sz="0" w:space="0" w:color="auto"/>
                                <w:left w:val="none" w:sz="0" w:space="0" w:color="auto"/>
                                <w:bottom w:val="none" w:sz="0" w:space="0" w:color="auto"/>
                                <w:right w:val="none" w:sz="0" w:space="0" w:color="auto"/>
                              </w:divBdr>
                              <w:divsChild>
                                <w:div w:id="982277889">
                                  <w:marLeft w:val="0"/>
                                  <w:marRight w:val="0"/>
                                  <w:marTop w:val="0"/>
                                  <w:marBottom w:val="0"/>
                                  <w:divBdr>
                                    <w:top w:val="none" w:sz="0" w:space="0" w:color="auto"/>
                                    <w:left w:val="none" w:sz="0" w:space="0" w:color="auto"/>
                                    <w:bottom w:val="none" w:sz="0" w:space="0" w:color="auto"/>
                                    <w:right w:val="none" w:sz="0" w:space="0" w:color="auto"/>
                                  </w:divBdr>
                                  <w:divsChild>
                                    <w:div w:id="1304844149">
                                      <w:marLeft w:val="0"/>
                                      <w:marRight w:val="0"/>
                                      <w:marTop w:val="0"/>
                                      <w:marBottom w:val="0"/>
                                      <w:divBdr>
                                        <w:top w:val="none" w:sz="0" w:space="0" w:color="auto"/>
                                        <w:left w:val="none" w:sz="0" w:space="0" w:color="auto"/>
                                        <w:bottom w:val="none" w:sz="0" w:space="0" w:color="auto"/>
                                        <w:right w:val="none" w:sz="0" w:space="0" w:color="auto"/>
                                      </w:divBdr>
                                      <w:divsChild>
                                        <w:div w:id="1279414213">
                                          <w:marLeft w:val="0"/>
                                          <w:marRight w:val="0"/>
                                          <w:marTop w:val="0"/>
                                          <w:marBottom w:val="0"/>
                                          <w:divBdr>
                                            <w:top w:val="none" w:sz="0" w:space="0" w:color="auto"/>
                                            <w:left w:val="none" w:sz="0" w:space="0" w:color="auto"/>
                                            <w:bottom w:val="none" w:sz="0" w:space="0" w:color="auto"/>
                                            <w:right w:val="none" w:sz="0" w:space="0" w:color="auto"/>
                                          </w:divBdr>
                                          <w:divsChild>
                                            <w:div w:id="1662806676">
                                              <w:marLeft w:val="0"/>
                                              <w:marRight w:val="0"/>
                                              <w:marTop w:val="0"/>
                                              <w:marBottom w:val="0"/>
                                              <w:divBdr>
                                                <w:top w:val="none" w:sz="0" w:space="0" w:color="auto"/>
                                                <w:left w:val="none" w:sz="0" w:space="0" w:color="auto"/>
                                                <w:bottom w:val="none" w:sz="0" w:space="0" w:color="auto"/>
                                                <w:right w:val="none" w:sz="0" w:space="0" w:color="auto"/>
                                              </w:divBdr>
                                              <w:divsChild>
                                                <w:div w:id="9026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7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Uigh"/>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C00CC-15D3-4704-A267-788B16973CFA}"/>
</file>

<file path=customXml/itemProps2.xml><?xml version="1.0" encoding="utf-8"?>
<ds:datastoreItem xmlns:ds="http://schemas.openxmlformats.org/officeDocument/2006/customXml" ds:itemID="{EE800178-E18D-4F42-87FA-BF268C9C2A22}"/>
</file>

<file path=customXml/itemProps3.xml><?xml version="1.0" encoding="utf-8"?>
<ds:datastoreItem xmlns:ds="http://schemas.openxmlformats.org/officeDocument/2006/customXml" ds:itemID="{1E9F53D2-3E3C-49B5-8448-C48BA2712002}"/>
</file>

<file path=customXml/itemProps4.xml><?xml version="1.0" encoding="utf-8"?>
<ds:datastoreItem xmlns:ds="http://schemas.openxmlformats.org/officeDocument/2006/customXml" ds:itemID="{87E0A519-3DA5-4980-BD52-09D2F31BF9BE}"/>
</file>

<file path=customXml/itemProps5.xml><?xml version="1.0" encoding="utf-8"?>
<ds:datastoreItem xmlns:ds="http://schemas.openxmlformats.org/officeDocument/2006/customXml" ds:itemID="{818ABE45-9AA0-49A2-AB66-AAA53D4429AC}"/>
</file>

<file path=customXml/itemProps6.xml><?xml version="1.0" encoding="utf-8"?>
<ds:datastoreItem xmlns:ds="http://schemas.openxmlformats.org/officeDocument/2006/customXml" ds:itemID="{D067FFD0-2B0B-4650-8174-F63C8C6F3518}"/>
</file>

<file path=docProps/app.xml><?xml version="1.0" encoding="utf-8"?>
<Properties xmlns="http://schemas.openxmlformats.org/officeDocument/2006/extended-properties" xmlns:vt="http://schemas.openxmlformats.org/officeDocument/2006/docPropsVTypes">
  <Template>2063C40E.dotm</Template>
  <TotalTime>0</TotalTime>
  <Pages>38</Pages>
  <Words>13532</Words>
  <Characters>69150</Characters>
  <Application>Microsoft Office Word</Application>
  <DocSecurity>4</DocSecurity>
  <Lines>576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2017-06-20T07:10:00Z</dcterms:created>
  <dcterms:modified xsi:type="dcterms:W3CDTF">2017-06-20T07:10:00Z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ContentTypeId">
    <vt:lpwstr>0x010100BB2CA5D4910ACE4AADB481B488BD14740100AB872229E4CCBB4B84F7C903DB30D3E7</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UniqueId">
    <vt:lpwstr>{0426a64b-7cea-4945-9d7c-465aeafe95ce}</vt:lpwstr>
  </property>
  <property fmtid="{D5CDD505-2E9C-101B-9397-08002B2CF9AE}" pid="8" name="RecordPoint_ActiveItemWebId">
    <vt:lpwstr>{7d1753f3-b6db-484b-93d6-b74f5ca30d2d}</vt:lpwstr>
  </property>
</Properties>
</file>