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1B235" w14:textId="77777777" w:rsidR="00733181" w:rsidRPr="00C117CF" w:rsidRDefault="00733181" w:rsidP="00086C32">
      <w:pPr>
        <w:pStyle w:val="BodyText"/>
        <w:spacing w:line="260" w:lineRule="atLeast"/>
        <w:jc w:val="center"/>
        <w:rPr>
          <w:rFonts w:ascii="Arial" w:eastAsia="Calibri" w:hAnsi="Arial" w:cs="Arial"/>
          <w:b/>
          <w:sz w:val="20"/>
          <w:lang w:eastAsia="en-US"/>
        </w:rPr>
      </w:pPr>
      <w:r w:rsidRPr="00C117CF">
        <w:rPr>
          <w:rFonts w:ascii="Arial" w:eastAsia="Calibri" w:hAnsi="Arial" w:cs="Arial"/>
          <w:b/>
          <w:sz w:val="20"/>
          <w:lang w:eastAsia="en-US"/>
        </w:rPr>
        <w:t>EXPLANATORY STATEMENT</w:t>
      </w:r>
    </w:p>
    <w:p w14:paraId="05CE7B64" w14:textId="77777777" w:rsidR="00733181" w:rsidRPr="00C117CF" w:rsidRDefault="00733181" w:rsidP="00733181">
      <w:pPr>
        <w:jc w:val="center"/>
        <w:rPr>
          <w:rFonts w:ascii="Arial" w:hAnsi="Arial" w:cs="Arial"/>
          <w:b/>
          <w:sz w:val="20"/>
          <w:szCs w:val="20"/>
        </w:rPr>
      </w:pPr>
      <w:r w:rsidRPr="00C117CF">
        <w:rPr>
          <w:rFonts w:ascii="Arial" w:hAnsi="Arial" w:cs="Arial"/>
          <w:b/>
          <w:sz w:val="20"/>
          <w:szCs w:val="20"/>
        </w:rPr>
        <w:t>Issued by the Australian Communications and Media Authority</w:t>
      </w:r>
    </w:p>
    <w:p w14:paraId="5D606087" w14:textId="77777777" w:rsidR="00733181" w:rsidRPr="00C117CF" w:rsidRDefault="00733181" w:rsidP="00733181">
      <w:pPr>
        <w:jc w:val="center"/>
        <w:rPr>
          <w:rFonts w:ascii="Arial" w:hAnsi="Arial" w:cs="Arial"/>
          <w:b/>
          <w:i/>
          <w:sz w:val="20"/>
          <w:szCs w:val="20"/>
        </w:rPr>
      </w:pPr>
      <w:proofErr w:type="spellStart"/>
      <w:r>
        <w:rPr>
          <w:rFonts w:ascii="Arial" w:hAnsi="Arial" w:cs="Arial"/>
          <w:b/>
          <w:i/>
          <w:sz w:val="20"/>
          <w:szCs w:val="20"/>
        </w:rPr>
        <w:t>Radiocommunications</w:t>
      </w:r>
      <w:proofErr w:type="spellEnd"/>
      <w:r>
        <w:rPr>
          <w:rFonts w:ascii="Arial" w:hAnsi="Arial" w:cs="Arial"/>
          <w:b/>
          <w:i/>
          <w:sz w:val="20"/>
          <w:szCs w:val="20"/>
        </w:rPr>
        <w:t xml:space="preserve"> (Allocation of Transmitter Licences – Low Power Open Narrowcasting Licences) Determination 2015</w:t>
      </w:r>
    </w:p>
    <w:p w14:paraId="5563F388" w14:textId="77777777" w:rsidR="00733181" w:rsidRPr="00C117CF" w:rsidRDefault="00733181" w:rsidP="00733181">
      <w:pPr>
        <w:pStyle w:val="Subtitle"/>
        <w:rPr>
          <w:rFonts w:ascii="Arial" w:hAnsi="Arial" w:cs="Arial"/>
          <w:i/>
          <w:sz w:val="20"/>
        </w:rPr>
      </w:pPr>
      <w:proofErr w:type="spellStart"/>
      <w:r w:rsidRPr="00C117CF">
        <w:rPr>
          <w:rFonts w:ascii="Arial" w:hAnsi="Arial" w:cs="Arial"/>
          <w:i/>
          <w:sz w:val="20"/>
        </w:rPr>
        <w:t>Radiocommunications</w:t>
      </w:r>
      <w:proofErr w:type="spellEnd"/>
      <w:r w:rsidRPr="00C117CF">
        <w:rPr>
          <w:rFonts w:ascii="Arial" w:hAnsi="Arial" w:cs="Arial"/>
          <w:i/>
          <w:sz w:val="20"/>
        </w:rPr>
        <w:t xml:space="preserve"> Act 1992</w:t>
      </w:r>
    </w:p>
    <w:p w14:paraId="76829619" w14:textId="77777777" w:rsidR="00967F8D" w:rsidRDefault="004E664E"/>
    <w:p w14:paraId="0AC53A4A" w14:textId="77777777" w:rsidR="00733181" w:rsidRPr="009F41B6" w:rsidRDefault="00733181" w:rsidP="00733181">
      <w:pPr>
        <w:rPr>
          <w:rFonts w:ascii="Arial" w:hAnsi="Arial" w:cs="Arial"/>
          <w:sz w:val="20"/>
          <w:szCs w:val="20"/>
        </w:rPr>
      </w:pPr>
      <w:r w:rsidRPr="00C117CF">
        <w:rPr>
          <w:rFonts w:ascii="Arial" w:hAnsi="Arial" w:cs="Arial"/>
          <w:b/>
          <w:sz w:val="20"/>
          <w:szCs w:val="20"/>
        </w:rPr>
        <w:t>Purpose</w:t>
      </w:r>
    </w:p>
    <w:p w14:paraId="4B59F070" w14:textId="172CC677" w:rsidR="003D4919" w:rsidRPr="009F41B6" w:rsidRDefault="009A397D" w:rsidP="003D4919">
      <w:pPr>
        <w:rPr>
          <w:rFonts w:ascii="Arial" w:hAnsi="Arial" w:cs="Arial"/>
          <w:sz w:val="20"/>
          <w:szCs w:val="20"/>
        </w:rPr>
      </w:pPr>
      <w:r w:rsidRPr="009F41B6">
        <w:rPr>
          <w:rFonts w:ascii="Arial" w:hAnsi="Arial" w:cs="Arial"/>
          <w:sz w:val="20"/>
          <w:szCs w:val="20"/>
        </w:rPr>
        <w:t>The</w:t>
      </w:r>
      <w:r w:rsidRPr="00733181">
        <w:rPr>
          <w:rFonts w:ascii="Arial" w:hAnsi="Arial" w:cs="Arial"/>
          <w:sz w:val="20"/>
          <w:szCs w:val="20"/>
        </w:rPr>
        <w:t xml:space="preserve"> </w:t>
      </w:r>
      <w:proofErr w:type="spellStart"/>
      <w:r w:rsidRPr="00A63BD3">
        <w:rPr>
          <w:rFonts w:ascii="Arial" w:hAnsi="Arial" w:cs="Arial"/>
          <w:i/>
          <w:sz w:val="20"/>
          <w:szCs w:val="20"/>
        </w:rPr>
        <w:t>Radiocommunications</w:t>
      </w:r>
      <w:proofErr w:type="spellEnd"/>
      <w:r w:rsidRPr="00A63BD3">
        <w:rPr>
          <w:rFonts w:ascii="Arial" w:hAnsi="Arial" w:cs="Arial"/>
          <w:i/>
          <w:sz w:val="20"/>
          <w:szCs w:val="20"/>
        </w:rPr>
        <w:t xml:space="preserve"> (Allocation of Transmitter Licences – Low Power Open Narrowcasting Licences) Determination 2015</w:t>
      </w:r>
      <w:r w:rsidRPr="009F41B6">
        <w:rPr>
          <w:rFonts w:ascii="Arial" w:hAnsi="Arial" w:cs="Arial"/>
          <w:sz w:val="20"/>
          <w:szCs w:val="20"/>
        </w:rPr>
        <w:t xml:space="preserve"> </w:t>
      </w:r>
      <w:r w:rsidR="007B7537">
        <w:rPr>
          <w:rFonts w:ascii="Arial" w:hAnsi="Arial" w:cs="Arial"/>
          <w:sz w:val="20"/>
          <w:szCs w:val="20"/>
        </w:rPr>
        <w:t xml:space="preserve">(the Determination) </w:t>
      </w:r>
      <w:r w:rsidRPr="009F41B6">
        <w:rPr>
          <w:rFonts w:ascii="Arial" w:hAnsi="Arial" w:cs="Arial"/>
          <w:sz w:val="20"/>
          <w:szCs w:val="20"/>
        </w:rPr>
        <w:t xml:space="preserve">provides </w:t>
      </w:r>
      <w:r>
        <w:rPr>
          <w:rFonts w:ascii="Arial" w:hAnsi="Arial" w:cs="Arial"/>
          <w:sz w:val="20"/>
          <w:szCs w:val="20"/>
        </w:rPr>
        <w:t xml:space="preserve">an allocation system </w:t>
      </w:r>
      <w:r w:rsidR="009B6464">
        <w:rPr>
          <w:rFonts w:ascii="Arial" w:hAnsi="Arial" w:cs="Arial"/>
          <w:sz w:val="20"/>
          <w:szCs w:val="20"/>
        </w:rPr>
        <w:t xml:space="preserve">for low power open narrowcast licences (LPONs). </w:t>
      </w:r>
      <w:r w:rsidR="008B755E">
        <w:rPr>
          <w:rFonts w:ascii="Arial" w:hAnsi="Arial" w:cs="Arial"/>
          <w:sz w:val="20"/>
          <w:szCs w:val="20"/>
        </w:rPr>
        <w:t>L</w:t>
      </w:r>
      <w:r w:rsidR="00EC288E">
        <w:rPr>
          <w:rFonts w:ascii="Arial" w:hAnsi="Arial" w:cs="Arial"/>
          <w:sz w:val="20"/>
          <w:szCs w:val="20"/>
        </w:rPr>
        <w:t xml:space="preserve">ots are </w:t>
      </w:r>
      <w:bookmarkStart w:id="0" w:name="_GoBack"/>
      <w:bookmarkEnd w:id="0"/>
      <w:r w:rsidR="009B6464">
        <w:rPr>
          <w:rFonts w:ascii="Arial" w:hAnsi="Arial" w:cs="Arial"/>
          <w:sz w:val="20"/>
          <w:szCs w:val="20"/>
        </w:rPr>
        <w:t xml:space="preserve">allocated by open outcry </w:t>
      </w:r>
      <w:r>
        <w:rPr>
          <w:rFonts w:ascii="Arial" w:hAnsi="Arial" w:cs="Arial"/>
          <w:sz w:val="20"/>
          <w:szCs w:val="20"/>
        </w:rPr>
        <w:t xml:space="preserve">auction </w:t>
      </w:r>
      <w:r w:rsidRPr="009F41B6">
        <w:rPr>
          <w:rFonts w:ascii="Arial" w:hAnsi="Arial" w:cs="Arial"/>
          <w:sz w:val="20"/>
          <w:szCs w:val="20"/>
        </w:rPr>
        <w:t>if there are competing bidders</w:t>
      </w:r>
      <w:r w:rsidR="008B755E">
        <w:rPr>
          <w:rFonts w:ascii="Arial" w:hAnsi="Arial" w:cs="Arial"/>
          <w:sz w:val="20"/>
          <w:szCs w:val="20"/>
        </w:rPr>
        <w:t>,</w:t>
      </w:r>
      <w:r w:rsidRPr="009F41B6">
        <w:rPr>
          <w:rFonts w:ascii="Arial" w:hAnsi="Arial" w:cs="Arial"/>
          <w:sz w:val="20"/>
          <w:szCs w:val="20"/>
        </w:rPr>
        <w:t xml:space="preserve"> or </w:t>
      </w:r>
      <w:r w:rsidR="00EC288E">
        <w:rPr>
          <w:rFonts w:ascii="Arial" w:hAnsi="Arial" w:cs="Arial"/>
          <w:sz w:val="20"/>
          <w:szCs w:val="20"/>
        </w:rPr>
        <w:t xml:space="preserve">upon payment of the </w:t>
      </w:r>
      <w:r w:rsidRPr="009F41B6">
        <w:rPr>
          <w:rFonts w:ascii="Arial" w:hAnsi="Arial" w:cs="Arial"/>
          <w:sz w:val="20"/>
          <w:szCs w:val="20"/>
        </w:rPr>
        <w:t>reserve price if there is only one applicant</w:t>
      </w:r>
      <w:r w:rsidR="00EC288E">
        <w:rPr>
          <w:rFonts w:ascii="Arial" w:hAnsi="Arial" w:cs="Arial"/>
          <w:sz w:val="20"/>
          <w:szCs w:val="20"/>
        </w:rPr>
        <w:t>, with the successful applicant being entitled to apply for an LPON licence</w:t>
      </w:r>
      <w:r w:rsidRPr="009F41B6">
        <w:rPr>
          <w:rFonts w:ascii="Arial" w:hAnsi="Arial" w:cs="Arial"/>
          <w:sz w:val="20"/>
          <w:szCs w:val="20"/>
        </w:rPr>
        <w:t xml:space="preserve">. </w:t>
      </w:r>
    </w:p>
    <w:p w14:paraId="5469E46F" w14:textId="77777777" w:rsidR="00733181" w:rsidRPr="00C117CF" w:rsidRDefault="00733181" w:rsidP="009F41B6">
      <w:pPr>
        <w:rPr>
          <w:rFonts w:ascii="Arial" w:hAnsi="Arial" w:cs="Arial"/>
          <w:sz w:val="20"/>
          <w:szCs w:val="20"/>
        </w:rPr>
      </w:pPr>
      <w:r w:rsidRPr="009F41B6">
        <w:t xml:space="preserve">The </w:t>
      </w:r>
      <w:r w:rsidRPr="00C117CF">
        <w:rPr>
          <w:rFonts w:ascii="Arial" w:hAnsi="Arial" w:cs="Arial"/>
          <w:sz w:val="20"/>
          <w:szCs w:val="20"/>
        </w:rPr>
        <w:t xml:space="preserve">Determination revokes and replaces the </w:t>
      </w:r>
      <w:proofErr w:type="spellStart"/>
      <w:r w:rsidRPr="00A63BD3">
        <w:rPr>
          <w:rFonts w:ascii="Arial" w:hAnsi="Arial" w:cs="Arial"/>
          <w:i/>
          <w:sz w:val="20"/>
          <w:szCs w:val="20"/>
        </w:rPr>
        <w:t>Radiocommunications</w:t>
      </w:r>
      <w:proofErr w:type="spellEnd"/>
      <w:r w:rsidRPr="00A63BD3">
        <w:rPr>
          <w:rFonts w:ascii="Arial" w:hAnsi="Arial" w:cs="Arial"/>
          <w:i/>
          <w:sz w:val="20"/>
          <w:szCs w:val="20"/>
        </w:rPr>
        <w:t xml:space="preserve"> (Broadcasting (Low Power Open Narrowcasting) Transmitter Licence – Allocation) Determination 2001</w:t>
      </w:r>
      <w:r w:rsidRPr="00C117CF">
        <w:rPr>
          <w:rFonts w:ascii="Arial" w:hAnsi="Arial" w:cs="Arial"/>
          <w:sz w:val="20"/>
          <w:szCs w:val="20"/>
        </w:rPr>
        <w:t xml:space="preserve"> </w:t>
      </w:r>
      <w:r w:rsidR="006C1CD8">
        <w:rPr>
          <w:rFonts w:ascii="Arial" w:hAnsi="Arial" w:cs="Arial"/>
          <w:sz w:val="20"/>
          <w:szCs w:val="20"/>
        </w:rPr>
        <w:t xml:space="preserve">(the 2001 Instrument) </w:t>
      </w:r>
      <w:r w:rsidRPr="00C117CF">
        <w:rPr>
          <w:rFonts w:ascii="Arial" w:hAnsi="Arial" w:cs="Arial"/>
          <w:sz w:val="20"/>
          <w:szCs w:val="20"/>
        </w:rPr>
        <w:t xml:space="preserve">without making any significant changes to the regulatory arrangements created by the </w:t>
      </w:r>
      <w:r w:rsidR="006C1CD8">
        <w:rPr>
          <w:rFonts w:ascii="Arial" w:hAnsi="Arial" w:cs="Arial"/>
          <w:sz w:val="20"/>
          <w:szCs w:val="20"/>
        </w:rPr>
        <w:t>2001</w:t>
      </w:r>
      <w:r w:rsidRPr="00C117CF">
        <w:rPr>
          <w:rFonts w:ascii="Arial" w:hAnsi="Arial" w:cs="Arial"/>
          <w:sz w:val="20"/>
          <w:szCs w:val="20"/>
        </w:rPr>
        <w:t xml:space="preserve"> Instrument.</w:t>
      </w:r>
    </w:p>
    <w:p w14:paraId="7D6D57CD" w14:textId="4DE2D018" w:rsidR="00733181" w:rsidRPr="00C117CF" w:rsidRDefault="00733181" w:rsidP="00733181">
      <w:pPr>
        <w:rPr>
          <w:rFonts w:ascii="Arial" w:hAnsi="Arial" w:cs="Arial"/>
          <w:sz w:val="20"/>
          <w:szCs w:val="20"/>
        </w:rPr>
      </w:pPr>
      <w:r w:rsidRPr="00C117CF">
        <w:rPr>
          <w:rFonts w:ascii="Arial" w:hAnsi="Arial" w:cs="Arial"/>
          <w:sz w:val="20"/>
          <w:szCs w:val="20"/>
        </w:rPr>
        <w:t>The A</w:t>
      </w:r>
      <w:r w:rsidR="00EC288E">
        <w:rPr>
          <w:rFonts w:ascii="Arial" w:hAnsi="Arial" w:cs="Arial"/>
          <w:sz w:val="20"/>
          <w:szCs w:val="20"/>
        </w:rPr>
        <w:t xml:space="preserve">ustralian Communications and Media Authority (ACMA) </w:t>
      </w:r>
      <w:r w:rsidRPr="00C117CF">
        <w:rPr>
          <w:rFonts w:ascii="Arial" w:hAnsi="Arial" w:cs="Arial"/>
          <w:sz w:val="20"/>
          <w:szCs w:val="20"/>
        </w:rPr>
        <w:t xml:space="preserve">has made the Determination because the </w:t>
      </w:r>
      <w:r w:rsidR="006C1CD8">
        <w:rPr>
          <w:rFonts w:ascii="Arial" w:hAnsi="Arial" w:cs="Arial"/>
          <w:sz w:val="20"/>
          <w:szCs w:val="20"/>
        </w:rPr>
        <w:t xml:space="preserve">2001 Instrument was due to ‘sunset’ </w:t>
      </w:r>
      <w:r w:rsidRPr="00C117CF">
        <w:rPr>
          <w:rFonts w:ascii="Arial" w:hAnsi="Arial" w:cs="Arial"/>
          <w:sz w:val="20"/>
          <w:szCs w:val="20"/>
        </w:rPr>
        <w:t xml:space="preserve">(i.e. be </w:t>
      </w:r>
      <w:r>
        <w:rPr>
          <w:rFonts w:ascii="Arial" w:hAnsi="Arial" w:cs="Arial"/>
          <w:sz w:val="20"/>
          <w:szCs w:val="20"/>
        </w:rPr>
        <w:t xml:space="preserve">automatically </w:t>
      </w:r>
      <w:r w:rsidRPr="00C117CF">
        <w:rPr>
          <w:rFonts w:ascii="Arial" w:hAnsi="Arial" w:cs="Arial"/>
          <w:sz w:val="20"/>
          <w:szCs w:val="20"/>
        </w:rPr>
        <w:t xml:space="preserve">repealed) on 1 </w:t>
      </w:r>
      <w:r>
        <w:rPr>
          <w:rFonts w:ascii="Arial" w:hAnsi="Arial" w:cs="Arial"/>
          <w:sz w:val="20"/>
          <w:szCs w:val="20"/>
        </w:rPr>
        <w:t>October</w:t>
      </w:r>
      <w:r w:rsidRPr="00C117CF">
        <w:rPr>
          <w:rFonts w:ascii="Arial" w:hAnsi="Arial" w:cs="Arial"/>
          <w:sz w:val="20"/>
          <w:szCs w:val="20"/>
        </w:rPr>
        <w:t xml:space="preserve"> 2015, in accordance with Part 6 of the </w:t>
      </w:r>
      <w:r w:rsidRPr="00AC5BDF">
        <w:rPr>
          <w:rFonts w:ascii="Arial" w:hAnsi="Arial" w:cs="Arial"/>
          <w:i/>
          <w:sz w:val="20"/>
          <w:szCs w:val="20"/>
        </w:rPr>
        <w:t>Legislative Instruments Act 2003</w:t>
      </w:r>
      <w:r w:rsidRPr="00C117CF">
        <w:rPr>
          <w:rFonts w:ascii="Arial" w:hAnsi="Arial" w:cs="Arial"/>
          <w:sz w:val="20"/>
          <w:szCs w:val="20"/>
        </w:rPr>
        <w:t xml:space="preserve"> (the </w:t>
      </w:r>
      <w:r w:rsidRPr="00FE117F">
        <w:rPr>
          <w:rFonts w:ascii="Arial" w:hAnsi="Arial" w:cs="Arial"/>
          <w:sz w:val="20"/>
          <w:szCs w:val="20"/>
        </w:rPr>
        <w:t>LIA</w:t>
      </w:r>
      <w:r w:rsidRPr="00C117CF">
        <w:rPr>
          <w:rFonts w:ascii="Arial" w:hAnsi="Arial" w:cs="Arial"/>
          <w:sz w:val="20"/>
          <w:szCs w:val="20"/>
        </w:rPr>
        <w:t>).</w:t>
      </w:r>
      <w:r w:rsidRPr="009F41B6">
        <w:rPr>
          <w:rFonts w:ascii="Arial" w:hAnsi="Arial" w:cs="Arial"/>
          <w:sz w:val="20"/>
          <w:szCs w:val="20"/>
        </w:rPr>
        <w:t xml:space="preserve"> </w:t>
      </w:r>
      <w:r w:rsidRPr="00C117CF">
        <w:rPr>
          <w:rFonts w:ascii="Arial" w:hAnsi="Arial" w:cs="Arial"/>
          <w:sz w:val="20"/>
          <w:szCs w:val="20"/>
        </w:rPr>
        <w:t xml:space="preserve">Following review, and consultation as described below, the ACMA formed the view that the </w:t>
      </w:r>
      <w:r w:rsidR="006C1CD8">
        <w:rPr>
          <w:rFonts w:ascii="Arial" w:hAnsi="Arial" w:cs="Arial"/>
          <w:sz w:val="20"/>
          <w:szCs w:val="20"/>
        </w:rPr>
        <w:t>2001</w:t>
      </w:r>
      <w:r w:rsidRPr="00C117CF">
        <w:rPr>
          <w:rFonts w:ascii="Arial" w:hAnsi="Arial" w:cs="Arial"/>
          <w:sz w:val="20"/>
          <w:szCs w:val="20"/>
        </w:rPr>
        <w:t xml:space="preserve"> Instrument was operating effectively and efficiently</w:t>
      </w:r>
      <w:r>
        <w:rPr>
          <w:rFonts w:ascii="Arial" w:hAnsi="Arial" w:cs="Arial"/>
          <w:sz w:val="20"/>
          <w:szCs w:val="20"/>
        </w:rPr>
        <w:t>,</w:t>
      </w:r>
      <w:r w:rsidRPr="00C117CF">
        <w:rPr>
          <w:rFonts w:ascii="Arial" w:hAnsi="Arial" w:cs="Arial"/>
          <w:sz w:val="20"/>
          <w:szCs w:val="20"/>
        </w:rPr>
        <w:t xml:space="preserve"> and continued to form a necessary and useful part of the legislative framework. Accordingly, the ACMA has remade the </w:t>
      </w:r>
      <w:r w:rsidR="006C1CD8">
        <w:rPr>
          <w:rFonts w:ascii="Arial" w:hAnsi="Arial" w:cs="Arial"/>
          <w:sz w:val="20"/>
          <w:szCs w:val="20"/>
        </w:rPr>
        <w:t>2001</w:t>
      </w:r>
      <w:r w:rsidRPr="00C117CF">
        <w:rPr>
          <w:rFonts w:ascii="Arial" w:hAnsi="Arial" w:cs="Arial"/>
          <w:sz w:val="20"/>
          <w:szCs w:val="20"/>
        </w:rPr>
        <w:t xml:space="preserve"> Instrument by making the Determination, without any sign</w:t>
      </w:r>
      <w:r w:rsidR="00A63BD3">
        <w:rPr>
          <w:rFonts w:ascii="Arial" w:hAnsi="Arial" w:cs="Arial"/>
          <w:sz w:val="20"/>
          <w:szCs w:val="20"/>
        </w:rPr>
        <w:t>ificant changes, so that its on</w:t>
      </w:r>
      <w:r w:rsidRPr="00C117CF">
        <w:rPr>
          <w:rFonts w:ascii="Arial" w:hAnsi="Arial" w:cs="Arial"/>
          <w:sz w:val="20"/>
          <w:szCs w:val="20"/>
        </w:rPr>
        <w:t xml:space="preserve">going effect is preserved. </w:t>
      </w:r>
    </w:p>
    <w:p w14:paraId="66CE5FBD" w14:textId="77777777" w:rsidR="00A65D49" w:rsidRPr="000E7C20" w:rsidRDefault="00A65D49" w:rsidP="00A971F1">
      <w:pPr>
        <w:pStyle w:val="BodyText"/>
        <w:tabs>
          <w:tab w:val="center" w:pos="4513"/>
        </w:tabs>
        <w:spacing w:before="120" w:line="260" w:lineRule="atLeast"/>
        <w:jc w:val="both"/>
        <w:rPr>
          <w:rFonts w:ascii="Arial" w:hAnsi="Arial" w:cs="Arial"/>
          <w:b/>
          <w:sz w:val="20"/>
        </w:rPr>
      </w:pPr>
      <w:r w:rsidRPr="000E7C20">
        <w:rPr>
          <w:rFonts w:ascii="Arial" w:hAnsi="Arial" w:cs="Arial"/>
          <w:b/>
          <w:sz w:val="20"/>
        </w:rPr>
        <w:t>Legislative Provisions</w:t>
      </w:r>
      <w:r w:rsidR="00A971F1">
        <w:rPr>
          <w:rFonts w:ascii="Arial" w:hAnsi="Arial" w:cs="Arial"/>
          <w:b/>
          <w:sz w:val="20"/>
        </w:rPr>
        <w:tab/>
      </w:r>
    </w:p>
    <w:p w14:paraId="163BB0B3" w14:textId="3F080E4D" w:rsidR="00A65D49" w:rsidRPr="002C2BC9" w:rsidRDefault="00A65D49" w:rsidP="00A65D49">
      <w:pPr>
        <w:spacing w:line="260" w:lineRule="atLeast"/>
        <w:rPr>
          <w:rStyle w:val="CharSectno"/>
          <w:rFonts w:ascii="Arial" w:eastAsia="Times New Roman" w:hAnsi="Arial" w:cs="Arial"/>
          <w:sz w:val="20"/>
          <w:szCs w:val="20"/>
        </w:rPr>
      </w:pPr>
      <w:r w:rsidRPr="002C2BC9">
        <w:rPr>
          <w:rStyle w:val="CharSectno"/>
          <w:rFonts w:ascii="Arial" w:eastAsia="Times New Roman" w:hAnsi="Arial" w:cs="Arial"/>
          <w:sz w:val="20"/>
          <w:szCs w:val="20"/>
        </w:rPr>
        <w:t xml:space="preserve">The Determination </w:t>
      </w:r>
      <w:r w:rsidR="00EC288E">
        <w:rPr>
          <w:rStyle w:val="CharSectno"/>
          <w:rFonts w:ascii="Arial" w:eastAsia="Times New Roman" w:hAnsi="Arial" w:cs="Arial"/>
          <w:sz w:val="20"/>
          <w:szCs w:val="20"/>
        </w:rPr>
        <w:t xml:space="preserve">is made </w:t>
      </w:r>
      <w:r>
        <w:rPr>
          <w:rStyle w:val="CharSectno"/>
          <w:rFonts w:ascii="Arial" w:eastAsia="Times New Roman" w:hAnsi="Arial" w:cs="Arial"/>
          <w:sz w:val="20"/>
          <w:szCs w:val="20"/>
        </w:rPr>
        <w:t>under</w:t>
      </w:r>
      <w:r w:rsidRPr="002C2BC9">
        <w:rPr>
          <w:rStyle w:val="CharSectno"/>
          <w:rFonts w:ascii="Arial" w:eastAsia="Times New Roman" w:hAnsi="Arial" w:cs="Arial"/>
          <w:sz w:val="20"/>
          <w:szCs w:val="20"/>
        </w:rPr>
        <w:t xml:space="preserve"> subsection </w:t>
      </w:r>
      <w:r>
        <w:rPr>
          <w:rStyle w:val="CharSectno"/>
          <w:rFonts w:ascii="Arial" w:eastAsia="Times New Roman" w:hAnsi="Arial" w:cs="Arial"/>
          <w:sz w:val="20"/>
          <w:szCs w:val="20"/>
        </w:rPr>
        <w:t>106(1</w:t>
      </w:r>
      <w:r w:rsidRPr="002C2BC9">
        <w:rPr>
          <w:rStyle w:val="CharSectno"/>
          <w:rFonts w:ascii="Arial" w:eastAsia="Times New Roman" w:hAnsi="Arial" w:cs="Arial"/>
          <w:sz w:val="20"/>
          <w:szCs w:val="20"/>
        </w:rPr>
        <w:t xml:space="preserve">) of the </w:t>
      </w:r>
      <w:proofErr w:type="spellStart"/>
      <w:r w:rsidRPr="00FE117F">
        <w:rPr>
          <w:rStyle w:val="CharSectno"/>
          <w:rFonts w:ascii="Arial" w:eastAsia="Times New Roman" w:hAnsi="Arial" w:cs="Arial"/>
          <w:i/>
          <w:sz w:val="20"/>
          <w:szCs w:val="20"/>
        </w:rPr>
        <w:t>Radiocommunications</w:t>
      </w:r>
      <w:proofErr w:type="spellEnd"/>
      <w:r w:rsidRPr="00FE117F">
        <w:rPr>
          <w:rStyle w:val="CharSectno"/>
          <w:rFonts w:ascii="Arial" w:eastAsia="Times New Roman" w:hAnsi="Arial" w:cs="Arial"/>
          <w:i/>
          <w:sz w:val="20"/>
          <w:szCs w:val="20"/>
        </w:rPr>
        <w:t xml:space="preserve"> Act 1992</w:t>
      </w:r>
      <w:r w:rsidRPr="002C2BC9">
        <w:rPr>
          <w:rStyle w:val="CharSectno"/>
          <w:rFonts w:ascii="Arial" w:eastAsia="Times New Roman" w:hAnsi="Arial" w:cs="Arial"/>
          <w:sz w:val="20"/>
          <w:szCs w:val="20"/>
        </w:rPr>
        <w:t xml:space="preserve"> (the Act) and in accordance with subsection 33(3) of the Acts </w:t>
      </w:r>
      <w:r w:rsidRPr="00FE117F">
        <w:rPr>
          <w:rStyle w:val="CharSectno"/>
          <w:rFonts w:ascii="Arial" w:eastAsia="Times New Roman" w:hAnsi="Arial" w:cs="Arial"/>
          <w:i/>
          <w:sz w:val="20"/>
          <w:szCs w:val="20"/>
        </w:rPr>
        <w:t>Interpretation Act 1901</w:t>
      </w:r>
      <w:r w:rsidRPr="002C2BC9">
        <w:rPr>
          <w:rStyle w:val="CharSectno"/>
          <w:rFonts w:ascii="Arial" w:eastAsia="Times New Roman" w:hAnsi="Arial" w:cs="Arial"/>
          <w:sz w:val="20"/>
          <w:szCs w:val="20"/>
        </w:rPr>
        <w:t xml:space="preserve"> (the AIA).</w:t>
      </w:r>
    </w:p>
    <w:p w14:paraId="0AF6911B" w14:textId="0B02CC05" w:rsidR="00D83897" w:rsidRDefault="00D83897" w:rsidP="00D83897">
      <w:pPr>
        <w:pStyle w:val="ACMABodyText"/>
        <w:rPr>
          <w:rStyle w:val="CharSectno"/>
        </w:rPr>
      </w:pPr>
      <w:r>
        <w:t>Under section 106,</w:t>
      </w:r>
      <w:r w:rsidRPr="00181920">
        <w:t xml:space="preserve"> the </w:t>
      </w:r>
      <w:r w:rsidRPr="00B555FD">
        <w:t>ACMA</w:t>
      </w:r>
      <w:r w:rsidRPr="00181920">
        <w:t xml:space="preserve"> </w:t>
      </w:r>
      <w:r>
        <w:t>may determine</w:t>
      </w:r>
      <w:r w:rsidRPr="00181920">
        <w:t xml:space="preserve">, in writing, </w:t>
      </w:r>
      <w:r>
        <w:t>a price-based allocation system for</w:t>
      </w:r>
      <w:r w:rsidRPr="00181920">
        <w:t xml:space="preserve"> allocating </w:t>
      </w:r>
      <w:r>
        <w:t>and/or issuing specified transmitter</w:t>
      </w:r>
      <w:r w:rsidRPr="00181920">
        <w:t xml:space="preserve"> licences</w:t>
      </w:r>
      <w:r>
        <w:t xml:space="preserve">. A determination made under section 106 of the Act is a legislative instrument for the purposes of the </w:t>
      </w:r>
      <w:r w:rsidR="00C30639">
        <w:t>LIA</w:t>
      </w:r>
      <w:r>
        <w:t>.</w:t>
      </w:r>
    </w:p>
    <w:p w14:paraId="302976A0" w14:textId="77777777" w:rsidR="00A65D49" w:rsidRPr="00EF7DF4" w:rsidRDefault="00A65D49" w:rsidP="00A65D49">
      <w:pPr>
        <w:spacing w:line="260" w:lineRule="atLeast"/>
        <w:rPr>
          <w:rFonts w:ascii="Arial" w:hAnsi="Arial" w:cs="Arial"/>
          <w:color w:val="000000"/>
          <w:sz w:val="20"/>
          <w:szCs w:val="20"/>
          <w:shd w:val="clear" w:color="auto" w:fill="FFFFFF"/>
        </w:rPr>
      </w:pPr>
      <w:r w:rsidRPr="002C2BC9">
        <w:rPr>
          <w:rStyle w:val="CharSectno"/>
          <w:rFonts w:ascii="Arial" w:eastAsia="Times New Roman" w:hAnsi="Arial" w:cs="Arial"/>
          <w:sz w:val="20"/>
          <w:szCs w:val="20"/>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41B8AC58" w14:textId="77777777" w:rsidR="00B55423" w:rsidRDefault="00D83897" w:rsidP="00D83897">
      <w:pPr>
        <w:pStyle w:val="BodyText"/>
        <w:spacing w:before="120" w:line="260" w:lineRule="atLeast"/>
        <w:jc w:val="both"/>
        <w:rPr>
          <w:rFonts w:ascii="Arial" w:hAnsi="Arial" w:cs="Arial"/>
          <w:b/>
          <w:sz w:val="20"/>
        </w:rPr>
      </w:pPr>
      <w:r w:rsidRPr="00D83897">
        <w:rPr>
          <w:rFonts w:ascii="Arial" w:hAnsi="Arial" w:cs="Arial"/>
          <w:b/>
          <w:sz w:val="20"/>
        </w:rPr>
        <w:t>Background</w:t>
      </w:r>
    </w:p>
    <w:p w14:paraId="64B88C1A" w14:textId="77777777" w:rsidR="00F727C4" w:rsidRPr="00EE3E96" w:rsidRDefault="00F727C4" w:rsidP="00EE3E96">
      <w:pPr>
        <w:pStyle w:val="ACMABodyText"/>
      </w:pPr>
      <w:r w:rsidRPr="00EE3E96">
        <w:t xml:space="preserve">On 20 December 2000, the then Minister for Communications, Information Technology and the Arts gave the Australian Communications Authority (the ACA) the </w:t>
      </w:r>
      <w:r w:rsidRPr="00C30639">
        <w:rPr>
          <w:i/>
        </w:rPr>
        <w:t xml:space="preserve">Australian Communications Authority (LPON Transmitter Licence Allocation) Direction No.3 of 2000 </w:t>
      </w:r>
      <w:r w:rsidRPr="00EE3E96">
        <w:t xml:space="preserve">(the Price-based Allocation Direction). The Price-based Allocation Direction requires the allocation or issue of transmitter licences for low power open narrowcasting services by the ACMA (excluding the renewal of licences) to be by way of price-based allocation systems. </w:t>
      </w:r>
    </w:p>
    <w:p w14:paraId="16E39D03" w14:textId="078D0122" w:rsidR="002E5EED" w:rsidRDefault="00F727C4" w:rsidP="00EE3E96">
      <w:pPr>
        <w:pStyle w:val="ACMABodyText"/>
      </w:pPr>
      <w:r w:rsidRPr="00EE3E96">
        <w:lastRenderedPageBreak/>
        <w:t xml:space="preserve">Accordingly, the ACA made the </w:t>
      </w:r>
      <w:r w:rsidR="007B7537">
        <w:t xml:space="preserve">2001 Instrument </w:t>
      </w:r>
      <w:r w:rsidRPr="00EE3E96">
        <w:t>on 17 August 2001.</w:t>
      </w:r>
      <w:r w:rsidR="00EC288E">
        <w:rPr>
          <w:rStyle w:val="FootnoteReference"/>
        </w:rPr>
        <w:footnoteReference w:id="1"/>
      </w:r>
      <w:r w:rsidRPr="00EE3E96">
        <w:t xml:space="preserve"> </w:t>
      </w:r>
    </w:p>
    <w:p w14:paraId="350B2E38" w14:textId="195579C2" w:rsidR="003D4919" w:rsidRDefault="00456D3B" w:rsidP="00EE3E96">
      <w:pPr>
        <w:pStyle w:val="ACMABodyText"/>
      </w:pPr>
      <w:r>
        <w:t xml:space="preserve">The 2001 Instrument was due to be automatically repealed by </w:t>
      </w:r>
      <w:r w:rsidR="00C456D5">
        <w:t xml:space="preserve">operation of </w:t>
      </w:r>
      <w:r>
        <w:t>sect</w:t>
      </w:r>
      <w:r w:rsidR="00C30639">
        <w:t>ion 50 of the LIA</w:t>
      </w:r>
      <w:r>
        <w:t xml:space="preserve"> on 1</w:t>
      </w:r>
      <w:r w:rsidR="00C456D5">
        <w:t> </w:t>
      </w:r>
      <w:r>
        <w:t xml:space="preserve">October 2015. </w:t>
      </w:r>
      <w:r w:rsidR="00AF6E27">
        <w:t>However, following internal review and public consultation, the ACMA consider</w:t>
      </w:r>
      <w:r w:rsidR="009B6464">
        <w:t>s</w:t>
      </w:r>
      <w:r w:rsidR="00AF6E27">
        <w:t xml:space="preserve"> that the instrument is still required, and </w:t>
      </w:r>
      <w:r w:rsidR="008A36BA">
        <w:t xml:space="preserve">is </w:t>
      </w:r>
      <w:r w:rsidR="00AF6E27">
        <w:t xml:space="preserve">effective and efficient in achieving its regulatory purpose. </w:t>
      </w:r>
      <w:r w:rsidR="003D4919">
        <w:t xml:space="preserve">The ACMA </w:t>
      </w:r>
      <w:r w:rsidR="009B6464">
        <w:t xml:space="preserve">has </w:t>
      </w:r>
      <w:r w:rsidR="003D4919">
        <w:t xml:space="preserve">made the Determination </w:t>
      </w:r>
      <w:r w:rsidR="00954A44">
        <w:t xml:space="preserve">(revoking the 2001 Determination) </w:t>
      </w:r>
      <w:r w:rsidR="003D4919" w:rsidRPr="003D4919">
        <w:t>without any signific</w:t>
      </w:r>
      <w:r w:rsidR="003D4919">
        <w:t>ant changes, so that its on</w:t>
      </w:r>
      <w:r w:rsidR="003D4919" w:rsidRPr="003D4919">
        <w:t xml:space="preserve">going effect is preserved. </w:t>
      </w:r>
      <w:r w:rsidR="00BC689B">
        <w:t xml:space="preserve">Minor administrative changes were made to replace outdated legislative </w:t>
      </w:r>
      <w:r w:rsidR="0050376C">
        <w:t>references and</w:t>
      </w:r>
      <w:r w:rsidR="00BC689B">
        <w:t xml:space="preserve"> banking details, </w:t>
      </w:r>
      <w:r w:rsidR="00C456D5">
        <w:t>and to improve drafting style</w:t>
      </w:r>
      <w:r w:rsidR="00BC689B">
        <w:t>.</w:t>
      </w:r>
    </w:p>
    <w:p w14:paraId="08F8E1AE" w14:textId="77777777" w:rsidR="00006534" w:rsidRDefault="00006534" w:rsidP="00006534">
      <w:pPr>
        <w:pStyle w:val="BodyText"/>
        <w:spacing w:before="120" w:line="260" w:lineRule="atLeast"/>
        <w:jc w:val="both"/>
        <w:rPr>
          <w:rFonts w:ascii="Arial" w:hAnsi="Arial" w:cs="Arial"/>
          <w:b/>
          <w:sz w:val="20"/>
        </w:rPr>
      </w:pPr>
      <w:r w:rsidRPr="00006534">
        <w:rPr>
          <w:rFonts w:ascii="Arial" w:hAnsi="Arial" w:cs="Arial"/>
          <w:b/>
          <w:sz w:val="20"/>
        </w:rPr>
        <w:t>Operation</w:t>
      </w:r>
    </w:p>
    <w:p w14:paraId="4EF680B0" w14:textId="77777777" w:rsidR="00B156E8" w:rsidRDefault="000D5D89" w:rsidP="00006534">
      <w:pPr>
        <w:pStyle w:val="BodyText"/>
        <w:spacing w:before="120" w:line="260" w:lineRule="atLeast"/>
        <w:jc w:val="both"/>
        <w:rPr>
          <w:rFonts w:ascii="Arial" w:hAnsi="Arial" w:cs="Arial"/>
          <w:sz w:val="20"/>
        </w:rPr>
      </w:pPr>
      <w:r>
        <w:rPr>
          <w:rFonts w:ascii="Arial" w:hAnsi="Arial" w:cs="Arial"/>
          <w:sz w:val="20"/>
        </w:rPr>
        <w:t>The Determination sets out a process whereby</w:t>
      </w:r>
      <w:r w:rsidR="00B156E8">
        <w:rPr>
          <w:rFonts w:ascii="Arial" w:hAnsi="Arial" w:cs="Arial"/>
          <w:sz w:val="20"/>
        </w:rPr>
        <w:t>:</w:t>
      </w:r>
    </w:p>
    <w:p w14:paraId="61B3CDC8" w14:textId="676AC304" w:rsidR="00B156E8" w:rsidRDefault="00B156E8" w:rsidP="00B156E8">
      <w:pPr>
        <w:pStyle w:val="BodyText"/>
        <w:numPr>
          <w:ilvl w:val="0"/>
          <w:numId w:val="1"/>
        </w:numPr>
        <w:spacing w:before="120" w:line="260" w:lineRule="atLeast"/>
        <w:jc w:val="both"/>
        <w:rPr>
          <w:rFonts w:ascii="Arial" w:hAnsi="Arial" w:cs="Arial"/>
          <w:sz w:val="20"/>
        </w:rPr>
      </w:pPr>
      <w:r>
        <w:rPr>
          <w:rFonts w:ascii="Arial" w:hAnsi="Arial" w:cs="Arial"/>
          <w:sz w:val="20"/>
        </w:rPr>
        <w:t xml:space="preserve">The ACMA invites </w:t>
      </w:r>
      <w:r w:rsidR="00C456D5">
        <w:rPr>
          <w:rFonts w:ascii="Arial" w:hAnsi="Arial" w:cs="Arial"/>
          <w:sz w:val="20"/>
        </w:rPr>
        <w:t xml:space="preserve">applicants for </w:t>
      </w:r>
      <w:r>
        <w:rPr>
          <w:rFonts w:ascii="Arial" w:hAnsi="Arial" w:cs="Arial"/>
          <w:sz w:val="20"/>
        </w:rPr>
        <w:t>potential transmitter licences for LPON services</w:t>
      </w:r>
      <w:r w:rsidR="00C456D5">
        <w:rPr>
          <w:rFonts w:ascii="Arial" w:hAnsi="Arial" w:cs="Arial"/>
          <w:sz w:val="20"/>
        </w:rPr>
        <w:t xml:space="preserve"> to register to participate in an allocation</w:t>
      </w:r>
      <w:r>
        <w:rPr>
          <w:rFonts w:ascii="Arial" w:hAnsi="Arial" w:cs="Arial"/>
          <w:sz w:val="20"/>
        </w:rPr>
        <w:t>;</w:t>
      </w:r>
    </w:p>
    <w:p w14:paraId="49EA566F" w14:textId="05C850E4" w:rsidR="00B156E8" w:rsidRDefault="00B156E8" w:rsidP="00B156E8">
      <w:pPr>
        <w:pStyle w:val="BodyText"/>
        <w:numPr>
          <w:ilvl w:val="0"/>
          <w:numId w:val="1"/>
        </w:numPr>
        <w:spacing w:before="120" w:line="260" w:lineRule="atLeast"/>
        <w:jc w:val="both"/>
        <w:rPr>
          <w:rFonts w:ascii="Arial" w:hAnsi="Arial" w:cs="Arial"/>
          <w:sz w:val="20"/>
        </w:rPr>
      </w:pPr>
      <w:r>
        <w:rPr>
          <w:rFonts w:ascii="Arial" w:hAnsi="Arial" w:cs="Arial"/>
          <w:sz w:val="20"/>
        </w:rPr>
        <w:t xml:space="preserve">Each person wishing to participate in the allocation lodges an application </w:t>
      </w:r>
      <w:r w:rsidR="00C456D5">
        <w:rPr>
          <w:rFonts w:ascii="Arial" w:hAnsi="Arial" w:cs="Arial"/>
          <w:sz w:val="20"/>
        </w:rPr>
        <w:t xml:space="preserve">form </w:t>
      </w:r>
      <w:r>
        <w:rPr>
          <w:rFonts w:ascii="Arial" w:hAnsi="Arial" w:cs="Arial"/>
          <w:sz w:val="20"/>
        </w:rPr>
        <w:t>with the ACMA, including a proposed transmitter site and frequency for the intended service</w:t>
      </w:r>
      <w:r w:rsidR="00BA0575">
        <w:rPr>
          <w:rFonts w:ascii="Arial" w:hAnsi="Arial" w:cs="Arial"/>
          <w:sz w:val="20"/>
        </w:rPr>
        <w:t>, along with a Deed of Acknowledgement</w:t>
      </w:r>
      <w:r>
        <w:rPr>
          <w:rFonts w:ascii="Arial" w:hAnsi="Arial" w:cs="Arial"/>
          <w:sz w:val="20"/>
        </w:rPr>
        <w:t xml:space="preserve"> and an entry fee for each lot;</w:t>
      </w:r>
    </w:p>
    <w:p w14:paraId="3E02C5ED" w14:textId="0A7F34A4" w:rsidR="00B156E8" w:rsidRDefault="00B156E8" w:rsidP="00B156E8">
      <w:pPr>
        <w:pStyle w:val="BodyText"/>
        <w:numPr>
          <w:ilvl w:val="0"/>
          <w:numId w:val="1"/>
        </w:numPr>
        <w:spacing w:before="120" w:line="260" w:lineRule="atLeast"/>
        <w:jc w:val="both"/>
        <w:rPr>
          <w:rFonts w:ascii="Arial" w:hAnsi="Arial" w:cs="Arial"/>
          <w:sz w:val="20"/>
        </w:rPr>
      </w:pPr>
      <w:r>
        <w:rPr>
          <w:rFonts w:ascii="Arial" w:hAnsi="Arial" w:cs="Arial"/>
          <w:sz w:val="20"/>
        </w:rPr>
        <w:t xml:space="preserve">The ACMA considers each nominated transmitter site and frequency, and decides whether each nominated site and frequency is consistent with the </w:t>
      </w:r>
      <w:r w:rsidR="00BA0575">
        <w:rPr>
          <w:rFonts w:ascii="Arial" w:hAnsi="Arial" w:cs="Arial"/>
          <w:sz w:val="20"/>
        </w:rPr>
        <w:t xml:space="preserve">ACMA’s </w:t>
      </w:r>
      <w:r>
        <w:rPr>
          <w:rFonts w:ascii="Arial" w:hAnsi="Arial" w:cs="Arial"/>
          <w:sz w:val="20"/>
        </w:rPr>
        <w:t>planning model</w:t>
      </w:r>
      <w:r w:rsidR="00BA0575">
        <w:rPr>
          <w:rFonts w:ascii="Arial" w:hAnsi="Arial" w:cs="Arial"/>
          <w:sz w:val="20"/>
        </w:rPr>
        <w:t xml:space="preserve"> on the operation of LPON services</w:t>
      </w:r>
      <w:r>
        <w:rPr>
          <w:rFonts w:ascii="Arial" w:hAnsi="Arial" w:cs="Arial"/>
          <w:sz w:val="20"/>
        </w:rPr>
        <w:t>, as if each applicant were the only applicant for that site and frequency;</w:t>
      </w:r>
    </w:p>
    <w:p w14:paraId="0B6FFAA1" w14:textId="77777777" w:rsidR="00B156E8" w:rsidRDefault="00B156E8" w:rsidP="00B156E8">
      <w:pPr>
        <w:pStyle w:val="BodyText"/>
        <w:numPr>
          <w:ilvl w:val="0"/>
          <w:numId w:val="1"/>
        </w:numPr>
        <w:spacing w:before="120" w:line="260" w:lineRule="atLeast"/>
        <w:jc w:val="both"/>
        <w:rPr>
          <w:rFonts w:ascii="Arial" w:hAnsi="Arial" w:cs="Arial"/>
          <w:sz w:val="20"/>
        </w:rPr>
      </w:pPr>
      <w:r>
        <w:rPr>
          <w:rFonts w:ascii="Arial" w:hAnsi="Arial" w:cs="Arial"/>
          <w:sz w:val="20"/>
        </w:rPr>
        <w:t>The ACMA assigns a lot number for each application that it decides is consistent with the planning model</w:t>
      </w:r>
      <w:r w:rsidR="00EE27EA">
        <w:rPr>
          <w:rFonts w:ascii="Arial" w:hAnsi="Arial" w:cs="Arial"/>
          <w:sz w:val="20"/>
        </w:rPr>
        <w:t xml:space="preserve">, assigning the same lot number </w:t>
      </w:r>
      <w:r w:rsidR="003550E2">
        <w:rPr>
          <w:rFonts w:ascii="Arial" w:hAnsi="Arial" w:cs="Arial"/>
          <w:sz w:val="20"/>
        </w:rPr>
        <w:t>for applications that</w:t>
      </w:r>
      <w:r w:rsidR="00EE27EA">
        <w:rPr>
          <w:rFonts w:ascii="Arial" w:hAnsi="Arial" w:cs="Arial"/>
          <w:sz w:val="20"/>
        </w:rPr>
        <w:t xml:space="preserve"> nominate the same frequency for transmitter sites that are within the minimum separation distances specified in the planning model</w:t>
      </w:r>
      <w:r>
        <w:rPr>
          <w:rFonts w:ascii="Arial" w:hAnsi="Arial" w:cs="Arial"/>
          <w:sz w:val="20"/>
        </w:rPr>
        <w:t>;</w:t>
      </w:r>
    </w:p>
    <w:p w14:paraId="61EEAAAF" w14:textId="77777777" w:rsidR="00537B56" w:rsidRDefault="00F55E2F" w:rsidP="00B156E8">
      <w:pPr>
        <w:pStyle w:val="BodyText"/>
        <w:numPr>
          <w:ilvl w:val="0"/>
          <w:numId w:val="1"/>
        </w:numPr>
        <w:spacing w:before="120" w:line="260" w:lineRule="atLeast"/>
        <w:jc w:val="both"/>
        <w:rPr>
          <w:rFonts w:ascii="Arial" w:hAnsi="Arial" w:cs="Arial"/>
          <w:sz w:val="20"/>
        </w:rPr>
      </w:pPr>
      <w:r>
        <w:rPr>
          <w:rFonts w:ascii="Arial" w:hAnsi="Arial" w:cs="Arial"/>
          <w:sz w:val="20"/>
        </w:rPr>
        <w:t>The ACMA holds an auction for the allocation of lots for which there is more than one applicant;</w:t>
      </w:r>
    </w:p>
    <w:p w14:paraId="1C16DE42" w14:textId="0C19A724" w:rsidR="00F55E2F" w:rsidRDefault="00F55E2F" w:rsidP="00F55E2F">
      <w:pPr>
        <w:pStyle w:val="BodyText"/>
        <w:numPr>
          <w:ilvl w:val="1"/>
          <w:numId w:val="1"/>
        </w:numPr>
        <w:spacing w:before="120" w:line="260" w:lineRule="atLeast"/>
        <w:jc w:val="both"/>
        <w:rPr>
          <w:rFonts w:ascii="Arial" w:hAnsi="Arial" w:cs="Arial"/>
          <w:sz w:val="20"/>
        </w:rPr>
      </w:pPr>
      <w:r>
        <w:rPr>
          <w:rFonts w:ascii="Arial" w:hAnsi="Arial" w:cs="Arial"/>
          <w:sz w:val="20"/>
        </w:rPr>
        <w:t xml:space="preserve">Registered applicants must pay an auction deposit for each lot </w:t>
      </w:r>
      <w:r w:rsidR="00E21F62">
        <w:rPr>
          <w:rFonts w:ascii="Arial" w:hAnsi="Arial" w:cs="Arial"/>
          <w:sz w:val="20"/>
        </w:rPr>
        <w:t xml:space="preserve">that includes the transmitter site and frequency that </w:t>
      </w:r>
      <w:r w:rsidR="00BA0575">
        <w:rPr>
          <w:rFonts w:ascii="Arial" w:hAnsi="Arial" w:cs="Arial"/>
          <w:sz w:val="20"/>
        </w:rPr>
        <w:t>it</w:t>
      </w:r>
      <w:r w:rsidR="00E21F62">
        <w:rPr>
          <w:rFonts w:ascii="Arial" w:hAnsi="Arial" w:cs="Arial"/>
          <w:sz w:val="20"/>
        </w:rPr>
        <w:t xml:space="preserve"> nominated, and on which </w:t>
      </w:r>
      <w:r w:rsidR="00BA0575">
        <w:rPr>
          <w:rFonts w:ascii="Arial" w:hAnsi="Arial" w:cs="Arial"/>
          <w:sz w:val="20"/>
        </w:rPr>
        <w:t>it</w:t>
      </w:r>
      <w:r w:rsidR="00E21F62">
        <w:rPr>
          <w:rFonts w:ascii="Arial" w:hAnsi="Arial" w:cs="Arial"/>
          <w:sz w:val="20"/>
        </w:rPr>
        <w:t xml:space="preserve"> intend</w:t>
      </w:r>
      <w:r w:rsidR="00BA0575">
        <w:rPr>
          <w:rFonts w:ascii="Arial" w:hAnsi="Arial" w:cs="Arial"/>
          <w:sz w:val="20"/>
        </w:rPr>
        <w:t>s</w:t>
      </w:r>
      <w:r w:rsidR="00E21F62">
        <w:rPr>
          <w:rFonts w:ascii="Arial" w:hAnsi="Arial" w:cs="Arial"/>
          <w:sz w:val="20"/>
        </w:rPr>
        <w:t xml:space="preserve"> to bid;</w:t>
      </w:r>
    </w:p>
    <w:p w14:paraId="345945EC" w14:textId="4F2DD8FC" w:rsidR="00E21F62" w:rsidRDefault="00237BD6" w:rsidP="00F55E2F">
      <w:pPr>
        <w:pStyle w:val="BodyText"/>
        <w:numPr>
          <w:ilvl w:val="1"/>
          <w:numId w:val="1"/>
        </w:numPr>
        <w:spacing w:before="120" w:line="260" w:lineRule="atLeast"/>
        <w:jc w:val="both"/>
        <w:rPr>
          <w:rFonts w:ascii="Arial" w:hAnsi="Arial" w:cs="Arial"/>
          <w:sz w:val="20"/>
        </w:rPr>
      </w:pPr>
      <w:r>
        <w:rPr>
          <w:rFonts w:ascii="Arial" w:hAnsi="Arial" w:cs="Arial"/>
          <w:sz w:val="20"/>
        </w:rPr>
        <w:t>The auction is conducted in accordance with the procedures set out in the Determination</w:t>
      </w:r>
      <w:r w:rsidR="007270A5">
        <w:rPr>
          <w:rFonts w:ascii="Arial" w:hAnsi="Arial" w:cs="Arial"/>
          <w:sz w:val="20"/>
        </w:rPr>
        <w:t>;</w:t>
      </w:r>
    </w:p>
    <w:p w14:paraId="7753B193" w14:textId="6129FC8C" w:rsidR="00237BD6" w:rsidRDefault="007270A5" w:rsidP="007270A5">
      <w:pPr>
        <w:pStyle w:val="BodyText"/>
        <w:numPr>
          <w:ilvl w:val="1"/>
          <w:numId w:val="1"/>
        </w:numPr>
        <w:spacing w:before="120" w:line="260" w:lineRule="atLeast"/>
        <w:jc w:val="both"/>
        <w:rPr>
          <w:rFonts w:ascii="Arial" w:hAnsi="Arial" w:cs="Arial"/>
          <w:sz w:val="20"/>
        </w:rPr>
      </w:pPr>
      <w:r>
        <w:rPr>
          <w:rFonts w:ascii="Arial" w:hAnsi="Arial" w:cs="Arial"/>
          <w:sz w:val="20"/>
        </w:rPr>
        <w:t xml:space="preserve">The ACMA </w:t>
      </w:r>
      <w:r w:rsidR="00237BD6">
        <w:rPr>
          <w:rFonts w:ascii="Arial" w:hAnsi="Arial" w:cs="Arial"/>
          <w:sz w:val="20"/>
        </w:rPr>
        <w:t xml:space="preserve">allocates lots to the successful applicants once </w:t>
      </w:r>
      <w:r w:rsidR="00AB4037">
        <w:rPr>
          <w:rFonts w:ascii="Arial" w:hAnsi="Arial" w:cs="Arial"/>
          <w:sz w:val="20"/>
        </w:rPr>
        <w:t xml:space="preserve">those </w:t>
      </w:r>
      <w:r w:rsidR="00237BD6">
        <w:rPr>
          <w:rFonts w:ascii="Arial" w:hAnsi="Arial" w:cs="Arial"/>
          <w:sz w:val="20"/>
        </w:rPr>
        <w:t>applica</w:t>
      </w:r>
      <w:r w:rsidR="0050376C">
        <w:rPr>
          <w:rFonts w:ascii="Arial" w:hAnsi="Arial" w:cs="Arial"/>
          <w:sz w:val="20"/>
        </w:rPr>
        <w:t>nts are identified and verified;</w:t>
      </w:r>
    </w:p>
    <w:p w14:paraId="5FDC2E32" w14:textId="2F223CCC" w:rsidR="00F727C4" w:rsidRDefault="00237BD6" w:rsidP="007270A5">
      <w:pPr>
        <w:pStyle w:val="BodyText"/>
        <w:numPr>
          <w:ilvl w:val="1"/>
          <w:numId w:val="1"/>
        </w:numPr>
        <w:spacing w:before="120" w:line="260" w:lineRule="atLeast"/>
        <w:jc w:val="both"/>
        <w:rPr>
          <w:rFonts w:ascii="Arial" w:hAnsi="Arial" w:cs="Arial"/>
          <w:sz w:val="20"/>
        </w:rPr>
      </w:pPr>
      <w:r>
        <w:rPr>
          <w:rFonts w:ascii="Arial" w:hAnsi="Arial" w:cs="Arial"/>
          <w:sz w:val="20"/>
        </w:rPr>
        <w:t xml:space="preserve">The ACMA </w:t>
      </w:r>
      <w:r w:rsidR="007270A5">
        <w:rPr>
          <w:rFonts w:ascii="Arial" w:hAnsi="Arial" w:cs="Arial"/>
          <w:sz w:val="20"/>
        </w:rPr>
        <w:t xml:space="preserve">issues transmitter licences to </w:t>
      </w:r>
      <w:r>
        <w:rPr>
          <w:rFonts w:ascii="Arial" w:hAnsi="Arial" w:cs="Arial"/>
          <w:sz w:val="20"/>
        </w:rPr>
        <w:t xml:space="preserve">successful </w:t>
      </w:r>
      <w:r w:rsidR="00326B6C">
        <w:rPr>
          <w:rFonts w:ascii="Arial" w:hAnsi="Arial" w:cs="Arial"/>
          <w:sz w:val="20"/>
        </w:rPr>
        <w:t>appli</w:t>
      </w:r>
      <w:r w:rsidR="00D334D1">
        <w:rPr>
          <w:rFonts w:ascii="Arial" w:hAnsi="Arial" w:cs="Arial"/>
          <w:sz w:val="20"/>
        </w:rPr>
        <w:t>cant</w:t>
      </w:r>
      <w:r w:rsidR="007270A5">
        <w:rPr>
          <w:rFonts w:ascii="Arial" w:hAnsi="Arial" w:cs="Arial"/>
          <w:sz w:val="20"/>
        </w:rPr>
        <w:t xml:space="preserve">s </w:t>
      </w:r>
      <w:r>
        <w:rPr>
          <w:rFonts w:ascii="Arial" w:hAnsi="Arial" w:cs="Arial"/>
          <w:sz w:val="20"/>
        </w:rPr>
        <w:t>if the successful applicant pays the balance of a bid price, applies for a licence under section 99 of the Act and pays</w:t>
      </w:r>
      <w:r w:rsidR="00894161">
        <w:rPr>
          <w:rFonts w:ascii="Arial" w:hAnsi="Arial" w:cs="Arial"/>
          <w:sz w:val="20"/>
        </w:rPr>
        <w:t xml:space="preserve"> the applicable transmitter licence tax.</w:t>
      </w:r>
    </w:p>
    <w:p w14:paraId="1CE52E99" w14:textId="22A42D08" w:rsidR="0044311E" w:rsidRDefault="007270A5" w:rsidP="0044311E">
      <w:pPr>
        <w:pStyle w:val="BodyText"/>
        <w:numPr>
          <w:ilvl w:val="0"/>
          <w:numId w:val="1"/>
        </w:numPr>
        <w:spacing w:before="120" w:line="260" w:lineRule="atLeast"/>
        <w:jc w:val="both"/>
        <w:rPr>
          <w:rFonts w:ascii="Arial" w:hAnsi="Arial" w:cs="Arial"/>
          <w:sz w:val="20"/>
        </w:rPr>
      </w:pPr>
      <w:r>
        <w:rPr>
          <w:rFonts w:ascii="Arial" w:hAnsi="Arial" w:cs="Arial"/>
          <w:sz w:val="20"/>
        </w:rPr>
        <w:t xml:space="preserve">The ACMA issues licences </w:t>
      </w:r>
      <w:r w:rsidR="008C0E59">
        <w:rPr>
          <w:rFonts w:ascii="Arial" w:hAnsi="Arial" w:cs="Arial"/>
          <w:sz w:val="20"/>
        </w:rPr>
        <w:t>to</w:t>
      </w:r>
      <w:r>
        <w:rPr>
          <w:rFonts w:ascii="Arial" w:hAnsi="Arial" w:cs="Arial"/>
          <w:sz w:val="20"/>
        </w:rPr>
        <w:t xml:space="preserve"> registered applicants for lots for which </w:t>
      </w:r>
      <w:r w:rsidR="00237BD6">
        <w:rPr>
          <w:rFonts w:ascii="Arial" w:hAnsi="Arial" w:cs="Arial"/>
          <w:sz w:val="20"/>
        </w:rPr>
        <w:t xml:space="preserve">the applicant is </w:t>
      </w:r>
      <w:r>
        <w:rPr>
          <w:rFonts w:ascii="Arial" w:hAnsi="Arial" w:cs="Arial"/>
          <w:sz w:val="20"/>
        </w:rPr>
        <w:t>the only applicant</w:t>
      </w:r>
      <w:r w:rsidR="00237BD6">
        <w:rPr>
          <w:rFonts w:ascii="Arial" w:hAnsi="Arial" w:cs="Arial"/>
          <w:sz w:val="20"/>
        </w:rPr>
        <w:t>,</w:t>
      </w:r>
      <w:r>
        <w:rPr>
          <w:rFonts w:ascii="Arial" w:hAnsi="Arial" w:cs="Arial"/>
          <w:sz w:val="20"/>
        </w:rPr>
        <w:t xml:space="preserve"> provided that they </w:t>
      </w:r>
      <w:r w:rsidR="0044311E">
        <w:rPr>
          <w:rFonts w:ascii="Arial" w:hAnsi="Arial" w:cs="Arial"/>
          <w:sz w:val="20"/>
        </w:rPr>
        <w:t>pay the applicable transmitter licence tax, pay the balance of the bid price</w:t>
      </w:r>
      <w:r w:rsidR="00482225">
        <w:rPr>
          <w:rFonts w:ascii="Arial" w:hAnsi="Arial" w:cs="Arial"/>
          <w:sz w:val="20"/>
        </w:rPr>
        <w:t>,</w:t>
      </w:r>
      <w:r w:rsidR="0044311E">
        <w:rPr>
          <w:rFonts w:ascii="Arial" w:hAnsi="Arial" w:cs="Arial"/>
          <w:sz w:val="20"/>
        </w:rPr>
        <w:t xml:space="preserve"> and appl</w:t>
      </w:r>
      <w:r w:rsidR="00AB4037">
        <w:rPr>
          <w:rFonts w:ascii="Arial" w:hAnsi="Arial" w:cs="Arial"/>
          <w:sz w:val="20"/>
        </w:rPr>
        <w:t>y</w:t>
      </w:r>
      <w:r w:rsidR="0044311E">
        <w:rPr>
          <w:rFonts w:ascii="Arial" w:hAnsi="Arial" w:cs="Arial"/>
          <w:sz w:val="20"/>
        </w:rPr>
        <w:t xml:space="preserve"> for the licence </w:t>
      </w:r>
      <w:r w:rsidR="00237BD6">
        <w:rPr>
          <w:rFonts w:ascii="Arial" w:hAnsi="Arial" w:cs="Arial"/>
          <w:sz w:val="20"/>
        </w:rPr>
        <w:t xml:space="preserve">under section 99 of the Act </w:t>
      </w:r>
      <w:r w:rsidR="0044311E">
        <w:rPr>
          <w:rFonts w:ascii="Arial" w:hAnsi="Arial" w:cs="Arial"/>
          <w:sz w:val="20"/>
        </w:rPr>
        <w:t>within 10 business days of notification by the ACMA.</w:t>
      </w:r>
    </w:p>
    <w:p w14:paraId="1F3975C8" w14:textId="77777777" w:rsidR="00642E9F" w:rsidRDefault="001E5C6B" w:rsidP="0050376C">
      <w:pPr>
        <w:pStyle w:val="BodyText"/>
        <w:keepNext/>
        <w:spacing w:before="120" w:line="260" w:lineRule="atLeast"/>
        <w:jc w:val="both"/>
        <w:rPr>
          <w:rStyle w:val="CharSectno"/>
          <w:rFonts w:ascii="Arial" w:hAnsi="Arial" w:cs="Arial"/>
          <w:b/>
          <w:sz w:val="20"/>
        </w:rPr>
      </w:pPr>
      <w:r>
        <w:rPr>
          <w:rStyle w:val="CharSectno"/>
          <w:rFonts w:ascii="Arial" w:hAnsi="Arial" w:cs="Arial"/>
          <w:b/>
          <w:sz w:val="20"/>
        </w:rPr>
        <w:lastRenderedPageBreak/>
        <w:t>Consultation</w:t>
      </w:r>
    </w:p>
    <w:p w14:paraId="7A683718" w14:textId="77777777" w:rsidR="001E5C6B" w:rsidRPr="00EE3E96" w:rsidRDefault="008D5FA9" w:rsidP="0050376C">
      <w:pPr>
        <w:pStyle w:val="ACMABodyText"/>
        <w:keepNext/>
      </w:pPr>
      <w:r w:rsidRPr="00EE3E96">
        <w:t>Subsection 17(1) of the LIA requires that, before the ACMA makes a legislative instrument, the ACMA must be satisfied that any consultation that it considers is appropriate and reasonably practicable to undertake has been undertaken.</w:t>
      </w:r>
    </w:p>
    <w:p w14:paraId="0B1691D4" w14:textId="040FADEF" w:rsidR="00F727C4" w:rsidRDefault="003270B4" w:rsidP="00EE3E96">
      <w:pPr>
        <w:pStyle w:val="ACMABodyText"/>
      </w:pPr>
      <w:r>
        <w:t>Accordingly</w:t>
      </w:r>
      <w:r w:rsidR="00AB4037">
        <w:t>,</w:t>
      </w:r>
      <w:r>
        <w:t xml:space="preserve"> </w:t>
      </w:r>
      <w:r w:rsidR="001A5590" w:rsidRPr="001A5590">
        <w:t xml:space="preserve">the ACMA </w:t>
      </w:r>
      <w:r>
        <w:t xml:space="preserve">published a consultation paper and draft of the Determination on its website and invited submissions from </w:t>
      </w:r>
      <w:r w:rsidR="006B51ED">
        <w:t>11 March to 22 April 2015</w:t>
      </w:r>
      <w:r w:rsidR="00DE4F67">
        <w:t xml:space="preserve">. The consultation </w:t>
      </w:r>
      <w:r w:rsidR="001A5590" w:rsidRPr="001A5590">
        <w:t xml:space="preserve">paper explained the </w:t>
      </w:r>
      <w:proofErr w:type="spellStart"/>
      <w:r w:rsidR="001A5590" w:rsidRPr="001A5590">
        <w:t>sunsetting</w:t>
      </w:r>
      <w:proofErr w:type="spellEnd"/>
      <w:r w:rsidR="001A5590" w:rsidRPr="001A5590">
        <w:t xml:space="preserve"> process and the ACMA’s preliminary view </w:t>
      </w:r>
      <w:r w:rsidR="00DA76E5">
        <w:t>that the 2001 Instrument</w:t>
      </w:r>
      <w:r w:rsidR="00DA76E5" w:rsidRPr="00DA76E5">
        <w:t xml:space="preserve"> </w:t>
      </w:r>
      <w:r w:rsidR="00482225">
        <w:t>was</w:t>
      </w:r>
      <w:r w:rsidR="00DA76E5" w:rsidRPr="00DA76E5">
        <w:t xml:space="preserve"> operating effectively and efficiently and, as such, continues to form a necessary and useful part of the legislative framework. </w:t>
      </w:r>
      <w:r w:rsidR="001A5590" w:rsidRPr="001A5590">
        <w:t xml:space="preserve">The ACMA received one submission in response to the consultation paper </w:t>
      </w:r>
      <w:r w:rsidR="008D0047">
        <w:t>that supported the remaking of the 2001 Instrument and did not suggest any changes.</w:t>
      </w:r>
    </w:p>
    <w:p w14:paraId="7BE51A19" w14:textId="77777777" w:rsidR="008D0047" w:rsidRDefault="00272536" w:rsidP="00B8014D">
      <w:pPr>
        <w:pStyle w:val="BodyText"/>
        <w:spacing w:before="120" w:line="260" w:lineRule="atLeast"/>
        <w:ind w:left="60"/>
        <w:rPr>
          <w:rFonts w:ascii="Arial" w:hAnsi="Arial" w:cs="Arial"/>
          <w:b/>
          <w:sz w:val="20"/>
        </w:rPr>
      </w:pPr>
      <w:r>
        <w:rPr>
          <w:rFonts w:ascii="Arial" w:hAnsi="Arial" w:cs="Arial"/>
          <w:b/>
          <w:sz w:val="20"/>
        </w:rPr>
        <w:t xml:space="preserve">Detailed Description of the Determination </w:t>
      </w:r>
    </w:p>
    <w:p w14:paraId="1F27381B" w14:textId="77777777" w:rsidR="00272536" w:rsidRDefault="00930E0E" w:rsidP="00B8014D">
      <w:pPr>
        <w:pStyle w:val="BodyText"/>
        <w:spacing w:before="120" w:line="260" w:lineRule="atLeast"/>
        <w:ind w:left="60"/>
        <w:rPr>
          <w:rFonts w:ascii="Arial" w:hAnsi="Arial" w:cs="Arial"/>
          <w:b/>
          <w:sz w:val="20"/>
        </w:rPr>
      </w:pPr>
      <w:r>
        <w:rPr>
          <w:rFonts w:ascii="Arial" w:hAnsi="Arial" w:cs="Arial"/>
          <w:sz w:val="20"/>
        </w:rPr>
        <w:t xml:space="preserve">Details of the Determination are set out in </w:t>
      </w:r>
      <w:r w:rsidR="00D57E28">
        <w:rPr>
          <w:rFonts w:ascii="Arial" w:hAnsi="Arial" w:cs="Arial"/>
          <w:b/>
          <w:sz w:val="20"/>
        </w:rPr>
        <w:t>Attachment A.</w:t>
      </w:r>
    </w:p>
    <w:p w14:paraId="3EA02393" w14:textId="7CBC89A1" w:rsidR="00D57E28" w:rsidRDefault="008C2747" w:rsidP="00B8014D">
      <w:pPr>
        <w:pStyle w:val="BodyText"/>
        <w:spacing w:before="120" w:line="260" w:lineRule="atLeast"/>
        <w:ind w:left="60"/>
        <w:rPr>
          <w:rFonts w:ascii="Arial" w:hAnsi="Arial" w:cs="Arial"/>
          <w:b/>
          <w:sz w:val="20"/>
        </w:rPr>
      </w:pPr>
      <w:r>
        <w:rPr>
          <w:rFonts w:ascii="Arial" w:hAnsi="Arial" w:cs="Arial"/>
          <w:b/>
          <w:sz w:val="20"/>
        </w:rPr>
        <w:t>Documents incorporated in th</w:t>
      </w:r>
      <w:r w:rsidR="00AB4037">
        <w:rPr>
          <w:rFonts w:ascii="Arial" w:hAnsi="Arial" w:cs="Arial"/>
          <w:b/>
          <w:sz w:val="20"/>
        </w:rPr>
        <w:t>e</w:t>
      </w:r>
      <w:r>
        <w:rPr>
          <w:rFonts w:ascii="Arial" w:hAnsi="Arial" w:cs="Arial"/>
          <w:b/>
          <w:sz w:val="20"/>
        </w:rPr>
        <w:t xml:space="preserve"> Determination by Reference</w:t>
      </w:r>
    </w:p>
    <w:p w14:paraId="208187FC" w14:textId="67F8E04B" w:rsidR="008C2747" w:rsidRDefault="008C2747" w:rsidP="00B8014D">
      <w:pPr>
        <w:pStyle w:val="BodyText"/>
        <w:spacing w:before="120" w:line="260" w:lineRule="atLeast"/>
        <w:ind w:left="60"/>
        <w:rPr>
          <w:rFonts w:ascii="Arial" w:hAnsi="Arial" w:cs="Arial"/>
          <w:sz w:val="20"/>
        </w:rPr>
      </w:pPr>
      <w:r>
        <w:rPr>
          <w:rFonts w:ascii="Arial" w:hAnsi="Arial" w:cs="Arial"/>
          <w:sz w:val="20"/>
        </w:rPr>
        <w:t xml:space="preserve">The Determination incorporates by reference the following </w:t>
      </w:r>
      <w:r w:rsidR="0050376C">
        <w:rPr>
          <w:rFonts w:ascii="Arial" w:hAnsi="Arial" w:cs="Arial"/>
          <w:sz w:val="20"/>
        </w:rPr>
        <w:t>Acts, legislative inst</w:t>
      </w:r>
      <w:r w:rsidR="00022944">
        <w:rPr>
          <w:rFonts w:ascii="Arial" w:hAnsi="Arial" w:cs="Arial"/>
          <w:sz w:val="20"/>
        </w:rPr>
        <w:t>r</w:t>
      </w:r>
      <w:r w:rsidR="0050376C">
        <w:rPr>
          <w:rFonts w:ascii="Arial" w:hAnsi="Arial" w:cs="Arial"/>
          <w:sz w:val="20"/>
        </w:rPr>
        <w:t>u</w:t>
      </w:r>
      <w:r w:rsidR="00022944">
        <w:rPr>
          <w:rFonts w:ascii="Arial" w:hAnsi="Arial" w:cs="Arial"/>
          <w:sz w:val="20"/>
        </w:rPr>
        <w:t xml:space="preserve">ments and </w:t>
      </w:r>
      <w:r>
        <w:rPr>
          <w:rFonts w:ascii="Arial" w:hAnsi="Arial" w:cs="Arial"/>
          <w:sz w:val="20"/>
        </w:rPr>
        <w:t>documents or otherwise refers to them</w:t>
      </w:r>
      <w:r w:rsidR="003270B4">
        <w:rPr>
          <w:rFonts w:ascii="Arial" w:hAnsi="Arial" w:cs="Arial"/>
          <w:sz w:val="20"/>
        </w:rPr>
        <w:t>, as in force from time to time</w:t>
      </w:r>
      <w:r w:rsidR="00022944">
        <w:rPr>
          <w:rFonts w:ascii="Arial" w:hAnsi="Arial" w:cs="Arial"/>
          <w:sz w:val="20"/>
        </w:rPr>
        <w:t>, as permitted by sections 13 of the LIA, and section 314A of the Act</w:t>
      </w:r>
      <w:r w:rsidR="00AB4037">
        <w:rPr>
          <w:rFonts w:ascii="Arial" w:hAnsi="Arial" w:cs="Arial"/>
          <w:sz w:val="20"/>
        </w:rPr>
        <w:t>:</w:t>
      </w:r>
    </w:p>
    <w:p w14:paraId="05CA138C" w14:textId="77777777" w:rsidR="005F5E43" w:rsidRDefault="005F5E43" w:rsidP="005F5E43">
      <w:pPr>
        <w:pStyle w:val="BodyText"/>
        <w:numPr>
          <w:ilvl w:val="0"/>
          <w:numId w:val="2"/>
        </w:numPr>
        <w:spacing w:before="120" w:line="260" w:lineRule="atLeast"/>
        <w:rPr>
          <w:rFonts w:ascii="Arial" w:hAnsi="Arial" w:cs="Arial"/>
          <w:sz w:val="20"/>
        </w:rPr>
      </w:pPr>
      <w:r>
        <w:rPr>
          <w:rFonts w:ascii="Arial" w:hAnsi="Arial" w:cs="Arial"/>
          <w:sz w:val="20"/>
        </w:rPr>
        <w:t xml:space="preserve">ACMA information paper: </w:t>
      </w:r>
      <w:r>
        <w:rPr>
          <w:rFonts w:ascii="Arial" w:hAnsi="Arial" w:cs="Arial"/>
          <w:i/>
          <w:sz w:val="20"/>
        </w:rPr>
        <w:t xml:space="preserve">LPON Applicant Information Package </w:t>
      </w:r>
      <w:r>
        <w:rPr>
          <w:rFonts w:ascii="Arial" w:hAnsi="Arial" w:cs="Arial"/>
          <w:sz w:val="20"/>
        </w:rPr>
        <w:t xml:space="preserve">(available on the ACMA website: </w:t>
      </w:r>
      <w:r w:rsidRPr="00D96324">
        <w:rPr>
          <w:rFonts w:ascii="Arial" w:hAnsi="Arial" w:cs="Arial"/>
          <w:color w:val="2E74B5" w:themeColor="accent1" w:themeShade="BF"/>
          <w:sz w:val="20"/>
          <w:u w:val="single"/>
        </w:rPr>
        <w:t>http://</w:t>
      </w:r>
      <w:hyperlink r:id="rId13" w:history="1">
        <w:r w:rsidRPr="00D96324">
          <w:rPr>
            <w:rStyle w:val="Hyperlink"/>
            <w:rFonts w:ascii="Arial" w:hAnsi="Arial" w:cs="Arial"/>
            <w:color w:val="2E74B5" w:themeColor="accent1" w:themeShade="BF"/>
            <w:sz w:val="20"/>
          </w:rPr>
          <w:t>www.acma.gov.au</w:t>
        </w:r>
      </w:hyperlink>
      <w:r w:rsidRPr="00D96324">
        <w:rPr>
          <w:rFonts w:ascii="Arial" w:hAnsi="Arial" w:cs="Arial"/>
          <w:color w:val="2E74B5" w:themeColor="accent1" w:themeShade="BF"/>
          <w:sz w:val="20"/>
          <w:u w:val="single"/>
        </w:rPr>
        <w:t>/</w:t>
      </w:r>
      <w:r>
        <w:rPr>
          <w:rFonts w:ascii="Arial" w:hAnsi="Arial" w:cs="Arial"/>
          <w:sz w:val="20"/>
        </w:rPr>
        <w:t>)</w:t>
      </w:r>
    </w:p>
    <w:p w14:paraId="07DD5EA7" w14:textId="77777777" w:rsidR="005F5E43" w:rsidRDefault="005F5E43" w:rsidP="005F5E43">
      <w:pPr>
        <w:pStyle w:val="BodyText"/>
        <w:numPr>
          <w:ilvl w:val="0"/>
          <w:numId w:val="2"/>
        </w:numPr>
        <w:spacing w:before="120" w:line="260" w:lineRule="atLeast"/>
        <w:rPr>
          <w:rFonts w:ascii="Arial" w:hAnsi="Arial" w:cs="Arial"/>
          <w:sz w:val="20"/>
        </w:rPr>
      </w:pPr>
      <w:r>
        <w:rPr>
          <w:rFonts w:ascii="Arial" w:hAnsi="Arial" w:cs="Arial"/>
          <w:sz w:val="20"/>
        </w:rPr>
        <w:t xml:space="preserve">ACMA information paper: </w:t>
      </w:r>
      <w:r>
        <w:rPr>
          <w:rFonts w:ascii="Arial" w:hAnsi="Arial" w:cs="Arial"/>
          <w:i/>
          <w:sz w:val="20"/>
        </w:rPr>
        <w:t xml:space="preserve">Planning Model </w:t>
      </w:r>
      <w:r>
        <w:rPr>
          <w:rFonts w:ascii="Arial" w:hAnsi="Arial" w:cs="Arial"/>
          <w:sz w:val="20"/>
        </w:rPr>
        <w:t xml:space="preserve">(available on the ACMA website: </w:t>
      </w:r>
      <w:r w:rsidRPr="00D96324">
        <w:rPr>
          <w:rFonts w:ascii="Arial" w:hAnsi="Arial" w:cs="Arial"/>
          <w:color w:val="2E74B5" w:themeColor="accent1" w:themeShade="BF"/>
          <w:sz w:val="20"/>
          <w:u w:val="single"/>
        </w:rPr>
        <w:t>http://</w:t>
      </w:r>
      <w:hyperlink r:id="rId14" w:history="1">
        <w:r w:rsidRPr="00D96324">
          <w:rPr>
            <w:rStyle w:val="Hyperlink"/>
            <w:rFonts w:ascii="Arial" w:hAnsi="Arial" w:cs="Arial"/>
            <w:color w:val="2E74B5" w:themeColor="accent1" w:themeShade="BF"/>
            <w:sz w:val="20"/>
          </w:rPr>
          <w:t>www.acma.gov.au</w:t>
        </w:r>
      </w:hyperlink>
      <w:r w:rsidRPr="00D96324">
        <w:rPr>
          <w:rFonts w:ascii="Arial" w:hAnsi="Arial" w:cs="Arial"/>
          <w:color w:val="2E74B5" w:themeColor="accent1" w:themeShade="BF"/>
          <w:sz w:val="20"/>
          <w:u w:val="single"/>
        </w:rPr>
        <w:t>/</w:t>
      </w:r>
      <w:r>
        <w:rPr>
          <w:rFonts w:ascii="Arial" w:hAnsi="Arial" w:cs="Arial"/>
          <w:sz w:val="20"/>
        </w:rPr>
        <w:t>)</w:t>
      </w:r>
    </w:p>
    <w:p w14:paraId="4C3EDD6E" w14:textId="77777777" w:rsidR="005F5E43" w:rsidRPr="006450E4" w:rsidRDefault="005F5E43" w:rsidP="005F5E43">
      <w:pPr>
        <w:pStyle w:val="BodyText"/>
        <w:numPr>
          <w:ilvl w:val="0"/>
          <w:numId w:val="2"/>
        </w:numPr>
        <w:spacing w:before="120" w:line="260" w:lineRule="atLeast"/>
        <w:rPr>
          <w:rFonts w:ascii="Arial" w:hAnsi="Arial" w:cs="Arial"/>
          <w:sz w:val="20"/>
        </w:rPr>
      </w:pPr>
      <w:r>
        <w:rPr>
          <w:rFonts w:ascii="Arial" w:hAnsi="Arial" w:cs="Arial"/>
          <w:i/>
          <w:sz w:val="20"/>
        </w:rPr>
        <w:t>Broadcasting Services Act 1992</w:t>
      </w:r>
    </w:p>
    <w:p w14:paraId="244A9043" w14:textId="77777777" w:rsidR="00A640F1" w:rsidRPr="00A640F1" w:rsidRDefault="00A640F1" w:rsidP="00A640F1">
      <w:pPr>
        <w:pStyle w:val="BodyText"/>
        <w:numPr>
          <w:ilvl w:val="0"/>
          <w:numId w:val="2"/>
        </w:numPr>
        <w:spacing w:before="120" w:line="260" w:lineRule="atLeast"/>
        <w:rPr>
          <w:rFonts w:ascii="Arial" w:hAnsi="Arial" w:cs="Arial"/>
          <w:sz w:val="20"/>
        </w:rPr>
      </w:pPr>
      <w:proofErr w:type="spellStart"/>
      <w:r>
        <w:rPr>
          <w:rFonts w:ascii="Arial" w:hAnsi="Arial" w:cs="Arial"/>
          <w:i/>
          <w:sz w:val="20"/>
        </w:rPr>
        <w:t>Radiocommunications</w:t>
      </w:r>
      <w:proofErr w:type="spellEnd"/>
      <w:r>
        <w:rPr>
          <w:rFonts w:ascii="Arial" w:hAnsi="Arial" w:cs="Arial"/>
          <w:i/>
          <w:sz w:val="20"/>
        </w:rPr>
        <w:t xml:space="preserve"> Act 1992</w:t>
      </w:r>
    </w:p>
    <w:p w14:paraId="276D0422" w14:textId="77777777" w:rsidR="005F5E43" w:rsidRPr="007063AF" w:rsidRDefault="005F5E43" w:rsidP="005F5E43">
      <w:pPr>
        <w:pStyle w:val="BodyText"/>
        <w:numPr>
          <w:ilvl w:val="0"/>
          <w:numId w:val="2"/>
        </w:numPr>
        <w:spacing w:before="120" w:line="260" w:lineRule="atLeast"/>
        <w:rPr>
          <w:rFonts w:ascii="Arial" w:hAnsi="Arial" w:cs="Arial"/>
          <w:sz w:val="20"/>
        </w:rPr>
      </w:pPr>
      <w:r>
        <w:rPr>
          <w:rFonts w:ascii="Arial" w:hAnsi="Arial" w:cs="Arial"/>
          <w:i/>
          <w:sz w:val="20"/>
        </w:rPr>
        <w:t>Corporations Act 2001</w:t>
      </w:r>
    </w:p>
    <w:p w14:paraId="462F6DAC" w14:textId="77777777" w:rsidR="005F5E43" w:rsidRPr="007063AF" w:rsidRDefault="005F5E43" w:rsidP="005F5E43">
      <w:pPr>
        <w:pStyle w:val="BodyText"/>
        <w:numPr>
          <w:ilvl w:val="0"/>
          <w:numId w:val="2"/>
        </w:numPr>
        <w:spacing w:before="120" w:line="260" w:lineRule="atLeast"/>
        <w:rPr>
          <w:rFonts w:ascii="Arial" w:hAnsi="Arial" w:cs="Arial"/>
          <w:sz w:val="20"/>
        </w:rPr>
      </w:pPr>
      <w:proofErr w:type="spellStart"/>
      <w:r>
        <w:rPr>
          <w:rFonts w:ascii="Arial" w:hAnsi="Arial" w:cs="Arial"/>
          <w:i/>
          <w:sz w:val="20"/>
        </w:rPr>
        <w:t>Radiocommunications</w:t>
      </w:r>
      <w:proofErr w:type="spellEnd"/>
      <w:r>
        <w:rPr>
          <w:rFonts w:ascii="Arial" w:hAnsi="Arial" w:cs="Arial"/>
          <w:i/>
          <w:sz w:val="20"/>
        </w:rPr>
        <w:t xml:space="preserve"> (Interpretation) Determination 2015</w:t>
      </w:r>
    </w:p>
    <w:p w14:paraId="40AB7CC4" w14:textId="77777777" w:rsidR="005F5E43" w:rsidRPr="006450E4" w:rsidRDefault="005F5E43" w:rsidP="005F5E43">
      <w:pPr>
        <w:pStyle w:val="BodyText"/>
        <w:numPr>
          <w:ilvl w:val="0"/>
          <w:numId w:val="2"/>
        </w:numPr>
        <w:spacing w:before="120" w:line="260" w:lineRule="atLeast"/>
        <w:rPr>
          <w:rFonts w:ascii="Arial" w:hAnsi="Arial" w:cs="Arial"/>
          <w:sz w:val="20"/>
        </w:rPr>
      </w:pPr>
      <w:proofErr w:type="spellStart"/>
      <w:r>
        <w:rPr>
          <w:rFonts w:ascii="Arial" w:hAnsi="Arial" w:cs="Arial"/>
          <w:i/>
          <w:sz w:val="20"/>
        </w:rPr>
        <w:t>Radiocommunications</w:t>
      </w:r>
      <w:proofErr w:type="spellEnd"/>
      <w:r>
        <w:rPr>
          <w:rFonts w:ascii="Arial" w:hAnsi="Arial" w:cs="Arial"/>
          <w:i/>
          <w:sz w:val="20"/>
        </w:rPr>
        <w:t xml:space="preserve"> Licence Conditions (Apparatus Licence) Determination 2015</w:t>
      </w:r>
    </w:p>
    <w:p w14:paraId="26CBFC3F" w14:textId="0A18A998" w:rsidR="00D553E8" w:rsidRPr="007063AF" w:rsidRDefault="007063AF" w:rsidP="00A640F1">
      <w:pPr>
        <w:pStyle w:val="BodyText"/>
        <w:numPr>
          <w:ilvl w:val="0"/>
          <w:numId w:val="2"/>
        </w:numPr>
        <w:spacing w:before="120" w:line="260" w:lineRule="atLeast"/>
        <w:rPr>
          <w:rFonts w:ascii="Arial" w:hAnsi="Arial" w:cs="Arial"/>
          <w:sz w:val="20"/>
        </w:rPr>
      </w:pPr>
      <w:proofErr w:type="spellStart"/>
      <w:r>
        <w:rPr>
          <w:rFonts w:ascii="Arial" w:hAnsi="Arial" w:cs="Arial"/>
          <w:i/>
          <w:sz w:val="20"/>
        </w:rPr>
        <w:t>Radiocommunications</w:t>
      </w:r>
      <w:proofErr w:type="spellEnd"/>
      <w:r>
        <w:rPr>
          <w:rFonts w:ascii="Arial" w:hAnsi="Arial" w:cs="Arial"/>
          <w:i/>
          <w:sz w:val="20"/>
        </w:rPr>
        <w:t xml:space="preserve"> Licence Conditions (Broadcasting Lic</w:t>
      </w:r>
      <w:r w:rsidR="00170257">
        <w:rPr>
          <w:rFonts w:ascii="Arial" w:hAnsi="Arial" w:cs="Arial"/>
          <w:i/>
          <w:sz w:val="20"/>
        </w:rPr>
        <w:t>ence) Determination No.1 of 1998</w:t>
      </w:r>
      <w:r w:rsidR="00170257">
        <w:rPr>
          <w:rFonts w:ascii="Arial" w:hAnsi="Arial" w:cs="Arial"/>
          <w:sz w:val="20"/>
        </w:rPr>
        <w:t>, as in force from time to time</w:t>
      </w:r>
      <w:r w:rsidR="00AB4037">
        <w:rPr>
          <w:rFonts w:ascii="Arial" w:hAnsi="Arial" w:cs="Arial"/>
          <w:sz w:val="20"/>
        </w:rPr>
        <w:t>.</w:t>
      </w:r>
    </w:p>
    <w:p w14:paraId="00CF094B" w14:textId="77777777" w:rsidR="007063AF" w:rsidRPr="00CD7655" w:rsidRDefault="007063AF" w:rsidP="00A640F1">
      <w:pPr>
        <w:pStyle w:val="BodyText"/>
        <w:numPr>
          <w:ilvl w:val="0"/>
          <w:numId w:val="2"/>
        </w:numPr>
        <w:spacing w:before="120" w:line="260" w:lineRule="atLeast"/>
        <w:rPr>
          <w:rFonts w:ascii="Arial" w:hAnsi="Arial" w:cs="Arial"/>
          <w:sz w:val="20"/>
        </w:rPr>
      </w:pPr>
      <w:proofErr w:type="spellStart"/>
      <w:r>
        <w:rPr>
          <w:rFonts w:ascii="Arial" w:hAnsi="Arial" w:cs="Arial"/>
          <w:i/>
          <w:sz w:val="20"/>
        </w:rPr>
        <w:t>Radiocommunications</w:t>
      </w:r>
      <w:proofErr w:type="spellEnd"/>
      <w:r>
        <w:rPr>
          <w:rFonts w:ascii="Arial" w:hAnsi="Arial" w:cs="Arial"/>
          <w:i/>
          <w:sz w:val="20"/>
        </w:rPr>
        <w:t xml:space="preserve"> Regulations 1993</w:t>
      </w:r>
    </w:p>
    <w:p w14:paraId="319CE3AD" w14:textId="0EB8417C" w:rsidR="00DD3167" w:rsidRPr="00E73E0F" w:rsidRDefault="00DA6511" w:rsidP="00A640F1">
      <w:pPr>
        <w:pStyle w:val="BodyText"/>
        <w:numPr>
          <w:ilvl w:val="0"/>
          <w:numId w:val="2"/>
        </w:numPr>
        <w:spacing w:before="120" w:line="260" w:lineRule="atLeast"/>
        <w:rPr>
          <w:rFonts w:ascii="Arial" w:hAnsi="Arial" w:cs="Arial"/>
          <w:sz w:val="20"/>
        </w:rPr>
      </w:pPr>
      <w:proofErr w:type="spellStart"/>
      <w:r>
        <w:rPr>
          <w:rFonts w:ascii="Arial" w:hAnsi="Arial" w:cs="Arial"/>
          <w:i/>
          <w:sz w:val="20"/>
        </w:rPr>
        <w:t>Radiocommunications</w:t>
      </w:r>
      <w:proofErr w:type="spellEnd"/>
      <w:r>
        <w:rPr>
          <w:rFonts w:ascii="Arial" w:hAnsi="Arial" w:cs="Arial"/>
          <w:i/>
          <w:sz w:val="20"/>
        </w:rPr>
        <w:t xml:space="preserve"> (Transmitter Licence Tax) Act 1983</w:t>
      </w:r>
      <w:r w:rsidR="0050376C">
        <w:rPr>
          <w:rFonts w:ascii="Arial" w:hAnsi="Arial" w:cs="Arial"/>
          <w:i/>
          <w:sz w:val="20"/>
        </w:rPr>
        <w:t>.</w:t>
      </w:r>
    </w:p>
    <w:p w14:paraId="703F4C17" w14:textId="77777777" w:rsidR="006450E4" w:rsidRPr="00081F89" w:rsidRDefault="00081F89" w:rsidP="00081F89">
      <w:pPr>
        <w:pStyle w:val="BodyText"/>
        <w:spacing w:before="120" w:line="260" w:lineRule="atLeast"/>
        <w:rPr>
          <w:rFonts w:ascii="Arial" w:hAnsi="Arial" w:cs="Arial"/>
          <w:sz w:val="20"/>
        </w:rPr>
      </w:pPr>
      <w:r>
        <w:rPr>
          <w:rFonts w:ascii="Arial" w:hAnsi="Arial" w:cs="Arial"/>
          <w:sz w:val="20"/>
        </w:rPr>
        <w:t xml:space="preserve">Acts and legislative instruments referenced in the Determination can be found on the Australian Government’s </w:t>
      </w:r>
      <w:proofErr w:type="spellStart"/>
      <w:r>
        <w:rPr>
          <w:rFonts w:ascii="Arial" w:hAnsi="Arial" w:cs="Arial"/>
          <w:sz w:val="20"/>
        </w:rPr>
        <w:t>ComLaw</w:t>
      </w:r>
      <w:proofErr w:type="spellEnd"/>
      <w:r>
        <w:rPr>
          <w:rFonts w:ascii="Arial" w:hAnsi="Arial" w:cs="Arial"/>
          <w:sz w:val="20"/>
        </w:rPr>
        <w:t xml:space="preserve"> website (</w:t>
      </w:r>
      <w:r w:rsidRPr="00D96324">
        <w:rPr>
          <w:rFonts w:ascii="Arial" w:hAnsi="Arial" w:cs="Arial"/>
          <w:color w:val="2E74B5" w:themeColor="accent1" w:themeShade="BF"/>
          <w:sz w:val="20"/>
          <w:u w:val="single"/>
        </w:rPr>
        <w:t>http://www.comlaw.gov.au</w:t>
      </w:r>
      <w:r w:rsidRPr="00D96324">
        <w:rPr>
          <w:rFonts w:ascii="Arial" w:hAnsi="Arial" w:cs="Arial"/>
          <w:color w:val="2E74B5" w:themeColor="accent1" w:themeShade="BF"/>
          <w:sz w:val="20"/>
        </w:rPr>
        <w:t>/</w:t>
      </w:r>
      <w:r>
        <w:rPr>
          <w:rFonts w:ascii="Arial" w:hAnsi="Arial" w:cs="Arial"/>
          <w:sz w:val="20"/>
        </w:rPr>
        <w:t>).</w:t>
      </w:r>
    </w:p>
    <w:p w14:paraId="4756FD8D" w14:textId="77777777" w:rsidR="00843DE1" w:rsidRDefault="00843DE1" w:rsidP="0050376C">
      <w:pPr>
        <w:pStyle w:val="BodyText"/>
        <w:spacing w:before="120" w:line="260" w:lineRule="atLeast"/>
        <w:rPr>
          <w:rFonts w:ascii="Arial" w:hAnsi="Arial" w:cs="Arial"/>
          <w:b/>
          <w:sz w:val="20"/>
        </w:rPr>
      </w:pPr>
      <w:r>
        <w:rPr>
          <w:rFonts w:ascii="Arial" w:hAnsi="Arial" w:cs="Arial"/>
          <w:b/>
          <w:sz w:val="20"/>
        </w:rPr>
        <w:t>Statement of Compatibility with Human Rights</w:t>
      </w:r>
    </w:p>
    <w:p w14:paraId="6F49D2FA" w14:textId="77777777" w:rsidR="00843DE1" w:rsidRDefault="00843DE1" w:rsidP="0050376C">
      <w:pPr>
        <w:pStyle w:val="BodyText"/>
        <w:spacing w:before="120" w:line="260" w:lineRule="atLeast"/>
        <w:rPr>
          <w:rFonts w:ascii="Arial" w:hAnsi="Arial" w:cs="Arial"/>
          <w:sz w:val="20"/>
        </w:rPr>
      </w:pPr>
      <w:r>
        <w:rPr>
          <w:rFonts w:ascii="Arial" w:hAnsi="Arial" w:cs="Arial"/>
          <w:sz w:val="20"/>
        </w:rPr>
        <w:t xml:space="preserve">As required under the </w:t>
      </w:r>
      <w:r>
        <w:rPr>
          <w:rFonts w:ascii="Arial" w:hAnsi="Arial" w:cs="Arial"/>
          <w:i/>
          <w:sz w:val="20"/>
        </w:rPr>
        <w:t>Human Rights (Parliamentary Scrutiny) Act 2011</w:t>
      </w:r>
      <w:r>
        <w:rPr>
          <w:rFonts w:ascii="Arial" w:hAnsi="Arial" w:cs="Arial"/>
          <w:sz w:val="20"/>
        </w:rPr>
        <w:t xml:space="preserve">, a Statement of Compatibility with Human Rights has been prepared by the ACMA and is at </w:t>
      </w:r>
      <w:r>
        <w:rPr>
          <w:rFonts w:ascii="Arial" w:hAnsi="Arial" w:cs="Arial"/>
          <w:b/>
          <w:sz w:val="20"/>
        </w:rPr>
        <w:t>Attachment B</w:t>
      </w:r>
      <w:r>
        <w:rPr>
          <w:rFonts w:ascii="Arial" w:hAnsi="Arial" w:cs="Arial"/>
          <w:sz w:val="20"/>
        </w:rPr>
        <w:t>.</w:t>
      </w:r>
    </w:p>
    <w:p w14:paraId="7E2FA8F8" w14:textId="77777777" w:rsidR="00843DE1" w:rsidRDefault="00FC0D75" w:rsidP="0050376C">
      <w:pPr>
        <w:pStyle w:val="BodyText"/>
        <w:spacing w:before="120" w:line="260" w:lineRule="atLeast"/>
        <w:rPr>
          <w:rFonts w:ascii="Arial" w:hAnsi="Arial" w:cs="Arial"/>
          <w:b/>
          <w:sz w:val="20"/>
        </w:rPr>
      </w:pPr>
      <w:r>
        <w:rPr>
          <w:rFonts w:ascii="Arial" w:hAnsi="Arial" w:cs="Arial"/>
          <w:b/>
          <w:sz w:val="20"/>
        </w:rPr>
        <w:t>Regulation Impact Statement</w:t>
      </w:r>
    </w:p>
    <w:p w14:paraId="05721E85" w14:textId="77777777" w:rsidR="00FC0D75" w:rsidRDefault="00FC0D75" w:rsidP="0050376C">
      <w:pPr>
        <w:pStyle w:val="BodyText"/>
        <w:spacing w:before="120" w:line="260" w:lineRule="atLeast"/>
        <w:rPr>
          <w:rFonts w:ascii="Arial" w:hAnsi="Arial" w:cs="Arial"/>
          <w:sz w:val="20"/>
        </w:rPr>
      </w:pPr>
      <w:r>
        <w:rPr>
          <w:rFonts w:ascii="Arial" w:hAnsi="Arial" w:cs="Arial"/>
          <w:sz w:val="20"/>
        </w:rPr>
        <w:t xml:space="preserve">Under the Guidance Note </w:t>
      </w:r>
      <w:proofErr w:type="spellStart"/>
      <w:r>
        <w:rPr>
          <w:rFonts w:ascii="Arial" w:hAnsi="Arial" w:cs="Arial"/>
          <w:i/>
          <w:sz w:val="20"/>
        </w:rPr>
        <w:t>Sunsetting</w:t>
      </w:r>
      <w:proofErr w:type="spellEnd"/>
      <w:r>
        <w:rPr>
          <w:rFonts w:ascii="Arial" w:hAnsi="Arial" w:cs="Arial"/>
          <w:i/>
          <w:sz w:val="20"/>
        </w:rPr>
        <w:t xml:space="preserve"> Legislation</w:t>
      </w:r>
      <w:r>
        <w:rPr>
          <w:rFonts w:ascii="Arial" w:hAnsi="Arial" w:cs="Arial"/>
          <w:sz w:val="20"/>
        </w:rPr>
        <w:t xml:space="preserve"> published by the Office of Best Practice Regulation (OBPR) in March 2013, streamlined administrative processed apply to </w:t>
      </w:r>
      <w:proofErr w:type="spellStart"/>
      <w:r>
        <w:rPr>
          <w:rFonts w:ascii="Arial" w:hAnsi="Arial" w:cs="Arial"/>
          <w:sz w:val="20"/>
        </w:rPr>
        <w:t>sunsetting</w:t>
      </w:r>
      <w:proofErr w:type="spellEnd"/>
      <w:r>
        <w:rPr>
          <w:rFonts w:ascii="Arial" w:hAnsi="Arial" w:cs="Arial"/>
          <w:sz w:val="20"/>
        </w:rPr>
        <w:t xml:space="preserve"> legislative instruments.</w:t>
      </w:r>
    </w:p>
    <w:p w14:paraId="06098181" w14:textId="6F2EDB59" w:rsidR="008C2747" w:rsidRDefault="009F41B6" w:rsidP="0050376C">
      <w:pPr>
        <w:pStyle w:val="BodyText"/>
        <w:spacing w:before="120" w:line="260" w:lineRule="atLeast"/>
        <w:rPr>
          <w:rFonts w:ascii="Arial" w:hAnsi="Arial" w:cs="Arial"/>
          <w:sz w:val="20"/>
        </w:rPr>
      </w:pPr>
      <w:r>
        <w:rPr>
          <w:rFonts w:ascii="Arial" w:hAnsi="Arial" w:cs="Arial"/>
          <w:sz w:val="20"/>
        </w:rPr>
        <w:t xml:space="preserve">As the ACMA has determined that the </w:t>
      </w:r>
      <w:r w:rsidR="00C7715E">
        <w:rPr>
          <w:rFonts w:ascii="Arial" w:hAnsi="Arial" w:cs="Arial"/>
          <w:sz w:val="20"/>
        </w:rPr>
        <w:t xml:space="preserve">2001 </w:t>
      </w:r>
      <w:r w:rsidR="00AB4037">
        <w:rPr>
          <w:rFonts w:ascii="Arial" w:hAnsi="Arial" w:cs="Arial"/>
          <w:sz w:val="20"/>
        </w:rPr>
        <w:t>Instrument</w:t>
      </w:r>
      <w:r w:rsidR="00C7715E">
        <w:rPr>
          <w:rFonts w:ascii="Arial" w:hAnsi="Arial" w:cs="Arial"/>
          <w:sz w:val="20"/>
        </w:rPr>
        <w:t xml:space="preserve"> was fit for purpose, and should be remade without any significant changes, and has certified those matters to OBPR, no Regulation Impact Statement (RIS) is required in relation to the making of the Determination (</w:t>
      </w:r>
      <w:r w:rsidR="000E751D">
        <w:rPr>
          <w:rFonts w:ascii="Arial" w:hAnsi="Arial" w:cs="Arial"/>
          <w:sz w:val="20"/>
        </w:rPr>
        <w:t>OBPR reference number ID 18511).</w:t>
      </w:r>
    </w:p>
    <w:p w14:paraId="35B9D348" w14:textId="77777777" w:rsidR="000E751D" w:rsidRPr="008C2747" w:rsidRDefault="000E751D" w:rsidP="00B8014D">
      <w:pPr>
        <w:pStyle w:val="BodyText"/>
        <w:spacing w:before="120" w:line="260" w:lineRule="atLeast"/>
        <w:ind w:left="60"/>
        <w:rPr>
          <w:rFonts w:ascii="Arial" w:hAnsi="Arial" w:cs="Arial"/>
          <w:sz w:val="20"/>
        </w:rPr>
      </w:pPr>
    </w:p>
    <w:p w14:paraId="34EB4B72" w14:textId="77777777" w:rsidR="00F623AB" w:rsidRDefault="00F623AB">
      <w:pPr>
        <w:spacing w:after="160" w:line="259" w:lineRule="auto"/>
        <w:rPr>
          <w:rFonts w:ascii="Arial" w:eastAsia="Times New Roman" w:hAnsi="Arial" w:cs="Arial"/>
          <w:sz w:val="20"/>
          <w:szCs w:val="20"/>
          <w:lang w:eastAsia="en-AU"/>
        </w:rPr>
      </w:pPr>
      <w:r>
        <w:rPr>
          <w:rFonts w:ascii="Arial" w:hAnsi="Arial" w:cs="Arial"/>
          <w:sz w:val="20"/>
        </w:rPr>
        <w:br w:type="page"/>
      </w:r>
    </w:p>
    <w:p w14:paraId="41BA2988" w14:textId="77777777" w:rsidR="00F727C4" w:rsidRDefault="0036741E" w:rsidP="000916A9">
      <w:pPr>
        <w:pStyle w:val="BodyText"/>
        <w:spacing w:before="120" w:line="260" w:lineRule="atLeast"/>
        <w:rPr>
          <w:rFonts w:ascii="Arial" w:hAnsi="Arial" w:cs="Arial"/>
          <w:b/>
          <w:sz w:val="20"/>
        </w:rPr>
      </w:pPr>
      <w:r>
        <w:rPr>
          <w:rFonts w:ascii="Arial" w:hAnsi="Arial" w:cs="Arial"/>
          <w:b/>
          <w:sz w:val="20"/>
        </w:rPr>
        <w:t>Attachment A</w:t>
      </w:r>
    </w:p>
    <w:p w14:paraId="1DD82D6F" w14:textId="77777777" w:rsidR="0036741E" w:rsidRPr="00FF3D5A" w:rsidRDefault="006E21ED" w:rsidP="000916A9">
      <w:pPr>
        <w:pStyle w:val="BodyText"/>
        <w:spacing w:before="120" w:line="260" w:lineRule="atLeast"/>
        <w:rPr>
          <w:rFonts w:ascii="Arial" w:hAnsi="Arial" w:cs="Arial"/>
          <w:b/>
          <w:i/>
          <w:sz w:val="20"/>
        </w:rPr>
      </w:pPr>
      <w:r>
        <w:rPr>
          <w:rFonts w:ascii="Arial" w:hAnsi="Arial" w:cs="Arial"/>
          <w:b/>
          <w:sz w:val="20"/>
        </w:rPr>
        <w:t xml:space="preserve">Details of </w:t>
      </w:r>
      <w:r w:rsidRPr="006E21ED">
        <w:rPr>
          <w:rFonts w:ascii="Arial" w:hAnsi="Arial" w:cs="Arial"/>
          <w:b/>
          <w:sz w:val="20"/>
        </w:rPr>
        <w:t xml:space="preserve">the </w:t>
      </w:r>
      <w:proofErr w:type="spellStart"/>
      <w:r w:rsidRPr="00FF3D5A">
        <w:rPr>
          <w:rFonts w:ascii="Arial" w:hAnsi="Arial" w:cs="Arial"/>
          <w:b/>
          <w:i/>
          <w:sz w:val="20"/>
        </w:rPr>
        <w:t>Radiocommunications</w:t>
      </w:r>
      <w:proofErr w:type="spellEnd"/>
      <w:r w:rsidRPr="00FF3D5A">
        <w:rPr>
          <w:rFonts w:ascii="Arial" w:hAnsi="Arial" w:cs="Arial"/>
          <w:b/>
          <w:i/>
          <w:sz w:val="20"/>
        </w:rPr>
        <w:t xml:space="preserve"> (Allocation of Transmitter Licences – Low Power Open Narrowcasting Licences) Determination 2015</w:t>
      </w:r>
    </w:p>
    <w:p w14:paraId="0953CBCD" w14:textId="77777777" w:rsidR="000B4E38" w:rsidRDefault="000B4E38" w:rsidP="000916A9">
      <w:pPr>
        <w:pStyle w:val="BodyText"/>
        <w:spacing w:before="120" w:line="260" w:lineRule="atLeast"/>
        <w:rPr>
          <w:rFonts w:ascii="Arial" w:hAnsi="Arial" w:cs="Arial"/>
          <w:b/>
          <w:sz w:val="20"/>
        </w:rPr>
      </w:pPr>
      <w:r>
        <w:rPr>
          <w:rFonts w:ascii="Arial" w:hAnsi="Arial" w:cs="Arial"/>
          <w:b/>
          <w:sz w:val="20"/>
        </w:rPr>
        <w:t>PART 1                     PRELIMINARY</w:t>
      </w:r>
    </w:p>
    <w:p w14:paraId="6EBE2E18" w14:textId="73A1C8D5" w:rsidR="000B4E38" w:rsidRPr="000B4E38" w:rsidRDefault="004D59C7" w:rsidP="000916A9">
      <w:pPr>
        <w:pStyle w:val="BodyText"/>
        <w:spacing w:before="120" w:line="260" w:lineRule="atLeast"/>
        <w:rPr>
          <w:rFonts w:ascii="Arial" w:hAnsi="Arial" w:cs="Arial"/>
          <w:sz w:val="20"/>
        </w:rPr>
      </w:pPr>
      <w:r>
        <w:rPr>
          <w:rFonts w:ascii="Arial" w:hAnsi="Arial" w:cs="Arial"/>
          <w:sz w:val="20"/>
        </w:rPr>
        <w:t xml:space="preserve">Part </w:t>
      </w:r>
      <w:r w:rsidR="008B1E48">
        <w:rPr>
          <w:rFonts w:ascii="Arial" w:hAnsi="Arial" w:cs="Arial"/>
          <w:sz w:val="20"/>
        </w:rPr>
        <w:t xml:space="preserve">1 </w:t>
      </w:r>
      <w:r>
        <w:rPr>
          <w:rFonts w:ascii="Arial" w:hAnsi="Arial" w:cs="Arial"/>
          <w:sz w:val="20"/>
        </w:rPr>
        <w:t xml:space="preserve">deals with the preliminary provisions of the Determination, such as the Determination’s purpose and commencement, and the revocation of the 2001 </w:t>
      </w:r>
      <w:r w:rsidR="006C6E20">
        <w:rPr>
          <w:rFonts w:ascii="Arial" w:hAnsi="Arial" w:cs="Arial"/>
          <w:sz w:val="20"/>
        </w:rPr>
        <w:t>Instrument</w:t>
      </w:r>
      <w:r>
        <w:rPr>
          <w:rFonts w:ascii="Arial" w:hAnsi="Arial" w:cs="Arial"/>
          <w:sz w:val="20"/>
        </w:rPr>
        <w:t xml:space="preserve">. It also sets out the circumstances in </w:t>
      </w:r>
      <w:r w:rsidR="00DB3400">
        <w:rPr>
          <w:rFonts w:ascii="Arial" w:hAnsi="Arial" w:cs="Arial"/>
          <w:sz w:val="20"/>
        </w:rPr>
        <w:t>which the Determination applies,</w:t>
      </w:r>
      <w:r>
        <w:rPr>
          <w:rFonts w:ascii="Arial" w:hAnsi="Arial" w:cs="Arial"/>
          <w:sz w:val="20"/>
        </w:rPr>
        <w:t xml:space="preserve"> and defines terms used in the Determination.</w:t>
      </w:r>
    </w:p>
    <w:p w14:paraId="10FB3885" w14:textId="20A29BFA" w:rsidR="006E21ED" w:rsidRDefault="0079209A" w:rsidP="000916A9">
      <w:pPr>
        <w:pStyle w:val="BodyText"/>
        <w:spacing w:before="120" w:line="260" w:lineRule="atLeast"/>
        <w:rPr>
          <w:rFonts w:ascii="Arial" w:hAnsi="Arial" w:cs="Arial"/>
          <w:b/>
          <w:sz w:val="20"/>
        </w:rPr>
      </w:pPr>
      <w:r>
        <w:rPr>
          <w:rFonts w:ascii="Arial" w:hAnsi="Arial" w:cs="Arial"/>
          <w:b/>
          <w:sz w:val="20"/>
        </w:rPr>
        <w:t xml:space="preserve">Section 1.1 </w:t>
      </w:r>
      <w:r w:rsidR="0070299A">
        <w:rPr>
          <w:rFonts w:ascii="Arial" w:hAnsi="Arial" w:cs="Arial"/>
          <w:b/>
          <w:sz w:val="20"/>
        </w:rPr>
        <w:t xml:space="preserve">– </w:t>
      </w:r>
      <w:r w:rsidR="00AB4037">
        <w:rPr>
          <w:rFonts w:ascii="Arial" w:hAnsi="Arial" w:cs="Arial"/>
          <w:b/>
          <w:sz w:val="20"/>
        </w:rPr>
        <w:t>Name of Determination</w:t>
      </w:r>
    </w:p>
    <w:p w14:paraId="10B40C14" w14:textId="77777777" w:rsidR="0070299A" w:rsidRDefault="002C4764" w:rsidP="000916A9">
      <w:pPr>
        <w:pStyle w:val="BodyText"/>
        <w:spacing w:before="120" w:line="260" w:lineRule="atLeast"/>
        <w:rPr>
          <w:rFonts w:ascii="Arial" w:hAnsi="Arial" w:cs="Arial"/>
          <w:i/>
          <w:sz w:val="20"/>
        </w:rPr>
      </w:pPr>
      <w:r>
        <w:rPr>
          <w:rFonts w:ascii="Arial" w:hAnsi="Arial" w:cs="Arial"/>
          <w:sz w:val="20"/>
        </w:rPr>
        <w:t xml:space="preserve">Section 1 provides that the Determination is called the </w:t>
      </w:r>
      <w:proofErr w:type="spellStart"/>
      <w:r w:rsidRPr="00FF3D5A">
        <w:rPr>
          <w:rFonts w:ascii="Arial" w:hAnsi="Arial" w:cs="Arial"/>
          <w:i/>
          <w:sz w:val="20"/>
        </w:rPr>
        <w:t>Radiocommunications</w:t>
      </w:r>
      <w:proofErr w:type="spellEnd"/>
      <w:r w:rsidRPr="00FF3D5A">
        <w:rPr>
          <w:rFonts w:ascii="Arial" w:hAnsi="Arial" w:cs="Arial"/>
          <w:i/>
          <w:sz w:val="20"/>
        </w:rPr>
        <w:t xml:space="preserve"> (Allocation of Transmitter Licences – Low Power Open Narrowcasting Licences) Determination 2015.</w:t>
      </w:r>
    </w:p>
    <w:p w14:paraId="664012DC" w14:textId="77777777" w:rsidR="00FF3D5A" w:rsidRDefault="00C8153B" w:rsidP="000916A9">
      <w:pPr>
        <w:pStyle w:val="BodyText"/>
        <w:spacing w:before="120" w:line="260" w:lineRule="atLeast"/>
        <w:rPr>
          <w:rFonts w:ascii="Arial" w:hAnsi="Arial" w:cs="Arial"/>
          <w:b/>
          <w:sz w:val="20"/>
        </w:rPr>
      </w:pPr>
      <w:r>
        <w:rPr>
          <w:rFonts w:ascii="Arial" w:hAnsi="Arial" w:cs="Arial"/>
          <w:b/>
          <w:sz w:val="20"/>
        </w:rPr>
        <w:t>Section 1.2</w:t>
      </w:r>
      <w:r w:rsidR="002B5BF6">
        <w:rPr>
          <w:rFonts w:ascii="Arial" w:hAnsi="Arial" w:cs="Arial"/>
          <w:b/>
          <w:sz w:val="20"/>
        </w:rPr>
        <w:t xml:space="preserve"> – Commencement</w:t>
      </w:r>
    </w:p>
    <w:p w14:paraId="43207995" w14:textId="77777777" w:rsidR="002B5BF6" w:rsidRDefault="007212BC" w:rsidP="000916A9">
      <w:pPr>
        <w:pStyle w:val="BodyText"/>
        <w:spacing w:before="120" w:line="260" w:lineRule="atLeast"/>
        <w:rPr>
          <w:rFonts w:ascii="Arial" w:hAnsi="Arial" w:cs="Arial"/>
          <w:sz w:val="20"/>
        </w:rPr>
      </w:pPr>
      <w:r>
        <w:rPr>
          <w:rFonts w:ascii="Arial" w:hAnsi="Arial" w:cs="Arial"/>
          <w:sz w:val="20"/>
        </w:rPr>
        <w:t>Section 1.2</w:t>
      </w:r>
      <w:r w:rsidR="0079209A">
        <w:rPr>
          <w:rFonts w:ascii="Arial" w:hAnsi="Arial" w:cs="Arial"/>
          <w:sz w:val="20"/>
        </w:rPr>
        <w:t xml:space="preserve"> provides that the Determination commences on the day after it is registered on the Federal Register of Legislative Instruments.</w:t>
      </w:r>
    </w:p>
    <w:p w14:paraId="4FE5260A" w14:textId="77777777" w:rsidR="0079209A" w:rsidRDefault="00C8153B" w:rsidP="000916A9">
      <w:pPr>
        <w:pStyle w:val="BodyText"/>
        <w:spacing w:before="120" w:line="260" w:lineRule="atLeast"/>
        <w:rPr>
          <w:rFonts w:ascii="Arial" w:hAnsi="Arial" w:cs="Arial"/>
          <w:b/>
          <w:sz w:val="20"/>
        </w:rPr>
      </w:pPr>
      <w:r>
        <w:rPr>
          <w:rFonts w:ascii="Arial" w:hAnsi="Arial" w:cs="Arial"/>
          <w:b/>
          <w:sz w:val="20"/>
        </w:rPr>
        <w:t>Section 1.3</w:t>
      </w:r>
      <w:r w:rsidR="0079209A">
        <w:rPr>
          <w:rFonts w:ascii="Arial" w:hAnsi="Arial" w:cs="Arial"/>
          <w:b/>
          <w:sz w:val="20"/>
        </w:rPr>
        <w:t xml:space="preserve"> – </w:t>
      </w:r>
      <w:r>
        <w:rPr>
          <w:rFonts w:ascii="Arial" w:hAnsi="Arial" w:cs="Arial"/>
          <w:b/>
          <w:sz w:val="20"/>
        </w:rPr>
        <w:t>Purpose</w:t>
      </w:r>
    </w:p>
    <w:p w14:paraId="24F13077" w14:textId="77777777" w:rsidR="00C8153B" w:rsidRPr="007212BC" w:rsidRDefault="007212BC" w:rsidP="000916A9">
      <w:pPr>
        <w:pStyle w:val="BodyText"/>
        <w:spacing w:before="120" w:line="260" w:lineRule="atLeast"/>
        <w:rPr>
          <w:rFonts w:ascii="Arial" w:hAnsi="Arial" w:cs="Arial"/>
          <w:sz w:val="20"/>
        </w:rPr>
      </w:pPr>
      <w:r>
        <w:rPr>
          <w:rFonts w:ascii="Arial" w:hAnsi="Arial" w:cs="Arial"/>
          <w:sz w:val="20"/>
        </w:rPr>
        <w:t>Section 1.3 provides that the purpose of the Determination is to set out a price-based allocation system for allocating lots that entitle a person to apply for a transmitter licence for the provision of an LPON service</w:t>
      </w:r>
      <w:r w:rsidR="0068229C">
        <w:rPr>
          <w:rFonts w:ascii="Arial" w:hAnsi="Arial" w:cs="Arial"/>
          <w:sz w:val="20"/>
        </w:rPr>
        <w:t xml:space="preserve">. </w:t>
      </w:r>
    </w:p>
    <w:p w14:paraId="53DD0F1C" w14:textId="77777777" w:rsidR="0079209A" w:rsidRDefault="00F46EC5" w:rsidP="000916A9">
      <w:pPr>
        <w:pStyle w:val="BodyText"/>
        <w:spacing w:before="120" w:line="260" w:lineRule="atLeast"/>
        <w:rPr>
          <w:rFonts w:ascii="Arial" w:hAnsi="Arial" w:cs="Arial"/>
          <w:b/>
          <w:sz w:val="20"/>
        </w:rPr>
      </w:pPr>
      <w:r>
        <w:rPr>
          <w:rFonts w:ascii="Arial" w:hAnsi="Arial" w:cs="Arial"/>
          <w:b/>
          <w:sz w:val="20"/>
        </w:rPr>
        <w:t>Section 1.4 – Application of Determination</w:t>
      </w:r>
    </w:p>
    <w:p w14:paraId="629982C1" w14:textId="56AFC75A" w:rsidR="00F46EC5" w:rsidRDefault="00F46EC5" w:rsidP="000916A9">
      <w:pPr>
        <w:pStyle w:val="BodyText"/>
        <w:spacing w:before="120" w:line="260" w:lineRule="atLeast"/>
        <w:rPr>
          <w:rFonts w:ascii="Arial" w:hAnsi="Arial" w:cs="Arial"/>
          <w:sz w:val="20"/>
        </w:rPr>
      </w:pPr>
      <w:r>
        <w:rPr>
          <w:rFonts w:ascii="Arial" w:hAnsi="Arial" w:cs="Arial"/>
          <w:sz w:val="20"/>
        </w:rPr>
        <w:t>Section 1.</w:t>
      </w:r>
      <w:r w:rsidR="00C35567">
        <w:rPr>
          <w:rFonts w:ascii="Arial" w:hAnsi="Arial" w:cs="Arial"/>
          <w:sz w:val="20"/>
        </w:rPr>
        <w:t xml:space="preserve">4 provides that the ACMA may allocate lots and issue transmitter licences </w:t>
      </w:r>
      <w:r w:rsidR="006C6E20">
        <w:rPr>
          <w:rFonts w:ascii="Arial" w:hAnsi="Arial" w:cs="Arial"/>
          <w:sz w:val="20"/>
        </w:rPr>
        <w:t xml:space="preserve">in respect of LPON services </w:t>
      </w:r>
      <w:r w:rsidR="00C35567">
        <w:rPr>
          <w:rFonts w:ascii="Arial" w:hAnsi="Arial" w:cs="Arial"/>
          <w:sz w:val="20"/>
        </w:rPr>
        <w:t xml:space="preserve">only in accordance with the price-based allocation system set out in </w:t>
      </w:r>
      <w:r w:rsidR="00482225">
        <w:rPr>
          <w:rFonts w:ascii="Arial" w:hAnsi="Arial" w:cs="Arial"/>
          <w:sz w:val="20"/>
        </w:rPr>
        <w:t>the</w:t>
      </w:r>
      <w:r w:rsidR="00C35567">
        <w:rPr>
          <w:rFonts w:ascii="Arial" w:hAnsi="Arial" w:cs="Arial"/>
          <w:sz w:val="20"/>
        </w:rPr>
        <w:t xml:space="preserve"> Determination</w:t>
      </w:r>
      <w:r w:rsidR="005B3F6B">
        <w:rPr>
          <w:rFonts w:ascii="Arial" w:hAnsi="Arial" w:cs="Arial"/>
          <w:sz w:val="20"/>
        </w:rPr>
        <w:t>.</w:t>
      </w:r>
    </w:p>
    <w:p w14:paraId="363A214C" w14:textId="77777777" w:rsidR="00C35567" w:rsidRDefault="00C35567" w:rsidP="000916A9">
      <w:pPr>
        <w:pStyle w:val="BodyText"/>
        <w:spacing w:before="120" w:line="260" w:lineRule="atLeast"/>
        <w:rPr>
          <w:rFonts w:ascii="Arial" w:hAnsi="Arial" w:cs="Arial"/>
          <w:b/>
          <w:sz w:val="20"/>
        </w:rPr>
      </w:pPr>
      <w:r>
        <w:rPr>
          <w:rFonts w:ascii="Arial" w:hAnsi="Arial" w:cs="Arial"/>
          <w:b/>
          <w:sz w:val="20"/>
        </w:rPr>
        <w:t>Section 1.5 – Definitions</w:t>
      </w:r>
    </w:p>
    <w:p w14:paraId="6F1C2BC3" w14:textId="4D3A47DF" w:rsidR="00C35567" w:rsidRDefault="00C35567" w:rsidP="000916A9">
      <w:pPr>
        <w:pStyle w:val="BodyText"/>
        <w:tabs>
          <w:tab w:val="center" w:pos="4543"/>
        </w:tabs>
        <w:spacing w:before="120" w:line="260" w:lineRule="atLeast"/>
        <w:rPr>
          <w:rFonts w:ascii="Arial" w:hAnsi="Arial" w:cs="Arial"/>
          <w:sz w:val="20"/>
        </w:rPr>
      </w:pPr>
      <w:r>
        <w:rPr>
          <w:rFonts w:ascii="Arial" w:hAnsi="Arial" w:cs="Arial"/>
          <w:sz w:val="20"/>
        </w:rPr>
        <w:t>Section 1.5 defines various terms which are used in the Determination</w:t>
      </w:r>
      <w:r w:rsidR="0050376C">
        <w:rPr>
          <w:rFonts w:ascii="Arial" w:hAnsi="Arial" w:cs="Arial"/>
          <w:sz w:val="20"/>
        </w:rPr>
        <w:t>. Notably, transmitter licence</w:t>
      </w:r>
      <w:r w:rsidR="006C6E20">
        <w:rPr>
          <w:rFonts w:ascii="Arial" w:hAnsi="Arial" w:cs="Arial"/>
          <w:sz w:val="20"/>
        </w:rPr>
        <w:t xml:space="preserve"> is defined such that in this Determination it refers to </w:t>
      </w:r>
      <w:r w:rsidR="00AB4037">
        <w:rPr>
          <w:rFonts w:ascii="Arial" w:hAnsi="Arial" w:cs="Arial"/>
          <w:sz w:val="20"/>
        </w:rPr>
        <w:t xml:space="preserve">an </w:t>
      </w:r>
      <w:r w:rsidR="006C6E20">
        <w:rPr>
          <w:rFonts w:ascii="Arial" w:hAnsi="Arial" w:cs="Arial"/>
          <w:sz w:val="20"/>
        </w:rPr>
        <w:t>apparatus licence</w:t>
      </w:r>
      <w:r w:rsidR="001E28DC">
        <w:rPr>
          <w:rFonts w:ascii="Arial" w:hAnsi="Arial" w:cs="Arial"/>
          <w:sz w:val="20"/>
        </w:rPr>
        <w:t xml:space="preserve"> that authorise</w:t>
      </w:r>
      <w:r w:rsidR="00AB4037">
        <w:rPr>
          <w:rFonts w:ascii="Arial" w:hAnsi="Arial" w:cs="Arial"/>
          <w:sz w:val="20"/>
        </w:rPr>
        <w:t>s</w:t>
      </w:r>
      <w:r w:rsidR="006C6E20">
        <w:rPr>
          <w:rFonts w:ascii="Arial" w:hAnsi="Arial" w:cs="Arial"/>
          <w:sz w:val="20"/>
        </w:rPr>
        <w:t xml:space="preserve"> the operation of </w:t>
      </w:r>
      <w:r w:rsidR="00AB4037">
        <w:rPr>
          <w:rFonts w:ascii="Arial" w:hAnsi="Arial" w:cs="Arial"/>
          <w:sz w:val="20"/>
        </w:rPr>
        <w:t xml:space="preserve">an </w:t>
      </w:r>
      <w:r w:rsidR="006C6E20">
        <w:rPr>
          <w:rFonts w:ascii="Arial" w:hAnsi="Arial" w:cs="Arial"/>
          <w:sz w:val="20"/>
        </w:rPr>
        <w:t xml:space="preserve">LPON service in </w:t>
      </w:r>
      <w:r w:rsidR="00AB4037">
        <w:rPr>
          <w:rFonts w:ascii="Arial" w:hAnsi="Arial" w:cs="Arial"/>
          <w:sz w:val="20"/>
        </w:rPr>
        <w:t xml:space="preserve">an </w:t>
      </w:r>
      <w:r w:rsidR="006C6E20">
        <w:rPr>
          <w:rFonts w:ascii="Arial" w:hAnsi="Arial" w:cs="Arial"/>
          <w:sz w:val="20"/>
        </w:rPr>
        <w:t>area consistent with the ACMA’s planning model.</w:t>
      </w:r>
    </w:p>
    <w:p w14:paraId="26C7B8CD" w14:textId="77777777" w:rsidR="00C35567" w:rsidRDefault="005B3F6B" w:rsidP="000916A9">
      <w:pPr>
        <w:pStyle w:val="BodyText"/>
        <w:tabs>
          <w:tab w:val="center" w:pos="4543"/>
        </w:tabs>
        <w:spacing w:before="120" w:line="260" w:lineRule="atLeast"/>
        <w:rPr>
          <w:rFonts w:ascii="Arial" w:hAnsi="Arial" w:cs="Arial"/>
          <w:b/>
          <w:sz w:val="20"/>
        </w:rPr>
      </w:pPr>
      <w:r>
        <w:rPr>
          <w:rFonts w:ascii="Arial" w:hAnsi="Arial" w:cs="Arial"/>
          <w:b/>
          <w:sz w:val="20"/>
        </w:rPr>
        <w:t>Section 1.6 – Revocation of previous Determination</w:t>
      </w:r>
    </w:p>
    <w:p w14:paraId="570945BF" w14:textId="505E427A" w:rsidR="005B3F6B" w:rsidRDefault="00AC09CB" w:rsidP="000916A9">
      <w:pPr>
        <w:pStyle w:val="BodyText"/>
        <w:tabs>
          <w:tab w:val="center" w:pos="4543"/>
        </w:tabs>
        <w:spacing w:before="120" w:line="260" w:lineRule="atLeast"/>
        <w:rPr>
          <w:rFonts w:ascii="Arial" w:hAnsi="Arial" w:cs="Arial"/>
          <w:sz w:val="20"/>
        </w:rPr>
      </w:pPr>
      <w:r>
        <w:rPr>
          <w:rFonts w:ascii="Arial" w:hAnsi="Arial" w:cs="Arial"/>
          <w:sz w:val="20"/>
        </w:rPr>
        <w:t xml:space="preserve">Section 1.6 revokes the 2001 </w:t>
      </w:r>
      <w:r w:rsidR="001E28DC">
        <w:rPr>
          <w:rFonts w:ascii="Arial" w:hAnsi="Arial" w:cs="Arial"/>
          <w:sz w:val="20"/>
        </w:rPr>
        <w:t>Instrument</w:t>
      </w:r>
      <w:r>
        <w:rPr>
          <w:rFonts w:ascii="Arial" w:hAnsi="Arial" w:cs="Arial"/>
          <w:sz w:val="20"/>
        </w:rPr>
        <w:t xml:space="preserve">. </w:t>
      </w:r>
    </w:p>
    <w:p w14:paraId="19C58FD9" w14:textId="77777777" w:rsidR="00AC09CB" w:rsidRPr="009C7DFB" w:rsidRDefault="009C7DFB" w:rsidP="0050376C">
      <w:pPr>
        <w:pStyle w:val="BodyText"/>
        <w:tabs>
          <w:tab w:val="center" w:pos="4543"/>
        </w:tabs>
        <w:spacing w:before="120" w:line="260" w:lineRule="atLeast"/>
        <w:rPr>
          <w:rFonts w:ascii="Arial" w:hAnsi="Arial" w:cs="Arial"/>
          <w:b/>
          <w:sz w:val="20"/>
        </w:rPr>
      </w:pPr>
      <w:r>
        <w:rPr>
          <w:rFonts w:ascii="Arial" w:hAnsi="Arial" w:cs="Arial"/>
          <w:b/>
          <w:sz w:val="20"/>
        </w:rPr>
        <w:t>PART 2                 PREPARING FOR THE ALLOCATION</w:t>
      </w:r>
    </w:p>
    <w:p w14:paraId="4B2C3B0B" w14:textId="7D7FD600" w:rsidR="00A12A05" w:rsidRDefault="008B1E48" w:rsidP="008B1E48">
      <w:pPr>
        <w:pStyle w:val="BodyText"/>
        <w:tabs>
          <w:tab w:val="left" w:pos="1320"/>
        </w:tabs>
        <w:spacing w:before="120" w:line="260" w:lineRule="atLeast"/>
        <w:rPr>
          <w:rFonts w:ascii="Arial" w:hAnsi="Arial" w:cs="Arial"/>
          <w:sz w:val="20"/>
        </w:rPr>
      </w:pPr>
      <w:r>
        <w:rPr>
          <w:rFonts w:ascii="Arial" w:hAnsi="Arial" w:cs="Arial"/>
          <w:sz w:val="20"/>
        </w:rPr>
        <w:t xml:space="preserve">Part 2 provides details on the </w:t>
      </w:r>
      <w:r w:rsidR="00A12A05">
        <w:rPr>
          <w:rFonts w:ascii="Arial" w:hAnsi="Arial" w:cs="Arial"/>
          <w:sz w:val="20"/>
        </w:rPr>
        <w:t xml:space="preserve">preliminary preparations for the allocation of </w:t>
      </w:r>
      <w:r w:rsidR="005E336E">
        <w:rPr>
          <w:rFonts w:ascii="Arial" w:hAnsi="Arial" w:cs="Arial"/>
          <w:sz w:val="20"/>
        </w:rPr>
        <w:t xml:space="preserve">transmitter licences for </w:t>
      </w:r>
      <w:r w:rsidR="00A12A05">
        <w:rPr>
          <w:rFonts w:ascii="Arial" w:hAnsi="Arial" w:cs="Arial"/>
          <w:sz w:val="20"/>
        </w:rPr>
        <w:t xml:space="preserve">LPON </w:t>
      </w:r>
      <w:r w:rsidR="005E336E">
        <w:rPr>
          <w:rFonts w:ascii="Arial" w:hAnsi="Arial" w:cs="Arial"/>
          <w:sz w:val="20"/>
        </w:rPr>
        <w:t>services</w:t>
      </w:r>
      <w:r w:rsidR="00A12A05">
        <w:rPr>
          <w:rFonts w:ascii="Arial" w:hAnsi="Arial" w:cs="Arial"/>
          <w:sz w:val="20"/>
        </w:rPr>
        <w:t xml:space="preserve">. It includes details on the </w:t>
      </w:r>
      <w:r>
        <w:rPr>
          <w:rFonts w:ascii="Arial" w:hAnsi="Arial" w:cs="Arial"/>
          <w:sz w:val="20"/>
        </w:rPr>
        <w:t xml:space="preserve">information that the ACMA will provide to the public about the proposed allocation of </w:t>
      </w:r>
      <w:r w:rsidR="005E336E">
        <w:rPr>
          <w:rFonts w:ascii="Arial" w:hAnsi="Arial" w:cs="Arial"/>
          <w:sz w:val="20"/>
        </w:rPr>
        <w:t>the transmitter licences</w:t>
      </w:r>
      <w:r w:rsidR="00AB4037">
        <w:rPr>
          <w:rFonts w:ascii="Arial" w:hAnsi="Arial" w:cs="Arial"/>
          <w:sz w:val="20"/>
        </w:rPr>
        <w:t>.</w:t>
      </w:r>
      <w:r w:rsidR="00A12A05">
        <w:rPr>
          <w:rFonts w:ascii="Arial" w:hAnsi="Arial" w:cs="Arial"/>
          <w:sz w:val="20"/>
        </w:rPr>
        <w:t xml:space="preserve"> It also details the matters </w:t>
      </w:r>
      <w:r w:rsidR="005E336E">
        <w:rPr>
          <w:rFonts w:ascii="Arial" w:hAnsi="Arial" w:cs="Arial"/>
          <w:sz w:val="20"/>
        </w:rPr>
        <w:t xml:space="preserve">that </w:t>
      </w:r>
      <w:r w:rsidR="00A12A05">
        <w:rPr>
          <w:rFonts w:ascii="Arial" w:hAnsi="Arial" w:cs="Arial"/>
          <w:sz w:val="20"/>
        </w:rPr>
        <w:t>the ACMA must decide prior to the allocation, including setting relevant prices and fees, and approving requisite forms. Part 2 also sets out how the payment of monies due to the ACMA must be made.</w:t>
      </w:r>
    </w:p>
    <w:p w14:paraId="7AE1EC36" w14:textId="77777777" w:rsidR="00FF3D5A" w:rsidRDefault="005F443A" w:rsidP="005F443A">
      <w:pPr>
        <w:pStyle w:val="BodyText"/>
        <w:tabs>
          <w:tab w:val="left" w:pos="1320"/>
        </w:tabs>
        <w:spacing w:before="120" w:line="260" w:lineRule="atLeast"/>
        <w:rPr>
          <w:rFonts w:ascii="Arial" w:hAnsi="Arial" w:cs="Arial"/>
          <w:b/>
          <w:sz w:val="20"/>
        </w:rPr>
      </w:pPr>
      <w:r>
        <w:rPr>
          <w:rFonts w:ascii="Arial" w:hAnsi="Arial" w:cs="Arial"/>
          <w:b/>
          <w:sz w:val="20"/>
        </w:rPr>
        <w:t>Section 2.1 – Publication of notice by the ACMA</w:t>
      </w:r>
    </w:p>
    <w:p w14:paraId="482FBDF1" w14:textId="1A3E33E5" w:rsidR="009F49B9" w:rsidRDefault="001A6670" w:rsidP="001A6670">
      <w:pPr>
        <w:pStyle w:val="BodyText"/>
        <w:tabs>
          <w:tab w:val="left" w:pos="1320"/>
        </w:tabs>
        <w:spacing w:before="120" w:line="260" w:lineRule="atLeast"/>
        <w:rPr>
          <w:rFonts w:ascii="Arial" w:hAnsi="Arial" w:cs="Arial"/>
          <w:sz w:val="20"/>
        </w:rPr>
      </w:pPr>
      <w:r>
        <w:rPr>
          <w:rFonts w:ascii="Arial" w:hAnsi="Arial" w:cs="Arial"/>
          <w:sz w:val="20"/>
        </w:rPr>
        <w:t xml:space="preserve">Section 2.1 requires the ACMA to publish a notice about the proposed allocation. </w:t>
      </w:r>
      <w:r w:rsidR="009F49B9">
        <w:rPr>
          <w:rFonts w:ascii="Arial" w:hAnsi="Arial" w:cs="Arial"/>
          <w:sz w:val="20"/>
        </w:rPr>
        <w:t>This notice</w:t>
      </w:r>
      <w:r>
        <w:rPr>
          <w:rFonts w:ascii="Arial" w:hAnsi="Arial" w:cs="Arial"/>
          <w:sz w:val="20"/>
        </w:rPr>
        <w:t xml:space="preserve"> must invite applications for potential </w:t>
      </w:r>
      <w:r w:rsidR="009F49B9">
        <w:rPr>
          <w:rFonts w:ascii="Arial" w:hAnsi="Arial" w:cs="Arial"/>
          <w:sz w:val="20"/>
        </w:rPr>
        <w:t xml:space="preserve">transmitter licences for LPON services to be determined under the planning model; briefly describe </w:t>
      </w:r>
      <w:r w:rsidR="005E336E">
        <w:rPr>
          <w:rFonts w:ascii="Arial" w:hAnsi="Arial" w:cs="Arial"/>
          <w:sz w:val="20"/>
        </w:rPr>
        <w:t xml:space="preserve">how the </w:t>
      </w:r>
      <w:r w:rsidR="009F49B9">
        <w:rPr>
          <w:rFonts w:ascii="Arial" w:hAnsi="Arial" w:cs="Arial"/>
          <w:sz w:val="20"/>
        </w:rPr>
        <w:t>allocation</w:t>
      </w:r>
      <w:r w:rsidR="005E336E">
        <w:rPr>
          <w:rFonts w:ascii="Arial" w:hAnsi="Arial" w:cs="Arial"/>
          <w:sz w:val="20"/>
        </w:rPr>
        <w:t xml:space="preserve"> will be conducted</w:t>
      </w:r>
      <w:r w:rsidR="009F49B9">
        <w:rPr>
          <w:rFonts w:ascii="Arial" w:hAnsi="Arial" w:cs="Arial"/>
          <w:sz w:val="20"/>
        </w:rPr>
        <w:t xml:space="preserve">; state the closing date and time for applications; state that the lots will be determined and allocated in accordance with the Determination; state that an applicant may only bid on a lot that the applicant has nominated; and state that the Applicant Information Package containing further information can be obtained from the ACMA. </w:t>
      </w:r>
    </w:p>
    <w:p w14:paraId="6A9696CC" w14:textId="293840B9" w:rsidR="009F49B9" w:rsidRDefault="009F49B9" w:rsidP="001A6670">
      <w:pPr>
        <w:pStyle w:val="BodyText"/>
        <w:tabs>
          <w:tab w:val="left" w:pos="1320"/>
        </w:tabs>
        <w:spacing w:before="120" w:line="260" w:lineRule="atLeast"/>
        <w:rPr>
          <w:rFonts w:ascii="Arial" w:hAnsi="Arial" w:cs="Arial"/>
          <w:sz w:val="20"/>
        </w:rPr>
      </w:pPr>
      <w:r>
        <w:rPr>
          <w:rFonts w:ascii="Arial" w:hAnsi="Arial" w:cs="Arial"/>
          <w:sz w:val="20"/>
        </w:rPr>
        <w:t xml:space="preserve">The ACMA may publish the notice in any way that it deems appropriate. If information provided in the notice subsequently changes, the ACMA must publish another notice in any way it deems appropriate, providing details of the changes. </w:t>
      </w:r>
      <w:r w:rsidR="00AC5BDF">
        <w:rPr>
          <w:rFonts w:ascii="Arial" w:hAnsi="Arial" w:cs="Arial"/>
          <w:sz w:val="20"/>
        </w:rPr>
        <w:t>The ACMA generally publishes such notices on its website.</w:t>
      </w:r>
    </w:p>
    <w:p w14:paraId="2E23FE8E" w14:textId="0251B42B" w:rsidR="009F49B9" w:rsidRDefault="009F49B9" w:rsidP="001A6670">
      <w:pPr>
        <w:pStyle w:val="BodyText"/>
        <w:tabs>
          <w:tab w:val="left" w:pos="1320"/>
        </w:tabs>
        <w:spacing w:before="120" w:line="260" w:lineRule="atLeast"/>
        <w:rPr>
          <w:rFonts w:ascii="Arial" w:hAnsi="Arial" w:cs="Arial"/>
          <w:sz w:val="20"/>
        </w:rPr>
      </w:pPr>
      <w:r>
        <w:rPr>
          <w:rFonts w:ascii="Arial" w:hAnsi="Arial" w:cs="Arial"/>
          <w:sz w:val="20"/>
        </w:rPr>
        <w:t xml:space="preserve">Section 2.1 provides that the ACMA may </w:t>
      </w:r>
      <w:r w:rsidR="005E336E">
        <w:rPr>
          <w:rFonts w:ascii="Arial" w:hAnsi="Arial" w:cs="Arial"/>
          <w:sz w:val="20"/>
        </w:rPr>
        <w:t xml:space="preserve">also </w:t>
      </w:r>
      <w:r>
        <w:rPr>
          <w:rFonts w:ascii="Arial" w:hAnsi="Arial" w:cs="Arial"/>
          <w:sz w:val="20"/>
        </w:rPr>
        <w:t>publish other information about allocations in any way that it considers appropriate.</w:t>
      </w:r>
    </w:p>
    <w:p w14:paraId="35E95D63" w14:textId="77777777" w:rsidR="009F49B9" w:rsidRDefault="00152D82" w:rsidP="001A6670">
      <w:pPr>
        <w:pStyle w:val="BodyText"/>
        <w:tabs>
          <w:tab w:val="left" w:pos="1320"/>
        </w:tabs>
        <w:spacing w:before="120" w:line="260" w:lineRule="atLeast"/>
        <w:rPr>
          <w:rFonts w:ascii="Arial" w:hAnsi="Arial" w:cs="Arial"/>
          <w:b/>
          <w:sz w:val="20"/>
        </w:rPr>
      </w:pPr>
      <w:r>
        <w:rPr>
          <w:rFonts w:ascii="Arial" w:hAnsi="Arial" w:cs="Arial"/>
          <w:b/>
          <w:sz w:val="20"/>
        </w:rPr>
        <w:t>Section 2.2 – Entry fee, closing date, reserve price and auction deposit amount</w:t>
      </w:r>
    </w:p>
    <w:p w14:paraId="54B06399" w14:textId="054305C6" w:rsidR="00087399" w:rsidRDefault="00087399" w:rsidP="001A6670">
      <w:pPr>
        <w:pStyle w:val="BodyText"/>
        <w:tabs>
          <w:tab w:val="left" w:pos="1320"/>
        </w:tabs>
        <w:spacing w:before="120" w:line="260" w:lineRule="atLeast"/>
        <w:rPr>
          <w:rFonts w:ascii="Arial" w:hAnsi="Arial" w:cs="Arial"/>
          <w:sz w:val="20"/>
        </w:rPr>
      </w:pPr>
      <w:r>
        <w:rPr>
          <w:rFonts w:ascii="Arial" w:hAnsi="Arial" w:cs="Arial"/>
          <w:sz w:val="20"/>
        </w:rPr>
        <w:t xml:space="preserve">Section 2.2 requires the ACMA to </w:t>
      </w:r>
      <w:r w:rsidR="00D65DE7">
        <w:rPr>
          <w:rFonts w:ascii="Arial" w:hAnsi="Arial" w:cs="Arial"/>
          <w:sz w:val="20"/>
        </w:rPr>
        <w:t>set</w:t>
      </w:r>
      <w:r w:rsidR="0090195C">
        <w:rPr>
          <w:rFonts w:ascii="Arial" w:hAnsi="Arial" w:cs="Arial"/>
          <w:sz w:val="20"/>
        </w:rPr>
        <w:t>,</w:t>
      </w:r>
      <w:r w:rsidR="00D65DE7">
        <w:rPr>
          <w:rFonts w:ascii="Arial" w:hAnsi="Arial" w:cs="Arial"/>
          <w:sz w:val="20"/>
        </w:rPr>
        <w:t xml:space="preserve"> in writing</w:t>
      </w:r>
      <w:r w:rsidR="0090195C">
        <w:rPr>
          <w:rFonts w:ascii="Arial" w:hAnsi="Arial" w:cs="Arial"/>
          <w:sz w:val="20"/>
        </w:rPr>
        <w:t>,</w:t>
      </w:r>
      <w:r w:rsidR="00D65DE7">
        <w:rPr>
          <w:rFonts w:ascii="Arial" w:hAnsi="Arial" w:cs="Arial"/>
          <w:sz w:val="20"/>
        </w:rPr>
        <w:t xml:space="preserve"> the entry fee, the application closing date </w:t>
      </w:r>
      <w:r w:rsidR="005C3DF3">
        <w:rPr>
          <w:rFonts w:ascii="Arial" w:hAnsi="Arial" w:cs="Arial"/>
          <w:sz w:val="20"/>
        </w:rPr>
        <w:t xml:space="preserve">and time, </w:t>
      </w:r>
      <w:r w:rsidR="001C3309">
        <w:rPr>
          <w:rFonts w:ascii="Arial" w:hAnsi="Arial" w:cs="Arial"/>
          <w:sz w:val="20"/>
        </w:rPr>
        <w:t xml:space="preserve">and </w:t>
      </w:r>
      <w:r w:rsidR="00D65DE7">
        <w:rPr>
          <w:rFonts w:ascii="Arial" w:hAnsi="Arial" w:cs="Arial"/>
          <w:sz w:val="20"/>
        </w:rPr>
        <w:t xml:space="preserve">the reserve price </w:t>
      </w:r>
      <w:r w:rsidR="001C3309">
        <w:rPr>
          <w:rFonts w:ascii="Arial" w:hAnsi="Arial" w:cs="Arial"/>
          <w:sz w:val="20"/>
        </w:rPr>
        <w:t xml:space="preserve">and auction deposit amounts </w:t>
      </w:r>
      <w:r w:rsidR="00D65DE7">
        <w:rPr>
          <w:rFonts w:ascii="Arial" w:hAnsi="Arial" w:cs="Arial"/>
          <w:sz w:val="20"/>
        </w:rPr>
        <w:t xml:space="preserve">for each lot, prior to publishing a notice about the proposed allocation. </w:t>
      </w:r>
    </w:p>
    <w:p w14:paraId="0DE9CD1C" w14:textId="2C41AB2C" w:rsidR="001A6602" w:rsidRDefault="001A6602" w:rsidP="001A6670">
      <w:pPr>
        <w:pStyle w:val="BodyText"/>
        <w:tabs>
          <w:tab w:val="left" w:pos="1320"/>
        </w:tabs>
        <w:spacing w:before="120" w:line="260" w:lineRule="atLeast"/>
        <w:rPr>
          <w:rFonts w:ascii="Arial" w:hAnsi="Arial" w:cs="Arial"/>
          <w:b/>
          <w:sz w:val="20"/>
        </w:rPr>
      </w:pPr>
      <w:r>
        <w:rPr>
          <w:rFonts w:ascii="Arial" w:hAnsi="Arial" w:cs="Arial"/>
          <w:b/>
          <w:sz w:val="20"/>
        </w:rPr>
        <w:t>Section 2.3 – LPON Applicant Information Package</w:t>
      </w:r>
    </w:p>
    <w:p w14:paraId="5D6E6D8F" w14:textId="77777777" w:rsidR="001A6602" w:rsidRPr="001A6602" w:rsidRDefault="001A6602" w:rsidP="001A6670">
      <w:pPr>
        <w:pStyle w:val="BodyText"/>
        <w:tabs>
          <w:tab w:val="left" w:pos="1320"/>
        </w:tabs>
        <w:spacing w:before="120" w:line="260" w:lineRule="atLeast"/>
        <w:rPr>
          <w:rFonts w:ascii="Arial" w:hAnsi="Arial" w:cs="Arial"/>
          <w:sz w:val="20"/>
        </w:rPr>
      </w:pPr>
      <w:r>
        <w:rPr>
          <w:rFonts w:ascii="Arial" w:hAnsi="Arial" w:cs="Arial"/>
          <w:sz w:val="20"/>
        </w:rPr>
        <w:t xml:space="preserve">Section 2.3 provides that the LPON Applicant Information Package must contain a guide to the allocation system, the Determination, the application form with instructions for completion and lodgement, the Deed of Acknowledgement, the Form of Authority, </w:t>
      </w:r>
      <w:r w:rsidR="001C3309">
        <w:rPr>
          <w:rFonts w:ascii="Arial" w:hAnsi="Arial" w:cs="Arial"/>
          <w:sz w:val="20"/>
        </w:rPr>
        <w:t xml:space="preserve">the entry fee, the application closing date and time, the reserve price and auction </w:t>
      </w:r>
      <w:r w:rsidR="0087392E">
        <w:rPr>
          <w:rFonts w:ascii="Arial" w:hAnsi="Arial" w:cs="Arial"/>
          <w:sz w:val="20"/>
        </w:rPr>
        <w:t xml:space="preserve">deposit amounts, and the address of the auction centre. </w:t>
      </w:r>
      <w:r w:rsidR="005C3DF3">
        <w:rPr>
          <w:rFonts w:ascii="Arial" w:hAnsi="Arial" w:cs="Arial"/>
          <w:sz w:val="20"/>
        </w:rPr>
        <w:t>The LPON Applicant Information Package may also contain other information about allocation.</w:t>
      </w:r>
    </w:p>
    <w:p w14:paraId="706DDE3D" w14:textId="77777777" w:rsidR="0027366D" w:rsidRDefault="0027366D" w:rsidP="009F49B9">
      <w:pPr>
        <w:tabs>
          <w:tab w:val="left" w:pos="3240"/>
        </w:tabs>
        <w:rPr>
          <w:b/>
          <w:lang w:eastAsia="en-AU"/>
        </w:rPr>
      </w:pPr>
      <w:r>
        <w:rPr>
          <w:b/>
          <w:lang w:eastAsia="en-AU"/>
        </w:rPr>
        <w:t>Section 2.4 – Approval of forms and documents</w:t>
      </w:r>
    </w:p>
    <w:p w14:paraId="41F3BB74" w14:textId="4420A660" w:rsidR="005F443A" w:rsidRPr="00482225" w:rsidRDefault="0027366D" w:rsidP="00482225">
      <w:pPr>
        <w:pStyle w:val="BodyText"/>
        <w:tabs>
          <w:tab w:val="left" w:pos="1320"/>
        </w:tabs>
        <w:spacing w:before="120" w:line="260" w:lineRule="atLeast"/>
        <w:rPr>
          <w:rFonts w:ascii="Arial" w:hAnsi="Arial" w:cs="Arial"/>
          <w:sz w:val="20"/>
        </w:rPr>
      </w:pPr>
      <w:r w:rsidRPr="00482225">
        <w:rPr>
          <w:rFonts w:ascii="Arial" w:hAnsi="Arial" w:cs="Arial"/>
          <w:sz w:val="20"/>
        </w:rPr>
        <w:t xml:space="preserve">Section 2.4 </w:t>
      </w:r>
      <w:r w:rsidR="00EC40B1">
        <w:rPr>
          <w:rFonts w:ascii="Arial" w:hAnsi="Arial" w:cs="Arial"/>
          <w:sz w:val="20"/>
        </w:rPr>
        <w:t xml:space="preserve">requires the ACMA to </w:t>
      </w:r>
      <w:r w:rsidRPr="00482225">
        <w:rPr>
          <w:rFonts w:ascii="Arial" w:hAnsi="Arial" w:cs="Arial"/>
          <w:sz w:val="20"/>
        </w:rPr>
        <w:t>approve in writing an application form, a Deed of Acknowledgement and a Form of Authority.</w:t>
      </w:r>
    </w:p>
    <w:p w14:paraId="3E6B1D31" w14:textId="77777777" w:rsidR="0027366D" w:rsidRDefault="0038024E" w:rsidP="009F49B9">
      <w:pPr>
        <w:tabs>
          <w:tab w:val="left" w:pos="3240"/>
        </w:tabs>
        <w:rPr>
          <w:b/>
          <w:lang w:eastAsia="en-AU"/>
        </w:rPr>
      </w:pPr>
      <w:r>
        <w:rPr>
          <w:b/>
          <w:lang w:eastAsia="en-AU"/>
        </w:rPr>
        <w:t>Section 2.5 – Payment of monies due to the ACMA</w:t>
      </w:r>
    </w:p>
    <w:p w14:paraId="2E4BC8A7" w14:textId="6E17C781" w:rsidR="00F668C6" w:rsidRPr="00482225" w:rsidRDefault="00236409" w:rsidP="00482225">
      <w:pPr>
        <w:pStyle w:val="BodyText"/>
        <w:tabs>
          <w:tab w:val="left" w:pos="1320"/>
        </w:tabs>
        <w:spacing w:before="120" w:line="260" w:lineRule="atLeast"/>
        <w:rPr>
          <w:rFonts w:ascii="Arial" w:hAnsi="Arial" w:cs="Arial"/>
          <w:sz w:val="20"/>
        </w:rPr>
      </w:pPr>
      <w:r w:rsidRPr="00482225">
        <w:rPr>
          <w:rFonts w:ascii="Arial" w:hAnsi="Arial" w:cs="Arial"/>
          <w:sz w:val="20"/>
        </w:rPr>
        <w:t xml:space="preserve">Section 2.5 </w:t>
      </w:r>
      <w:r w:rsidR="00A971F1" w:rsidRPr="00482225">
        <w:rPr>
          <w:rFonts w:ascii="Arial" w:hAnsi="Arial" w:cs="Arial"/>
          <w:sz w:val="20"/>
        </w:rPr>
        <w:t xml:space="preserve">sets out the manner in which payments </w:t>
      </w:r>
      <w:r w:rsidR="0090195C">
        <w:rPr>
          <w:rFonts w:ascii="Arial" w:hAnsi="Arial" w:cs="Arial"/>
          <w:sz w:val="20"/>
        </w:rPr>
        <w:t xml:space="preserve">of the </w:t>
      </w:r>
      <w:r w:rsidR="00A971F1" w:rsidRPr="00482225">
        <w:rPr>
          <w:rFonts w:ascii="Arial" w:hAnsi="Arial" w:cs="Arial"/>
          <w:sz w:val="20"/>
        </w:rPr>
        <w:t>entry fee, auction deposit and balance of the bid price are to be paid to the ACMA, on behalf of the Commonwealth. Payments must be paid by the date required by the Determination and be made in Australian currency. Payments must be made by cheque or bank transfer.</w:t>
      </w:r>
    </w:p>
    <w:p w14:paraId="5ADB0C2E" w14:textId="77777777" w:rsidR="000916A9" w:rsidRDefault="00A971F1" w:rsidP="00482225">
      <w:pPr>
        <w:pStyle w:val="BodyText"/>
        <w:tabs>
          <w:tab w:val="left" w:pos="1320"/>
        </w:tabs>
        <w:spacing w:before="120" w:line="260" w:lineRule="atLeast"/>
        <w:rPr>
          <w:rFonts w:ascii="Arial" w:hAnsi="Arial" w:cs="Arial"/>
          <w:sz w:val="20"/>
        </w:rPr>
      </w:pPr>
      <w:r w:rsidRPr="00482225">
        <w:rPr>
          <w:rFonts w:ascii="Arial" w:hAnsi="Arial" w:cs="Arial"/>
          <w:sz w:val="20"/>
        </w:rPr>
        <w:t xml:space="preserve">A payment is considered to have been made by a specific date if the applicant gives the ACMA a cheque for the payment, or does everything necessary to make the payment by bank transfer and provides the ACMA with evidence that the payment has been made, by the date required. </w:t>
      </w:r>
    </w:p>
    <w:p w14:paraId="2C5D7F11" w14:textId="206F2FD5" w:rsidR="00A971F1" w:rsidRPr="00482225" w:rsidRDefault="00BC2689" w:rsidP="00482225">
      <w:pPr>
        <w:pStyle w:val="BodyText"/>
        <w:tabs>
          <w:tab w:val="left" w:pos="1320"/>
        </w:tabs>
        <w:spacing w:before="120" w:line="260" w:lineRule="atLeast"/>
        <w:rPr>
          <w:rFonts w:ascii="Arial" w:hAnsi="Arial" w:cs="Arial"/>
          <w:sz w:val="20"/>
        </w:rPr>
      </w:pPr>
      <w:r w:rsidRPr="00482225">
        <w:rPr>
          <w:rFonts w:ascii="Arial" w:hAnsi="Arial" w:cs="Arial"/>
          <w:sz w:val="20"/>
        </w:rPr>
        <w:t xml:space="preserve">If a payment is not received in the ACMA bank account by the required date, and the applicant has not done everything necessary to make the payment by bank transfer and provided the ACMA with evidence, the person’s application ceases to have effect and that person is not permitted to participate in the allocation or to obtain a transmitter licence </w:t>
      </w:r>
      <w:r w:rsidR="00A004ED" w:rsidRPr="00482225">
        <w:rPr>
          <w:rFonts w:ascii="Arial" w:hAnsi="Arial" w:cs="Arial"/>
          <w:sz w:val="20"/>
        </w:rPr>
        <w:t>through the</w:t>
      </w:r>
      <w:r w:rsidRPr="00482225">
        <w:rPr>
          <w:rFonts w:ascii="Arial" w:hAnsi="Arial" w:cs="Arial"/>
          <w:sz w:val="20"/>
        </w:rPr>
        <w:t xml:space="preserve"> allocation.</w:t>
      </w:r>
      <w:r w:rsidR="00F668C6" w:rsidRPr="00482225">
        <w:rPr>
          <w:rFonts w:ascii="Arial" w:hAnsi="Arial" w:cs="Arial"/>
          <w:sz w:val="20"/>
        </w:rPr>
        <w:t xml:space="preserve"> The applicant is required to pay all bank charges and Government duties imposed on a payment, which is not considered to have been made unless the full amount net of those charges is received by the ACMA.</w:t>
      </w:r>
    </w:p>
    <w:p w14:paraId="556296B8" w14:textId="77777777" w:rsidR="00434899" w:rsidRDefault="00434899" w:rsidP="009F49B9">
      <w:pPr>
        <w:tabs>
          <w:tab w:val="left" w:pos="7170"/>
        </w:tabs>
        <w:rPr>
          <w:b/>
          <w:lang w:eastAsia="en-AU"/>
        </w:rPr>
      </w:pPr>
      <w:r w:rsidRPr="00AB14ED">
        <w:rPr>
          <w:b/>
          <w:lang w:eastAsia="en-AU"/>
        </w:rPr>
        <w:t>PART 3                  REGISTERING FOR AN ALLOCATION</w:t>
      </w:r>
    </w:p>
    <w:p w14:paraId="423CFC97" w14:textId="38F16A22" w:rsidR="009A0A13" w:rsidRPr="00331137" w:rsidRDefault="00AB14ED" w:rsidP="009F49B9">
      <w:pPr>
        <w:tabs>
          <w:tab w:val="left" w:pos="7170"/>
        </w:tabs>
        <w:rPr>
          <w:rFonts w:ascii="Arial" w:hAnsi="Arial" w:cs="Arial"/>
          <w:sz w:val="20"/>
          <w:szCs w:val="20"/>
          <w:lang w:eastAsia="en-AU"/>
        </w:rPr>
      </w:pPr>
      <w:r w:rsidRPr="00331137">
        <w:rPr>
          <w:rFonts w:ascii="Arial" w:hAnsi="Arial" w:cs="Arial"/>
          <w:sz w:val="20"/>
          <w:szCs w:val="20"/>
          <w:lang w:eastAsia="en-AU"/>
        </w:rPr>
        <w:t>Part 3 provides information about how people interested in obtaining a transmitter licence must register for the allocation; the register of applicants maintained by the ACMA; the initial assessment of applications and determination of lots.</w:t>
      </w:r>
    </w:p>
    <w:p w14:paraId="38B30E57" w14:textId="77777777" w:rsidR="00870CD6" w:rsidRPr="00870CD6" w:rsidRDefault="00870CD6" w:rsidP="009F49B9">
      <w:pPr>
        <w:tabs>
          <w:tab w:val="left" w:pos="7170"/>
        </w:tabs>
        <w:rPr>
          <w:b/>
          <w:lang w:eastAsia="en-AU"/>
        </w:rPr>
      </w:pPr>
      <w:r>
        <w:rPr>
          <w:b/>
          <w:lang w:eastAsia="en-AU"/>
        </w:rPr>
        <w:t xml:space="preserve">Section 3.1 – Applications </w:t>
      </w:r>
    </w:p>
    <w:p w14:paraId="4839DF25" w14:textId="6A6F74C0" w:rsidR="005D516A" w:rsidRPr="00482225" w:rsidRDefault="005D516A" w:rsidP="00482225">
      <w:pPr>
        <w:pStyle w:val="BodyText"/>
        <w:tabs>
          <w:tab w:val="left" w:pos="1320"/>
        </w:tabs>
        <w:spacing w:before="120" w:line="260" w:lineRule="atLeast"/>
        <w:rPr>
          <w:rFonts w:ascii="Arial" w:hAnsi="Arial" w:cs="Arial"/>
          <w:sz w:val="20"/>
        </w:rPr>
      </w:pPr>
      <w:r w:rsidRPr="00482225">
        <w:rPr>
          <w:rFonts w:ascii="Arial" w:hAnsi="Arial" w:cs="Arial"/>
          <w:sz w:val="20"/>
        </w:rPr>
        <w:t xml:space="preserve">Section 3.1 requires that a person who wants to register for a lot to obtain a transmitter licence must give the ACMA a completed application form </w:t>
      </w:r>
      <w:r w:rsidR="00DB2634" w:rsidRPr="00482225">
        <w:rPr>
          <w:rFonts w:ascii="Arial" w:hAnsi="Arial" w:cs="Arial"/>
          <w:sz w:val="20"/>
        </w:rPr>
        <w:t xml:space="preserve">(nominating a </w:t>
      </w:r>
      <w:r w:rsidR="009935ED" w:rsidRPr="00482225">
        <w:rPr>
          <w:rFonts w:ascii="Arial" w:hAnsi="Arial" w:cs="Arial"/>
          <w:sz w:val="20"/>
        </w:rPr>
        <w:t xml:space="preserve">transmitter site and frequency) </w:t>
      </w:r>
      <w:r w:rsidRPr="00482225">
        <w:rPr>
          <w:rFonts w:ascii="Arial" w:hAnsi="Arial" w:cs="Arial"/>
          <w:sz w:val="20"/>
        </w:rPr>
        <w:t xml:space="preserve">and Deed of Acknowledgement for each transmitter licence sought, </w:t>
      </w:r>
      <w:r w:rsidR="009935ED" w:rsidRPr="00482225">
        <w:rPr>
          <w:rFonts w:ascii="Arial" w:hAnsi="Arial" w:cs="Arial"/>
          <w:sz w:val="20"/>
        </w:rPr>
        <w:t>and</w:t>
      </w:r>
      <w:r w:rsidRPr="00482225">
        <w:rPr>
          <w:rFonts w:ascii="Arial" w:hAnsi="Arial" w:cs="Arial"/>
          <w:sz w:val="20"/>
        </w:rPr>
        <w:t xml:space="preserve"> </w:t>
      </w:r>
      <w:r w:rsidR="00762AFE">
        <w:rPr>
          <w:rFonts w:ascii="Arial" w:hAnsi="Arial" w:cs="Arial"/>
          <w:sz w:val="20"/>
        </w:rPr>
        <w:t xml:space="preserve">pay </w:t>
      </w:r>
      <w:r w:rsidRPr="00482225">
        <w:rPr>
          <w:rFonts w:ascii="Arial" w:hAnsi="Arial" w:cs="Arial"/>
          <w:sz w:val="20"/>
        </w:rPr>
        <w:t>an entry fee for each application.</w:t>
      </w:r>
    </w:p>
    <w:p w14:paraId="6F32697A" w14:textId="77777777" w:rsidR="009935ED" w:rsidRDefault="00870CD6" w:rsidP="00AC5BDF">
      <w:pPr>
        <w:keepNext/>
        <w:keepLines/>
        <w:tabs>
          <w:tab w:val="left" w:pos="7170"/>
        </w:tabs>
        <w:rPr>
          <w:b/>
          <w:lang w:eastAsia="en-AU"/>
        </w:rPr>
      </w:pPr>
      <w:r>
        <w:rPr>
          <w:b/>
          <w:lang w:eastAsia="en-AU"/>
        </w:rPr>
        <w:t>Section 3.2 – Lodging of applications</w:t>
      </w:r>
    </w:p>
    <w:p w14:paraId="7C0561C1" w14:textId="77777777" w:rsidR="00870CD6" w:rsidRPr="00482225" w:rsidRDefault="00446673" w:rsidP="00AC5BDF">
      <w:pPr>
        <w:keepNext/>
        <w:keepLines/>
        <w:tabs>
          <w:tab w:val="left" w:pos="717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3.2 requires that registration documents must be lodged with the ACMA on or before the closing date. The ACMA must confirm receipt in writing, noting the applicant’s name, address and ABN or ARBN if the applicant is a company or registrable body, as soon as practicable after receiving the documents. </w:t>
      </w:r>
    </w:p>
    <w:p w14:paraId="758433CD" w14:textId="77777777" w:rsidR="00446673" w:rsidRDefault="00933420" w:rsidP="009F49B9">
      <w:pPr>
        <w:tabs>
          <w:tab w:val="left" w:pos="7170"/>
        </w:tabs>
        <w:rPr>
          <w:b/>
          <w:lang w:eastAsia="en-AU"/>
        </w:rPr>
      </w:pPr>
      <w:r>
        <w:rPr>
          <w:b/>
          <w:lang w:eastAsia="en-AU"/>
        </w:rPr>
        <w:t>Section 3.3 – Register of applicants</w:t>
      </w:r>
    </w:p>
    <w:p w14:paraId="6BC44811" w14:textId="65BE23A0" w:rsidR="00267582" w:rsidRDefault="0055489F" w:rsidP="009F49B9">
      <w:pPr>
        <w:tabs>
          <w:tab w:val="left" w:pos="717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3.3 requires the </w:t>
      </w:r>
      <w:r w:rsidR="00933420" w:rsidRPr="00482225">
        <w:rPr>
          <w:rFonts w:ascii="Arial" w:eastAsia="Times New Roman" w:hAnsi="Arial" w:cs="Arial"/>
          <w:sz w:val="20"/>
          <w:szCs w:val="20"/>
          <w:lang w:eastAsia="en-AU"/>
        </w:rPr>
        <w:t xml:space="preserve">ACMA </w:t>
      </w:r>
      <w:r w:rsidRPr="00482225">
        <w:rPr>
          <w:rFonts w:ascii="Arial" w:eastAsia="Times New Roman" w:hAnsi="Arial" w:cs="Arial"/>
          <w:sz w:val="20"/>
          <w:szCs w:val="20"/>
          <w:lang w:eastAsia="en-AU"/>
        </w:rPr>
        <w:t>to</w:t>
      </w:r>
      <w:r w:rsidR="00933420" w:rsidRPr="00482225">
        <w:rPr>
          <w:rFonts w:ascii="Arial" w:eastAsia="Times New Roman" w:hAnsi="Arial" w:cs="Arial"/>
          <w:sz w:val="20"/>
          <w:szCs w:val="20"/>
          <w:lang w:eastAsia="en-AU"/>
        </w:rPr>
        <w:t xml:space="preserve"> maintain a register of applicants, containing the name, address, telephone number, fax number, ABN or ARBN</w:t>
      </w:r>
      <w:r w:rsidR="005C5B23" w:rsidRPr="00482225">
        <w:rPr>
          <w:rFonts w:ascii="Arial" w:eastAsia="Times New Roman" w:hAnsi="Arial" w:cs="Arial"/>
          <w:sz w:val="20"/>
          <w:szCs w:val="20"/>
          <w:lang w:eastAsia="en-AU"/>
        </w:rPr>
        <w:t>, and nominated</w:t>
      </w:r>
      <w:r w:rsidR="00267582">
        <w:rPr>
          <w:rFonts w:ascii="Arial" w:eastAsia="Times New Roman" w:hAnsi="Arial" w:cs="Arial"/>
          <w:sz w:val="20"/>
          <w:szCs w:val="20"/>
          <w:lang w:eastAsia="en-AU"/>
        </w:rPr>
        <w:t xml:space="preserve"> transmitter site and frequency</w:t>
      </w:r>
      <w:r w:rsidR="005C5B23" w:rsidRPr="00482225">
        <w:rPr>
          <w:rFonts w:ascii="Arial" w:eastAsia="Times New Roman" w:hAnsi="Arial" w:cs="Arial"/>
          <w:sz w:val="20"/>
          <w:szCs w:val="20"/>
          <w:lang w:eastAsia="en-AU"/>
        </w:rPr>
        <w:t xml:space="preserve"> for each applicant. The register may be in electronic form, and may contain any other information that the ACMA considers necessary. </w:t>
      </w:r>
      <w:r w:rsidR="00CF7E17" w:rsidRPr="00482225">
        <w:rPr>
          <w:rFonts w:ascii="Arial" w:eastAsia="Times New Roman" w:hAnsi="Arial" w:cs="Arial"/>
          <w:sz w:val="20"/>
          <w:szCs w:val="20"/>
          <w:lang w:eastAsia="en-AU"/>
        </w:rPr>
        <w:t xml:space="preserve">If the ACMA becomes aware that any information on the register is incorrect, </w:t>
      </w:r>
      <w:r w:rsidR="002474C3" w:rsidRPr="00482225">
        <w:rPr>
          <w:rFonts w:ascii="Arial" w:eastAsia="Times New Roman" w:hAnsi="Arial" w:cs="Arial"/>
          <w:sz w:val="20"/>
          <w:szCs w:val="20"/>
          <w:lang w:eastAsia="en-AU"/>
        </w:rPr>
        <w:t xml:space="preserve">or if an applicant tells the ACMA of any change of name address, telephone or fax numbers, the ACMA must make the changes to the register that it considers necessary or convenient as soon as practicable. </w:t>
      </w:r>
    </w:p>
    <w:p w14:paraId="640D931C" w14:textId="4A69B06E" w:rsidR="00933420" w:rsidRPr="00482225" w:rsidRDefault="002474C3" w:rsidP="009F49B9">
      <w:pPr>
        <w:tabs>
          <w:tab w:val="left" w:pos="717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The ACMA must ensure that any details about applicants are not disclosed until finalisation of the allocation, except as authorised by </w:t>
      </w:r>
      <w:r w:rsidR="004D6353">
        <w:rPr>
          <w:rFonts w:ascii="Arial" w:eastAsia="Times New Roman" w:hAnsi="Arial" w:cs="Arial"/>
          <w:sz w:val="20"/>
          <w:szCs w:val="20"/>
          <w:lang w:eastAsia="en-AU"/>
        </w:rPr>
        <w:t>the</w:t>
      </w:r>
      <w:r w:rsidRPr="00482225">
        <w:rPr>
          <w:rFonts w:ascii="Arial" w:eastAsia="Times New Roman" w:hAnsi="Arial" w:cs="Arial"/>
          <w:sz w:val="20"/>
          <w:szCs w:val="20"/>
          <w:lang w:eastAsia="en-AU"/>
        </w:rPr>
        <w:t xml:space="preserve"> Determination, or as otherwise authorised by law. The ACMA may publish the name of each registered applicant and the lots for which they are eligible to bid no later than five business days before the start of an auction. </w:t>
      </w:r>
    </w:p>
    <w:p w14:paraId="77D17867" w14:textId="77777777" w:rsidR="002474C3" w:rsidRDefault="002474C3" w:rsidP="009F49B9">
      <w:pPr>
        <w:tabs>
          <w:tab w:val="left" w:pos="7170"/>
        </w:tabs>
        <w:rPr>
          <w:b/>
          <w:lang w:eastAsia="en-AU"/>
        </w:rPr>
      </w:pPr>
      <w:r>
        <w:rPr>
          <w:b/>
          <w:lang w:eastAsia="en-AU"/>
        </w:rPr>
        <w:t>Section 3.4 – Registration of applicants</w:t>
      </w:r>
    </w:p>
    <w:p w14:paraId="3A050273" w14:textId="77777777" w:rsidR="002474C3" w:rsidRPr="00482225" w:rsidRDefault="0055489F" w:rsidP="009F49B9">
      <w:pPr>
        <w:tabs>
          <w:tab w:val="left" w:pos="7170"/>
        </w:tabs>
        <w:rPr>
          <w:rFonts w:ascii="Arial" w:eastAsia="Times New Roman" w:hAnsi="Arial" w:cs="Arial"/>
          <w:sz w:val="20"/>
          <w:szCs w:val="20"/>
          <w:lang w:eastAsia="en-AU"/>
        </w:rPr>
      </w:pPr>
      <w:r w:rsidRPr="00482225">
        <w:rPr>
          <w:rFonts w:ascii="Arial" w:eastAsia="Times New Roman" w:hAnsi="Arial" w:cs="Arial"/>
          <w:sz w:val="20"/>
          <w:szCs w:val="20"/>
          <w:lang w:eastAsia="en-AU"/>
        </w:rPr>
        <w:t>Section 3.4 provides that t</w:t>
      </w:r>
      <w:r w:rsidR="002474C3" w:rsidRPr="00482225">
        <w:rPr>
          <w:rFonts w:ascii="Arial" w:eastAsia="Times New Roman" w:hAnsi="Arial" w:cs="Arial"/>
          <w:sz w:val="20"/>
          <w:szCs w:val="20"/>
          <w:lang w:eastAsia="en-AU"/>
        </w:rPr>
        <w:t>he ACMA must not register an applicant unless the applicant has lodged completed registration documents and paid the entry fee. The ACMA must inform each registered applicant, in writing, that they have been registered within five business days after the closing date.</w:t>
      </w:r>
    </w:p>
    <w:p w14:paraId="6D3BD981" w14:textId="77777777" w:rsidR="005F443A" w:rsidRDefault="00CF19CF" w:rsidP="00D65DE7">
      <w:pPr>
        <w:tabs>
          <w:tab w:val="left" w:pos="7770"/>
        </w:tabs>
        <w:rPr>
          <w:b/>
          <w:lang w:eastAsia="en-AU"/>
        </w:rPr>
      </w:pPr>
      <w:r>
        <w:rPr>
          <w:b/>
          <w:lang w:eastAsia="en-AU"/>
        </w:rPr>
        <w:t>Section 3.5 – Initial assessment of potential transmitter licence for LPON service.</w:t>
      </w:r>
    </w:p>
    <w:p w14:paraId="2C142100" w14:textId="77777777" w:rsidR="00CF19CF" w:rsidRDefault="0055489F" w:rsidP="00D65DE7">
      <w:pPr>
        <w:tabs>
          <w:tab w:val="left" w:pos="777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3.5 requires that </w:t>
      </w:r>
      <w:r w:rsidR="00267582">
        <w:rPr>
          <w:rFonts w:ascii="Arial" w:eastAsia="Times New Roman" w:hAnsi="Arial" w:cs="Arial"/>
          <w:sz w:val="20"/>
          <w:szCs w:val="20"/>
          <w:lang w:eastAsia="en-AU"/>
        </w:rPr>
        <w:t>t</w:t>
      </w:r>
      <w:r w:rsidR="00CF19CF" w:rsidRPr="00482225">
        <w:rPr>
          <w:rFonts w:ascii="Arial" w:eastAsia="Times New Roman" w:hAnsi="Arial" w:cs="Arial"/>
          <w:sz w:val="20"/>
          <w:szCs w:val="20"/>
          <w:lang w:eastAsia="en-AU"/>
        </w:rPr>
        <w:t xml:space="preserve">he ACMA consider each nominated transmitter site and frequency within 20 business days after the closing date, and decide whether the proposed site and frequency is consistent with the planning model, as if each applicant were the only one for that site and frequency. </w:t>
      </w:r>
    </w:p>
    <w:p w14:paraId="5DC03734" w14:textId="111AD524" w:rsidR="0012185B" w:rsidRPr="00482225" w:rsidRDefault="0080673A" w:rsidP="00D65DE7">
      <w:pPr>
        <w:tabs>
          <w:tab w:val="left" w:pos="7770"/>
        </w:tabs>
        <w:rPr>
          <w:rFonts w:ascii="Arial" w:eastAsia="Times New Roman" w:hAnsi="Arial" w:cs="Arial"/>
          <w:sz w:val="20"/>
          <w:szCs w:val="20"/>
          <w:lang w:eastAsia="en-AU"/>
        </w:rPr>
      </w:pPr>
      <w:r>
        <w:rPr>
          <w:rFonts w:ascii="Arial" w:eastAsia="Times New Roman" w:hAnsi="Arial" w:cs="Arial"/>
          <w:sz w:val="20"/>
          <w:szCs w:val="20"/>
          <w:lang w:eastAsia="en-AU"/>
        </w:rPr>
        <w:t xml:space="preserve">The </w:t>
      </w:r>
      <w:r w:rsidR="004D6353">
        <w:rPr>
          <w:rFonts w:ascii="Arial" w:eastAsia="Times New Roman" w:hAnsi="Arial" w:cs="Arial"/>
          <w:sz w:val="20"/>
          <w:szCs w:val="20"/>
          <w:lang w:eastAsia="en-AU"/>
        </w:rPr>
        <w:t>p</w:t>
      </w:r>
      <w:r>
        <w:rPr>
          <w:rFonts w:ascii="Arial" w:eastAsia="Times New Roman" w:hAnsi="Arial" w:cs="Arial"/>
          <w:sz w:val="20"/>
          <w:szCs w:val="20"/>
          <w:lang w:eastAsia="en-AU"/>
        </w:rPr>
        <w:t xml:space="preserve">lanning </w:t>
      </w:r>
      <w:r w:rsidR="004D6353">
        <w:rPr>
          <w:rFonts w:ascii="Arial" w:eastAsia="Times New Roman" w:hAnsi="Arial" w:cs="Arial"/>
          <w:sz w:val="20"/>
          <w:szCs w:val="20"/>
          <w:lang w:eastAsia="en-AU"/>
        </w:rPr>
        <w:t>m</w:t>
      </w:r>
      <w:r>
        <w:rPr>
          <w:rFonts w:ascii="Arial" w:eastAsia="Times New Roman" w:hAnsi="Arial" w:cs="Arial"/>
          <w:sz w:val="20"/>
          <w:szCs w:val="20"/>
          <w:lang w:eastAsia="en-AU"/>
        </w:rPr>
        <w:t>odel details ACMA policy about the frequency coordination requirements for LPON transmitters. It has been developed having regard to the minimum separation distances for co-cha</w:t>
      </w:r>
      <w:r w:rsidR="00E360C9">
        <w:rPr>
          <w:rFonts w:ascii="Arial" w:eastAsia="Times New Roman" w:hAnsi="Arial" w:cs="Arial"/>
          <w:sz w:val="20"/>
          <w:szCs w:val="20"/>
          <w:lang w:eastAsia="en-AU"/>
        </w:rPr>
        <w:t>nnel and adjacent-channel LPONs;</w:t>
      </w:r>
      <w:r>
        <w:rPr>
          <w:rFonts w:ascii="Arial" w:eastAsia="Times New Roman" w:hAnsi="Arial" w:cs="Arial"/>
          <w:sz w:val="20"/>
          <w:szCs w:val="20"/>
          <w:lang w:eastAsia="en-AU"/>
        </w:rPr>
        <w:t xml:space="preserve"> the location of FM radio broadc</w:t>
      </w:r>
      <w:r w:rsidR="00E360C9">
        <w:rPr>
          <w:rFonts w:ascii="Arial" w:eastAsia="Times New Roman" w:hAnsi="Arial" w:cs="Arial"/>
          <w:sz w:val="20"/>
          <w:szCs w:val="20"/>
          <w:lang w:eastAsia="en-AU"/>
        </w:rPr>
        <w:t>asting services below 88.4 MHz; and the locations of LPON services operating within 88.1 – 108 MHz that are required to transition to the 87.5</w:t>
      </w:r>
      <w:r w:rsidR="004D6353">
        <w:rPr>
          <w:rFonts w:ascii="Arial" w:eastAsia="Times New Roman" w:hAnsi="Arial" w:cs="Arial"/>
          <w:sz w:val="20"/>
          <w:szCs w:val="20"/>
          <w:lang w:eastAsia="en-AU"/>
        </w:rPr>
        <w:t xml:space="preserve"> </w:t>
      </w:r>
      <w:r w:rsidR="00E360C9">
        <w:rPr>
          <w:rFonts w:ascii="Arial" w:eastAsia="Times New Roman" w:hAnsi="Arial" w:cs="Arial"/>
          <w:sz w:val="20"/>
          <w:szCs w:val="20"/>
          <w:lang w:eastAsia="en-AU"/>
        </w:rPr>
        <w:t>-</w:t>
      </w:r>
      <w:r w:rsidR="004D6353">
        <w:rPr>
          <w:rFonts w:ascii="Arial" w:eastAsia="Times New Roman" w:hAnsi="Arial" w:cs="Arial"/>
          <w:sz w:val="20"/>
          <w:szCs w:val="20"/>
          <w:lang w:eastAsia="en-AU"/>
        </w:rPr>
        <w:t xml:space="preserve"> </w:t>
      </w:r>
      <w:r w:rsidR="00E360C9">
        <w:rPr>
          <w:rFonts w:ascii="Arial" w:eastAsia="Times New Roman" w:hAnsi="Arial" w:cs="Arial"/>
          <w:sz w:val="20"/>
          <w:szCs w:val="20"/>
          <w:lang w:eastAsia="en-AU"/>
        </w:rPr>
        <w:t>88.0 MHz</w:t>
      </w:r>
      <w:r w:rsidR="0012185B">
        <w:rPr>
          <w:rFonts w:ascii="Arial" w:eastAsia="Times New Roman" w:hAnsi="Arial" w:cs="Arial"/>
          <w:sz w:val="20"/>
          <w:szCs w:val="20"/>
          <w:lang w:eastAsia="en-AU"/>
        </w:rPr>
        <w:t xml:space="preserve"> sub-band</w:t>
      </w:r>
      <w:r w:rsidR="00E360C9">
        <w:rPr>
          <w:rFonts w:ascii="Arial" w:eastAsia="Times New Roman" w:hAnsi="Arial" w:cs="Arial"/>
          <w:sz w:val="20"/>
          <w:szCs w:val="20"/>
          <w:lang w:eastAsia="en-AU"/>
        </w:rPr>
        <w:t xml:space="preserve">. The planning model is available at </w:t>
      </w:r>
      <w:hyperlink r:id="rId15" w:history="1">
        <w:r w:rsidR="0012185B" w:rsidRPr="00DE6E57">
          <w:rPr>
            <w:rStyle w:val="Hyperlink"/>
            <w:rFonts w:ascii="Arial" w:eastAsia="Times New Roman" w:hAnsi="Arial" w:cs="Arial"/>
            <w:sz w:val="20"/>
            <w:szCs w:val="20"/>
            <w:lang w:eastAsia="en-AU"/>
          </w:rPr>
          <w:t>www.acma.gov.au</w:t>
        </w:r>
      </w:hyperlink>
      <w:r w:rsidR="0012185B">
        <w:rPr>
          <w:rFonts w:ascii="Arial" w:eastAsia="Times New Roman" w:hAnsi="Arial" w:cs="Arial"/>
          <w:sz w:val="20"/>
          <w:szCs w:val="20"/>
          <w:lang w:eastAsia="en-AU"/>
        </w:rPr>
        <w:t>.</w:t>
      </w:r>
    </w:p>
    <w:p w14:paraId="1B42CFA6" w14:textId="77777777" w:rsidR="00CF19CF" w:rsidRDefault="00CF19CF" w:rsidP="00D65DE7">
      <w:pPr>
        <w:tabs>
          <w:tab w:val="left" w:pos="7770"/>
        </w:tabs>
        <w:rPr>
          <w:b/>
          <w:lang w:eastAsia="en-AU"/>
        </w:rPr>
      </w:pPr>
      <w:r>
        <w:rPr>
          <w:b/>
          <w:lang w:eastAsia="en-AU"/>
        </w:rPr>
        <w:t>Section 3.6 – Determination of lots</w:t>
      </w:r>
    </w:p>
    <w:p w14:paraId="6D24D431" w14:textId="540C2B36" w:rsidR="00CF19CF" w:rsidRPr="00482225" w:rsidRDefault="0055489F" w:rsidP="00D65DE7">
      <w:pPr>
        <w:tabs>
          <w:tab w:val="left" w:pos="777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3.6 </w:t>
      </w:r>
      <w:r w:rsidR="00717AA9" w:rsidRPr="00482225">
        <w:rPr>
          <w:rFonts w:ascii="Arial" w:eastAsia="Times New Roman" w:hAnsi="Arial" w:cs="Arial"/>
          <w:sz w:val="20"/>
          <w:szCs w:val="20"/>
          <w:lang w:eastAsia="en-AU"/>
        </w:rPr>
        <w:t>requires the</w:t>
      </w:r>
      <w:r w:rsidRPr="00482225">
        <w:rPr>
          <w:rFonts w:ascii="Arial" w:eastAsia="Times New Roman" w:hAnsi="Arial" w:cs="Arial"/>
          <w:sz w:val="20"/>
          <w:szCs w:val="20"/>
          <w:lang w:eastAsia="en-AU"/>
        </w:rPr>
        <w:t xml:space="preserve"> ACMA </w:t>
      </w:r>
      <w:r w:rsidR="00717AA9" w:rsidRPr="00482225">
        <w:rPr>
          <w:rFonts w:ascii="Arial" w:eastAsia="Times New Roman" w:hAnsi="Arial" w:cs="Arial"/>
          <w:sz w:val="20"/>
          <w:szCs w:val="20"/>
          <w:lang w:eastAsia="en-AU"/>
        </w:rPr>
        <w:t xml:space="preserve">to assign a lot number for each application </w:t>
      </w:r>
      <w:r w:rsidR="000916A9">
        <w:rPr>
          <w:rFonts w:ascii="Arial" w:eastAsia="Times New Roman" w:hAnsi="Arial" w:cs="Arial"/>
          <w:sz w:val="20"/>
          <w:szCs w:val="20"/>
          <w:lang w:eastAsia="en-AU"/>
        </w:rPr>
        <w:t>for which</w:t>
      </w:r>
      <w:r w:rsidR="00717AA9" w:rsidRPr="00482225">
        <w:rPr>
          <w:rFonts w:ascii="Arial" w:eastAsia="Times New Roman" w:hAnsi="Arial" w:cs="Arial"/>
          <w:sz w:val="20"/>
          <w:szCs w:val="20"/>
          <w:lang w:eastAsia="en-AU"/>
        </w:rPr>
        <w:t xml:space="preserve"> it </w:t>
      </w:r>
      <w:r w:rsidRPr="00482225">
        <w:rPr>
          <w:rFonts w:ascii="Arial" w:eastAsia="Times New Roman" w:hAnsi="Arial" w:cs="Arial"/>
          <w:sz w:val="20"/>
          <w:szCs w:val="20"/>
          <w:lang w:eastAsia="en-AU"/>
        </w:rPr>
        <w:t xml:space="preserve">decides </w:t>
      </w:r>
      <w:r w:rsidR="0056332D">
        <w:rPr>
          <w:rFonts w:ascii="Arial" w:eastAsia="Times New Roman" w:hAnsi="Arial" w:cs="Arial"/>
          <w:sz w:val="20"/>
          <w:szCs w:val="20"/>
          <w:lang w:eastAsia="en-AU"/>
        </w:rPr>
        <w:t xml:space="preserve">that the nominated transmitter site and frequency are </w:t>
      </w:r>
      <w:r w:rsidRPr="00482225">
        <w:rPr>
          <w:rFonts w:ascii="Arial" w:eastAsia="Times New Roman" w:hAnsi="Arial" w:cs="Arial"/>
          <w:sz w:val="20"/>
          <w:szCs w:val="20"/>
          <w:lang w:eastAsia="en-AU"/>
        </w:rPr>
        <w:t>cons</w:t>
      </w:r>
      <w:r w:rsidR="00717AA9" w:rsidRPr="00482225">
        <w:rPr>
          <w:rFonts w:ascii="Arial" w:eastAsia="Times New Roman" w:hAnsi="Arial" w:cs="Arial"/>
          <w:sz w:val="20"/>
          <w:szCs w:val="20"/>
          <w:lang w:eastAsia="en-AU"/>
        </w:rPr>
        <w:t>istent with the planning model</w:t>
      </w:r>
      <w:r w:rsidRPr="00482225">
        <w:rPr>
          <w:rFonts w:ascii="Arial" w:eastAsia="Times New Roman" w:hAnsi="Arial" w:cs="Arial"/>
          <w:sz w:val="20"/>
          <w:szCs w:val="20"/>
          <w:lang w:eastAsia="en-AU"/>
        </w:rPr>
        <w:t xml:space="preserve">. If two or more applicants nominate transmitter sites within the minimum separation distances specified in the planning model, and the applications are for the same frequency, the ACMA must assign all those applications the same lot number. </w:t>
      </w:r>
    </w:p>
    <w:p w14:paraId="38ED412E" w14:textId="77777777" w:rsidR="005F443A" w:rsidRDefault="00D3100F" w:rsidP="005F443A">
      <w:pPr>
        <w:rPr>
          <w:b/>
          <w:lang w:eastAsia="en-AU"/>
        </w:rPr>
      </w:pPr>
      <w:r w:rsidRPr="00AB14ED">
        <w:rPr>
          <w:b/>
          <w:lang w:eastAsia="en-AU"/>
        </w:rPr>
        <w:t>PART 4                  ALLOCATION WHERE THERE IS MORE THAN ONE APPLICANT FOR THE LOT</w:t>
      </w:r>
    </w:p>
    <w:p w14:paraId="00EA526A" w14:textId="77777777" w:rsidR="00AB14ED" w:rsidRPr="00E63303" w:rsidRDefault="00AB14ED" w:rsidP="005F443A">
      <w:pPr>
        <w:rPr>
          <w:rFonts w:ascii="Arial" w:eastAsia="Times New Roman" w:hAnsi="Arial" w:cs="Arial"/>
          <w:sz w:val="20"/>
          <w:szCs w:val="20"/>
          <w:lang w:eastAsia="en-AU"/>
        </w:rPr>
      </w:pPr>
      <w:r w:rsidRPr="00AB14ED">
        <w:rPr>
          <w:rFonts w:ascii="Arial" w:eastAsia="Times New Roman" w:hAnsi="Arial" w:cs="Arial"/>
          <w:sz w:val="20"/>
          <w:szCs w:val="20"/>
          <w:lang w:eastAsia="en-AU"/>
        </w:rPr>
        <w:t xml:space="preserve">Part 4 describes the process for allocating a licence by auction, where there is more </w:t>
      </w:r>
      <w:r w:rsidR="00E63303">
        <w:rPr>
          <w:rFonts w:ascii="Arial" w:eastAsia="Times New Roman" w:hAnsi="Arial" w:cs="Arial"/>
          <w:sz w:val="20"/>
          <w:szCs w:val="20"/>
          <w:lang w:eastAsia="en-AU"/>
        </w:rPr>
        <w:t>than one application for a lot. It includes information on who is eligible to participate in an auction; how the ACMA will notify registered applicants</w:t>
      </w:r>
      <w:r w:rsidR="00E56173">
        <w:rPr>
          <w:rFonts w:ascii="Arial" w:eastAsia="Times New Roman" w:hAnsi="Arial" w:cs="Arial"/>
          <w:sz w:val="20"/>
          <w:szCs w:val="20"/>
          <w:lang w:eastAsia="en-AU"/>
        </w:rPr>
        <w:t xml:space="preserve"> of the auction</w:t>
      </w:r>
      <w:r w:rsidR="00E63303">
        <w:rPr>
          <w:rFonts w:ascii="Arial" w:eastAsia="Times New Roman" w:hAnsi="Arial" w:cs="Arial"/>
          <w:sz w:val="20"/>
          <w:szCs w:val="20"/>
          <w:lang w:eastAsia="en-AU"/>
        </w:rPr>
        <w:t xml:space="preserve">; the payment of auction deposits by registered applicants; how registered applicants may authorise others to bid on their behalf; how to register as a bidder; how bidding will be conducted and concluded; the refund of deposits to unsuccessful bidders and </w:t>
      </w:r>
      <w:r w:rsidR="00E56173">
        <w:rPr>
          <w:rFonts w:ascii="Arial" w:eastAsia="Times New Roman" w:hAnsi="Arial" w:cs="Arial"/>
          <w:sz w:val="20"/>
          <w:szCs w:val="20"/>
          <w:lang w:eastAsia="en-AU"/>
        </w:rPr>
        <w:t>the treatment of unallocated lots.</w:t>
      </w:r>
    </w:p>
    <w:p w14:paraId="386851AC" w14:textId="77777777" w:rsidR="00D3100F" w:rsidRDefault="00F94118" w:rsidP="005F443A">
      <w:pPr>
        <w:rPr>
          <w:b/>
          <w:lang w:eastAsia="en-AU"/>
        </w:rPr>
      </w:pPr>
      <w:r>
        <w:rPr>
          <w:b/>
          <w:lang w:eastAsia="en-AU"/>
        </w:rPr>
        <w:t>Section 4.1 – Application of Part 4</w:t>
      </w:r>
    </w:p>
    <w:p w14:paraId="151210ED" w14:textId="77777777" w:rsidR="00F94118" w:rsidRPr="00482225" w:rsidRDefault="00EE0145" w:rsidP="005F443A">
      <w:pPr>
        <w:rPr>
          <w:rFonts w:ascii="Arial" w:eastAsia="Times New Roman" w:hAnsi="Arial" w:cs="Arial"/>
          <w:sz w:val="20"/>
          <w:szCs w:val="20"/>
          <w:lang w:eastAsia="en-AU"/>
        </w:rPr>
      </w:pPr>
      <w:r w:rsidRPr="00482225">
        <w:rPr>
          <w:rFonts w:ascii="Arial" w:eastAsia="Times New Roman" w:hAnsi="Arial" w:cs="Arial"/>
          <w:sz w:val="20"/>
          <w:szCs w:val="20"/>
          <w:lang w:eastAsia="en-AU"/>
        </w:rPr>
        <w:t>Section 4.1 provides that Part 4 applies if there is more than one applicant for a lot.</w:t>
      </w:r>
    </w:p>
    <w:p w14:paraId="71200014" w14:textId="77777777" w:rsidR="00EE0145" w:rsidRDefault="00EE0145" w:rsidP="005F443A">
      <w:pPr>
        <w:rPr>
          <w:b/>
          <w:lang w:eastAsia="en-AU"/>
        </w:rPr>
      </w:pPr>
      <w:r>
        <w:rPr>
          <w:b/>
          <w:lang w:eastAsia="en-AU"/>
        </w:rPr>
        <w:t>Section 4.2 – Holding an auction</w:t>
      </w:r>
    </w:p>
    <w:p w14:paraId="73AFF101" w14:textId="4D6F8FCF" w:rsidR="00EE0145" w:rsidRPr="00482225" w:rsidRDefault="006A3B39" w:rsidP="005F443A">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4.2 requires that the ACMA hold an auction for allocation of </w:t>
      </w:r>
      <w:r w:rsidR="00D45459" w:rsidRPr="00482225">
        <w:rPr>
          <w:rFonts w:ascii="Arial" w:eastAsia="Times New Roman" w:hAnsi="Arial" w:cs="Arial"/>
          <w:sz w:val="20"/>
          <w:szCs w:val="20"/>
          <w:lang w:eastAsia="en-AU"/>
        </w:rPr>
        <w:t xml:space="preserve">the lot, or lots, in accordance with the Determination. </w:t>
      </w:r>
    </w:p>
    <w:p w14:paraId="3FBDA960" w14:textId="77777777" w:rsidR="001458D9" w:rsidRDefault="001458D9" w:rsidP="005F443A">
      <w:pPr>
        <w:rPr>
          <w:b/>
          <w:lang w:eastAsia="en-AU"/>
        </w:rPr>
      </w:pPr>
      <w:r>
        <w:rPr>
          <w:b/>
          <w:lang w:eastAsia="en-AU"/>
        </w:rPr>
        <w:t>Section 4.3 – Appointment of auctioneer</w:t>
      </w:r>
    </w:p>
    <w:p w14:paraId="6A17A502" w14:textId="77777777" w:rsidR="001458D9" w:rsidRPr="00482225" w:rsidRDefault="001458D9" w:rsidP="005F443A">
      <w:pPr>
        <w:rPr>
          <w:rFonts w:ascii="Arial" w:eastAsia="Times New Roman" w:hAnsi="Arial" w:cs="Arial"/>
          <w:sz w:val="20"/>
          <w:szCs w:val="20"/>
          <w:lang w:eastAsia="en-AU"/>
        </w:rPr>
      </w:pPr>
      <w:r w:rsidRPr="00482225">
        <w:rPr>
          <w:rFonts w:ascii="Arial" w:eastAsia="Times New Roman" w:hAnsi="Arial" w:cs="Arial"/>
          <w:sz w:val="20"/>
          <w:szCs w:val="20"/>
          <w:lang w:eastAsia="en-AU"/>
        </w:rPr>
        <w:t>Section 4.3 requires the ACMA to appoint a person as auctioneer to conduct the auction.</w:t>
      </w:r>
    </w:p>
    <w:p w14:paraId="28223577" w14:textId="77777777" w:rsidR="001458D9" w:rsidRDefault="001458D9" w:rsidP="005F443A">
      <w:pPr>
        <w:rPr>
          <w:b/>
          <w:lang w:eastAsia="en-AU"/>
        </w:rPr>
      </w:pPr>
      <w:r>
        <w:rPr>
          <w:b/>
          <w:lang w:eastAsia="en-AU"/>
        </w:rPr>
        <w:t>Section 4.4 – Eligibility of applicants to participate in an auction for a lot</w:t>
      </w:r>
    </w:p>
    <w:p w14:paraId="4369D3BF" w14:textId="77777777" w:rsidR="001458D9" w:rsidRPr="00482225" w:rsidRDefault="001458D9" w:rsidP="005F443A">
      <w:pPr>
        <w:rPr>
          <w:rFonts w:ascii="Arial" w:eastAsia="Times New Roman" w:hAnsi="Arial" w:cs="Arial"/>
          <w:sz w:val="20"/>
          <w:szCs w:val="20"/>
          <w:lang w:eastAsia="en-AU"/>
        </w:rPr>
      </w:pPr>
      <w:r w:rsidRPr="00482225">
        <w:rPr>
          <w:rFonts w:ascii="Arial" w:eastAsia="Times New Roman" w:hAnsi="Arial" w:cs="Arial"/>
          <w:sz w:val="20"/>
          <w:szCs w:val="20"/>
          <w:lang w:eastAsia="en-AU"/>
        </w:rPr>
        <w:t>Section 4.4 provides that a registered applicant is only eligible to participate in an auction for a lot if the applicant has nominated the transmitter site and frequency included in that lot in their registration documents.</w:t>
      </w:r>
    </w:p>
    <w:p w14:paraId="4DED2518" w14:textId="77777777" w:rsidR="001458D9" w:rsidRDefault="001458D9" w:rsidP="005F443A">
      <w:pPr>
        <w:rPr>
          <w:b/>
          <w:lang w:eastAsia="en-AU"/>
        </w:rPr>
      </w:pPr>
      <w:r>
        <w:rPr>
          <w:b/>
          <w:lang w:eastAsia="en-AU"/>
        </w:rPr>
        <w:t>Section 4.5 – Notice to registered applicant</w:t>
      </w:r>
    </w:p>
    <w:p w14:paraId="1DB4FA57" w14:textId="00EDB6AE" w:rsidR="001458D9" w:rsidRPr="00482225" w:rsidRDefault="00FA7837" w:rsidP="005F443A">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4.5 requires the ACMA to give each registered applicant who is eligible to participate in an auction for a </w:t>
      </w:r>
      <w:r w:rsidR="00557293">
        <w:rPr>
          <w:rFonts w:ascii="Arial" w:eastAsia="Times New Roman" w:hAnsi="Arial" w:cs="Arial"/>
          <w:sz w:val="20"/>
          <w:szCs w:val="20"/>
          <w:lang w:eastAsia="en-AU"/>
        </w:rPr>
        <w:t xml:space="preserve">particular </w:t>
      </w:r>
      <w:r w:rsidRPr="00482225">
        <w:rPr>
          <w:rFonts w:ascii="Arial" w:eastAsia="Times New Roman" w:hAnsi="Arial" w:cs="Arial"/>
          <w:sz w:val="20"/>
          <w:szCs w:val="20"/>
          <w:lang w:eastAsia="en-AU"/>
        </w:rPr>
        <w:t>lot, within 25 business day</w:t>
      </w:r>
      <w:r w:rsidR="0078541E">
        <w:rPr>
          <w:rFonts w:ascii="Arial" w:eastAsia="Times New Roman" w:hAnsi="Arial" w:cs="Arial"/>
          <w:sz w:val="20"/>
          <w:szCs w:val="20"/>
          <w:lang w:eastAsia="en-AU"/>
        </w:rPr>
        <w:t>s</w:t>
      </w:r>
      <w:r w:rsidRPr="00482225">
        <w:rPr>
          <w:rFonts w:ascii="Arial" w:eastAsia="Times New Roman" w:hAnsi="Arial" w:cs="Arial"/>
          <w:sz w:val="20"/>
          <w:szCs w:val="20"/>
          <w:lang w:eastAsia="en-AU"/>
        </w:rPr>
        <w:t xml:space="preserve"> after the closing date, </w:t>
      </w:r>
      <w:r w:rsidR="00557293">
        <w:rPr>
          <w:rFonts w:ascii="Arial" w:eastAsia="Times New Roman" w:hAnsi="Arial" w:cs="Arial"/>
          <w:sz w:val="20"/>
          <w:szCs w:val="20"/>
          <w:lang w:eastAsia="en-AU"/>
        </w:rPr>
        <w:t xml:space="preserve">a </w:t>
      </w:r>
      <w:r w:rsidR="00E05471">
        <w:rPr>
          <w:rFonts w:ascii="Arial" w:eastAsia="Times New Roman" w:hAnsi="Arial" w:cs="Arial"/>
          <w:sz w:val="20"/>
          <w:szCs w:val="20"/>
          <w:lang w:eastAsia="en-AU"/>
        </w:rPr>
        <w:t>notice setting out that</w:t>
      </w:r>
      <w:r w:rsidRPr="00482225">
        <w:rPr>
          <w:rFonts w:ascii="Arial" w:eastAsia="Times New Roman" w:hAnsi="Arial" w:cs="Arial"/>
          <w:sz w:val="20"/>
          <w:szCs w:val="20"/>
          <w:lang w:eastAsia="en-AU"/>
        </w:rPr>
        <w:t>:</w:t>
      </w:r>
    </w:p>
    <w:p w14:paraId="42F48F4E" w14:textId="77777777" w:rsidR="00FA7837" w:rsidRPr="00482225" w:rsidRDefault="0078541E" w:rsidP="00FA7837">
      <w:pPr>
        <w:pStyle w:val="ListParagraph"/>
        <w:numPr>
          <w:ilvl w:val="0"/>
          <w:numId w:val="3"/>
        </w:numPr>
        <w:rPr>
          <w:rFonts w:ascii="Arial" w:eastAsia="Times New Roman" w:hAnsi="Arial" w:cs="Arial"/>
          <w:sz w:val="20"/>
          <w:szCs w:val="20"/>
          <w:lang w:eastAsia="en-AU"/>
        </w:rPr>
      </w:pPr>
      <w:r>
        <w:rPr>
          <w:rFonts w:ascii="Arial" w:eastAsia="Times New Roman" w:hAnsi="Arial" w:cs="Arial"/>
          <w:sz w:val="20"/>
          <w:szCs w:val="20"/>
          <w:lang w:eastAsia="en-AU"/>
        </w:rPr>
        <w:t>t</w:t>
      </w:r>
      <w:r w:rsidR="00FA7837" w:rsidRPr="00482225">
        <w:rPr>
          <w:rFonts w:ascii="Arial" w:eastAsia="Times New Roman" w:hAnsi="Arial" w:cs="Arial"/>
          <w:sz w:val="20"/>
          <w:szCs w:val="20"/>
          <w:lang w:eastAsia="en-AU"/>
        </w:rPr>
        <w:t>here is more than one registered applicant eligible to participate in the auction for the lot, and the number of applicants;</w:t>
      </w:r>
    </w:p>
    <w:p w14:paraId="3B2A89EA" w14:textId="3AB4C75D" w:rsidR="00FA7837" w:rsidRPr="00482225" w:rsidRDefault="00FA7837" w:rsidP="00FA7837">
      <w:pPr>
        <w:pStyle w:val="ListParagraph"/>
        <w:numPr>
          <w:ilvl w:val="0"/>
          <w:numId w:val="3"/>
        </w:numPr>
        <w:rPr>
          <w:rFonts w:ascii="Arial" w:eastAsia="Times New Roman" w:hAnsi="Arial" w:cs="Arial"/>
          <w:sz w:val="20"/>
          <w:szCs w:val="20"/>
          <w:lang w:eastAsia="en-AU"/>
        </w:rPr>
      </w:pPr>
      <w:r w:rsidRPr="00482225">
        <w:rPr>
          <w:rFonts w:ascii="Arial" w:eastAsia="Times New Roman" w:hAnsi="Arial" w:cs="Arial"/>
          <w:sz w:val="20"/>
          <w:szCs w:val="20"/>
          <w:lang w:eastAsia="en-AU"/>
        </w:rPr>
        <w:t>the ACMA will conduct an auction for that lot;</w:t>
      </w:r>
    </w:p>
    <w:p w14:paraId="69F9A308" w14:textId="77777777" w:rsidR="00FA7837" w:rsidRPr="00482225" w:rsidRDefault="0078541E" w:rsidP="00FA7837">
      <w:pPr>
        <w:pStyle w:val="ListParagraph"/>
        <w:numPr>
          <w:ilvl w:val="0"/>
          <w:numId w:val="3"/>
        </w:numPr>
        <w:rPr>
          <w:rFonts w:ascii="Arial" w:eastAsia="Times New Roman" w:hAnsi="Arial" w:cs="Arial"/>
          <w:sz w:val="20"/>
          <w:szCs w:val="20"/>
          <w:lang w:eastAsia="en-AU"/>
        </w:rPr>
      </w:pPr>
      <w:r>
        <w:rPr>
          <w:rFonts w:ascii="Arial" w:eastAsia="Times New Roman" w:hAnsi="Arial" w:cs="Arial"/>
          <w:sz w:val="20"/>
          <w:szCs w:val="20"/>
          <w:lang w:eastAsia="en-AU"/>
        </w:rPr>
        <w:t>t</w:t>
      </w:r>
      <w:r w:rsidR="00FA7837" w:rsidRPr="00482225">
        <w:rPr>
          <w:rFonts w:ascii="Arial" w:eastAsia="Times New Roman" w:hAnsi="Arial" w:cs="Arial"/>
          <w:sz w:val="20"/>
          <w:szCs w:val="20"/>
          <w:lang w:eastAsia="en-AU"/>
        </w:rPr>
        <w:t>he starting time, date and place of the auction;</w:t>
      </w:r>
    </w:p>
    <w:p w14:paraId="28F05F9F" w14:textId="77777777" w:rsidR="00FA7837" w:rsidRPr="00482225" w:rsidRDefault="0078541E" w:rsidP="00FA7837">
      <w:pPr>
        <w:pStyle w:val="ListParagraph"/>
        <w:numPr>
          <w:ilvl w:val="0"/>
          <w:numId w:val="3"/>
        </w:numPr>
        <w:rPr>
          <w:rFonts w:ascii="Arial" w:eastAsia="Times New Roman" w:hAnsi="Arial" w:cs="Arial"/>
          <w:sz w:val="20"/>
          <w:szCs w:val="20"/>
          <w:lang w:eastAsia="en-AU"/>
        </w:rPr>
      </w:pPr>
      <w:r>
        <w:rPr>
          <w:rFonts w:ascii="Arial" w:eastAsia="Times New Roman" w:hAnsi="Arial" w:cs="Arial"/>
          <w:sz w:val="20"/>
          <w:szCs w:val="20"/>
          <w:lang w:eastAsia="en-AU"/>
        </w:rPr>
        <w:t>t</w:t>
      </w:r>
      <w:r w:rsidR="00FA7837" w:rsidRPr="00482225">
        <w:rPr>
          <w:rFonts w:ascii="Arial" w:eastAsia="Times New Roman" w:hAnsi="Arial" w:cs="Arial"/>
          <w:sz w:val="20"/>
          <w:szCs w:val="20"/>
          <w:lang w:eastAsia="en-AU"/>
        </w:rPr>
        <w:t>he auction deposit amount for that lot; and</w:t>
      </w:r>
    </w:p>
    <w:p w14:paraId="289117F3" w14:textId="77777777" w:rsidR="00FA7837" w:rsidRPr="00482225" w:rsidRDefault="0078541E" w:rsidP="00FA7837">
      <w:pPr>
        <w:pStyle w:val="ListParagraph"/>
        <w:numPr>
          <w:ilvl w:val="0"/>
          <w:numId w:val="3"/>
        </w:numPr>
        <w:rPr>
          <w:rFonts w:ascii="Arial" w:eastAsia="Times New Roman" w:hAnsi="Arial" w:cs="Arial"/>
          <w:sz w:val="20"/>
          <w:szCs w:val="20"/>
          <w:lang w:eastAsia="en-AU"/>
        </w:rPr>
      </w:pPr>
      <w:proofErr w:type="gramStart"/>
      <w:r>
        <w:rPr>
          <w:rFonts w:ascii="Arial" w:eastAsia="Times New Roman" w:hAnsi="Arial" w:cs="Arial"/>
          <w:sz w:val="20"/>
          <w:szCs w:val="20"/>
          <w:lang w:eastAsia="en-AU"/>
        </w:rPr>
        <w:t>t</w:t>
      </w:r>
      <w:r w:rsidR="00FA7837" w:rsidRPr="00482225">
        <w:rPr>
          <w:rFonts w:ascii="Arial" w:eastAsia="Times New Roman" w:hAnsi="Arial" w:cs="Arial"/>
          <w:sz w:val="20"/>
          <w:szCs w:val="20"/>
          <w:lang w:eastAsia="en-AU"/>
        </w:rPr>
        <w:t>he</w:t>
      </w:r>
      <w:proofErr w:type="gramEnd"/>
      <w:r w:rsidR="00FA7837" w:rsidRPr="00482225">
        <w:rPr>
          <w:rFonts w:ascii="Arial" w:eastAsia="Times New Roman" w:hAnsi="Arial" w:cs="Arial"/>
          <w:sz w:val="20"/>
          <w:szCs w:val="20"/>
          <w:lang w:eastAsia="en-AU"/>
        </w:rPr>
        <w:t xml:space="preserve"> date by which the auction deposit must be paid and the Form of Authority lodged. </w:t>
      </w:r>
    </w:p>
    <w:p w14:paraId="7FDDF93C" w14:textId="77777777" w:rsidR="00E05471" w:rsidRDefault="00E05471" w:rsidP="007D60A5">
      <w:pPr>
        <w:rPr>
          <w:rFonts w:ascii="Arial" w:eastAsia="Times New Roman" w:hAnsi="Arial" w:cs="Arial"/>
          <w:sz w:val="20"/>
          <w:szCs w:val="20"/>
          <w:lang w:eastAsia="en-AU"/>
        </w:rPr>
      </w:pPr>
      <w:r>
        <w:rPr>
          <w:rFonts w:ascii="Arial" w:eastAsia="Times New Roman" w:hAnsi="Arial" w:cs="Arial"/>
          <w:sz w:val="20"/>
          <w:szCs w:val="20"/>
          <w:lang w:eastAsia="en-AU"/>
        </w:rPr>
        <w:t xml:space="preserve">The ACMA must also provide each eligible registered applicant with the Form of Authority to be completed for each person authorised by the applicant to bid at the auction on its behalf. </w:t>
      </w:r>
    </w:p>
    <w:p w14:paraId="6150A02A" w14:textId="55BBACE4" w:rsidR="00DE1CE1" w:rsidRPr="00482225" w:rsidRDefault="00CE0D07" w:rsidP="007D60A5">
      <w:pPr>
        <w:rPr>
          <w:rFonts w:ascii="Arial" w:eastAsia="Times New Roman" w:hAnsi="Arial" w:cs="Arial"/>
          <w:sz w:val="20"/>
          <w:szCs w:val="20"/>
          <w:lang w:eastAsia="en-AU"/>
        </w:rPr>
      </w:pPr>
      <w:r w:rsidRPr="00482225">
        <w:rPr>
          <w:rFonts w:ascii="Arial" w:eastAsia="Times New Roman" w:hAnsi="Arial" w:cs="Arial"/>
          <w:sz w:val="20"/>
          <w:szCs w:val="20"/>
          <w:lang w:eastAsia="en-AU"/>
        </w:rPr>
        <w:t>The ACMA may change the number of registered applicants eligible to participate in the auction</w:t>
      </w:r>
      <w:r w:rsidR="00F01E75">
        <w:rPr>
          <w:rFonts w:ascii="Arial" w:eastAsia="Times New Roman" w:hAnsi="Arial" w:cs="Arial"/>
          <w:sz w:val="20"/>
          <w:szCs w:val="20"/>
          <w:lang w:eastAsia="en-AU"/>
        </w:rPr>
        <w:t>,</w:t>
      </w:r>
      <w:r w:rsidRPr="00482225">
        <w:rPr>
          <w:rFonts w:ascii="Arial" w:eastAsia="Times New Roman" w:hAnsi="Arial" w:cs="Arial"/>
          <w:sz w:val="20"/>
          <w:szCs w:val="20"/>
          <w:lang w:eastAsia="en-AU"/>
        </w:rPr>
        <w:t xml:space="preserve"> and the starting time, date and place of the auction provided that any change in the starting date is not </w:t>
      </w:r>
      <w:r w:rsidR="00F01E75">
        <w:rPr>
          <w:rFonts w:ascii="Arial" w:eastAsia="Times New Roman" w:hAnsi="Arial" w:cs="Arial"/>
          <w:sz w:val="20"/>
          <w:szCs w:val="20"/>
          <w:lang w:eastAsia="en-AU"/>
        </w:rPr>
        <w:t xml:space="preserve">a change to an </w:t>
      </w:r>
      <w:r w:rsidRPr="00482225">
        <w:rPr>
          <w:rFonts w:ascii="Arial" w:eastAsia="Times New Roman" w:hAnsi="Arial" w:cs="Arial"/>
          <w:sz w:val="20"/>
          <w:szCs w:val="20"/>
          <w:lang w:eastAsia="en-AU"/>
        </w:rPr>
        <w:t xml:space="preserve">earlier </w:t>
      </w:r>
      <w:proofErr w:type="gramStart"/>
      <w:r w:rsidR="00F01E75">
        <w:rPr>
          <w:rFonts w:ascii="Arial" w:eastAsia="Times New Roman" w:hAnsi="Arial" w:cs="Arial"/>
          <w:sz w:val="20"/>
          <w:szCs w:val="20"/>
          <w:lang w:eastAsia="en-AU"/>
        </w:rPr>
        <w:t xml:space="preserve">date </w:t>
      </w:r>
      <w:r w:rsidRPr="00482225">
        <w:rPr>
          <w:rFonts w:ascii="Arial" w:eastAsia="Times New Roman" w:hAnsi="Arial" w:cs="Arial"/>
          <w:sz w:val="20"/>
          <w:szCs w:val="20"/>
          <w:lang w:eastAsia="en-AU"/>
        </w:rPr>
        <w:t>.</w:t>
      </w:r>
      <w:proofErr w:type="gramEnd"/>
      <w:r w:rsidRPr="00482225">
        <w:rPr>
          <w:rFonts w:ascii="Arial" w:eastAsia="Times New Roman" w:hAnsi="Arial" w:cs="Arial"/>
          <w:sz w:val="20"/>
          <w:szCs w:val="20"/>
          <w:lang w:eastAsia="en-AU"/>
        </w:rPr>
        <w:t xml:space="preserve"> If the ACMA changes such information it must tell all affected applicants of the change in writing as soon as practicable.</w:t>
      </w:r>
    </w:p>
    <w:p w14:paraId="6D1D51C2" w14:textId="77777777" w:rsidR="00DE1CE1" w:rsidRDefault="00DE1CE1" w:rsidP="007D60A5">
      <w:pPr>
        <w:rPr>
          <w:b/>
          <w:lang w:eastAsia="en-AU"/>
        </w:rPr>
      </w:pPr>
      <w:r>
        <w:rPr>
          <w:b/>
          <w:lang w:eastAsia="en-AU"/>
        </w:rPr>
        <w:t>Section 4.6 – Payment of auction deposit</w:t>
      </w:r>
    </w:p>
    <w:p w14:paraId="18D66BE7" w14:textId="71E292A0" w:rsidR="007D60A5" w:rsidRPr="00482225" w:rsidRDefault="00FB66A9" w:rsidP="007D60A5">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4.6 requires registered applicants intending to bid at auction to pay an auction deposit for each lot for which they are eligible and intend to bid. The auction deposit for a lot is fully refundable if the applicant withdraws prior to the start of the auction, or if the applicant is not a successful bidder for that lot. </w:t>
      </w:r>
      <w:r w:rsidR="002E767A">
        <w:rPr>
          <w:rFonts w:ascii="Arial" w:eastAsia="Times New Roman" w:hAnsi="Arial" w:cs="Arial"/>
          <w:sz w:val="20"/>
          <w:szCs w:val="20"/>
          <w:lang w:eastAsia="en-AU"/>
        </w:rPr>
        <w:t xml:space="preserve">The </w:t>
      </w:r>
      <w:r w:rsidRPr="00482225">
        <w:rPr>
          <w:rFonts w:ascii="Arial" w:eastAsia="Times New Roman" w:hAnsi="Arial" w:cs="Arial"/>
          <w:sz w:val="20"/>
          <w:szCs w:val="20"/>
          <w:lang w:eastAsia="en-AU"/>
        </w:rPr>
        <w:t>auction deposit is forfeited</w:t>
      </w:r>
      <w:r w:rsidR="002E767A">
        <w:rPr>
          <w:rFonts w:ascii="Arial" w:eastAsia="Times New Roman" w:hAnsi="Arial" w:cs="Arial"/>
          <w:sz w:val="20"/>
          <w:szCs w:val="20"/>
          <w:lang w:eastAsia="en-AU"/>
        </w:rPr>
        <w:t xml:space="preserve"> if the applicant is a successful applicant who fails to pay the balance of the bid price in accordance with section 6.3</w:t>
      </w:r>
      <w:r w:rsidRPr="00482225">
        <w:rPr>
          <w:rFonts w:ascii="Arial" w:eastAsia="Times New Roman" w:hAnsi="Arial" w:cs="Arial"/>
          <w:sz w:val="20"/>
          <w:szCs w:val="20"/>
          <w:lang w:eastAsia="en-AU"/>
        </w:rPr>
        <w:t xml:space="preserve">. Registered applicants who have not paid an auction deposit for a particular lot will not be eligible to bid on that lot. </w:t>
      </w:r>
    </w:p>
    <w:p w14:paraId="74F62A19" w14:textId="77777777" w:rsidR="00FB66A9" w:rsidRDefault="006A4392" w:rsidP="007D60A5">
      <w:pPr>
        <w:rPr>
          <w:b/>
          <w:lang w:eastAsia="en-AU"/>
        </w:rPr>
      </w:pPr>
      <w:r>
        <w:rPr>
          <w:b/>
          <w:lang w:eastAsia="en-AU"/>
        </w:rPr>
        <w:t>4.7 – Confirmation of registration for auction</w:t>
      </w:r>
    </w:p>
    <w:p w14:paraId="22B9EF3B" w14:textId="5935CDCB" w:rsidR="006A4392" w:rsidRPr="00482225" w:rsidRDefault="006A4392" w:rsidP="007D60A5">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4.7 </w:t>
      </w:r>
      <w:r w:rsidR="002535C6" w:rsidRPr="00482225">
        <w:rPr>
          <w:rFonts w:ascii="Arial" w:eastAsia="Times New Roman" w:hAnsi="Arial" w:cs="Arial"/>
          <w:sz w:val="20"/>
          <w:szCs w:val="20"/>
          <w:lang w:eastAsia="en-AU"/>
        </w:rPr>
        <w:t>requires the ACMA to confirm in a notice to each registered applicant, within 15 business days before the start of the auction:</w:t>
      </w:r>
    </w:p>
    <w:p w14:paraId="521B5E82" w14:textId="77777777" w:rsidR="002535C6" w:rsidRPr="00482225" w:rsidRDefault="0078541E" w:rsidP="002535C6">
      <w:pPr>
        <w:pStyle w:val="ListParagraph"/>
        <w:numPr>
          <w:ilvl w:val="0"/>
          <w:numId w:val="4"/>
        </w:numPr>
        <w:rPr>
          <w:rFonts w:ascii="Arial" w:eastAsia="Times New Roman" w:hAnsi="Arial" w:cs="Arial"/>
          <w:sz w:val="20"/>
          <w:szCs w:val="20"/>
          <w:lang w:eastAsia="en-AU"/>
        </w:rPr>
      </w:pPr>
      <w:r>
        <w:rPr>
          <w:rFonts w:ascii="Arial" w:eastAsia="Times New Roman" w:hAnsi="Arial" w:cs="Arial"/>
          <w:sz w:val="20"/>
          <w:szCs w:val="20"/>
          <w:lang w:eastAsia="en-AU"/>
        </w:rPr>
        <w:t>t</w:t>
      </w:r>
      <w:r w:rsidR="002535C6" w:rsidRPr="00482225">
        <w:rPr>
          <w:rFonts w:ascii="Arial" w:eastAsia="Times New Roman" w:hAnsi="Arial" w:cs="Arial"/>
          <w:sz w:val="20"/>
          <w:szCs w:val="20"/>
          <w:lang w:eastAsia="en-AU"/>
        </w:rPr>
        <w:t>he applicant’s payment of the auction deposit for each lot;</w:t>
      </w:r>
    </w:p>
    <w:p w14:paraId="7F058447" w14:textId="77777777" w:rsidR="002535C6" w:rsidRPr="00482225" w:rsidRDefault="0078541E" w:rsidP="002535C6">
      <w:pPr>
        <w:pStyle w:val="ListParagraph"/>
        <w:numPr>
          <w:ilvl w:val="0"/>
          <w:numId w:val="4"/>
        </w:numPr>
        <w:rPr>
          <w:rFonts w:ascii="Arial" w:eastAsia="Times New Roman" w:hAnsi="Arial" w:cs="Arial"/>
          <w:sz w:val="20"/>
          <w:szCs w:val="20"/>
          <w:lang w:eastAsia="en-AU"/>
        </w:rPr>
      </w:pPr>
      <w:r>
        <w:rPr>
          <w:rFonts w:ascii="Arial" w:eastAsia="Times New Roman" w:hAnsi="Arial" w:cs="Arial"/>
          <w:sz w:val="20"/>
          <w:szCs w:val="20"/>
          <w:lang w:eastAsia="en-AU"/>
        </w:rPr>
        <w:t>e</w:t>
      </w:r>
      <w:r w:rsidR="002535C6" w:rsidRPr="00482225">
        <w:rPr>
          <w:rFonts w:ascii="Arial" w:eastAsia="Times New Roman" w:hAnsi="Arial" w:cs="Arial"/>
          <w:sz w:val="20"/>
          <w:szCs w:val="20"/>
          <w:lang w:eastAsia="en-AU"/>
        </w:rPr>
        <w:t>ach person for whom the applicant has lodged a Form of Authority;</w:t>
      </w:r>
    </w:p>
    <w:p w14:paraId="11B09CF2" w14:textId="77777777" w:rsidR="002535C6" w:rsidRPr="00482225" w:rsidRDefault="0078541E" w:rsidP="002535C6">
      <w:pPr>
        <w:pStyle w:val="ListParagraph"/>
        <w:numPr>
          <w:ilvl w:val="0"/>
          <w:numId w:val="4"/>
        </w:numPr>
        <w:rPr>
          <w:rFonts w:ascii="Arial" w:eastAsia="Times New Roman" w:hAnsi="Arial" w:cs="Arial"/>
          <w:sz w:val="20"/>
          <w:szCs w:val="20"/>
          <w:lang w:eastAsia="en-AU"/>
        </w:rPr>
      </w:pPr>
      <w:r>
        <w:rPr>
          <w:rFonts w:ascii="Arial" w:eastAsia="Times New Roman" w:hAnsi="Arial" w:cs="Arial"/>
          <w:sz w:val="20"/>
          <w:szCs w:val="20"/>
          <w:lang w:eastAsia="en-AU"/>
        </w:rPr>
        <w:t>e</w:t>
      </w:r>
      <w:r w:rsidR="002535C6" w:rsidRPr="00482225">
        <w:rPr>
          <w:rFonts w:ascii="Arial" w:eastAsia="Times New Roman" w:hAnsi="Arial" w:cs="Arial"/>
          <w:sz w:val="20"/>
          <w:szCs w:val="20"/>
          <w:lang w:eastAsia="en-AU"/>
        </w:rPr>
        <w:t>ach lot for which the applicant is eligible to bid;</w:t>
      </w:r>
    </w:p>
    <w:p w14:paraId="3F819AD9" w14:textId="77777777" w:rsidR="002535C6" w:rsidRPr="00482225" w:rsidRDefault="0078541E" w:rsidP="002535C6">
      <w:pPr>
        <w:pStyle w:val="ListParagraph"/>
        <w:numPr>
          <w:ilvl w:val="0"/>
          <w:numId w:val="4"/>
        </w:numPr>
        <w:rPr>
          <w:rFonts w:ascii="Arial" w:eastAsia="Times New Roman" w:hAnsi="Arial" w:cs="Arial"/>
          <w:sz w:val="20"/>
          <w:szCs w:val="20"/>
          <w:lang w:eastAsia="en-AU"/>
        </w:rPr>
      </w:pPr>
      <w:proofErr w:type="gramStart"/>
      <w:r>
        <w:rPr>
          <w:rFonts w:ascii="Arial" w:eastAsia="Times New Roman" w:hAnsi="Arial" w:cs="Arial"/>
          <w:sz w:val="20"/>
          <w:szCs w:val="20"/>
          <w:lang w:eastAsia="en-AU"/>
        </w:rPr>
        <w:t>w</w:t>
      </w:r>
      <w:r w:rsidR="002535C6" w:rsidRPr="00482225">
        <w:rPr>
          <w:rFonts w:ascii="Arial" w:eastAsia="Times New Roman" w:hAnsi="Arial" w:cs="Arial"/>
          <w:sz w:val="20"/>
          <w:szCs w:val="20"/>
          <w:lang w:eastAsia="en-AU"/>
        </w:rPr>
        <w:t>hether</w:t>
      </w:r>
      <w:proofErr w:type="gramEnd"/>
      <w:r w:rsidR="002535C6" w:rsidRPr="00482225">
        <w:rPr>
          <w:rFonts w:ascii="Arial" w:eastAsia="Times New Roman" w:hAnsi="Arial" w:cs="Arial"/>
          <w:sz w:val="20"/>
          <w:szCs w:val="20"/>
          <w:lang w:eastAsia="en-AU"/>
        </w:rPr>
        <w:t xml:space="preserve"> the ACMA will allow telephone bidding at the auction.</w:t>
      </w:r>
    </w:p>
    <w:p w14:paraId="6A1E53BE" w14:textId="77777777" w:rsidR="002535C6" w:rsidRDefault="00EB0FAC" w:rsidP="002535C6">
      <w:pPr>
        <w:rPr>
          <w:b/>
          <w:lang w:eastAsia="en-AU"/>
        </w:rPr>
      </w:pPr>
      <w:r>
        <w:rPr>
          <w:b/>
          <w:lang w:eastAsia="en-AU"/>
        </w:rPr>
        <w:t>4.8 – Telephone bidding</w:t>
      </w:r>
    </w:p>
    <w:p w14:paraId="287F82DB" w14:textId="1BE49799" w:rsidR="00EB0FAC" w:rsidRPr="00482225" w:rsidRDefault="006B7AF2" w:rsidP="002535C6">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4.8 provides that the ACMA may allow bidding by telephone at an auction. Registered applicants who wish to bid by telephone must advise the ACMA in writing </w:t>
      </w:r>
      <w:r w:rsidR="00D84CD1" w:rsidRPr="00482225">
        <w:rPr>
          <w:rFonts w:ascii="Arial" w:eastAsia="Times New Roman" w:hAnsi="Arial" w:cs="Arial"/>
          <w:sz w:val="20"/>
          <w:szCs w:val="20"/>
          <w:lang w:eastAsia="en-AU"/>
        </w:rPr>
        <w:t>no later than five business days before the start of the auction. The ACMA will issue registered applicants who wish to bid by telephone a password and identification number, which must be provided to the ACMA immediately before the star</w:t>
      </w:r>
      <w:r w:rsidR="00FC4A92" w:rsidRPr="00482225">
        <w:rPr>
          <w:rFonts w:ascii="Arial" w:eastAsia="Times New Roman" w:hAnsi="Arial" w:cs="Arial"/>
          <w:sz w:val="20"/>
          <w:szCs w:val="20"/>
          <w:lang w:eastAsia="en-AU"/>
        </w:rPr>
        <w:t>t of the auction, to verify an applicant’s</w:t>
      </w:r>
      <w:r w:rsidR="00D84CD1" w:rsidRPr="00482225">
        <w:rPr>
          <w:rFonts w:ascii="Arial" w:eastAsia="Times New Roman" w:hAnsi="Arial" w:cs="Arial"/>
          <w:sz w:val="20"/>
          <w:szCs w:val="20"/>
          <w:lang w:eastAsia="en-AU"/>
        </w:rPr>
        <w:t xml:space="preserve"> identity. </w:t>
      </w:r>
    </w:p>
    <w:p w14:paraId="3ECBD570" w14:textId="77777777" w:rsidR="00FC4A92" w:rsidRDefault="007738CB" w:rsidP="002535C6">
      <w:pPr>
        <w:rPr>
          <w:b/>
          <w:lang w:eastAsia="en-AU"/>
        </w:rPr>
      </w:pPr>
      <w:r>
        <w:rPr>
          <w:b/>
          <w:lang w:eastAsia="en-AU"/>
        </w:rPr>
        <w:t>4.9 – Lodgement of another Form of Authority</w:t>
      </w:r>
    </w:p>
    <w:p w14:paraId="2CC80746" w14:textId="2B988A39" w:rsidR="007738CB" w:rsidRPr="00482225" w:rsidRDefault="007738CB" w:rsidP="002535C6">
      <w:pPr>
        <w:rPr>
          <w:rFonts w:ascii="Arial" w:eastAsia="Times New Roman" w:hAnsi="Arial" w:cs="Arial"/>
          <w:sz w:val="20"/>
          <w:szCs w:val="20"/>
          <w:lang w:eastAsia="en-AU"/>
        </w:rPr>
      </w:pPr>
      <w:r w:rsidRPr="00482225">
        <w:rPr>
          <w:rFonts w:ascii="Arial" w:eastAsia="Times New Roman" w:hAnsi="Arial" w:cs="Arial"/>
          <w:sz w:val="20"/>
          <w:szCs w:val="20"/>
          <w:lang w:eastAsia="en-AU"/>
        </w:rPr>
        <w:t>Section 4.9 applies if a registered applicant wishes to have someone represent them at auction other than by telephone, and the applicant has not</w:t>
      </w:r>
      <w:r w:rsidR="007F3C22" w:rsidRPr="00482225">
        <w:rPr>
          <w:rFonts w:ascii="Arial" w:eastAsia="Times New Roman" w:hAnsi="Arial" w:cs="Arial"/>
          <w:sz w:val="20"/>
          <w:szCs w:val="20"/>
          <w:lang w:eastAsia="en-AU"/>
        </w:rPr>
        <w:t xml:space="preserve"> previously </w:t>
      </w:r>
      <w:r w:rsidRPr="00482225">
        <w:rPr>
          <w:rFonts w:ascii="Arial" w:eastAsia="Times New Roman" w:hAnsi="Arial" w:cs="Arial"/>
          <w:sz w:val="20"/>
          <w:szCs w:val="20"/>
          <w:lang w:eastAsia="en-AU"/>
        </w:rPr>
        <w:t xml:space="preserve">given the ACMA a Form of Authority for that person. Section 4.9 requires the applicant to give the ACMA a completed Form of Authority for </w:t>
      </w:r>
      <w:r w:rsidR="007F3C22" w:rsidRPr="00482225">
        <w:rPr>
          <w:rFonts w:ascii="Arial" w:eastAsia="Times New Roman" w:hAnsi="Arial" w:cs="Arial"/>
          <w:sz w:val="20"/>
          <w:szCs w:val="20"/>
          <w:lang w:eastAsia="en-AU"/>
        </w:rPr>
        <w:t>the person they wish to bid on their behalf,</w:t>
      </w:r>
      <w:r w:rsidRPr="00482225">
        <w:rPr>
          <w:rFonts w:ascii="Arial" w:eastAsia="Times New Roman" w:hAnsi="Arial" w:cs="Arial"/>
          <w:sz w:val="20"/>
          <w:szCs w:val="20"/>
          <w:lang w:eastAsia="en-AU"/>
        </w:rPr>
        <w:t xml:space="preserve"> no later than two hours before the s</w:t>
      </w:r>
      <w:r w:rsidR="007F3C22" w:rsidRPr="00482225">
        <w:rPr>
          <w:rFonts w:ascii="Arial" w:eastAsia="Times New Roman" w:hAnsi="Arial" w:cs="Arial"/>
          <w:sz w:val="20"/>
          <w:szCs w:val="20"/>
          <w:lang w:eastAsia="en-AU"/>
        </w:rPr>
        <w:t xml:space="preserve">tart of the auction. If the applicant had previously provided a Form of Authority for a different person, and no longer wishes that person to bid on their behalf, they must provide confirmation </w:t>
      </w:r>
      <w:r w:rsidR="00F01E75">
        <w:rPr>
          <w:rFonts w:ascii="Arial" w:eastAsia="Times New Roman" w:hAnsi="Arial" w:cs="Arial"/>
          <w:sz w:val="20"/>
          <w:szCs w:val="20"/>
          <w:lang w:eastAsia="en-AU"/>
        </w:rPr>
        <w:t>to that effect</w:t>
      </w:r>
      <w:r w:rsidR="007F3C22" w:rsidRPr="00482225">
        <w:rPr>
          <w:rFonts w:ascii="Arial" w:eastAsia="Times New Roman" w:hAnsi="Arial" w:cs="Arial"/>
          <w:sz w:val="20"/>
          <w:szCs w:val="20"/>
          <w:lang w:eastAsia="en-AU"/>
        </w:rPr>
        <w:t>.</w:t>
      </w:r>
    </w:p>
    <w:p w14:paraId="10CBDD40" w14:textId="77777777" w:rsidR="0058591A" w:rsidRDefault="0058591A" w:rsidP="002535C6">
      <w:pPr>
        <w:rPr>
          <w:b/>
          <w:lang w:eastAsia="en-AU"/>
        </w:rPr>
      </w:pPr>
      <w:r>
        <w:rPr>
          <w:b/>
          <w:lang w:eastAsia="en-AU"/>
        </w:rPr>
        <w:t>4.10 – Bidder identification as registered bidder</w:t>
      </w:r>
    </w:p>
    <w:p w14:paraId="77F3AB66" w14:textId="7DE6E914" w:rsidR="0058591A" w:rsidRPr="00482225" w:rsidRDefault="00306910" w:rsidP="002535C6">
      <w:pPr>
        <w:rPr>
          <w:rFonts w:ascii="Arial" w:eastAsia="Times New Roman" w:hAnsi="Arial" w:cs="Arial"/>
          <w:sz w:val="20"/>
          <w:szCs w:val="20"/>
          <w:lang w:eastAsia="en-AU"/>
        </w:rPr>
      </w:pPr>
      <w:r w:rsidRPr="00482225">
        <w:rPr>
          <w:rFonts w:ascii="Arial" w:eastAsia="Times New Roman" w:hAnsi="Arial" w:cs="Arial"/>
          <w:sz w:val="20"/>
          <w:szCs w:val="20"/>
          <w:lang w:eastAsia="en-AU"/>
        </w:rPr>
        <w:t>Section 4.10 requires registered applicants, or people for whom a Form of Authority has been lodged by a registered applicant, who wish to bid at the auction in person</w:t>
      </w:r>
      <w:r w:rsidR="00F01E75">
        <w:rPr>
          <w:rFonts w:ascii="Arial" w:eastAsia="Times New Roman" w:hAnsi="Arial" w:cs="Arial"/>
          <w:sz w:val="20"/>
          <w:szCs w:val="20"/>
          <w:lang w:eastAsia="en-AU"/>
        </w:rPr>
        <w:t>,</w:t>
      </w:r>
      <w:r w:rsidRPr="00482225">
        <w:rPr>
          <w:rFonts w:ascii="Arial" w:eastAsia="Times New Roman" w:hAnsi="Arial" w:cs="Arial"/>
          <w:sz w:val="20"/>
          <w:szCs w:val="20"/>
          <w:lang w:eastAsia="en-AU"/>
        </w:rPr>
        <w:t xml:space="preserve"> </w:t>
      </w:r>
      <w:r w:rsidR="0078541E">
        <w:rPr>
          <w:rFonts w:ascii="Arial" w:eastAsia="Times New Roman" w:hAnsi="Arial" w:cs="Arial"/>
          <w:sz w:val="20"/>
          <w:szCs w:val="20"/>
          <w:lang w:eastAsia="en-AU"/>
        </w:rPr>
        <w:t>to</w:t>
      </w:r>
      <w:r w:rsidRPr="00482225">
        <w:rPr>
          <w:rFonts w:ascii="Arial" w:eastAsia="Times New Roman" w:hAnsi="Arial" w:cs="Arial"/>
          <w:sz w:val="20"/>
          <w:szCs w:val="20"/>
          <w:lang w:eastAsia="en-AU"/>
        </w:rPr>
        <w:t xml:space="preserve"> register as a bidder, and present evidence of their identity to the ACMA</w:t>
      </w:r>
      <w:r w:rsidR="0078541E">
        <w:rPr>
          <w:rFonts w:ascii="Arial" w:eastAsia="Times New Roman" w:hAnsi="Arial" w:cs="Arial"/>
          <w:sz w:val="20"/>
          <w:szCs w:val="20"/>
          <w:lang w:eastAsia="en-AU"/>
        </w:rPr>
        <w:t>,</w:t>
      </w:r>
      <w:r w:rsidRPr="00482225">
        <w:rPr>
          <w:rFonts w:ascii="Arial" w:eastAsia="Times New Roman" w:hAnsi="Arial" w:cs="Arial"/>
          <w:sz w:val="20"/>
          <w:szCs w:val="20"/>
          <w:lang w:eastAsia="en-AU"/>
        </w:rPr>
        <w:t xml:space="preserve"> no later than one hour before the start of the auction.</w:t>
      </w:r>
    </w:p>
    <w:p w14:paraId="5A036F60" w14:textId="15FB64AE" w:rsidR="00126AA8" w:rsidRDefault="00F24242" w:rsidP="002535C6">
      <w:pPr>
        <w:rPr>
          <w:b/>
          <w:lang w:eastAsia="en-AU"/>
        </w:rPr>
      </w:pPr>
      <w:r>
        <w:rPr>
          <w:b/>
          <w:lang w:eastAsia="en-AU"/>
        </w:rPr>
        <w:t xml:space="preserve">4.11 – Bidding </w:t>
      </w:r>
      <w:r w:rsidR="00F01E75">
        <w:rPr>
          <w:b/>
          <w:lang w:eastAsia="en-AU"/>
        </w:rPr>
        <w:t>in</w:t>
      </w:r>
      <w:r>
        <w:rPr>
          <w:b/>
          <w:lang w:eastAsia="en-AU"/>
        </w:rPr>
        <w:t xml:space="preserve"> an auction</w:t>
      </w:r>
    </w:p>
    <w:p w14:paraId="50D49183" w14:textId="77777777" w:rsidR="0078541E" w:rsidRDefault="00F24242" w:rsidP="002535C6">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4.11 provides that only a registered bidder or verified telephone bidder may bid for a lot. </w:t>
      </w:r>
    </w:p>
    <w:p w14:paraId="05DF2E0D" w14:textId="77777777" w:rsidR="0078541E" w:rsidRDefault="00F24242" w:rsidP="002535C6">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Only registered bidders who are registered applicants, or for whom a registered applicant has provided the ACMA with a Form of Authority, may bid for a lot; and the lot must have been nominated in the registration documents </w:t>
      </w:r>
      <w:r w:rsidR="0078541E">
        <w:rPr>
          <w:rFonts w:ascii="Arial" w:eastAsia="Times New Roman" w:hAnsi="Arial" w:cs="Arial"/>
          <w:sz w:val="20"/>
          <w:szCs w:val="20"/>
          <w:lang w:eastAsia="en-AU"/>
        </w:rPr>
        <w:t xml:space="preserve">submitted </w:t>
      </w:r>
      <w:r w:rsidRPr="00482225">
        <w:rPr>
          <w:rFonts w:ascii="Arial" w:eastAsia="Times New Roman" w:hAnsi="Arial" w:cs="Arial"/>
          <w:sz w:val="20"/>
          <w:szCs w:val="20"/>
          <w:lang w:eastAsia="en-AU"/>
        </w:rPr>
        <w:t xml:space="preserve">by the registered applicant. An auction deposit must have been paid for the lot. </w:t>
      </w:r>
    </w:p>
    <w:p w14:paraId="5DF66BEF" w14:textId="77777777" w:rsidR="0078541E" w:rsidRDefault="00F24242" w:rsidP="002535C6">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A verified telephone bidder may only bid for a lot that has been nominated by the registered applicant in the registration documents, and for which an auction deposit has been paid. </w:t>
      </w:r>
    </w:p>
    <w:p w14:paraId="5197870A" w14:textId="77777777" w:rsidR="00F24242" w:rsidRPr="00482225" w:rsidRDefault="007074AA" w:rsidP="002535C6">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The auctioneer will invite bids for a lot and identify the registered bidder or verified telephone bidder who has made the highest bid. If a bid is disputed the auctioneer is the sole arbiter and the auctioneer’s decision is final. If the highest bid made for a lot is equal to or higher than the reserve price for that lot, the registered applicant who made the highest bid, or on whose behalf the highest bid was made, is the successful applicant for that lot. </w:t>
      </w:r>
    </w:p>
    <w:p w14:paraId="3D2474F5" w14:textId="77777777" w:rsidR="00E3739C" w:rsidRDefault="00E3739C" w:rsidP="002535C6">
      <w:pPr>
        <w:rPr>
          <w:b/>
          <w:lang w:eastAsia="en-AU"/>
        </w:rPr>
      </w:pPr>
      <w:r>
        <w:rPr>
          <w:b/>
          <w:lang w:eastAsia="en-AU"/>
        </w:rPr>
        <w:t>4.12 – Identification and verification to the ACMA</w:t>
      </w:r>
    </w:p>
    <w:p w14:paraId="3AA7AB2E" w14:textId="77777777" w:rsidR="00827DBA" w:rsidRPr="00482225" w:rsidRDefault="009A30A7" w:rsidP="002535C6">
      <w:pPr>
        <w:rPr>
          <w:rFonts w:ascii="Arial" w:eastAsia="Times New Roman" w:hAnsi="Arial" w:cs="Arial"/>
          <w:sz w:val="20"/>
          <w:szCs w:val="20"/>
          <w:lang w:eastAsia="en-AU"/>
        </w:rPr>
      </w:pPr>
      <w:r w:rsidRPr="00482225">
        <w:rPr>
          <w:rFonts w:ascii="Arial" w:eastAsia="Times New Roman" w:hAnsi="Arial" w:cs="Arial"/>
          <w:sz w:val="20"/>
          <w:szCs w:val="20"/>
          <w:lang w:eastAsia="en-AU"/>
        </w:rPr>
        <w:t>Section 4.12 requires that i</w:t>
      </w:r>
      <w:r w:rsidR="00827DBA" w:rsidRPr="00482225">
        <w:rPr>
          <w:rFonts w:ascii="Arial" w:eastAsia="Times New Roman" w:hAnsi="Arial" w:cs="Arial"/>
          <w:sz w:val="20"/>
          <w:szCs w:val="20"/>
          <w:lang w:eastAsia="en-AU"/>
        </w:rPr>
        <w:t>mmediately following the identification of the successful applicant:</w:t>
      </w:r>
    </w:p>
    <w:p w14:paraId="4D5EC4D3" w14:textId="77777777" w:rsidR="00827DBA" w:rsidRPr="00482225" w:rsidRDefault="00827DBA" w:rsidP="00827DBA">
      <w:pPr>
        <w:pStyle w:val="ListParagraph"/>
        <w:numPr>
          <w:ilvl w:val="0"/>
          <w:numId w:val="5"/>
        </w:numPr>
        <w:rPr>
          <w:rFonts w:ascii="Arial" w:eastAsia="Times New Roman" w:hAnsi="Arial" w:cs="Arial"/>
          <w:sz w:val="20"/>
          <w:szCs w:val="20"/>
          <w:lang w:eastAsia="en-AU"/>
        </w:rPr>
      </w:pPr>
      <w:r w:rsidRPr="00482225">
        <w:rPr>
          <w:rFonts w:ascii="Arial" w:eastAsia="Times New Roman" w:hAnsi="Arial" w:cs="Arial"/>
          <w:sz w:val="20"/>
          <w:szCs w:val="20"/>
          <w:lang w:eastAsia="en-AU"/>
        </w:rPr>
        <w:t>if the successful a</w:t>
      </w:r>
      <w:r w:rsidR="000F3D6F" w:rsidRPr="00482225">
        <w:rPr>
          <w:rFonts w:ascii="Arial" w:eastAsia="Times New Roman" w:hAnsi="Arial" w:cs="Arial"/>
          <w:sz w:val="20"/>
          <w:szCs w:val="20"/>
          <w:lang w:eastAsia="en-AU"/>
        </w:rPr>
        <w:t>pplicant is a registered bidder they must meet with the ACMA to identify themselves</w:t>
      </w:r>
      <w:r w:rsidR="00FC00C3" w:rsidRPr="00482225">
        <w:rPr>
          <w:rFonts w:ascii="Arial" w:eastAsia="Times New Roman" w:hAnsi="Arial" w:cs="Arial"/>
          <w:sz w:val="20"/>
          <w:szCs w:val="20"/>
          <w:lang w:eastAsia="en-AU"/>
        </w:rPr>
        <w:t>;</w:t>
      </w:r>
    </w:p>
    <w:p w14:paraId="47B1A692" w14:textId="34C79638" w:rsidR="00E3739C" w:rsidRPr="00482225" w:rsidRDefault="00134659" w:rsidP="00827DBA">
      <w:pPr>
        <w:pStyle w:val="ListParagraph"/>
        <w:numPr>
          <w:ilvl w:val="0"/>
          <w:numId w:val="5"/>
        </w:num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if the successful applicant is a verified telephone bidder they must verify to the ACMA by telephone that the successful bidder’s identification is </w:t>
      </w:r>
      <w:r w:rsidR="0078541E">
        <w:rPr>
          <w:rFonts w:ascii="Arial" w:eastAsia="Times New Roman" w:hAnsi="Arial" w:cs="Arial"/>
          <w:sz w:val="20"/>
          <w:szCs w:val="20"/>
          <w:lang w:eastAsia="en-AU"/>
        </w:rPr>
        <w:t xml:space="preserve">that of </w:t>
      </w:r>
      <w:r w:rsidR="00FC00C3" w:rsidRPr="00482225">
        <w:rPr>
          <w:rFonts w:ascii="Arial" w:eastAsia="Times New Roman" w:hAnsi="Arial" w:cs="Arial"/>
          <w:sz w:val="20"/>
          <w:szCs w:val="20"/>
          <w:lang w:eastAsia="en-AU"/>
        </w:rPr>
        <w:t xml:space="preserve">the </w:t>
      </w:r>
      <w:r w:rsidRPr="00482225">
        <w:rPr>
          <w:rFonts w:ascii="Arial" w:eastAsia="Times New Roman" w:hAnsi="Arial" w:cs="Arial"/>
          <w:sz w:val="20"/>
          <w:szCs w:val="20"/>
          <w:lang w:eastAsia="en-AU"/>
        </w:rPr>
        <w:t>successful applicant;</w:t>
      </w:r>
      <w:r w:rsidR="00827DBA" w:rsidRPr="00482225">
        <w:rPr>
          <w:rFonts w:ascii="Arial" w:eastAsia="Times New Roman" w:hAnsi="Arial" w:cs="Arial"/>
          <w:sz w:val="20"/>
          <w:szCs w:val="20"/>
          <w:lang w:eastAsia="en-AU"/>
        </w:rPr>
        <w:t xml:space="preserve">  </w:t>
      </w:r>
    </w:p>
    <w:p w14:paraId="055019AA" w14:textId="77777777" w:rsidR="00FC00C3" w:rsidRPr="00482225" w:rsidRDefault="00FC00C3" w:rsidP="00827DBA">
      <w:pPr>
        <w:pStyle w:val="ListParagraph"/>
        <w:numPr>
          <w:ilvl w:val="0"/>
          <w:numId w:val="5"/>
        </w:numPr>
        <w:rPr>
          <w:rFonts w:ascii="Arial" w:eastAsia="Times New Roman" w:hAnsi="Arial" w:cs="Arial"/>
          <w:sz w:val="20"/>
          <w:szCs w:val="20"/>
          <w:lang w:eastAsia="en-AU"/>
        </w:rPr>
      </w:pPr>
      <w:proofErr w:type="gramStart"/>
      <w:r w:rsidRPr="00482225">
        <w:rPr>
          <w:rFonts w:ascii="Arial" w:eastAsia="Times New Roman" w:hAnsi="Arial" w:cs="Arial"/>
          <w:sz w:val="20"/>
          <w:szCs w:val="20"/>
          <w:lang w:eastAsia="en-AU"/>
        </w:rPr>
        <w:t>if</w:t>
      </w:r>
      <w:proofErr w:type="gramEnd"/>
      <w:r w:rsidRPr="00482225">
        <w:rPr>
          <w:rFonts w:ascii="Arial" w:eastAsia="Times New Roman" w:hAnsi="Arial" w:cs="Arial"/>
          <w:sz w:val="20"/>
          <w:szCs w:val="20"/>
          <w:lang w:eastAsia="en-AU"/>
        </w:rPr>
        <w:t xml:space="preserve"> the successful applicant is not a registered bidder, the registered bidder with a Form of Authority from the successful applicant must meet with the ACMA to identify themselves.</w:t>
      </w:r>
    </w:p>
    <w:p w14:paraId="6CF55470" w14:textId="77777777" w:rsidR="00FC00C3" w:rsidRDefault="009A30A7" w:rsidP="00FC00C3">
      <w:pPr>
        <w:rPr>
          <w:b/>
          <w:lang w:eastAsia="en-AU"/>
        </w:rPr>
      </w:pPr>
      <w:r>
        <w:rPr>
          <w:b/>
          <w:lang w:eastAsia="en-AU"/>
        </w:rPr>
        <w:t>4.13 – Close of auction</w:t>
      </w:r>
    </w:p>
    <w:p w14:paraId="1AB54A0C" w14:textId="77777777" w:rsidR="009A30A7" w:rsidRPr="00482225" w:rsidRDefault="0039479B" w:rsidP="00FC00C3">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4.13 provides that the auction of a lot is closed after the successful applicant has been </w:t>
      </w:r>
      <w:r w:rsidR="0078541E">
        <w:rPr>
          <w:rFonts w:ascii="Arial" w:eastAsia="Times New Roman" w:hAnsi="Arial" w:cs="Arial"/>
          <w:sz w:val="20"/>
          <w:szCs w:val="20"/>
          <w:lang w:eastAsia="en-AU"/>
        </w:rPr>
        <w:t>identified or verified to the A</w:t>
      </w:r>
      <w:r w:rsidRPr="00482225">
        <w:rPr>
          <w:rFonts w:ascii="Arial" w:eastAsia="Times New Roman" w:hAnsi="Arial" w:cs="Arial"/>
          <w:sz w:val="20"/>
          <w:szCs w:val="20"/>
          <w:lang w:eastAsia="en-AU"/>
        </w:rPr>
        <w:t>C</w:t>
      </w:r>
      <w:r w:rsidR="0078541E">
        <w:rPr>
          <w:rFonts w:ascii="Arial" w:eastAsia="Times New Roman" w:hAnsi="Arial" w:cs="Arial"/>
          <w:sz w:val="20"/>
          <w:szCs w:val="20"/>
          <w:lang w:eastAsia="en-AU"/>
        </w:rPr>
        <w:t>M</w:t>
      </w:r>
      <w:r w:rsidRPr="00482225">
        <w:rPr>
          <w:rFonts w:ascii="Arial" w:eastAsia="Times New Roman" w:hAnsi="Arial" w:cs="Arial"/>
          <w:sz w:val="20"/>
          <w:szCs w:val="20"/>
          <w:lang w:eastAsia="en-AU"/>
        </w:rPr>
        <w:t>A. The ACMA must notify each successful applicant for a lot, by receipted mail, of the balance of the bid price. A successful applicant must pay the balance of the bid price within 10 business days after the date of the notice.</w:t>
      </w:r>
    </w:p>
    <w:p w14:paraId="37E65D7D" w14:textId="77777777" w:rsidR="0039479B" w:rsidRDefault="00A265C5" w:rsidP="00FC00C3">
      <w:pPr>
        <w:rPr>
          <w:b/>
          <w:lang w:eastAsia="en-AU"/>
        </w:rPr>
      </w:pPr>
      <w:r>
        <w:rPr>
          <w:b/>
          <w:lang w:eastAsia="en-AU"/>
        </w:rPr>
        <w:t>4.14 – Lot offered at auction but not allocated</w:t>
      </w:r>
    </w:p>
    <w:p w14:paraId="1B9D67EB" w14:textId="77777777" w:rsidR="00A265C5" w:rsidRPr="00482225" w:rsidRDefault="00326098" w:rsidP="00FC00C3">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4.14 provides that if a lot is not allocated at the auction, applications for that lot cease to have effect. However, if a successful applicant is in default of their financial obligations to the ACMA and the lot is treated as unallocated, the ACMA may treat the registration documents lodged by </w:t>
      </w:r>
      <w:r w:rsidR="00D067AB" w:rsidRPr="00482225">
        <w:rPr>
          <w:rFonts w:ascii="Arial" w:eastAsia="Times New Roman" w:hAnsi="Arial" w:cs="Arial"/>
          <w:sz w:val="20"/>
          <w:szCs w:val="20"/>
          <w:lang w:eastAsia="en-AU"/>
        </w:rPr>
        <w:t>an unsuccessful applicant</w:t>
      </w:r>
      <w:r w:rsidRPr="00482225">
        <w:rPr>
          <w:rFonts w:ascii="Arial" w:eastAsia="Times New Roman" w:hAnsi="Arial" w:cs="Arial"/>
          <w:sz w:val="20"/>
          <w:szCs w:val="20"/>
          <w:lang w:eastAsia="en-AU"/>
        </w:rPr>
        <w:t xml:space="preserve"> for that lot as </w:t>
      </w:r>
      <w:r w:rsidR="00D067AB" w:rsidRPr="00482225">
        <w:rPr>
          <w:rFonts w:ascii="Arial" w:eastAsia="Times New Roman" w:hAnsi="Arial" w:cs="Arial"/>
          <w:sz w:val="20"/>
          <w:szCs w:val="20"/>
          <w:lang w:eastAsia="en-AU"/>
        </w:rPr>
        <w:t xml:space="preserve">valid </w:t>
      </w:r>
      <w:r w:rsidRPr="00482225">
        <w:rPr>
          <w:rFonts w:ascii="Arial" w:eastAsia="Times New Roman" w:hAnsi="Arial" w:cs="Arial"/>
          <w:sz w:val="20"/>
          <w:szCs w:val="20"/>
          <w:lang w:eastAsia="en-AU"/>
        </w:rPr>
        <w:t>registration documents in any future allocation for that lot, with the consent of the unsuccessful applicant.</w:t>
      </w:r>
    </w:p>
    <w:p w14:paraId="00A85E3E" w14:textId="77777777" w:rsidR="00D067AB" w:rsidRDefault="00D067AB" w:rsidP="00FC00C3">
      <w:pPr>
        <w:rPr>
          <w:b/>
          <w:lang w:eastAsia="en-AU"/>
        </w:rPr>
      </w:pPr>
      <w:r>
        <w:rPr>
          <w:b/>
          <w:lang w:eastAsia="en-AU"/>
        </w:rPr>
        <w:t>4.15 – Refund of auction deposit to unsuccessful applicant(s)</w:t>
      </w:r>
    </w:p>
    <w:p w14:paraId="56342905" w14:textId="77777777" w:rsidR="00D067AB" w:rsidRPr="00482225" w:rsidRDefault="0032393A" w:rsidP="00FC00C3">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4.15 requires the ACMA to refund auction deposits to unsuccessful applicants for a lot as soon as practicable after the auction. </w:t>
      </w:r>
    </w:p>
    <w:p w14:paraId="2A167D03" w14:textId="77777777" w:rsidR="008523E3" w:rsidRDefault="008523E3" w:rsidP="002B5BDE">
      <w:pPr>
        <w:tabs>
          <w:tab w:val="left" w:pos="1560"/>
        </w:tabs>
        <w:rPr>
          <w:b/>
          <w:lang w:eastAsia="en-AU"/>
        </w:rPr>
      </w:pPr>
      <w:r w:rsidRPr="0059179C">
        <w:rPr>
          <w:b/>
          <w:lang w:eastAsia="en-AU"/>
        </w:rPr>
        <w:t>PART 5</w:t>
      </w:r>
      <w:r w:rsidRPr="0059179C">
        <w:rPr>
          <w:rFonts w:ascii="Arial" w:eastAsia="Times New Roman" w:hAnsi="Arial" w:cs="Arial"/>
          <w:sz w:val="20"/>
          <w:szCs w:val="20"/>
          <w:lang w:eastAsia="en-AU"/>
        </w:rPr>
        <w:t xml:space="preserve">             </w:t>
      </w:r>
      <w:r w:rsidRPr="0059179C">
        <w:rPr>
          <w:b/>
          <w:lang w:eastAsia="en-AU"/>
        </w:rPr>
        <w:t xml:space="preserve">    ALLOCATION OF A LOT IF THERE IS ONLY ONE APPLICANT</w:t>
      </w:r>
    </w:p>
    <w:p w14:paraId="3BC69303" w14:textId="25C1FC7C" w:rsidR="0059179C" w:rsidRPr="0059179C" w:rsidRDefault="0059179C" w:rsidP="002B5BDE">
      <w:pPr>
        <w:tabs>
          <w:tab w:val="left" w:pos="1560"/>
        </w:tabs>
        <w:rPr>
          <w:rFonts w:ascii="Arial" w:eastAsia="Times New Roman" w:hAnsi="Arial" w:cs="Arial"/>
          <w:sz w:val="20"/>
          <w:szCs w:val="20"/>
          <w:lang w:eastAsia="en-AU"/>
        </w:rPr>
      </w:pPr>
      <w:r w:rsidRPr="0059179C">
        <w:rPr>
          <w:rFonts w:ascii="Arial" w:eastAsia="Times New Roman" w:hAnsi="Arial" w:cs="Arial"/>
          <w:sz w:val="20"/>
          <w:szCs w:val="20"/>
          <w:lang w:eastAsia="en-AU"/>
        </w:rPr>
        <w:t>Part 5 des</w:t>
      </w:r>
      <w:r>
        <w:rPr>
          <w:rFonts w:ascii="Arial" w:eastAsia="Times New Roman" w:hAnsi="Arial" w:cs="Arial"/>
          <w:sz w:val="20"/>
          <w:szCs w:val="20"/>
          <w:lang w:eastAsia="en-AU"/>
        </w:rPr>
        <w:t>cribes how lots will be allocated if there is only one applicant</w:t>
      </w:r>
      <w:r w:rsidR="00921372">
        <w:rPr>
          <w:rFonts w:ascii="Arial" w:eastAsia="Times New Roman" w:hAnsi="Arial" w:cs="Arial"/>
          <w:sz w:val="20"/>
          <w:szCs w:val="20"/>
          <w:lang w:eastAsia="en-AU"/>
        </w:rPr>
        <w:t xml:space="preserve"> for a particular lot</w:t>
      </w:r>
      <w:r>
        <w:rPr>
          <w:rFonts w:ascii="Arial" w:eastAsia="Times New Roman" w:hAnsi="Arial" w:cs="Arial"/>
          <w:sz w:val="20"/>
          <w:szCs w:val="20"/>
          <w:lang w:eastAsia="en-AU"/>
        </w:rPr>
        <w:t xml:space="preserve">, including notification by the ACMA that a registered applicant is the successful applicant and payment of the reserve price. </w:t>
      </w:r>
    </w:p>
    <w:p w14:paraId="4C02B966" w14:textId="77777777" w:rsidR="008523E3" w:rsidRDefault="0083192E" w:rsidP="008523E3">
      <w:pPr>
        <w:rPr>
          <w:b/>
          <w:lang w:eastAsia="en-AU"/>
        </w:rPr>
      </w:pPr>
      <w:r>
        <w:rPr>
          <w:b/>
          <w:lang w:eastAsia="en-AU"/>
        </w:rPr>
        <w:t>5.1 – Application of Part 5</w:t>
      </w:r>
    </w:p>
    <w:p w14:paraId="1F8F59B2" w14:textId="77777777" w:rsidR="0083192E" w:rsidRPr="00482225" w:rsidRDefault="0083192E" w:rsidP="008523E3">
      <w:pPr>
        <w:rPr>
          <w:rFonts w:ascii="Arial" w:eastAsia="Times New Roman" w:hAnsi="Arial" w:cs="Arial"/>
          <w:sz w:val="20"/>
          <w:szCs w:val="20"/>
          <w:lang w:eastAsia="en-AU"/>
        </w:rPr>
      </w:pPr>
      <w:r w:rsidRPr="00482225">
        <w:rPr>
          <w:rFonts w:ascii="Arial" w:eastAsia="Times New Roman" w:hAnsi="Arial" w:cs="Arial"/>
          <w:sz w:val="20"/>
          <w:szCs w:val="20"/>
          <w:lang w:eastAsia="en-AU"/>
        </w:rPr>
        <w:t>Section 5.1 provides that Part 5 applies if there is only one applicant for a lot.</w:t>
      </w:r>
    </w:p>
    <w:p w14:paraId="5970BAC2" w14:textId="77777777" w:rsidR="0083192E" w:rsidRDefault="0083192E" w:rsidP="008523E3">
      <w:pPr>
        <w:rPr>
          <w:b/>
          <w:lang w:eastAsia="en-AU"/>
        </w:rPr>
      </w:pPr>
      <w:r>
        <w:rPr>
          <w:b/>
          <w:lang w:eastAsia="en-AU"/>
        </w:rPr>
        <w:t>5.2 – Notice to registered applicant</w:t>
      </w:r>
    </w:p>
    <w:p w14:paraId="54B98E0D" w14:textId="49533835" w:rsidR="0083192E" w:rsidRDefault="0083192E" w:rsidP="008523E3">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5.2 requires the ACMA to give the registered applicant for a lot a notice by receipted mail, within 25 business days after the closing date, setting out that the applicant is the successful applicant, and the amount of the reserve price for </w:t>
      </w:r>
      <w:r w:rsidR="00D150A1">
        <w:rPr>
          <w:rFonts w:ascii="Arial" w:eastAsia="Times New Roman" w:hAnsi="Arial" w:cs="Arial"/>
          <w:sz w:val="20"/>
          <w:szCs w:val="20"/>
          <w:lang w:eastAsia="en-AU"/>
        </w:rPr>
        <w:t>the</w:t>
      </w:r>
      <w:r w:rsidRPr="00482225">
        <w:rPr>
          <w:rFonts w:ascii="Arial" w:eastAsia="Times New Roman" w:hAnsi="Arial" w:cs="Arial"/>
          <w:sz w:val="20"/>
          <w:szCs w:val="20"/>
          <w:lang w:eastAsia="en-AU"/>
        </w:rPr>
        <w:t xml:space="preserve"> lot. The successful applicant must pay the reserve price for the lot or advise the ACMA in writing that the application has been withdrawn, </w:t>
      </w:r>
      <w:r w:rsidR="00BA7490" w:rsidRPr="00482225">
        <w:rPr>
          <w:rFonts w:ascii="Arial" w:eastAsia="Times New Roman" w:hAnsi="Arial" w:cs="Arial"/>
          <w:sz w:val="20"/>
          <w:szCs w:val="20"/>
          <w:lang w:eastAsia="en-AU"/>
        </w:rPr>
        <w:t xml:space="preserve">within 10 business days after the date of the notice. </w:t>
      </w:r>
    </w:p>
    <w:p w14:paraId="5488E4B8" w14:textId="7C21BADE" w:rsidR="00F01E75" w:rsidRDefault="00F01E75" w:rsidP="008523E3">
      <w:pPr>
        <w:rPr>
          <w:rFonts w:ascii="Arial" w:eastAsia="Times New Roman" w:hAnsi="Arial" w:cs="Arial"/>
          <w:b/>
          <w:sz w:val="20"/>
          <w:szCs w:val="20"/>
          <w:lang w:eastAsia="en-AU"/>
        </w:rPr>
      </w:pPr>
      <w:r w:rsidRPr="00086C32">
        <w:rPr>
          <w:rFonts w:ascii="Arial" w:eastAsia="Times New Roman" w:hAnsi="Arial" w:cs="Arial"/>
          <w:b/>
          <w:sz w:val="20"/>
          <w:szCs w:val="20"/>
          <w:lang w:eastAsia="en-AU"/>
        </w:rPr>
        <w:t>5.3 – Default by successful applicant</w:t>
      </w:r>
    </w:p>
    <w:p w14:paraId="350AD1D5" w14:textId="3A2245E0" w:rsidR="00F01E75" w:rsidRPr="00F01E75" w:rsidRDefault="00F01E75" w:rsidP="008523E3">
      <w:pPr>
        <w:rPr>
          <w:rFonts w:ascii="Arial" w:eastAsia="Times New Roman" w:hAnsi="Arial" w:cs="Arial"/>
          <w:sz w:val="20"/>
          <w:szCs w:val="20"/>
          <w:lang w:eastAsia="en-AU"/>
        </w:rPr>
      </w:pPr>
      <w:r>
        <w:rPr>
          <w:rFonts w:ascii="Arial" w:eastAsia="Times New Roman" w:hAnsi="Arial" w:cs="Arial"/>
          <w:sz w:val="20"/>
          <w:szCs w:val="20"/>
          <w:lang w:eastAsia="en-AU"/>
        </w:rPr>
        <w:t>Section provides that a successful applicant that fails to pay for the lot it has won is not entitled to obtain a licence for that lot.</w:t>
      </w:r>
    </w:p>
    <w:p w14:paraId="6D8B5FF0" w14:textId="77777777" w:rsidR="00BA7490" w:rsidRDefault="002B5BDE" w:rsidP="002B5BDE">
      <w:pPr>
        <w:tabs>
          <w:tab w:val="left" w:pos="1560"/>
        </w:tabs>
        <w:rPr>
          <w:b/>
          <w:lang w:eastAsia="en-AU"/>
        </w:rPr>
      </w:pPr>
      <w:r>
        <w:rPr>
          <w:b/>
          <w:lang w:eastAsia="en-AU"/>
        </w:rPr>
        <w:t xml:space="preserve">PART 6   </w:t>
      </w:r>
      <w:r>
        <w:rPr>
          <w:b/>
          <w:lang w:eastAsia="en-AU"/>
        </w:rPr>
        <w:tab/>
        <w:t>ISSUE OF A LICENCE TO A SUCCESSFUL APPLICANT</w:t>
      </w:r>
    </w:p>
    <w:p w14:paraId="16EC6483" w14:textId="77777777" w:rsidR="00246877" w:rsidRPr="00246877" w:rsidRDefault="00246877" w:rsidP="002B5BDE">
      <w:pPr>
        <w:tabs>
          <w:tab w:val="left" w:pos="1560"/>
        </w:tabs>
        <w:rPr>
          <w:rFonts w:ascii="Arial" w:eastAsia="Times New Roman" w:hAnsi="Arial" w:cs="Arial"/>
          <w:sz w:val="20"/>
          <w:szCs w:val="20"/>
          <w:lang w:eastAsia="en-AU"/>
        </w:rPr>
      </w:pPr>
      <w:r w:rsidRPr="00246877">
        <w:rPr>
          <w:rFonts w:ascii="Arial" w:eastAsia="Times New Roman" w:hAnsi="Arial" w:cs="Arial"/>
          <w:sz w:val="20"/>
          <w:szCs w:val="20"/>
          <w:lang w:eastAsia="en-AU"/>
        </w:rPr>
        <w:t xml:space="preserve">Part 6 describes how </w:t>
      </w:r>
      <w:r>
        <w:rPr>
          <w:rFonts w:ascii="Arial" w:eastAsia="Times New Roman" w:hAnsi="Arial" w:cs="Arial"/>
          <w:sz w:val="20"/>
          <w:szCs w:val="20"/>
          <w:lang w:eastAsia="en-AU"/>
        </w:rPr>
        <w:t>licences will be issued to successful applicants, including the form of the licence; payment of the reserve price or balance of the bid price; and consequences of not paying the balance of the bid price in the case of an auction.</w:t>
      </w:r>
    </w:p>
    <w:p w14:paraId="05D8C5D8" w14:textId="77777777" w:rsidR="002B5BDE" w:rsidRDefault="004B68B1" w:rsidP="002B5BDE">
      <w:pPr>
        <w:tabs>
          <w:tab w:val="left" w:pos="1560"/>
        </w:tabs>
        <w:rPr>
          <w:b/>
          <w:lang w:eastAsia="en-AU"/>
        </w:rPr>
      </w:pPr>
      <w:r>
        <w:rPr>
          <w:b/>
          <w:lang w:eastAsia="en-AU"/>
        </w:rPr>
        <w:t>Section 6.1 – Form of licence</w:t>
      </w:r>
    </w:p>
    <w:p w14:paraId="682A912F" w14:textId="7B20A387" w:rsidR="004B68B1" w:rsidRPr="00482225" w:rsidRDefault="004B68B1" w:rsidP="002B5BDE">
      <w:pPr>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6.1 provides that the transmitter licence </w:t>
      </w:r>
      <w:r w:rsidR="00921372">
        <w:rPr>
          <w:rFonts w:ascii="Arial" w:eastAsia="Times New Roman" w:hAnsi="Arial" w:cs="Arial"/>
          <w:sz w:val="20"/>
          <w:szCs w:val="20"/>
          <w:lang w:eastAsia="en-AU"/>
        </w:rPr>
        <w:t xml:space="preserve">issued to the successful bidder </w:t>
      </w:r>
      <w:r w:rsidRPr="00482225">
        <w:rPr>
          <w:rFonts w:ascii="Arial" w:eastAsia="Times New Roman" w:hAnsi="Arial" w:cs="Arial"/>
          <w:sz w:val="20"/>
          <w:szCs w:val="20"/>
          <w:lang w:eastAsia="en-AU"/>
        </w:rPr>
        <w:t xml:space="preserve">must be substantially in accordance with the sample transmitter licence in Schedule 1 of the Determination. The licence comes into force on the day specified in the licence, and remains in force for the period specified in the licence (this may be a period </w:t>
      </w:r>
      <w:r w:rsidR="00F01E75">
        <w:rPr>
          <w:rFonts w:ascii="Arial" w:eastAsia="Times New Roman" w:hAnsi="Arial" w:cs="Arial"/>
          <w:sz w:val="20"/>
          <w:szCs w:val="20"/>
          <w:lang w:eastAsia="en-AU"/>
        </w:rPr>
        <w:t xml:space="preserve">of </w:t>
      </w:r>
      <w:r w:rsidRPr="00482225">
        <w:rPr>
          <w:rFonts w:ascii="Arial" w:eastAsia="Times New Roman" w:hAnsi="Arial" w:cs="Arial"/>
          <w:sz w:val="20"/>
          <w:szCs w:val="20"/>
          <w:lang w:eastAsia="en-AU"/>
        </w:rPr>
        <w:t>up to five years).</w:t>
      </w:r>
    </w:p>
    <w:p w14:paraId="4410AE3C" w14:textId="77777777" w:rsidR="00BE0B83" w:rsidRDefault="00BE0B83" w:rsidP="002B5BDE">
      <w:pPr>
        <w:tabs>
          <w:tab w:val="left" w:pos="1560"/>
        </w:tabs>
        <w:rPr>
          <w:b/>
          <w:lang w:eastAsia="en-AU"/>
        </w:rPr>
      </w:pPr>
      <w:r>
        <w:rPr>
          <w:b/>
          <w:lang w:eastAsia="en-AU"/>
        </w:rPr>
        <w:t>Section 6.2 – Issue of licence to successful applicant</w:t>
      </w:r>
    </w:p>
    <w:p w14:paraId="4EF91ECB" w14:textId="7B18A3E2" w:rsidR="004B68B1" w:rsidRPr="00482225" w:rsidRDefault="006E5504" w:rsidP="002B5BDE">
      <w:pPr>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6.2 provides that unless the ACMA has terminated an advertised allocation, a successful applicant will be issued a transmitter licence if they pay the balance of the bid price or reserve price for the lot; </w:t>
      </w:r>
      <w:r w:rsidR="00D150A1">
        <w:rPr>
          <w:rFonts w:ascii="Arial" w:eastAsia="Times New Roman" w:hAnsi="Arial" w:cs="Arial"/>
          <w:sz w:val="20"/>
          <w:szCs w:val="20"/>
          <w:lang w:eastAsia="en-AU"/>
        </w:rPr>
        <w:t>apply</w:t>
      </w:r>
      <w:r w:rsidRPr="00482225">
        <w:rPr>
          <w:rFonts w:ascii="Arial" w:eastAsia="Times New Roman" w:hAnsi="Arial" w:cs="Arial"/>
          <w:sz w:val="20"/>
          <w:szCs w:val="20"/>
          <w:lang w:eastAsia="en-AU"/>
        </w:rPr>
        <w:t xml:space="preserve"> for a licence </w:t>
      </w:r>
      <w:r w:rsidR="00921372">
        <w:rPr>
          <w:rFonts w:ascii="Arial" w:eastAsia="Times New Roman" w:hAnsi="Arial" w:cs="Arial"/>
          <w:sz w:val="20"/>
          <w:szCs w:val="20"/>
          <w:lang w:eastAsia="en-AU"/>
        </w:rPr>
        <w:t xml:space="preserve">under section 99 of the Act </w:t>
      </w:r>
      <w:r w:rsidRPr="00482225">
        <w:rPr>
          <w:rFonts w:ascii="Arial" w:eastAsia="Times New Roman" w:hAnsi="Arial" w:cs="Arial"/>
          <w:sz w:val="20"/>
          <w:szCs w:val="20"/>
          <w:lang w:eastAsia="en-AU"/>
        </w:rPr>
        <w:t>within 10 business days after the date of a notice from the ACMA that they are the successful applicant; and pa</w:t>
      </w:r>
      <w:r w:rsidR="00D150A1">
        <w:rPr>
          <w:rFonts w:ascii="Arial" w:eastAsia="Times New Roman" w:hAnsi="Arial" w:cs="Arial"/>
          <w:sz w:val="20"/>
          <w:szCs w:val="20"/>
          <w:lang w:eastAsia="en-AU"/>
        </w:rPr>
        <w:t>y</w:t>
      </w:r>
      <w:r w:rsidRPr="00482225">
        <w:rPr>
          <w:rFonts w:ascii="Arial" w:eastAsia="Times New Roman" w:hAnsi="Arial" w:cs="Arial"/>
          <w:sz w:val="20"/>
          <w:szCs w:val="20"/>
          <w:lang w:eastAsia="en-AU"/>
        </w:rPr>
        <w:t xml:space="preserve"> the transmitter licence tax under the </w:t>
      </w:r>
      <w:proofErr w:type="spellStart"/>
      <w:r w:rsidRPr="00482225">
        <w:rPr>
          <w:rFonts w:ascii="Arial" w:eastAsia="Times New Roman" w:hAnsi="Arial" w:cs="Arial"/>
          <w:i/>
          <w:sz w:val="20"/>
          <w:szCs w:val="20"/>
          <w:lang w:eastAsia="en-AU"/>
        </w:rPr>
        <w:t>Radiocommunications</w:t>
      </w:r>
      <w:proofErr w:type="spellEnd"/>
      <w:r w:rsidRPr="00482225">
        <w:rPr>
          <w:rFonts w:ascii="Arial" w:eastAsia="Times New Roman" w:hAnsi="Arial" w:cs="Arial"/>
          <w:i/>
          <w:sz w:val="20"/>
          <w:szCs w:val="20"/>
          <w:lang w:eastAsia="en-AU"/>
        </w:rPr>
        <w:t xml:space="preserve"> (Transmitter Licence Tax) Act 1983.</w:t>
      </w:r>
    </w:p>
    <w:p w14:paraId="461F3A45" w14:textId="77777777" w:rsidR="006E5504" w:rsidRDefault="00DF108A" w:rsidP="002B5BDE">
      <w:pPr>
        <w:tabs>
          <w:tab w:val="left" w:pos="1560"/>
        </w:tabs>
        <w:rPr>
          <w:b/>
          <w:lang w:eastAsia="en-AU"/>
        </w:rPr>
      </w:pPr>
      <w:r>
        <w:rPr>
          <w:b/>
          <w:lang w:eastAsia="en-AU"/>
        </w:rPr>
        <w:t>Section 6.3 – Liability for failure to comply with auction payment requirements</w:t>
      </w:r>
    </w:p>
    <w:p w14:paraId="370B51D1" w14:textId="4FDF7997" w:rsidR="00DF108A" w:rsidRPr="00482225" w:rsidRDefault="0091289F" w:rsidP="002B5BDE">
      <w:pPr>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6.3 provides that if a successful applicant does not pay the balance of the bid price, the applicant ceases to be entitled to be allocated the lot and the associated transmitter licence; their auction deposit is forfeited; </w:t>
      </w:r>
      <w:r w:rsidR="00B748A3" w:rsidRPr="00482225">
        <w:rPr>
          <w:rFonts w:ascii="Arial" w:eastAsia="Times New Roman" w:hAnsi="Arial" w:cs="Arial"/>
          <w:sz w:val="20"/>
          <w:szCs w:val="20"/>
          <w:lang w:eastAsia="en-AU"/>
        </w:rPr>
        <w:t xml:space="preserve">and </w:t>
      </w:r>
      <w:r w:rsidRPr="00482225">
        <w:rPr>
          <w:rFonts w:ascii="Arial" w:eastAsia="Times New Roman" w:hAnsi="Arial" w:cs="Arial"/>
          <w:sz w:val="20"/>
          <w:szCs w:val="20"/>
          <w:lang w:eastAsia="en-AU"/>
        </w:rPr>
        <w:t xml:space="preserve">the applicant is taken to be in default of </w:t>
      </w:r>
      <w:r w:rsidR="00D150A1">
        <w:rPr>
          <w:rFonts w:ascii="Arial" w:eastAsia="Times New Roman" w:hAnsi="Arial" w:cs="Arial"/>
          <w:sz w:val="20"/>
          <w:szCs w:val="20"/>
          <w:lang w:eastAsia="en-AU"/>
        </w:rPr>
        <w:t>their</w:t>
      </w:r>
      <w:r w:rsidRPr="00482225">
        <w:rPr>
          <w:rFonts w:ascii="Arial" w:eastAsia="Times New Roman" w:hAnsi="Arial" w:cs="Arial"/>
          <w:sz w:val="20"/>
          <w:szCs w:val="20"/>
          <w:lang w:eastAsia="en-AU"/>
        </w:rPr>
        <w:t xml:space="preserve"> financial obligations to the ACMA </w:t>
      </w:r>
      <w:r w:rsidR="00D150A1">
        <w:rPr>
          <w:rFonts w:ascii="Arial" w:eastAsia="Times New Roman" w:hAnsi="Arial" w:cs="Arial"/>
          <w:sz w:val="20"/>
          <w:szCs w:val="20"/>
          <w:lang w:eastAsia="en-AU"/>
        </w:rPr>
        <w:t>(</w:t>
      </w:r>
      <w:r w:rsidRPr="00482225">
        <w:rPr>
          <w:rFonts w:ascii="Arial" w:eastAsia="Times New Roman" w:hAnsi="Arial" w:cs="Arial"/>
          <w:sz w:val="20"/>
          <w:szCs w:val="20"/>
          <w:lang w:eastAsia="en-AU"/>
        </w:rPr>
        <w:t>on behalf of the Commonwealth</w:t>
      </w:r>
      <w:r w:rsidR="00D150A1">
        <w:rPr>
          <w:rFonts w:ascii="Arial" w:eastAsia="Times New Roman" w:hAnsi="Arial" w:cs="Arial"/>
          <w:sz w:val="20"/>
          <w:szCs w:val="20"/>
          <w:lang w:eastAsia="en-AU"/>
        </w:rPr>
        <w:t xml:space="preserve">) </w:t>
      </w:r>
      <w:r w:rsidRPr="00482225">
        <w:rPr>
          <w:rFonts w:ascii="Arial" w:eastAsia="Times New Roman" w:hAnsi="Arial" w:cs="Arial"/>
          <w:sz w:val="20"/>
          <w:szCs w:val="20"/>
          <w:lang w:eastAsia="en-AU"/>
        </w:rPr>
        <w:t>and is liable to pay to the ACMA</w:t>
      </w:r>
      <w:r w:rsidR="00D150A1">
        <w:rPr>
          <w:rFonts w:ascii="Arial" w:eastAsia="Times New Roman" w:hAnsi="Arial" w:cs="Arial"/>
          <w:sz w:val="20"/>
          <w:szCs w:val="20"/>
          <w:lang w:eastAsia="en-AU"/>
        </w:rPr>
        <w:t xml:space="preserve"> (on behalf of the Commonwealth)</w:t>
      </w:r>
      <w:r w:rsidR="00B748A3" w:rsidRPr="00482225">
        <w:rPr>
          <w:rFonts w:ascii="Arial" w:eastAsia="Times New Roman" w:hAnsi="Arial" w:cs="Arial"/>
          <w:sz w:val="20"/>
          <w:szCs w:val="20"/>
          <w:lang w:eastAsia="en-AU"/>
        </w:rPr>
        <w:t xml:space="preserve"> </w:t>
      </w:r>
      <w:r w:rsidRPr="00482225">
        <w:rPr>
          <w:rFonts w:ascii="Arial" w:eastAsia="Times New Roman" w:hAnsi="Arial" w:cs="Arial"/>
          <w:sz w:val="20"/>
          <w:szCs w:val="20"/>
          <w:lang w:eastAsia="en-AU"/>
        </w:rPr>
        <w:t>10 percent of the bid price</w:t>
      </w:r>
      <w:r w:rsidR="00B748A3" w:rsidRPr="00482225">
        <w:rPr>
          <w:rFonts w:ascii="Arial" w:eastAsia="Times New Roman" w:hAnsi="Arial" w:cs="Arial"/>
          <w:sz w:val="20"/>
          <w:szCs w:val="20"/>
          <w:lang w:eastAsia="en-AU"/>
        </w:rPr>
        <w:t xml:space="preserve"> (the default amount)</w:t>
      </w:r>
      <w:r w:rsidRPr="00482225">
        <w:rPr>
          <w:rFonts w:ascii="Arial" w:eastAsia="Times New Roman" w:hAnsi="Arial" w:cs="Arial"/>
          <w:sz w:val="20"/>
          <w:szCs w:val="20"/>
          <w:lang w:eastAsia="en-AU"/>
        </w:rPr>
        <w:t xml:space="preserve">. In such an event, the lot may be treated as unallocated. </w:t>
      </w:r>
      <w:r w:rsidR="00B748A3" w:rsidRPr="00482225">
        <w:rPr>
          <w:rFonts w:ascii="Arial" w:eastAsia="Times New Roman" w:hAnsi="Arial" w:cs="Arial"/>
          <w:sz w:val="20"/>
          <w:szCs w:val="20"/>
          <w:lang w:eastAsia="en-AU"/>
        </w:rPr>
        <w:t xml:space="preserve">The total of the default amount </w:t>
      </w:r>
      <w:r w:rsidR="00F01E75">
        <w:rPr>
          <w:rFonts w:ascii="Arial" w:eastAsia="Times New Roman" w:hAnsi="Arial" w:cs="Arial"/>
          <w:sz w:val="20"/>
          <w:szCs w:val="20"/>
          <w:lang w:eastAsia="en-AU"/>
        </w:rPr>
        <w:t xml:space="preserve">payable </w:t>
      </w:r>
      <w:r w:rsidR="00B748A3" w:rsidRPr="00482225">
        <w:rPr>
          <w:rFonts w:ascii="Arial" w:eastAsia="Times New Roman" w:hAnsi="Arial" w:cs="Arial"/>
          <w:sz w:val="20"/>
          <w:szCs w:val="20"/>
          <w:lang w:eastAsia="en-AU"/>
        </w:rPr>
        <w:t>to the ACMA, on behalf of the Commonwealth, is a debt due to the ACMA on behalf of the Commonwealth, and is recoverable by the ACMA, on behalf of the Commonwealth, from the successful applicant in a court of competent jurisdiction.</w:t>
      </w:r>
    </w:p>
    <w:p w14:paraId="484E9638" w14:textId="77777777" w:rsidR="001D455D" w:rsidRDefault="001D455D" w:rsidP="002B5BDE">
      <w:pPr>
        <w:tabs>
          <w:tab w:val="left" w:pos="1560"/>
        </w:tabs>
        <w:rPr>
          <w:b/>
          <w:lang w:eastAsia="en-AU"/>
        </w:rPr>
      </w:pPr>
      <w:r w:rsidRPr="00246877">
        <w:rPr>
          <w:b/>
          <w:lang w:eastAsia="en-AU"/>
        </w:rPr>
        <w:t xml:space="preserve">PART 7 </w:t>
      </w:r>
      <w:r w:rsidRPr="00246877">
        <w:rPr>
          <w:b/>
          <w:lang w:eastAsia="en-AU"/>
        </w:rPr>
        <w:tab/>
        <w:t>MISCELLANEOUS</w:t>
      </w:r>
    </w:p>
    <w:p w14:paraId="09E5AD47" w14:textId="3166C5DB" w:rsidR="00246877" w:rsidRPr="00246877" w:rsidRDefault="00246877" w:rsidP="002B5BDE">
      <w:pPr>
        <w:tabs>
          <w:tab w:val="left" w:pos="1560"/>
        </w:tabs>
        <w:rPr>
          <w:rFonts w:ascii="Arial" w:eastAsia="Times New Roman" w:hAnsi="Arial" w:cs="Arial"/>
          <w:sz w:val="20"/>
          <w:szCs w:val="20"/>
          <w:lang w:eastAsia="en-AU"/>
        </w:rPr>
      </w:pPr>
      <w:r w:rsidRPr="00246877">
        <w:rPr>
          <w:rFonts w:ascii="Arial" w:eastAsia="Times New Roman" w:hAnsi="Arial" w:cs="Arial"/>
          <w:sz w:val="20"/>
          <w:szCs w:val="20"/>
          <w:lang w:eastAsia="en-AU"/>
        </w:rPr>
        <w:t>Part 7 includes information on miscellaneous matters</w:t>
      </w:r>
      <w:r w:rsidR="00F01E75">
        <w:rPr>
          <w:rFonts w:ascii="Arial" w:eastAsia="Times New Roman" w:hAnsi="Arial" w:cs="Arial"/>
          <w:sz w:val="20"/>
          <w:szCs w:val="20"/>
          <w:lang w:eastAsia="en-AU"/>
        </w:rPr>
        <w:t xml:space="preserve">. These </w:t>
      </w:r>
      <w:r>
        <w:rPr>
          <w:rFonts w:ascii="Arial" w:eastAsia="Times New Roman" w:hAnsi="Arial" w:cs="Arial"/>
          <w:sz w:val="20"/>
          <w:szCs w:val="20"/>
          <w:lang w:eastAsia="en-AU"/>
        </w:rPr>
        <w:t xml:space="preserve">include limitations on the ACMA’s liability; the treatment of information provided by applicants; information the ACMA may provide about successful applicants and prices of allocated lots; the termination of an advertised allocation and refund of monies paid; and the recovery of damages by the ACMA. </w:t>
      </w:r>
    </w:p>
    <w:p w14:paraId="4B35227B" w14:textId="77777777" w:rsidR="001D455D" w:rsidRDefault="001D455D" w:rsidP="002B5BDE">
      <w:pPr>
        <w:tabs>
          <w:tab w:val="left" w:pos="1560"/>
        </w:tabs>
        <w:rPr>
          <w:b/>
          <w:lang w:eastAsia="en-AU"/>
        </w:rPr>
      </w:pPr>
      <w:r>
        <w:rPr>
          <w:b/>
          <w:lang w:eastAsia="en-AU"/>
        </w:rPr>
        <w:t>Section 7.1 – ACMA not liable under the allocation system</w:t>
      </w:r>
    </w:p>
    <w:p w14:paraId="5078B089" w14:textId="77777777" w:rsidR="001D455D" w:rsidRPr="00482225" w:rsidRDefault="001D455D" w:rsidP="002B5BDE">
      <w:pPr>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Sect</w:t>
      </w:r>
      <w:r w:rsidR="00246877">
        <w:rPr>
          <w:rFonts w:ascii="Arial" w:eastAsia="Times New Roman" w:hAnsi="Arial" w:cs="Arial"/>
          <w:sz w:val="20"/>
          <w:szCs w:val="20"/>
          <w:lang w:eastAsia="en-AU"/>
        </w:rPr>
        <w:t>ion 7.1 provides that the ACMA i</w:t>
      </w:r>
      <w:r w:rsidRPr="00482225">
        <w:rPr>
          <w:rFonts w:ascii="Arial" w:eastAsia="Times New Roman" w:hAnsi="Arial" w:cs="Arial"/>
          <w:sz w:val="20"/>
          <w:szCs w:val="20"/>
          <w:lang w:eastAsia="en-AU"/>
        </w:rPr>
        <w:t xml:space="preserve">s not liable to pay damages or costs arising from an act or omission of any person in relation to the allocation procedures set out in the Determination. </w:t>
      </w:r>
    </w:p>
    <w:p w14:paraId="4119482B" w14:textId="77777777" w:rsidR="001D455D" w:rsidRDefault="001D455D" w:rsidP="002B5BDE">
      <w:pPr>
        <w:tabs>
          <w:tab w:val="left" w:pos="1560"/>
        </w:tabs>
        <w:rPr>
          <w:b/>
          <w:lang w:eastAsia="en-AU"/>
        </w:rPr>
      </w:pPr>
      <w:r>
        <w:rPr>
          <w:b/>
          <w:lang w:eastAsia="en-AU"/>
        </w:rPr>
        <w:t>Section 7.2 – Information provided by applicant</w:t>
      </w:r>
    </w:p>
    <w:p w14:paraId="01F26FA5" w14:textId="28B06C5F" w:rsidR="001D455D" w:rsidRPr="00482225" w:rsidRDefault="00BB28B5" w:rsidP="002B5BDE">
      <w:pPr>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Section 7.2 provides that a document given to the ACMA for the purposes of the allocation procedures set out in the Determination becomes the property of the Commonwealth, represented by the ACMA. This does not apply to a document given to the ACMA to establish a person’s identity.</w:t>
      </w:r>
      <w:r w:rsidR="00E26907">
        <w:rPr>
          <w:rFonts w:ascii="Arial" w:eastAsia="Times New Roman" w:hAnsi="Arial" w:cs="Arial"/>
          <w:sz w:val="20"/>
          <w:szCs w:val="20"/>
          <w:lang w:eastAsia="en-AU"/>
        </w:rPr>
        <w:t xml:space="preserve"> The ACMA may use the information provided by an applicant for the purposes of performing its functions or exercising its powers under the Determination.</w:t>
      </w:r>
    </w:p>
    <w:p w14:paraId="4CB1AE22" w14:textId="77777777" w:rsidR="00624E8E" w:rsidRDefault="00624E8E" w:rsidP="002B5BDE">
      <w:pPr>
        <w:tabs>
          <w:tab w:val="left" w:pos="1560"/>
        </w:tabs>
        <w:rPr>
          <w:b/>
          <w:lang w:eastAsia="en-AU"/>
        </w:rPr>
      </w:pPr>
      <w:r>
        <w:rPr>
          <w:b/>
          <w:lang w:eastAsia="en-AU"/>
        </w:rPr>
        <w:t>Section 7.3 – Recovery of damages by the ACMA</w:t>
      </w:r>
    </w:p>
    <w:p w14:paraId="57723A1A" w14:textId="77777777" w:rsidR="00624E8E" w:rsidRPr="00482225" w:rsidRDefault="00624E8E" w:rsidP="002B5BDE">
      <w:pPr>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7.3 provides that the Determination does not affect any right of action or remedy that the ACMA has against any person </w:t>
      </w:r>
      <w:r w:rsidR="002C0DDC" w:rsidRPr="00482225">
        <w:rPr>
          <w:rFonts w:ascii="Arial" w:eastAsia="Times New Roman" w:hAnsi="Arial" w:cs="Arial"/>
          <w:sz w:val="20"/>
          <w:szCs w:val="20"/>
          <w:lang w:eastAsia="en-AU"/>
        </w:rPr>
        <w:t xml:space="preserve">which arises under the Deed of Acknowledgement, statute, common law, equity or otherwise. </w:t>
      </w:r>
    </w:p>
    <w:p w14:paraId="542BC991" w14:textId="77777777" w:rsidR="002C0DDC" w:rsidRDefault="002C0DDC" w:rsidP="002B5BDE">
      <w:pPr>
        <w:tabs>
          <w:tab w:val="left" w:pos="1560"/>
        </w:tabs>
        <w:rPr>
          <w:b/>
          <w:lang w:eastAsia="en-AU"/>
        </w:rPr>
      </w:pPr>
      <w:r>
        <w:rPr>
          <w:b/>
          <w:lang w:eastAsia="en-AU"/>
        </w:rPr>
        <w:t>Section 7.4 – Giving of information by the ACMA</w:t>
      </w:r>
    </w:p>
    <w:p w14:paraId="2EE09C83" w14:textId="77777777" w:rsidR="002C0DDC" w:rsidRPr="00482225" w:rsidRDefault="002C0DDC" w:rsidP="002B5BDE">
      <w:pPr>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Section 7.4 provides that the ACMA may announce or publish a notice of the name of each person to whom a licence is to be issued and the highest final bid or reserve price for the lots comprising the licences, before it issues a transmitter licence.</w:t>
      </w:r>
    </w:p>
    <w:p w14:paraId="79E12973" w14:textId="77777777" w:rsidR="002C0DDC" w:rsidRDefault="002C0DDC" w:rsidP="000916A9">
      <w:pPr>
        <w:keepNext/>
        <w:tabs>
          <w:tab w:val="left" w:pos="1560"/>
        </w:tabs>
        <w:rPr>
          <w:b/>
          <w:lang w:eastAsia="en-AU"/>
        </w:rPr>
      </w:pPr>
      <w:r>
        <w:rPr>
          <w:b/>
          <w:lang w:eastAsia="en-AU"/>
        </w:rPr>
        <w:t>Section 7.5 – Termination of advertised price-based allocation system</w:t>
      </w:r>
    </w:p>
    <w:p w14:paraId="4E001524" w14:textId="77777777" w:rsidR="002C0DDC" w:rsidRPr="00482225" w:rsidRDefault="002C0DDC" w:rsidP="000916A9">
      <w:pPr>
        <w:keepNext/>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Section 7.5 provides that the ACMA may terminate an advertised allocation under the Determination at any time before a transmitter licence is issued. </w:t>
      </w:r>
    </w:p>
    <w:p w14:paraId="7437E35C" w14:textId="77777777" w:rsidR="002C0DDC" w:rsidRDefault="002C0DDC" w:rsidP="002B5BDE">
      <w:pPr>
        <w:tabs>
          <w:tab w:val="left" w:pos="1560"/>
        </w:tabs>
        <w:rPr>
          <w:b/>
          <w:lang w:eastAsia="en-AU"/>
        </w:rPr>
      </w:pPr>
      <w:r>
        <w:rPr>
          <w:b/>
          <w:lang w:eastAsia="en-AU"/>
        </w:rPr>
        <w:t>Section 7.6 – Refund of payments to the ACMA</w:t>
      </w:r>
    </w:p>
    <w:p w14:paraId="1F1A4619" w14:textId="77777777" w:rsidR="002C0DDC" w:rsidRPr="00482225" w:rsidRDefault="002C0DDC" w:rsidP="002B5BDE">
      <w:pPr>
        <w:tabs>
          <w:tab w:val="left" w:pos="1560"/>
        </w:tabs>
        <w:rPr>
          <w:rFonts w:ascii="Arial" w:eastAsia="Times New Roman" w:hAnsi="Arial" w:cs="Arial"/>
          <w:sz w:val="20"/>
          <w:szCs w:val="20"/>
          <w:lang w:eastAsia="en-AU"/>
        </w:rPr>
      </w:pPr>
      <w:r w:rsidRPr="00482225">
        <w:rPr>
          <w:rFonts w:ascii="Arial" w:eastAsia="Times New Roman" w:hAnsi="Arial" w:cs="Arial"/>
          <w:sz w:val="20"/>
          <w:szCs w:val="20"/>
          <w:lang w:eastAsia="en-AU"/>
        </w:rPr>
        <w:t>Section 7.6 provides that the ACMA must refund any entry fee, reserve price, auction deposit or balance of bid price that has been paid,</w:t>
      </w:r>
      <w:r w:rsidR="00212DD6">
        <w:rPr>
          <w:rFonts w:ascii="Arial" w:eastAsia="Times New Roman" w:hAnsi="Arial" w:cs="Arial"/>
          <w:sz w:val="20"/>
          <w:szCs w:val="20"/>
          <w:lang w:eastAsia="en-AU"/>
        </w:rPr>
        <w:t xml:space="preserve"> if the ACMA terminates</w:t>
      </w:r>
      <w:r w:rsidRPr="00482225">
        <w:rPr>
          <w:rFonts w:ascii="Arial" w:eastAsia="Times New Roman" w:hAnsi="Arial" w:cs="Arial"/>
          <w:sz w:val="20"/>
          <w:szCs w:val="20"/>
          <w:lang w:eastAsia="en-AU"/>
        </w:rPr>
        <w:t xml:space="preserve"> an allocation. </w:t>
      </w:r>
    </w:p>
    <w:p w14:paraId="4DFFE25B" w14:textId="77777777" w:rsidR="0032393A" w:rsidRDefault="00281381" w:rsidP="008523E3">
      <w:pPr>
        <w:rPr>
          <w:b/>
          <w:lang w:eastAsia="en-AU"/>
        </w:rPr>
      </w:pPr>
      <w:r>
        <w:rPr>
          <w:b/>
          <w:lang w:eastAsia="en-AU"/>
        </w:rPr>
        <w:t>SCHEDULE 1</w:t>
      </w:r>
      <w:r>
        <w:rPr>
          <w:b/>
          <w:lang w:eastAsia="en-AU"/>
        </w:rPr>
        <w:tab/>
        <w:t>SAMPLE TRANSMITTER LICENCE</w:t>
      </w:r>
    </w:p>
    <w:p w14:paraId="6C9B9C84" w14:textId="77777777" w:rsidR="002F26F2" w:rsidRDefault="002531B6" w:rsidP="008523E3">
      <w:pPr>
        <w:rPr>
          <w:rFonts w:ascii="Arial" w:eastAsia="Times New Roman" w:hAnsi="Arial" w:cs="Arial"/>
          <w:sz w:val="20"/>
          <w:szCs w:val="20"/>
          <w:lang w:eastAsia="en-AU"/>
        </w:rPr>
      </w:pPr>
      <w:r w:rsidRPr="00482225">
        <w:rPr>
          <w:rFonts w:ascii="Arial" w:eastAsia="Times New Roman" w:hAnsi="Arial" w:cs="Arial"/>
          <w:sz w:val="20"/>
          <w:szCs w:val="20"/>
          <w:lang w:eastAsia="en-AU"/>
        </w:rPr>
        <w:t xml:space="preserve">Schedule 1 provides a sample of a transmitter licence that would be issued to a successful applicant under the Determination. </w:t>
      </w:r>
    </w:p>
    <w:p w14:paraId="28D05D87" w14:textId="77777777" w:rsidR="002F26F2" w:rsidRDefault="002F26F2">
      <w:pPr>
        <w:spacing w:after="160" w:line="259" w:lineRule="auto"/>
        <w:rPr>
          <w:rFonts w:ascii="Arial" w:eastAsia="Times New Roman" w:hAnsi="Arial" w:cs="Arial"/>
          <w:sz w:val="20"/>
          <w:szCs w:val="20"/>
          <w:lang w:eastAsia="en-AU"/>
        </w:rPr>
      </w:pPr>
      <w:r>
        <w:rPr>
          <w:rFonts w:ascii="Arial" w:eastAsia="Times New Roman" w:hAnsi="Arial" w:cs="Arial"/>
          <w:sz w:val="20"/>
          <w:szCs w:val="20"/>
          <w:lang w:eastAsia="en-AU"/>
        </w:rPr>
        <w:br w:type="page"/>
      </w:r>
    </w:p>
    <w:p w14:paraId="5CA0DB55" w14:textId="77777777" w:rsidR="00281381" w:rsidRDefault="002F26F2" w:rsidP="008523E3">
      <w:pPr>
        <w:rPr>
          <w:rFonts w:ascii="Arial" w:eastAsia="Times New Roman" w:hAnsi="Arial" w:cs="Arial"/>
          <w:b/>
          <w:sz w:val="20"/>
          <w:szCs w:val="20"/>
          <w:lang w:eastAsia="en-AU"/>
        </w:rPr>
      </w:pPr>
      <w:r>
        <w:rPr>
          <w:rFonts w:ascii="Arial" w:eastAsia="Times New Roman" w:hAnsi="Arial" w:cs="Arial"/>
          <w:b/>
          <w:sz w:val="20"/>
          <w:szCs w:val="20"/>
          <w:lang w:eastAsia="en-AU"/>
        </w:rPr>
        <w:t>Attachment B</w:t>
      </w:r>
    </w:p>
    <w:p w14:paraId="220B3D2C" w14:textId="77777777" w:rsidR="00F84712" w:rsidRPr="00C117CF" w:rsidRDefault="00F84712" w:rsidP="00F84712">
      <w:pPr>
        <w:spacing w:before="120" w:after="120" w:line="260" w:lineRule="atLeast"/>
        <w:jc w:val="center"/>
        <w:rPr>
          <w:rFonts w:ascii="Arial" w:hAnsi="Arial" w:cs="Arial"/>
          <w:b/>
          <w:sz w:val="20"/>
          <w:szCs w:val="20"/>
        </w:rPr>
      </w:pPr>
      <w:r w:rsidRPr="00C117CF">
        <w:rPr>
          <w:rFonts w:ascii="Arial" w:hAnsi="Arial" w:cs="Arial"/>
          <w:b/>
          <w:sz w:val="20"/>
          <w:szCs w:val="20"/>
        </w:rPr>
        <w:t>Statement of Compatibility with Human Rights</w:t>
      </w:r>
    </w:p>
    <w:p w14:paraId="24368D0A" w14:textId="77777777" w:rsidR="00F84712" w:rsidRPr="00C117CF" w:rsidRDefault="00F84712" w:rsidP="00F84712">
      <w:pPr>
        <w:pStyle w:val="ListBullet"/>
        <w:numPr>
          <w:ilvl w:val="0"/>
          <w:numId w:val="0"/>
        </w:numPr>
        <w:ind w:left="720"/>
        <w:jc w:val="center"/>
        <w:rPr>
          <w:rFonts w:ascii="Arial" w:hAnsi="Arial" w:cs="Arial"/>
          <w:i/>
          <w:szCs w:val="20"/>
        </w:rPr>
      </w:pPr>
      <w:r w:rsidRPr="00C117CF">
        <w:rPr>
          <w:rFonts w:ascii="Arial" w:hAnsi="Arial" w:cs="Arial"/>
          <w:szCs w:val="20"/>
        </w:rPr>
        <w:t xml:space="preserve">Prepared in accordance with Part 3 of the </w:t>
      </w:r>
      <w:r w:rsidRPr="00C117CF">
        <w:rPr>
          <w:rFonts w:ascii="Arial" w:hAnsi="Arial" w:cs="Arial"/>
          <w:i/>
          <w:szCs w:val="20"/>
        </w:rPr>
        <w:t>Human Rights (Parliamentary Scrutiny) Act 2011</w:t>
      </w:r>
    </w:p>
    <w:p w14:paraId="5BCD7A1E" w14:textId="77777777" w:rsidR="00F84712" w:rsidRPr="00C117CF" w:rsidRDefault="00F84712" w:rsidP="00F84712">
      <w:pPr>
        <w:pStyle w:val="ListBullet"/>
        <w:numPr>
          <w:ilvl w:val="0"/>
          <w:numId w:val="0"/>
        </w:numPr>
        <w:ind w:left="720"/>
        <w:jc w:val="center"/>
        <w:rPr>
          <w:rFonts w:ascii="Arial" w:hAnsi="Arial" w:cs="Arial"/>
          <w:i/>
          <w:szCs w:val="20"/>
        </w:rPr>
      </w:pPr>
    </w:p>
    <w:p w14:paraId="74D2C7A8" w14:textId="77777777" w:rsidR="00F84712" w:rsidRPr="00C117CF" w:rsidRDefault="00F84712" w:rsidP="00F84712">
      <w:pPr>
        <w:pStyle w:val="ListBullet"/>
        <w:numPr>
          <w:ilvl w:val="0"/>
          <w:numId w:val="0"/>
        </w:numPr>
        <w:ind w:left="720"/>
        <w:jc w:val="center"/>
        <w:rPr>
          <w:rFonts w:ascii="Arial" w:hAnsi="Arial" w:cs="Arial"/>
          <w:b/>
          <w:i/>
          <w:szCs w:val="20"/>
        </w:rPr>
      </w:pPr>
      <w:proofErr w:type="spellStart"/>
      <w:r w:rsidRPr="00C117CF">
        <w:rPr>
          <w:rFonts w:ascii="Arial" w:hAnsi="Arial" w:cs="Arial"/>
          <w:b/>
          <w:i/>
          <w:szCs w:val="20"/>
        </w:rPr>
        <w:t>Radiocommunications</w:t>
      </w:r>
      <w:proofErr w:type="spellEnd"/>
      <w:r w:rsidRPr="00C117CF">
        <w:rPr>
          <w:rFonts w:ascii="Arial" w:hAnsi="Arial" w:cs="Arial"/>
          <w:b/>
          <w:i/>
          <w:szCs w:val="20"/>
        </w:rPr>
        <w:t xml:space="preserve"> </w:t>
      </w:r>
      <w:r>
        <w:rPr>
          <w:rFonts w:ascii="Arial" w:hAnsi="Arial" w:cs="Arial"/>
          <w:b/>
          <w:i/>
          <w:szCs w:val="20"/>
        </w:rPr>
        <w:t>(Allocation of Transmitter Licences – Low Power Open Narrowcasting Licences) Determination 2015</w:t>
      </w:r>
    </w:p>
    <w:p w14:paraId="55427469" w14:textId="77777777" w:rsidR="00F84712" w:rsidRPr="00C117CF" w:rsidRDefault="00F84712" w:rsidP="00F84712">
      <w:pPr>
        <w:pStyle w:val="ListBullet"/>
        <w:numPr>
          <w:ilvl w:val="0"/>
          <w:numId w:val="0"/>
        </w:numPr>
        <w:rPr>
          <w:rFonts w:ascii="Arial" w:hAnsi="Arial" w:cs="Arial"/>
          <w:szCs w:val="20"/>
        </w:rPr>
      </w:pPr>
    </w:p>
    <w:p w14:paraId="7178CE10" w14:textId="77777777" w:rsidR="00F84712" w:rsidRPr="00C117CF" w:rsidRDefault="00F84712" w:rsidP="00F84712">
      <w:pPr>
        <w:pStyle w:val="ListBullet"/>
        <w:numPr>
          <w:ilvl w:val="0"/>
          <w:numId w:val="0"/>
        </w:numPr>
        <w:spacing w:after="200"/>
        <w:rPr>
          <w:rFonts w:ascii="Arial" w:hAnsi="Arial" w:cs="Arial"/>
          <w:i/>
          <w:szCs w:val="20"/>
        </w:rPr>
      </w:pPr>
      <w:r w:rsidRPr="00C117CF">
        <w:rPr>
          <w:rFonts w:ascii="Arial" w:hAnsi="Arial" w:cs="Arial"/>
          <w:szCs w:val="20"/>
        </w:rPr>
        <w:t xml:space="preserve">The legislative instrument is compatible with the human rights and freedoms recognised or declared in the international instruments listed in section 3 of the </w:t>
      </w:r>
      <w:r w:rsidRPr="00C117CF">
        <w:rPr>
          <w:rFonts w:ascii="Arial" w:hAnsi="Arial" w:cs="Arial"/>
          <w:i/>
          <w:szCs w:val="20"/>
        </w:rPr>
        <w:t>Human Rights (Parliamentary Scrutiny) Act 2011.</w:t>
      </w:r>
    </w:p>
    <w:p w14:paraId="4286278F" w14:textId="77777777" w:rsidR="00F84712" w:rsidRPr="00C117CF" w:rsidRDefault="00F84712" w:rsidP="00F84712">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Overview of the Legislative Instrument</w:t>
      </w:r>
    </w:p>
    <w:p w14:paraId="2FA87A95" w14:textId="5D0BCE3E" w:rsidR="009A397D" w:rsidRPr="009F41B6" w:rsidRDefault="009A397D" w:rsidP="009A397D">
      <w:pPr>
        <w:rPr>
          <w:rFonts w:ascii="Arial" w:hAnsi="Arial" w:cs="Arial"/>
          <w:sz w:val="20"/>
          <w:szCs w:val="20"/>
        </w:rPr>
      </w:pPr>
      <w:r w:rsidRPr="009F41B6">
        <w:rPr>
          <w:rFonts w:ascii="Arial" w:hAnsi="Arial" w:cs="Arial"/>
          <w:sz w:val="20"/>
          <w:szCs w:val="20"/>
        </w:rPr>
        <w:t>The</w:t>
      </w:r>
      <w:r w:rsidRPr="00733181">
        <w:rPr>
          <w:rFonts w:ascii="Arial" w:hAnsi="Arial" w:cs="Arial"/>
          <w:sz w:val="20"/>
          <w:szCs w:val="20"/>
        </w:rPr>
        <w:t xml:space="preserve"> </w:t>
      </w:r>
      <w:proofErr w:type="spellStart"/>
      <w:r w:rsidRPr="00A63BD3">
        <w:rPr>
          <w:rFonts w:ascii="Arial" w:hAnsi="Arial" w:cs="Arial"/>
          <w:i/>
          <w:sz w:val="20"/>
          <w:szCs w:val="20"/>
        </w:rPr>
        <w:t>Radiocommunications</w:t>
      </w:r>
      <w:proofErr w:type="spellEnd"/>
      <w:r w:rsidRPr="00A63BD3">
        <w:rPr>
          <w:rFonts w:ascii="Arial" w:hAnsi="Arial" w:cs="Arial"/>
          <w:i/>
          <w:sz w:val="20"/>
          <w:szCs w:val="20"/>
        </w:rPr>
        <w:t xml:space="preserve"> (Allocation of Transmitter Licences – Low Power Open Narrowcasting Licences) Determination 2015</w:t>
      </w:r>
      <w:r w:rsidRPr="009F41B6">
        <w:rPr>
          <w:rFonts w:ascii="Arial" w:hAnsi="Arial" w:cs="Arial"/>
          <w:sz w:val="20"/>
          <w:szCs w:val="20"/>
        </w:rPr>
        <w:t xml:space="preserve"> provides </w:t>
      </w:r>
      <w:r>
        <w:rPr>
          <w:rFonts w:ascii="Arial" w:hAnsi="Arial" w:cs="Arial"/>
          <w:sz w:val="20"/>
          <w:szCs w:val="20"/>
        </w:rPr>
        <w:t xml:space="preserve">an allocation system </w:t>
      </w:r>
      <w:r w:rsidR="0040454D">
        <w:rPr>
          <w:rFonts w:ascii="Arial" w:hAnsi="Arial" w:cs="Arial"/>
          <w:sz w:val="20"/>
          <w:szCs w:val="20"/>
        </w:rPr>
        <w:t xml:space="preserve">for transmitter licences for </w:t>
      </w:r>
      <w:r w:rsidR="00F01E75">
        <w:rPr>
          <w:rFonts w:ascii="Arial" w:hAnsi="Arial" w:cs="Arial"/>
          <w:sz w:val="20"/>
          <w:szCs w:val="20"/>
        </w:rPr>
        <w:t>low open narrowcasting (</w:t>
      </w:r>
      <w:r w:rsidR="0040454D">
        <w:rPr>
          <w:rFonts w:ascii="Arial" w:hAnsi="Arial" w:cs="Arial"/>
          <w:sz w:val="20"/>
          <w:szCs w:val="20"/>
        </w:rPr>
        <w:t>LPON services</w:t>
      </w:r>
      <w:r w:rsidR="00F01E75">
        <w:rPr>
          <w:rFonts w:ascii="Arial" w:hAnsi="Arial" w:cs="Arial"/>
          <w:sz w:val="20"/>
          <w:szCs w:val="20"/>
        </w:rPr>
        <w:t>)</w:t>
      </w:r>
      <w:r w:rsidR="0040454D">
        <w:rPr>
          <w:rFonts w:ascii="Arial" w:hAnsi="Arial" w:cs="Arial"/>
          <w:sz w:val="20"/>
          <w:szCs w:val="20"/>
        </w:rPr>
        <w:t xml:space="preserve"> through </w:t>
      </w:r>
      <w:r>
        <w:rPr>
          <w:rFonts w:ascii="Arial" w:hAnsi="Arial" w:cs="Arial"/>
          <w:sz w:val="20"/>
          <w:szCs w:val="20"/>
        </w:rPr>
        <w:t xml:space="preserve">auction </w:t>
      </w:r>
      <w:r w:rsidR="0040454D">
        <w:rPr>
          <w:rFonts w:ascii="Arial" w:hAnsi="Arial" w:cs="Arial"/>
          <w:sz w:val="20"/>
          <w:szCs w:val="20"/>
        </w:rPr>
        <w:t xml:space="preserve">of </w:t>
      </w:r>
      <w:r>
        <w:rPr>
          <w:rFonts w:ascii="Arial" w:hAnsi="Arial" w:cs="Arial"/>
          <w:sz w:val="20"/>
          <w:szCs w:val="20"/>
        </w:rPr>
        <w:t>lot</w:t>
      </w:r>
      <w:r w:rsidR="0040454D">
        <w:rPr>
          <w:rFonts w:ascii="Arial" w:hAnsi="Arial" w:cs="Arial"/>
          <w:sz w:val="20"/>
          <w:szCs w:val="20"/>
        </w:rPr>
        <w:t>s</w:t>
      </w:r>
      <w:r w:rsidRPr="009F41B6">
        <w:rPr>
          <w:rFonts w:ascii="Arial" w:hAnsi="Arial" w:cs="Arial"/>
          <w:sz w:val="20"/>
          <w:szCs w:val="20"/>
        </w:rPr>
        <w:t xml:space="preserve"> by open outcry if there are competing bidders for </w:t>
      </w:r>
      <w:r>
        <w:rPr>
          <w:rFonts w:ascii="Arial" w:hAnsi="Arial" w:cs="Arial"/>
          <w:sz w:val="20"/>
          <w:szCs w:val="20"/>
        </w:rPr>
        <w:t>that</w:t>
      </w:r>
      <w:r w:rsidRPr="009F41B6">
        <w:rPr>
          <w:rFonts w:ascii="Arial" w:hAnsi="Arial" w:cs="Arial"/>
          <w:sz w:val="20"/>
          <w:szCs w:val="20"/>
        </w:rPr>
        <w:t xml:space="preserve"> lot</w:t>
      </w:r>
      <w:r>
        <w:rPr>
          <w:rFonts w:ascii="Arial" w:hAnsi="Arial" w:cs="Arial"/>
          <w:sz w:val="20"/>
          <w:szCs w:val="20"/>
        </w:rPr>
        <w:t>;</w:t>
      </w:r>
      <w:r w:rsidRPr="009F41B6">
        <w:rPr>
          <w:rFonts w:ascii="Arial" w:hAnsi="Arial" w:cs="Arial"/>
          <w:sz w:val="20"/>
          <w:szCs w:val="20"/>
        </w:rPr>
        <w:t xml:space="preserve"> or to allocate a lot for a reserve price if there is only one applicant. The ACMA must (subject to conditions) issue an apparatus licence to a registered applicant by whom, or on whose behalf, the highest bid is made for a lot, </w:t>
      </w:r>
      <w:r>
        <w:rPr>
          <w:rFonts w:ascii="Arial" w:hAnsi="Arial" w:cs="Arial"/>
          <w:sz w:val="20"/>
          <w:szCs w:val="20"/>
        </w:rPr>
        <w:t xml:space="preserve">or who is the only applicant for a lot, </w:t>
      </w:r>
      <w:r w:rsidRPr="009F41B6">
        <w:rPr>
          <w:rFonts w:ascii="Arial" w:hAnsi="Arial" w:cs="Arial"/>
          <w:sz w:val="20"/>
          <w:szCs w:val="20"/>
        </w:rPr>
        <w:t>provided that the registered applicant applies for a licence within 10 business days after the date of a notice issued to the successful applicant</w:t>
      </w:r>
      <w:r w:rsidR="0040454D">
        <w:rPr>
          <w:rFonts w:ascii="Arial" w:hAnsi="Arial" w:cs="Arial"/>
          <w:sz w:val="20"/>
          <w:szCs w:val="20"/>
        </w:rPr>
        <w:t xml:space="preserve"> and pays all applicable charges</w:t>
      </w:r>
      <w:r w:rsidRPr="009F41B6">
        <w:rPr>
          <w:rFonts w:ascii="Arial" w:hAnsi="Arial" w:cs="Arial"/>
          <w:sz w:val="20"/>
          <w:szCs w:val="20"/>
        </w:rPr>
        <w:t>.</w:t>
      </w:r>
    </w:p>
    <w:p w14:paraId="6D73739A" w14:textId="77777777" w:rsidR="00F84712" w:rsidRPr="00C117CF" w:rsidRDefault="00F84712" w:rsidP="00F84712">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Human Rights Implications</w:t>
      </w:r>
    </w:p>
    <w:p w14:paraId="0126D41C" w14:textId="77777777" w:rsidR="00F84712" w:rsidRPr="00F84712" w:rsidRDefault="00F84712" w:rsidP="00F84712">
      <w:pPr>
        <w:pStyle w:val="ListBullet"/>
        <w:numPr>
          <w:ilvl w:val="0"/>
          <w:numId w:val="0"/>
        </w:numPr>
        <w:spacing w:after="200"/>
        <w:rPr>
          <w:rFonts w:ascii="Arial" w:hAnsi="Arial" w:cs="Arial"/>
          <w:i/>
          <w:szCs w:val="20"/>
        </w:rPr>
      </w:pPr>
      <w:r w:rsidRPr="00F84712">
        <w:rPr>
          <w:rFonts w:ascii="Arial" w:hAnsi="Arial" w:cs="Arial"/>
          <w:szCs w:val="20"/>
        </w:rPr>
        <w:t xml:space="preserve">The </w:t>
      </w:r>
      <w:proofErr w:type="spellStart"/>
      <w:r w:rsidRPr="00F84712">
        <w:rPr>
          <w:rFonts w:ascii="Arial" w:hAnsi="Arial" w:cs="Arial"/>
          <w:i/>
          <w:szCs w:val="20"/>
        </w:rPr>
        <w:t>Radiocommunications</w:t>
      </w:r>
      <w:proofErr w:type="spellEnd"/>
      <w:r w:rsidRPr="00F84712">
        <w:rPr>
          <w:rFonts w:ascii="Arial" w:hAnsi="Arial" w:cs="Arial"/>
          <w:i/>
          <w:szCs w:val="20"/>
        </w:rPr>
        <w:t xml:space="preserve"> (Allocation of Transmitter Licences – Low Power Open Narrowcasting Licences) Determination 2015</w:t>
      </w:r>
      <w:r>
        <w:rPr>
          <w:rFonts w:ascii="Arial" w:hAnsi="Arial" w:cs="Arial"/>
          <w:i/>
          <w:szCs w:val="20"/>
        </w:rPr>
        <w:t xml:space="preserve"> </w:t>
      </w:r>
      <w:r w:rsidRPr="00C117CF">
        <w:rPr>
          <w:rFonts w:ascii="Arial" w:hAnsi="Arial" w:cs="Arial"/>
          <w:szCs w:val="20"/>
        </w:rPr>
        <w:t>does not engage any of the applicable rights or freedoms.</w:t>
      </w:r>
    </w:p>
    <w:p w14:paraId="49A3DEB5" w14:textId="77777777" w:rsidR="00F84712" w:rsidRPr="00C117CF" w:rsidRDefault="00F84712" w:rsidP="00F84712">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Conclusion</w:t>
      </w:r>
    </w:p>
    <w:p w14:paraId="2EA3A9DC" w14:textId="77777777" w:rsidR="00F84712" w:rsidRPr="00C117CF" w:rsidRDefault="00F84712" w:rsidP="00F84712">
      <w:pPr>
        <w:pStyle w:val="ListBullet"/>
        <w:numPr>
          <w:ilvl w:val="0"/>
          <w:numId w:val="0"/>
        </w:numPr>
        <w:spacing w:after="200"/>
        <w:rPr>
          <w:rFonts w:ascii="Arial" w:hAnsi="Arial" w:cs="Arial"/>
          <w:szCs w:val="20"/>
        </w:rPr>
      </w:pPr>
      <w:r w:rsidRPr="00C117CF">
        <w:rPr>
          <w:rFonts w:ascii="Arial" w:hAnsi="Arial" w:cs="Arial"/>
          <w:szCs w:val="20"/>
        </w:rPr>
        <w:t>The legislative instrument is compatible with human rights as it does not raise any human rights issues.</w:t>
      </w:r>
    </w:p>
    <w:p w14:paraId="57B835A3" w14:textId="77777777" w:rsidR="002F26F2" w:rsidRPr="002F26F2" w:rsidRDefault="002F26F2" w:rsidP="008523E3">
      <w:pPr>
        <w:rPr>
          <w:rFonts w:ascii="Arial" w:eastAsia="Times New Roman" w:hAnsi="Arial" w:cs="Arial"/>
          <w:b/>
          <w:sz w:val="20"/>
          <w:szCs w:val="20"/>
          <w:lang w:eastAsia="en-AU"/>
        </w:rPr>
      </w:pPr>
    </w:p>
    <w:sectPr w:rsidR="002F26F2" w:rsidRPr="002F26F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12EF7" w14:textId="77777777" w:rsidR="00F06532" w:rsidRDefault="00F06532" w:rsidP="006C059F">
      <w:pPr>
        <w:spacing w:after="0" w:line="240" w:lineRule="auto"/>
      </w:pPr>
      <w:r>
        <w:separator/>
      </w:r>
    </w:p>
  </w:endnote>
  <w:endnote w:type="continuationSeparator" w:id="0">
    <w:p w14:paraId="72BFC5AE" w14:textId="77777777" w:rsidR="00F06532" w:rsidRDefault="00F06532" w:rsidP="006C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80411"/>
      <w:docPartObj>
        <w:docPartGallery w:val="Page Numbers (Bottom of Page)"/>
        <w:docPartUnique/>
      </w:docPartObj>
    </w:sdtPr>
    <w:sdtEndPr>
      <w:rPr>
        <w:noProof/>
      </w:rPr>
    </w:sdtEndPr>
    <w:sdtContent>
      <w:p w14:paraId="6A54A895" w14:textId="77777777" w:rsidR="006C059F" w:rsidRDefault="006C059F">
        <w:pPr>
          <w:pStyle w:val="Footer"/>
          <w:jc w:val="right"/>
        </w:pPr>
        <w:r>
          <w:fldChar w:fldCharType="begin"/>
        </w:r>
        <w:r>
          <w:instrText xml:space="preserve"> PAGE   \* MERGEFORMAT </w:instrText>
        </w:r>
        <w:r>
          <w:fldChar w:fldCharType="separate"/>
        </w:r>
        <w:r w:rsidR="004E664E">
          <w:rPr>
            <w:noProof/>
          </w:rPr>
          <w:t>1</w:t>
        </w:r>
        <w:r>
          <w:rPr>
            <w:noProof/>
          </w:rPr>
          <w:fldChar w:fldCharType="end"/>
        </w:r>
      </w:p>
    </w:sdtContent>
  </w:sdt>
  <w:p w14:paraId="4CD45D4E" w14:textId="77777777" w:rsidR="006C059F" w:rsidRDefault="006C0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9EFEF" w14:textId="77777777" w:rsidR="00F06532" w:rsidRDefault="00F06532" w:rsidP="006C059F">
      <w:pPr>
        <w:spacing w:after="0" w:line="240" w:lineRule="auto"/>
      </w:pPr>
      <w:r>
        <w:separator/>
      </w:r>
    </w:p>
  </w:footnote>
  <w:footnote w:type="continuationSeparator" w:id="0">
    <w:p w14:paraId="1B8A966E" w14:textId="77777777" w:rsidR="00F06532" w:rsidRDefault="00F06532" w:rsidP="006C059F">
      <w:pPr>
        <w:spacing w:after="0" w:line="240" w:lineRule="auto"/>
      </w:pPr>
      <w:r>
        <w:continuationSeparator/>
      </w:r>
    </w:p>
  </w:footnote>
  <w:footnote w:id="1">
    <w:p w14:paraId="58FAA9A9" w14:textId="4EC12039" w:rsidR="00EC288E" w:rsidRPr="00C456D5" w:rsidRDefault="00EC288E">
      <w:pPr>
        <w:pStyle w:val="FootnoteText"/>
      </w:pPr>
      <w:r>
        <w:rPr>
          <w:rStyle w:val="FootnoteReference"/>
        </w:rPr>
        <w:footnoteRef/>
      </w:r>
      <w:r>
        <w:t xml:space="preserve"> The AC</w:t>
      </w:r>
      <w:r w:rsidR="00AB4037">
        <w:t>M</w:t>
      </w:r>
      <w:r>
        <w:t xml:space="preserve">A </w:t>
      </w:r>
      <w:r w:rsidR="00AB4037">
        <w:t xml:space="preserve">succeeded to responsibilities of the ACA </w:t>
      </w:r>
      <w:r>
        <w:t xml:space="preserve">on 1 July 2005. Directions given to the ACA are taken to be given to the ACMA and </w:t>
      </w:r>
      <w:r w:rsidR="00C456D5">
        <w:t xml:space="preserve">instruments made by the ACA are taken to be made by the ACMA by virtue of the </w:t>
      </w:r>
      <w:r w:rsidR="00C456D5">
        <w:rPr>
          <w:i/>
        </w:rPr>
        <w:t>Australian Communications and Media Authority (Consequential and Transitional Provisions) Act 2005</w:t>
      </w:r>
      <w:r w:rsidR="00C456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41AFD7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0A579B5"/>
    <w:multiLevelType w:val="hybridMultilevel"/>
    <w:tmpl w:val="CF86E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6151DE"/>
    <w:multiLevelType w:val="hybridMultilevel"/>
    <w:tmpl w:val="CD967E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54FD30DF"/>
    <w:multiLevelType w:val="hybridMultilevel"/>
    <w:tmpl w:val="44D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6B342B"/>
    <w:multiLevelType w:val="hybridMultilevel"/>
    <w:tmpl w:val="166816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5D5A0E68"/>
    <w:multiLevelType w:val="hybridMultilevel"/>
    <w:tmpl w:val="A83A440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81"/>
    <w:rsid w:val="00006534"/>
    <w:rsid w:val="00022944"/>
    <w:rsid w:val="0002528F"/>
    <w:rsid w:val="00044953"/>
    <w:rsid w:val="00081F89"/>
    <w:rsid w:val="00086C32"/>
    <w:rsid w:val="00087399"/>
    <w:rsid w:val="000916A9"/>
    <w:rsid w:val="000B4986"/>
    <w:rsid w:val="000B4E38"/>
    <w:rsid w:val="000C3FA2"/>
    <w:rsid w:val="000D5D89"/>
    <w:rsid w:val="000E751D"/>
    <w:rsid w:val="000F3D6F"/>
    <w:rsid w:val="0012185B"/>
    <w:rsid w:val="00126AA8"/>
    <w:rsid w:val="0013262F"/>
    <w:rsid w:val="00134659"/>
    <w:rsid w:val="00136D1D"/>
    <w:rsid w:val="001458D9"/>
    <w:rsid w:val="00152D82"/>
    <w:rsid w:val="00170257"/>
    <w:rsid w:val="00175619"/>
    <w:rsid w:val="00185251"/>
    <w:rsid w:val="001A5590"/>
    <w:rsid w:val="001A5F69"/>
    <w:rsid w:val="001A6602"/>
    <w:rsid w:val="001A6670"/>
    <w:rsid w:val="001B217D"/>
    <w:rsid w:val="001C3309"/>
    <w:rsid w:val="001C693F"/>
    <w:rsid w:val="001D455D"/>
    <w:rsid w:val="001E1BB7"/>
    <w:rsid w:val="001E28DC"/>
    <w:rsid w:val="001E5C6B"/>
    <w:rsid w:val="00212DD6"/>
    <w:rsid w:val="00227754"/>
    <w:rsid w:val="00236409"/>
    <w:rsid w:val="00237BD6"/>
    <w:rsid w:val="00246877"/>
    <w:rsid w:val="002474C3"/>
    <w:rsid w:val="00250ECA"/>
    <w:rsid w:val="002519A9"/>
    <w:rsid w:val="002531B6"/>
    <w:rsid w:val="002535C6"/>
    <w:rsid w:val="00267582"/>
    <w:rsid w:val="00272536"/>
    <w:rsid w:val="0027366D"/>
    <w:rsid w:val="00281381"/>
    <w:rsid w:val="002B5BDE"/>
    <w:rsid w:val="002B5BF6"/>
    <w:rsid w:val="002C0DDC"/>
    <w:rsid w:val="002C4764"/>
    <w:rsid w:val="002D0D81"/>
    <w:rsid w:val="002D3258"/>
    <w:rsid w:val="002D3F35"/>
    <w:rsid w:val="002D6BDC"/>
    <w:rsid w:val="002E5EED"/>
    <w:rsid w:val="002E767A"/>
    <w:rsid w:val="002F095A"/>
    <w:rsid w:val="002F26F2"/>
    <w:rsid w:val="00306910"/>
    <w:rsid w:val="00307D95"/>
    <w:rsid w:val="00314340"/>
    <w:rsid w:val="00314F2B"/>
    <w:rsid w:val="0032393A"/>
    <w:rsid w:val="00326098"/>
    <w:rsid w:val="00326B6C"/>
    <w:rsid w:val="003270B4"/>
    <w:rsid w:val="00331137"/>
    <w:rsid w:val="003550E2"/>
    <w:rsid w:val="003621E3"/>
    <w:rsid w:val="0036741E"/>
    <w:rsid w:val="0038024E"/>
    <w:rsid w:val="0039051C"/>
    <w:rsid w:val="0039479B"/>
    <w:rsid w:val="003C739A"/>
    <w:rsid w:val="003D4919"/>
    <w:rsid w:val="003E34AD"/>
    <w:rsid w:val="003F2171"/>
    <w:rsid w:val="003F3A6C"/>
    <w:rsid w:val="0040454D"/>
    <w:rsid w:val="00415208"/>
    <w:rsid w:val="00425010"/>
    <w:rsid w:val="00434899"/>
    <w:rsid w:val="0044311E"/>
    <w:rsid w:val="00446673"/>
    <w:rsid w:val="00456D3B"/>
    <w:rsid w:val="00482225"/>
    <w:rsid w:val="004A2DB3"/>
    <w:rsid w:val="004B68B1"/>
    <w:rsid w:val="004D59C7"/>
    <w:rsid w:val="004D6353"/>
    <w:rsid w:val="004E664E"/>
    <w:rsid w:val="004F0767"/>
    <w:rsid w:val="004F32F0"/>
    <w:rsid w:val="0050376C"/>
    <w:rsid w:val="0051580D"/>
    <w:rsid w:val="00537B56"/>
    <w:rsid w:val="005426AF"/>
    <w:rsid w:val="0055489F"/>
    <w:rsid w:val="00557293"/>
    <w:rsid w:val="0056332D"/>
    <w:rsid w:val="005644A9"/>
    <w:rsid w:val="0058591A"/>
    <w:rsid w:val="0059179C"/>
    <w:rsid w:val="005B3F6B"/>
    <w:rsid w:val="005C3DF3"/>
    <w:rsid w:val="005C5B23"/>
    <w:rsid w:val="005D516A"/>
    <w:rsid w:val="005E336E"/>
    <w:rsid w:val="005E6F55"/>
    <w:rsid w:val="005F443A"/>
    <w:rsid w:val="005F5E43"/>
    <w:rsid w:val="00624E8E"/>
    <w:rsid w:val="00642E9F"/>
    <w:rsid w:val="006450E4"/>
    <w:rsid w:val="00652D4E"/>
    <w:rsid w:val="006727B7"/>
    <w:rsid w:val="0068229C"/>
    <w:rsid w:val="006A3B39"/>
    <w:rsid w:val="006A4392"/>
    <w:rsid w:val="006B51ED"/>
    <w:rsid w:val="006B76C1"/>
    <w:rsid w:val="006B7AF2"/>
    <w:rsid w:val="006C059F"/>
    <w:rsid w:val="006C1CD8"/>
    <w:rsid w:val="006C6E20"/>
    <w:rsid w:val="006E21ED"/>
    <w:rsid w:val="006E5504"/>
    <w:rsid w:val="0070299A"/>
    <w:rsid w:val="007063AF"/>
    <w:rsid w:val="007074AA"/>
    <w:rsid w:val="00710C87"/>
    <w:rsid w:val="0071506A"/>
    <w:rsid w:val="00717AA9"/>
    <w:rsid w:val="007212BC"/>
    <w:rsid w:val="00721997"/>
    <w:rsid w:val="007270A5"/>
    <w:rsid w:val="00733181"/>
    <w:rsid w:val="007408C8"/>
    <w:rsid w:val="00762AFE"/>
    <w:rsid w:val="00762C8A"/>
    <w:rsid w:val="007738CB"/>
    <w:rsid w:val="00782311"/>
    <w:rsid w:val="0078541E"/>
    <w:rsid w:val="0079209A"/>
    <w:rsid w:val="00797237"/>
    <w:rsid w:val="007B2D0F"/>
    <w:rsid w:val="007B7537"/>
    <w:rsid w:val="007D60A5"/>
    <w:rsid w:val="007D6932"/>
    <w:rsid w:val="007D79E5"/>
    <w:rsid w:val="007E5501"/>
    <w:rsid w:val="007F3C22"/>
    <w:rsid w:val="0080673A"/>
    <w:rsid w:val="00810332"/>
    <w:rsid w:val="00827DBA"/>
    <w:rsid w:val="0083192E"/>
    <w:rsid w:val="00843DE1"/>
    <w:rsid w:val="008523E3"/>
    <w:rsid w:val="00870CD6"/>
    <w:rsid w:val="0087392E"/>
    <w:rsid w:val="00890967"/>
    <w:rsid w:val="00894161"/>
    <w:rsid w:val="008A36BA"/>
    <w:rsid w:val="008B1E48"/>
    <w:rsid w:val="008B1EEB"/>
    <w:rsid w:val="008B755E"/>
    <w:rsid w:val="008C0E59"/>
    <w:rsid w:val="008C2747"/>
    <w:rsid w:val="008C439B"/>
    <w:rsid w:val="008D0047"/>
    <w:rsid w:val="008D5FA9"/>
    <w:rsid w:val="008D7D26"/>
    <w:rsid w:val="0090195C"/>
    <w:rsid w:val="0091289F"/>
    <w:rsid w:val="00921372"/>
    <w:rsid w:val="00930E0E"/>
    <w:rsid w:val="00933420"/>
    <w:rsid w:val="00954A44"/>
    <w:rsid w:val="009935ED"/>
    <w:rsid w:val="009A0A13"/>
    <w:rsid w:val="009A30A7"/>
    <w:rsid w:val="009A397D"/>
    <w:rsid w:val="009B6464"/>
    <w:rsid w:val="009B763B"/>
    <w:rsid w:val="009C7DFB"/>
    <w:rsid w:val="009F41B6"/>
    <w:rsid w:val="009F49B9"/>
    <w:rsid w:val="00A004ED"/>
    <w:rsid w:val="00A12A05"/>
    <w:rsid w:val="00A265C5"/>
    <w:rsid w:val="00A63BD3"/>
    <w:rsid w:val="00A640F1"/>
    <w:rsid w:val="00A65D49"/>
    <w:rsid w:val="00A937B1"/>
    <w:rsid w:val="00A971F1"/>
    <w:rsid w:val="00AA1B3A"/>
    <w:rsid w:val="00AB14ED"/>
    <w:rsid w:val="00AB4037"/>
    <w:rsid w:val="00AC09CB"/>
    <w:rsid w:val="00AC5BDF"/>
    <w:rsid w:val="00AF3DCC"/>
    <w:rsid w:val="00AF6E27"/>
    <w:rsid w:val="00B10959"/>
    <w:rsid w:val="00B156E8"/>
    <w:rsid w:val="00B412E9"/>
    <w:rsid w:val="00B52FD1"/>
    <w:rsid w:val="00B55423"/>
    <w:rsid w:val="00B60A11"/>
    <w:rsid w:val="00B742C3"/>
    <w:rsid w:val="00B748A3"/>
    <w:rsid w:val="00B8014D"/>
    <w:rsid w:val="00B92893"/>
    <w:rsid w:val="00B95B99"/>
    <w:rsid w:val="00BA01C6"/>
    <w:rsid w:val="00BA0575"/>
    <w:rsid w:val="00BA7490"/>
    <w:rsid w:val="00BB28B5"/>
    <w:rsid w:val="00BB56D2"/>
    <w:rsid w:val="00BC18A6"/>
    <w:rsid w:val="00BC2689"/>
    <w:rsid w:val="00BC689B"/>
    <w:rsid w:val="00BE0B83"/>
    <w:rsid w:val="00C30639"/>
    <w:rsid w:val="00C35567"/>
    <w:rsid w:val="00C456D5"/>
    <w:rsid w:val="00C7715E"/>
    <w:rsid w:val="00C8153B"/>
    <w:rsid w:val="00CD7655"/>
    <w:rsid w:val="00CE0D07"/>
    <w:rsid w:val="00CF19CF"/>
    <w:rsid w:val="00CF7E17"/>
    <w:rsid w:val="00D00F93"/>
    <w:rsid w:val="00D03E58"/>
    <w:rsid w:val="00D067AB"/>
    <w:rsid w:val="00D150A1"/>
    <w:rsid w:val="00D27815"/>
    <w:rsid w:val="00D3100F"/>
    <w:rsid w:val="00D334D1"/>
    <w:rsid w:val="00D40BB1"/>
    <w:rsid w:val="00D45459"/>
    <w:rsid w:val="00D553E8"/>
    <w:rsid w:val="00D57E28"/>
    <w:rsid w:val="00D65DE7"/>
    <w:rsid w:val="00D83897"/>
    <w:rsid w:val="00D84CD1"/>
    <w:rsid w:val="00D96324"/>
    <w:rsid w:val="00DA6511"/>
    <w:rsid w:val="00DA76E5"/>
    <w:rsid w:val="00DB2634"/>
    <w:rsid w:val="00DB3400"/>
    <w:rsid w:val="00DD3167"/>
    <w:rsid w:val="00DD533F"/>
    <w:rsid w:val="00DE1CE1"/>
    <w:rsid w:val="00DE4F67"/>
    <w:rsid w:val="00DF108A"/>
    <w:rsid w:val="00E05471"/>
    <w:rsid w:val="00E21F62"/>
    <w:rsid w:val="00E26907"/>
    <w:rsid w:val="00E336F4"/>
    <w:rsid w:val="00E360C9"/>
    <w:rsid w:val="00E3739C"/>
    <w:rsid w:val="00E56173"/>
    <w:rsid w:val="00E63303"/>
    <w:rsid w:val="00E73E0F"/>
    <w:rsid w:val="00EB0FAC"/>
    <w:rsid w:val="00EC288E"/>
    <w:rsid w:val="00EC40B1"/>
    <w:rsid w:val="00EC4C03"/>
    <w:rsid w:val="00EE0145"/>
    <w:rsid w:val="00EE2267"/>
    <w:rsid w:val="00EE27EA"/>
    <w:rsid w:val="00EE3E96"/>
    <w:rsid w:val="00F01E75"/>
    <w:rsid w:val="00F06532"/>
    <w:rsid w:val="00F24242"/>
    <w:rsid w:val="00F257BE"/>
    <w:rsid w:val="00F46EC5"/>
    <w:rsid w:val="00F55E2F"/>
    <w:rsid w:val="00F623AB"/>
    <w:rsid w:val="00F668C6"/>
    <w:rsid w:val="00F70B8E"/>
    <w:rsid w:val="00F727C4"/>
    <w:rsid w:val="00F84712"/>
    <w:rsid w:val="00F94118"/>
    <w:rsid w:val="00FA7837"/>
    <w:rsid w:val="00FB6258"/>
    <w:rsid w:val="00FB66A9"/>
    <w:rsid w:val="00FC00C3"/>
    <w:rsid w:val="00FC0D75"/>
    <w:rsid w:val="00FC4A92"/>
    <w:rsid w:val="00FF3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D2E4"/>
  <w15:chartTrackingRefBased/>
  <w15:docId w15:val="{AE5861DB-1D05-43D4-BD32-0A612D90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
    <w:rsid w:val="00733181"/>
    <w:pPr>
      <w:suppressAutoHyphens/>
      <w:spacing w:before="80" w:after="120" w:line="280" w:lineRule="atLeast"/>
    </w:pPr>
    <w:rPr>
      <w:rFonts w:ascii="Arial" w:eastAsia="Times New Roman" w:hAnsi="Arial" w:cs="Arial"/>
      <w:sz w:val="20"/>
      <w:szCs w:val="20"/>
    </w:rPr>
  </w:style>
  <w:style w:type="paragraph" w:customStyle="1" w:styleId="ACMAHeading1">
    <w:name w:val="ACMA Heading 1"/>
    <w:next w:val="ACMABodyText"/>
    <w:rsid w:val="00733181"/>
    <w:pPr>
      <w:keepNext/>
      <w:suppressAutoHyphens/>
      <w:spacing w:before="320" w:after="0" w:line="240" w:lineRule="auto"/>
      <w:outlineLvl w:val="1"/>
    </w:pPr>
    <w:rPr>
      <w:rFonts w:ascii="Arial" w:eastAsia="Times New Roman" w:hAnsi="Arial" w:cs="Times New Roman"/>
      <w:b/>
      <w:sz w:val="32"/>
      <w:szCs w:val="32"/>
      <w:lang w:val="en-US"/>
    </w:rPr>
  </w:style>
  <w:style w:type="paragraph" w:styleId="BodyText">
    <w:name w:val="Body Text"/>
    <w:basedOn w:val="Normal"/>
    <w:link w:val="BodyTextChar"/>
    <w:rsid w:val="00733181"/>
    <w:pPr>
      <w:overflowPunct w:val="0"/>
      <w:autoSpaceDE w:val="0"/>
      <w:autoSpaceDN w:val="0"/>
      <w:adjustRightInd w:val="0"/>
      <w:spacing w:after="120" w:line="240" w:lineRule="auto"/>
      <w:textAlignment w:val="baseline"/>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rsid w:val="00733181"/>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33181"/>
    <w:pPr>
      <w:spacing w:after="0" w:line="240" w:lineRule="auto"/>
      <w:jc w:val="center"/>
    </w:pPr>
    <w:rPr>
      <w:rFonts w:ascii="Times New Roman" w:eastAsia="Times New Roman" w:hAnsi="Times New Roman"/>
      <w:b/>
      <w:sz w:val="24"/>
      <w:szCs w:val="20"/>
      <w:lang w:eastAsia="en-AU"/>
    </w:rPr>
  </w:style>
  <w:style w:type="character" w:customStyle="1" w:styleId="SubtitleChar">
    <w:name w:val="Subtitle Char"/>
    <w:basedOn w:val="DefaultParagraphFont"/>
    <w:link w:val="Subtitle"/>
    <w:rsid w:val="00733181"/>
    <w:rPr>
      <w:rFonts w:ascii="Times New Roman" w:eastAsia="Times New Roman" w:hAnsi="Times New Roman" w:cs="Times New Roman"/>
      <w:b/>
      <w:sz w:val="24"/>
      <w:szCs w:val="20"/>
      <w:lang w:eastAsia="en-AU"/>
    </w:rPr>
  </w:style>
  <w:style w:type="character" w:customStyle="1" w:styleId="CharSectno">
    <w:name w:val="CharSectno"/>
    <w:basedOn w:val="DefaultParagraphFont"/>
    <w:rsid w:val="00733181"/>
  </w:style>
  <w:style w:type="paragraph" w:customStyle="1" w:styleId="indenta">
    <w:name w:val="indent(a)"/>
    <w:aliases w:val="a,paragraph"/>
    <w:basedOn w:val="Normal"/>
    <w:rsid w:val="00D83897"/>
    <w:pPr>
      <w:tabs>
        <w:tab w:val="right" w:pos="1531"/>
      </w:tabs>
      <w:spacing w:before="40" w:after="0" w:line="260" w:lineRule="atLeast"/>
      <w:ind w:left="1644" w:hanging="1644"/>
    </w:pPr>
    <w:rPr>
      <w:rFonts w:ascii="Times" w:eastAsia="Times New Roman" w:hAnsi="Times"/>
      <w:szCs w:val="20"/>
    </w:rPr>
  </w:style>
  <w:style w:type="character" w:customStyle="1" w:styleId="ACMABodyTextChar">
    <w:name w:val="ACMA Body Text Char"/>
    <w:basedOn w:val="DefaultParagraphFont"/>
    <w:link w:val="ACMABodyText"/>
    <w:rsid w:val="002E5EED"/>
    <w:rPr>
      <w:rFonts w:ascii="Arial" w:eastAsia="Times New Roman" w:hAnsi="Arial" w:cs="Arial"/>
      <w:sz w:val="20"/>
      <w:szCs w:val="20"/>
    </w:rPr>
  </w:style>
  <w:style w:type="character" w:styleId="Hyperlink">
    <w:name w:val="Hyperlink"/>
    <w:basedOn w:val="DefaultParagraphFont"/>
    <w:uiPriority w:val="99"/>
    <w:unhideWhenUsed/>
    <w:rsid w:val="00D553E8"/>
    <w:rPr>
      <w:color w:val="0563C1" w:themeColor="hyperlink"/>
      <w:u w:val="single"/>
    </w:rPr>
  </w:style>
  <w:style w:type="character" w:styleId="CommentReference">
    <w:name w:val="annotation reference"/>
    <w:basedOn w:val="DefaultParagraphFont"/>
    <w:uiPriority w:val="99"/>
    <w:semiHidden/>
    <w:unhideWhenUsed/>
    <w:rsid w:val="00CD7655"/>
    <w:rPr>
      <w:sz w:val="16"/>
      <w:szCs w:val="16"/>
    </w:rPr>
  </w:style>
  <w:style w:type="paragraph" w:styleId="CommentText">
    <w:name w:val="annotation text"/>
    <w:basedOn w:val="Normal"/>
    <w:link w:val="CommentTextChar"/>
    <w:uiPriority w:val="99"/>
    <w:semiHidden/>
    <w:unhideWhenUsed/>
    <w:rsid w:val="00CD7655"/>
    <w:pPr>
      <w:spacing w:line="240" w:lineRule="auto"/>
    </w:pPr>
    <w:rPr>
      <w:sz w:val="20"/>
      <w:szCs w:val="20"/>
    </w:rPr>
  </w:style>
  <w:style w:type="character" w:customStyle="1" w:styleId="CommentTextChar">
    <w:name w:val="Comment Text Char"/>
    <w:basedOn w:val="DefaultParagraphFont"/>
    <w:link w:val="CommentText"/>
    <w:uiPriority w:val="99"/>
    <w:semiHidden/>
    <w:rsid w:val="00CD7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7655"/>
    <w:rPr>
      <w:b/>
      <w:bCs/>
    </w:rPr>
  </w:style>
  <w:style w:type="character" w:customStyle="1" w:styleId="CommentSubjectChar">
    <w:name w:val="Comment Subject Char"/>
    <w:basedOn w:val="CommentTextChar"/>
    <w:link w:val="CommentSubject"/>
    <w:uiPriority w:val="99"/>
    <w:semiHidden/>
    <w:rsid w:val="00CD7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D7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655"/>
    <w:rPr>
      <w:rFonts w:ascii="Segoe UI" w:eastAsia="Calibri" w:hAnsi="Segoe UI" w:cs="Segoe UI"/>
      <w:sz w:val="18"/>
      <w:szCs w:val="18"/>
    </w:rPr>
  </w:style>
  <w:style w:type="paragraph" w:styleId="ListParagraph">
    <w:name w:val="List Paragraph"/>
    <w:basedOn w:val="Normal"/>
    <w:uiPriority w:val="34"/>
    <w:qFormat/>
    <w:rsid w:val="00FA7837"/>
    <w:pPr>
      <w:ind w:left="720"/>
      <w:contextualSpacing/>
    </w:pPr>
  </w:style>
  <w:style w:type="paragraph" w:styleId="Header">
    <w:name w:val="header"/>
    <w:basedOn w:val="Normal"/>
    <w:link w:val="HeaderChar"/>
    <w:uiPriority w:val="99"/>
    <w:unhideWhenUsed/>
    <w:rsid w:val="006C0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59F"/>
    <w:rPr>
      <w:rFonts w:ascii="Calibri" w:eastAsia="Calibri" w:hAnsi="Calibri" w:cs="Times New Roman"/>
    </w:rPr>
  </w:style>
  <w:style w:type="paragraph" w:styleId="Footer">
    <w:name w:val="footer"/>
    <w:basedOn w:val="Normal"/>
    <w:link w:val="FooterChar"/>
    <w:uiPriority w:val="99"/>
    <w:unhideWhenUsed/>
    <w:rsid w:val="006C0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59F"/>
    <w:rPr>
      <w:rFonts w:ascii="Calibri" w:eastAsia="Calibri" w:hAnsi="Calibri" w:cs="Times New Roman"/>
    </w:rPr>
  </w:style>
  <w:style w:type="paragraph" w:styleId="ListBullet">
    <w:name w:val="List Bullet"/>
    <w:basedOn w:val="Normal"/>
    <w:link w:val="ListBulletChar"/>
    <w:rsid w:val="00F84712"/>
    <w:pPr>
      <w:numPr>
        <w:numId w:val="6"/>
      </w:numPr>
      <w:spacing w:after="80" w:line="240" w:lineRule="atLeast"/>
    </w:pPr>
    <w:rPr>
      <w:rFonts w:ascii="HelveticaNeueLT Std Lt" w:eastAsia="Times New Roman" w:hAnsi="HelveticaNeueLT Std Lt"/>
      <w:sz w:val="20"/>
      <w:szCs w:val="24"/>
      <w:lang w:eastAsia="en-AU"/>
    </w:rPr>
  </w:style>
  <w:style w:type="character" w:customStyle="1" w:styleId="ListBulletChar">
    <w:name w:val="List Bullet Char"/>
    <w:link w:val="ListBullet"/>
    <w:rsid w:val="00F84712"/>
    <w:rPr>
      <w:rFonts w:ascii="HelveticaNeueLT Std Lt" w:eastAsia="Times New Roman" w:hAnsi="HelveticaNeueLT Std Lt" w:cs="Times New Roman"/>
      <w:sz w:val="20"/>
      <w:szCs w:val="24"/>
      <w:lang w:eastAsia="en-AU"/>
    </w:rPr>
  </w:style>
  <w:style w:type="paragraph" w:styleId="FootnoteText">
    <w:name w:val="footnote text"/>
    <w:basedOn w:val="Normal"/>
    <w:link w:val="FootnoteTextChar"/>
    <w:uiPriority w:val="99"/>
    <w:semiHidden/>
    <w:unhideWhenUsed/>
    <w:rsid w:val="00EC28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88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288E"/>
    <w:rPr>
      <w:vertAlign w:val="superscript"/>
    </w:rPr>
  </w:style>
  <w:style w:type="paragraph" w:styleId="Revision">
    <w:name w:val="Revision"/>
    <w:hidden/>
    <w:uiPriority w:val="99"/>
    <w:semiHidden/>
    <w:rsid w:val="003905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m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KNAH4PPFC442-3114-897</_dlc_DocId>
    <_dlc_DocIdUrl xmlns="6db8f3c6-01a1-4322-b043-a3b2a190f7a8">
      <Url>http://collaboration/organisation/Auth/Chair/Auth/_layouts/DocIdRedir.aspx?ID=KNAH4PPFC442-3114-897</Url>
      <Description>KNAH4PPFC442-3114-897</Description>
    </_dlc_DocIdUrl>
    <Record_x0020_Number xmlns="83630db1-6fc2-4dfd-b3fe-d61d34e1440c" xsi:nil="true"/>
    <Legacy_x0020_Record_x0020_Number xmlns="83630db1-6fc2-4dfd-b3fe-d61d34e1440c" xsi:nil="true"/>
    <IconOverlay xmlns="http://schemas.microsoft.com/sharepoint/v4" xsi:nil="true"/>
    <Category xmlns="5e268b55-9e20-462b-aba6-694451a37717">(none)</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033047a-93aa-421b-8aef-52cbfb63cf36" ContentTypeId="0x01010070E27D6A746B5B48ADF22C2128054D55"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4976-FEE0-4E6F-8ED6-8D284CF00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9532-DCD8-4B50-A280-DA3AD8C98D60}">
  <ds:schemaRefs>
    <ds:schemaRef ds:uri="http://schemas.microsoft.com/sharepoint/v3/contenttype/forms"/>
  </ds:schemaRefs>
</ds:datastoreItem>
</file>

<file path=customXml/itemProps3.xml><?xml version="1.0" encoding="utf-8"?>
<ds:datastoreItem xmlns:ds="http://schemas.openxmlformats.org/officeDocument/2006/customXml" ds:itemID="{DEBBCC19-2823-4AA1-A6CB-A92891454EB8}">
  <ds:schemaRefs>
    <ds:schemaRef ds:uri="http://purl.org/dc/dcmitype/"/>
    <ds:schemaRef ds:uri="http://purl.org/dc/elements/1.1/"/>
    <ds:schemaRef ds:uri="http://schemas.openxmlformats.org/package/2006/metadata/core-properties"/>
    <ds:schemaRef ds:uri="http://www.w3.org/XML/1998/namespace"/>
    <ds:schemaRef ds:uri="6db8f3c6-01a1-4322-b043-a3b2a190f7a8"/>
    <ds:schemaRef ds:uri="http://schemas.microsoft.com/office/infopath/2007/PartnerControls"/>
    <ds:schemaRef ds:uri="http://schemas.microsoft.com/sharepoint/v4"/>
    <ds:schemaRef ds:uri="http://schemas.microsoft.com/office/2006/documentManagement/types"/>
    <ds:schemaRef ds:uri="5e268b55-9e20-462b-aba6-694451a37717"/>
    <ds:schemaRef ds:uri="83630db1-6fc2-4dfd-b3fe-d61d34e1440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46475AB-0025-46DD-BBC6-86A786E3D461}">
  <ds:schemaRefs>
    <ds:schemaRef ds:uri="http://schemas.microsoft.com/sharepoint/events"/>
  </ds:schemaRefs>
</ds:datastoreItem>
</file>

<file path=customXml/itemProps5.xml><?xml version="1.0" encoding="utf-8"?>
<ds:datastoreItem xmlns:ds="http://schemas.openxmlformats.org/officeDocument/2006/customXml" ds:itemID="{D4A7B351-42B7-4077-AD53-67510199E31D}">
  <ds:schemaRefs>
    <ds:schemaRef ds:uri="Microsoft.SharePoint.Taxonomy.ContentTypeSync"/>
  </ds:schemaRefs>
</ds:datastoreItem>
</file>

<file path=customXml/itemProps6.xml><?xml version="1.0" encoding="utf-8"?>
<ds:datastoreItem xmlns:ds="http://schemas.openxmlformats.org/officeDocument/2006/customXml" ds:itemID="{E0D7C3FB-63FB-4AF2-AC93-24CAE290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Ganino</dc:creator>
  <cp:keywords/>
  <dc:description/>
  <cp:lastModifiedBy>Helen Turnbull</cp:lastModifiedBy>
  <cp:revision>4</cp:revision>
  <dcterms:created xsi:type="dcterms:W3CDTF">2015-08-31T01:37:00Z</dcterms:created>
  <dcterms:modified xsi:type="dcterms:W3CDTF">2015-09-08T05:47:00Z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8831c33c-6f93-4f7a-8e54-2b145aba0a37</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ActiveItemMoved">
    <vt:lpwstr/>
  </property>
  <property fmtid="{D5CDD505-2E9C-101B-9397-08002B2CF9AE}" pid="8" name="RecordPoint_SubmissionCompleted">
    <vt:lpwstr/>
  </property>
  <property fmtid="{D5CDD505-2E9C-101B-9397-08002B2CF9AE}" pid="9" name="RecordPoint_ActiveItemUniqueId">
    <vt:lpwstr>{8831c33c-6f93-4f7a-8e54-2b145aba0a37}</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