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3AED9" w14:textId="77777777" w:rsidR="00DF1B35" w:rsidRPr="00B73C84" w:rsidRDefault="00DF1B35" w:rsidP="00DF1B35">
      <w:r w:rsidRPr="00B73C84">
        <w:rPr>
          <w:noProof/>
        </w:rPr>
        <w:drawing>
          <wp:inline distT="0" distB="0" distL="0" distR="0" wp14:anchorId="02347232" wp14:editId="310DA1A3">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5D7BF3C" w14:textId="77777777" w:rsidR="00DF1B35" w:rsidRPr="00B73C84" w:rsidRDefault="00DF1B35" w:rsidP="00D7642C">
      <w:pPr>
        <w:rPr>
          <w:rFonts w:ascii="Arial" w:hAnsi="Arial" w:cs="Arial"/>
          <w:b/>
          <w:sz w:val="48"/>
          <w:szCs w:val="48"/>
        </w:rPr>
      </w:pPr>
      <w:bookmarkStart w:id="0" w:name="citation"/>
      <w:proofErr w:type="spellStart"/>
      <w:r w:rsidRPr="00B73C84">
        <w:rPr>
          <w:rFonts w:ascii="Arial" w:hAnsi="Arial" w:cs="Arial"/>
          <w:b/>
          <w:sz w:val="48"/>
          <w:szCs w:val="48"/>
        </w:rPr>
        <w:t>Radiocommunications</w:t>
      </w:r>
      <w:proofErr w:type="spellEnd"/>
      <w:r w:rsidRPr="00B73C84">
        <w:rPr>
          <w:rFonts w:ascii="Arial" w:hAnsi="Arial" w:cs="Arial"/>
          <w:b/>
          <w:sz w:val="48"/>
          <w:szCs w:val="48"/>
        </w:rPr>
        <w:t xml:space="preserve"> (Allocation of Transmitter Licences – Low Power Open Narrowcasting Licences) Determination </w:t>
      </w:r>
      <w:bookmarkEnd w:id="0"/>
      <w:r w:rsidRPr="00B73C84">
        <w:rPr>
          <w:rFonts w:ascii="Arial" w:hAnsi="Arial" w:cs="Arial"/>
          <w:b/>
          <w:sz w:val="48"/>
          <w:szCs w:val="48"/>
        </w:rPr>
        <w:t>2015</w:t>
      </w:r>
    </w:p>
    <w:p w14:paraId="40D012C6" w14:textId="77777777" w:rsidR="00DF1B35" w:rsidRPr="00B73C84" w:rsidRDefault="00DF1B35" w:rsidP="00DF1B35">
      <w:pPr>
        <w:pStyle w:val="MadeunderText"/>
        <w:spacing w:before="360"/>
        <w:rPr>
          <w:i/>
        </w:rPr>
      </w:pPr>
      <w:r w:rsidRPr="00B73C84">
        <w:t xml:space="preserve">The AUSTRALIAN COMMUNICATIONS AND MEDIA AUTHORITY makes this Determination under </w:t>
      </w:r>
      <w:r w:rsidR="00E207E9" w:rsidRPr="00B73C84">
        <w:t xml:space="preserve">subsection </w:t>
      </w:r>
      <w:r w:rsidRPr="00B73C84">
        <w:t>106(1)</w:t>
      </w:r>
      <w:r w:rsidRPr="00B73C84" w:rsidDel="00210C5F">
        <w:t xml:space="preserve"> </w:t>
      </w:r>
      <w:r w:rsidRPr="00B73C84">
        <w:t xml:space="preserve">of the </w:t>
      </w:r>
      <w:proofErr w:type="spellStart"/>
      <w:r w:rsidRPr="00B73C84">
        <w:rPr>
          <w:i/>
        </w:rPr>
        <w:t>Radiocommunications</w:t>
      </w:r>
      <w:proofErr w:type="spellEnd"/>
      <w:r w:rsidRPr="00B73C84">
        <w:rPr>
          <w:i/>
        </w:rPr>
        <w:t xml:space="preserve"> Act 1992</w:t>
      </w:r>
      <w:r w:rsidRPr="00B73C84">
        <w:t>.</w:t>
      </w:r>
    </w:p>
    <w:p w14:paraId="096D15B1" w14:textId="790675B9" w:rsidR="00DF1B35" w:rsidRPr="00B73C84" w:rsidRDefault="00DF1B35" w:rsidP="00DF1B35">
      <w:pPr>
        <w:tabs>
          <w:tab w:val="left" w:pos="3119"/>
        </w:tabs>
        <w:spacing w:before="300" w:after="600" w:line="300" w:lineRule="atLeast"/>
        <w:jc w:val="both"/>
      </w:pPr>
      <w:r w:rsidRPr="00B73C84">
        <w:t xml:space="preserve">Dated </w:t>
      </w:r>
      <w:bookmarkStart w:id="1" w:name="Year"/>
      <w:r w:rsidRPr="00B73C84">
        <w:t xml:space="preserve">       </w:t>
      </w:r>
      <w:r w:rsidR="004244F8" w:rsidRPr="004244F8">
        <w:rPr>
          <w:i/>
        </w:rPr>
        <w:t>4</w:t>
      </w:r>
      <w:r w:rsidR="004244F8" w:rsidRPr="004244F8">
        <w:rPr>
          <w:i/>
          <w:vertAlign w:val="superscript"/>
        </w:rPr>
        <w:t>th</w:t>
      </w:r>
      <w:r w:rsidR="004244F8" w:rsidRPr="004244F8">
        <w:rPr>
          <w:i/>
        </w:rPr>
        <w:t xml:space="preserve"> September 2015</w:t>
      </w:r>
      <w:r w:rsidRPr="00B73C84">
        <w:t xml:space="preserve">         </w:t>
      </w:r>
      <w:bookmarkEnd w:id="1"/>
    </w:p>
    <w:p w14:paraId="38E5E006" w14:textId="0C7E746D" w:rsidR="00DF1B35" w:rsidRPr="00B73C84" w:rsidRDefault="004244F8" w:rsidP="00DF1B35">
      <w:pPr>
        <w:tabs>
          <w:tab w:val="left" w:pos="3119"/>
        </w:tabs>
        <w:spacing w:after="600" w:line="300" w:lineRule="atLeast"/>
        <w:jc w:val="right"/>
      </w:pPr>
      <w:r w:rsidRPr="004244F8">
        <w:rPr>
          <w:i/>
        </w:rPr>
        <w:t>Chris Chapman</w:t>
      </w:r>
      <w:r>
        <w:t xml:space="preserve"> </w:t>
      </w:r>
      <w:r>
        <w:br/>
        <w:t xml:space="preserve">[signed] </w:t>
      </w:r>
      <w:r>
        <w:br/>
      </w:r>
      <w:r w:rsidR="00DF1B35" w:rsidRPr="00B73C84">
        <w:t>Member</w:t>
      </w:r>
    </w:p>
    <w:p w14:paraId="65D00CE9" w14:textId="79861317" w:rsidR="00DF1B35" w:rsidRPr="00B73C84" w:rsidRDefault="00DF1B35" w:rsidP="00DF1B35">
      <w:pPr>
        <w:tabs>
          <w:tab w:val="left" w:pos="3119"/>
        </w:tabs>
        <w:spacing w:before="600" w:line="300" w:lineRule="atLeast"/>
        <w:jc w:val="right"/>
      </w:pPr>
      <w:r w:rsidRPr="00B73C84">
        <w:br/>
      </w:r>
      <w:r w:rsidR="004244F8" w:rsidRPr="004244F8">
        <w:rPr>
          <w:i/>
        </w:rPr>
        <w:t>Richard Bean</w:t>
      </w:r>
      <w:r w:rsidR="004244F8">
        <w:t xml:space="preserve"> </w:t>
      </w:r>
      <w:r w:rsidR="004244F8">
        <w:br/>
        <w:t xml:space="preserve">[signed] </w:t>
      </w:r>
      <w:r w:rsidR="004244F8">
        <w:br/>
      </w:r>
      <w:r w:rsidRPr="00B73C84">
        <w:t xml:space="preserve">Member / </w:t>
      </w:r>
      <w:r w:rsidRPr="004244F8">
        <w:rPr>
          <w:strike/>
        </w:rPr>
        <w:t>General Man</w:t>
      </w:r>
      <w:r w:rsidR="00E207E9" w:rsidRPr="004244F8">
        <w:rPr>
          <w:strike/>
        </w:rPr>
        <w:t>a</w:t>
      </w:r>
      <w:r w:rsidRPr="004244F8">
        <w:rPr>
          <w:strike/>
        </w:rPr>
        <w:t>ger</w:t>
      </w:r>
    </w:p>
    <w:p w14:paraId="798C3277" w14:textId="77777777" w:rsidR="00DF1B35" w:rsidRPr="00B73C84" w:rsidRDefault="00DF1B35" w:rsidP="00DF1B35">
      <w:pPr>
        <w:tabs>
          <w:tab w:val="left" w:pos="3969"/>
        </w:tabs>
        <w:spacing w:before="480" w:line="300" w:lineRule="atLeast"/>
        <w:jc w:val="both"/>
      </w:pPr>
    </w:p>
    <w:p w14:paraId="1278E7AF" w14:textId="77777777" w:rsidR="00DF1B35" w:rsidRPr="00B73C84" w:rsidRDefault="00DF1B35" w:rsidP="00DF1B35">
      <w:pPr>
        <w:pBdr>
          <w:bottom w:val="single" w:sz="4" w:space="12" w:color="auto"/>
        </w:pBdr>
        <w:tabs>
          <w:tab w:val="left" w:pos="3119"/>
        </w:tabs>
        <w:spacing w:after="240" w:line="300" w:lineRule="atLeast"/>
        <w:jc w:val="both"/>
      </w:pPr>
      <w:bookmarkStart w:id="2" w:name="Minister"/>
      <w:r w:rsidRPr="00B73C84">
        <w:t>Australian Communications and Media Authority</w:t>
      </w:r>
      <w:bookmarkStart w:id="3" w:name="_GoBack"/>
      <w:bookmarkEnd w:id="2"/>
      <w:bookmarkEnd w:id="3"/>
    </w:p>
    <w:p w14:paraId="435CE024" w14:textId="77777777" w:rsidR="00DF1B35" w:rsidRPr="00B73C84" w:rsidRDefault="00DF1B35" w:rsidP="00DF1B35">
      <w:pPr>
        <w:pStyle w:val="ContentsHead"/>
      </w:pPr>
      <w:r w:rsidRPr="00B73C84">
        <w:lastRenderedPageBreak/>
        <w:t>Contents</w:t>
      </w:r>
    </w:p>
    <w:p w14:paraId="5D0FAE6D" w14:textId="77777777" w:rsidR="00DF1B35" w:rsidRPr="00B73C84" w:rsidRDefault="00DF1B35" w:rsidP="00DF1B35">
      <w:pPr>
        <w:pStyle w:val="TOC2"/>
        <w:rPr>
          <w:rFonts w:ascii="Times New Roman" w:hAnsi="Times New Roman"/>
          <w:b w:val="0"/>
          <w:noProof/>
          <w:lang w:eastAsia="en-AU"/>
        </w:rPr>
      </w:pPr>
      <w:r w:rsidRPr="00B73C84">
        <w:fldChar w:fldCharType="begin"/>
      </w:r>
      <w:r w:rsidRPr="00B73C84">
        <w:instrText xml:space="preserve"> TOC \o "1-9" \t "HC,1, HP,2, HD,3, HS,4, HR,5, RGHead,7, Schedule title,6, Schedule part,8,Schedule Division,8, RX.SC,8, Dictionary Heading,9, Note Heading,9" </w:instrText>
      </w:r>
      <w:r w:rsidRPr="00B73C84">
        <w:fldChar w:fldCharType="separate"/>
      </w:r>
      <w:r w:rsidRPr="00B73C84">
        <w:rPr>
          <w:noProof/>
        </w:rPr>
        <w:t>Part 1</w:t>
      </w:r>
      <w:r w:rsidRPr="00B73C84">
        <w:rPr>
          <w:rFonts w:ascii="Times New Roman" w:hAnsi="Times New Roman"/>
          <w:b w:val="0"/>
          <w:noProof/>
          <w:lang w:eastAsia="en-AU"/>
        </w:rPr>
        <w:tab/>
      </w:r>
      <w:r w:rsidRPr="00B73C84">
        <w:rPr>
          <w:noProof/>
        </w:rPr>
        <w:t>Preliminary</w:t>
      </w:r>
      <w:r w:rsidRPr="00B73C84">
        <w:rPr>
          <w:noProof/>
        </w:rPr>
        <w:tab/>
      </w:r>
    </w:p>
    <w:p w14:paraId="3DA37446" w14:textId="77777777" w:rsidR="00DF1B35" w:rsidRPr="00B73C84" w:rsidRDefault="00DF1B35" w:rsidP="00DF1B35">
      <w:pPr>
        <w:pStyle w:val="TOC5"/>
        <w:rPr>
          <w:rFonts w:ascii="Times New Roman" w:hAnsi="Times New Roman"/>
          <w:sz w:val="24"/>
          <w:lang w:eastAsia="en-AU"/>
        </w:rPr>
      </w:pPr>
      <w:r w:rsidRPr="00B73C84">
        <w:tab/>
        <w:t>1.1</w:t>
      </w:r>
      <w:r w:rsidRPr="00B73C84">
        <w:rPr>
          <w:rFonts w:ascii="Times New Roman" w:hAnsi="Times New Roman"/>
          <w:sz w:val="24"/>
          <w:lang w:eastAsia="en-AU"/>
        </w:rPr>
        <w:tab/>
      </w:r>
      <w:r w:rsidRPr="00B73C84">
        <w:t>Name of Determination</w:t>
      </w:r>
      <w:r w:rsidRPr="00B73C84">
        <w:tab/>
      </w:r>
      <w:r w:rsidRPr="00B73C84">
        <w:fldChar w:fldCharType="begin"/>
      </w:r>
      <w:r w:rsidRPr="00B73C84">
        <w:instrText xml:space="preserve"> PAGEREF _Toc156187129 \h </w:instrText>
      </w:r>
      <w:r w:rsidRPr="00B73C84">
        <w:fldChar w:fldCharType="separate"/>
      </w:r>
      <w:r w:rsidR="00A12138">
        <w:t>4</w:t>
      </w:r>
      <w:r w:rsidRPr="00B73C84">
        <w:fldChar w:fldCharType="end"/>
      </w:r>
    </w:p>
    <w:p w14:paraId="42B071C1" w14:textId="77777777" w:rsidR="00DF1B35" w:rsidRPr="00B73C84" w:rsidRDefault="00DF1B35" w:rsidP="00DF1B35">
      <w:pPr>
        <w:pStyle w:val="TOC5"/>
        <w:rPr>
          <w:rFonts w:ascii="Times New Roman" w:hAnsi="Times New Roman"/>
          <w:sz w:val="24"/>
          <w:lang w:eastAsia="en-AU"/>
        </w:rPr>
      </w:pPr>
      <w:r w:rsidRPr="00B73C84">
        <w:tab/>
        <w:t>1.2</w:t>
      </w:r>
      <w:r w:rsidRPr="00B73C84">
        <w:rPr>
          <w:rFonts w:ascii="Times New Roman" w:hAnsi="Times New Roman"/>
          <w:sz w:val="24"/>
          <w:lang w:eastAsia="en-AU"/>
        </w:rPr>
        <w:tab/>
      </w:r>
      <w:r w:rsidRPr="00B73C84">
        <w:t>Commencement</w:t>
      </w:r>
      <w:r w:rsidRPr="00B73C84">
        <w:tab/>
      </w:r>
      <w:r w:rsidRPr="00B73C84">
        <w:fldChar w:fldCharType="begin"/>
      </w:r>
      <w:r w:rsidRPr="00B73C84">
        <w:instrText xml:space="preserve"> PAGEREF _Toc156187130 \h </w:instrText>
      </w:r>
      <w:r w:rsidRPr="00B73C84">
        <w:fldChar w:fldCharType="separate"/>
      </w:r>
      <w:r w:rsidR="00A12138">
        <w:t>4</w:t>
      </w:r>
      <w:r w:rsidRPr="00B73C84">
        <w:fldChar w:fldCharType="end"/>
      </w:r>
    </w:p>
    <w:p w14:paraId="0608C82B" w14:textId="77777777" w:rsidR="00DF1B35" w:rsidRPr="00B73C84" w:rsidRDefault="00DF1B35" w:rsidP="00DF1B35">
      <w:pPr>
        <w:pStyle w:val="TOC5"/>
        <w:rPr>
          <w:rFonts w:ascii="Times New Roman" w:hAnsi="Times New Roman"/>
          <w:sz w:val="24"/>
          <w:lang w:eastAsia="en-AU"/>
        </w:rPr>
      </w:pPr>
      <w:r w:rsidRPr="00B73C84">
        <w:tab/>
        <w:t>1.3</w:t>
      </w:r>
      <w:r w:rsidRPr="00B73C84">
        <w:rPr>
          <w:rFonts w:ascii="Times New Roman" w:hAnsi="Times New Roman"/>
          <w:sz w:val="24"/>
          <w:lang w:eastAsia="en-AU"/>
        </w:rPr>
        <w:tab/>
      </w:r>
      <w:r w:rsidRPr="00B73C84">
        <w:t>Purpose</w:t>
      </w:r>
      <w:r w:rsidRPr="00B73C84">
        <w:tab/>
      </w:r>
      <w:r w:rsidRPr="00B73C84">
        <w:fldChar w:fldCharType="begin"/>
      </w:r>
      <w:r w:rsidRPr="00B73C84">
        <w:instrText xml:space="preserve"> PAGEREF _Toc156187131 \h </w:instrText>
      </w:r>
      <w:r w:rsidRPr="00B73C84">
        <w:fldChar w:fldCharType="separate"/>
      </w:r>
      <w:r w:rsidR="00A12138">
        <w:t>4</w:t>
      </w:r>
      <w:r w:rsidRPr="00B73C84">
        <w:fldChar w:fldCharType="end"/>
      </w:r>
    </w:p>
    <w:p w14:paraId="19F3BEF0" w14:textId="77777777" w:rsidR="00DF1B35" w:rsidRPr="00B73C84" w:rsidRDefault="00DF1B35" w:rsidP="00DF1B35">
      <w:pPr>
        <w:pStyle w:val="TOC5"/>
        <w:rPr>
          <w:rFonts w:ascii="Times New Roman" w:hAnsi="Times New Roman"/>
          <w:sz w:val="24"/>
          <w:lang w:eastAsia="en-AU"/>
        </w:rPr>
      </w:pPr>
      <w:r w:rsidRPr="00B73C84">
        <w:tab/>
        <w:t>1.4</w:t>
      </w:r>
      <w:r w:rsidRPr="00B73C84">
        <w:rPr>
          <w:rFonts w:ascii="Times New Roman" w:hAnsi="Times New Roman"/>
          <w:sz w:val="24"/>
          <w:lang w:eastAsia="en-AU"/>
        </w:rPr>
        <w:tab/>
      </w:r>
      <w:r w:rsidRPr="00B73C84">
        <w:t>Application of Determination</w:t>
      </w:r>
      <w:r w:rsidRPr="00B73C84">
        <w:tab/>
      </w:r>
      <w:r w:rsidRPr="00B73C84">
        <w:fldChar w:fldCharType="begin"/>
      </w:r>
      <w:r w:rsidRPr="00B73C84">
        <w:instrText xml:space="preserve"> PAGEREF _Toc156187132 \h </w:instrText>
      </w:r>
      <w:r w:rsidRPr="00B73C84">
        <w:fldChar w:fldCharType="separate"/>
      </w:r>
      <w:r w:rsidR="00A12138">
        <w:t>4</w:t>
      </w:r>
      <w:r w:rsidRPr="00B73C84">
        <w:fldChar w:fldCharType="end"/>
      </w:r>
    </w:p>
    <w:p w14:paraId="36F0C233" w14:textId="77777777" w:rsidR="00DF1B35" w:rsidRPr="00B73C84" w:rsidRDefault="00DF1B35" w:rsidP="00DF1B35">
      <w:pPr>
        <w:pStyle w:val="TOC5"/>
      </w:pPr>
      <w:r w:rsidRPr="00B73C84">
        <w:tab/>
        <w:t>1.5</w:t>
      </w:r>
      <w:r w:rsidRPr="00B73C84">
        <w:rPr>
          <w:rFonts w:ascii="Times New Roman" w:hAnsi="Times New Roman"/>
          <w:sz w:val="24"/>
          <w:lang w:eastAsia="en-AU"/>
        </w:rPr>
        <w:tab/>
      </w:r>
      <w:r w:rsidRPr="00B73C84">
        <w:t>Definitions</w:t>
      </w:r>
      <w:r w:rsidRPr="00B73C84">
        <w:tab/>
      </w:r>
      <w:r w:rsidRPr="00B73C84">
        <w:fldChar w:fldCharType="begin"/>
      </w:r>
      <w:r w:rsidRPr="00B73C84">
        <w:instrText xml:space="preserve"> PAGEREF _Toc156187133 \h </w:instrText>
      </w:r>
      <w:r w:rsidRPr="00B73C84">
        <w:fldChar w:fldCharType="separate"/>
      </w:r>
      <w:r w:rsidR="00A12138">
        <w:t>4</w:t>
      </w:r>
      <w:r w:rsidRPr="00B73C84">
        <w:fldChar w:fldCharType="end"/>
      </w:r>
    </w:p>
    <w:p w14:paraId="4D56DD2B" w14:textId="49C3410C" w:rsidR="00275970" w:rsidRPr="00B73C84" w:rsidRDefault="00275970" w:rsidP="00275970">
      <w:pPr>
        <w:pStyle w:val="TOC5"/>
      </w:pPr>
      <w:r w:rsidRPr="00B73C84">
        <w:tab/>
        <w:t>1.6</w:t>
      </w:r>
      <w:r w:rsidRPr="00B73C84">
        <w:tab/>
        <w:t>Revocation of previous Determination</w:t>
      </w:r>
      <w:r w:rsidRPr="00B73C84">
        <w:tab/>
      </w:r>
      <w:r w:rsidR="001457F6">
        <w:t>6</w:t>
      </w:r>
    </w:p>
    <w:p w14:paraId="186F8EC5" w14:textId="77777777" w:rsidR="00DF1B35" w:rsidRPr="00B73C84" w:rsidRDefault="00DF1B35" w:rsidP="00DF1B35">
      <w:pPr>
        <w:pStyle w:val="TOC2"/>
        <w:rPr>
          <w:rFonts w:ascii="Times New Roman" w:hAnsi="Times New Roman"/>
          <w:b w:val="0"/>
          <w:noProof/>
          <w:lang w:eastAsia="en-AU"/>
        </w:rPr>
      </w:pPr>
      <w:r w:rsidRPr="00B73C84">
        <w:rPr>
          <w:noProof/>
        </w:rPr>
        <w:t>Part 2</w:t>
      </w:r>
      <w:r w:rsidRPr="00B73C84">
        <w:rPr>
          <w:rFonts w:ascii="Times New Roman" w:hAnsi="Times New Roman"/>
          <w:b w:val="0"/>
          <w:noProof/>
          <w:lang w:eastAsia="en-AU"/>
        </w:rPr>
        <w:tab/>
      </w:r>
      <w:r w:rsidRPr="00B73C84">
        <w:rPr>
          <w:noProof/>
        </w:rPr>
        <w:t>Preparing for the allocation</w:t>
      </w:r>
      <w:r w:rsidRPr="00B73C84">
        <w:rPr>
          <w:noProof/>
        </w:rPr>
        <w:tab/>
      </w:r>
    </w:p>
    <w:p w14:paraId="0AC4CE5F" w14:textId="62A33D47" w:rsidR="00DF1B35" w:rsidRPr="00B73C84" w:rsidRDefault="00DF1B35" w:rsidP="00DF1B35">
      <w:pPr>
        <w:pStyle w:val="TOC5"/>
        <w:rPr>
          <w:rFonts w:ascii="Times New Roman" w:hAnsi="Times New Roman"/>
          <w:sz w:val="24"/>
          <w:lang w:eastAsia="en-AU"/>
        </w:rPr>
      </w:pPr>
      <w:r w:rsidRPr="00B73C84">
        <w:tab/>
        <w:t>2.1</w:t>
      </w:r>
      <w:r w:rsidRPr="00B73C84">
        <w:rPr>
          <w:rFonts w:ascii="Times New Roman" w:hAnsi="Times New Roman"/>
          <w:sz w:val="24"/>
          <w:lang w:eastAsia="en-AU"/>
        </w:rPr>
        <w:tab/>
      </w:r>
      <w:r w:rsidRPr="00B73C84">
        <w:t xml:space="preserve">Publication of notice by </w:t>
      </w:r>
      <w:r w:rsidR="00320545" w:rsidRPr="00B73C84">
        <w:t xml:space="preserve">the </w:t>
      </w:r>
      <w:r w:rsidRPr="00B73C84">
        <w:t>ACMA</w:t>
      </w:r>
      <w:r w:rsidRPr="00B73C84">
        <w:tab/>
      </w:r>
      <w:r w:rsidRPr="00B73C84">
        <w:fldChar w:fldCharType="begin"/>
      </w:r>
      <w:r w:rsidRPr="00B73C84">
        <w:instrText xml:space="preserve"> PAGEREF _Toc156187135 \h </w:instrText>
      </w:r>
      <w:r w:rsidRPr="00B73C84">
        <w:fldChar w:fldCharType="separate"/>
      </w:r>
      <w:r w:rsidR="00A12138">
        <w:t>7</w:t>
      </w:r>
      <w:r w:rsidRPr="00B73C84">
        <w:fldChar w:fldCharType="end"/>
      </w:r>
    </w:p>
    <w:p w14:paraId="3B2DCBD5" w14:textId="2B72B76B" w:rsidR="00DF1B35" w:rsidRPr="00B73C84" w:rsidRDefault="00DF1B35" w:rsidP="00DF1B35">
      <w:pPr>
        <w:pStyle w:val="TOC5"/>
        <w:rPr>
          <w:rFonts w:ascii="Times New Roman" w:hAnsi="Times New Roman"/>
          <w:sz w:val="24"/>
          <w:lang w:eastAsia="en-AU"/>
        </w:rPr>
      </w:pPr>
      <w:r w:rsidRPr="00B73C84">
        <w:tab/>
        <w:t>2.2</w:t>
      </w:r>
      <w:r w:rsidRPr="00B73C84">
        <w:rPr>
          <w:rFonts w:ascii="Times New Roman" w:hAnsi="Times New Roman"/>
          <w:sz w:val="24"/>
          <w:lang w:eastAsia="en-AU"/>
        </w:rPr>
        <w:tab/>
      </w:r>
      <w:r w:rsidRPr="00B73C84">
        <w:t>Entry fee, closing date, reserve price and auction deposit amount</w:t>
      </w:r>
      <w:r w:rsidRPr="00B73C84">
        <w:tab/>
      </w:r>
      <w:r w:rsidRPr="00B73C84">
        <w:fldChar w:fldCharType="begin"/>
      </w:r>
      <w:r w:rsidRPr="00B73C84">
        <w:instrText xml:space="preserve"> PAGEREF _Toc156187136 \h </w:instrText>
      </w:r>
      <w:r w:rsidRPr="00B73C84">
        <w:fldChar w:fldCharType="separate"/>
      </w:r>
      <w:r w:rsidR="00A12138">
        <w:t>7</w:t>
      </w:r>
      <w:r w:rsidRPr="00B73C84">
        <w:fldChar w:fldCharType="end"/>
      </w:r>
    </w:p>
    <w:p w14:paraId="66F1827E" w14:textId="6AF3498D" w:rsidR="00DF1B35" w:rsidRPr="00B73C84" w:rsidRDefault="00DF1B35" w:rsidP="00DF1B35">
      <w:pPr>
        <w:pStyle w:val="TOC5"/>
        <w:rPr>
          <w:rFonts w:ascii="Times New Roman" w:hAnsi="Times New Roman"/>
          <w:sz w:val="24"/>
          <w:lang w:eastAsia="en-AU"/>
        </w:rPr>
      </w:pPr>
      <w:r w:rsidRPr="00B73C84">
        <w:tab/>
        <w:t>2</w:t>
      </w:r>
      <w:r w:rsidRPr="0094544C">
        <w:rPr>
          <w:rFonts w:cs="Arial"/>
          <w:szCs w:val="20"/>
        </w:rPr>
        <w:t>.3</w:t>
      </w:r>
      <w:r w:rsidRPr="0094544C">
        <w:rPr>
          <w:rFonts w:cs="Arial"/>
          <w:szCs w:val="20"/>
          <w:lang w:eastAsia="en-AU"/>
        </w:rPr>
        <w:tab/>
      </w:r>
      <w:r w:rsidR="000E521B" w:rsidRPr="0094544C">
        <w:rPr>
          <w:rFonts w:cs="Arial"/>
          <w:szCs w:val="20"/>
          <w:lang w:eastAsia="en-AU"/>
        </w:rPr>
        <w:t xml:space="preserve">LPON </w:t>
      </w:r>
      <w:r w:rsidRPr="0094544C">
        <w:rPr>
          <w:rFonts w:cs="Arial"/>
          <w:szCs w:val="20"/>
        </w:rPr>
        <w:t>Ap</w:t>
      </w:r>
      <w:r w:rsidRPr="00B73C84">
        <w:t>plicant Information Package</w:t>
      </w:r>
      <w:r w:rsidRPr="00B73C84">
        <w:tab/>
      </w:r>
      <w:r w:rsidRPr="00B73C84">
        <w:fldChar w:fldCharType="begin"/>
      </w:r>
      <w:r w:rsidRPr="00B73C84">
        <w:instrText xml:space="preserve"> PAGEREF _Toc156187137 \h </w:instrText>
      </w:r>
      <w:r w:rsidRPr="00B73C84">
        <w:fldChar w:fldCharType="separate"/>
      </w:r>
      <w:r w:rsidR="00A12138">
        <w:t>7</w:t>
      </w:r>
      <w:r w:rsidRPr="00B73C84">
        <w:fldChar w:fldCharType="end"/>
      </w:r>
    </w:p>
    <w:p w14:paraId="5A280CFD" w14:textId="1259A395" w:rsidR="00DF1B35" w:rsidRPr="00B73C84" w:rsidRDefault="00DF1B35" w:rsidP="00DF1B35">
      <w:pPr>
        <w:pStyle w:val="TOC5"/>
        <w:rPr>
          <w:rFonts w:ascii="Times New Roman" w:hAnsi="Times New Roman"/>
          <w:sz w:val="24"/>
          <w:lang w:eastAsia="en-AU"/>
        </w:rPr>
      </w:pPr>
      <w:r w:rsidRPr="00B73C84">
        <w:tab/>
        <w:t>2.4</w:t>
      </w:r>
      <w:r w:rsidRPr="00B73C84">
        <w:rPr>
          <w:rFonts w:ascii="Times New Roman" w:hAnsi="Times New Roman"/>
          <w:sz w:val="24"/>
          <w:lang w:eastAsia="en-AU"/>
        </w:rPr>
        <w:tab/>
      </w:r>
      <w:r w:rsidRPr="00B73C84">
        <w:t>Approval of forms and documents</w:t>
      </w:r>
      <w:r w:rsidRPr="00B73C84">
        <w:tab/>
      </w:r>
      <w:r w:rsidRPr="00B73C84">
        <w:fldChar w:fldCharType="begin"/>
      </w:r>
      <w:r w:rsidRPr="00B73C84">
        <w:instrText xml:space="preserve"> PAGEREF _Toc156187138 \h </w:instrText>
      </w:r>
      <w:r w:rsidRPr="00B73C84">
        <w:fldChar w:fldCharType="separate"/>
      </w:r>
      <w:r w:rsidR="00A12138">
        <w:t>8</w:t>
      </w:r>
      <w:r w:rsidRPr="00B73C84">
        <w:fldChar w:fldCharType="end"/>
      </w:r>
    </w:p>
    <w:p w14:paraId="4D87315B" w14:textId="13E53A43" w:rsidR="00DF1B35" w:rsidRPr="00B73C84" w:rsidRDefault="00DF1B35" w:rsidP="00DF1B35">
      <w:pPr>
        <w:pStyle w:val="TOC5"/>
        <w:rPr>
          <w:rFonts w:ascii="Times New Roman" w:hAnsi="Times New Roman"/>
          <w:sz w:val="24"/>
          <w:lang w:eastAsia="en-AU"/>
        </w:rPr>
      </w:pPr>
      <w:r w:rsidRPr="00B73C84">
        <w:tab/>
        <w:t>2.5</w:t>
      </w:r>
      <w:r w:rsidRPr="00B73C84">
        <w:rPr>
          <w:rFonts w:ascii="Times New Roman" w:hAnsi="Times New Roman"/>
          <w:sz w:val="24"/>
          <w:lang w:eastAsia="en-AU"/>
        </w:rPr>
        <w:tab/>
      </w:r>
      <w:r w:rsidRPr="00B73C84">
        <w:t xml:space="preserve">Payment of monies due to </w:t>
      </w:r>
      <w:r w:rsidR="00320545" w:rsidRPr="00B73C84">
        <w:t xml:space="preserve">the </w:t>
      </w:r>
      <w:r w:rsidRPr="00B73C84">
        <w:t>ACMA</w:t>
      </w:r>
      <w:r w:rsidRPr="00B73C84">
        <w:tab/>
      </w:r>
      <w:r w:rsidRPr="00B73C84">
        <w:fldChar w:fldCharType="begin"/>
      </w:r>
      <w:r w:rsidRPr="00B73C84">
        <w:instrText xml:space="preserve"> PAGEREF _Toc156187139 \h </w:instrText>
      </w:r>
      <w:r w:rsidRPr="00B73C84">
        <w:fldChar w:fldCharType="separate"/>
      </w:r>
      <w:r w:rsidR="00A12138">
        <w:t>8</w:t>
      </w:r>
      <w:r w:rsidRPr="00B73C84">
        <w:fldChar w:fldCharType="end"/>
      </w:r>
    </w:p>
    <w:p w14:paraId="567D5C07" w14:textId="77777777" w:rsidR="00DF1B35" w:rsidRPr="00B73C84" w:rsidRDefault="00DF1B35" w:rsidP="00DF1B35">
      <w:pPr>
        <w:pStyle w:val="TOC2"/>
        <w:rPr>
          <w:rFonts w:ascii="Times New Roman" w:hAnsi="Times New Roman"/>
          <w:b w:val="0"/>
          <w:noProof/>
          <w:lang w:eastAsia="en-AU"/>
        </w:rPr>
      </w:pPr>
      <w:r w:rsidRPr="00B73C84">
        <w:rPr>
          <w:noProof/>
        </w:rPr>
        <w:t>Part 3</w:t>
      </w:r>
      <w:r w:rsidRPr="00B73C84">
        <w:rPr>
          <w:rFonts w:ascii="Times New Roman" w:hAnsi="Times New Roman"/>
          <w:b w:val="0"/>
          <w:noProof/>
          <w:lang w:eastAsia="en-AU"/>
        </w:rPr>
        <w:tab/>
      </w:r>
      <w:r w:rsidRPr="00B73C84">
        <w:rPr>
          <w:noProof/>
        </w:rPr>
        <w:t>Registering for an allocation</w:t>
      </w:r>
      <w:r w:rsidRPr="00B73C84">
        <w:rPr>
          <w:noProof/>
        </w:rPr>
        <w:tab/>
      </w:r>
    </w:p>
    <w:p w14:paraId="22406EEF" w14:textId="5BF8D97B" w:rsidR="00DF1B35" w:rsidRPr="00B73C84" w:rsidRDefault="00DF1B35" w:rsidP="00DF1B35">
      <w:pPr>
        <w:pStyle w:val="TOC5"/>
        <w:rPr>
          <w:rFonts w:ascii="Times New Roman" w:hAnsi="Times New Roman"/>
          <w:sz w:val="24"/>
          <w:lang w:eastAsia="en-AU"/>
        </w:rPr>
      </w:pPr>
      <w:r w:rsidRPr="00B73C84">
        <w:tab/>
        <w:t>3.1</w:t>
      </w:r>
      <w:r w:rsidRPr="00B73C84">
        <w:rPr>
          <w:rFonts w:ascii="Times New Roman" w:hAnsi="Times New Roman"/>
          <w:sz w:val="24"/>
          <w:lang w:eastAsia="en-AU"/>
        </w:rPr>
        <w:tab/>
      </w:r>
      <w:r w:rsidRPr="00B73C84">
        <w:t>Applications</w:t>
      </w:r>
      <w:r w:rsidRPr="00B73C84">
        <w:tab/>
      </w:r>
      <w:r w:rsidRPr="00B73C84">
        <w:fldChar w:fldCharType="begin"/>
      </w:r>
      <w:r w:rsidRPr="00B73C84">
        <w:instrText xml:space="preserve"> PAGEREF _Toc156187141 \h </w:instrText>
      </w:r>
      <w:r w:rsidRPr="00B73C84">
        <w:fldChar w:fldCharType="separate"/>
      </w:r>
      <w:r w:rsidR="00A12138">
        <w:t>10</w:t>
      </w:r>
      <w:r w:rsidRPr="00B73C84">
        <w:fldChar w:fldCharType="end"/>
      </w:r>
    </w:p>
    <w:p w14:paraId="1CEC7A01" w14:textId="74BC25E9" w:rsidR="00DF1B35" w:rsidRPr="00B73C84" w:rsidRDefault="00DF1B35" w:rsidP="00DF1B35">
      <w:pPr>
        <w:pStyle w:val="TOC5"/>
        <w:rPr>
          <w:rFonts w:ascii="Times New Roman" w:hAnsi="Times New Roman"/>
          <w:sz w:val="24"/>
          <w:lang w:eastAsia="en-AU"/>
        </w:rPr>
      </w:pPr>
      <w:r w:rsidRPr="00B73C84">
        <w:tab/>
        <w:t>3.2</w:t>
      </w:r>
      <w:r w:rsidRPr="00B73C84">
        <w:rPr>
          <w:rFonts w:ascii="Times New Roman" w:hAnsi="Times New Roman"/>
          <w:sz w:val="24"/>
          <w:lang w:eastAsia="en-AU"/>
        </w:rPr>
        <w:tab/>
      </w:r>
      <w:r w:rsidRPr="00B73C84">
        <w:t>Lodging of applications</w:t>
      </w:r>
      <w:r w:rsidRPr="00B73C84">
        <w:tab/>
      </w:r>
      <w:r w:rsidRPr="00B73C84">
        <w:fldChar w:fldCharType="begin"/>
      </w:r>
      <w:r w:rsidRPr="00B73C84">
        <w:instrText xml:space="preserve"> PAGEREF _Toc156187142 \h </w:instrText>
      </w:r>
      <w:r w:rsidRPr="00B73C84">
        <w:fldChar w:fldCharType="separate"/>
      </w:r>
      <w:r w:rsidR="00A12138">
        <w:t>10</w:t>
      </w:r>
      <w:r w:rsidRPr="00B73C84">
        <w:fldChar w:fldCharType="end"/>
      </w:r>
    </w:p>
    <w:p w14:paraId="37112E2A" w14:textId="710760DD" w:rsidR="00DF1B35" w:rsidRPr="00B73C84" w:rsidRDefault="00DF1B35" w:rsidP="00DF1B35">
      <w:pPr>
        <w:pStyle w:val="TOC5"/>
        <w:rPr>
          <w:rFonts w:ascii="Times New Roman" w:hAnsi="Times New Roman"/>
          <w:sz w:val="24"/>
          <w:lang w:eastAsia="en-AU"/>
        </w:rPr>
      </w:pPr>
      <w:r w:rsidRPr="00B73C84">
        <w:tab/>
        <w:t>3.3</w:t>
      </w:r>
      <w:r w:rsidRPr="00B73C84">
        <w:rPr>
          <w:rFonts w:ascii="Times New Roman" w:hAnsi="Times New Roman"/>
          <w:sz w:val="24"/>
          <w:lang w:eastAsia="en-AU"/>
        </w:rPr>
        <w:tab/>
      </w:r>
      <w:r w:rsidRPr="00B73C84">
        <w:t>Register of applicants</w:t>
      </w:r>
      <w:r w:rsidRPr="00B73C84">
        <w:tab/>
      </w:r>
      <w:r w:rsidRPr="00B73C84">
        <w:fldChar w:fldCharType="begin"/>
      </w:r>
      <w:r w:rsidRPr="00B73C84">
        <w:instrText xml:space="preserve"> PAGEREF _Toc156187143 \h </w:instrText>
      </w:r>
      <w:r w:rsidRPr="00B73C84">
        <w:fldChar w:fldCharType="separate"/>
      </w:r>
      <w:r w:rsidR="00A12138">
        <w:t>10</w:t>
      </w:r>
      <w:r w:rsidRPr="00B73C84">
        <w:fldChar w:fldCharType="end"/>
      </w:r>
    </w:p>
    <w:p w14:paraId="2924C4C5" w14:textId="431BFCFD" w:rsidR="00DF1B35" w:rsidRPr="00B73C84" w:rsidRDefault="00DF1B35" w:rsidP="00DF1B35">
      <w:pPr>
        <w:pStyle w:val="TOC5"/>
        <w:rPr>
          <w:rFonts w:ascii="Times New Roman" w:hAnsi="Times New Roman"/>
          <w:sz w:val="24"/>
          <w:lang w:eastAsia="en-AU"/>
        </w:rPr>
      </w:pPr>
      <w:r w:rsidRPr="00B73C84">
        <w:tab/>
        <w:t>3.4</w:t>
      </w:r>
      <w:r w:rsidRPr="00B73C84">
        <w:rPr>
          <w:rFonts w:ascii="Times New Roman" w:hAnsi="Times New Roman"/>
          <w:sz w:val="24"/>
          <w:lang w:eastAsia="en-AU"/>
        </w:rPr>
        <w:tab/>
      </w:r>
      <w:r w:rsidRPr="00B73C84">
        <w:t>Registration of applicants</w:t>
      </w:r>
      <w:r w:rsidRPr="00B73C84">
        <w:tab/>
      </w:r>
      <w:r w:rsidRPr="00B73C84">
        <w:fldChar w:fldCharType="begin"/>
      </w:r>
      <w:r w:rsidRPr="00B73C84">
        <w:instrText xml:space="preserve"> PAGEREF _Toc156187144 \h </w:instrText>
      </w:r>
      <w:r w:rsidRPr="00B73C84">
        <w:fldChar w:fldCharType="separate"/>
      </w:r>
      <w:r w:rsidR="00A12138">
        <w:t>11</w:t>
      </w:r>
      <w:r w:rsidRPr="00B73C84">
        <w:fldChar w:fldCharType="end"/>
      </w:r>
    </w:p>
    <w:p w14:paraId="029D864C" w14:textId="23C555BF" w:rsidR="00DF1B35" w:rsidRPr="00B73C84" w:rsidRDefault="00DF1B35" w:rsidP="00DF1B35">
      <w:pPr>
        <w:pStyle w:val="TOC5"/>
        <w:rPr>
          <w:rFonts w:ascii="Times New Roman" w:hAnsi="Times New Roman"/>
          <w:sz w:val="24"/>
          <w:lang w:eastAsia="en-AU"/>
        </w:rPr>
      </w:pPr>
      <w:r w:rsidRPr="00B73C84">
        <w:tab/>
        <w:t>3.5</w:t>
      </w:r>
      <w:r w:rsidRPr="00B73C84">
        <w:rPr>
          <w:rFonts w:ascii="Times New Roman" w:hAnsi="Times New Roman"/>
          <w:sz w:val="24"/>
          <w:lang w:eastAsia="en-AU"/>
        </w:rPr>
        <w:tab/>
      </w:r>
      <w:r w:rsidRPr="00B73C84">
        <w:t>Initial assessment of potential transmitter licence for LPON service</w:t>
      </w:r>
      <w:r w:rsidRPr="00B73C84">
        <w:tab/>
      </w:r>
      <w:r w:rsidRPr="00B73C84">
        <w:fldChar w:fldCharType="begin"/>
      </w:r>
      <w:r w:rsidRPr="00B73C84">
        <w:instrText xml:space="preserve"> PAGEREF _Toc156187145 \h </w:instrText>
      </w:r>
      <w:r w:rsidRPr="00B73C84">
        <w:fldChar w:fldCharType="separate"/>
      </w:r>
      <w:r w:rsidR="00A12138">
        <w:t>11</w:t>
      </w:r>
      <w:r w:rsidRPr="00B73C84">
        <w:fldChar w:fldCharType="end"/>
      </w:r>
    </w:p>
    <w:p w14:paraId="7035C515" w14:textId="64774013" w:rsidR="00DF1B35" w:rsidRPr="00B73C84" w:rsidRDefault="00DF1B35" w:rsidP="00DF1B35">
      <w:pPr>
        <w:pStyle w:val="TOC5"/>
        <w:rPr>
          <w:rFonts w:ascii="Times New Roman" w:hAnsi="Times New Roman"/>
          <w:sz w:val="24"/>
          <w:lang w:eastAsia="en-AU"/>
        </w:rPr>
      </w:pPr>
      <w:r w:rsidRPr="00B73C84">
        <w:tab/>
        <w:t>3.6</w:t>
      </w:r>
      <w:r w:rsidRPr="00B73C84">
        <w:rPr>
          <w:rFonts w:ascii="Times New Roman" w:hAnsi="Times New Roman"/>
          <w:sz w:val="24"/>
          <w:lang w:eastAsia="en-AU"/>
        </w:rPr>
        <w:tab/>
      </w:r>
      <w:r w:rsidRPr="00B73C84">
        <w:t>Determination of lots</w:t>
      </w:r>
      <w:r w:rsidRPr="00B73C84">
        <w:tab/>
      </w:r>
      <w:r w:rsidRPr="00B73C84">
        <w:fldChar w:fldCharType="begin"/>
      </w:r>
      <w:r w:rsidRPr="00B73C84">
        <w:instrText xml:space="preserve"> PAGEREF _Toc156187146 \h </w:instrText>
      </w:r>
      <w:r w:rsidRPr="00B73C84">
        <w:fldChar w:fldCharType="separate"/>
      </w:r>
      <w:r w:rsidR="00A12138">
        <w:t>11</w:t>
      </w:r>
      <w:r w:rsidRPr="00B73C84">
        <w:fldChar w:fldCharType="end"/>
      </w:r>
    </w:p>
    <w:p w14:paraId="59D6AEAA" w14:textId="77777777" w:rsidR="00DF1B35" w:rsidRPr="00B73C84" w:rsidRDefault="00DF1B35" w:rsidP="00DF1B35">
      <w:pPr>
        <w:pStyle w:val="TOC2"/>
        <w:rPr>
          <w:rFonts w:ascii="Times New Roman" w:hAnsi="Times New Roman"/>
          <w:b w:val="0"/>
          <w:noProof/>
          <w:lang w:eastAsia="en-AU"/>
        </w:rPr>
      </w:pPr>
      <w:r w:rsidRPr="00B73C84">
        <w:rPr>
          <w:noProof/>
        </w:rPr>
        <w:t>Part 4</w:t>
      </w:r>
      <w:r w:rsidRPr="00B73C84">
        <w:rPr>
          <w:rFonts w:ascii="Times New Roman" w:hAnsi="Times New Roman"/>
          <w:b w:val="0"/>
          <w:noProof/>
          <w:lang w:eastAsia="en-AU"/>
        </w:rPr>
        <w:tab/>
      </w:r>
      <w:r w:rsidRPr="00B73C84">
        <w:rPr>
          <w:noProof/>
        </w:rPr>
        <w:t>Allocation where there is more than one applicant for the lot</w:t>
      </w:r>
      <w:r w:rsidRPr="00B73C84">
        <w:rPr>
          <w:noProof/>
        </w:rPr>
        <w:tab/>
      </w:r>
    </w:p>
    <w:p w14:paraId="1BF7A03A" w14:textId="4DE201E0" w:rsidR="00DF1B35" w:rsidRPr="00B73C84" w:rsidRDefault="00DF1B35" w:rsidP="00DF1B35">
      <w:pPr>
        <w:pStyle w:val="TOC5"/>
        <w:rPr>
          <w:rFonts w:ascii="Times New Roman" w:hAnsi="Times New Roman"/>
          <w:sz w:val="24"/>
          <w:lang w:eastAsia="en-AU"/>
        </w:rPr>
      </w:pPr>
      <w:r w:rsidRPr="00B73C84">
        <w:tab/>
        <w:t>4.1</w:t>
      </w:r>
      <w:r w:rsidRPr="00B73C84">
        <w:rPr>
          <w:rFonts w:ascii="Times New Roman" w:hAnsi="Times New Roman"/>
          <w:sz w:val="24"/>
          <w:lang w:eastAsia="en-AU"/>
        </w:rPr>
        <w:tab/>
      </w:r>
      <w:r w:rsidRPr="00B73C84">
        <w:t>Application of Part 4</w:t>
      </w:r>
      <w:r w:rsidRPr="00B73C84">
        <w:tab/>
      </w:r>
      <w:r w:rsidRPr="00B73C84">
        <w:fldChar w:fldCharType="begin"/>
      </w:r>
      <w:r w:rsidRPr="00B73C84">
        <w:instrText xml:space="preserve"> PAGEREF _Toc156187148 \h </w:instrText>
      </w:r>
      <w:r w:rsidRPr="00B73C84">
        <w:fldChar w:fldCharType="separate"/>
      </w:r>
      <w:r w:rsidR="00A12138">
        <w:t>12</w:t>
      </w:r>
      <w:r w:rsidRPr="00B73C84">
        <w:fldChar w:fldCharType="end"/>
      </w:r>
    </w:p>
    <w:p w14:paraId="05CA9D34" w14:textId="726EDA92" w:rsidR="00DF1B35" w:rsidRPr="00B73C84" w:rsidRDefault="00DF1B35" w:rsidP="00DF1B35">
      <w:pPr>
        <w:pStyle w:val="TOC5"/>
        <w:rPr>
          <w:rFonts w:ascii="Times New Roman" w:hAnsi="Times New Roman"/>
          <w:sz w:val="24"/>
          <w:lang w:eastAsia="en-AU"/>
        </w:rPr>
      </w:pPr>
      <w:r w:rsidRPr="00B73C84">
        <w:tab/>
        <w:t>4.2</w:t>
      </w:r>
      <w:r w:rsidRPr="00B73C84">
        <w:rPr>
          <w:rFonts w:ascii="Times New Roman" w:hAnsi="Times New Roman"/>
          <w:sz w:val="24"/>
          <w:lang w:eastAsia="en-AU"/>
        </w:rPr>
        <w:tab/>
      </w:r>
      <w:r w:rsidRPr="00B73C84">
        <w:t>Holding an auction</w:t>
      </w:r>
      <w:r w:rsidRPr="00B73C84">
        <w:tab/>
      </w:r>
      <w:r w:rsidRPr="00B73C84">
        <w:fldChar w:fldCharType="begin"/>
      </w:r>
      <w:r w:rsidRPr="00B73C84">
        <w:instrText xml:space="preserve"> PAGEREF _Toc156187149 \h </w:instrText>
      </w:r>
      <w:r w:rsidRPr="00B73C84">
        <w:fldChar w:fldCharType="separate"/>
      </w:r>
      <w:r w:rsidR="00A12138">
        <w:t>12</w:t>
      </w:r>
      <w:r w:rsidRPr="00B73C84">
        <w:fldChar w:fldCharType="end"/>
      </w:r>
    </w:p>
    <w:p w14:paraId="48FD75FC" w14:textId="21C3F7F8" w:rsidR="00DF1B35" w:rsidRPr="00B73C84" w:rsidRDefault="00DF1B35" w:rsidP="00DF1B35">
      <w:pPr>
        <w:pStyle w:val="TOC5"/>
        <w:rPr>
          <w:rFonts w:ascii="Times New Roman" w:hAnsi="Times New Roman"/>
          <w:sz w:val="24"/>
          <w:lang w:eastAsia="en-AU"/>
        </w:rPr>
      </w:pPr>
      <w:r w:rsidRPr="00B73C84">
        <w:tab/>
        <w:t>4.3</w:t>
      </w:r>
      <w:r w:rsidRPr="00B73C84">
        <w:rPr>
          <w:rFonts w:ascii="Times New Roman" w:hAnsi="Times New Roman"/>
          <w:sz w:val="24"/>
          <w:lang w:eastAsia="en-AU"/>
        </w:rPr>
        <w:tab/>
      </w:r>
      <w:r w:rsidRPr="00B73C84">
        <w:t>Appointment of auctioneer</w:t>
      </w:r>
      <w:r w:rsidRPr="00B73C84">
        <w:tab/>
      </w:r>
      <w:r w:rsidRPr="00B73C84">
        <w:fldChar w:fldCharType="begin"/>
      </w:r>
      <w:r w:rsidRPr="00B73C84">
        <w:instrText xml:space="preserve"> PAGEREF _Toc156187150 \h </w:instrText>
      </w:r>
      <w:r w:rsidRPr="00B73C84">
        <w:fldChar w:fldCharType="separate"/>
      </w:r>
      <w:r w:rsidR="00A12138">
        <w:t>12</w:t>
      </w:r>
      <w:r w:rsidRPr="00B73C84">
        <w:fldChar w:fldCharType="end"/>
      </w:r>
    </w:p>
    <w:p w14:paraId="3EA410D3" w14:textId="760CB258" w:rsidR="00DF1B35" w:rsidRPr="00B73C84" w:rsidRDefault="00DF1B35" w:rsidP="00DF1B35">
      <w:pPr>
        <w:pStyle w:val="TOC5"/>
        <w:rPr>
          <w:rFonts w:ascii="Times New Roman" w:hAnsi="Times New Roman"/>
          <w:sz w:val="24"/>
          <w:lang w:eastAsia="en-AU"/>
        </w:rPr>
      </w:pPr>
      <w:r w:rsidRPr="00B73C84">
        <w:tab/>
        <w:t>4.4</w:t>
      </w:r>
      <w:r w:rsidRPr="00B73C84">
        <w:rPr>
          <w:rFonts w:ascii="Times New Roman" w:hAnsi="Times New Roman"/>
          <w:sz w:val="24"/>
          <w:lang w:eastAsia="en-AU"/>
        </w:rPr>
        <w:tab/>
      </w:r>
      <w:r w:rsidRPr="00B73C84">
        <w:t xml:space="preserve">Eligibility of applicants to </w:t>
      </w:r>
      <w:r w:rsidR="00D612AE">
        <w:t>participate in auction</w:t>
      </w:r>
      <w:r w:rsidRPr="00B73C84">
        <w:t xml:space="preserve"> for a lot</w:t>
      </w:r>
      <w:r w:rsidRPr="00B73C84">
        <w:tab/>
      </w:r>
      <w:r w:rsidRPr="00B73C84">
        <w:fldChar w:fldCharType="begin"/>
      </w:r>
      <w:r w:rsidRPr="00B73C84">
        <w:instrText xml:space="preserve"> PAGEREF _Toc156187151 \h </w:instrText>
      </w:r>
      <w:r w:rsidRPr="00B73C84">
        <w:fldChar w:fldCharType="separate"/>
      </w:r>
      <w:r w:rsidR="00A12138">
        <w:t>12</w:t>
      </w:r>
      <w:r w:rsidRPr="00B73C84">
        <w:fldChar w:fldCharType="end"/>
      </w:r>
    </w:p>
    <w:p w14:paraId="3726450C" w14:textId="6022BE39" w:rsidR="00DF1B35" w:rsidRPr="00B73C84" w:rsidRDefault="00DF1B35" w:rsidP="00DF1B35">
      <w:pPr>
        <w:pStyle w:val="TOC5"/>
        <w:rPr>
          <w:rFonts w:ascii="Times New Roman" w:hAnsi="Times New Roman"/>
          <w:sz w:val="24"/>
          <w:lang w:eastAsia="en-AU"/>
        </w:rPr>
      </w:pPr>
      <w:r w:rsidRPr="00B73C84">
        <w:tab/>
        <w:t>4.5</w:t>
      </w:r>
      <w:r w:rsidRPr="00B73C84">
        <w:rPr>
          <w:rFonts w:ascii="Times New Roman" w:hAnsi="Times New Roman"/>
          <w:sz w:val="24"/>
          <w:lang w:eastAsia="en-AU"/>
        </w:rPr>
        <w:tab/>
      </w:r>
      <w:r w:rsidRPr="00B73C84">
        <w:t>Notice to registered applicant</w:t>
      </w:r>
      <w:r w:rsidRPr="00B73C84">
        <w:tab/>
      </w:r>
      <w:r w:rsidRPr="00B73C84">
        <w:fldChar w:fldCharType="begin"/>
      </w:r>
      <w:r w:rsidRPr="00B73C84">
        <w:instrText xml:space="preserve"> PAGEREF _Toc156187152 \h </w:instrText>
      </w:r>
      <w:r w:rsidRPr="00B73C84">
        <w:fldChar w:fldCharType="separate"/>
      </w:r>
      <w:r w:rsidR="00A12138">
        <w:t>12</w:t>
      </w:r>
      <w:r w:rsidRPr="00B73C84">
        <w:fldChar w:fldCharType="end"/>
      </w:r>
    </w:p>
    <w:p w14:paraId="5233A165" w14:textId="2FE86C0C" w:rsidR="00DF1B35" w:rsidRPr="00B73C84" w:rsidRDefault="00DF1B35" w:rsidP="00DF1B35">
      <w:pPr>
        <w:pStyle w:val="TOC5"/>
        <w:rPr>
          <w:rFonts w:ascii="Times New Roman" w:hAnsi="Times New Roman"/>
          <w:sz w:val="24"/>
          <w:lang w:eastAsia="en-AU"/>
        </w:rPr>
      </w:pPr>
      <w:r w:rsidRPr="00B73C84">
        <w:tab/>
        <w:t>4.6</w:t>
      </w:r>
      <w:r w:rsidRPr="00B73C84">
        <w:rPr>
          <w:rFonts w:ascii="Times New Roman" w:hAnsi="Times New Roman"/>
          <w:sz w:val="24"/>
          <w:lang w:eastAsia="en-AU"/>
        </w:rPr>
        <w:tab/>
      </w:r>
      <w:r w:rsidRPr="00B73C84">
        <w:t>Payment of auction deposit</w:t>
      </w:r>
      <w:r w:rsidRPr="00B73C84">
        <w:tab/>
      </w:r>
      <w:r w:rsidRPr="00B73C84">
        <w:fldChar w:fldCharType="begin"/>
      </w:r>
      <w:r w:rsidRPr="00B73C84">
        <w:instrText xml:space="preserve"> PAGEREF _Toc156187153 \h </w:instrText>
      </w:r>
      <w:r w:rsidRPr="00B73C84">
        <w:fldChar w:fldCharType="separate"/>
      </w:r>
      <w:r w:rsidR="00A12138">
        <w:t>13</w:t>
      </w:r>
      <w:r w:rsidRPr="00B73C84">
        <w:fldChar w:fldCharType="end"/>
      </w:r>
    </w:p>
    <w:p w14:paraId="21C376D6" w14:textId="0285CBF3" w:rsidR="00DF1B35" w:rsidRPr="00B73C84" w:rsidRDefault="00DF1B35" w:rsidP="00DF1B35">
      <w:pPr>
        <w:pStyle w:val="TOC5"/>
        <w:rPr>
          <w:rFonts w:ascii="Times New Roman" w:hAnsi="Times New Roman"/>
          <w:sz w:val="24"/>
          <w:lang w:eastAsia="en-AU"/>
        </w:rPr>
      </w:pPr>
      <w:r w:rsidRPr="00B73C84">
        <w:tab/>
        <w:t>4.7</w:t>
      </w:r>
      <w:r w:rsidRPr="00B73C84">
        <w:rPr>
          <w:rFonts w:ascii="Times New Roman" w:hAnsi="Times New Roman"/>
          <w:sz w:val="24"/>
          <w:lang w:eastAsia="en-AU"/>
        </w:rPr>
        <w:tab/>
      </w:r>
      <w:r w:rsidRPr="00B73C84">
        <w:t>Confirmation of registration for auction</w:t>
      </w:r>
      <w:r w:rsidRPr="00B73C84">
        <w:tab/>
      </w:r>
      <w:r w:rsidRPr="00B73C84">
        <w:fldChar w:fldCharType="begin"/>
      </w:r>
      <w:r w:rsidRPr="00B73C84">
        <w:instrText xml:space="preserve"> PAGEREF _Toc156187154 \h </w:instrText>
      </w:r>
      <w:r w:rsidRPr="00B73C84">
        <w:fldChar w:fldCharType="separate"/>
      </w:r>
      <w:r w:rsidR="00A12138">
        <w:t>13</w:t>
      </w:r>
      <w:r w:rsidRPr="00B73C84">
        <w:fldChar w:fldCharType="end"/>
      </w:r>
    </w:p>
    <w:p w14:paraId="62B2ACBB" w14:textId="61EDD69B" w:rsidR="00DF1B35" w:rsidRPr="00B73C84" w:rsidRDefault="00DF1B35" w:rsidP="00DF1B35">
      <w:pPr>
        <w:pStyle w:val="TOC5"/>
        <w:rPr>
          <w:rFonts w:ascii="Times New Roman" w:hAnsi="Times New Roman"/>
          <w:sz w:val="24"/>
          <w:lang w:eastAsia="en-AU"/>
        </w:rPr>
      </w:pPr>
      <w:r w:rsidRPr="00B73C84">
        <w:tab/>
        <w:t>4.8</w:t>
      </w:r>
      <w:r w:rsidRPr="00B73C84">
        <w:rPr>
          <w:rFonts w:ascii="Times New Roman" w:hAnsi="Times New Roman"/>
          <w:sz w:val="24"/>
          <w:lang w:eastAsia="en-AU"/>
        </w:rPr>
        <w:tab/>
      </w:r>
      <w:r w:rsidRPr="00B73C84">
        <w:t>Telephone bidding</w:t>
      </w:r>
      <w:r w:rsidRPr="00B73C84">
        <w:tab/>
      </w:r>
      <w:r w:rsidRPr="00B73C84">
        <w:fldChar w:fldCharType="begin"/>
      </w:r>
      <w:r w:rsidRPr="00B73C84">
        <w:instrText xml:space="preserve"> PAGEREF _Toc156187155 \h </w:instrText>
      </w:r>
      <w:r w:rsidRPr="00B73C84">
        <w:fldChar w:fldCharType="separate"/>
      </w:r>
      <w:r w:rsidR="00A12138">
        <w:t>13</w:t>
      </w:r>
      <w:r w:rsidRPr="00B73C84">
        <w:fldChar w:fldCharType="end"/>
      </w:r>
    </w:p>
    <w:p w14:paraId="7B997C97" w14:textId="7C4EF464" w:rsidR="00DF1B35" w:rsidRPr="00B73C84" w:rsidRDefault="00DF1B35" w:rsidP="00DF1B35">
      <w:pPr>
        <w:pStyle w:val="TOC5"/>
        <w:rPr>
          <w:rFonts w:ascii="Times New Roman" w:hAnsi="Times New Roman"/>
          <w:sz w:val="24"/>
          <w:lang w:eastAsia="en-AU"/>
        </w:rPr>
      </w:pPr>
      <w:r w:rsidRPr="00B73C84">
        <w:tab/>
        <w:t>4.9</w:t>
      </w:r>
      <w:r w:rsidRPr="00B73C84">
        <w:rPr>
          <w:rFonts w:ascii="Times New Roman" w:hAnsi="Times New Roman"/>
          <w:sz w:val="24"/>
          <w:lang w:eastAsia="en-AU"/>
        </w:rPr>
        <w:tab/>
      </w:r>
      <w:r w:rsidRPr="00B73C84">
        <w:t>Lodgment of another Form of Authority</w:t>
      </w:r>
      <w:r w:rsidRPr="00B73C84">
        <w:tab/>
      </w:r>
      <w:r w:rsidRPr="00B73C84">
        <w:fldChar w:fldCharType="begin"/>
      </w:r>
      <w:r w:rsidRPr="00B73C84">
        <w:instrText xml:space="preserve"> PAGEREF _Toc156187156 \h </w:instrText>
      </w:r>
      <w:r w:rsidRPr="00B73C84">
        <w:fldChar w:fldCharType="separate"/>
      </w:r>
      <w:r w:rsidR="00A12138">
        <w:t>13</w:t>
      </w:r>
      <w:r w:rsidRPr="00B73C84">
        <w:fldChar w:fldCharType="end"/>
      </w:r>
    </w:p>
    <w:p w14:paraId="4A4D93F5" w14:textId="7C028960" w:rsidR="00DF1B35" w:rsidRPr="00B73C84" w:rsidRDefault="00DF1B35" w:rsidP="00DF1B35">
      <w:pPr>
        <w:pStyle w:val="TOC5"/>
        <w:rPr>
          <w:rFonts w:ascii="Times New Roman" w:hAnsi="Times New Roman"/>
          <w:sz w:val="24"/>
          <w:lang w:eastAsia="en-AU"/>
        </w:rPr>
      </w:pPr>
      <w:r w:rsidRPr="00B73C84">
        <w:tab/>
        <w:t>4.10</w:t>
      </w:r>
      <w:r w:rsidRPr="00B73C84">
        <w:rPr>
          <w:rFonts w:ascii="Times New Roman" w:hAnsi="Times New Roman"/>
          <w:sz w:val="24"/>
          <w:lang w:eastAsia="en-AU"/>
        </w:rPr>
        <w:tab/>
      </w:r>
      <w:r w:rsidRPr="00B73C84">
        <w:t>Bidder identification as registered bidder</w:t>
      </w:r>
      <w:r w:rsidRPr="00B73C84">
        <w:tab/>
      </w:r>
      <w:r w:rsidRPr="00B73C84">
        <w:fldChar w:fldCharType="begin"/>
      </w:r>
      <w:r w:rsidRPr="00B73C84">
        <w:instrText xml:space="preserve"> PAGEREF _Toc156187157 \h </w:instrText>
      </w:r>
      <w:r w:rsidRPr="00B73C84">
        <w:fldChar w:fldCharType="separate"/>
      </w:r>
      <w:r w:rsidR="00A12138">
        <w:t>14</w:t>
      </w:r>
      <w:r w:rsidRPr="00B73C84">
        <w:fldChar w:fldCharType="end"/>
      </w:r>
    </w:p>
    <w:p w14:paraId="1D31F573" w14:textId="085D1B32" w:rsidR="00DF1B35" w:rsidRPr="00B73C84" w:rsidRDefault="00DF1B35" w:rsidP="00DF1B35">
      <w:pPr>
        <w:pStyle w:val="TOC5"/>
        <w:rPr>
          <w:rFonts w:ascii="Times New Roman" w:hAnsi="Times New Roman"/>
          <w:sz w:val="24"/>
          <w:lang w:eastAsia="en-AU"/>
        </w:rPr>
      </w:pPr>
      <w:r w:rsidRPr="00B73C84">
        <w:tab/>
        <w:t>4.11</w:t>
      </w:r>
      <w:r w:rsidRPr="00B73C84">
        <w:rPr>
          <w:rFonts w:ascii="Times New Roman" w:hAnsi="Times New Roman"/>
          <w:sz w:val="24"/>
          <w:lang w:eastAsia="en-AU"/>
        </w:rPr>
        <w:tab/>
      </w:r>
      <w:r w:rsidRPr="00B73C84">
        <w:t>Bidding in an auction</w:t>
      </w:r>
      <w:r w:rsidRPr="00B73C84">
        <w:tab/>
      </w:r>
      <w:r w:rsidRPr="00B73C84">
        <w:fldChar w:fldCharType="begin"/>
      </w:r>
      <w:r w:rsidRPr="00B73C84">
        <w:instrText xml:space="preserve"> PAGEREF _Toc156187158 \h </w:instrText>
      </w:r>
      <w:r w:rsidRPr="00B73C84">
        <w:fldChar w:fldCharType="separate"/>
      </w:r>
      <w:r w:rsidR="00A12138">
        <w:t>14</w:t>
      </w:r>
      <w:r w:rsidRPr="00B73C84">
        <w:fldChar w:fldCharType="end"/>
      </w:r>
    </w:p>
    <w:p w14:paraId="20A1EF48" w14:textId="76E8EF41" w:rsidR="00DF1B35" w:rsidRPr="00B73C84" w:rsidRDefault="00DF1B35" w:rsidP="00DF1B35">
      <w:pPr>
        <w:pStyle w:val="TOC5"/>
        <w:rPr>
          <w:rFonts w:ascii="Times New Roman" w:hAnsi="Times New Roman"/>
          <w:sz w:val="24"/>
          <w:lang w:eastAsia="en-AU"/>
        </w:rPr>
      </w:pPr>
      <w:r w:rsidRPr="00B73C84">
        <w:tab/>
        <w:t>4.12</w:t>
      </w:r>
      <w:r w:rsidRPr="00B73C84">
        <w:rPr>
          <w:rFonts w:ascii="Times New Roman" w:hAnsi="Times New Roman"/>
          <w:sz w:val="24"/>
          <w:lang w:eastAsia="en-AU"/>
        </w:rPr>
        <w:tab/>
      </w:r>
      <w:r w:rsidRPr="00B73C84">
        <w:t xml:space="preserve">Identification and verification to </w:t>
      </w:r>
      <w:r w:rsidR="009D5A50" w:rsidRPr="00B73C84">
        <w:t xml:space="preserve">the </w:t>
      </w:r>
      <w:r w:rsidRPr="00B73C84">
        <w:t>ACMA</w:t>
      </w:r>
      <w:r w:rsidRPr="00B73C84">
        <w:tab/>
      </w:r>
      <w:r w:rsidRPr="00B73C84">
        <w:fldChar w:fldCharType="begin"/>
      </w:r>
      <w:r w:rsidRPr="00B73C84">
        <w:instrText xml:space="preserve"> PAGEREF _Toc156187159 \h </w:instrText>
      </w:r>
      <w:r w:rsidRPr="00B73C84">
        <w:fldChar w:fldCharType="separate"/>
      </w:r>
      <w:r w:rsidR="00A12138">
        <w:t>15</w:t>
      </w:r>
      <w:r w:rsidRPr="00B73C84">
        <w:fldChar w:fldCharType="end"/>
      </w:r>
    </w:p>
    <w:p w14:paraId="7F6560F6" w14:textId="612F8340" w:rsidR="00DF1B35" w:rsidRPr="00B73C84" w:rsidRDefault="00DF1B35" w:rsidP="00DF1B35">
      <w:pPr>
        <w:pStyle w:val="TOC5"/>
        <w:rPr>
          <w:rFonts w:ascii="Times New Roman" w:hAnsi="Times New Roman"/>
          <w:sz w:val="24"/>
          <w:lang w:eastAsia="en-AU"/>
        </w:rPr>
      </w:pPr>
      <w:r w:rsidRPr="00B73C84">
        <w:tab/>
        <w:t>4.13</w:t>
      </w:r>
      <w:r w:rsidRPr="00B73C84">
        <w:rPr>
          <w:rFonts w:ascii="Times New Roman" w:hAnsi="Times New Roman"/>
          <w:sz w:val="24"/>
          <w:lang w:eastAsia="en-AU"/>
        </w:rPr>
        <w:tab/>
      </w:r>
      <w:r w:rsidRPr="00B73C84">
        <w:t>Close of auction</w:t>
      </w:r>
      <w:r w:rsidRPr="00B73C84">
        <w:tab/>
      </w:r>
      <w:r w:rsidRPr="00B73C84">
        <w:fldChar w:fldCharType="begin"/>
      </w:r>
      <w:r w:rsidRPr="00B73C84">
        <w:instrText xml:space="preserve"> PAGEREF _Toc156187160 \h </w:instrText>
      </w:r>
      <w:r w:rsidRPr="00B73C84">
        <w:fldChar w:fldCharType="separate"/>
      </w:r>
      <w:r w:rsidR="00A12138">
        <w:t>15</w:t>
      </w:r>
      <w:r w:rsidRPr="00B73C84">
        <w:fldChar w:fldCharType="end"/>
      </w:r>
    </w:p>
    <w:p w14:paraId="6F45CC54" w14:textId="76CB2B27" w:rsidR="00DF1B35" w:rsidRPr="00B73C84" w:rsidRDefault="00DF1B35" w:rsidP="00DF1B35">
      <w:pPr>
        <w:pStyle w:val="TOC5"/>
        <w:rPr>
          <w:rFonts w:ascii="Times New Roman" w:hAnsi="Times New Roman"/>
          <w:sz w:val="24"/>
          <w:lang w:eastAsia="en-AU"/>
        </w:rPr>
      </w:pPr>
      <w:r w:rsidRPr="00B73C84">
        <w:tab/>
        <w:t>4.14</w:t>
      </w:r>
      <w:r w:rsidRPr="00B73C84">
        <w:rPr>
          <w:rFonts w:ascii="Times New Roman" w:hAnsi="Times New Roman"/>
          <w:sz w:val="24"/>
          <w:lang w:eastAsia="en-AU"/>
        </w:rPr>
        <w:tab/>
      </w:r>
      <w:r w:rsidRPr="00B73C84">
        <w:t>Lot offered at auction but not allocated</w:t>
      </w:r>
      <w:r w:rsidRPr="00B73C84">
        <w:tab/>
      </w:r>
      <w:r w:rsidRPr="00B73C84">
        <w:fldChar w:fldCharType="begin"/>
      </w:r>
      <w:r w:rsidRPr="00B73C84">
        <w:instrText xml:space="preserve"> PAGEREF _Toc156187161 \h </w:instrText>
      </w:r>
      <w:r w:rsidRPr="00B73C84">
        <w:fldChar w:fldCharType="separate"/>
      </w:r>
      <w:r w:rsidR="00A12138">
        <w:t>15</w:t>
      </w:r>
      <w:r w:rsidRPr="00B73C84">
        <w:fldChar w:fldCharType="end"/>
      </w:r>
    </w:p>
    <w:p w14:paraId="63BCA23B" w14:textId="6B436F80" w:rsidR="00DF1B35" w:rsidRPr="00B73C84" w:rsidRDefault="00DF1B35" w:rsidP="00DF1B35">
      <w:pPr>
        <w:pStyle w:val="TOC5"/>
        <w:rPr>
          <w:rFonts w:ascii="Times New Roman" w:hAnsi="Times New Roman"/>
          <w:sz w:val="24"/>
          <w:lang w:eastAsia="en-AU"/>
        </w:rPr>
      </w:pPr>
      <w:r w:rsidRPr="00B73C84">
        <w:tab/>
        <w:t>4.15</w:t>
      </w:r>
      <w:r w:rsidRPr="00B73C84">
        <w:rPr>
          <w:rFonts w:ascii="Times New Roman" w:hAnsi="Times New Roman"/>
          <w:sz w:val="24"/>
          <w:lang w:eastAsia="en-AU"/>
        </w:rPr>
        <w:tab/>
      </w:r>
      <w:r w:rsidRPr="00B73C84">
        <w:t>Refund of auction deposit to unsuccessful applicant(s)</w:t>
      </w:r>
      <w:r w:rsidRPr="00B73C84">
        <w:tab/>
      </w:r>
      <w:r w:rsidRPr="00B73C84">
        <w:fldChar w:fldCharType="begin"/>
      </w:r>
      <w:r w:rsidRPr="00B73C84">
        <w:instrText xml:space="preserve"> PAGEREF _Toc156187162 \h </w:instrText>
      </w:r>
      <w:r w:rsidRPr="00B73C84">
        <w:fldChar w:fldCharType="separate"/>
      </w:r>
      <w:r w:rsidR="00A12138">
        <w:t>15</w:t>
      </w:r>
      <w:r w:rsidRPr="00B73C84">
        <w:fldChar w:fldCharType="end"/>
      </w:r>
    </w:p>
    <w:p w14:paraId="56A8AB0B" w14:textId="77777777" w:rsidR="00DF1B35" w:rsidRPr="00B73C84" w:rsidRDefault="00DF1B35" w:rsidP="00DF1B35">
      <w:pPr>
        <w:pStyle w:val="TOC2"/>
        <w:rPr>
          <w:rFonts w:ascii="Times New Roman" w:hAnsi="Times New Roman"/>
          <w:b w:val="0"/>
          <w:noProof/>
          <w:lang w:eastAsia="en-AU"/>
        </w:rPr>
      </w:pPr>
      <w:r w:rsidRPr="00B73C84">
        <w:rPr>
          <w:noProof/>
        </w:rPr>
        <w:t>Part 5</w:t>
      </w:r>
      <w:r w:rsidRPr="00B73C84">
        <w:rPr>
          <w:rFonts w:ascii="Times New Roman" w:hAnsi="Times New Roman"/>
          <w:b w:val="0"/>
          <w:noProof/>
          <w:lang w:eastAsia="en-AU"/>
        </w:rPr>
        <w:tab/>
      </w:r>
      <w:r w:rsidRPr="00B73C84">
        <w:rPr>
          <w:noProof/>
        </w:rPr>
        <w:t>Allocation of a lot if there is only one applicant</w:t>
      </w:r>
      <w:r w:rsidRPr="00B73C84">
        <w:rPr>
          <w:noProof/>
        </w:rPr>
        <w:tab/>
      </w:r>
    </w:p>
    <w:p w14:paraId="1FB69745" w14:textId="151976EA" w:rsidR="00DF1B35" w:rsidRPr="00B73C84" w:rsidRDefault="00DF1B35" w:rsidP="00DF1B35">
      <w:pPr>
        <w:pStyle w:val="TOC5"/>
        <w:rPr>
          <w:rFonts w:ascii="Times New Roman" w:hAnsi="Times New Roman"/>
          <w:sz w:val="24"/>
          <w:lang w:eastAsia="en-AU"/>
        </w:rPr>
      </w:pPr>
      <w:r w:rsidRPr="00B73C84">
        <w:tab/>
        <w:t>5.1</w:t>
      </w:r>
      <w:r w:rsidRPr="00B73C84">
        <w:rPr>
          <w:rFonts w:ascii="Times New Roman" w:hAnsi="Times New Roman"/>
          <w:sz w:val="24"/>
          <w:lang w:eastAsia="en-AU"/>
        </w:rPr>
        <w:tab/>
      </w:r>
      <w:r w:rsidRPr="00B73C84">
        <w:t>Application of Part 5</w:t>
      </w:r>
      <w:r w:rsidRPr="00B73C84">
        <w:tab/>
      </w:r>
      <w:r w:rsidRPr="00B73C84">
        <w:fldChar w:fldCharType="begin"/>
      </w:r>
      <w:r w:rsidRPr="00B73C84">
        <w:instrText xml:space="preserve"> PAGEREF _Toc156187164 \h </w:instrText>
      </w:r>
      <w:r w:rsidRPr="00B73C84">
        <w:fldChar w:fldCharType="separate"/>
      </w:r>
      <w:r w:rsidR="00A12138">
        <w:t>16</w:t>
      </w:r>
      <w:r w:rsidRPr="00B73C84">
        <w:fldChar w:fldCharType="end"/>
      </w:r>
    </w:p>
    <w:p w14:paraId="3AD5F67A" w14:textId="0CF3BAC4" w:rsidR="00DF1B35" w:rsidRPr="00B73C84" w:rsidRDefault="00DF1B35" w:rsidP="00DF1B35">
      <w:pPr>
        <w:pStyle w:val="TOC5"/>
        <w:rPr>
          <w:rFonts w:ascii="Times New Roman" w:hAnsi="Times New Roman"/>
          <w:sz w:val="24"/>
          <w:lang w:eastAsia="en-AU"/>
        </w:rPr>
      </w:pPr>
      <w:r w:rsidRPr="00B73C84">
        <w:tab/>
        <w:t>5.2</w:t>
      </w:r>
      <w:r w:rsidRPr="00B73C84">
        <w:rPr>
          <w:rFonts w:ascii="Times New Roman" w:hAnsi="Times New Roman"/>
          <w:sz w:val="24"/>
          <w:lang w:eastAsia="en-AU"/>
        </w:rPr>
        <w:tab/>
      </w:r>
      <w:r w:rsidRPr="00B73C84">
        <w:t>Notice to registered applicant</w:t>
      </w:r>
      <w:r w:rsidRPr="00B73C84">
        <w:tab/>
      </w:r>
      <w:r w:rsidRPr="00B73C84">
        <w:fldChar w:fldCharType="begin"/>
      </w:r>
      <w:r w:rsidRPr="00B73C84">
        <w:instrText xml:space="preserve"> PAGEREF _Toc156187165 \h </w:instrText>
      </w:r>
      <w:r w:rsidRPr="00B73C84">
        <w:fldChar w:fldCharType="separate"/>
      </w:r>
      <w:r w:rsidR="00A12138">
        <w:t>16</w:t>
      </w:r>
      <w:r w:rsidRPr="00B73C84">
        <w:fldChar w:fldCharType="end"/>
      </w:r>
    </w:p>
    <w:p w14:paraId="3D5D79F1" w14:textId="7D5096D0" w:rsidR="00DF1B35" w:rsidRPr="00B73C84" w:rsidRDefault="00DF1B35" w:rsidP="00DF1B35">
      <w:pPr>
        <w:pStyle w:val="TOC5"/>
        <w:rPr>
          <w:rFonts w:ascii="Times New Roman" w:hAnsi="Times New Roman"/>
          <w:sz w:val="24"/>
          <w:lang w:eastAsia="en-AU"/>
        </w:rPr>
      </w:pPr>
      <w:r w:rsidRPr="00B73C84">
        <w:lastRenderedPageBreak/>
        <w:tab/>
        <w:t>5.3</w:t>
      </w:r>
      <w:r w:rsidRPr="00B73C84">
        <w:rPr>
          <w:rFonts w:ascii="Times New Roman" w:hAnsi="Times New Roman"/>
          <w:sz w:val="24"/>
          <w:lang w:eastAsia="en-AU"/>
        </w:rPr>
        <w:tab/>
      </w:r>
      <w:r w:rsidRPr="00B73C84">
        <w:t>Default by successful applicant</w:t>
      </w:r>
      <w:r w:rsidRPr="00B73C84">
        <w:tab/>
      </w:r>
      <w:r w:rsidRPr="00B73C84">
        <w:fldChar w:fldCharType="begin"/>
      </w:r>
      <w:r w:rsidRPr="00B73C84">
        <w:instrText xml:space="preserve"> PAGEREF _Toc156187166 \h </w:instrText>
      </w:r>
      <w:r w:rsidRPr="00B73C84">
        <w:fldChar w:fldCharType="separate"/>
      </w:r>
      <w:r w:rsidR="00A12138">
        <w:t>16</w:t>
      </w:r>
      <w:r w:rsidRPr="00B73C84">
        <w:fldChar w:fldCharType="end"/>
      </w:r>
    </w:p>
    <w:p w14:paraId="461BE14D" w14:textId="77777777" w:rsidR="00DF1B35" w:rsidRPr="00B73C84" w:rsidRDefault="00DF1B35" w:rsidP="00DF1B35">
      <w:pPr>
        <w:pStyle w:val="TOC2"/>
        <w:rPr>
          <w:rFonts w:ascii="Times New Roman" w:hAnsi="Times New Roman"/>
          <w:b w:val="0"/>
          <w:noProof/>
          <w:lang w:eastAsia="en-AU"/>
        </w:rPr>
      </w:pPr>
      <w:r w:rsidRPr="00B73C84">
        <w:rPr>
          <w:noProof/>
        </w:rPr>
        <w:t>Part 6</w:t>
      </w:r>
      <w:r w:rsidRPr="00B73C84">
        <w:rPr>
          <w:rFonts w:ascii="Times New Roman" w:hAnsi="Times New Roman"/>
          <w:b w:val="0"/>
          <w:noProof/>
          <w:lang w:eastAsia="en-AU"/>
        </w:rPr>
        <w:tab/>
      </w:r>
      <w:r w:rsidRPr="00B73C84">
        <w:rPr>
          <w:noProof/>
        </w:rPr>
        <w:t>Issue of a licence to a successful applicant</w:t>
      </w:r>
      <w:r w:rsidRPr="00B73C84">
        <w:rPr>
          <w:noProof/>
        </w:rPr>
        <w:tab/>
      </w:r>
    </w:p>
    <w:p w14:paraId="369F1D24" w14:textId="17B6B0D0" w:rsidR="00DF1B35" w:rsidRPr="00B73C84" w:rsidRDefault="00DF1B35" w:rsidP="00DF1B35">
      <w:pPr>
        <w:pStyle w:val="TOC5"/>
        <w:rPr>
          <w:rFonts w:ascii="Times New Roman" w:hAnsi="Times New Roman"/>
          <w:sz w:val="24"/>
          <w:lang w:eastAsia="en-AU"/>
        </w:rPr>
      </w:pPr>
      <w:r w:rsidRPr="00B73C84">
        <w:tab/>
        <w:t>6.1</w:t>
      </w:r>
      <w:r w:rsidRPr="00B73C84">
        <w:rPr>
          <w:rFonts w:ascii="Times New Roman" w:hAnsi="Times New Roman"/>
          <w:sz w:val="24"/>
          <w:lang w:eastAsia="en-AU"/>
        </w:rPr>
        <w:tab/>
      </w:r>
      <w:r w:rsidRPr="00B73C84">
        <w:t>Form of licence</w:t>
      </w:r>
      <w:r w:rsidRPr="00B73C84">
        <w:tab/>
      </w:r>
      <w:r w:rsidRPr="00B73C84">
        <w:fldChar w:fldCharType="begin"/>
      </w:r>
      <w:r w:rsidRPr="00B73C84">
        <w:instrText xml:space="preserve"> PAGEREF _Toc156187168 \h </w:instrText>
      </w:r>
      <w:r w:rsidRPr="00B73C84">
        <w:fldChar w:fldCharType="separate"/>
      </w:r>
      <w:r w:rsidR="00A12138">
        <w:t>17</w:t>
      </w:r>
      <w:r w:rsidRPr="00B73C84">
        <w:fldChar w:fldCharType="end"/>
      </w:r>
    </w:p>
    <w:p w14:paraId="112DC393" w14:textId="56A9C9CB" w:rsidR="00DF1B35" w:rsidRPr="00B73C84" w:rsidRDefault="00DF1B35" w:rsidP="00DF1B35">
      <w:pPr>
        <w:pStyle w:val="TOC5"/>
        <w:rPr>
          <w:rFonts w:ascii="Times New Roman" w:hAnsi="Times New Roman"/>
          <w:sz w:val="24"/>
          <w:lang w:eastAsia="en-AU"/>
        </w:rPr>
      </w:pPr>
      <w:r w:rsidRPr="00B73C84">
        <w:tab/>
        <w:t>6.2</w:t>
      </w:r>
      <w:r w:rsidRPr="00B73C84">
        <w:rPr>
          <w:rFonts w:ascii="Times New Roman" w:hAnsi="Times New Roman"/>
          <w:sz w:val="24"/>
          <w:lang w:eastAsia="en-AU"/>
        </w:rPr>
        <w:tab/>
      </w:r>
      <w:r w:rsidRPr="00B73C84">
        <w:t>Issue of licence to successful applicant</w:t>
      </w:r>
      <w:r w:rsidRPr="00B73C84">
        <w:tab/>
      </w:r>
      <w:r w:rsidRPr="00B73C84">
        <w:fldChar w:fldCharType="begin"/>
      </w:r>
      <w:r w:rsidRPr="00B73C84">
        <w:instrText xml:space="preserve"> PAGEREF _Toc156187169 \h </w:instrText>
      </w:r>
      <w:r w:rsidRPr="00B73C84">
        <w:fldChar w:fldCharType="separate"/>
      </w:r>
      <w:r w:rsidR="00A12138">
        <w:t>17</w:t>
      </w:r>
      <w:r w:rsidRPr="00B73C84">
        <w:fldChar w:fldCharType="end"/>
      </w:r>
    </w:p>
    <w:p w14:paraId="23B49B8C" w14:textId="4AAF4D5B" w:rsidR="00DF1B35" w:rsidRPr="00B73C84" w:rsidRDefault="00DF1B35" w:rsidP="00DF1B35">
      <w:pPr>
        <w:pStyle w:val="TOC5"/>
        <w:rPr>
          <w:rFonts w:ascii="Times New Roman" w:hAnsi="Times New Roman"/>
          <w:sz w:val="24"/>
          <w:lang w:eastAsia="en-AU"/>
        </w:rPr>
      </w:pPr>
      <w:r w:rsidRPr="00B73C84">
        <w:tab/>
        <w:t>6.3</w:t>
      </w:r>
      <w:r w:rsidRPr="00B73C84">
        <w:rPr>
          <w:rFonts w:ascii="Times New Roman" w:hAnsi="Times New Roman"/>
          <w:sz w:val="24"/>
          <w:lang w:eastAsia="en-AU"/>
        </w:rPr>
        <w:tab/>
      </w:r>
      <w:r w:rsidRPr="00B73C84">
        <w:t>Liability for failure to comply with auction payment requirements</w:t>
      </w:r>
      <w:r w:rsidRPr="00B73C84">
        <w:tab/>
      </w:r>
      <w:r w:rsidRPr="00B73C84">
        <w:fldChar w:fldCharType="begin"/>
      </w:r>
      <w:r w:rsidRPr="00B73C84">
        <w:instrText xml:space="preserve"> PAGEREF _Toc156187170 \h </w:instrText>
      </w:r>
      <w:r w:rsidRPr="00B73C84">
        <w:fldChar w:fldCharType="separate"/>
      </w:r>
      <w:r w:rsidR="00A12138">
        <w:t>17</w:t>
      </w:r>
      <w:r w:rsidRPr="00B73C84">
        <w:fldChar w:fldCharType="end"/>
      </w:r>
    </w:p>
    <w:p w14:paraId="62C005BA" w14:textId="77777777" w:rsidR="00DF1B35" w:rsidRPr="00B73C84" w:rsidRDefault="00DF1B35" w:rsidP="00DF1B35">
      <w:pPr>
        <w:pStyle w:val="TOC2"/>
        <w:rPr>
          <w:rFonts w:ascii="Times New Roman" w:hAnsi="Times New Roman"/>
          <w:b w:val="0"/>
          <w:noProof/>
          <w:lang w:eastAsia="en-AU"/>
        </w:rPr>
      </w:pPr>
      <w:r w:rsidRPr="00B73C84">
        <w:rPr>
          <w:noProof/>
        </w:rPr>
        <w:t>Part 7</w:t>
      </w:r>
      <w:r w:rsidRPr="00B73C84">
        <w:rPr>
          <w:rFonts w:ascii="Times New Roman" w:hAnsi="Times New Roman"/>
          <w:b w:val="0"/>
          <w:noProof/>
          <w:lang w:eastAsia="en-AU"/>
        </w:rPr>
        <w:tab/>
      </w:r>
      <w:r w:rsidRPr="00B73C84">
        <w:rPr>
          <w:noProof/>
        </w:rPr>
        <w:t>Miscellaneous</w:t>
      </w:r>
      <w:r w:rsidRPr="00B73C84">
        <w:rPr>
          <w:noProof/>
        </w:rPr>
        <w:tab/>
      </w:r>
    </w:p>
    <w:p w14:paraId="7BA88F6D" w14:textId="42378961" w:rsidR="00DF1B35" w:rsidRPr="00B73C84" w:rsidRDefault="00DF1B35" w:rsidP="00DF1B35">
      <w:pPr>
        <w:pStyle w:val="TOC5"/>
        <w:rPr>
          <w:rFonts w:ascii="Times New Roman" w:hAnsi="Times New Roman"/>
          <w:sz w:val="24"/>
          <w:lang w:eastAsia="en-AU"/>
        </w:rPr>
      </w:pPr>
      <w:r w:rsidRPr="00B73C84">
        <w:tab/>
        <w:t>7.1</w:t>
      </w:r>
      <w:r w:rsidRPr="00B73C84">
        <w:rPr>
          <w:rFonts w:ascii="Times New Roman" w:hAnsi="Times New Roman"/>
          <w:sz w:val="24"/>
          <w:lang w:eastAsia="en-AU"/>
        </w:rPr>
        <w:tab/>
      </w:r>
      <w:r w:rsidRPr="00B73C84">
        <w:t>ACMA not liable under the allocation system</w:t>
      </w:r>
      <w:r w:rsidRPr="00B73C84">
        <w:tab/>
      </w:r>
      <w:r w:rsidRPr="00B73C84">
        <w:fldChar w:fldCharType="begin"/>
      </w:r>
      <w:r w:rsidRPr="00B73C84">
        <w:instrText xml:space="preserve"> PAGEREF _Toc156187172 \h </w:instrText>
      </w:r>
      <w:r w:rsidRPr="00B73C84">
        <w:fldChar w:fldCharType="separate"/>
      </w:r>
      <w:r w:rsidR="00A12138">
        <w:t>19</w:t>
      </w:r>
      <w:r w:rsidRPr="00B73C84">
        <w:fldChar w:fldCharType="end"/>
      </w:r>
    </w:p>
    <w:p w14:paraId="0C934728" w14:textId="679E289A" w:rsidR="00DF1B35" w:rsidRPr="00B73C84" w:rsidRDefault="00DF1B35" w:rsidP="00DF1B35">
      <w:pPr>
        <w:pStyle w:val="TOC5"/>
        <w:rPr>
          <w:rFonts w:ascii="Times New Roman" w:hAnsi="Times New Roman"/>
          <w:sz w:val="24"/>
          <w:lang w:eastAsia="en-AU"/>
        </w:rPr>
      </w:pPr>
      <w:r w:rsidRPr="00B73C84">
        <w:tab/>
        <w:t>7.2</w:t>
      </w:r>
      <w:r w:rsidRPr="00B73C84">
        <w:rPr>
          <w:rFonts w:ascii="Times New Roman" w:hAnsi="Times New Roman"/>
          <w:sz w:val="24"/>
          <w:lang w:eastAsia="en-AU"/>
        </w:rPr>
        <w:tab/>
      </w:r>
      <w:r w:rsidRPr="00B73C84">
        <w:t>Information provided by applicant</w:t>
      </w:r>
      <w:r w:rsidRPr="00B73C84">
        <w:tab/>
      </w:r>
      <w:r w:rsidRPr="00B73C84">
        <w:fldChar w:fldCharType="begin"/>
      </w:r>
      <w:r w:rsidRPr="00B73C84">
        <w:instrText xml:space="preserve"> PAGEREF _Toc156187173 \h </w:instrText>
      </w:r>
      <w:r w:rsidRPr="00B73C84">
        <w:fldChar w:fldCharType="separate"/>
      </w:r>
      <w:r w:rsidR="00A12138">
        <w:t>19</w:t>
      </w:r>
      <w:r w:rsidRPr="00B73C84">
        <w:fldChar w:fldCharType="end"/>
      </w:r>
    </w:p>
    <w:p w14:paraId="091D7511" w14:textId="39887808" w:rsidR="00DF1B35" w:rsidRPr="00B73C84" w:rsidRDefault="00DF1B35" w:rsidP="00DF1B35">
      <w:pPr>
        <w:pStyle w:val="TOC5"/>
        <w:rPr>
          <w:rFonts w:ascii="Times New Roman" w:hAnsi="Times New Roman"/>
          <w:sz w:val="24"/>
          <w:lang w:eastAsia="en-AU"/>
        </w:rPr>
      </w:pPr>
      <w:r w:rsidRPr="00B73C84">
        <w:tab/>
        <w:t>7.3</w:t>
      </w:r>
      <w:r w:rsidRPr="00B73C84">
        <w:rPr>
          <w:rFonts w:ascii="Times New Roman" w:hAnsi="Times New Roman"/>
          <w:sz w:val="24"/>
          <w:lang w:eastAsia="en-AU"/>
        </w:rPr>
        <w:tab/>
      </w:r>
      <w:r w:rsidRPr="00B73C84">
        <w:t xml:space="preserve">Recovery of damages by </w:t>
      </w:r>
      <w:r w:rsidR="009D5A50" w:rsidRPr="00B73C84">
        <w:t xml:space="preserve">the </w:t>
      </w:r>
      <w:r w:rsidRPr="00B73C84">
        <w:t>ACMA</w:t>
      </w:r>
      <w:r w:rsidRPr="00B73C84">
        <w:tab/>
      </w:r>
      <w:r w:rsidRPr="00B73C84">
        <w:fldChar w:fldCharType="begin"/>
      </w:r>
      <w:r w:rsidRPr="00B73C84">
        <w:instrText xml:space="preserve"> PAGEREF _Toc156187174 \h </w:instrText>
      </w:r>
      <w:r w:rsidRPr="00B73C84">
        <w:fldChar w:fldCharType="separate"/>
      </w:r>
      <w:r w:rsidR="00A12138">
        <w:t>19</w:t>
      </w:r>
      <w:r w:rsidRPr="00B73C84">
        <w:fldChar w:fldCharType="end"/>
      </w:r>
    </w:p>
    <w:p w14:paraId="4A20D51B" w14:textId="4371ADD0" w:rsidR="00DF1B35" w:rsidRPr="00B73C84" w:rsidRDefault="00DF1B35" w:rsidP="00DF1B35">
      <w:pPr>
        <w:pStyle w:val="TOC5"/>
        <w:rPr>
          <w:rFonts w:ascii="Times New Roman" w:hAnsi="Times New Roman"/>
          <w:sz w:val="24"/>
          <w:lang w:eastAsia="en-AU"/>
        </w:rPr>
      </w:pPr>
      <w:r w:rsidRPr="00B73C84">
        <w:tab/>
        <w:t>7.4</w:t>
      </w:r>
      <w:r w:rsidRPr="00B73C84">
        <w:rPr>
          <w:rFonts w:ascii="Times New Roman" w:hAnsi="Times New Roman"/>
          <w:sz w:val="24"/>
          <w:lang w:eastAsia="en-AU"/>
        </w:rPr>
        <w:tab/>
      </w:r>
      <w:r w:rsidRPr="00B73C84">
        <w:t xml:space="preserve">Giving of information by </w:t>
      </w:r>
      <w:r w:rsidR="009D5A50" w:rsidRPr="00B73C84">
        <w:t xml:space="preserve">the </w:t>
      </w:r>
      <w:r w:rsidRPr="00B73C84">
        <w:t>ACMA</w:t>
      </w:r>
      <w:r w:rsidRPr="00B73C84">
        <w:tab/>
      </w:r>
      <w:r w:rsidRPr="00B73C84">
        <w:fldChar w:fldCharType="begin"/>
      </w:r>
      <w:r w:rsidRPr="00B73C84">
        <w:instrText xml:space="preserve"> PAGEREF _Toc156187175 \h </w:instrText>
      </w:r>
      <w:r w:rsidRPr="00B73C84">
        <w:fldChar w:fldCharType="separate"/>
      </w:r>
      <w:r w:rsidR="00A12138">
        <w:t>19</w:t>
      </w:r>
      <w:r w:rsidRPr="00B73C84">
        <w:fldChar w:fldCharType="end"/>
      </w:r>
    </w:p>
    <w:p w14:paraId="689C5508" w14:textId="7B25D568" w:rsidR="00DF1B35" w:rsidRPr="00B73C84" w:rsidRDefault="00DF1B35" w:rsidP="00DF1B35">
      <w:pPr>
        <w:pStyle w:val="TOC5"/>
        <w:rPr>
          <w:rFonts w:ascii="Times New Roman" w:hAnsi="Times New Roman"/>
          <w:sz w:val="24"/>
          <w:lang w:eastAsia="en-AU"/>
        </w:rPr>
      </w:pPr>
      <w:r w:rsidRPr="00B73C84">
        <w:tab/>
        <w:t>7.5</w:t>
      </w:r>
      <w:r w:rsidRPr="00B73C84">
        <w:rPr>
          <w:rFonts w:ascii="Times New Roman" w:hAnsi="Times New Roman"/>
          <w:sz w:val="24"/>
          <w:lang w:eastAsia="en-AU"/>
        </w:rPr>
        <w:tab/>
      </w:r>
      <w:r w:rsidRPr="00B73C84">
        <w:t>Termination of advertised price-based allocation system</w:t>
      </w:r>
      <w:r w:rsidRPr="00B73C84">
        <w:tab/>
      </w:r>
      <w:r w:rsidRPr="00B73C84">
        <w:fldChar w:fldCharType="begin"/>
      </w:r>
      <w:r w:rsidRPr="00B73C84">
        <w:instrText xml:space="preserve"> PAGEREF _Toc156187176 \h </w:instrText>
      </w:r>
      <w:r w:rsidRPr="00B73C84">
        <w:fldChar w:fldCharType="separate"/>
      </w:r>
      <w:r w:rsidR="00A12138">
        <w:t>19</w:t>
      </w:r>
      <w:r w:rsidRPr="00B73C84">
        <w:fldChar w:fldCharType="end"/>
      </w:r>
    </w:p>
    <w:p w14:paraId="50770725" w14:textId="7578F69B" w:rsidR="00DF1B35" w:rsidRPr="00B73C84" w:rsidRDefault="00DF1B35" w:rsidP="00DF1B35">
      <w:pPr>
        <w:pStyle w:val="TOC5"/>
        <w:rPr>
          <w:rFonts w:ascii="Times New Roman" w:hAnsi="Times New Roman"/>
          <w:sz w:val="24"/>
          <w:lang w:eastAsia="en-AU"/>
        </w:rPr>
      </w:pPr>
      <w:r w:rsidRPr="00B73C84">
        <w:tab/>
        <w:t>7.6</w:t>
      </w:r>
      <w:r w:rsidRPr="00B73C84">
        <w:rPr>
          <w:rFonts w:ascii="Times New Roman" w:hAnsi="Times New Roman"/>
          <w:sz w:val="24"/>
          <w:lang w:eastAsia="en-AU"/>
        </w:rPr>
        <w:tab/>
      </w:r>
      <w:r w:rsidRPr="00B73C84">
        <w:t xml:space="preserve">Refund of payments to </w:t>
      </w:r>
      <w:r w:rsidR="009D5A50" w:rsidRPr="00B73C84">
        <w:t xml:space="preserve">the </w:t>
      </w:r>
      <w:r w:rsidRPr="00B73C84">
        <w:t>ACMA</w:t>
      </w:r>
      <w:r w:rsidRPr="00B73C84">
        <w:tab/>
      </w:r>
      <w:r w:rsidRPr="00B73C84">
        <w:fldChar w:fldCharType="begin"/>
      </w:r>
      <w:r w:rsidRPr="00B73C84">
        <w:instrText xml:space="preserve"> PAGEREF _Toc156187177 \h </w:instrText>
      </w:r>
      <w:r w:rsidRPr="00B73C84">
        <w:fldChar w:fldCharType="separate"/>
      </w:r>
      <w:r w:rsidR="00A12138">
        <w:t>19</w:t>
      </w:r>
      <w:r w:rsidRPr="00B73C84">
        <w:fldChar w:fldCharType="end"/>
      </w:r>
    </w:p>
    <w:p w14:paraId="0159FE39" w14:textId="3C999404" w:rsidR="00DF1B35" w:rsidRPr="00B73C84" w:rsidRDefault="00DF1B35" w:rsidP="00DF1B35">
      <w:pPr>
        <w:pStyle w:val="TOC6"/>
        <w:rPr>
          <w:rFonts w:cs="Arial"/>
          <w:b w:val="0"/>
          <w:noProof/>
          <w:lang w:eastAsia="en-AU"/>
        </w:rPr>
      </w:pPr>
      <w:r w:rsidRPr="00B73C84">
        <w:rPr>
          <w:noProof/>
        </w:rPr>
        <w:t xml:space="preserve">Schedule </w:t>
      </w:r>
      <w:r w:rsidR="00D612AE">
        <w:rPr>
          <w:noProof/>
        </w:rPr>
        <w:t>1</w:t>
      </w:r>
      <w:r w:rsidRPr="00B73C84">
        <w:rPr>
          <w:rFonts w:ascii="Times New Roman" w:hAnsi="Times New Roman"/>
          <w:b w:val="0"/>
          <w:noProof/>
          <w:sz w:val="24"/>
          <w:lang w:eastAsia="en-AU"/>
        </w:rPr>
        <w:tab/>
      </w:r>
      <w:r w:rsidRPr="00B73C84">
        <w:rPr>
          <w:noProof/>
        </w:rPr>
        <w:t>Sample transmitter licence</w:t>
      </w:r>
      <w:r w:rsidRPr="00B73C84">
        <w:rPr>
          <w:noProof/>
        </w:rPr>
        <w:tab/>
      </w:r>
      <w:r w:rsidRPr="00B73C84">
        <w:rPr>
          <w:rFonts w:cs="Arial"/>
          <w:b w:val="0"/>
          <w:noProof/>
        </w:rPr>
        <w:fldChar w:fldCharType="begin"/>
      </w:r>
      <w:r w:rsidRPr="00B73C84">
        <w:rPr>
          <w:rFonts w:cs="Arial"/>
          <w:b w:val="0"/>
          <w:noProof/>
        </w:rPr>
        <w:instrText xml:space="preserve"> PAGEREF _Toc156187178 \h </w:instrText>
      </w:r>
      <w:r w:rsidRPr="00B73C84">
        <w:rPr>
          <w:rFonts w:cs="Arial"/>
          <w:b w:val="0"/>
          <w:noProof/>
        </w:rPr>
      </w:r>
      <w:r w:rsidRPr="00B73C84">
        <w:rPr>
          <w:rFonts w:cs="Arial"/>
          <w:b w:val="0"/>
          <w:noProof/>
        </w:rPr>
        <w:fldChar w:fldCharType="separate"/>
      </w:r>
      <w:r w:rsidR="00A12138">
        <w:rPr>
          <w:rFonts w:cs="Arial"/>
          <w:b w:val="0"/>
          <w:noProof/>
        </w:rPr>
        <w:t>20</w:t>
      </w:r>
      <w:r w:rsidRPr="00B73C84">
        <w:rPr>
          <w:rFonts w:cs="Arial"/>
          <w:b w:val="0"/>
          <w:noProof/>
        </w:rPr>
        <w:fldChar w:fldCharType="end"/>
      </w:r>
    </w:p>
    <w:p w14:paraId="747A73C5" w14:textId="77777777" w:rsidR="00DF1B35" w:rsidRPr="00B73C84" w:rsidRDefault="00DF1B35" w:rsidP="00DF1B35">
      <w:pPr>
        <w:pStyle w:val="TOC9"/>
        <w:ind w:left="0"/>
        <w:rPr>
          <w:rFonts w:cs="Arial"/>
          <w:b w:val="0"/>
          <w:noProof/>
          <w:lang w:eastAsia="en-AU"/>
        </w:rPr>
      </w:pPr>
      <w:r w:rsidRPr="00B73C84">
        <w:rPr>
          <w:noProof/>
        </w:rPr>
        <w:tab/>
      </w:r>
    </w:p>
    <w:p w14:paraId="18B84D13" w14:textId="77777777" w:rsidR="00DF1B35" w:rsidRPr="00B73C84" w:rsidRDefault="00DF1B35" w:rsidP="00DF1B35">
      <w:pPr>
        <w:pStyle w:val="TOC"/>
      </w:pPr>
      <w:r w:rsidRPr="00B73C84">
        <w:fldChar w:fldCharType="end"/>
      </w:r>
    </w:p>
    <w:p w14:paraId="71717E55" w14:textId="77777777" w:rsidR="00DF1B35" w:rsidRPr="00B73C84" w:rsidRDefault="00DF1B35" w:rsidP="00DF1B35">
      <w:pPr>
        <w:rPr>
          <w:lang w:val="en-US"/>
        </w:rPr>
      </w:pPr>
    </w:p>
    <w:p w14:paraId="2A087812" w14:textId="77777777" w:rsidR="00DF1B35" w:rsidRPr="00B73C84" w:rsidRDefault="00DF1B35" w:rsidP="00DF1B35">
      <w:pPr>
        <w:rPr>
          <w:lang w:val="en-US"/>
        </w:rPr>
      </w:pPr>
    </w:p>
    <w:p w14:paraId="21F30150" w14:textId="77777777" w:rsidR="00DF1B35" w:rsidRPr="00B73C84" w:rsidRDefault="00DF1B35" w:rsidP="00DF1B35">
      <w:pPr>
        <w:pStyle w:val="ContentsSectionBreak"/>
        <w:sectPr w:rsidR="00DF1B35" w:rsidRPr="00B73C84" w:rsidSect="00DF1B35">
          <w:headerReference w:type="even" r:id="rId14"/>
          <w:headerReference w:type="default" r:id="rId15"/>
          <w:footerReference w:type="even" r:id="rId16"/>
          <w:footerReference w:type="default" r:id="rId17"/>
          <w:pgSz w:w="11907" w:h="16839" w:code="9"/>
          <w:pgMar w:top="1440" w:right="1797" w:bottom="1440" w:left="1797" w:header="709" w:footer="709" w:gutter="0"/>
          <w:cols w:space="708"/>
          <w:titlePg/>
          <w:docGrid w:linePitch="360"/>
        </w:sectPr>
      </w:pPr>
      <w:bookmarkStart w:id="4" w:name="_Toc156187128"/>
    </w:p>
    <w:p w14:paraId="02862B70" w14:textId="77777777" w:rsidR="00DF1B35" w:rsidRPr="00B73C84" w:rsidRDefault="00DF1B35" w:rsidP="00DF1B35">
      <w:pPr>
        <w:rPr>
          <w:rFonts w:ascii="Arial" w:hAnsi="Arial" w:cs="Arial"/>
          <w:b/>
          <w:sz w:val="32"/>
          <w:szCs w:val="32"/>
        </w:rPr>
      </w:pPr>
      <w:r w:rsidRPr="00B73C84">
        <w:rPr>
          <w:rStyle w:val="CharPartNo"/>
          <w:rFonts w:ascii="Arial" w:hAnsi="Arial" w:cs="Arial"/>
          <w:b/>
          <w:sz w:val="32"/>
          <w:szCs w:val="32"/>
        </w:rPr>
        <w:t>Part 1</w:t>
      </w:r>
      <w:r w:rsidRPr="00B73C84">
        <w:rPr>
          <w:rFonts w:ascii="Arial" w:hAnsi="Arial" w:cs="Arial"/>
          <w:b/>
          <w:sz w:val="32"/>
          <w:szCs w:val="32"/>
        </w:rPr>
        <w:tab/>
      </w:r>
      <w:r w:rsidRPr="00B73C84">
        <w:rPr>
          <w:rStyle w:val="CharPartText"/>
        </w:rPr>
        <w:t>Preliminary</w:t>
      </w:r>
      <w:bookmarkEnd w:id="4"/>
    </w:p>
    <w:p w14:paraId="703D2533" w14:textId="77777777" w:rsidR="00DF1B35" w:rsidRPr="00B73C84" w:rsidRDefault="00DF1B35" w:rsidP="00DF1B35">
      <w:pPr>
        <w:pStyle w:val="HR"/>
        <w:tabs>
          <w:tab w:val="left" w:pos="0"/>
        </w:tabs>
        <w:rPr>
          <w:b w:val="0"/>
          <w:sz w:val="18"/>
        </w:rPr>
      </w:pPr>
      <w:bookmarkStart w:id="5" w:name="_Toc156187129"/>
      <w:r w:rsidRPr="00B73C84">
        <w:rPr>
          <w:rStyle w:val="CharSectno"/>
        </w:rPr>
        <w:t>1.1</w:t>
      </w:r>
      <w:r w:rsidRPr="00B73C84">
        <w:tab/>
      </w:r>
      <w:r w:rsidRPr="00B73C84">
        <w:rPr>
          <w:rStyle w:val="CharSchText"/>
        </w:rPr>
        <w:t>Name of Determination</w:t>
      </w:r>
      <w:r w:rsidRPr="00B73C84">
        <w:t xml:space="preserve"> </w:t>
      </w:r>
      <w:bookmarkEnd w:id="5"/>
    </w:p>
    <w:p w14:paraId="74C91A99" w14:textId="77777777" w:rsidR="00DF1B35" w:rsidRPr="00B73C84" w:rsidRDefault="00DF1B35" w:rsidP="00DF1B35">
      <w:pPr>
        <w:pStyle w:val="R1"/>
      </w:pPr>
      <w:r w:rsidRPr="00B73C84">
        <w:rPr>
          <w:b/>
        </w:rPr>
        <w:tab/>
      </w:r>
      <w:r w:rsidRPr="00B73C84">
        <w:rPr>
          <w:b/>
        </w:rPr>
        <w:tab/>
      </w:r>
      <w:r w:rsidRPr="00B73C84">
        <w:t xml:space="preserve">This Determination is the </w:t>
      </w:r>
      <w:proofErr w:type="spellStart"/>
      <w:r w:rsidRPr="00B73C84">
        <w:rPr>
          <w:i/>
        </w:rPr>
        <w:t>Radiocommunications</w:t>
      </w:r>
      <w:proofErr w:type="spellEnd"/>
      <w:r w:rsidRPr="00B73C84">
        <w:rPr>
          <w:i/>
        </w:rPr>
        <w:t xml:space="preserve"> (Allocation of Transmitter Licences - Low Power Open Narrowcasting Licences)</w:t>
      </w:r>
      <w:r w:rsidR="00320545" w:rsidRPr="00B73C84">
        <w:rPr>
          <w:i/>
        </w:rPr>
        <w:t xml:space="preserve"> </w:t>
      </w:r>
      <w:r w:rsidRPr="00B73C84">
        <w:rPr>
          <w:i/>
        </w:rPr>
        <w:t>Determination 2015.</w:t>
      </w:r>
    </w:p>
    <w:p w14:paraId="620E6747" w14:textId="77777777" w:rsidR="00DF1B35" w:rsidRPr="00B73C84" w:rsidRDefault="00DF1B35" w:rsidP="00DF1B35">
      <w:pPr>
        <w:pStyle w:val="HR"/>
        <w:tabs>
          <w:tab w:val="left" w:pos="0"/>
        </w:tabs>
      </w:pPr>
      <w:bookmarkStart w:id="6" w:name="_Toc156187130"/>
      <w:r w:rsidRPr="00B73C84">
        <w:rPr>
          <w:rStyle w:val="CharSectno"/>
        </w:rPr>
        <w:t>1.2</w:t>
      </w:r>
      <w:r w:rsidRPr="00B73C84">
        <w:tab/>
        <w:t>Commencement</w:t>
      </w:r>
      <w:bookmarkEnd w:id="6"/>
    </w:p>
    <w:p w14:paraId="5D9CE6D5" w14:textId="77777777" w:rsidR="00DF1B35" w:rsidRPr="00B73C84" w:rsidRDefault="00DF1B35" w:rsidP="00DF1B35">
      <w:pPr>
        <w:pStyle w:val="R1"/>
      </w:pPr>
      <w:r w:rsidRPr="00B73C84">
        <w:tab/>
      </w:r>
      <w:r w:rsidRPr="00B73C84">
        <w:tab/>
        <w:t>This Determination commences on the day after it is registered.</w:t>
      </w:r>
    </w:p>
    <w:p w14:paraId="675063A0" w14:textId="77777777" w:rsidR="00DF1B35" w:rsidRPr="00B73C84" w:rsidRDefault="00DF1B35" w:rsidP="00DF1B35">
      <w:pPr>
        <w:pStyle w:val="Note"/>
      </w:pPr>
      <w:r w:rsidRPr="00B73C84">
        <w:rPr>
          <w:i/>
        </w:rPr>
        <w:t>Note</w:t>
      </w:r>
      <w:r w:rsidRPr="00B73C84">
        <w:t xml:space="preserve">   All legislative instruments and compilations are registered on the Federal Register of Legislative Instruments kept under the </w:t>
      </w:r>
      <w:r w:rsidRPr="00B73C84">
        <w:rPr>
          <w:i/>
        </w:rPr>
        <w:t>Legislative Instruments Act</w:t>
      </w:r>
      <w:r w:rsidRPr="00810336">
        <w:rPr>
          <w:i/>
        </w:rPr>
        <w:t xml:space="preserve"> 2003</w:t>
      </w:r>
      <w:r w:rsidRPr="00B73C84">
        <w:t>. See http://www.frli.gov.au.</w:t>
      </w:r>
    </w:p>
    <w:p w14:paraId="120AE0B2" w14:textId="77777777" w:rsidR="00DF1B35" w:rsidRPr="00B73C84" w:rsidRDefault="00DF1B35" w:rsidP="00DF1B35">
      <w:pPr>
        <w:pStyle w:val="HR"/>
        <w:tabs>
          <w:tab w:val="left" w:pos="0"/>
        </w:tabs>
      </w:pPr>
      <w:bookmarkStart w:id="7" w:name="_Toc156187131"/>
      <w:r w:rsidRPr="00B73C84">
        <w:rPr>
          <w:rStyle w:val="CharSectno"/>
        </w:rPr>
        <w:t>1.3</w:t>
      </w:r>
      <w:r w:rsidRPr="00B73C84">
        <w:tab/>
        <w:t>Purpose</w:t>
      </w:r>
      <w:bookmarkEnd w:id="7"/>
    </w:p>
    <w:p w14:paraId="465AD1E6" w14:textId="7E8FFCF1" w:rsidR="00DF1B35" w:rsidRPr="00B73C84" w:rsidRDefault="00DF1B35" w:rsidP="00DF1B35">
      <w:pPr>
        <w:pStyle w:val="R1"/>
      </w:pPr>
      <w:r w:rsidRPr="00B73C84">
        <w:rPr>
          <w:b/>
        </w:rPr>
        <w:tab/>
      </w:r>
      <w:r w:rsidRPr="00B73C84">
        <w:rPr>
          <w:b/>
        </w:rPr>
        <w:tab/>
      </w:r>
      <w:r w:rsidRPr="00B73C84">
        <w:t>This Determination sets out a price-based allocation system for allocating lots that entitle a person to apply for a transmitter</w:t>
      </w:r>
      <w:r w:rsidR="00E012C5">
        <w:t xml:space="preserve"> licence for the provision of an </w:t>
      </w:r>
      <w:r w:rsidRPr="00B73C84">
        <w:t>L</w:t>
      </w:r>
      <w:r w:rsidR="00283A9E">
        <w:t>PON</w:t>
      </w:r>
      <w:r w:rsidRPr="00B73C84">
        <w:t xml:space="preserve"> service.</w:t>
      </w:r>
    </w:p>
    <w:p w14:paraId="2533381A" w14:textId="77777777" w:rsidR="00DF1B35" w:rsidRPr="00B73C84" w:rsidRDefault="00DF1B35" w:rsidP="00DF1B35">
      <w:pPr>
        <w:pStyle w:val="HR"/>
        <w:tabs>
          <w:tab w:val="left" w:pos="0"/>
        </w:tabs>
      </w:pPr>
      <w:bookmarkStart w:id="8" w:name="_Toc156187132"/>
      <w:r w:rsidRPr="00B73C84">
        <w:rPr>
          <w:rStyle w:val="CharSectno"/>
        </w:rPr>
        <w:t>1.4</w:t>
      </w:r>
      <w:r w:rsidRPr="00B73C84">
        <w:tab/>
        <w:t>Application of Determination</w:t>
      </w:r>
      <w:bookmarkEnd w:id="8"/>
    </w:p>
    <w:p w14:paraId="38FC053A" w14:textId="77777777" w:rsidR="00DF1B35" w:rsidRPr="00B73C84" w:rsidRDefault="00DF1B35" w:rsidP="00DF1B35">
      <w:pPr>
        <w:pStyle w:val="R1"/>
      </w:pPr>
      <w:r w:rsidRPr="00B73C84">
        <w:rPr>
          <w:b/>
        </w:rPr>
        <w:tab/>
      </w:r>
      <w:r w:rsidRPr="00B73C84">
        <w:rPr>
          <w:b/>
        </w:rPr>
        <w:tab/>
      </w:r>
      <w:r w:rsidRPr="00B73C84">
        <w:t>The ACMA may allocate lots and issue transmitter licences only in accordance with the price-based allocation system set out in this Determination.</w:t>
      </w:r>
    </w:p>
    <w:p w14:paraId="37615C5C" w14:textId="77777777" w:rsidR="00DF1B35" w:rsidRPr="00B73C84" w:rsidRDefault="00DF1B35" w:rsidP="00DF1B35">
      <w:pPr>
        <w:pStyle w:val="HR"/>
        <w:tabs>
          <w:tab w:val="left" w:pos="0"/>
        </w:tabs>
      </w:pPr>
      <w:bookmarkStart w:id="9" w:name="_Toc156187133"/>
      <w:r w:rsidRPr="00B73C84">
        <w:rPr>
          <w:rStyle w:val="CharSectno"/>
        </w:rPr>
        <w:t>1.5</w:t>
      </w:r>
      <w:r w:rsidRPr="00B73C84">
        <w:tab/>
      </w:r>
      <w:r w:rsidRPr="00B73C84">
        <w:rPr>
          <w:rStyle w:val="CharSchText"/>
        </w:rPr>
        <w:t>Definitions</w:t>
      </w:r>
      <w:bookmarkEnd w:id="9"/>
    </w:p>
    <w:p w14:paraId="2D210A8B" w14:textId="77777777" w:rsidR="00DF1B35" w:rsidRPr="00B73C84" w:rsidRDefault="00DF1B35" w:rsidP="00DF1B35">
      <w:pPr>
        <w:pStyle w:val="R1"/>
      </w:pPr>
      <w:r w:rsidRPr="00B73C84">
        <w:tab/>
        <w:t>(1)</w:t>
      </w:r>
      <w:r w:rsidRPr="00B73C84">
        <w:tab/>
        <w:t>In this Determination:</w:t>
      </w:r>
    </w:p>
    <w:p w14:paraId="679E3728" w14:textId="77777777" w:rsidR="00DF1B35" w:rsidRPr="00B73C84" w:rsidRDefault="00DF1B35" w:rsidP="00DF1B35">
      <w:pPr>
        <w:pStyle w:val="definition"/>
      </w:pPr>
      <w:r w:rsidRPr="00B73C84">
        <w:rPr>
          <w:b/>
          <w:i/>
        </w:rPr>
        <w:t xml:space="preserve">ACMA </w:t>
      </w:r>
      <w:r w:rsidRPr="00B73C84">
        <w:t>means the Australian Communications and Media Authority.</w:t>
      </w:r>
    </w:p>
    <w:p w14:paraId="74302322" w14:textId="77777777" w:rsidR="00DF1B35" w:rsidRPr="00B73C84" w:rsidRDefault="00DF1B35" w:rsidP="00DF1B35">
      <w:pPr>
        <w:pStyle w:val="definition"/>
        <w:tabs>
          <w:tab w:val="left" w:pos="0"/>
        </w:tabs>
        <w:rPr>
          <w:i/>
        </w:rPr>
      </w:pPr>
      <w:proofErr w:type="gramStart"/>
      <w:r w:rsidRPr="00B73C84">
        <w:rPr>
          <w:b/>
          <w:i/>
        </w:rPr>
        <w:t>application</w:t>
      </w:r>
      <w:proofErr w:type="gramEnd"/>
      <w:r w:rsidRPr="00B73C84">
        <w:rPr>
          <w:b/>
          <w:i/>
        </w:rPr>
        <w:t xml:space="preserve"> form</w:t>
      </w:r>
      <w:r w:rsidRPr="00B73C84">
        <w:rPr>
          <w:i/>
        </w:rPr>
        <w:t xml:space="preserve"> </w:t>
      </w:r>
      <w:r w:rsidRPr="00B73C84">
        <w:t xml:space="preserve">means the document approved by </w:t>
      </w:r>
      <w:r w:rsidR="00283A9E">
        <w:t xml:space="preserve">the </w:t>
      </w:r>
      <w:r w:rsidRPr="00B73C84">
        <w:t>ACMA under paragraph 2.4 (a).</w:t>
      </w:r>
    </w:p>
    <w:p w14:paraId="75C0B926" w14:textId="77777777" w:rsidR="00DF1B35" w:rsidRPr="00B73C84" w:rsidRDefault="00DF1B35" w:rsidP="00DF1B35">
      <w:pPr>
        <w:pStyle w:val="definition"/>
        <w:tabs>
          <w:tab w:val="left" w:pos="0"/>
        </w:tabs>
      </w:pPr>
      <w:proofErr w:type="gramStart"/>
      <w:r w:rsidRPr="00B73C84">
        <w:rPr>
          <w:b/>
          <w:i/>
        </w:rPr>
        <w:t>auction</w:t>
      </w:r>
      <w:proofErr w:type="gramEnd"/>
      <w:r w:rsidRPr="00B73C84">
        <w:rPr>
          <w:b/>
          <w:i/>
        </w:rPr>
        <w:t xml:space="preserve"> deposit</w:t>
      </w:r>
      <w:r w:rsidRPr="00B73C84">
        <w:t>, for a lot,</w:t>
      </w:r>
      <w:r w:rsidRPr="00B73C84">
        <w:rPr>
          <w:b/>
          <w:i/>
        </w:rPr>
        <w:t xml:space="preserve"> </w:t>
      </w:r>
      <w:r w:rsidRPr="00B73C84">
        <w:t xml:space="preserve">means the amount payable by an applicant set by </w:t>
      </w:r>
      <w:r w:rsidR="00E207E9" w:rsidRPr="00B73C84">
        <w:t xml:space="preserve">the </w:t>
      </w:r>
      <w:r w:rsidRPr="00B73C84">
        <w:t>ACMA under paragraph 2.2 (d).</w:t>
      </w:r>
    </w:p>
    <w:p w14:paraId="7D8BD2EC" w14:textId="77777777" w:rsidR="00DF1B35" w:rsidRPr="00B73C84" w:rsidRDefault="00DF1B35" w:rsidP="00DF1B35">
      <w:pPr>
        <w:pStyle w:val="definition"/>
        <w:tabs>
          <w:tab w:val="left" w:pos="0"/>
        </w:tabs>
      </w:pPr>
      <w:proofErr w:type="gramStart"/>
      <w:r w:rsidRPr="00B73C84">
        <w:rPr>
          <w:b/>
          <w:i/>
        </w:rPr>
        <w:t>auctioneer</w:t>
      </w:r>
      <w:proofErr w:type="gramEnd"/>
      <w:r w:rsidRPr="00B73C84">
        <w:t xml:space="preserve"> means the person appointed as auctioneer under section 4.3.</w:t>
      </w:r>
    </w:p>
    <w:p w14:paraId="7827AC21" w14:textId="77777777" w:rsidR="00DF1B35" w:rsidRPr="00B73C84" w:rsidRDefault="00DF1B35" w:rsidP="00DF1B35">
      <w:pPr>
        <w:pStyle w:val="definition"/>
        <w:tabs>
          <w:tab w:val="left" w:pos="0"/>
        </w:tabs>
      </w:pPr>
      <w:proofErr w:type="gramStart"/>
      <w:r w:rsidRPr="00B73C84">
        <w:rPr>
          <w:b/>
          <w:i/>
        </w:rPr>
        <w:t>balance</w:t>
      </w:r>
      <w:proofErr w:type="gramEnd"/>
      <w:r w:rsidRPr="00B73C84">
        <w:rPr>
          <w:b/>
          <w:i/>
        </w:rPr>
        <w:t xml:space="preserve"> of the bid price</w:t>
      </w:r>
      <w:r w:rsidRPr="00B73C84">
        <w:t>, for a lot, means the highest bid made by the successful applicant in an auction under Part 4, less the total of the auction deposit.</w:t>
      </w:r>
    </w:p>
    <w:p w14:paraId="25036CB2" w14:textId="77777777" w:rsidR="00DF1B35" w:rsidRPr="00B73C84" w:rsidRDefault="00DF1B35" w:rsidP="00DF1B35">
      <w:pPr>
        <w:pStyle w:val="definition"/>
        <w:tabs>
          <w:tab w:val="left" w:pos="0"/>
        </w:tabs>
      </w:pPr>
      <w:proofErr w:type="gramStart"/>
      <w:r w:rsidRPr="00B73C84">
        <w:rPr>
          <w:b/>
          <w:i/>
        </w:rPr>
        <w:t>bank</w:t>
      </w:r>
      <w:proofErr w:type="gramEnd"/>
      <w:r w:rsidRPr="00B73C84">
        <w:rPr>
          <w:b/>
          <w:i/>
        </w:rPr>
        <w:t xml:space="preserve"> transfer</w:t>
      </w:r>
      <w:r w:rsidRPr="00B73C84">
        <w:t xml:space="preserve">, for a payment, means making the payment by electronic transfer or by the real time gross settlement electronic payment system operated by the Reserve Bank of </w:t>
      </w:r>
      <w:smartTag w:uri="urn:schemas-microsoft-com:office:smarttags" w:element="country-region">
        <w:smartTag w:uri="urn:schemas-microsoft-com:office:smarttags" w:element="place">
          <w:r w:rsidRPr="00B73C84">
            <w:t>Australia</w:t>
          </w:r>
        </w:smartTag>
      </w:smartTag>
      <w:r w:rsidRPr="00B73C84">
        <w:t>.</w:t>
      </w:r>
    </w:p>
    <w:p w14:paraId="0F6DA223" w14:textId="77777777" w:rsidR="00DF1B35" w:rsidRPr="00B73C84" w:rsidRDefault="00DF1B35" w:rsidP="00DF1B35">
      <w:pPr>
        <w:pStyle w:val="definition"/>
        <w:tabs>
          <w:tab w:val="left" w:pos="0"/>
        </w:tabs>
      </w:pPr>
      <w:r w:rsidRPr="00B73C84">
        <w:rPr>
          <w:b/>
          <w:i/>
        </w:rPr>
        <w:t>bid price</w:t>
      </w:r>
      <w:r w:rsidRPr="00B73C84">
        <w:t xml:space="preserve">, for a lot, means the amount bid by or on behalf of the successful applicant in an auction under Part 4. </w:t>
      </w:r>
    </w:p>
    <w:p w14:paraId="7BF1D867" w14:textId="77777777" w:rsidR="00DF1B35" w:rsidRPr="00B73C84" w:rsidRDefault="00DF1B35" w:rsidP="00DF1B35">
      <w:pPr>
        <w:pStyle w:val="definition"/>
        <w:tabs>
          <w:tab w:val="left" w:pos="0"/>
        </w:tabs>
      </w:pPr>
      <w:r w:rsidRPr="00B73C84">
        <w:rPr>
          <w:b/>
          <w:i/>
        </w:rPr>
        <w:t>business day</w:t>
      </w:r>
      <w:r w:rsidRPr="00B73C84">
        <w:t xml:space="preserve"> means any day that is not a Saturday or Sunday or public holiday in the </w:t>
      </w:r>
      <w:smartTag w:uri="urn:schemas-microsoft-com:office:smarttags" w:element="State">
        <w:smartTag w:uri="urn:schemas-microsoft-com:office:smarttags" w:element="place">
          <w:r w:rsidRPr="00B73C84">
            <w:t>Australian Capital Territory</w:t>
          </w:r>
        </w:smartTag>
      </w:smartTag>
      <w:r w:rsidRPr="00B73C84">
        <w:t>.</w:t>
      </w:r>
    </w:p>
    <w:p w14:paraId="0807D065" w14:textId="77777777" w:rsidR="00DF1B35" w:rsidRPr="00B73C84" w:rsidRDefault="00DF1B35" w:rsidP="00DF1B35">
      <w:pPr>
        <w:pStyle w:val="definition"/>
        <w:tabs>
          <w:tab w:val="left" w:pos="0"/>
        </w:tabs>
        <w:sectPr w:rsidR="00DF1B35" w:rsidRPr="00B73C84" w:rsidSect="00320545">
          <w:headerReference w:type="default" r:id="rId18"/>
          <w:pgSz w:w="11907" w:h="16839" w:code="9"/>
          <w:pgMar w:top="1440" w:right="1797" w:bottom="1440" w:left="1797" w:header="720" w:footer="720" w:gutter="0"/>
          <w:cols w:space="708"/>
          <w:docGrid w:linePitch="360"/>
        </w:sectPr>
      </w:pPr>
      <w:r w:rsidRPr="00B73C84">
        <w:rPr>
          <w:b/>
          <w:i/>
        </w:rPr>
        <w:t>cheque</w:t>
      </w:r>
      <w:r w:rsidRPr="00B73C84">
        <w:t xml:space="preserve"> means a cheque — either personal or issued by a bank licensed to operate in </w:t>
      </w:r>
      <w:smartTag w:uri="urn:schemas-microsoft-com:office:smarttags" w:element="country-region">
        <w:smartTag w:uri="urn:schemas-microsoft-com:office:smarttags" w:element="place">
          <w:r w:rsidRPr="00B73C84">
            <w:t>Australia</w:t>
          </w:r>
        </w:smartTag>
      </w:smartTag>
      <w:r w:rsidRPr="00B73C84">
        <w:t>.</w:t>
      </w:r>
    </w:p>
    <w:p w14:paraId="2ED2789A" w14:textId="77777777" w:rsidR="00DF1B35" w:rsidRPr="00B73C84" w:rsidRDefault="00DF1B35" w:rsidP="00DF1B35">
      <w:pPr>
        <w:pStyle w:val="definition"/>
        <w:tabs>
          <w:tab w:val="left" w:pos="0"/>
        </w:tabs>
      </w:pPr>
      <w:r w:rsidRPr="00B73C84">
        <w:rPr>
          <w:b/>
          <w:i/>
        </w:rPr>
        <w:t>closing date</w:t>
      </w:r>
      <w:r w:rsidRPr="00B73C84">
        <w:t xml:space="preserve"> means the date and time advertised in the notice published by the ACMA under paragraph 2.1 (1) (c) as the date and time by which a person may give the ACMA an application form.</w:t>
      </w:r>
    </w:p>
    <w:p w14:paraId="5B69717A" w14:textId="77777777" w:rsidR="00DF1B35" w:rsidRPr="00B73C84" w:rsidRDefault="00DF1B35" w:rsidP="00DF1B35">
      <w:pPr>
        <w:pStyle w:val="definition"/>
        <w:tabs>
          <w:tab w:val="left" w:pos="0"/>
        </w:tabs>
      </w:pPr>
      <w:r w:rsidRPr="00B73C84">
        <w:rPr>
          <w:b/>
          <w:i/>
        </w:rPr>
        <w:t>company</w:t>
      </w:r>
      <w:r w:rsidRPr="00B73C84">
        <w:t xml:space="preserve"> has the same meaning as in the </w:t>
      </w:r>
      <w:r w:rsidRPr="00B73C84">
        <w:rPr>
          <w:i/>
        </w:rPr>
        <w:t>Corporations Act 2001</w:t>
      </w:r>
      <w:r w:rsidRPr="00B73C84">
        <w:t>.</w:t>
      </w:r>
    </w:p>
    <w:p w14:paraId="773344BC" w14:textId="77777777" w:rsidR="00DF1B35" w:rsidRPr="00B73C84" w:rsidRDefault="00DF1B35" w:rsidP="00DF1B35">
      <w:pPr>
        <w:pStyle w:val="definition"/>
        <w:tabs>
          <w:tab w:val="left" w:pos="0"/>
        </w:tabs>
      </w:pPr>
      <w:r w:rsidRPr="00B73C84">
        <w:rPr>
          <w:b/>
          <w:i/>
        </w:rPr>
        <w:t>Deed of Acknowledgment</w:t>
      </w:r>
      <w:r w:rsidRPr="00B73C84">
        <w:t xml:space="preserve"> means the document approved by the ACMA under paragraph  2.4 (b).</w:t>
      </w:r>
    </w:p>
    <w:p w14:paraId="04E0E453" w14:textId="77777777" w:rsidR="00DF1B35" w:rsidRPr="00B73C84" w:rsidRDefault="00DF1B35" w:rsidP="00DF1B35">
      <w:pPr>
        <w:pStyle w:val="definition"/>
        <w:tabs>
          <w:tab w:val="left" w:pos="0"/>
        </w:tabs>
      </w:pPr>
      <w:r w:rsidRPr="00B73C84">
        <w:rPr>
          <w:b/>
          <w:i/>
        </w:rPr>
        <w:t>entry fee</w:t>
      </w:r>
      <w:r w:rsidRPr="00B73C84">
        <w:t>, for an application for a lot, means the entry fee payable by an applicant set by the ACMA under paragraph 2.2 (a).</w:t>
      </w:r>
    </w:p>
    <w:p w14:paraId="42A3F9BA" w14:textId="77777777" w:rsidR="00DF1B35" w:rsidRPr="00B73C84" w:rsidRDefault="00DF1B35" w:rsidP="00DF1B35">
      <w:pPr>
        <w:pStyle w:val="definition"/>
        <w:tabs>
          <w:tab w:val="left" w:pos="0"/>
        </w:tabs>
      </w:pPr>
      <w:r w:rsidRPr="00B73C84">
        <w:rPr>
          <w:b/>
          <w:i/>
        </w:rPr>
        <w:t>Form of Authority</w:t>
      </w:r>
      <w:r w:rsidRPr="00B73C84">
        <w:t xml:space="preserve"> means the document approved by the ACMA under paragraph 2.4 (c).</w:t>
      </w:r>
    </w:p>
    <w:p w14:paraId="27B0298A" w14:textId="77777777" w:rsidR="00DF1B35" w:rsidRPr="00B73C84" w:rsidRDefault="00DF1B35" w:rsidP="00DF1B35">
      <w:pPr>
        <w:pStyle w:val="definition"/>
        <w:tabs>
          <w:tab w:val="left" w:pos="0"/>
        </w:tabs>
      </w:pPr>
      <w:r w:rsidRPr="00B73C84">
        <w:rPr>
          <w:b/>
          <w:i/>
        </w:rPr>
        <w:t>lot</w:t>
      </w:r>
      <w:r w:rsidRPr="00B73C84">
        <w:t xml:space="preserve"> means the right to be allocated a transmitter licence </w:t>
      </w:r>
      <w:r w:rsidR="00002F50">
        <w:t xml:space="preserve">authorising the operation of a transmitter on the frequency and from the site nominated by an applicant, </w:t>
      </w:r>
      <w:r w:rsidRPr="00B73C84">
        <w:t>in accordance with this Determination.</w:t>
      </w:r>
    </w:p>
    <w:p w14:paraId="72312F71" w14:textId="77777777" w:rsidR="00A12138" w:rsidRPr="00B73C84" w:rsidRDefault="00A12138" w:rsidP="00A12138">
      <w:pPr>
        <w:pStyle w:val="definition"/>
      </w:pPr>
      <w:r>
        <w:rPr>
          <w:b/>
          <w:i/>
        </w:rPr>
        <w:t xml:space="preserve">LPON </w:t>
      </w:r>
      <w:r w:rsidRPr="00B73C84">
        <w:rPr>
          <w:b/>
          <w:i/>
        </w:rPr>
        <w:t>Applicant Information Package</w:t>
      </w:r>
      <w:r w:rsidRPr="00B73C84">
        <w:t xml:space="preserve"> has the meaning given by section 2.3.</w:t>
      </w:r>
    </w:p>
    <w:p w14:paraId="2C366C39" w14:textId="77777777" w:rsidR="00DF1B35" w:rsidRPr="00B73C84" w:rsidRDefault="00DF1B35" w:rsidP="00DF1B35">
      <w:pPr>
        <w:pStyle w:val="definition"/>
        <w:tabs>
          <w:tab w:val="left" w:pos="0"/>
        </w:tabs>
        <w:rPr>
          <w:rStyle w:val="Emphasis"/>
        </w:rPr>
      </w:pPr>
      <w:r w:rsidRPr="00B73C84">
        <w:rPr>
          <w:b/>
          <w:i/>
        </w:rPr>
        <w:t>LPON</w:t>
      </w:r>
      <w:r w:rsidRPr="00B73C84">
        <w:t xml:space="preserve"> </w:t>
      </w:r>
      <w:r w:rsidR="00283A9E" w:rsidRPr="00E012C5">
        <w:rPr>
          <w:b/>
          <w:i/>
        </w:rPr>
        <w:t xml:space="preserve">service </w:t>
      </w:r>
      <w:r w:rsidRPr="00B73C84">
        <w:t xml:space="preserve">means a low power open narrowcasting service as defined in </w:t>
      </w:r>
      <w:r w:rsidRPr="00B73C84">
        <w:br/>
        <w:t xml:space="preserve">the </w:t>
      </w:r>
      <w:proofErr w:type="spellStart"/>
      <w:r w:rsidRPr="00B73C84">
        <w:rPr>
          <w:rStyle w:val="Emphasis"/>
        </w:rPr>
        <w:t>Radiocommunications</w:t>
      </w:r>
      <w:proofErr w:type="spellEnd"/>
      <w:r w:rsidRPr="00B73C84">
        <w:rPr>
          <w:rStyle w:val="Emphasis"/>
        </w:rPr>
        <w:t xml:space="preserve"> Licence Conditions (Broadcasting Licence) Determination No. 1 of 1998</w:t>
      </w:r>
      <w:r w:rsidR="00283A9E">
        <w:rPr>
          <w:rStyle w:val="Emphasis"/>
        </w:rPr>
        <w:t xml:space="preserve"> </w:t>
      </w:r>
      <w:r w:rsidR="00283A9E">
        <w:rPr>
          <w:rStyle w:val="Emphasis"/>
          <w:i w:val="0"/>
        </w:rPr>
        <w:t>as in force from time to time, or by any legislative instrument that replaces that Determination, as in force from time to time</w:t>
      </w:r>
      <w:r w:rsidRPr="00B73C84">
        <w:rPr>
          <w:rStyle w:val="Emphasis"/>
        </w:rPr>
        <w:t>.</w:t>
      </w:r>
    </w:p>
    <w:p w14:paraId="3EE29F6C" w14:textId="77777777" w:rsidR="00DF1B35" w:rsidRPr="00B73C84" w:rsidRDefault="00DF1B35" w:rsidP="00DF1B35">
      <w:pPr>
        <w:pStyle w:val="definition"/>
        <w:tabs>
          <w:tab w:val="left" w:pos="0"/>
        </w:tabs>
        <w:rPr>
          <w:b/>
        </w:rPr>
      </w:pPr>
      <w:r w:rsidRPr="00B73C84">
        <w:rPr>
          <w:b/>
          <w:i/>
        </w:rPr>
        <w:t>registered applicant</w:t>
      </w:r>
      <w:r w:rsidRPr="00B73C84">
        <w:t xml:space="preserve"> means an applicant who is registered under section 3.4.</w:t>
      </w:r>
    </w:p>
    <w:p w14:paraId="170ACE79" w14:textId="77777777" w:rsidR="00DF1B35" w:rsidRPr="00B73C84" w:rsidRDefault="00DF1B35" w:rsidP="00DF1B35">
      <w:pPr>
        <w:pStyle w:val="definition"/>
        <w:tabs>
          <w:tab w:val="left" w:pos="0"/>
        </w:tabs>
      </w:pPr>
      <w:r w:rsidRPr="00B73C84">
        <w:rPr>
          <w:b/>
          <w:i/>
        </w:rPr>
        <w:t>registered bidder</w:t>
      </w:r>
      <w:r w:rsidRPr="00B73C84">
        <w:t xml:space="preserve"> means an individual who is registered under section 4.10.</w:t>
      </w:r>
    </w:p>
    <w:p w14:paraId="149FC270" w14:textId="77777777" w:rsidR="00DF1B35" w:rsidRPr="00B73C84" w:rsidRDefault="00DF1B35" w:rsidP="00DF1B35">
      <w:pPr>
        <w:pStyle w:val="definition"/>
        <w:tabs>
          <w:tab w:val="left" w:pos="0"/>
        </w:tabs>
      </w:pPr>
      <w:r w:rsidRPr="00B73C84">
        <w:rPr>
          <w:b/>
          <w:i/>
        </w:rPr>
        <w:t>registrable body</w:t>
      </w:r>
      <w:r w:rsidRPr="00B73C84">
        <w:t xml:space="preserve"> has the same meaning as in the </w:t>
      </w:r>
      <w:r w:rsidRPr="00B73C84">
        <w:rPr>
          <w:i/>
        </w:rPr>
        <w:t>Corporations Act 2001</w:t>
      </w:r>
      <w:r w:rsidRPr="00B73C84">
        <w:t>.</w:t>
      </w:r>
    </w:p>
    <w:p w14:paraId="4FF30B4B" w14:textId="77777777" w:rsidR="00DF1B35" w:rsidRPr="00B73C84" w:rsidRDefault="00DF1B35" w:rsidP="00DF1B35">
      <w:pPr>
        <w:pStyle w:val="definition"/>
        <w:tabs>
          <w:tab w:val="left" w:pos="0"/>
        </w:tabs>
      </w:pPr>
      <w:r w:rsidRPr="00B73C84">
        <w:rPr>
          <w:b/>
          <w:i/>
        </w:rPr>
        <w:t>registration documents</w:t>
      </w:r>
      <w:r w:rsidRPr="00B73C84">
        <w:rPr>
          <w:i/>
        </w:rPr>
        <w:t xml:space="preserve"> </w:t>
      </w:r>
      <w:r w:rsidRPr="00B73C84">
        <w:t>means the documents set out in subsection 3.1 (2).</w:t>
      </w:r>
    </w:p>
    <w:p w14:paraId="3A051676" w14:textId="77777777" w:rsidR="00DF1B35" w:rsidRPr="00B73C84" w:rsidRDefault="00DF1B35" w:rsidP="00DF1B35">
      <w:pPr>
        <w:pStyle w:val="definition"/>
        <w:tabs>
          <w:tab w:val="left" w:pos="0"/>
        </w:tabs>
      </w:pPr>
      <w:r w:rsidRPr="00B73C84">
        <w:rPr>
          <w:b/>
          <w:i/>
        </w:rPr>
        <w:t>reserve price</w:t>
      </w:r>
      <w:r w:rsidRPr="00B73C84">
        <w:t xml:space="preserve"> means the price set for a lot by the ACMA under paragraph 2.2 (c).</w:t>
      </w:r>
    </w:p>
    <w:p w14:paraId="703B7B04" w14:textId="77777777" w:rsidR="00DF1B35" w:rsidRPr="00B73C84" w:rsidRDefault="00DF1B35" w:rsidP="00DF1B35">
      <w:pPr>
        <w:pStyle w:val="definition"/>
        <w:tabs>
          <w:tab w:val="left" w:pos="0"/>
        </w:tabs>
      </w:pPr>
      <w:r w:rsidRPr="00B73C84">
        <w:rPr>
          <w:b/>
          <w:i/>
        </w:rPr>
        <w:t>successful applicant</w:t>
      </w:r>
      <w:r w:rsidRPr="00B73C84">
        <w:t xml:space="preserve"> has the meaning given by subsection 4.11 (6) or subsection 5.2 (1), as the case may be. </w:t>
      </w:r>
    </w:p>
    <w:p w14:paraId="34EB339A" w14:textId="77777777" w:rsidR="00DF1B35" w:rsidRPr="00B73C84" w:rsidRDefault="00DF1B35" w:rsidP="00DF1B35">
      <w:pPr>
        <w:pStyle w:val="definition"/>
        <w:tabs>
          <w:tab w:val="left" w:pos="0"/>
        </w:tabs>
      </w:pPr>
      <w:r w:rsidRPr="00B73C84">
        <w:rPr>
          <w:b/>
          <w:i/>
        </w:rPr>
        <w:t>the Act</w:t>
      </w:r>
      <w:r w:rsidRPr="00B73C84">
        <w:t xml:space="preserve"> means the </w:t>
      </w:r>
      <w:proofErr w:type="spellStart"/>
      <w:r w:rsidRPr="00B73C84">
        <w:rPr>
          <w:i/>
        </w:rPr>
        <w:t>Radiocommunications</w:t>
      </w:r>
      <w:proofErr w:type="spellEnd"/>
      <w:r w:rsidRPr="00B73C84">
        <w:rPr>
          <w:i/>
        </w:rPr>
        <w:t xml:space="preserve"> Act 1992</w:t>
      </w:r>
      <w:r w:rsidRPr="00B73C84">
        <w:t>.</w:t>
      </w:r>
    </w:p>
    <w:p w14:paraId="3E276B32" w14:textId="26B34188" w:rsidR="00DF1B35" w:rsidRPr="00B73C84" w:rsidRDefault="00DF1B35" w:rsidP="00DF1B35">
      <w:pPr>
        <w:pStyle w:val="definition"/>
        <w:tabs>
          <w:tab w:val="left" w:pos="0"/>
        </w:tabs>
      </w:pPr>
      <w:r w:rsidRPr="00B73C84">
        <w:rPr>
          <w:rStyle w:val="Emphasis"/>
          <w:b/>
        </w:rPr>
        <w:t xml:space="preserve">the planning model </w:t>
      </w:r>
      <w:r w:rsidRPr="00B73C84">
        <w:rPr>
          <w:rStyle w:val="Emphasis"/>
          <w:i w:val="0"/>
        </w:rPr>
        <w:t xml:space="preserve">means the </w:t>
      </w:r>
      <w:r w:rsidRPr="00B73C84">
        <w:t>ACMA</w:t>
      </w:r>
      <w:r w:rsidRPr="00B73C84">
        <w:rPr>
          <w:rStyle w:val="Emphasis"/>
          <w:i w:val="0"/>
        </w:rPr>
        <w:t xml:space="preserve"> published model on the operation of LPON services, available at </w:t>
      </w:r>
      <w:r w:rsidR="00E012C5">
        <w:rPr>
          <w:rStyle w:val="Emphasis"/>
          <w:i w:val="0"/>
        </w:rPr>
        <w:t xml:space="preserve">the ACMA website: </w:t>
      </w:r>
      <w:r w:rsidR="00E012C5" w:rsidRPr="00B1316D">
        <w:t>http://</w:t>
      </w:r>
      <w:hyperlink r:id="rId19" w:history="1">
        <w:r w:rsidR="00E012C5" w:rsidRPr="00B1316D">
          <w:t>www.acma.gov.au</w:t>
        </w:r>
      </w:hyperlink>
      <w:r w:rsidR="00E012C5" w:rsidRPr="00B1316D">
        <w:t>/</w:t>
      </w:r>
      <w:r w:rsidRPr="00B1316D">
        <w:t>, as in force from time to time.</w:t>
      </w:r>
    </w:p>
    <w:p w14:paraId="09482540" w14:textId="77777777" w:rsidR="00DF1B35" w:rsidRPr="00B73C84" w:rsidRDefault="00DF1B35" w:rsidP="00DF1B35">
      <w:pPr>
        <w:pStyle w:val="definition"/>
        <w:tabs>
          <w:tab w:val="left" w:pos="0"/>
        </w:tabs>
      </w:pPr>
      <w:r w:rsidRPr="00B73C84">
        <w:rPr>
          <w:b/>
          <w:i/>
        </w:rPr>
        <w:t>transmitter licence</w:t>
      </w:r>
      <w:r w:rsidRPr="00B73C84">
        <w:t xml:space="preserve"> means an apparatus licence that authorises the operation of an LPON service in an area that the ACMA has decided is consistent with the planning model under section 3.6.</w:t>
      </w:r>
    </w:p>
    <w:p w14:paraId="2FC9B1B0" w14:textId="77777777" w:rsidR="00DF1B35" w:rsidRPr="00B73C84" w:rsidRDefault="00DF1B35" w:rsidP="00DF1B35">
      <w:pPr>
        <w:pStyle w:val="definition"/>
        <w:tabs>
          <w:tab w:val="left" w:pos="0"/>
        </w:tabs>
      </w:pPr>
      <w:r w:rsidRPr="00B73C84">
        <w:rPr>
          <w:b/>
          <w:i/>
        </w:rPr>
        <w:t>verified telephone bidder</w:t>
      </w:r>
      <w:r w:rsidRPr="00B73C84">
        <w:t xml:space="preserve"> means a registered applicant whose identity has been verified under subsection 4.8 (3).</w:t>
      </w:r>
    </w:p>
    <w:p w14:paraId="43BBD690" w14:textId="77777777" w:rsidR="00283A9E" w:rsidRPr="00337DD9" w:rsidRDefault="00DF1B35" w:rsidP="00DF1B35">
      <w:pPr>
        <w:pStyle w:val="R2"/>
      </w:pPr>
      <w:r w:rsidRPr="00B73C84">
        <w:tab/>
        <w:t>(2)</w:t>
      </w:r>
      <w:r w:rsidRPr="00B73C84">
        <w:tab/>
      </w:r>
      <w:r w:rsidR="00283A9E">
        <w:t xml:space="preserve">Unless the contrary intention appears, an expression used in this </w:t>
      </w:r>
      <w:r w:rsidR="00337DD9">
        <w:t xml:space="preserve">Determination and in the </w:t>
      </w:r>
      <w:proofErr w:type="spellStart"/>
      <w:r w:rsidR="00337DD9">
        <w:rPr>
          <w:i/>
        </w:rPr>
        <w:t>Radiocommunications</w:t>
      </w:r>
      <w:proofErr w:type="spellEnd"/>
      <w:r w:rsidR="00337DD9">
        <w:rPr>
          <w:i/>
        </w:rPr>
        <w:t xml:space="preserve"> (Interpretation) Determination 2015</w:t>
      </w:r>
      <w:r w:rsidR="00337DD9" w:rsidRPr="00B1316D">
        <w:t>, or in the</w:t>
      </w:r>
      <w:r w:rsidR="00337DD9">
        <w:rPr>
          <w:i/>
        </w:rPr>
        <w:t xml:space="preserve"> </w:t>
      </w:r>
      <w:proofErr w:type="spellStart"/>
      <w:r w:rsidR="00337DD9">
        <w:rPr>
          <w:i/>
        </w:rPr>
        <w:t>Radiocommunications</w:t>
      </w:r>
      <w:proofErr w:type="spellEnd"/>
      <w:r w:rsidR="00337DD9">
        <w:rPr>
          <w:i/>
        </w:rPr>
        <w:t xml:space="preserve"> Regulations 1993</w:t>
      </w:r>
      <w:r w:rsidR="00337DD9">
        <w:t>, has the same meaning in this Determination as in those instruments.</w:t>
      </w:r>
    </w:p>
    <w:p w14:paraId="18233B11" w14:textId="77777777" w:rsidR="00DF1B35" w:rsidRPr="00B73C84" w:rsidRDefault="00283A9E" w:rsidP="00DF1B35">
      <w:pPr>
        <w:pStyle w:val="R2"/>
      </w:pPr>
      <w:r>
        <w:tab/>
        <w:t>(3)</w:t>
      </w:r>
      <w:r>
        <w:tab/>
      </w:r>
      <w:r w:rsidR="00DF1B35" w:rsidRPr="00B73C84">
        <w:t>Headings and notes used in this Determination do not form part of the Determination.</w:t>
      </w:r>
    </w:p>
    <w:p w14:paraId="1A9DAC1B" w14:textId="77777777" w:rsidR="00DF1B35" w:rsidRPr="00B73C84" w:rsidRDefault="00DF1B35" w:rsidP="00DF1B35">
      <w:pPr>
        <w:pStyle w:val="HR"/>
        <w:jc w:val="both"/>
      </w:pPr>
      <w:r w:rsidRPr="00B73C84">
        <w:rPr>
          <w:rStyle w:val="CharSectno"/>
        </w:rPr>
        <w:t>1.6</w:t>
      </w:r>
      <w:r w:rsidRPr="00B73C84">
        <w:tab/>
      </w:r>
      <w:r w:rsidRPr="00B73C84">
        <w:rPr>
          <w:rStyle w:val="CharSchText"/>
        </w:rPr>
        <w:t>Revocation of previous Determination</w:t>
      </w:r>
    </w:p>
    <w:p w14:paraId="2DE052BD" w14:textId="77777777" w:rsidR="00DF1B35" w:rsidRPr="00B73C84" w:rsidRDefault="00DF1B35" w:rsidP="00DF1B35">
      <w:pPr>
        <w:pStyle w:val="R1"/>
      </w:pPr>
      <w:r w:rsidRPr="00B73C84">
        <w:tab/>
      </w:r>
      <w:r w:rsidRPr="00B73C84">
        <w:tab/>
        <w:t xml:space="preserve">The </w:t>
      </w:r>
      <w:proofErr w:type="spellStart"/>
      <w:r w:rsidRPr="00B73C84">
        <w:rPr>
          <w:i/>
          <w:iCs/>
        </w:rPr>
        <w:t>Radiocommunications</w:t>
      </w:r>
      <w:proofErr w:type="spellEnd"/>
      <w:r w:rsidRPr="00B73C84">
        <w:rPr>
          <w:i/>
          <w:iCs/>
        </w:rPr>
        <w:t xml:space="preserve"> (Broadcasting (Low Power Open Narrowcasting) Transmitter Licence — Allocation) Determination 2001 </w:t>
      </w:r>
      <w:r w:rsidRPr="00B73C84">
        <w:t xml:space="preserve">(Federal Register of Legislative Instruments No. F2005B00309) </w:t>
      </w:r>
      <w:r w:rsidRPr="00B73C84">
        <w:rPr>
          <w:i/>
        </w:rPr>
        <w:t xml:space="preserve"> </w:t>
      </w:r>
      <w:r w:rsidRPr="00B73C84">
        <w:t>is revoked.</w:t>
      </w:r>
    </w:p>
    <w:p w14:paraId="11D2E8B7" w14:textId="77777777" w:rsidR="00DF1B35" w:rsidRPr="00B73C84" w:rsidRDefault="00DF1B35" w:rsidP="00DF1B35">
      <w:pPr>
        <w:pStyle w:val="HP"/>
        <w:ind w:left="0" w:firstLine="0"/>
        <w:rPr>
          <w:rStyle w:val="CharPartNo"/>
        </w:rPr>
        <w:sectPr w:rsidR="00DF1B35" w:rsidRPr="00B73C84" w:rsidSect="00DF1B35">
          <w:headerReference w:type="default" r:id="rId20"/>
          <w:type w:val="continuous"/>
          <w:pgSz w:w="11907" w:h="16839" w:code="9"/>
          <w:pgMar w:top="1440" w:right="1797" w:bottom="1440" w:left="1797" w:header="720" w:footer="720" w:gutter="0"/>
          <w:cols w:space="708"/>
          <w:docGrid w:linePitch="360"/>
        </w:sectPr>
      </w:pPr>
    </w:p>
    <w:p w14:paraId="633675F7" w14:textId="77777777" w:rsidR="00DF1B35" w:rsidRPr="00B73C84" w:rsidRDefault="00DF1B35" w:rsidP="00DF1B35">
      <w:pPr>
        <w:pStyle w:val="HP"/>
        <w:pageBreakBefore/>
        <w:tabs>
          <w:tab w:val="left" w:pos="0"/>
        </w:tabs>
        <w:ind w:left="1418" w:hanging="1418"/>
        <w:rPr>
          <w:b w:val="0"/>
        </w:rPr>
      </w:pPr>
      <w:bookmarkStart w:id="10" w:name="_Toc156187134"/>
      <w:r w:rsidRPr="00B73C84">
        <w:rPr>
          <w:rStyle w:val="CharPartNo"/>
        </w:rPr>
        <w:t>Part 2</w:t>
      </w:r>
      <w:r w:rsidRPr="00B73C84">
        <w:rPr>
          <w:b w:val="0"/>
        </w:rPr>
        <w:tab/>
      </w:r>
      <w:r w:rsidRPr="00B73C84">
        <w:rPr>
          <w:rStyle w:val="CharPartText"/>
          <w:b/>
        </w:rPr>
        <w:t>Preparing for the allocation</w:t>
      </w:r>
      <w:bookmarkEnd w:id="10"/>
    </w:p>
    <w:p w14:paraId="3B587B7E" w14:textId="77777777" w:rsidR="00DF1B35" w:rsidRPr="00B73C84" w:rsidRDefault="00DF1B35" w:rsidP="00DF1B35">
      <w:pPr>
        <w:pStyle w:val="HR"/>
        <w:tabs>
          <w:tab w:val="left" w:pos="0"/>
        </w:tabs>
      </w:pPr>
      <w:bookmarkStart w:id="11" w:name="_Toc156187135"/>
      <w:r w:rsidRPr="00B73C84">
        <w:rPr>
          <w:rStyle w:val="CharSectno"/>
        </w:rPr>
        <w:t>2.1</w:t>
      </w:r>
      <w:r w:rsidRPr="00B73C84">
        <w:tab/>
      </w:r>
      <w:r w:rsidRPr="00B73C84">
        <w:rPr>
          <w:rStyle w:val="CharSchText"/>
        </w:rPr>
        <w:t>Publication of notice by the ACMA</w:t>
      </w:r>
      <w:bookmarkEnd w:id="11"/>
    </w:p>
    <w:p w14:paraId="4C8666CA" w14:textId="77777777" w:rsidR="00DF1B35" w:rsidRPr="00B73C84" w:rsidRDefault="00DF1B35" w:rsidP="00DF1B35">
      <w:pPr>
        <w:pStyle w:val="R1"/>
      </w:pPr>
      <w:r w:rsidRPr="00B73C84">
        <w:tab/>
        <w:t>(1)</w:t>
      </w:r>
      <w:r w:rsidRPr="00B73C84">
        <w:tab/>
        <w:t>Before holding an allocation, the ACMA must publish a notice in any way that the ACMA deems appropriate:</w:t>
      </w:r>
    </w:p>
    <w:p w14:paraId="5B22414D" w14:textId="77777777" w:rsidR="00DF1B35" w:rsidRPr="00B73C84" w:rsidRDefault="00DF1B35" w:rsidP="00DF1B35">
      <w:pPr>
        <w:pStyle w:val="P1"/>
      </w:pPr>
      <w:r w:rsidRPr="00B73C84">
        <w:tab/>
        <w:t>(a)</w:t>
      </w:r>
      <w:r w:rsidRPr="00B73C84">
        <w:tab/>
        <w:t xml:space="preserve">containing an invitation to apply for potential transmitter licences for LPON services to be determined under the planning model; </w:t>
      </w:r>
    </w:p>
    <w:p w14:paraId="4C3012B8" w14:textId="77777777" w:rsidR="00DF1B35" w:rsidRPr="00B73C84" w:rsidRDefault="00DF1B35" w:rsidP="00DF1B35">
      <w:pPr>
        <w:pStyle w:val="P1"/>
      </w:pPr>
      <w:r w:rsidRPr="00B73C84">
        <w:tab/>
        <w:t>(b)</w:t>
      </w:r>
      <w:r w:rsidRPr="00B73C84">
        <w:tab/>
        <w:t xml:space="preserve">giving a brief description of the way the allocation will be conducted; </w:t>
      </w:r>
    </w:p>
    <w:p w14:paraId="6B4AFE53" w14:textId="77777777" w:rsidR="00DF1B35" w:rsidRPr="00B73C84" w:rsidRDefault="00DF1B35" w:rsidP="00DF1B35">
      <w:pPr>
        <w:pStyle w:val="P1"/>
      </w:pPr>
      <w:r w:rsidRPr="00B73C84">
        <w:tab/>
        <w:t>(c)</w:t>
      </w:r>
      <w:r w:rsidRPr="00B73C84">
        <w:tab/>
        <w:t xml:space="preserve">stating the closing date and time for applications; </w:t>
      </w:r>
    </w:p>
    <w:p w14:paraId="370B9C0E" w14:textId="77777777" w:rsidR="00DF1B35" w:rsidRPr="00B73C84" w:rsidRDefault="00DF1B35" w:rsidP="00DF1B35">
      <w:pPr>
        <w:pStyle w:val="P1"/>
      </w:pPr>
      <w:r w:rsidRPr="00B73C84">
        <w:tab/>
        <w:t>(d)</w:t>
      </w:r>
      <w:r w:rsidRPr="00B73C84">
        <w:tab/>
        <w:t xml:space="preserve">stating </w:t>
      </w:r>
      <w:r w:rsidR="00E207E9" w:rsidRPr="00B73C84">
        <w:t xml:space="preserve">that </w:t>
      </w:r>
      <w:r w:rsidRPr="00B73C84">
        <w:t xml:space="preserve">the lots will be determined and allocated in accordance with this Determination; </w:t>
      </w:r>
    </w:p>
    <w:p w14:paraId="536EA01F" w14:textId="77777777" w:rsidR="00DF1B35" w:rsidRPr="00B73C84" w:rsidRDefault="00DF1B35" w:rsidP="00DF1B35">
      <w:pPr>
        <w:pStyle w:val="P1"/>
      </w:pPr>
      <w:r w:rsidRPr="00B73C84">
        <w:tab/>
        <w:t>(e)</w:t>
      </w:r>
      <w:r w:rsidRPr="00B73C84">
        <w:tab/>
        <w:t>stating that an applicant may bid only on a lot that has been nominated by that applicant in response to the invitation and determined under the planning model; and</w:t>
      </w:r>
    </w:p>
    <w:p w14:paraId="5601B9B3" w14:textId="56478CEC" w:rsidR="00DF1B35" w:rsidRPr="00B73C84" w:rsidRDefault="00DF1B35" w:rsidP="00DF1B35">
      <w:pPr>
        <w:pStyle w:val="P1"/>
      </w:pPr>
      <w:r w:rsidRPr="00B73C84">
        <w:tab/>
        <w:t>(f)</w:t>
      </w:r>
      <w:r w:rsidRPr="00B73C84">
        <w:tab/>
        <w:t xml:space="preserve">stating that further information (the </w:t>
      </w:r>
      <w:r w:rsidR="0089300E">
        <w:t xml:space="preserve">LPON </w:t>
      </w:r>
      <w:r w:rsidRPr="00B1316D">
        <w:t>Applicant Information Package</w:t>
      </w:r>
      <w:r w:rsidRPr="00B73C84">
        <w:t>) can be obtained from the ACMA at the address given in the notice.</w:t>
      </w:r>
    </w:p>
    <w:p w14:paraId="1B3DEC36" w14:textId="77777777" w:rsidR="00DF1B35" w:rsidRPr="00B73C84" w:rsidRDefault="00DF1B35" w:rsidP="00DF1B35">
      <w:pPr>
        <w:pStyle w:val="R2"/>
      </w:pPr>
      <w:r w:rsidRPr="00B73C84">
        <w:tab/>
        <w:t>(2)</w:t>
      </w:r>
      <w:r w:rsidRPr="00B73C84">
        <w:tab/>
        <w:t>If there is a change in a matter mentioned in the notice, the ACMA must publish another notice giving details of the change in any way that the ACMA deems appropriate.</w:t>
      </w:r>
    </w:p>
    <w:p w14:paraId="319B8179" w14:textId="77777777" w:rsidR="00DF1B35" w:rsidRPr="00B73C84" w:rsidRDefault="00DF1B35" w:rsidP="00DF1B35">
      <w:pPr>
        <w:pStyle w:val="R2"/>
      </w:pPr>
      <w:r w:rsidRPr="00B73C84">
        <w:tab/>
        <w:t>(3)</w:t>
      </w:r>
      <w:r w:rsidRPr="00B73C84">
        <w:tab/>
        <w:t>The ACMA may also publish other information about allocations in any way that the ACMA deems appropriate.</w:t>
      </w:r>
    </w:p>
    <w:p w14:paraId="35C2DF17" w14:textId="77777777" w:rsidR="00DF1B35" w:rsidRPr="00B73C84" w:rsidRDefault="00DF1B35" w:rsidP="00DF1B35">
      <w:pPr>
        <w:pStyle w:val="HR"/>
        <w:tabs>
          <w:tab w:val="left" w:pos="0"/>
        </w:tabs>
      </w:pPr>
      <w:bookmarkStart w:id="12" w:name="_Toc156187136"/>
      <w:r w:rsidRPr="00B73C84">
        <w:rPr>
          <w:rStyle w:val="CharSectno"/>
        </w:rPr>
        <w:t>2.2</w:t>
      </w:r>
      <w:r w:rsidRPr="00B73C84">
        <w:tab/>
        <w:t>Entry fee, closing date, reserve price and auction deposit amount</w:t>
      </w:r>
      <w:bookmarkEnd w:id="12"/>
    </w:p>
    <w:p w14:paraId="0FF550EC" w14:textId="77777777" w:rsidR="00DF1B35" w:rsidRPr="00B73C84" w:rsidRDefault="00DF1B35" w:rsidP="00DF1B35">
      <w:pPr>
        <w:pStyle w:val="R1"/>
      </w:pPr>
      <w:r w:rsidRPr="00B73C84">
        <w:rPr>
          <w:b/>
        </w:rPr>
        <w:tab/>
      </w:r>
      <w:r w:rsidRPr="00B73C84">
        <w:rPr>
          <w:b/>
        </w:rPr>
        <w:tab/>
      </w:r>
      <w:r w:rsidRPr="00B73C84">
        <w:t>Before the ACMA</w:t>
      </w:r>
      <w:r w:rsidRPr="00B73C84">
        <w:rPr>
          <w:b/>
        </w:rPr>
        <w:t xml:space="preserve"> </w:t>
      </w:r>
      <w:r w:rsidRPr="00B73C84">
        <w:t>publishes a notice pursuant to subsection 2.1 (1)</w:t>
      </w:r>
      <w:r w:rsidRPr="00B73C84">
        <w:rPr>
          <w:b/>
        </w:rPr>
        <w:t xml:space="preserve"> </w:t>
      </w:r>
      <w:r w:rsidRPr="00B73C84">
        <w:t>the</w:t>
      </w:r>
      <w:r w:rsidRPr="00B73C84">
        <w:rPr>
          <w:b/>
        </w:rPr>
        <w:t xml:space="preserve"> </w:t>
      </w:r>
      <w:r w:rsidRPr="00B73C84">
        <w:t>ACMA must, in writing, set:</w:t>
      </w:r>
    </w:p>
    <w:p w14:paraId="512E1FDC" w14:textId="77777777" w:rsidR="00DF1B35" w:rsidRPr="00B73C84" w:rsidRDefault="00DF1B35" w:rsidP="00DF1B35">
      <w:pPr>
        <w:pStyle w:val="P1"/>
      </w:pPr>
      <w:r w:rsidRPr="00B73C84">
        <w:tab/>
        <w:t>(a)</w:t>
      </w:r>
      <w:r w:rsidRPr="00B73C84">
        <w:tab/>
        <w:t xml:space="preserve">the amount of the entry fee in respect of an application for a lot; </w:t>
      </w:r>
    </w:p>
    <w:p w14:paraId="7189289D" w14:textId="77777777" w:rsidR="00DF1B35" w:rsidRPr="00B73C84" w:rsidRDefault="00DF1B35" w:rsidP="00DF1B35">
      <w:pPr>
        <w:pStyle w:val="P1"/>
      </w:pPr>
      <w:r w:rsidRPr="00B73C84">
        <w:tab/>
        <w:t>(b)</w:t>
      </w:r>
      <w:r w:rsidRPr="00B73C84">
        <w:tab/>
        <w:t xml:space="preserve">the closing date and time for applications; </w:t>
      </w:r>
    </w:p>
    <w:p w14:paraId="35E80C3E" w14:textId="77777777" w:rsidR="00DF1B35" w:rsidRPr="00B73C84" w:rsidRDefault="00DF1B35" w:rsidP="00DF1B35">
      <w:pPr>
        <w:pStyle w:val="P1"/>
      </w:pPr>
      <w:r w:rsidRPr="00B73C84">
        <w:tab/>
        <w:t>(c)</w:t>
      </w:r>
      <w:r w:rsidRPr="00B73C84">
        <w:tab/>
        <w:t>the reserve price for each lot; and</w:t>
      </w:r>
    </w:p>
    <w:p w14:paraId="222A6E15" w14:textId="77777777" w:rsidR="00DF1B35" w:rsidRPr="00B73C84" w:rsidRDefault="00DF1B35" w:rsidP="00DF1B35">
      <w:pPr>
        <w:pStyle w:val="P1"/>
      </w:pPr>
      <w:r w:rsidRPr="00B73C84">
        <w:tab/>
        <w:t>(d)</w:t>
      </w:r>
      <w:r w:rsidRPr="00B73C84">
        <w:tab/>
        <w:t>the amount of the auction deposit for each lot.</w:t>
      </w:r>
    </w:p>
    <w:p w14:paraId="50CDE103" w14:textId="71F2628F" w:rsidR="00DF1B35" w:rsidRPr="00B73C84" w:rsidRDefault="00DF1B35" w:rsidP="00DF1B35">
      <w:pPr>
        <w:pStyle w:val="HR"/>
        <w:keepLines/>
        <w:tabs>
          <w:tab w:val="left" w:pos="0"/>
        </w:tabs>
      </w:pPr>
      <w:bookmarkStart w:id="13" w:name="_Toc156187137"/>
      <w:r w:rsidRPr="00B73C84">
        <w:rPr>
          <w:rStyle w:val="CharSectno"/>
        </w:rPr>
        <w:t>2.3</w:t>
      </w:r>
      <w:r w:rsidRPr="00B73C84">
        <w:tab/>
      </w:r>
      <w:r w:rsidR="00B1316D">
        <w:t xml:space="preserve">LPON </w:t>
      </w:r>
      <w:r w:rsidRPr="00B73C84">
        <w:t>Applicant Information Package</w:t>
      </w:r>
      <w:bookmarkEnd w:id="13"/>
    </w:p>
    <w:p w14:paraId="053E1193" w14:textId="5C5BF750" w:rsidR="00DF1B35" w:rsidRPr="00B73C84" w:rsidRDefault="00DF1B35" w:rsidP="00DF1B35">
      <w:pPr>
        <w:pStyle w:val="R1"/>
      </w:pPr>
      <w:r w:rsidRPr="00B73C84">
        <w:tab/>
        <w:t>(1)</w:t>
      </w:r>
      <w:r w:rsidRPr="00B73C84">
        <w:tab/>
        <w:t xml:space="preserve">The </w:t>
      </w:r>
      <w:r w:rsidR="00BE2828">
        <w:t xml:space="preserve">LPON </w:t>
      </w:r>
      <w:r w:rsidRPr="00B73C84">
        <w:t>Applicant Information Package must contain the following information and documents:</w:t>
      </w:r>
    </w:p>
    <w:p w14:paraId="3934F3F1" w14:textId="77777777" w:rsidR="00DF1B35" w:rsidRPr="00B73C84" w:rsidRDefault="00DF1B35" w:rsidP="00DF1B35">
      <w:pPr>
        <w:pStyle w:val="P1"/>
      </w:pPr>
      <w:r w:rsidRPr="00B73C84">
        <w:tab/>
        <w:t>(a)</w:t>
      </w:r>
      <w:r w:rsidRPr="00B73C84">
        <w:tab/>
        <w:t xml:space="preserve">a guide to the allocation system; </w:t>
      </w:r>
    </w:p>
    <w:p w14:paraId="3F7F3F97" w14:textId="77777777" w:rsidR="00DF1B35" w:rsidRPr="00B73C84" w:rsidRDefault="00DF1B35" w:rsidP="00DF1B35">
      <w:pPr>
        <w:pStyle w:val="P1"/>
      </w:pPr>
      <w:r w:rsidRPr="00B73C84">
        <w:tab/>
        <w:t>(b)</w:t>
      </w:r>
      <w:r w:rsidRPr="00B73C84">
        <w:tab/>
        <w:t xml:space="preserve">this Determination; </w:t>
      </w:r>
    </w:p>
    <w:p w14:paraId="0FB751EF" w14:textId="77777777" w:rsidR="00DF1B35" w:rsidRPr="00B73C84" w:rsidRDefault="00DF1B35" w:rsidP="00DF1B35">
      <w:pPr>
        <w:pStyle w:val="P1"/>
      </w:pPr>
      <w:r w:rsidRPr="00B73C84">
        <w:tab/>
        <w:t>(c)</w:t>
      </w:r>
      <w:r w:rsidRPr="00B73C84">
        <w:tab/>
        <w:t xml:space="preserve">the application form, with instructions for completing and lodging the form; </w:t>
      </w:r>
    </w:p>
    <w:p w14:paraId="06CEFBA5" w14:textId="77777777" w:rsidR="00DF1B35" w:rsidRPr="00B73C84" w:rsidRDefault="00DF1B35" w:rsidP="00DF1B35">
      <w:pPr>
        <w:pStyle w:val="P1"/>
      </w:pPr>
      <w:r w:rsidRPr="00B73C84">
        <w:tab/>
        <w:t>(d)</w:t>
      </w:r>
      <w:r w:rsidRPr="00B73C84">
        <w:tab/>
        <w:t xml:space="preserve">the Deed of Acknowledgment; </w:t>
      </w:r>
    </w:p>
    <w:p w14:paraId="4D9896CC" w14:textId="77777777" w:rsidR="00DF1B35" w:rsidRPr="00B73C84" w:rsidRDefault="00DF1B35" w:rsidP="00DF1B35">
      <w:pPr>
        <w:pStyle w:val="P1"/>
      </w:pPr>
      <w:r w:rsidRPr="00B73C84">
        <w:tab/>
        <w:t>(e)</w:t>
      </w:r>
      <w:r w:rsidRPr="00B73C84">
        <w:tab/>
        <w:t xml:space="preserve">the Form of Authority; </w:t>
      </w:r>
    </w:p>
    <w:p w14:paraId="71DDF03D" w14:textId="77777777" w:rsidR="00DF1B35" w:rsidRPr="00B73C84" w:rsidRDefault="00DF1B35" w:rsidP="00DF1B35">
      <w:pPr>
        <w:pStyle w:val="P1"/>
      </w:pPr>
      <w:r w:rsidRPr="00B73C84">
        <w:tab/>
        <w:t>(f)</w:t>
      </w:r>
      <w:r w:rsidRPr="00B73C84">
        <w:tab/>
        <w:t>the amount of the entry fee set by the ACMA under paragraph 2.2 (a);</w:t>
      </w:r>
    </w:p>
    <w:p w14:paraId="6A565615" w14:textId="77777777" w:rsidR="00DF1B35" w:rsidRPr="00B73C84" w:rsidRDefault="00DF1B35" w:rsidP="00DF1B35">
      <w:pPr>
        <w:pStyle w:val="P1"/>
      </w:pPr>
      <w:r w:rsidRPr="00B73C84">
        <w:tab/>
        <w:t>(g)</w:t>
      </w:r>
      <w:r w:rsidRPr="00B73C84">
        <w:tab/>
        <w:t>the closing date and time set by the ACMA under paragraph 2.2 (b);</w:t>
      </w:r>
    </w:p>
    <w:p w14:paraId="0D3162A3" w14:textId="77777777" w:rsidR="00DF1B35" w:rsidRPr="00B73C84" w:rsidRDefault="00DF1B35" w:rsidP="00DF1B35">
      <w:pPr>
        <w:pStyle w:val="P1"/>
      </w:pPr>
      <w:r w:rsidRPr="00B73C84">
        <w:tab/>
        <w:t>(h)</w:t>
      </w:r>
      <w:r w:rsidRPr="00B73C84">
        <w:tab/>
        <w:t>the reserve price amounts set by the ACMA under paragraph 2.2 (c);</w:t>
      </w:r>
    </w:p>
    <w:p w14:paraId="3AA1B61F" w14:textId="77777777" w:rsidR="00DF1B35" w:rsidRPr="00B73C84" w:rsidRDefault="00DF1B35" w:rsidP="00DF1B35">
      <w:pPr>
        <w:pStyle w:val="P1"/>
      </w:pPr>
      <w:r w:rsidRPr="00B73C84">
        <w:tab/>
        <w:t>(</w:t>
      </w:r>
      <w:proofErr w:type="spellStart"/>
      <w:r w:rsidRPr="00B73C84">
        <w:t>i</w:t>
      </w:r>
      <w:proofErr w:type="spellEnd"/>
      <w:r w:rsidRPr="00B73C84">
        <w:t>)</w:t>
      </w:r>
      <w:r w:rsidRPr="00B73C84">
        <w:tab/>
        <w:t>the auction deposit amounts set by the ACMA under paragraph 2.2 (d); and</w:t>
      </w:r>
    </w:p>
    <w:p w14:paraId="68D491DC" w14:textId="77777777" w:rsidR="00DF1B35" w:rsidRPr="00B73C84" w:rsidRDefault="00DF1B35" w:rsidP="00DF1B35">
      <w:pPr>
        <w:pStyle w:val="P1"/>
      </w:pPr>
      <w:r w:rsidRPr="00B73C84">
        <w:tab/>
        <w:t>(j)</w:t>
      </w:r>
      <w:r w:rsidRPr="00B73C84">
        <w:tab/>
        <w:t>the address of the auction centre.</w:t>
      </w:r>
    </w:p>
    <w:p w14:paraId="3DEC9384" w14:textId="2F283FED" w:rsidR="00DF1B35" w:rsidRPr="00B73C84" w:rsidRDefault="00DF1B35" w:rsidP="00DF1B35">
      <w:pPr>
        <w:pStyle w:val="R2"/>
      </w:pPr>
      <w:r w:rsidRPr="00B73C84">
        <w:tab/>
        <w:t>(2)</w:t>
      </w:r>
      <w:r w:rsidRPr="00B73C84">
        <w:tab/>
        <w:t>The</w:t>
      </w:r>
      <w:r w:rsidR="000E521B">
        <w:t xml:space="preserve"> LPON</w:t>
      </w:r>
      <w:r w:rsidRPr="00B73C84">
        <w:t xml:space="preserve"> Applicant Information Package may also contain other information about the allocation.</w:t>
      </w:r>
    </w:p>
    <w:p w14:paraId="37E40CB0" w14:textId="77777777" w:rsidR="00DF1B35" w:rsidRPr="00B73C84" w:rsidRDefault="00DF1B35" w:rsidP="00DF1B35">
      <w:pPr>
        <w:pStyle w:val="HR"/>
        <w:tabs>
          <w:tab w:val="left" w:pos="0"/>
        </w:tabs>
      </w:pPr>
      <w:bookmarkStart w:id="14" w:name="_Toc156187138"/>
      <w:r w:rsidRPr="00B73C84">
        <w:rPr>
          <w:rStyle w:val="CharSectno"/>
        </w:rPr>
        <w:t>2.4</w:t>
      </w:r>
      <w:r w:rsidRPr="00B73C84">
        <w:tab/>
      </w:r>
      <w:r w:rsidRPr="00B73C84">
        <w:rPr>
          <w:rStyle w:val="CharSchText"/>
        </w:rPr>
        <w:t>Approval of forms and documents</w:t>
      </w:r>
      <w:bookmarkEnd w:id="14"/>
      <w:r w:rsidRPr="00B73C84">
        <w:tab/>
      </w:r>
    </w:p>
    <w:p w14:paraId="42C79EB1" w14:textId="77777777" w:rsidR="00DF1B35" w:rsidRPr="00B73C84" w:rsidRDefault="00DF1B35" w:rsidP="00DF1B35">
      <w:pPr>
        <w:pStyle w:val="R1"/>
      </w:pPr>
      <w:r w:rsidRPr="00B73C84">
        <w:rPr>
          <w:b/>
        </w:rPr>
        <w:tab/>
      </w:r>
      <w:r w:rsidRPr="00B73C84">
        <w:rPr>
          <w:b/>
        </w:rPr>
        <w:tab/>
      </w:r>
      <w:r w:rsidRPr="00B73C84">
        <w:t>The ACMA must, in writing, approve the following documents:</w:t>
      </w:r>
    </w:p>
    <w:p w14:paraId="7F1FD592" w14:textId="77777777" w:rsidR="00DF1B35" w:rsidRPr="00B73C84" w:rsidRDefault="00DF1B35" w:rsidP="00DF1B35">
      <w:pPr>
        <w:pStyle w:val="P1"/>
      </w:pPr>
      <w:r w:rsidRPr="00B73C84">
        <w:tab/>
        <w:t>(a)</w:t>
      </w:r>
      <w:r w:rsidRPr="00B73C84">
        <w:tab/>
        <w:t xml:space="preserve">an application form for paragraph 3.1 (2) (a); </w:t>
      </w:r>
    </w:p>
    <w:p w14:paraId="03514A1D" w14:textId="77777777" w:rsidR="00DF1B35" w:rsidRPr="00B73C84" w:rsidRDefault="00DF1B35" w:rsidP="00DF1B35">
      <w:pPr>
        <w:pStyle w:val="P1"/>
      </w:pPr>
      <w:r w:rsidRPr="00B73C84">
        <w:tab/>
        <w:t>(b)</w:t>
      </w:r>
      <w:r w:rsidRPr="00B73C84">
        <w:tab/>
        <w:t>a Deed of Acknowledgment for paragraph 3.1 (2) (b); and</w:t>
      </w:r>
    </w:p>
    <w:p w14:paraId="6094E89D" w14:textId="77777777" w:rsidR="00DF1B35" w:rsidRPr="00B73C84" w:rsidRDefault="00DF1B35" w:rsidP="00DF1B35">
      <w:pPr>
        <w:pStyle w:val="P1"/>
      </w:pPr>
      <w:r w:rsidRPr="00B73C84">
        <w:tab/>
        <w:t>(c)</w:t>
      </w:r>
      <w:r w:rsidRPr="00B73C84">
        <w:tab/>
        <w:t>a Form of Authority for paragraph 4.5 (1) (b).</w:t>
      </w:r>
    </w:p>
    <w:p w14:paraId="4BACC413" w14:textId="77777777" w:rsidR="00DF1B35" w:rsidRPr="00B73C84" w:rsidRDefault="00DF1B35" w:rsidP="00DF1B35">
      <w:pPr>
        <w:pStyle w:val="HR"/>
        <w:tabs>
          <w:tab w:val="left" w:pos="0"/>
        </w:tabs>
      </w:pPr>
      <w:bookmarkStart w:id="15" w:name="_Toc156187139"/>
      <w:r w:rsidRPr="00B73C84">
        <w:rPr>
          <w:rStyle w:val="CharSectno"/>
        </w:rPr>
        <w:t>2.5</w:t>
      </w:r>
      <w:r w:rsidRPr="00B73C84">
        <w:tab/>
      </w:r>
      <w:r w:rsidRPr="00BE32BF">
        <w:rPr>
          <w:rStyle w:val="CharSchText"/>
        </w:rPr>
        <w:t>Payment of monies due to the ACMA</w:t>
      </w:r>
      <w:bookmarkEnd w:id="15"/>
    </w:p>
    <w:p w14:paraId="3DEAF31B" w14:textId="77777777" w:rsidR="00DF1B35" w:rsidRPr="00B73C84" w:rsidRDefault="00DF1B35" w:rsidP="00DF1B35">
      <w:pPr>
        <w:pStyle w:val="R1"/>
      </w:pPr>
      <w:r w:rsidRPr="00B73C84">
        <w:tab/>
        <w:t>(1)</w:t>
      </w:r>
      <w:r w:rsidRPr="00B73C84">
        <w:tab/>
        <w:t>All payments to the ACMA, on behalf of the Commonwealth, must be made in Australian currency.</w:t>
      </w:r>
    </w:p>
    <w:p w14:paraId="797D235A" w14:textId="77777777" w:rsidR="00DF1B35" w:rsidRPr="00B73C84" w:rsidRDefault="00DF1B35" w:rsidP="00DF1B35">
      <w:pPr>
        <w:pStyle w:val="R2"/>
      </w:pPr>
      <w:r w:rsidRPr="00B73C84">
        <w:tab/>
        <w:t>(2)</w:t>
      </w:r>
      <w:r w:rsidRPr="00B73C84">
        <w:tab/>
        <w:t>Monies due to the ACMA, on behalf of the Commonwealth, for the following purposes must be paid by the date required by this Determination and in accordance with this Determination:</w:t>
      </w:r>
    </w:p>
    <w:p w14:paraId="50C23E03" w14:textId="77777777" w:rsidR="00DF1B35" w:rsidRPr="00B73C84" w:rsidRDefault="00DF1B35" w:rsidP="00DF1B35">
      <w:pPr>
        <w:pStyle w:val="P1"/>
      </w:pPr>
      <w:r w:rsidRPr="00B73C84">
        <w:tab/>
        <w:t>(a)</w:t>
      </w:r>
      <w:r w:rsidRPr="00B73C84">
        <w:tab/>
        <w:t xml:space="preserve">the entry fee; </w:t>
      </w:r>
    </w:p>
    <w:p w14:paraId="46D1DEEB" w14:textId="77777777" w:rsidR="00DF1B35" w:rsidRPr="00B73C84" w:rsidRDefault="00DF1B35" w:rsidP="00DF1B35">
      <w:pPr>
        <w:pStyle w:val="P1"/>
      </w:pPr>
      <w:r w:rsidRPr="00B73C84">
        <w:tab/>
        <w:t>(b)</w:t>
      </w:r>
      <w:r w:rsidRPr="00B73C84">
        <w:tab/>
        <w:t xml:space="preserve">the auction deposit; and </w:t>
      </w:r>
    </w:p>
    <w:p w14:paraId="7C61B170" w14:textId="77777777" w:rsidR="00DF1B35" w:rsidRPr="00B73C84" w:rsidRDefault="00DF1B35" w:rsidP="00DF1B35">
      <w:pPr>
        <w:pStyle w:val="P1"/>
      </w:pPr>
      <w:r w:rsidRPr="00B73C84">
        <w:tab/>
        <w:t>(c)</w:t>
      </w:r>
      <w:r w:rsidRPr="00B73C84">
        <w:tab/>
        <w:t>the balance of the bid price.</w:t>
      </w:r>
    </w:p>
    <w:p w14:paraId="4AE10E3F" w14:textId="77777777" w:rsidR="00DF1B35" w:rsidRPr="00B73C84" w:rsidRDefault="00DF1B35" w:rsidP="00DF1B35">
      <w:pPr>
        <w:pStyle w:val="R2"/>
      </w:pPr>
      <w:r w:rsidRPr="00B73C84">
        <w:tab/>
        <w:t>(3)</w:t>
      </w:r>
      <w:r w:rsidRPr="00B73C84">
        <w:tab/>
        <w:t>Monies due to the ACMA, on behalf of the Commonwealth, for any of the purposes set out in subsection (2) must be paid:</w:t>
      </w:r>
    </w:p>
    <w:p w14:paraId="36EC6AC4" w14:textId="77777777" w:rsidR="00DF1B35" w:rsidRPr="00B73C84" w:rsidRDefault="00DF1B35" w:rsidP="00DF1B35">
      <w:pPr>
        <w:pStyle w:val="P1"/>
      </w:pPr>
      <w:r w:rsidRPr="00B73C84">
        <w:tab/>
        <w:t>(a)</w:t>
      </w:r>
      <w:r w:rsidRPr="00B73C84">
        <w:tab/>
        <w:t>by cheque; or</w:t>
      </w:r>
    </w:p>
    <w:p w14:paraId="26C8BFEA" w14:textId="77777777" w:rsidR="00DF1B35" w:rsidRPr="00B73C84" w:rsidRDefault="00DF1B35" w:rsidP="00DF1B35">
      <w:pPr>
        <w:pStyle w:val="P1"/>
      </w:pPr>
      <w:r w:rsidRPr="00B73C84">
        <w:tab/>
        <w:t>(b)</w:t>
      </w:r>
      <w:r w:rsidRPr="00B73C84">
        <w:tab/>
        <w:t xml:space="preserve">by bank transfer. </w:t>
      </w:r>
    </w:p>
    <w:p w14:paraId="7E773E42" w14:textId="77777777" w:rsidR="00DF1B35" w:rsidRPr="00B73C84" w:rsidRDefault="00DF1B35" w:rsidP="00DF1B35">
      <w:pPr>
        <w:pStyle w:val="R2"/>
      </w:pPr>
      <w:r w:rsidRPr="00B73C84">
        <w:tab/>
        <w:t>(4)</w:t>
      </w:r>
      <w:r w:rsidRPr="00B73C84">
        <w:tab/>
        <w:t xml:space="preserve">If a payment is required to be made by a specific date, it is sufficient if, by that date, either: </w:t>
      </w:r>
    </w:p>
    <w:p w14:paraId="3F9C6A67" w14:textId="77777777" w:rsidR="00DF1B35" w:rsidRPr="00B73C84" w:rsidRDefault="00DF1B35" w:rsidP="00DF1B35">
      <w:pPr>
        <w:pStyle w:val="P1"/>
      </w:pPr>
      <w:r w:rsidRPr="00B73C84">
        <w:tab/>
        <w:t>(a)</w:t>
      </w:r>
      <w:r w:rsidRPr="00B73C84">
        <w:tab/>
        <w:t>the applicant gives the ACMA, on behalf of the Commonwealth, a cheque for the amount of the payment; or</w:t>
      </w:r>
    </w:p>
    <w:p w14:paraId="6EAAD824" w14:textId="77777777" w:rsidR="00DF1B35" w:rsidRPr="00B73C84" w:rsidRDefault="00DF1B35" w:rsidP="00DF1B35">
      <w:pPr>
        <w:pStyle w:val="P1"/>
      </w:pPr>
      <w:r w:rsidRPr="00B73C84">
        <w:tab/>
        <w:t>(b)</w:t>
      </w:r>
      <w:r w:rsidRPr="00B73C84">
        <w:tab/>
        <w:t xml:space="preserve">if paying by bank transfer, the applicant: </w:t>
      </w:r>
    </w:p>
    <w:p w14:paraId="2B32DE68" w14:textId="77777777" w:rsidR="00DF1B35" w:rsidRPr="00B73C84" w:rsidRDefault="00DF1B35" w:rsidP="00DF1B35">
      <w:pPr>
        <w:pStyle w:val="P2"/>
      </w:pPr>
      <w:r w:rsidRPr="00B73C84">
        <w:tab/>
        <w:t>(</w:t>
      </w:r>
      <w:proofErr w:type="spellStart"/>
      <w:r w:rsidRPr="00B73C84">
        <w:t>i</w:t>
      </w:r>
      <w:proofErr w:type="spellEnd"/>
      <w:r w:rsidRPr="00B73C84">
        <w:t>)</w:t>
      </w:r>
      <w:r w:rsidRPr="00B73C84">
        <w:tab/>
        <w:t>does everything necessary to make the payment; and</w:t>
      </w:r>
    </w:p>
    <w:p w14:paraId="598B0309" w14:textId="77777777" w:rsidR="00DF1B35" w:rsidRPr="00B73C84" w:rsidRDefault="00DF1B35" w:rsidP="00DF1B35">
      <w:pPr>
        <w:pStyle w:val="P2"/>
      </w:pPr>
      <w:r w:rsidRPr="00B73C84">
        <w:tab/>
        <w:t>(ii)</w:t>
      </w:r>
      <w:r w:rsidRPr="00B73C84">
        <w:tab/>
        <w:t xml:space="preserve">gives the ACMA evidence that the payment has been made. </w:t>
      </w:r>
    </w:p>
    <w:p w14:paraId="45006682" w14:textId="77777777" w:rsidR="00DF1B35" w:rsidRPr="00B73C84" w:rsidRDefault="00DF1B35" w:rsidP="00DF1B35">
      <w:pPr>
        <w:pStyle w:val="R2"/>
      </w:pPr>
      <w:r w:rsidRPr="00B73C84">
        <w:tab/>
        <w:t>(5)</w:t>
      </w:r>
      <w:r w:rsidRPr="00B73C84">
        <w:tab/>
        <w:t>A payment by bank transfer must be paid into the following bank account:</w:t>
      </w:r>
    </w:p>
    <w:p w14:paraId="3B6954D4" w14:textId="77777777" w:rsidR="00DF1B35" w:rsidRPr="00B73C84" w:rsidRDefault="00DF1B35" w:rsidP="00DF1B35">
      <w:pPr>
        <w:pStyle w:val="P1"/>
      </w:pPr>
      <w:r w:rsidRPr="00B73C84">
        <w:tab/>
        <w:t>(a)</w:t>
      </w:r>
      <w:r w:rsidRPr="00B73C84">
        <w:tab/>
        <w:t>Bank —  Australia and New Zealand Banking Group Limited;</w:t>
      </w:r>
    </w:p>
    <w:p w14:paraId="52E82D6B" w14:textId="77777777" w:rsidR="00DF1B35" w:rsidRPr="00B73C84" w:rsidRDefault="00DF1B35" w:rsidP="00DF1B35">
      <w:pPr>
        <w:pStyle w:val="P1"/>
      </w:pPr>
      <w:r w:rsidRPr="00B73C84">
        <w:tab/>
        <w:t>(b)</w:t>
      </w:r>
      <w:r w:rsidRPr="00B73C84">
        <w:tab/>
        <w:t>Branch — Belconnen, Australian Capital Territory;</w:t>
      </w:r>
    </w:p>
    <w:p w14:paraId="30234AFF" w14:textId="77777777" w:rsidR="00320545" w:rsidRPr="00B73C84" w:rsidRDefault="00DF1B35" w:rsidP="00DF1B35">
      <w:pPr>
        <w:pStyle w:val="P1"/>
      </w:pPr>
      <w:r w:rsidRPr="00B73C84">
        <w:tab/>
        <w:t>(c)</w:t>
      </w:r>
      <w:r w:rsidRPr="00B73C84">
        <w:tab/>
        <w:t>BSB number — 012-951</w:t>
      </w:r>
      <w:r w:rsidR="00337DD9">
        <w:t>;</w:t>
      </w:r>
    </w:p>
    <w:p w14:paraId="5500EC68" w14:textId="77777777" w:rsidR="00DF1B35" w:rsidRPr="00B73C84" w:rsidRDefault="00DF1B35" w:rsidP="00DF1B35">
      <w:pPr>
        <w:pStyle w:val="P1"/>
      </w:pPr>
      <w:r w:rsidRPr="00B73C84">
        <w:tab/>
        <w:t>(d)</w:t>
      </w:r>
      <w:r w:rsidRPr="00B73C84">
        <w:tab/>
        <w:t>Account number — 837924272;</w:t>
      </w:r>
    </w:p>
    <w:p w14:paraId="1F7A2E78" w14:textId="77777777" w:rsidR="00DF1B35" w:rsidRPr="00B73C84" w:rsidRDefault="00DF1B35" w:rsidP="00DF1B35">
      <w:pPr>
        <w:pStyle w:val="P1"/>
      </w:pPr>
      <w:r w:rsidRPr="00B73C84">
        <w:tab/>
        <w:t>(e)</w:t>
      </w:r>
      <w:r w:rsidRPr="00B73C84">
        <w:tab/>
        <w:t>Account name — ACMA Official Administered Receipts Account.</w:t>
      </w:r>
    </w:p>
    <w:p w14:paraId="2D557F85" w14:textId="5415A29A" w:rsidR="00DF1B35" w:rsidRPr="00B73C84" w:rsidRDefault="00DF1B35" w:rsidP="00DF1B35">
      <w:pPr>
        <w:pStyle w:val="R2"/>
      </w:pPr>
      <w:r w:rsidRPr="00B73C84">
        <w:tab/>
        <w:t>(6)</w:t>
      </w:r>
      <w:r w:rsidRPr="00B73C84">
        <w:tab/>
        <w:t>Subject to paragraph 2.5 (4) (b) the payment must be received in the bank account mentioned in subsection (5) on or before the required date. If it is not, the person’s application ceases to have effect and the person is not entitled to take part in the allocation or to obtain a transmitter licence.</w:t>
      </w:r>
    </w:p>
    <w:p w14:paraId="4409E78F" w14:textId="77777777" w:rsidR="00DF1B35" w:rsidRPr="00B73C84" w:rsidRDefault="00DF1B35" w:rsidP="00DF1B35">
      <w:pPr>
        <w:pStyle w:val="R2"/>
      </w:pPr>
      <w:r w:rsidRPr="00B73C84">
        <w:tab/>
        <w:t>(7)</w:t>
      </w:r>
      <w:r w:rsidRPr="00B73C84">
        <w:tab/>
        <w:t>The applicant must pay all bank charges and Government duties imposed on a payment, and a payment will not be regarded as having been made unless the full amount net of those charges is received by the ACMA on behalf of the Commonwealth.</w:t>
      </w:r>
    </w:p>
    <w:p w14:paraId="4B053569" w14:textId="77777777" w:rsidR="00DF1B35" w:rsidRPr="00B73C84" w:rsidRDefault="00DF1B35" w:rsidP="00DF1B35">
      <w:pPr>
        <w:pStyle w:val="HP"/>
        <w:pageBreakBefore/>
        <w:tabs>
          <w:tab w:val="left" w:pos="0"/>
        </w:tabs>
        <w:ind w:left="1560" w:hanging="1560"/>
      </w:pPr>
      <w:bookmarkStart w:id="16" w:name="_Toc156187140"/>
      <w:r w:rsidRPr="00B73C84">
        <w:rPr>
          <w:rStyle w:val="CharPartNo"/>
        </w:rPr>
        <w:t>Part 3</w:t>
      </w:r>
      <w:r w:rsidRPr="00B73C84">
        <w:tab/>
      </w:r>
      <w:r w:rsidRPr="00B73C84">
        <w:rPr>
          <w:rStyle w:val="CharPartText"/>
          <w:b/>
        </w:rPr>
        <w:t>Registering for an allocation</w:t>
      </w:r>
      <w:bookmarkEnd w:id="16"/>
    </w:p>
    <w:p w14:paraId="21DEDC88" w14:textId="77777777" w:rsidR="00DF1B35" w:rsidRPr="00B73C84" w:rsidRDefault="00DF1B35" w:rsidP="00DF1B35">
      <w:pPr>
        <w:pStyle w:val="HR"/>
        <w:tabs>
          <w:tab w:val="left" w:pos="0"/>
        </w:tabs>
      </w:pPr>
      <w:bookmarkStart w:id="17" w:name="_Toc156187141"/>
      <w:r w:rsidRPr="00B73C84">
        <w:rPr>
          <w:rStyle w:val="CharSectno"/>
        </w:rPr>
        <w:t>3.1</w:t>
      </w:r>
      <w:r w:rsidRPr="00B73C84">
        <w:tab/>
      </w:r>
      <w:r w:rsidRPr="00B73C84">
        <w:rPr>
          <w:rStyle w:val="CharSchText"/>
        </w:rPr>
        <w:t>Applications</w:t>
      </w:r>
      <w:bookmarkEnd w:id="17"/>
    </w:p>
    <w:p w14:paraId="7DBF09A5" w14:textId="77777777" w:rsidR="00DF1B35" w:rsidRPr="00B73C84" w:rsidRDefault="00DF1B35" w:rsidP="00DF1B35">
      <w:pPr>
        <w:pStyle w:val="R1"/>
      </w:pPr>
      <w:r w:rsidRPr="00B73C84">
        <w:tab/>
        <w:t>(1)</w:t>
      </w:r>
      <w:r w:rsidRPr="00B73C84">
        <w:tab/>
        <w:t>A person who wants to register for a lot to obtain a transmitter licence must pay an entry fee in respect of each application for a lot comprising the licence sought by that person.</w:t>
      </w:r>
    </w:p>
    <w:p w14:paraId="24E200A5" w14:textId="77777777" w:rsidR="00DF1B35" w:rsidRPr="00B73C84" w:rsidRDefault="00DF1B35" w:rsidP="00DF1B35">
      <w:pPr>
        <w:pStyle w:val="R2"/>
      </w:pPr>
      <w:r w:rsidRPr="00B73C84">
        <w:tab/>
        <w:t>(2)</w:t>
      </w:r>
      <w:r w:rsidRPr="00B73C84">
        <w:tab/>
        <w:t xml:space="preserve">The person must give the ACMA the following documents (the </w:t>
      </w:r>
      <w:r w:rsidRPr="00B73C84">
        <w:rPr>
          <w:b/>
          <w:i/>
        </w:rPr>
        <w:t>registration documents</w:t>
      </w:r>
      <w:r w:rsidRPr="00B73C84">
        <w:t>) in respect of each transmitter licence sought by that person:</w:t>
      </w:r>
    </w:p>
    <w:p w14:paraId="0D3F7D9B" w14:textId="77777777" w:rsidR="00DF1B35" w:rsidRPr="00B73C84" w:rsidRDefault="00DF1B35" w:rsidP="00DF1B35">
      <w:pPr>
        <w:pStyle w:val="P1"/>
      </w:pPr>
      <w:r w:rsidRPr="00B73C84">
        <w:tab/>
        <w:t>(a)</w:t>
      </w:r>
      <w:r w:rsidRPr="00B73C84">
        <w:tab/>
        <w:t>a completed application form; and</w:t>
      </w:r>
    </w:p>
    <w:p w14:paraId="57C2579B" w14:textId="77777777" w:rsidR="00DF1B35" w:rsidRPr="00B73C84" w:rsidRDefault="00DF1B35" w:rsidP="00DF1B35">
      <w:pPr>
        <w:pStyle w:val="P1"/>
      </w:pPr>
      <w:r w:rsidRPr="00B73C84">
        <w:tab/>
        <w:t>(b)</w:t>
      </w:r>
      <w:r w:rsidRPr="00B73C84">
        <w:tab/>
        <w:t>a completed Deed of Acknowledgment.</w:t>
      </w:r>
    </w:p>
    <w:p w14:paraId="55A7CD45" w14:textId="77777777" w:rsidR="00DF1B35" w:rsidRPr="00B73C84" w:rsidRDefault="00DF1B35" w:rsidP="00DF1B35">
      <w:pPr>
        <w:pStyle w:val="R2"/>
      </w:pPr>
      <w:r w:rsidRPr="00B73C84">
        <w:tab/>
        <w:t>(3)</w:t>
      </w:r>
      <w:r w:rsidRPr="00B73C84">
        <w:tab/>
        <w:t xml:space="preserve">An entry fee for each application for a lot must accompany the registration documents and be paid in accordance with section 2.5. </w:t>
      </w:r>
    </w:p>
    <w:p w14:paraId="217AA27D" w14:textId="77777777" w:rsidR="00DF1B35" w:rsidRPr="00B73C84" w:rsidRDefault="00DF1B35" w:rsidP="00DF1B35">
      <w:pPr>
        <w:pStyle w:val="Note"/>
      </w:pPr>
      <w:r w:rsidRPr="00B73C84">
        <w:rPr>
          <w:i/>
        </w:rPr>
        <w:t>Note</w:t>
      </w:r>
      <w:r w:rsidRPr="00B73C84">
        <w:t>   In accordance with section 2.5, the payments may be paid by cheque or bank transfer.  If the payment is not in the ACMA’s account on or before the required date, the application ceases to have effect</w:t>
      </w:r>
      <w:r w:rsidR="00A2763F" w:rsidRPr="00B73C84">
        <w:t>, subject to subsection 2.5(4)</w:t>
      </w:r>
      <w:r w:rsidRPr="00B73C84">
        <w:t>.</w:t>
      </w:r>
    </w:p>
    <w:p w14:paraId="78B867C1" w14:textId="77777777" w:rsidR="00DF1B35" w:rsidRPr="00B73C84" w:rsidRDefault="00DF1B35" w:rsidP="00DF1B35">
      <w:pPr>
        <w:pStyle w:val="R2"/>
      </w:pPr>
      <w:r w:rsidRPr="00B73C84">
        <w:tab/>
        <w:t>(4)</w:t>
      </w:r>
      <w:r w:rsidRPr="00B73C84">
        <w:tab/>
        <w:t xml:space="preserve">The application form must specify the transmitter site and frequency nominated by the applicant for a transmitter licence. </w:t>
      </w:r>
    </w:p>
    <w:p w14:paraId="557148DA" w14:textId="77777777" w:rsidR="00DF1B35" w:rsidRPr="00B73C84" w:rsidRDefault="00DF1B35" w:rsidP="00DF1B35">
      <w:pPr>
        <w:pStyle w:val="HR"/>
        <w:tabs>
          <w:tab w:val="left" w:pos="0"/>
        </w:tabs>
      </w:pPr>
      <w:bookmarkStart w:id="18" w:name="_Toc156187142"/>
      <w:r w:rsidRPr="00B73C84">
        <w:rPr>
          <w:rStyle w:val="CharSectno"/>
        </w:rPr>
        <w:t>3.2</w:t>
      </w:r>
      <w:r w:rsidRPr="00B73C84">
        <w:tab/>
        <w:t>Lodging of applications</w:t>
      </w:r>
      <w:bookmarkEnd w:id="18"/>
    </w:p>
    <w:p w14:paraId="7604C934" w14:textId="32F49CCE" w:rsidR="00DF1B35" w:rsidRPr="00B73C84" w:rsidRDefault="00DF1B35" w:rsidP="00DF1B35">
      <w:pPr>
        <w:pStyle w:val="R1"/>
      </w:pPr>
      <w:r w:rsidRPr="00B73C84">
        <w:tab/>
        <w:t>(1)</w:t>
      </w:r>
      <w:r w:rsidRPr="00B73C84">
        <w:tab/>
        <w:t>The registration documents must be lodged with the ACMA on or before the closing date.</w:t>
      </w:r>
    </w:p>
    <w:p w14:paraId="30A7D351" w14:textId="77777777" w:rsidR="00DF1B35" w:rsidRPr="00B73C84" w:rsidRDefault="00DF1B35" w:rsidP="00DF1B35">
      <w:pPr>
        <w:pStyle w:val="R2"/>
      </w:pPr>
      <w:r w:rsidRPr="00B73C84">
        <w:tab/>
        <w:t>(2)</w:t>
      </w:r>
      <w:r w:rsidRPr="00B73C84">
        <w:tab/>
        <w:t>As soon as practicable after receiving the registration documents, the ACMA must confirm receipt in writing, noting particulars of the applicant’s:</w:t>
      </w:r>
    </w:p>
    <w:p w14:paraId="316294FB" w14:textId="77777777" w:rsidR="00DF1B35" w:rsidRPr="00B73C84" w:rsidRDefault="00DF1B35" w:rsidP="00DF1B35">
      <w:pPr>
        <w:pStyle w:val="P1"/>
      </w:pPr>
      <w:r w:rsidRPr="00B73C84">
        <w:tab/>
        <w:t>(a)</w:t>
      </w:r>
      <w:r w:rsidRPr="00B73C84">
        <w:tab/>
        <w:t xml:space="preserve">name; </w:t>
      </w:r>
    </w:p>
    <w:p w14:paraId="2DFA30C2" w14:textId="77777777" w:rsidR="00DF1B35" w:rsidRPr="00B73C84" w:rsidRDefault="00DF1B35" w:rsidP="00DF1B35">
      <w:pPr>
        <w:pStyle w:val="P1"/>
      </w:pPr>
      <w:r w:rsidRPr="00B73C84">
        <w:tab/>
        <w:t>(b)</w:t>
      </w:r>
      <w:r w:rsidRPr="00B73C84">
        <w:tab/>
        <w:t>address; and</w:t>
      </w:r>
    </w:p>
    <w:p w14:paraId="722D5891" w14:textId="77777777" w:rsidR="00DF1B35" w:rsidRPr="00B73C84" w:rsidRDefault="00DF1B35" w:rsidP="00DF1B35">
      <w:pPr>
        <w:pStyle w:val="P1"/>
      </w:pPr>
      <w:r w:rsidRPr="00B73C84">
        <w:tab/>
        <w:t>(c)</w:t>
      </w:r>
      <w:r w:rsidRPr="00B73C84">
        <w:tab/>
        <w:t>if the applicant is a company or a registrable body — the applicant’s ABN or ARBN.</w:t>
      </w:r>
    </w:p>
    <w:p w14:paraId="50ABA790" w14:textId="77777777" w:rsidR="00DF1B35" w:rsidRPr="00B73C84" w:rsidRDefault="00DF1B35" w:rsidP="00DF1B35">
      <w:pPr>
        <w:pStyle w:val="HR"/>
        <w:tabs>
          <w:tab w:val="left" w:pos="0"/>
        </w:tabs>
      </w:pPr>
      <w:bookmarkStart w:id="19" w:name="_Toc156187143"/>
      <w:r w:rsidRPr="00B73C84">
        <w:rPr>
          <w:rStyle w:val="CharSectno"/>
        </w:rPr>
        <w:t>3.3</w:t>
      </w:r>
      <w:r w:rsidRPr="00B73C84">
        <w:tab/>
        <w:t>Register of applicants</w:t>
      </w:r>
      <w:bookmarkEnd w:id="19"/>
    </w:p>
    <w:p w14:paraId="644826F0" w14:textId="77777777" w:rsidR="00DF1B35" w:rsidRPr="00B73C84" w:rsidRDefault="00DF1B35" w:rsidP="00DF1B35">
      <w:pPr>
        <w:pStyle w:val="R1"/>
      </w:pPr>
      <w:r w:rsidRPr="00B73C84">
        <w:tab/>
        <w:t>(1)</w:t>
      </w:r>
      <w:r w:rsidRPr="00B73C84">
        <w:tab/>
        <w:t xml:space="preserve">The ACMA must maintain a register of applicants. </w:t>
      </w:r>
    </w:p>
    <w:p w14:paraId="3F0AA70B" w14:textId="77777777" w:rsidR="00DF1B35" w:rsidRPr="00B73C84" w:rsidRDefault="00DF1B35" w:rsidP="00DF1B35">
      <w:pPr>
        <w:pStyle w:val="R2"/>
      </w:pPr>
      <w:r w:rsidRPr="00B73C84">
        <w:tab/>
        <w:t>(2)</w:t>
      </w:r>
      <w:r w:rsidRPr="00B73C84">
        <w:tab/>
        <w:t>The register may be in electronic form.</w:t>
      </w:r>
    </w:p>
    <w:p w14:paraId="16B73361" w14:textId="77777777" w:rsidR="00DF1B35" w:rsidRPr="00B73C84" w:rsidRDefault="00DF1B35" w:rsidP="00DF1B35">
      <w:pPr>
        <w:pStyle w:val="R2"/>
      </w:pPr>
      <w:r w:rsidRPr="00B73C84">
        <w:tab/>
        <w:t>(3)</w:t>
      </w:r>
      <w:r w:rsidRPr="00B73C84">
        <w:tab/>
        <w:t>For each applicant, the register must contain details of:</w:t>
      </w:r>
    </w:p>
    <w:p w14:paraId="0D3AD6AD" w14:textId="77777777" w:rsidR="00DF1B35" w:rsidRPr="00B73C84" w:rsidRDefault="00DF1B35" w:rsidP="00DF1B35">
      <w:pPr>
        <w:pStyle w:val="P1"/>
      </w:pPr>
      <w:r w:rsidRPr="00B73C84">
        <w:tab/>
        <w:t>(a)</w:t>
      </w:r>
      <w:r w:rsidRPr="00B73C84">
        <w:tab/>
        <w:t>the name and address of the applicant; and</w:t>
      </w:r>
    </w:p>
    <w:p w14:paraId="254A546F" w14:textId="77777777" w:rsidR="00DF1B35" w:rsidRPr="00B73C84" w:rsidRDefault="00DF1B35" w:rsidP="00DF1B35">
      <w:pPr>
        <w:pStyle w:val="P1"/>
      </w:pPr>
      <w:r w:rsidRPr="00B73C84">
        <w:tab/>
        <w:t>(b)</w:t>
      </w:r>
      <w:r w:rsidRPr="00B73C84">
        <w:tab/>
        <w:t>the applicant’s telephone and fax numbers; and</w:t>
      </w:r>
    </w:p>
    <w:p w14:paraId="2F95F8E6" w14:textId="77777777" w:rsidR="00DF1B35" w:rsidRPr="00B73C84" w:rsidRDefault="00DF1B35" w:rsidP="00DF1B35">
      <w:pPr>
        <w:pStyle w:val="P1"/>
      </w:pPr>
      <w:r w:rsidRPr="00B73C84">
        <w:tab/>
        <w:t>(c)</w:t>
      </w:r>
      <w:r w:rsidRPr="00B73C84">
        <w:tab/>
        <w:t>if the applicant is a company or a registrable body — the applicant’s</w:t>
      </w:r>
      <w:r w:rsidR="009D5A50" w:rsidRPr="00B73C84">
        <w:t xml:space="preserve"> </w:t>
      </w:r>
      <w:r w:rsidRPr="00B73C84">
        <w:t xml:space="preserve">ABN or ARBN; and </w:t>
      </w:r>
    </w:p>
    <w:p w14:paraId="277A497A" w14:textId="77777777" w:rsidR="00DF1B35" w:rsidRPr="00B73C84" w:rsidRDefault="00DF1B35" w:rsidP="00DF1B35">
      <w:pPr>
        <w:pStyle w:val="P1"/>
      </w:pPr>
      <w:r w:rsidRPr="00B73C84">
        <w:tab/>
        <w:t>(d)</w:t>
      </w:r>
      <w:r w:rsidRPr="00B73C84">
        <w:tab/>
        <w:t>the proposed LPON service transmitter site and frequency nominated by the applicant.</w:t>
      </w:r>
    </w:p>
    <w:p w14:paraId="19619075" w14:textId="77777777" w:rsidR="00DF1B35" w:rsidRPr="00B73C84" w:rsidRDefault="00DF1B35" w:rsidP="00DF1B35">
      <w:pPr>
        <w:pStyle w:val="R2"/>
      </w:pPr>
      <w:r w:rsidRPr="00B73C84">
        <w:tab/>
        <w:t>(4)</w:t>
      </w:r>
      <w:r w:rsidRPr="00B73C84">
        <w:tab/>
        <w:t>The register may also contain any other information that the ACMA considers necessary for the running of the allocation.</w:t>
      </w:r>
    </w:p>
    <w:p w14:paraId="4EEFA8C0" w14:textId="77777777" w:rsidR="00DF1B35" w:rsidRPr="00B73C84" w:rsidRDefault="00DF1B35" w:rsidP="00DF1B35">
      <w:pPr>
        <w:pStyle w:val="R2"/>
      </w:pPr>
      <w:r w:rsidRPr="00B73C84">
        <w:tab/>
        <w:t>(5)</w:t>
      </w:r>
      <w:r w:rsidRPr="00B73C84">
        <w:tab/>
        <w:t>The ACMA must make the changes to the register that the ACMA considers necessary or convenient as soon as practicable after:</w:t>
      </w:r>
    </w:p>
    <w:p w14:paraId="5B29BC31" w14:textId="77777777" w:rsidR="00DF1B35" w:rsidRPr="00B73C84" w:rsidRDefault="00DF1B35" w:rsidP="00DF1B35">
      <w:pPr>
        <w:pStyle w:val="P1"/>
      </w:pPr>
      <w:r w:rsidRPr="00B73C84">
        <w:tab/>
        <w:t>(a)</w:t>
      </w:r>
      <w:r w:rsidRPr="00B73C84">
        <w:tab/>
        <w:t>an applicant tells the ACMA of any change of name, address, or telephone or fax numbers; or</w:t>
      </w:r>
    </w:p>
    <w:p w14:paraId="6B2599F6" w14:textId="77777777" w:rsidR="00DF1B35" w:rsidRPr="00B73C84" w:rsidRDefault="00DF1B35" w:rsidP="00DF1B35">
      <w:pPr>
        <w:pStyle w:val="P1"/>
      </w:pPr>
      <w:r w:rsidRPr="00B73C84">
        <w:tab/>
        <w:t>(b)</w:t>
      </w:r>
      <w:r w:rsidRPr="00B73C84">
        <w:tab/>
        <w:t>the ACMA becomes aware that any information on the register is not correct.</w:t>
      </w:r>
    </w:p>
    <w:p w14:paraId="1C905D5E" w14:textId="77777777" w:rsidR="00DF1B35" w:rsidRPr="00B73C84" w:rsidRDefault="00DF1B35" w:rsidP="00DF1B35">
      <w:pPr>
        <w:pStyle w:val="R2"/>
      </w:pPr>
      <w:r w:rsidRPr="00B73C84">
        <w:tab/>
        <w:t>(6)</w:t>
      </w:r>
      <w:r w:rsidRPr="00B73C84">
        <w:tab/>
        <w:t xml:space="preserve">Except as authorised by this Determination, or as otherwise authorised by law, the ACMA must ensure that any details about applicants are not disclosed until the allocation is finalised. </w:t>
      </w:r>
    </w:p>
    <w:p w14:paraId="695AA14F" w14:textId="77777777" w:rsidR="00DF1B35" w:rsidRPr="00B73C84" w:rsidRDefault="00DF1B35" w:rsidP="00DF1B35">
      <w:pPr>
        <w:pStyle w:val="R2"/>
      </w:pPr>
      <w:r w:rsidRPr="00B73C84">
        <w:tab/>
        <w:t>(7)</w:t>
      </w:r>
      <w:r w:rsidRPr="00B73C84">
        <w:tab/>
        <w:t>No later than 5 business days before the start of an auction under Part 4 the ACMA may in any manner it considers appropriate publish the name of each registered applicant and the lots for which they are eligible to bid.</w:t>
      </w:r>
    </w:p>
    <w:p w14:paraId="54EB3C73" w14:textId="77777777" w:rsidR="00DF1B35" w:rsidRPr="00B73C84" w:rsidRDefault="00DF1B35" w:rsidP="00DF1B35">
      <w:pPr>
        <w:spacing w:before="240"/>
        <w:rPr>
          <w:rFonts w:ascii="Arial" w:hAnsi="Arial" w:cs="Arial"/>
          <w:b/>
        </w:rPr>
      </w:pPr>
      <w:bookmarkStart w:id="20" w:name="_Toc156187144"/>
      <w:r w:rsidRPr="00B73C84">
        <w:rPr>
          <w:rStyle w:val="CharSectno"/>
          <w:rFonts w:ascii="Arial" w:hAnsi="Arial" w:cs="Arial"/>
          <w:b/>
        </w:rPr>
        <w:t>3.4</w:t>
      </w:r>
      <w:r w:rsidRPr="00B73C84">
        <w:rPr>
          <w:rFonts w:ascii="Arial" w:hAnsi="Arial" w:cs="Arial"/>
          <w:b/>
        </w:rPr>
        <w:tab/>
      </w:r>
      <w:r w:rsidRPr="00B73C84">
        <w:rPr>
          <w:rStyle w:val="CharSchText"/>
          <w:rFonts w:ascii="Arial" w:hAnsi="Arial" w:cs="Arial"/>
          <w:b/>
        </w:rPr>
        <w:t>Registration of applicants</w:t>
      </w:r>
      <w:bookmarkEnd w:id="20"/>
    </w:p>
    <w:p w14:paraId="5F7ADF11" w14:textId="77777777" w:rsidR="00DF1B35" w:rsidRPr="00B73C84" w:rsidRDefault="00DF1B35" w:rsidP="00DF1B35">
      <w:pPr>
        <w:pStyle w:val="R1"/>
      </w:pPr>
      <w:r w:rsidRPr="00B73C84">
        <w:tab/>
        <w:t>(1)</w:t>
      </w:r>
      <w:r w:rsidRPr="00B73C84">
        <w:tab/>
        <w:t>The ACMA must register an applicant only if:</w:t>
      </w:r>
    </w:p>
    <w:p w14:paraId="07CC8079" w14:textId="77777777" w:rsidR="00DF1B35" w:rsidRPr="00B73C84" w:rsidRDefault="00DF1B35" w:rsidP="00DF1B35">
      <w:pPr>
        <w:pStyle w:val="P1"/>
      </w:pPr>
      <w:r w:rsidRPr="00B73C84">
        <w:tab/>
        <w:t>(a)</w:t>
      </w:r>
      <w:r w:rsidRPr="00B73C84">
        <w:tab/>
        <w:t>the applicant has lodged completed registration documents; and</w:t>
      </w:r>
    </w:p>
    <w:p w14:paraId="4B6947A5" w14:textId="77777777" w:rsidR="00DF1B35" w:rsidRPr="00B73C84" w:rsidRDefault="00DF1B35" w:rsidP="00DF1B35">
      <w:pPr>
        <w:pStyle w:val="P1"/>
      </w:pPr>
      <w:r w:rsidRPr="00B73C84">
        <w:tab/>
        <w:t>(b)</w:t>
      </w:r>
      <w:r w:rsidRPr="00B73C84">
        <w:tab/>
        <w:t>paid the entry fee(s) in accordance with subsection 3.1 (3) and section 2.5.</w:t>
      </w:r>
    </w:p>
    <w:p w14:paraId="20EE6CCB" w14:textId="77777777" w:rsidR="00DF1B35" w:rsidRPr="00B73C84" w:rsidRDefault="00DF1B35" w:rsidP="00DF1B35">
      <w:pPr>
        <w:pStyle w:val="R2"/>
      </w:pPr>
      <w:r w:rsidRPr="00B73C84">
        <w:tab/>
        <w:t>(2)</w:t>
      </w:r>
      <w:r w:rsidRPr="00B73C84">
        <w:tab/>
        <w:t>Within 5 business days after the closing date, the ACMA must, in writing, tell each registered applicant that the applicant has been registered.</w:t>
      </w:r>
    </w:p>
    <w:p w14:paraId="75D07824" w14:textId="77777777" w:rsidR="00DF1B35" w:rsidRPr="00B73C84" w:rsidRDefault="00DF1B35" w:rsidP="00DF1B35">
      <w:pPr>
        <w:pStyle w:val="HR"/>
        <w:tabs>
          <w:tab w:val="right" w:pos="1134"/>
        </w:tabs>
      </w:pPr>
      <w:bookmarkStart w:id="21" w:name="_Toc156187145"/>
      <w:r w:rsidRPr="00B73C84">
        <w:rPr>
          <w:rStyle w:val="CharSectno"/>
        </w:rPr>
        <w:t>3.5</w:t>
      </w:r>
      <w:r w:rsidRPr="00B73C84">
        <w:tab/>
        <w:t>Initial assessment of potential transmitter licence for LPON service</w:t>
      </w:r>
      <w:bookmarkEnd w:id="21"/>
    </w:p>
    <w:p w14:paraId="599DF975" w14:textId="77777777" w:rsidR="00DF1B35" w:rsidRPr="00B73C84" w:rsidRDefault="00DF1B35" w:rsidP="00DF1B35">
      <w:pPr>
        <w:pStyle w:val="R1"/>
      </w:pPr>
      <w:r w:rsidRPr="00B73C84">
        <w:rPr>
          <w:b/>
        </w:rPr>
        <w:tab/>
      </w:r>
      <w:r w:rsidRPr="00B73C84">
        <w:rPr>
          <w:b/>
        </w:rPr>
        <w:tab/>
      </w:r>
      <w:r w:rsidRPr="00B73C84">
        <w:t>Within 20 business days after the closing date, the ACMA must consider each proposed transmitter site and frequency nominated by an applicant and decide whether the proposed site and frequency is consistent with the planning model as if each applicant were the only applicant for that site and frequency.</w:t>
      </w:r>
    </w:p>
    <w:p w14:paraId="1C77EB6D" w14:textId="77777777" w:rsidR="00DF1B35" w:rsidRPr="00B73C84" w:rsidRDefault="00DF1B35" w:rsidP="00DF1B35">
      <w:pPr>
        <w:pStyle w:val="HR"/>
      </w:pPr>
      <w:bookmarkStart w:id="22" w:name="_Toc156187146"/>
      <w:r w:rsidRPr="00B73C84">
        <w:rPr>
          <w:rStyle w:val="CharSectno"/>
        </w:rPr>
        <w:t>3.6</w:t>
      </w:r>
      <w:r w:rsidRPr="00B73C84">
        <w:tab/>
        <w:t>Determination of lots</w:t>
      </w:r>
      <w:bookmarkEnd w:id="22"/>
    </w:p>
    <w:p w14:paraId="3F8F79FB" w14:textId="77777777" w:rsidR="00DF1B35" w:rsidRPr="00B73C84" w:rsidRDefault="00DF1B35" w:rsidP="00DF1B35">
      <w:pPr>
        <w:pStyle w:val="R1"/>
      </w:pPr>
      <w:r w:rsidRPr="00B73C84">
        <w:tab/>
        <w:t>(1)</w:t>
      </w:r>
      <w:r w:rsidRPr="00B73C84">
        <w:tab/>
        <w:t>Where the ACMA decides that an application is consistent with the planning model, it will assign a lot number in relation to that application.</w:t>
      </w:r>
    </w:p>
    <w:p w14:paraId="7E4773A9" w14:textId="77777777" w:rsidR="00DF1B35" w:rsidRPr="00B73C84" w:rsidRDefault="00DF1B35" w:rsidP="00DF1B35">
      <w:pPr>
        <w:pStyle w:val="R2"/>
      </w:pPr>
      <w:r w:rsidRPr="00B73C84">
        <w:tab/>
        <w:t>(2)</w:t>
      </w:r>
      <w:r w:rsidRPr="00B73C84">
        <w:tab/>
        <w:t>Where two or more applicants nominate transmitter sites that are within the minimum separation distances specified in the planning model, and the applications are for the same frequency, the ACMA will assign all such applications the same lot number.</w:t>
      </w:r>
    </w:p>
    <w:p w14:paraId="162D26AA" w14:textId="77777777" w:rsidR="00DF1B35" w:rsidRPr="00B73C84" w:rsidRDefault="00DF1B35" w:rsidP="00DF1B35">
      <w:pPr>
        <w:pStyle w:val="HP"/>
        <w:pageBreakBefore/>
        <w:tabs>
          <w:tab w:val="left" w:pos="0"/>
        </w:tabs>
        <w:ind w:left="1560" w:hanging="1560"/>
      </w:pPr>
      <w:bookmarkStart w:id="23" w:name="_Toc156187147"/>
      <w:r w:rsidRPr="00B73C84">
        <w:rPr>
          <w:rStyle w:val="CharPartNo"/>
        </w:rPr>
        <w:t>Part 4</w:t>
      </w:r>
      <w:r w:rsidRPr="00B73C84">
        <w:tab/>
      </w:r>
      <w:r w:rsidRPr="00B73C84">
        <w:rPr>
          <w:rStyle w:val="CharPartText"/>
          <w:b/>
        </w:rPr>
        <w:t>Allocation where there is more than one applicant for the lot</w:t>
      </w:r>
      <w:bookmarkEnd w:id="23"/>
    </w:p>
    <w:p w14:paraId="5D30FC6E" w14:textId="5D0BE0A9" w:rsidR="00DF1B35" w:rsidRPr="00B73C84" w:rsidRDefault="00DF1B35" w:rsidP="00DF1B35">
      <w:pPr>
        <w:pStyle w:val="Header"/>
      </w:pPr>
      <w:r w:rsidRPr="00B73C84">
        <w:rPr>
          <w:rStyle w:val="CharDivNo"/>
        </w:rPr>
        <w:t xml:space="preserve"> </w:t>
      </w:r>
    </w:p>
    <w:p w14:paraId="3B50FC66" w14:textId="45B13CE3" w:rsidR="00DF1B35" w:rsidRPr="00B73C84" w:rsidRDefault="00DF1B35" w:rsidP="00DF1B35">
      <w:pPr>
        <w:pStyle w:val="HR"/>
        <w:tabs>
          <w:tab w:val="left" w:pos="0"/>
        </w:tabs>
      </w:pPr>
      <w:bookmarkStart w:id="24" w:name="_Toc156187148"/>
      <w:r w:rsidRPr="00B73C84">
        <w:rPr>
          <w:rStyle w:val="CharSectno"/>
        </w:rPr>
        <w:t>4.1</w:t>
      </w:r>
      <w:r w:rsidRPr="00B73C84">
        <w:tab/>
      </w:r>
      <w:r w:rsidRPr="00B73C84">
        <w:rPr>
          <w:rStyle w:val="CharSchText"/>
        </w:rPr>
        <w:t>Application of Part 4</w:t>
      </w:r>
      <w:bookmarkEnd w:id="24"/>
    </w:p>
    <w:p w14:paraId="2CEFB93C" w14:textId="77777777" w:rsidR="00DF1B35" w:rsidRPr="00B73C84" w:rsidRDefault="00DF1B35" w:rsidP="00DF1B35">
      <w:pPr>
        <w:pStyle w:val="R1"/>
      </w:pPr>
      <w:r w:rsidRPr="00B73C84">
        <w:rPr>
          <w:b/>
        </w:rPr>
        <w:tab/>
      </w:r>
      <w:r w:rsidRPr="00B73C84">
        <w:rPr>
          <w:b/>
        </w:rPr>
        <w:tab/>
      </w:r>
      <w:r w:rsidRPr="00B73C84">
        <w:t xml:space="preserve">This Part applies if there is more than one applicant for a particular lot. </w:t>
      </w:r>
    </w:p>
    <w:p w14:paraId="03A20705" w14:textId="77777777" w:rsidR="00DF1B35" w:rsidRPr="00B73C84" w:rsidRDefault="00DF1B35" w:rsidP="00DF1B35">
      <w:pPr>
        <w:pStyle w:val="HR"/>
        <w:tabs>
          <w:tab w:val="left" w:pos="0"/>
        </w:tabs>
      </w:pPr>
      <w:bookmarkStart w:id="25" w:name="_Toc156187149"/>
      <w:r w:rsidRPr="00B73C84">
        <w:rPr>
          <w:rStyle w:val="CharSectno"/>
        </w:rPr>
        <w:t>4.2</w:t>
      </w:r>
      <w:r w:rsidRPr="00B73C84">
        <w:tab/>
        <w:t>Holding an auction</w:t>
      </w:r>
      <w:bookmarkEnd w:id="25"/>
      <w:r w:rsidRPr="00B73C84">
        <w:t xml:space="preserve"> </w:t>
      </w:r>
    </w:p>
    <w:p w14:paraId="79F40495" w14:textId="77777777" w:rsidR="00DF1B35" w:rsidRPr="00B73C84" w:rsidRDefault="00DF1B35" w:rsidP="00DF1B35">
      <w:pPr>
        <w:pStyle w:val="R1"/>
      </w:pPr>
      <w:r w:rsidRPr="00B73C84">
        <w:rPr>
          <w:b/>
        </w:rPr>
        <w:tab/>
      </w:r>
      <w:r w:rsidRPr="00B73C84">
        <w:rPr>
          <w:b/>
        </w:rPr>
        <w:tab/>
      </w:r>
      <w:r w:rsidRPr="00B73C84">
        <w:t>The ACMA must hold an auction for allocation of the lot(s) in accordance with this Determination.</w:t>
      </w:r>
    </w:p>
    <w:p w14:paraId="2160CA0F" w14:textId="77777777" w:rsidR="00DF1B35" w:rsidRPr="00B73C84" w:rsidRDefault="00DF1B35" w:rsidP="00DF1B35">
      <w:pPr>
        <w:pStyle w:val="HR"/>
        <w:tabs>
          <w:tab w:val="left" w:pos="0"/>
        </w:tabs>
      </w:pPr>
      <w:bookmarkStart w:id="26" w:name="_Toc156187150"/>
      <w:r w:rsidRPr="00B73C84">
        <w:rPr>
          <w:rStyle w:val="CharSectno"/>
        </w:rPr>
        <w:t>4.3</w:t>
      </w:r>
      <w:r w:rsidRPr="00B73C84">
        <w:tab/>
        <w:t>Appointment of auctioneer</w:t>
      </w:r>
      <w:bookmarkEnd w:id="26"/>
    </w:p>
    <w:p w14:paraId="193453BB" w14:textId="77777777" w:rsidR="00DF1B35" w:rsidRPr="00B73C84" w:rsidRDefault="00DF1B35" w:rsidP="00DF1B35">
      <w:pPr>
        <w:pStyle w:val="R1"/>
      </w:pPr>
      <w:r w:rsidRPr="00B73C84">
        <w:rPr>
          <w:b/>
        </w:rPr>
        <w:tab/>
      </w:r>
      <w:r w:rsidRPr="00B73C84">
        <w:rPr>
          <w:b/>
        </w:rPr>
        <w:tab/>
      </w:r>
      <w:r w:rsidRPr="00B73C84">
        <w:t>The</w:t>
      </w:r>
      <w:r w:rsidRPr="00B73C84">
        <w:rPr>
          <w:b/>
        </w:rPr>
        <w:t xml:space="preserve"> </w:t>
      </w:r>
      <w:r w:rsidRPr="00B73C84">
        <w:t>ACMA must appoint a person as auctioneer to conduct the auction.</w:t>
      </w:r>
    </w:p>
    <w:p w14:paraId="077CDBD8" w14:textId="3809959C" w:rsidR="00DF1B35" w:rsidRPr="00B73C84" w:rsidRDefault="00DF1B35" w:rsidP="00DF1B35">
      <w:pPr>
        <w:pStyle w:val="HR"/>
        <w:tabs>
          <w:tab w:val="left" w:pos="0"/>
        </w:tabs>
      </w:pPr>
      <w:bookmarkStart w:id="27" w:name="_Toc156187151"/>
      <w:r w:rsidRPr="00B73C84">
        <w:rPr>
          <w:rStyle w:val="CharSectno"/>
        </w:rPr>
        <w:t>4.4</w:t>
      </w:r>
      <w:r w:rsidRPr="00B73C84">
        <w:tab/>
        <w:t xml:space="preserve">Eligibility of applicants to </w:t>
      </w:r>
      <w:r w:rsidR="00337DD9">
        <w:t>participate in</w:t>
      </w:r>
      <w:r w:rsidR="00E07D3C">
        <w:t xml:space="preserve"> an</w:t>
      </w:r>
      <w:r w:rsidR="00337DD9">
        <w:t xml:space="preserve"> auction</w:t>
      </w:r>
      <w:r w:rsidRPr="00B73C84">
        <w:t xml:space="preserve"> for a lot</w:t>
      </w:r>
      <w:bookmarkEnd w:id="27"/>
    </w:p>
    <w:p w14:paraId="5C0A95B4" w14:textId="0DF24C53" w:rsidR="00DF1B35" w:rsidRPr="00B73C84" w:rsidRDefault="00DF1B35" w:rsidP="00DF1B35">
      <w:pPr>
        <w:pStyle w:val="R1"/>
      </w:pPr>
      <w:r w:rsidRPr="00B73C84">
        <w:rPr>
          <w:b/>
        </w:rPr>
        <w:tab/>
      </w:r>
      <w:r w:rsidRPr="00B73C84">
        <w:rPr>
          <w:b/>
        </w:rPr>
        <w:tab/>
      </w:r>
      <w:r w:rsidRPr="00B73C84">
        <w:t xml:space="preserve">A registered applicant is eligible to </w:t>
      </w:r>
      <w:r w:rsidR="00337DD9">
        <w:t xml:space="preserve">participate in an auction </w:t>
      </w:r>
      <w:r w:rsidRPr="00B73C84">
        <w:t>only for a lot that includes the proposed transmitter site and frequency details nominated by that applicant in the applicant's registration documents.</w:t>
      </w:r>
    </w:p>
    <w:p w14:paraId="1D1E08FD" w14:textId="77777777" w:rsidR="00DF1B35" w:rsidRPr="00B73C84" w:rsidRDefault="00DF1B35" w:rsidP="00DF1B35">
      <w:pPr>
        <w:pStyle w:val="HR"/>
        <w:tabs>
          <w:tab w:val="left" w:pos="0"/>
        </w:tabs>
      </w:pPr>
      <w:bookmarkStart w:id="28" w:name="_Toc156187152"/>
      <w:r w:rsidRPr="00B73C84">
        <w:rPr>
          <w:rStyle w:val="CharSectno"/>
        </w:rPr>
        <w:t>4.5</w:t>
      </w:r>
      <w:r w:rsidRPr="00B73C84">
        <w:tab/>
        <w:t>Notice to registered applicant</w:t>
      </w:r>
      <w:bookmarkEnd w:id="28"/>
    </w:p>
    <w:p w14:paraId="244B8949" w14:textId="77777777" w:rsidR="00DF1B35" w:rsidRPr="00B73C84" w:rsidRDefault="00DF1B35" w:rsidP="00DF1B35">
      <w:pPr>
        <w:pStyle w:val="R1"/>
      </w:pPr>
      <w:r w:rsidRPr="00B73C84">
        <w:tab/>
        <w:t>(1)</w:t>
      </w:r>
      <w:r w:rsidRPr="00B73C84">
        <w:tab/>
        <w:t xml:space="preserve">Within 25 business days after the closing date, the ACMA must give each registered applicant </w:t>
      </w:r>
      <w:r w:rsidR="00337DD9">
        <w:t xml:space="preserve">who is eligible to participate in an auction </w:t>
      </w:r>
      <w:r w:rsidRPr="00B73C84">
        <w:t xml:space="preserve">for a particular lot: </w:t>
      </w:r>
    </w:p>
    <w:p w14:paraId="00DE71EA" w14:textId="77777777" w:rsidR="00DF1B35" w:rsidRPr="00B73C84" w:rsidRDefault="00DF1B35" w:rsidP="00DF1B35">
      <w:pPr>
        <w:pStyle w:val="P1"/>
      </w:pPr>
      <w:r w:rsidRPr="00B73C84">
        <w:tab/>
        <w:t>(a)</w:t>
      </w:r>
      <w:r w:rsidRPr="00B73C84">
        <w:tab/>
        <w:t>a notice setting out:</w:t>
      </w:r>
    </w:p>
    <w:p w14:paraId="70C4E0EB" w14:textId="77777777" w:rsidR="00DF1B35" w:rsidRPr="00B73C84" w:rsidRDefault="00DF1B35" w:rsidP="00DF1B35">
      <w:pPr>
        <w:pStyle w:val="P2"/>
      </w:pPr>
      <w:r w:rsidRPr="00B73C84">
        <w:tab/>
        <w:t>(</w:t>
      </w:r>
      <w:proofErr w:type="spellStart"/>
      <w:r w:rsidRPr="00B73C84">
        <w:t>i</w:t>
      </w:r>
      <w:proofErr w:type="spellEnd"/>
      <w:r w:rsidRPr="00B73C84">
        <w:t>)</w:t>
      </w:r>
      <w:r w:rsidRPr="00B73C84">
        <w:tab/>
        <w:t xml:space="preserve">that there is more than one registered applicant </w:t>
      </w:r>
      <w:r w:rsidR="00337DD9">
        <w:t xml:space="preserve">eligible to participate in the auction </w:t>
      </w:r>
      <w:r w:rsidRPr="00B73C84">
        <w:t xml:space="preserve">for the lot and the number of applicants for the lot; </w:t>
      </w:r>
    </w:p>
    <w:p w14:paraId="4BF57914" w14:textId="77777777" w:rsidR="00DF1B35" w:rsidRPr="00B73C84" w:rsidRDefault="00DF1B35" w:rsidP="00DF1B35">
      <w:pPr>
        <w:pStyle w:val="P2"/>
      </w:pPr>
      <w:r w:rsidRPr="00B73C84">
        <w:tab/>
        <w:t>(ii)</w:t>
      </w:r>
      <w:r w:rsidRPr="00B73C84">
        <w:tab/>
        <w:t xml:space="preserve">that the ACMA will conduct an auction in relation to that lot; </w:t>
      </w:r>
    </w:p>
    <w:p w14:paraId="2332D440" w14:textId="77777777" w:rsidR="00DF1B35" w:rsidRPr="00B73C84" w:rsidRDefault="00DF1B35" w:rsidP="00DF1B35">
      <w:pPr>
        <w:pStyle w:val="P2"/>
      </w:pPr>
      <w:r w:rsidRPr="00B73C84">
        <w:tab/>
        <w:t>(iii)</w:t>
      </w:r>
      <w:r w:rsidRPr="00B73C84">
        <w:tab/>
        <w:t xml:space="preserve">the starting time and date and place of the auction; </w:t>
      </w:r>
    </w:p>
    <w:p w14:paraId="700568E0" w14:textId="77777777" w:rsidR="00DF1B35" w:rsidRPr="00B73C84" w:rsidRDefault="00DF1B35" w:rsidP="00DF1B35">
      <w:pPr>
        <w:pStyle w:val="P2"/>
      </w:pPr>
      <w:r w:rsidRPr="00B73C84">
        <w:tab/>
        <w:t>(iv)</w:t>
      </w:r>
      <w:r w:rsidRPr="00B73C84">
        <w:tab/>
        <w:t>the auction deposit amount for that lot; and</w:t>
      </w:r>
    </w:p>
    <w:p w14:paraId="1A953A1C" w14:textId="77777777" w:rsidR="00DF1B35" w:rsidRPr="00B73C84" w:rsidRDefault="00DF1B35" w:rsidP="00DF1B35">
      <w:pPr>
        <w:pStyle w:val="P2"/>
      </w:pPr>
      <w:r w:rsidRPr="00B73C84">
        <w:tab/>
        <w:t>(v)</w:t>
      </w:r>
      <w:r w:rsidRPr="00B73C84">
        <w:tab/>
        <w:t>the date by which the auction deposit for the lot must be paid and by which the Form(s) of Authority must be lodged; and</w:t>
      </w:r>
    </w:p>
    <w:p w14:paraId="69E30AD4" w14:textId="77777777" w:rsidR="00DF1B35" w:rsidRPr="00B73C84" w:rsidRDefault="00DF1B35" w:rsidP="00DF1B35">
      <w:pPr>
        <w:pStyle w:val="P1"/>
      </w:pPr>
      <w:r w:rsidRPr="00B73C84">
        <w:tab/>
        <w:t>(b)</w:t>
      </w:r>
      <w:r w:rsidRPr="00B73C84">
        <w:tab/>
        <w:t>a Form of Authority to be completed for each person authorised by the applicant to bid at the auction.</w:t>
      </w:r>
    </w:p>
    <w:p w14:paraId="46234BDE" w14:textId="77777777" w:rsidR="00DF1B35" w:rsidRPr="00B73C84" w:rsidRDefault="00DF1B35" w:rsidP="00DF1B35">
      <w:pPr>
        <w:pStyle w:val="R2"/>
      </w:pPr>
      <w:r w:rsidRPr="00B73C84">
        <w:tab/>
        <w:t>(2)</w:t>
      </w:r>
      <w:r w:rsidRPr="00B73C84">
        <w:tab/>
        <w:t>The ACMA:</w:t>
      </w:r>
    </w:p>
    <w:p w14:paraId="53227038" w14:textId="62BD58F6" w:rsidR="00DF1B35" w:rsidRPr="00B73C84" w:rsidRDefault="00DF1B35" w:rsidP="00DF1B35">
      <w:pPr>
        <w:pStyle w:val="P1"/>
      </w:pPr>
      <w:r w:rsidRPr="00B73C84">
        <w:tab/>
        <w:t>(a)</w:t>
      </w:r>
      <w:r w:rsidRPr="00B73C84">
        <w:tab/>
      </w:r>
      <w:r w:rsidR="00337DD9">
        <w:t xml:space="preserve">subject to subsection (3), </w:t>
      </w:r>
      <w:r w:rsidRPr="00B73C84">
        <w:t>may change the details of information mentioned in subparagraphs 4.5 </w:t>
      </w:r>
      <w:r w:rsidR="00E07D3C">
        <w:t xml:space="preserve">(1) </w:t>
      </w:r>
      <w:r w:rsidRPr="00B73C84">
        <w:t>(a) (</w:t>
      </w:r>
      <w:proofErr w:type="spellStart"/>
      <w:r w:rsidRPr="00B73C84">
        <w:t>i</w:t>
      </w:r>
      <w:proofErr w:type="spellEnd"/>
      <w:r w:rsidRPr="00B73C84">
        <w:t>) and (iii); and</w:t>
      </w:r>
    </w:p>
    <w:p w14:paraId="6B37F5C0" w14:textId="77777777" w:rsidR="00DF1B35" w:rsidRPr="00B73C84" w:rsidRDefault="00DF1B35" w:rsidP="00DF1B35">
      <w:pPr>
        <w:pStyle w:val="P1"/>
      </w:pPr>
      <w:r w:rsidRPr="00B73C84">
        <w:tab/>
        <w:t>(b)</w:t>
      </w:r>
      <w:r w:rsidRPr="00B73C84">
        <w:tab/>
        <w:t>must tell all affected applicants of the change, in writing, as soon as practicable after making the change.</w:t>
      </w:r>
    </w:p>
    <w:p w14:paraId="5CDBA5AF" w14:textId="77777777" w:rsidR="00DF1B35" w:rsidRPr="00B73C84" w:rsidRDefault="00DF1B35" w:rsidP="00DF1B35">
      <w:pPr>
        <w:pStyle w:val="R2"/>
      </w:pPr>
      <w:r w:rsidRPr="00B73C84">
        <w:tab/>
        <w:t>(3)</w:t>
      </w:r>
      <w:r w:rsidRPr="00B73C84">
        <w:tab/>
        <w:t xml:space="preserve">The ACMA must not change the starting date of the auction to an earlier date. </w:t>
      </w:r>
    </w:p>
    <w:p w14:paraId="717009CE" w14:textId="77777777" w:rsidR="00DF1B35" w:rsidRPr="00B73C84" w:rsidRDefault="00DF1B35" w:rsidP="00DF1B35">
      <w:pPr>
        <w:pStyle w:val="R2"/>
      </w:pPr>
      <w:r w:rsidRPr="00B73C84">
        <w:tab/>
        <w:t>(4)</w:t>
      </w:r>
      <w:r w:rsidRPr="00B73C84">
        <w:tab/>
        <w:t>If an auction deposit is not paid by a registered applicant by the date set out in the notice in subparagraph 4.5 (1) (a) (v), the application for that lot will be taken to be withdrawn.</w:t>
      </w:r>
    </w:p>
    <w:p w14:paraId="72351EDE" w14:textId="77777777" w:rsidR="00DF1B35" w:rsidRPr="00B73C84" w:rsidRDefault="00DF1B35" w:rsidP="00DF1B35">
      <w:pPr>
        <w:pStyle w:val="HR"/>
        <w:rPr>
          <w:i/>
        </w:rPr>
      </w:pPr>
      <w:bookmarkStart w:id="29" w:name="_Toc156187153"/>
      <w:r w:rsidRPr="00B73C84">
        <w:rPr>
          <w:rStyle w:val="CharSectno"/>
        </w:rPr>
        <w:t>4.6</w:t>
      </w:r>
      <w:r w:rsidRPr="00B73C84">
        <w:tab/>
      </w:r>
      <w:r w:rsidRPr="00B73C84">
        <w:rPr>
          <w:rStyle w:val="CharSchText"/>
        </w:rPr>
        <w:t>Payment of auction deposit</w:t>
      </w:r>
      <w:bookmarkEnd w:id="29"/>
    </w:p>
    <w:p w14:paraId="7AEE0E60" w14:textId="77777777" w:rsidR="00DF1B35" w:rsidRPr="00B73C84" w:rsidRDefault="00DF1B35" w:rsidP="00DF1B35">
      <w:pPr>
        <w:pStyle w:val="R1"/>
      </w:pPr>
      <w:r w:rsidRPr="00B73C84">
        <w:tab/>
        <w:t>(1)</w:t>
      </w:r>
      <w:r w:rsidRPr="00B73C84">
        <w:tab/>
        <w:t>Registered applicants intending to bid at auction must pay an auction deposit for each lot they are eligible to bid for and that they intend to bid on.</w:t>
      </w:r>
    </w:p>
    <w:p w14:paraId="19AA7017" w14:textId="77777777" w:rsidR="00DF1B35" w:rsidRPr="00B73C84" w:rsidRDefault="00DF1B35" w:rsidP="00DF1B35">
      <w:pPr>
        <w:pStyle w:val="R2"/>
      </w:pPr>
      <w:r w:rsidRPr="00B73C84">
        <w:tab/>
        <w:t>(2)</w:t>
      </w:r>
      <w:r w:rsidRPr="00B73C84">
        <w:tab/>
        <w:t>The auction deposit will be determined under paragraph 2.2 (d) and must be paid in accordance with section 2.5 by the date specified by the ACMA under subparagraph 4.5 (1) (a) (v).</w:t>
      </w:r>
    </w:p>
    <w:p w14:paraId="3A9AD588" w14:textId="77777777" w:rsidR="00DF1B35" w:rsidRPr="00B73C84" w:rsidRDefault="00DF1B35" w:rsidP="00DF1B35">
      <w:pPr>
        <w:pStyle w:val="R2"/>
      </w:pPr>
      <w:r w:rsidRPr="00B73C84">
        <w:tab/>
        <w:t>(3)</w:t>
      </w:r>
      <w:r w:rsidRPr="00B73C84">
        <w:tab/>
        <w:t>An auction deposit will be fully refundable if the applicant withdraws prior to the commencement of the auction or if the applicant is not a successful bidder in respect of a particular lot.</w:t>
      </w:r>
    </w:p>
    <w:p w14:paraId="60FE9E91" w14:textId="77777777" w:rsidR="00DF1B35" w:rsidRPr="00B73C84" w:rsidRDefault="00DF1B35" w:rsidP="00DF1B35">
      <w:pPr>
        <w:pStyle w:val="R2"/>
      </w:pPr>
      <w:r w:rsidRPr="00B73C84">
        <w:tab/>
        <w:t>(4)</w:t>
      </w:r>
      <w:r w:rsidRPr="00B73C84">
        <w:tab/>
        <w:t>An auction deposit is forfeited if the applicant defaults in respect of the applicant’s obligations under section 6.3.</w:t>
      </w:r>
    </w:p>
    <w:p w14:paraId="23160A8D" w14:textId="77777777" w:rsidR="00DF1B35" w:rsidRPr="00B73C84" w:rsidRDefault="00DF1B35" w:rsidP="00DF1B35">
      <w:pPr>
        <w:pStyle w:val="R2"/>
      </w:pPr>
      <w:r w:rsidRPr="00B73C84">
        <w:tab/>
        <w:t>(5)</w:t>
      </w:r>
      <w:r w:rsidRPr="00B73C84">
        <w:tab/>
        <w:t>Only registered applicants who have paid an auction deposit for a particular lot will be eligible to bid on that lot.</w:t>
      </w:r>
    </w:p>
    <w:p w14:paraId="1F9F8FF4" w14:textId="77777777" w:rsidR="00DF1B35" w:rsidRPr="00B73C84" w:rsidRDefault="00DF1B35" w:rsidP="00DF1B35">
      <w:pPr>
        <w:pStyle w:val="HR"/>
      </w:pPr>
      <w:bookmarkStart w:id="30" w:name="_Toc156187154"/>
      <w:r w:rsidRPr="00B73C84">
        <w:rPr>
          <w:rStyle w:val="CharSectno"/>
        </w:rPr>
        <w:t>4.7</w:t>
      </w:r>
      <w:r w:rsidRPr="00B73C84">
        <w:tab/>
        <w:t>Confirmation of registration for auction</w:t>
      </w:r>
      <w:bookmarkEnd w:id="30"/>
    </w:p>
    <w:p w14:paraId="4762371E" w14:textId="77777777" w:rsidR="00DF1B35" w:rsidRPr="00B73C84" w:rsidRDefault="00DF1B35" w:rsidP="00DF1B35">
      <w:pPr>
        <w:pStyle w:val="R1"/>
      </w:pPr>
      <w:r w:rsidRPr="00B73C84">
        <w:tab/>
      </w:r>
      <w:r w:rsidRPr="00B73C84">
        <w:tab/>
        <w:t>Within 15 business days</w:t>
      </w:r>
      <w:r w:rsidRPr="00B73C84">
        <w:rPr>
          <w:b/>
        </w:rPr>
        <w:t xml:space="preserve"> </w:t>
      </w:r>
      <w:r w:rsidRPr="00B73C84">
        <w:t>before the commencement of the auction the ACMA will confirm in a notice to each registered applicant:</w:t>
      </w:r>
    </w:p>
    <w:p w14:paraId="1DE94B93" w14:textId="77777777" w:rsidR="00DF1B35" w:rsidRPr="00B73C84" w:rsidRDefault="00DF1B35" w:rsidP="00DF1B35">
      <w:pPr>
        <w:pStyle w:val="P1"/>
      </w:pPr>
      <w:r w:rsidRPr="00B73C84">
        <w:tab/>
        <w:t>(a)</w:t>
      </w:r>
      <w:r w:rsidRPr="00B73C84">
        <w:tab/>
        <w:t xml:space="preserve">the applicant’s payment of the auction deposit for each lot; </w:t>
      </w:r>
    </w:p>
    <w:p w14:paraId="1A04F96E" w14:textId="77777777" w:rsidR="00DF1B35" w:rsidRPr="00B73C84" w:rsidRDefault="00DF1B35" w:rsidP="00DF1B35">
      <w:pPr>
        <w:pStyle w:val="P1"/>
      </w:pPr>
      <w:r w:rsidRPr="00B73C84">
        <w:tab/>
        <w:t>(b)</w:t>
      </w:r>
      <w:r w:rsidRPr="00B73C84">
        <w:tab/>
        <w:t xml:space="preserve">each person (if any) in respect of whom a Form of Authority has been lodged by that applicant; </w:t>
      </w:r>
    </w:p>
    <w:p w14:paraId="4BE1BF30" w14:textId="77777777" w:rsidR="00DF1B35" w:rsidRPr="00B73C84" w:rsidRDefault="00DF1B35" w:rsidP="00DF1B35">
      <w:pPr>
        <w:pStyle w:val="P1"/>
      </w:pPr>
      <w:r w:rsidRPr="00B73C84">
        <w:tab/>
        <w:t>(c)</w:t>
      </w:r>
      <w:r w:rsidRPr="00B73C84">
        <w:tab/>
        <w:t>each lot that the applicant is eligible to bid for; and</w:t>
      </w:r>
    </w:p>
    <w:p w14:paraId="2E706031" w14:textId="77777777" w:rsidR="00DF1B35" w:rsidRPr="00B73C84" w:rsidRDefault="00DF1B35" w:rsidP="00DF1B35">
      <w:pPr>
        <w:pStyle w:val="P1"/>
      </w:pPr>
      <w:r w:rsidRPr="00B73C84">
        <w:tab/>
        <w:t>(d)</w:t>
      </w:r>
      <w:r w:rsidRPr="00B73C84">
        <w:tab/>
        <w:t>whether the ACMA will allow telephone bidding at the auction.</w:t>
      </w:r>
    </w:p>
    <w:p w14:paraId="282703C8" w14:textId="77777777" w:rsidR="00DF1B35" w:rsidRPr="00B73C84" w:rsidRDefault="00DF1B35" w:rsidP="00DF1B35">
      <w:pPr>
        <w:pStyle w:val="HR"/>
      </w:pPr>
      <w:bookmarkStart w:id="31" w:name="_Toc156187155"/>
      <w:r w:rsidRPr="00B73C84">
        <w:rPr>
          <w:rStyle w:val="CharSectno"/>
        </w:rPr>
        <w:t>4.8</w:t>
      </w:r>
      <w:r w:rsidRPr="00B73C84">
        <w:tab/>
        <w:t>Telephone bidding</w:t>
      </w:r>
      <w:bookmarkEnd w:id="31"/>
    </w:p>
    <w:p w14:paraId="7BC8CA2C" w14:textId="77777777" w:rsidR="00DF1B35" w:rsidRPr="00B73C84" w:rsidRDefault="00DF1B35" w:rsidP="00DF1B35">
      <w:pPr>
        <w:pStyle w:val="R1"/>
      </w:pPr>
      <w:r w:rsidRPr="00B73C84">
        <w:tab/>
        <w:t>(1)</w:t>
      </w:r>
      <w:r w:rsidRPr="00B73C84">
        <w:tab/>
        <w:t>The ACMA may allow bidding at an auction to be conducted by telephone.</w:t>
      </w:r>
    </w:p>
    <w:p w14:paraId="6100F4DD" w14:textId="77777777" w:rsidR="00DF1B35" w:rsidRPr="00B73C84" w:rsidRDefault="00DF1B35" w:rsidP="00DF1B35">
      <w:pPr>
        <w:pStyle w:val="R2"/>
      </w:pPr>
      <w:r w:rsidRPr="00B73C84">
        <w:tab/>
        <w:t>(2)</w:t>
      </w:r>
      <w:r w:rsidRPr="00B73C84">
        <w:rPr>
          <w:i/>
        </w:rPr>
        <w:tab/>
      </w:r>
      <w:r w:rsidRPr="00B73C84">
        <w:t>Registered applicants who wish to bid by telephone must advise the ACMA in writing no later than 5 business days before the commencement of the auction.</w:t>
      </w:r>
    </w:p>
    <w:p w14:paraId="7CBEBE4A" w14:textId="77777777" w:rsidR="00DF1B35" w:rsidRPr="00B73C84" w:rsidRDefault="00DF1B35" w:rsidP="00DF1B35">
      <w:pPr>
        <w:pStyle w:val="R2"/>
        <w:rPr>
          <w:b/>
        </w:rPr>
      </w:pPr>
      <w:r w:rsidRPr="00B73C84">
        <w:tab/>
        <w:t>(3)</w:t>
      </w:r>
      <w:r w:rsidRPr="00B73C84">
        <w:tab/>
        <w:t>Where telephone bidding has been allowed, the ACMA will issue to each registered applicant who wishes to bid in such a manner a password and a 4 digit identification number which the applicant must provide to the ACMA immediately prior to the commencement of the auction to verify the applicant’s identity (</w:t>
      </w:r>
      <w:r w:rsidRPr="00B73C84">
        <w:rPr>
          <w:b/>
          <w:i/>
        </w:rPr>
        <w:t>verified telephone bidder</w:t>
      </w:r>
      <w:r w:rsidRPr="00B73C84">
        <w:t>).</w:t>
      </w:r>
    </w:p>
    <w:p w14:paraId="3C970E53" w14:textId="2C0C42C5" w:rsidR="00DF1B35" w:rsidRPr="00B73C84" w:rsidRDefault="00DF1B35" w:rsidP="00DF1B35">
      <w:pPr>
        <w:pStyle w:val="HR"/>
        <w:keepLines/>
      </w:pPr>
      <w:bookmarkStart w:id="32" w:name="_Toc156187156"/>
      <w:r w:rsidRPr="00B73C84">
        <w:rPr>
          <w:rStyle w:val="CharSectno"/>
        </w:rPr>
        <w:t>4.9</w:t>
      </w:r>
      <w:r w:rsidRPr="00B73C84">
        <w:tab/>
        <w:t>Lodg</w:t>
      </w:r>
      <w:r w:rsidR="00F51D6A">
        <w:t>e</w:t>
      </w:r>
      <w:r w:rsidRPr="00B73C84">
        <w:t>ment of another Form of Authority</w:t>
      </w:r>
      <w:bookmarkEnd w:id="32"/>
      <w:r w:rsidRPr="00B73C84">
        <w:t xml:space="preserve"> </w:t>
      </w:r>
    </w:p>
    <w:p w14:paraId="0A0D604B" w14:textId="77777777" w:rsidR="00DF1B35" w:rsidRPr="00B73C84" w:rsidRDefault="00DF1B35" w:rsidP="00DF1B35">
      <w:pPr>
        <w:pStyle w:val="R1"/>
        <w:keepNext/>
      </w:pPr>
      <w:r w:rsidRPr="00B73C84">
        <w:tab/>
        <w:t>(1)</w:t>
      </w:r>
      <w:r w:rsidRPr="00B73C84">
        <w:tab/>
        <w:t>This section applies if:</w:t>
      </w:r>
    </w:p>
    <w:p w14:paraId="3E33E46E" w14:textId="77777777" w:rsidR="00DF1B35" w:rsidRPr="00B73C84" w:rsidRDefault="00DF1B35" w:rsidP="00DF1B35">
      <w:pPr>
        <w:pStyle w:val="P1"/>
      </w:pPr>
      <w:r w:rsidRPr="00B73C84">
        <w:tab/>
        <w:t>(a)</w:t>
      </w:r>
      <w:r w:rsidRPr="00B73C84">
        <w:tab/>
        <w:t>a registered applicant wishes to have an individual represent the applicant at an auction other than by telephone; and</w:t>
      </w:r>
    </w:p>
    <w:p w14:paraId="67CF18DD" w14:textId="77777777" w:rsidR="00DF1B35" w:rsidRPr="00B73C84" w:rsidRDefault="00DF1B35" w:rsidP="00DF1B35">
      <w:pPr>
        <w:pStyle w:val="P1"/>
      </w:pPr>
      <w:r w:rsidRPr="00B73C84">
        <w:tab/>
        <w:t>(b)</w:t>
      </w:r>
      <w:r w:rsidRPr="00B73C84">
        <w:tab/>
        <w:t>the individual is not a person for whom the applicant has given the ACMA a Form of Authority under paragraph 4.5 (1) (b).</w:t>
      </w:r>
    </w:p>
    <w:p w14:paraId="0EF9CC60" w14:textId="77777777" w:rsidR="00DF1B35" w:rsidRPr="00B73C84" w:rsidRDefault="00DF1B35" w:rsidP="00DF1B35">
      <w:pPr>
        <w:pStyle w:val="R2"/>
      </w:pPr>
      <w:r w:rsidRPr="00B73C84">
        <w:tab/>
        <w:t>(2)</w:t>
      </w:r>
      <w:r w:rsidRPr="00B73C84">
        <w:tab/>
        <w:t>The applicant must give the ACMA a duly completed Form of Authority for the individual no later than two hours before the starting time of the auction together with confirmation that the individual for whom a Form of Authority had previously been given is no longer authorised to bid on behalf of that applicant if that is the case.</w:t>
      </w:r>
    </w:p>
    <w:p w14:paraId="20223C8B" w14:textId="77777777" w:rsidR="00DF1B35" w:rsidRPr="00B73C84" w:rsidRDefault="00DF1B35" w:rsidP="00DF1B35">
      <w:pPr>
        <w:pStyle w:val="HR"/>
      </w:pPr>
      <w:bookmarkStart w:id="33" w:name="_Toc156187157"/>
      <w:r w:rsidRPr="00B73C84">
        <w:rPr>
          <w:rStyle w:val="CharSectno"/>
        </w:rPr>
        <w:t>4.10</w:t>
      </w:r>
      <w:r w:rsidRPr="00B73C84">
        <w:tab/>
      </w:r>
      <w:r w:rsidRPr="00B73C84">
        <w:rPr>
          <w:rStyle w:val="CharSchText"/>
        </w:rPr>
        <w:t>Bidder identification as registered bidder</w:t>
      </w:r>
      <w:bookmarkEnd w:id="33"/>
    </w:p>
    <w:p w14:paraId="5C7966C7" w14:textId="77777777" w:rsidR="00DF1B35" w:rsidRPr="00B73C84" w:rsidRDefault="00DF1B35" w:rsidP="00DF1B35">
      <w:pPr>
        <w:pStyle w:val="R1"/>
      </w:pPr>
      <w:r w:rsidRPr="00B73C84">
        <w:tab/>
        <w:t>(1)</w:t>
      </w:r>
      <w:r w:rsidRPr="00B73C84">
        <w:tab/>
        <w:t>A registered applicant, or any person in respect of whom a Form of Authority has been lodged by a registered applicant, who wishes to bid at the auction in person must register as a bidder (a</w:t>
      </w:r>
      <w:r w:rsidRPr="00B73C84">
        <w:rPr>
          <w:b/>
        </w:rPr>
        <w:t xml:space="preserve"> </w:t>
      </w:r>
      <w:r w:rsidRPr="00B73C84">
        <w:rPr>
          <w:b/>
          <w:i/>
        </w:rPr>
        <w:t>registered bidder</w:t>
      </w:r>
      <w:r w:rsidRPr="00B73C84">
        <w:t>) and must present to the ACMA no later than one hour before the commencement of the auction evidence of the individual’s identity.</w:t>
      </w:r>
    </w:p>
    <w:p w14:paraId="3868C8AB" w14:textId="77777777" w:rsidR="00DF1B35" w:rsidRPr="00B73C84" w:rsidRDefault="00DF1B35" w:rsidP="00DF1B35">
      <w:pPr>
        <w:pStyle w:val="R2"/>
      </w:pPr>
      <w:r w:rsidRPr="00B73C84">
        <w:tab/>
        <w:t>(2)</w:t>
      </w:r>
      <w:r w:rsidRPr="00B73C84">
        <w:tab/>
        <w:t>For the purposes of subsection (1), an Australian Drivers Licence or a passport will be sufficient evidence of that person’s identity.</w:t>
      </w:r>
    </w:p>
    <w:p w14:paraId="26E722F0" w14:textId="77777777" w:rsidR="00DF1B35" w:rsidRPr="00B73C84" w:rsidRDefault="00DF1B35" w:rsidP="00DF1B35">
      <w:pPr>
        <w:pStyle w:val="R2"/>
        <w:rPr>
          <w:b/>
        </w:rPr>
      </w:pPr>
      <w:r w:rsidRPr="00B73C84">
        <w:tab/>
        <w:t>(3)</w:t>
      </w:r>
      <w:r w:rsidRPr="00B73C84">
        <w:tab/>
        <w:t>On registering an individual as a bidder, the ACMA must give each registered bidder a bidder’s paddle.</w:t>
      </w:r>
    </w:p>
    <w:p w14:paraId="0C340A5C" w14:textId="77777777" w:rsidR="00DF1B35" w:rsidRPr="00B73C84" w:rsidRDefault="00DF1B35" w:rsidP="00DF1B35">
      <w:pPr>
        <w:pStyle w:val="HR"/>
      </w:pPr>
      <w:bookmarkStart w:id="34" w:name="_Toc156187158"/>
      <w:r w:rsidRPr="00B73C84">
        <w:rPr>
          <w:rStyle w:val="CharSectno"/>
        </w:rPr>
        <w:t>4.11</w:t>
      </w:r>
      <w:r w:rsidRPr="00B73C84">
        <w:tab/>
        <w:t>Bidding in an auction</w:t>
      </w:r>
      <w:bookmarkEnd w:id="34"/>
    </w:p>
    <w:p w14:paraId="437E359A" w14:textId="77777777" w:rsidR="00DF1B35" w:rsidRPr="00B73C84" w:rsidRDefault="00DF1B35" w:rsidP="00DF1B35">
      <w:pPr>
        <w:pStyle w:val="R1"/>
      </w:pPr>
      <w:r w:rsidRPr="00B73C84">
        <w:tab/>
        <w:t>(1)</w:t>
      </w:r>
      <w:r w:rsidRPr="00B73C84">
        <w:tab/>
        <w:t>Only a registered bidder or a verified telephone bidder may bid for a lot.</w:t>
      </w:r>
    </w:p>
    <w:p w14:paraId="5BDB280A" w14:textId="77777777" w:rsidR="00DF1B35" w:rsidRPr="00B73C84" w:rsidRDefault="00DF1B35" w:rsidP="00DF1B35">
      <w:pPr>
        <w:pStyle w:val="R2"/>
      </w:pPr>
      <w:r w:rsidRPr="00B73C84">
        <w:tab/>
        <w:t>(2)</w:t>
      </w:r>
      <w:r w:rsidRPr="00B73C84">
        <w:tab/>
        <w:t>A registered bidder may only bid for a lot:</w:t>
      </w:r>
    </w:p>
    <w:p w14:paraId="019BF256" w14:textId="77777777" w:rsidR="00DF1B35" w:rsidRPr="00B73C84" w:rsidRDefault="00DF1B35" w:rsidP="00DF1B35">
      <w:pPr>
        <w:pStyle w:val="P1"/>
      </w:pPr>
      <w:r w:rsidRPr="00B73C84">
        <w:tab/>
        <w:t>(a)</w:t>
      </w:r>
      <w:r w:rsidRPr="00B73C84">
        <w:tab/>
        <w:t>where the registered bidder is the registered applicant; or</w:t>
      </w:r>
    </w:p>
    <w:p w14:paraId="56AC7388" w14:textId="34A946E0" w:rsidR="00DF1B35" w:rsidRPr="00B73C84" w:rsidRDefault="00DF1B35" w:rsidP="00DF1B35">
      <w:pPr>
        <w:pStyle w:val="P1"/>
      </w:pPr>
      <w:r w:rsidRPr="00B73C84">
        <w:tab/>
        <w:t>(b)</w:t>
      </w:r>
      <w:r w:rsidRPr="00B73C84">
        <w:tab/>
        <w:t xml:space="preserve">where the registered applicant has provided the ACMA with a Form of Authority for the registered bidder under paragraph 4.5 (1) (b) or subsection 4.9 (2); </w:t>
      </w:r>
    </w:p>
    <w:p w14:paraId="30D8FB48" w14:textId="77777777" w:rsidR="00DF1B35" w:rsidRPr="00B73C84" w:rsidRDefault="00DF1B35" w:rsidP="00DF1B35">
      <w:pPr>
        <w:pStyle w:val="P1"/>
      </w:pPr>
      <w:r w:rsidRPr="00B73C84">
        <w:tab/>
        <w:t>(c)</w:t>
      </w:r>
      <w:r w:rsidRPr="00B73C84">
        <w:tab/>
        <w:t xml:space="preserve">and the lot is nominated by the registered applicant in the registration documents and for which an auction deposit has been paid. </w:t>
      </w:r>
    </w:p>
    <w:p w14:paraId="0F2CB40E" w14:textId="77777777" w:rsidR="00DF1B35" w:rsidRPr="00B73C84" w:rsidRDefault="00DF1B35" w:rsidP="00DF1B35">
      <w:pPr>
        <w:pStyle w:val="R2"/>
        <w:rPr>
          <w:b/>
        </w:rPr>
      </w:pPr>
      <w:r w:rsidRPr="00B73C84">
        <w:tab/>
        <w:t>(3)</w:t>
      </w:r>
      <w:r w:rsidRPr="00B73C84">
        <w:tab/>
        <w:t>A verified telephone bidder may only bid for a lot nominated by the registered applicant in the registration documents and for which an auction deposit has been paid.</w:t>
      </w:r>
    </w:p>
    <w:p w14:paraId="410427B8" w14:textId="77777777" w:rsidR="00DF1B35" w:rsidRPr="00B73C84" w:rsidRDefault="00DF1B35" w:rsidP="00DF1B35">
      <w:pPr>
        <w:pStyle w:val="R2"/>
      </w:pPr>
      <w:r w:rsidRPr="00B73C84">
        <w:tab/>
        <w:t>(4)</w:t>
      </w:r>
      <w:r w:rsidRPr="00B73C84">
        <w:tab/>
        <w:t>The auctioneer will:</w:t>
      </w:r>
    </w:p>
    <w:p w14:paraId="5774A53E" w14:textId="77777777" w:rsidR="00DF1B35" w:rsidRPr="00B73C84" w:rsidRDefault="00DF1B35" w:rsidP="00DF1B35">
      <w:pPr>
        <w:pStyle w:val="P1"/>
      </w:pPr>
      <w:r w:rsidRPr="00B73C84">
        <w:tab/>
        <w:t>(a)</w:t>
      </w:r>
      <w:r w:rsidRPr="00B73C84">
        <w:tab/>
        <w:t>invite bids for the lot; and</w:t>
      </w:r>
    </w:p>
    <w:p w14:paraId="30F42ED7" w14:textId="77777777" w:rsidR="00DF1B35" w:rsidRPr="00B73C84" w:rsidRDefault="00DF1B35" w:rsidP="00DF1B35">
      <w:pPr>
        <w:pStyle w:val="P1"/>
      </w:pPr>
      <w:r w:rsidRPr="00B73C84">
        <w:tab/>
        <w:t>(b)</w:t>
      </w:r>
      <w:r w:rsidRPr="00B73C84">
        <w:tab/>
        <w:t>identify the registered bidder or verified telephone bidder who makes the highest bid for the lot.</w:t>
      </w:r>
    </w:p>
    <w:p w14:paraId="22B5B67D" w14:textId="77777777" w:rsidR="00DF1B35" w:rsidRPr="00B73C84" w:rsidRDefault="00DF1B35" w:rsidP="00DF1B35">
      <w:pPr>
        <w:pStyle w:val="R2"/>
        <w:keepNext/>
      </w:pPr>
      <w:r w:rsidRPr="00B73C84">
        <w:tab/>
        <w:t>(5)</w:t>
      </w:r>
      <w:r w:rsidRPr="00B73C84">
        <w:tab/>
        <w:t>In the event of a disputed bid:</w:t>
      </w:r>
    </w:p>
    <w:p w14:paraId="30269EB8" w14:textId="77777777" w:rsidR="00DF1B35" w:rsidRPr="00B73C84" w:rsidRDefault="00DF1B35" w:rsidP="00DF1B35">
      <w:pPr>
        <w:pStyle w:val="P1"/>
      </w:pPr>
      <w:r w:rsidRPr="00B73C84">
        <w:tab/>
        <w:t>(a)</w:t>
      </w:r>
      <w:r w:rsidRPr="00B73C84">
        <w:tab/>
        <w:t>the auctioneer is the sole arbiter; and</w:t>
      </w:r>
    </w:p>
    <w:p w14:paraId="54A3D35B" w14:textId="77777777" w:rsidR="00DF1B35" w:rsidRPr="00B73C84" w:rsidRDefault="00DF1B35" w:rsidP="00DF1B35">
      <w:pPr>
        <w:pStyle w:val="P1"/>
      </w:pPr>
      <w:r w:rsidRPr="00B73C84">
        <w:tab/>
        <w:t>(b)</w:t>
      </w:r>
      <w:r w:rsidRPr="00B73C84">
        <w:tab/>
        <w:t>the auctioneer’s decision is final.</w:t>
      </w:r>
    </w:p>
    <w:p w14:paraId="2BF03415" w14:textId="77777777" w:rsidR="00DF1B35" w:rsidRPr="00B73C84" w:rsidRDefault="00DF1B35" w:rsidP="00DF1B35">
      <w:pPr>
        <w:pStyle w:val="R2"/>
      </w:pPr>
      <w:r w:rsidRPr="00B73C84">
        <w:tab/>
        <w:t>(6)</w:t>
      </w:r>
      <w:r w:rsidRPr="00B73C84">
        <w:tab/>
        <w:t xml:space="preserve">If the highest bid made for a lot is at least equal to the reserve price for the lot, the registered applicant by or for whom the highest bid is made is the successful applicant (the </w:t>
      </w:r>
      <w:r w:rsidRPr="00B73C84">
        <w:rPr>
          <w:b/>
          <w:i/>
        </w:rPr>
        <w:t>successful applicant</w:t>
      </w:r>
      <w:r w:rsidRPr="00B73C84">
        <w:t>) for the lot.</w:t>
      </w:r>
    </w:p>
    <w:p w14:paraId="390AE44B" w14:textId="77777777" w:rsidR="00DF1B35" w:rsidRPr="00B73C84" w:rsidRDefault="00DF1B35" w:rsidP="00DF1B35">
      <w:pPr>
        <w:pStyle w:val="HR"/>
      </w:pPr>
      <w:bookmarkStart w:id="35" w:name="_Toc156187159"/>
      <w:r w:rsidRPr="00B73C84">
        <w:rPr>
          <w:rStyle w:val="CharSectno"/>
        </w:rPr>
        <w:t>4.12</w:t>
      </w:r>
      <w:r w:rsidRPr="00B73C84">
        <w:tab/>
      </w:r>
      <w:r w:rsidRPr="00B73C84">
        <w:rPr>
          <w:rStyle w:val="CharSchText"/>
        </w:rPr>
        <w:t>Identification and verification to the ACMA</w:t>
      </w:r>
      <w:bookmarkEnd w:id="35"/>
    </w:p>
    <w:p w14:paraId="71E4E2D7" w14:textId="77777777" w:rsidR="00DF1B35" w:rsidRPr="00B73C84" w:rsidRDefault="00DF1B35" w:rsidP="00DF1B35">
      <w:pPr>
        <w:pStyle w:val="R1"/>
      </w:pPr>
      <w:r w:rsidRPr="00B73C84">
        <w:rPr>
          <w:b/>
        </w:rPr>
        <w:tab/>
      </w:r>
      <w:r w:rsidRPr="00B73C84">
        <w:rPr>
          <w:b/>
        </w:rPr>
        <w:tab/>
      </w:r>
      <w:r w:rsidRPr="00B73C84">
        <w:t>Immediately after a registered applicant is identified as the successful applicant:</w:t>
      </w:r>
    </w:p>
    <w:p w14:paraId="74DF4AE3" w14:textId="77777777" w:rsidR="00DF1B35" w:rsidRPr="00B73C84" w:rsidRDefault="00DF1B35" w:rsidP="00DF1B35">
      <w:pPr>
        <w:pStyle w:val="P1"/>
      </w:pPr>
      <w:r w:rsidRPr="00B73C84">
        <w:tab/>
        <w:t>(a)</w:t>
      </w:r>
      <w:r w:rsidRPr="00B73C84">
        <w:tab/>
        <w:t>if the successful applicant is a registered bidder — the successful applicant must meet with the ACMA to identify himself or herself to the ACMA; or</w:t>
      </w:r>
    </w:p>
    <w:p w14:paraId="3548DF2D" w14:textId="77777777" w:rsidR="00DF1B35" w:rsidRPr="00B73C84" w:rsidRDefault="00DF1B35" w:rsidP="00DF1B35">
      <w:pPr>
        <w:pStyle w:val="P1"/>
      </w:pPr>
      <w:r w:rsidRPr="00B73C84">
        <w:tab/>
        <w:t>(b)</w:t>
      </w:r>
      <w:r w:rsidRPr="00B73C84">
        <w:tab/>
        <w:t>if the successful applicant is a verified telephone bidder — the successful applicant must verify the successful bidder’s identification by telephone to the ACMA as being that of the successful applicant; or</w:t>
      </w:r>
    </w:p>
    <w:p w14:paraId="47A68CCD" w14:textId="77777777" w:rsidR="00DF1B35" w:rsidRPr="00B73C84" w:rsidRDefault="00DF1B35" w:rsidP="00DF1B35">
      <w:pPr>
        <w:pStyle w:val="P1"/>
      </w:pPr>
      <w:r w:rsidRPr="00B73C84">
        <w:tab/>
        <w:t>(c)</w:t>
      </w:r>
      <w:r w:rsidRPr="00B73C84">
        <w:tab/>
        <w:t>if the successful applicant is not a registered bidder — a registered bidder who has a Form of Authority from the successful applicant must meet with the ACMA to identify himself or herself to the ACMA.</w:t>
      </w:r>
    </w:p>
    <w:p w14:paraId="5B746AF0" w14:textId="77777777" w:rsidR="00DF1B35" w:rsidRPr="00B73C84" w:rsidRDefault="00DF1B35" w:rsidP="00DF1B35">
      <w:pPr>
        <w:pStyle w:val="HR"/>
        <w:tabs>
          <w:tab w:val="left" w:pos="0"/>
        </w:tabs>
      </w:pPr>
      <w:bookmarkStart w:id="36" w:name="_Toc156187160"/>
      <w:r w:rsidRPr="00B73C84">
        <w:rPr>
          <w:rStyle w:val="CharSectno"/>
        </w:rPr>
        <w:t>4.13</w:t>
      </w:r>
      <w:r w:rsidRPr="00B73C84">
        <w:tab/>
        <w:t>Close of auction</w:t>
      </w:r>
      <w:bookmarkEnd w:id="36"/>
    </w:p>
    <w:p w14:paraId="1C376A8E" w14:textId="77777777" w:rsidR="00DF1B35" w:rsidRPr="00B73C84" w:rsidRDefault="00DF1B35" w:rsidP="00DF1B35">
      <w:pPr>
        <w:pStyle w:val="R1"/>
      </w:pPr>
      <w:r w:rsidRPr="00B73C84">
        <w:tab/>
        <w:t>(1)</w:t>
      </w:r>
      <w:r w:rsidRPr="00B73C84">
        <w:tab/>
        <w:t>The auction in relation to a particular lot is closed after the successful applicant has been identified or verified to the ACMA.</w:t>
      </w:r>
    </w:p>
    <w:p w14:paraId="14FF9C9C" w14:textId="77777777" w:rsidR="00DF1B35" w:rsidRPr="00B73C84" w:rsidRDefault="00DF1B35" w:rsidP="00DF1B35">
      <w:pPr>
        <w:pStyle w:val="R2"/>
      </w:pPr>
      <w:r w:rsidRPr="00B73C84">
        <w:tab/>
        <w:t>(2)</w:t>
      </w:r>
      <w:r w:rsidRPr="00B73C84">
        <w:tab/>
        <w:t>The ACMA will notify each successful applicant for each lot, by receipted mail, of the balance of the bid price.</w:t>
      </w:r>
    </w:p>
    <w:p w14:paraId="2D27CA0A" w14:textId="77777777" w:rsidR="00DF1B35" w:rsidRPr="00B73C84" w:rsidRDefault="00DF1B35" w:rsidP="00DF1B35">
      <w:pPr>
        <w:pStyle w:val="R2"/>
      </w:pPr>
      <w:r w:rsidRPr="00B73C84">
        <w:tab/>
        <w:t>(3)</w:t>
      </w:r>
      <w:r w:rsidRPr="00B73C84">
        <w:tab/>
        <w:t>A successful applicant must pay the balance of the bid price within 10 business days after the date of the notice in accordance with section 2.5.</w:t>
      </w:r>
    </w:p>
    <w:p w14:paraId="6A7EB267" w14:textId="77777777" w:rsidR="00DF1B35" w:rsidRPr="00B73C84" w:rsidRDefault="00DF1B35" w:rsidP="00DF1B35">
      <w:pPr>
        <w:pStyle w:val="HR"/>
        <w:tabs>
          <w:tab w:val="left" w:pos="0"/>
        </w:tabs>
      </w:pPr>
      <w:bookmarkStart w:id="37" w:name="_Toc156187161"/>
      <w:r w:rsidRPr="00B73C84">
        <w:rPr>
          <w:rStyle w:val="CharSectno"/>
        </w:rPr>
        <w:t>4.14</w:t>
      </w:r>
      <w:r w:rsidRPr="00B73C84">
        <w:tab/>
      </w:r>
      <w:smartTag w:uri="urn:schemas-microsoft-com:office:smarttags" w:element="place">
        <w:r w:rsidRPr="00B73C84">
          <w:t>Lot</w:t>
        </w:r>
      </w:smartTag>
      <w:r w:rsidRPr="00B73C84">
        <w:t xml:space="preserve"> offered at auction but not allocated</w:t>
      </w:r>
      <w:bookmarkEnd w:id="37"/>
    </w:p>
    <w:p w14:paraId="198F1248" w14:textId="77777777" w:rsidR="00DF1B35" w:rsidRPr="00B73C84" w:rsidRDefault="00DF1B35" w:rsidP="00DF1B35">
      <w:pPr>
        <w:pStyle w:val="R1"/>
      </w:pPr>
      <w:r w:rsidRPr="00B73C84">
        <w:tab/>
        <w:t>(1)</w:t>
      </w:r>
      <w:r w:rsidRPr="00B73C84">
        <w:tab/>
        <w:t>Subject to subsection 4.14 (2) if a lot is not allocated at the auction, applications for that lot cease to have effect.</w:t>
      </w:r>
    </w:p>
    <w:p w14:paraId="20BD071C" w14:textId="77777777" w:rsidR="00DF1B35" w:rsidRPr="00B73C84" w:rsidRDefault="00DF1B35" w:rsidP="00DF1B35">
      <w:pPr>
        <w:pStyle w:val="R2"/>
      </w:pPr>
      <w:r w:rsidRPr="00B73C84">
        <w:tab/>
        <w:t>(2)</w:t>
      </w:r>
      <w:r w:rsidRPr="00B73C84">
        <w:tab/>
        <w:t>If a successful applicant</w:t>
      </w:r>
      <w:r w:rsidRPr="00B73C84">
        <w:rPr>
          <w:b/>
        </w:rPr>
        <w:t xml:space="preserve"> </w:t>
      </w:r>
      <w:r w:rsidRPr="00B73C84">
        <w:t xml:space="preserve">is in default of its financial obligations to the ACMA and the lot is treated as unallocated pursuant to paragraph 6.3 (1) (d), the ACMA may, with the consent of an unsuccessful applicant, treat the registration documents lodged by an unsuccessful applicant in relation to that particular lot as valid registration documents in any future allocation for that lot under this Determination.  </w:t>
      </w:r>
    </w:p>
    <w:p w14:paraId="0EC6846F" w14:textId="77777777" w:rsidR="00DF1B35" w:rsidRPr="00B73C84" w:rsidRDefault="00DF1B35" w:rsidP="00DF1B35">
      <w:pPr>
        <w:pStyle w:val="HR"/>
      </w:pPr>
      <w:bookmarkStart w:id="38" w:name="_Toc156187162"/>
      <w:r w:rsidRPr="00B73C84">
        <w:rPr>
          <w:rStyle w:val="CharSectno"/>
        </w:rPr>
        <w:t>4.15</w:t>
      </w:r>
      <w:r w:rsidRPr="00B73C84">
        <w:tab/>
        <w:t>Refund of auction deposit to unsuccessful applicant(s)</w:t>
      </w:r>
      <w:bookmarkEnd w:id="38"/>
    </w:p>
    <w:p w14:paraId="70D33FD5" w14:textId="77777777" w:rsidR="00DF1B35" w:rsidRPr="00B73C84" w:rsidRDefault="00DF1B35" w:rsidP="00DF1B35">
      <w:pPr>
        <w:pStyle w:val="R1"/>
      </w:pPr>
      <w:r w:rsidRPr="00B73C84">
        <w:tab/>
      </w:r>
      <w:r w:rsidRPr="00B73C84">
        <w:tab/>
        <w:t>The ACMA must refund the auction deposit(s) to all unsuccessful applicants for a lot as soon as practicable after an auction.</w:t>
      </w:r>
    </w:p>
    <w:p w14:paraId="7344C058" w14:textId="77777777" w:rsidR="00DF1B35" w:rsidRPr="00B73C84" w:rsidRDefault="00DF1B35" w:rsidP="00DF1B35">
      <w:pPr>
        <w:pStyle w:val="HP"/>
        <w:pageBreakBefore/>
        <w:tabs>
          <w:tab w:val="left" w:pos="0"/>
        </w:tabs>
        <w:ind w:left="1560" w:hanging="1560"/>
      </w:pPr>
      <w:bookmarkStart w:id="39" w:name="_Toc156187163"/>
      <w:r w:rsidRPr="00B73C84">
        <w:rPr>
          <w:rStyle w:val="CharPartNo"/>
        </w:rPr>
        <w:t>Part 5</w:t>
      </w:r>
      <w:r w:rsidRPr="00B73C84">
        <w:tab/>
      </w:r>
      <w:r w:rsidRPr="00B73C84">
        <w:rPr>
          <w:rStyle w:val="CharPartText"/>
          <w:b/>
        </w:rPr>
        <w:t>Allocation of a lot if there is only one applicant</w:t>
      </w:r>
      <w:bookmarkEnd w:id="39"/>
    </w:p>
    <w:p w14:paraId="2F93D473" w14:textId="77777777" w:rsidR="00DF1B35" w:rsidRPr="00B73C84" w:rsidRDefault="00DF1B35" w:rsidP="00DF1B35">
      <w:pPr>
        <w:pStyle w:val="Header"/>
      </w:pPr>
      <w:r w:rsidRPr="00B73C84">
        <w:rPr>
          <w:rStyle w:val="CharDivNo"/>
        </w:rPr>
        <w:t xml:space="preserve"> </w:t>
      </w:r>
      <w:r w:rsidRPr="00B73C84">
        <w:rPr>
          <w:rStyle w:val="CharDivText"/>
        </w:rPr>
        <w:t xml:space="preserve"> </w:t>
      </w:r>
    </w:p>
    <w:p w14:paraId="554A0995" w14:textId="77777777" w:rsidR="00DF1B35" w:rsidRPr="00B73C84" w:rsidRDefault="00DF1B35" w:rsidP="00DF1B35">
      <w:pPr>
        <w:pStyle w:val="HR"/>
        <w:tabs>
          <w:tab w:val="left" w:pos="0"/>
        </w:tabs>
      </w:pPr>
      <w:bookmarkStart w:id="40" w:name="_Toc156187164"/>
      <w:r w:rsidRPr="00B73C84">
        <w:rPr>
          <w:rStyle w:val="CharSectno"/>
        </w:rPr>
        <w:t>5.1</w:t>
      </w:r>
      <w:r w:rsidRPr="00B73C84">
        <w:tab/>
      </w:r>
      <w:r w:rsidRPr="00B73C84">
        <w:rPr>
          <w:rStyle w:val="CharSchText"/>
        </w:rPr>
        <w:t>Application of Part 5</w:t>
      </w:r>
      <w:bookmarkEnd w:id="40"/>
    </w:p>
    <w:p w14:paraId="145E6FC0" w14:textId="77777777" w:rsidR="00DF1B35" w:rsidRPr="00B73C84" w:rsidRDefault="00DF1B35" w:rsidP="00DF1B35">
      <w:pPr>
        <w:pStyle w:val="R1"/>
      </w:pPr>
      <w:r w:rsidRPr="00B73C84">
        <w:tab/>
      </w:r>
      <w:r w:rsidRPr="00B73C84">
        <w:tab/>
        <w:t>This Part applies if there is only one applicant for a particular lot.</w:t>
      </w:r>
    </w:p>
    <w:p w14:paraId="05F1CB55" w14:textId="77777777" w:rsidR="00DF1B35" w:rsidRPr="00B73C84" w:rsidRDefault="00DF1B35" w:rsidP="00DF1B35">
      <w:pPr>
        <w:pStyle w:val="HR"/>
      </w:pPr>
      <w:bookmarkStart w:id="41" w:name="_Toc156187165"/>
      <w:r w:rsidRPr="00B73C84">
        <w:rPr>
          <w:rStyle w:val="CharSectno"/>
        </w:rPr>
        <w:t>5.2</w:t>
      </w:r>
      <w:r w:rsidRPr="00B73C84">
        <w:tab/>
        <w:t>Notice to registered applicant</w:t>
      </w:r>
      <w:bookmarkEnd w:id="41"/>
    </w:p>
    <w:p w14:paraId="2812204C" w14:textId="77777777" w:rsidR="00DF1B35" w:rsidRPr="00B73C84" w:rsidRDefault="00DF1B35" w:rsidP="00DF1B35">
      <w:pPr>
        <w:pStyle w:val="R1"/>
      </w:pPr>
      <w:r w:rsidRPr="00B73C84">
        <w:tab/>
        <w:t>(1)</w:t>
      </w:r>
      <w:r w:rsidRPr="00B73C84">
        <w:tab/>
        <w:t>Within 25 business days after the closing date, the ACMA must give the registered applicant for the particular lot a notice, by receipted mail, setting out:</w:t>
      </w:r>
    </w:p>
    <w:p w14:paraId="5A6DC1B9" w14:textId="77777777" w:rsidR="00DF1B35" w:rsidRPr="00B73C84" w:rsidRDefault="00DF1B35" w:rsidP="00DF1B35">
      <w:pPr>
        <w:pStyle w:val="P1"/>
      </w:pPr>
      <w:r w:rsidRPr="00B73C84">
        <w:tab/>
        <w:t>(a)</w:t>
      </w:r>
      <w:r w:rsidRPr="00B73C84">
        <w:tab/>
        <w:t xml:space="preserve">that the applicant is the successful applicant (the </w:t>
      </w:r>
      <w:r w:rsidRPr="00B73C84">
        <w:rPr>
          <w:b/>
          <w:i/>
        </w:rPr>
        <w:t>successful applicant</w:t>
      </w:r>
      <w:r w:rsidRPr="00B73C84">
        <w:t>); and</w:t>
      </w:r>
    </w:p>
    <w:p w14:paraId="3FADC64D" w14:textId="77777777" w:rsidR="00DF1B35" w:rsidRPr="00B73C84" w:rsidRDefault="00DF1B35" w:rsidP="00DF1B35">
      <w:pPr>
        <w:pStyle w:val="P1"/>
      </w:pPr>
      <w:r w:rsidRPr="00B73C84">
        <w:tab/>
        <w:t>(b)</w:t>
      </w:r>
      <w:r w:rsidRPr="00B73C84">
        <w:tab/>
        <w:t>the amount of the reserve price for the lot.</w:t>
      </w:r>
    </w:p>
    <w:p w14:paraId="089D47A0" w14:textId="77777777" w:rsidR="00DF1B35" w:rsidRPr="00B73C84" w:rsidRDefault="00DF1B35" w:rsidP="00DF1B35">
      <w:pPr>
        <w:pStyle w:val="R2"/>
      </w:pPr>
      <w:r w:rsidRPr="00B73C84">
        <w:tab/>
        <w:t>(2)</w:t>
      </w:r>
      <w:r w:rsidRPr="00B73C84">
        <w:tab/>
        <w:t>Within 10 business days after the date of the notice the successful applicant must either:</w:t>
      </w:r>
    </w:p>
    <w:p w14:paraId="14D17BD3" w14:textId="77777777" w:rsidR="00DF1B35" w:rsidRPr="00B73C84" w:rsidRDefault="00DF1B35" w:rsidP="00DF1B35">
      <w:pPr>
        <w:pStyle w:val="P1"/>
      </w:pPr>
      <w:r w:rsidRPr="00B73C84">
        <w:tab/>
        <w:t>(a)</w:t>
      </w:r>
      <w:r w:rsidRPr="00B73C84">
        <w:tab/>
        <w:t>pay the reserve price for the lot in accordance with section 2.5; or</w:t>
      </w:r>
    </w:p>
    <w:p w14:paraId="4388180E" w14:textId="77777777" w:rsidR="00DF1B35" w:rsidRPr="00B73C84" w:rsidRDefault="00DF1B35" w:rsidP="00DF1B35">
      <w:pPr>
        <w:pStyle w:val="P1"/>
      </w:pPr>
      <w:r w:rsidRPr="00B73C84">
        <w:tab/>
        <w:t>(b)</w:t>
      </w:r>
      <w:r w:rsidRPr="00B73C84">
        <w:tab/>
        <w:t>advise the ACMA in writing that the application has been withdrawn.</w:t>
      </w:r>
    </w:p>
    <w:p w14:paraId="570FB916" w14:textId="77777777" w:rsidR="00DF1B35" w:rsidRPr="00B73C84" w:rsidRDefault="00DF1B35" w:rsidP="00DF1B35">
      <w:pPr>
        <w:pStyle w:val="HR"/>
      </w:pPr>
      <w:bookmarkStart w:id="42" w:name="_Toc156187166"/>
      <w:r w:rsidRPr="00B73C84">
        <w:rPr>
          <w:rStyle w:val="CharSectno"/>
        </w:rPr>
        <w:t>5.3</w:t>
      </w:r>
      <w:r w:rsidRPr="00B73C84">
        <w:tab/>
        <w:t>Default by successful applicant</w:t>
      </w:r>
      <w:bookmarkEnd w:id="42"/>
    </w:p>
    <w:p w14:paraId="113C5F55" w14:textId="31ACBBD2" w:rsidR="00DF1B35" w:rsidRPr="00B73C84" w:rsidRDefault="00DF1B35" w:rsidP="00DF1B35">
      <w:pPr>
        <w:pStyle w:val="R1"/>
      </w:pPr>
      <w:r w:rsidRPr="00B73C84">
        <w:tab/>
      </w:r>
      <w:r w:rsidRPr="00B73C84">
        <w:tab/>
        <w:t xml:space="preserve">If the successful applicant fails to comply with </w:t>
      </w:r>
      <w:r w:rsidR="008408F3">
        <w:t xml:space="preserve">paragraph </w:t>
      </w:r>
      <w:r w:rsidRPr="00B73C84">
        <w:t>5.2</w:t>
      </w:r>
      <w:r w:rsidR="008408F3">
        <w:t> </w:t>
      </w:r>
      <w:r w:rsidRPr="00B73C84">
        <w:t>(2)</w:t>
      </w:r>
      <w:r w:rsidR="008408F3">
        <w:t> (a)</w:t>
      </w:r>
      <w:r w:rsidRPr="00B73C84">
        <w:t>, the application ceases to have effect and the applicant is not entitled to obtain a transmitter licence</w:t>
      </w:r>
      <w:r w:rsidR="001464F9">
        <w:t xml:space="preserve"> in relation to that particular lot</w:t>
      </w:r>
      <w:r w:rsidRPr="00B73C84">
        <w:t>.</w:t>
      </w:r>
    </w:p>
    <w:p w14:paraId="5421E74A" w14:textId="77777777" w:rsidR="00DF1B35" w:rsidRPr="00B73C84" w:rsidRDefault="00DF1B35" w:rsidP="00DF1B35">
      <w:pPr>
        <w:pStyle w:val="HP"/>
        <w:pageBreakBefore/>
        <w:ind w:left="1418" w:hanging="1418"/>
        <w:rPr>
          <w:b w:val="0"/>
        </w:rPr>
      </w:pPr>
      <w:bookmarkStart w:id="43" w:name="_Toc156187167"/>
      <w:r w:rsidRPr="00B73C84">
        <w:rPr>
          <w:rStyle w:val="CharPartNo"/>
        </w:rPr>
        <w:t>Part 6</w:t>
      </w:r>
      <w:r w:rsidRPr="00B73C84">
        <w:rPr>
          <w:rStyle w:val="CharPartText"/>
        </w:rPr>
        <w:tab/>
      </w:r>
      <w:r w:rsidRPr="00B73C84">
        <w:rPr>
          <w:rStyle w:val="CharPartText"/>
          <w:b/>
        </w:rPr>
        <w:t>Issue of a licence to a successful applicant</w:t>
      </w:r>
      <w:bookmarkEnd w:id="43"/>
    </w:p>
    <w:p w14:paraId="33B2F08E" w14:textId="77777777" w:rsidR="00DF1B35" w:rsidRPr="00B73C84" w:rsidRDefault="00DF1B35" w:rsidP="00DF1B35">
      <w:pPr>
        <w:pStyle w:val="Header"/>
      </w:pPr>
      <w:r w:rsidRPr="00B73C84">
        <w:rPr>
          <w:rStyle w:val="CharDivNo"/>
        </w:rPr>
        <w:t xml:space="preserve"> </w:t>
      </w:r>
      <w:r w:rsidRPr="00B73C84">
        <w:rPr>
          <w:rStyle w:val="CharDivText"/>
        </w:rPr>
        <w:t xml:space="preserve"> </w:t>
      </w:r>
    </w:p>
    <w:p w14:paraId="72C335EC" w14:textId="77777777" w:rsidR="00DF1B35" w:rsidRPr="00B73C84" w:rsidRDefault="00DF1B35" w:rsidP="00DF1B35">
      <w:pPr>
        <w:pStyle w:val="HR"/>
      </w:pPr>
      <w:bookmarkStart w:id="44" w:name="_Toc156187168"/>
      <w:r w:rsidRPr="00B73C84">
        <w:rPr>
          <w:rStyle w:val="CharSectno"/>
        </w:rPr>
        <w:t>6.1</w:t>
      </w:r>
      <w:r w:rsidRPr="00B73C84">
        <w:tab/>
      </w:r>
      <w:r w:rsidRPr="00B73C84">
        <w:rPr>
          <w:rStyle w:val="CharSchText"/>
        </w:rPr>
        <w:t>Form of licence</w:t>
      </w:r>
      <w:bookmarkEnd w:id="44"/>
    </w:p>
    <w:p w14:paraId="45F8A3BB" w14:textId="77777777" w:rsidR="00DF1B35" w:rsidRPr="00B73C84" w:rsidRDefault="00DF1B35" w:rsidP="00DF1B35">
      <w:pPr>
        <w:pStyle w:val="R1"/>
      </w:pPr>
      <w:r w:rsidRPr="00B73C84">
        <w:tab/>
        <w:t>(1)</w:t>
      </w:r>
      <w:r w:rsidRPr="00B73C84">
        <w:tab/>
        <w:t xml:space="preserve">The transmitter licence must be substantially in accordance with the sample transmitter licence in Schedule </w:t>
      </w:r>
      <w:r w:rsidR="00A2763F" w:rsidRPr="00B73C84">
        <w:t>1</w:t>
      </w:r>
      <w:r w:rsidRPr="00B73C84">
        <w:t>.</w:t>
      </w:r>
    </w:p>
    <w:p w14:paraId="6EAE26A8" w14:textId="77777777" w:rsidR="00DF1B35" w:rsidRPr="00B73C84" w:rsidRDefault="00DF1B35" w:rsidP="00DF1B35">
      <w:pPr>
        <w:pStyle w:val="R2"/>
      </w:pPr>
      <w:r w:rsidRPr="00B73C84">
        <w:tab/>
        <w:t>(2)</w:t>
      </w:r>
      <w:r w:rsidRPr="00B73C84">
        <w:tab/>
        <w:t>The transmitter licence comes into force on the day specified in the licence as the day it comes into force.</w:t>
      </w:r>
    </w:p>
    <w:p w14:paraId="2A0DE030" w14:textId="77777777" w:rsidR="00DF1B35" w:rsidRPr="00B73C84" w:rsidRDefault="00DF1B35" w:rsidP="00DF1B35">
      <w:pPr>
        <w:pStyle w:val="R2"/>
      </w:pPr>
      <w:r w:rsidRPr="00B73C84">
        <w:tab/>
        <w:t>(3)</w:t>
      </w:r>
      <w:r w:rsidRPr="00B73C84">
        <w:tab/>
        <w:t>The transmitter licence remains in force for the period specified in the licence, starting on the day specified in the licence as the day it comes into force.</w:t>
      </w:r>
    </w:p>
    <w:p w14:paraId="715E4D4D" w14:textId="77777777" w:rsidR="00DF1B35" w:rsidRPr="00B73C84" w:rsidRDefault="00DF1B35" w:rsidP="00DF1B35">
      <w:pPr>
        <w:pStyle w:val="Note"/>
      </w:pPr>
      <w:r w:rsidRPr="00B73C84">
        <w:rPr>
          <w:i/>
        </w:rPr>
        <w:t>Note</w:t>
      </w:r>
      <w:r w:rsidRPr="00B73C84">
        <w:t xml:space="preserve">   This is a </w:t>
      </w:r>
      <w:r w:rsidR="00A2763F" w:rsidRPr="00B73C84">
        <w:t xml:space="preserve">period of up to </w:t>
      </w:r>
      <w:r w:rsidRPr="00B73C84">
        <w:t>of 5 years — see section 103 of the Act.</w:t>
      </w:r>
    </w:p>
    <w:p w14:paraId="49C88832" w14:textId="77777777" w:rsidR="00DF1B35" w:rsidRPr="00B73C84" w:rsidRDefault="00DF1B35" w:rsidP="00DF1B35">
      <w:pPr>
        <w:pStyle w:val="HR"/>
      </w:pPr>
      <w:bookmarkStart w:id="45" w:name="_Toc156187169"/>
      <w:r w:rsidRPr="00B73C84">
        <w:rPr>
          <w:rStyle w:val="CharSectno"/>
        </w:rPr>
        <w:t>6.2</w:t>
      </w:r>
      <w:r w:rsidRPr="00B73C84">
        <w:tab/>
        <w:t>Issue of licence to successful applicant</w:t>
      </w:r>
      <w:bookmarkEnd w:id="45"/>
    </w:p>
    <w:p w14:paraId="2D1DBE82" w14:textId="77777777" w:rsidR="00DF1B35" w:rsidRPr="00B73C84" w:rsidRDefault="00DF1B35" w:rsidP="00DF1B35">
      <w:pPr>
        <w:pStyle w:val="R1"/>
      </w:pPr>
      <w:r w:rsidRPr="00B73C84">
        <w:tab/>
        <w:t>(1)</w:t>
      </w:r>
      <w:r w:rsidRPr="00B73C84">
        <w:tab/>
        <w:t>Subject to subsection (2)</w:t>
      </w:r>
      <w:r w:rsidRPr="00B73C84">
        <w:rPr>
          <w:b/>
        </w:rPr>
        <w:t xml:space="preserve"> </w:t>
      </w:r>
      <w:r w:rsidRPr="00B73C84">
        <w:t>the successful applicant shall be issued a transmitter licence if the successful applicant:</w:t>
      </w:r>
    </w:p>
    <w:p w14:paraId="69223A9F" w14:textId="77777777" w:rsidR="00DF1B35" w:rsidRPr="00B73C84" w:rsidRDefault="00DF1B35" w:rsidP="00DF1B35">
      <w:pPr>
        <w:pStyle w:val="P1"/>
      </w:pPr>
      <w:r w:rsidRPr="00B73C84">
        <w:rPr>
          <w:b/>
        </w:rPr>
        <w:tab/>
      </w:r>
      <w:r w:rsidRPr="00B73C84">
        <w:t>(a)</w:t>
      </w:r>
      <w:r w:rsidRPr="00B73C84">
        <w:tab/>
        <w:t>pays the balance of the bid price for the lot in accordance with subsection 4.13 (3) or pays the reserve price in accordance with paragraph 5.2 (2) (a), as the case may be, and in accordance with section 2.5; and</w:t>
      </w:r>
    </w:p>
    <w:p w14:paraId="612FC4D8" w14:textId="59205722" w:rsidR="00DF1B35" w:rsidRPr="00B73C84" w:rsidRDefault="00DF1B35" w:rsidP="00DF1B35">
      <w:pPr>
        <w:pStyle w:val="P1"/>
      </w:pPr>
      <w:r w:rsidRPr="00B73C84">
        <w:tab/>
        <w:t>(b)</w:t>
      </w:r>
      <w:r w:rsidRPr="00B73C84">
        <w:tab/>
      </w:r>
      <w:r w:rsidRPr="005240F8">
        <w:t xml:space="preserve">applies for the licence </w:t>
      </w:r>
      <w:r w:rsidR="0096490D">
        <w:t xml:space="preserve">under section 99 of the Act </w:t>
      </w:r>
      <w:r w:rsidRPr="005240F8">
        <w:t>within 10 business days after the date of a notice issued to the successful applicant pursuant to subsection 4.13 (2) or</w:t>
      </w:r>
      <w:r w:rsidRPr="00B73C84">
        <w:t xml:space="preserve"> subsection 5.2 (1), as the case may be; and</w:t>
      </w:r>
    </w:p>
    <w:p w14:paraId="009F7F92" w14:textId="77777777" w:rsidR="00DF1B35" w:rsidRPr="00B73C84" w:rsidRDefault="00DF1B35" w:rsidP="00DF1B35">
      <w:pPr>
        <w:pStyle w:val="P1"/>
      </w:pPr>
      <w:r w:rsidRPr="00B73C84">
        <w:tab/>
        <w:t>(c)</w:t>
      </w:r>
      <w:r w:rsidRPr="00B73C84">
        <w:tab/>
        <w:t xml:space="preserve">pays the transmitter licence tax under the </w:t>
      </w:r>
      <w:proofErr w:type="spellStart"/>
      <w:r w:rsidRPr="00B73C84">
        <w:rPr>
          <w:i/>
        </w:rPr>
        <w:t>Radiocommunications</w:t>
      </w:r>
      <w:proofErr w:type="spellEnd"/>
      <w:r w:rsidRPr="00B73C84">
        <w:rPr>
          <w:i/>
        </w:rPr>
        <w:t xml:space="preserve"> (Transmitter Licence Tax) Act 1983</w:t>
      </w:r>
      <w:r w:rsidRPr="00B73C84">
        <w:t>.</w:t>
      </w:r>
    </w:p>
    <w:p w14:paraId="01EDA323" w14:textId="77777777" w:rsidR="00DF1B35" w:rsidRPr="00B73C84" w:rsidRDefault="00DF1B35" w:rsidP="00DF1B35">
      <w:pPr>
        <w:pStyle w:val="Note"/>
      </w:pPr>
      <w:r w:rsidRPr="00B73C84">
        <w:rPr>
          <w:i/>
        </w:rPr>
        <w:t>Note   </w:t>
      </w:r>
      <w:r w:rsidRPr="00B73C84">
        <w:t>In issuing the licence, the ACMA must comply with Part 3.3 of the Act.</w:t>
      </w:r>
    </w:p>
    <w:p w14:paraId="149837CE" w14:textId="77777777" w:rsidR="00DF1B35" w:rsidRPr="00B73C84" w:rsidRDefault="00DF1B35" w:rsidP="00DF1B35">
      <w:pPr>
        <w:pStyle w:val="R2"/>
      </w:pPr>
      <w:r w:rsidRPr="00B73C84">
        <w:tab/>
        <w:t>(2)</w:t>
      </w:r>
      <w:r w:rsidRPr="00B73C84">
        <w:tab/>
        <w:t>If the ACMA has terminated an advertised allocation</w:t>
      </w:r>
      <w:r w:rsidRPr="00B73C84">
        <w:rPr>
          <w:b/>
        </w:rPr>
        <w:t xml:space="preserve"> </w:t>
      </w:r>
      <w:r w:rsidRPr="00B73C84">
        <w:t>under this Determination all successful applicants shall cease to be entitled to be issued a transmitter licence.</w:t>
      </w:r>
    </w:p>
    <w:p w14:paraId="2EA1A0C1" w14:textId="77777777" w:rsidR="00DF1B35" w:rsidRPr="00B73C84" w:rsidRDefault="00DF1B35" w:rsidP="00DF1B35">
      <w:pPr>
        <w:pStyle w:val="HR"/>
      </w:pPr>
      <w:bookmarkStart w:id="46" w:name="_Toc156187170"/>
      <w:r w:rsidRPr="00B73C84">
        <w:rPr>
          <w:rStyle w:val="CharSectno"/>
        </w:rPr>
        <w:t>6.3</w:t>
      </w:r>
      <w:r w:rsidRPr="00B73C84">
        <w:tab/>
      </w:r>
      <w:r w:rsidRPr="00B73C84">
        <w:rPr>
          <w:rStyle w:val="CharSchText"/>
        </w:rPr>
        <w:t>Liability for failure to comply with auction payment requirements</w:t>
      </w:r>
      <w:bookmarkEnd w:id="46"/>
    </w:p>
    <w:p w14:paraId="09A0DF2D" w14:textId="77777777" w:rsidR="00DF1B35" w:rsidRPr="00B73C84" w:rsidRDefault="00DF1B35" w:rsidP="00DF1B35">
      <w:pPr>
        <w:pStyle w:val="R1"/>
      </w:pPr>
      <w:r w:rsidRPr="00B73C84">
        <w:tab/>
        <w:t>(1)</w:t>
      </w:r>
      <w:r w:rsidRPr="00B73C84">
        <w:tab/>
        <w:t>If a successful applicant does not pay the balance of the bid price, in accordance with this Determination:</w:t>
      </w:r>
    </w:p>
    <w:p w14:paraId="7B9E6F03" w14:textId="4F186ADC" w:rsidR="00DF1B35" w:rsidRPr="00B73C84" w:rsidRDefault="00DF1B35" w:rsidP="00DF1B35">
      <w:pPr>
        <w:pStyle w:val="P1"/>
      </w:pPr>
      <w:r w:rsidRPr="00B73C84">
        <w:tab/>
        <w:t>(a)</w:t>
      </w:r>
      <w:r w:rsidRPr="00B73C84">
        <w:tab/>
        <w:t xml:space="preserve">the applicant ceases to be entitled to be allocated the lot and the transmitter licence </w:t>
      </w:r>
      <w:r w:rsidR="00E4432C">
        <w:t xml:space="preserve">in relation to </w:t>
      </w:r>
      <w:r w:rsidRPr="00B73C84">
        <w:t xml:space="preserve">the lot; </w:t>
      </w:r>
    </w:p>
    <w:p w14:paraId="0815CE5A" w14:textId="77777777" w:rsidR="00DF1B35" w:rsidRPr="00B73C84" w:rsidRDefault="00DF1B35" w:rsidP="00DF1B35">
      <w:pPr>
        <w:pStyle w:val="P1"/>
      </w:pPr>
      <w:r w:rsidRPr="00B73C84">
        <w:tab/>
        <w:t>(b)</w:t>
      </w:r>
      <w:r w:rsidRPr="00B73C84">
        <w:tab/>
        <w:t>the auction deposit is forfeited; and</w:t>
      </w:r>
    </w:p>
    <w:p w14:paraId="4799FF21" w14:textId="77777777" w:rsidR="00DF1B35" w:rsidRPr="00B73C84" w:rsidRDefault="00DF1B35" w:rsidP="00DF1B35">
      <w:pPr>
        <w:pStyle w:val="P1"/>
      </w:pPr>
      <w:r w:rsidRPr="00B73C84">
        <w:tab/>
        <w:t>(c)</w:t>
      </w:r>
      <w:r w:rsidRPr="00B73C84">
        <w:tab/>
        <w:t>the applicant is taken to be in default of its financial obligations to the ACMA, on behalf of the Commonwealth, under this Determination and is liable to pay to the ACMA, on behalf of the Commonwealth, the default amount which shall be 10 percent of the bid price; and</w:t>
      </w:r>
    </w:p>
    <w:p w14:paraId="79DD63CF" w14:textId="77777777" w:rsidR="00DF1B35" w:rsidRPr="00B73C84" w:rsidRDefault="00DF1B35" w:rsidP="00DF1B35">
      <w:pPr>
        <w:pStyle w:val="P1"/>
      </w:pPr>
      <w:r w:rsidRPr="00B73C84">
        <w:tab/>
        <w:t>(d)</w:t>
      </w:r>
      <w:r w:rsidRPr="00B73C84">
        <w:tab/>
        <w:t>the lot may be treated as an unallocated lot under section 4.14.</w:t>
      </w:r>
    </w:p>
    <w:p w14:paraId="3D4AFFB3" w14:textId="18E33956" w:rsidR="00DF1B35" w:rsidRPr="00B73C84" w:rsidRDefault="00DF1B35" w:rsidP="00DF1B35">
      <w:pPr>
        <w:pStyle w:val="R2"/>
      </w:pPr>
      <w:r w:rsidRPr="00B73C84">
        <w:tab/>
        <w:t>(2)</w:t>
      </w:r>
      <w:r w:rsidRPr="00B73C84">
        <w:tab/>
        <w:t xml:space="preserve">The total of the default amount </w:t>
      </w:r>
      <w:r w:rsidR="008408F3">
        <w:t xml:space="preserve">payable </w:t>
      </w:r>
      <w:r w:rsidRPr="00B73C84">
        <w:t>to the ACMA, on behalf of the Commonwealth, under this section:</w:t>
      </w:r>
    </w:p>
    <w:p w14:paraId="0140477B" w14:textId="77777777" w:rsidR="00DF1B35" w:rsidRPr="00B73C84" w:rsidRDefault="00DF1B35" w:rsidP="00DF1B35">
      <w:pPr>
        <w:pStyle w:val="P1"/>
      </w:pPr>
      <w:r w:rsidRPr="00B73C84">
        <w:tab/>
        <w:t>(a)</w:t>
      </w:r>
      <w:r w:rsidRPr="00B73C84">
        <w:tab/>
        <w:t>is a debt due to the ACMA, on behalf of the Commonwealth; and</w:t>
      </w:r>
    </w:p>
    <w:p w14:paraId="1A02D7CF" w14:textId="77777777" w:rsidR="00DF1B35" w:rsidRPr="00B73C84" w:rsidRDefault="00DF1B35" w:rsidP="00DF1B35">
      <w:pPr>
        <w:pStyle w:val="P1"/>
      </w:pPr>
      <w:r w:rsidRPr="00B73C84">
        <w:tab/>
        <w:t>(b)</w:t>
      </w:r>
      <w:r w:rsidRPr="00B73C84">
        <w:tab/>
        <w:t>is recoverable by the ACMA, on behalf of the Commonwealth, from the successful applicant in a court of competent jurisdiction.</w:t>
      </w:r>
    </w:p>
    <w:p w14:paraId="7A1DD46C" w14:textId="77777777" w:rsidR="00DF1B35" w:rsidRPr="00B73C84" w:rsidRDefault="00DF1B35" w:rsidP="00DF1B35">
      <w:pPr>
        <w:pStyle w:val="HP"/>
        <w:pageBreakBefore/>
      </w:pPr>
      <w:bookmarkStart w:id="47" w:name="_Toc156187171"/>
      <w:r w:rsidRPr="00B73C84">
        <w:rPr>
          <w:rStyle w:val="CharPartNo"/>
        </w:rPr>
        <w:t>Part 7</w:t>
      </w:r>
      <w:r w:rsidRPr="00B73C84">
        <w:tab/>
      </w:r>
      <w:r w:rsidRPr="00B73C84">
        <w:rPr>
          <w:rStyle w:val="CharPartText"/>
        </w:rPr>
        <w:t>Miscellaneous</w:t>
      </w:r>
      <w:bookmarkEnd w:id="47"/>
    </w:p>
    <w:p w14:paraId="656B2FBA" w14:textId="77777777" w:rsidR="00DF1B35" w:rsidRPr="00B73C84" w:rsidRDefault="00DF1B35" w:rsidP="00DF1B35">
      <w:pPr>
        <w:pStyle w:val="HR"/>
        <w:tabs>
          <w:tab w:val="left" w:pos="0"/>
        </w:tabs>
      </w:pPr>
      <w:bookmarkStart w:id="48" w:name="_Toc156187172"/>
      <w:r w:rsidRPr="00B73C84">
        <w:rPr>
          <w:rStyle w:val="CharSectno"/>
        </w:rPr>
        <w:t>7.1</w:t>
      </w:r>
      <w:r w:rsidRPr="00B73C84">
        <w:tab/>
      </w:r>
      <w:r w:rsidRPr="00B73C84">
        <w:rPr>
          <w:rStyle w:val="CharSchText"/>
        </w:rPr>
        <w:t>ACMA not liable under the allocation system</w:t>
      </w:r>
      <w:bookmarkEnd w:id="48"/>
    </w:p>
    <w:p w14:paraId="5C12D7CC" w14:textId="77777777" w:rsidR="00DF1B35" w:rsidRPr="00B73C84" w:rsidRDefault="00DF1B35" w:rsidP="00DF1B35">
      <w:pPr>
        <w:pStyle w:val="R1"/>
      </w:pPr>
      <w:r w:rsidRPr="00B73C84">
        <w:tab/>
      </w:r>
      <w:r w:rsidRPr="00B73C84">
        <w:tab/>
        <w:t>The ACMA is not liable to pay damages or costs arising from an act or omission of any person in relation to the allocation procedures set out in this Determination.</w:t>
      </w:r>
    </w:p>
    <w:p w14:paraId="59ED9628" w14:textId="77777777" w:rsidR="00DF1B35" w:rsidRPr="00B73C84" w:rsidRDefault="00DF1B35" w:rsidP="00DF1B35">
      <w:pPr>
        <w:pStyle w:val="HR"/>
        <w:tabs>
          <w:tab w:val="left" w:pos="0"/>
        </w:tabs>
        <w:spacing w:before="240"/>
      </w:pPr>
      <w:bookmarkStart w:id="49" w:name="_Toc156187173"/>
      <w:r w:rsidRPr="00B73C84">
        <w:rPr>
          <w:rStyle w:val="CharSectno"/>
        </w:rPr>
        <w:t>7.2</w:t>
      </w:r>
      <w:r w:rsidRPr="00B73C84">
        <w:tab/>
        <w:t>Information provided by applicant</w:t>
      </w:r>
      <w:bookmarkEnd w:id="49"/>
    </w:p>
    <w:p w14:paraId="0AA66FB3" w14:textId="77777777" w:rsidR="00DF1B35" w:rsidRPr="00B73C84" w:rsidRDefault="00DF1B35" w:rsidP="00DF1B35">
      <w:pPr>
        <w:pStyle w:val="R1"/>
      </w:pPr>
      <w:r w:rsidRPr="00B73C84">
        <w:tab/>
        <w:t>(1)</w:t>
      </w:r>
      <w:r w:rsidRPr="00B73C84">
        <w:tab/>
        <w:t xml:space="preserve">A document given to the ACMA by a person for the purposes of the allocation procedures set out in this Determination (including a document that contains intellectual property) becomes the property of the </w:t>
      </w:r>
      <w:r w:rsidR="00E4432C">
        <w:t xml:space="preserve">Commonwealth, represented by the </w:t>
      </w:r>
      <w:r w:rsidRPr="00B73C84">
        <w:t>ACMA.</w:t>
      </w:r>
    </w:p>
    <w:p w14:paraId="2E17E079" w14:textId="77777777" w:rsidR="00DF1B35" w:rsidRPr="00B73C84" w:rsidRDefault="00DF1B35" w:rsidP="00DF1B35">
      <w:pPr>
        <w:pStyle w:val="R2"/>
      </w:pPr>
      <w:r w:rsidRPr="00B73C84">
        <w:tab/>
        <w:t>(2)</w:t>
      </w:r>
      <w:r w:rsidRPr="00B73C84">
        <w:tab/>
        <w:t>Subsection (1) does not apply to a document that is given to the ACMA to establish an individual’s identity.</w:t>
      </w:r>
    </w:p>
    <w:p w14:paraId="650B4F82" w14:textId="6A5B854C" w:rsidR="00DF1B35" w:rsidRPr="00B73C84" w:rsidRDefault="00DF1B35" w:rsidP="00DF1B35">
      <w:pPr>
        <w:pStyle w:val="R2"/>
      </w:pPr>
      <w:r w:rsidRPr="00B73C84">
        <w:tab/>
        <w:t>(3)</w:t>
      </w:r>
      <w:r w:rsidRPr="00B73C84">
        <w:tab/>
      </w:r>
      <w:r w:rsidRPr="001B7ABB">
        <w:t xml:space="preserve">The ACMA may use information provided by an applicant for the purposes of </w:t>
      </w:r>
      <w:r w:rsidR="0096490D">
        <w:t xml:space="preserve">performing its functions or exercising its powers under </w:t>
      </w:r>
      <w:r w:rsidRPr="001B7ABB">
        <w:t>th</w:t>
      </w:r>
      <w:r w:rsidR="0096490D">
        <w:t>is</w:t>
      </w:r>
      <w:r w:rsidRPr="001B7ABB">
        <w:t xml:space="preserve"> </w:t>
      </w:r>
      <w:r w:rsidR="0096490D">
        <w:t>Determination</w:t>
      </w:r>
      <w:r w:rsidRPr="001B7ABB">
        <w:t>.</w:t>
      </w:r>
    </w:p>
    <w:p w14:paraId="7DF607FD" w14:textId="77777777" w:rsidR="00DF1B35" w:rsidRPr="00B73C84" w:rsidRDefault="00DF1B35" w:rsidP="00DF1B35">
      <w:pPr>
        <w:pStyle w:val="HR"/>
        <w:tabs>
          <w:tab w:val="left" w:pos="0"/>
        </w:tabs>
      </w:pPr>
      <w:bookmarkStart w:id="50" w:name="_Toc156187174"/>
      <w:r w:rsidRPr="00B73C84">
        <w:rPr>
          <w:rStyle w:val="CharSectno"/>
        </w:rPr>
        <w:t>7.3</w:t>
      </w:r>
      <w:r w:rsidRPr="00B73C84">
        <w:tab/>
        <w:t>Recovery of damages by the ACMA</w:t>
      </w:r>
      <w:bookmarkEnd w:id="50"/>
    </w:p>
    <w:p w14:paraId="629D65FA" w14:textId="77777777" w:rsidR="00DF1B35" w:rsidRPr="00B73C84" w:rsidRDefault="00DF1B35" w:rsidP="00DF1B35">
      <w:pPr>
        <w:pStyle w:val="R1"/>
      </w:pPr>
      <w:r w:rsidRPr="00B73C84">
        <w:rPr>
          <w:b/>
        </w:rPr>
        <w:tab/>
      </w:r>
      <w:r w:rsidRPr="00B73C84">
        <w:rPr>
          <w:b/>
        </w:rPr>
        <w:tab/>
      </w:r>
      <w:r w:rsidRPr="00B73C84">
        <w:t>This Determination does not affect any right of action or remedy that the ACMA has or may have against any person which arose or arises under the Deed of Acknowledgment, statute, common law, equity or otherwise.</w:t>
      </w:r>
    </w:p>
    <w:p w14:paraId="4B5E0568" w14:textId="77777777" w:rsidR="00DF1B35" w:rsidRPr="00B73C84" w:rsidRDefault="00DF1B35" w:rsidP="00DF1B35">
      <w:pPr>
        <w:pStyle w:val="HR"/>
        <w:keepNext w:val="0"/>
        <w:tabs>
          <w:tab w:val="left" w:pos="0"/>
        </w:tabs>
        <w:rPr>
          <w:b w:val="0"/>
        </w:rPr>
      </w:pPr>
      <w:bookmarkStart w:id="51" w:name="_Toc156187175"/>
      <w:r w:rsidRPr="00B73C84">
        <w:rPr>
          <w:rStyle w:val="CharSectno"/>
        </w:rPr>
        <w:t>7.4</w:t>
      </w:r>
      <w:r w:rsidRPr="00B73C84">
        <w:tab/>
        <w:t>Giving of information by the ACMA</w:t>
      </w:r>
      <w:bookmarkEnd w:id="51"/>
    </w:p>
    <w:p w14:paraId="71023B99" w14:textId="77777777" w:rsidR="00DF1B35" w:rsidRPr="00B73C84" w:rsidRDefault="00DF1B35" w:rsidP="00DF1B35">
      <w:pPr>
        <w:pStyle w:val="R1"/>
      </w:pPr>
      <w:r w:rsidRPr="00B73C84">
        <w:tab/>
      </w:r>
      <w:r w:rsidRPr="00B73C84">
        <w:tab/>
        <w:t>Before the ACMA issues a transmitter licence, it may announce, or publish a notice of:</w:t>
      </w:r>
    </w:p>
    <w:p w14:paraId="7DB54E18" w14:textId="77777777" w:rsidR="00DF1B35" w:rsidRPr="00B73C84" w:rsidRDefault="00DF1B35" w:rsidP="00DF1B35">
      <w:pPr>
        <w:pStyle w:val="P1"/>
      </w:pPr>
      <w:r w:rsidRPr="00B73C84">
        <w:tab/>
        <w:t>(a)</w:t>
      </w:r>
      <w:r w:rsidRPr="00B73C84">
        <w:tab/>
        <w:t>the name of each person to whom a licence is to be issued; and</w:t>
      </w:r>
    </w:p>
    <w:p w14:paraId="2F81F61E" w14:textId="77777777" w:rsidR="00DF1B35" w:rsidRPr="00B73C84" w:rsidRDefault="00DF1B35" w:rsidP="00DF1B35">
      <w:pPr>
        <w:pStyle w:val="P1"/>
      </w:pPr>
      <w:r w:rsidRPr="00B73C84">
        <w:tab/>
        <w:t>(b)</w:t>
      </w:r>
      <w:r w:rsidRPr="00B73C84">
        <w:tab/>
        <w:t>the highest final price bid or reserve price for the lots comprising the licences.</w:t>
      </w:r>
    </w:p>
    <w:p w14:paraId="27CB9911" w14:textId="77777777" w:rsidR="00DF1B35" w:rsidRPr="00B73C84" w:rsidRDefault="00DF1B35" w:rsidP="00DF1B35">
      <w:pPr>
        <w:pStyle w:val="HR"/>
        <w:keepNext w:val="0"/>
        <w:tabs>
          <w:tab w:val="left" w:pos="0"/>
        </w:tabs>
        <w:rPr>
          <w:b w:val="0"/>
        </w:rPr>
      </w:pPr>
      <w:bookmarkStart w:id="52" w:name="_Toc156187176"/>
      <w:r w:rsidRPr="00B73C84">
        <w:rPr>
          <w:rStyle w:val="CharSectno"/>
        </w:rPr>
        <w:t>7.5</w:t>
      </w:r>
      <w:r w:rsidRPr="00B73C84">
        <w:tab/>
        <w:t>Termination of advertised price-based allocation system</w:t>
      </w:r>
      <w:bookmarkEnd w:id="52"/>
    </w:p>
    <w:p w14:paraId="48BBF58B" w14:textId="77777777" w:rsidR="00DF1B35" w:rsidRPr="00B73C84" w:rsidRDefault="00DF1B35" w:rsidP="00DF1B35">
      <w:pPr>
        <w:pStyle w:val="R1"/>
      </w:pPr>
      <w:r w:rsidRPr="00B73C84">
        <w:rPr>
          <w:b/>
        </w:rPr>
        <w:tab/>
      </w:r>
      <w:r w:rsidRPr="00B73C84">
        <w:rPr>
          <w:b/>
        </w:rPr>
        <w:tab/>
      </w:r>
      <w:r w:rsidRPr="00B73C84">
        <w:t xml:space="preserve">The ACMA may terminate an advertised allocation under this Determination at any time before a transmitter licence is issued if the ACMA considers it is appropriate to do so. </w:t>
      </w:r>
    </w:p>
    <w:p w14:paraId="6DC7C390" w14:textId="77777777" w:rsidR="00DF1B35" w:rsidRPr="00B73C84" w:rsidRDefault="00DF1B35" w:rsidP="00DF1B35">
      <w:pPr>
        <w:pStyle w:val="HR"/>
      </w:pPr>
      <w:bookmarkStart w:id="53" w:name="_Toc156187177"/>
      <w:r w:rsidRPr="00B73C84">
        <w:rPr>
          <w:rStyle w:val="CharSectno"/>
        </w:rPr>
        <w:t>7.6</w:t>
      </w:r>
      <w:r w:rsidRPr="00B73C84">
        <w:tab/>
        <w:t>Refund of payments to the ACMA</w:t>
      </w:r>
      <w:bookmarkEnd w:id="53"/>
    </w:p>
    <w:p w14:paraId="23A66500" w14:textId="77777777" w:rsidR="00DF1B35" w:rsidRPr="00B73C84" w:rsidRDefault="00DF1B35" w:rsidP="00DF1B35">
      <w:pPr>
        <w:pStyle w:val="R1"/>
      </w:pPr>
      <w:r w:rsidRPr="00B73C84">
        <w:tab/>
      </w:r>
      <w:r w:rsidRPr="00B73C84">
        <w:tab/>
        <w:t>If the ACMA terminates an allocation under this Determination, the ACMA must refund:</w:t>
      </w:r>
    </w:p>
    <w:p w14:paraId="417D63E0" w14:textId="77777777" w:rsidR="00DF1B35" w:rsidRPr="00B73C84" w:rsidRDefault="00DF1B35" w:rsidP="00DF1B35">
      <w:pPr>
        <w:pStyle w:val="P1"/>
      </w:pPr>
      <w:r w:rsidRPr="00B73C84">
        <w:tab/>
        <w:t>(a)</w:t>
      </w:r>
      <w:r w:rsidRPr="00B73C84">
        <w:tab/>
        <w:t>any entry fee paid by an applicant;</w:t>
      </w:r>
    </w:p>
    <w:p w14:paraId="026D6F08" w14:textId="77777777" w:rsidR="00DF1B35" w:rsidRPr="00B73C84" w:rsidRDefault="00DF1B35" w:rsidP="00DF1B35">
      <w:pPr>
        <w:pStyle w:val="P1"/>
      </w:pPr>
      <w:r w:rsidRPr="00B73C84">
        <w:tab/>
        <w:t>(b)</w:t>
      </w:r>
      <w:r w:rsidRPr="00B73C84">
        <w:tab/>
        <w:t>any reserve price paid under subsection 5.2 (2);</w:t>
      </w:r>
    </w:p>
    <w:p w14:paraId="3B49338A" w14:textId="77777777" w:rsidR="00DF1B35" w:rsidRPr="00B73C84" w:rsidRDefault="00DF1B35" w:rsidP="00DF1B35">
      <w:pPr>
        <w:pStyle w:val="P1"/>
      </w:pPr>
      <w:r w:rsidRPr="00B73C84">
        <w:tab/>
        <w:t>(c)</w:t>
      </w:r>
      <w:r w:rsidRPr="00B73C84">
        <w:tab/>
        <w:t>any auction deposit paid under section 4.6;</w:t>
      </w:r>
    </w:p>
    <w:p w14:paraId="024B005E" w14:textId="77777777" w:rsidR="00DF1B35" w:rsidRPr="00B73C84" w:rsidRDefault="00DF1B35" w:rsidP="00DF1B35">
      <w:pPr>
        <w:pStyle w:val="P1"/>
      </w:pPr>
      <w:r w:rsidRPr="00B73C84">
        <w:tab/>
        <w:t>(d)</w:t>
      </w:r>
      <w:r w:rsidRPr="00B73C84">
        <w:tab/>
        <w:t>the balance of the bid price paid under subsection 4.13 (3).</w:t>
      </w:r>
    </w:p>
    <w:p w14:paraId="1259C85A" w14:textId="77777777" w:rsidR="00DF1B35" w:rsidRPr="00B73C84" w:rsidRDefault="00DF1B35" w:rsidP="00DF1B35">
      <w:pPr>
        <w:pStyle w:val="MainBodySectionBreak"/>
        <w:sectPr w:rsidR="00DF1B35" w:rsidRPr="00B73C84">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20" w:gutter="0"/>
          <w:cols w:space="708"/>
          <w:docGrid w:linePitch="360"/>
        </w:sectPr>
      </w:pPr>
      <w:bookmarkStart w:id="54" w:name="_Toc156187178"/>
    </w:p>
    <w:p w14:paraId="1967F300" w14:textId="77777777" w:rsidR="00DF1B35" w:rsidRPr="00B73C84" w:rsidRDefault="00DF1B35" w:rsidP="00DF1B35">
      <w:pPr>
        <w:pStyle w:val="Scheduletitle"/>
      </w:pPr>
      <w:r w:rsidRPr="00B73C84">
        <w:rPr>
          <w:rStyle w:val="CharAmSchNo"/>
        </w:rPr>
        <w:t xml:space="preserve">Schedule </w:t>
      </w:r>
      <w:r w:rsidR="00A2763F" w:rsidRPr="00B73C84">
        <w:rPr>
          <w:rStyle w:val="CharAmSchNo"/>
        </w:rPr>
        <w:t>1</w:t>
      </w:r>
      <w:r w:rsidRPr="00B73C84">
        <w:tab/>
      </w:r>
      <w:r w:rsidRPr="00B73C84">
        <w:rPr>
          <w:rStyle w:val="CharAmSchText"/>
        </w:rPr>
        <w:t>Sample transmitter licence</w:t>
      </w:r>
      <w:bookmarkEnd w:id="54"/>
    </w:p>
    <w:p w14:paraId="43E20A5C" w14:textId="77777777" w:rsidR="00DF1B35" w:rsidRPr="00B73C84" w:rsidRDefault="00DF1B35" w:rsidP="00DF1B35">
      <w:pPr>
        <w:pStyle w:val="Schedulereference"/>
        <w:rPr>
          <w:rStyle w:val="CharPartNo"/>
        </w:rPr>
      </w:pPr>
      <w:r w:rsidRPr="00B73C84">
        <w:rPr>
          <w:rStyle w:val="CharPartNo"/>
        </w:rPr>
        <w:t>(subsection 6.1 (1))</w:t>
      </w:r>
    </w:p>
    <w:p w14:paraId="51B45093" w14:textId="77777777" w:rsidR="00DF1B35" w:rsidRPr="00B73C84" w:rsidRDefault="00DF1B35" w:rsidP="00DF1B35">
      <w:pPr>
        <w:pStyle w:val="Header"/>
      </w:pPr>
      <w:r w:rsidRPr="00B73C84">
        <w:rPr>
          <w:rStyle w:val="CharSchPTNo"/>
        </w:rPr>
        <w:t xml:space="preserve"> </w:t>
      </w:r>
      <w:r w:rsidRPr="00B73C84">
        <w:rPr>
          <w:rStyle w:val="CharSchPTText"/>
        </w:rPr>
        <w:t xml:space="preserve"> </w:t>
      </w:r>
    </w:p>
    <w:p w14:paraId="0D83F97D" w14:textId="77777777" w:rsidR="00DF1B35" w:rsidRPr="00B73C84" w:rsidRDefault="00DF1B35" w:rsidP="00DF1B35">
      <w:pPr>
        <w:widowControl w:val="0"/>
        <w:tabs>
          <w:tab w:val="left" w:pos="204"/>
        </w:tabs>
        <w:ind w:left="204"/>
        <w:jc w:val="right"/>
        <w:rPr>
          <w:rStyle w:val="CharPartNo"/>
        </w:rPr>
      </w:pPr>
    </w:p>
    <w:p w14:paraId="1B06DAF9" w14:textId="77777777" w:rsidR="00DF1B35" w:rsidRPr="00B73C84" w:rsidRDefault="00DF1B35" w:rsidP="00DF1B35">
      <w:pPr>
        <w:widowControl w:val="0"/>
        <w:tabs>
          <w:tab w:val="left" w:pos="204"/>
        </w:tabs>
        <w:ind w:left="204"/>
        <w:jc w:val="right"/>
        <w:rPr>
          <w:rStyle w:val="CharPartNo"/>
        </w:rPr>
      </w:pPr>
    </w:p>
    <w:p w14:paraId="710B3C86" w14:textId="77777777" w:rsidR="00DF1B35" w:rsidRPr="00B73C84" w:rsidRDefault="00DF1B35" w:rsidP="00DF1B35">
      <w:pPr>
        <w:widowControl w:val="0"/>
        <w:tabs>
          <w:tab w:val="left" w:pos="204"/>
        </w:tabs>
        <w:ind w:left="204"/>
        <w:jc w:val="right"/>
        <w:rPr>
          <w:rStyle w:val="CharPartNo"/>
          <w:sz w:val="22"/>
          <w:szCs w:val="22"/>
        </w:rPr>
      </w:pPr>
      <w:r w:rsidRPr="00B73C84">
        <w:rPr>
          <w:rStyle w:val="CharPartNo"/>
          <w:sz w:val="22"/>
          <w:szCs w:val="22"/>
        </w:rPr>
        <w:t>Client number</w:t>
      </w:r>
    </w:p>
    <w:p w14:paraId="571DD81D" w14:textId="77777777" w:rsidR="00DF1B35" w:rsidRPr="00B73C84" w:rsidRDefault="00DF1B35" w:rsidP="00DF1B35">
      <w:pPr>
        <w:widowControl w:val="0"/>
        <w:tabs>
          <w:tab w:val="left" w:pos="204"/>
        </w:tabs>
        <w:spacing w:before="240" w:after="240"/>
        <w:ind w:left="204"/>
        <w:jc w:val="right"/>
        <w:rPr>
          <w:rStyle w:val="CharPartNo"/>
          <w:sz w:val="22"/>
          <w:szCs w:val="22"/>
        </w:rPr>
      </w:pPr>
      <w:r w:rsidRPr="00B73C84">
        <w:rPr>
          <w:rStyle w:val="CharPartNo"/>
          <w:sz w:val="22"/>
          <w:szCs w:val="22"/>
        </w:rPr>
        <w:t>Date of issue   Date of effect   Date of expiry</w:t>
      </w:r>
    </w:p>
    <w:p w14:paraId="2EF8BF0E" w14:textId="77777777" w:rsidR="00DF1B35" w:rsidRPr="00B73C84" w:rsidRDefault="00DF1B35" w:rsidP="00DF1B35">
      <w:pPr>
        <w:widowControl w:val="0"/>
        <w:tabs>
          <w:tab w:val="left" w:pos="204"/>
        </w:tabs>
        <w:rPr>
          <w:rStyle w:val="CharPartNo"/>
        </w:rPr>
      </w:pPr>
      <w:r w:rsidRPr="00B73C84">
        <w:rPr>
          <w:rStyle w:val="CharPartNo"/>
        </w:rPr>
        <w:t>Name of Licensee</w:t>
      </w:r>
    </w:p>
    <w:p w14:paraId="17C652DB" w14:textId="77777777" w:rsidR="00DF1B35" w:rsidRPr="00B73C84" w:rsidRDefault="00DF1B35" w:rsidP="00DF1B35">
      <w:pPr>
        <w:widowControl w:val="0"/>
        <w:tabs>
          <w:tab w:val="left" w:pos="204"/>
        </w:tabs>
        <w:rPr>
          <w:rStyle w:val="CharPartNo"/>
        </w:rPr>
      </w:pPr>
      <w:r w:rsidRPr="00B73C84">
        <w:rPr>
          <w:rStyle w:val="CharPartNo"/>
        </w:rPr>
        <w:t>Address of Licensee</w:t>
      </w:r>
    </w:p>
    <w:p w14:paraId="2E655C13" w14:textId="77777777" w:rsidR="00DF1B35" w:rsidRPr="00B73C84" w:rsidRDefault="00DF1B35" w:rsidP="00DF1B35">
      <w:pPr>
        <w:widowControl w:val="0"/>
        <w:tabs>
          <w:tab w:val="left" w:pos="204"/>
        </w:tabs>
        <w:spacing w:before="480" w:after="240"/>
        <w:rPr>
          <w:sz w:val="22"/>
          <w:lang w:val="en-US"/>
        </w:rPr>
      </w:pPr>
      <w:r w:rsidRPr="00B73C84">
        <w:rPr>
          <w:rStyle w:val="CharPartNo"/>
        </w:rPr>
        <w:t>Licence Type:</w:t>
      </w:r>
      <w:r w:rsidRPr="00B73C84">
        <w:rPr>
          <w:sz w:val="22"/>
          <w:lang w:val="en-US"/>
        </w:rPr>
        <w:tab/>
      </w:r>
      <w:r w:rsidRPr="00B73C84">
        <w:rPr>
          <w:rStyle w:val="CharPartText"/>
          <w:sz w:val="22"/>
          <w:lang w:val="en-US"/>
        </w:rPr>
        <w:tab/>
        <w:t>Broadcasting</w:t>
      </w:r>
    </w:p>
    <w:p w14:paraId="018A0771" w14:textId="77777777" w:rsidR="00DF1B35" w:rsidRPr="00B73C84" w:rsidRDefault="00DF1B35" w:rsidP="00DF1B35">
      <w:pPr>
        <w:widowControl w:val="0"/>
        <w:tabs>
          <w:tab w:val="left" w:pos="204"/>
        </w:tabs>
        <w:rPr>
          <w:sz w:val="22"/>
          <w:lang w:val="en-US"/>
        </w:rPr>
      </w:pPr>
      <w:proofErr w:type="spellStart"/>
      <w:r w:rsidRPr="00B73C84">
        <w:rPr>
          <w:sz w:val="22"/>
          <w:lang w:val="en-US"/>
        </w:rPr>
        <w:t>Licence</w:t>
      </w:r>
      <w:proofErr w:type="spellEnd"/>
      <w:r w:rsidRPr="00B73C84">
        <w:rPr>
          <w:sz w:val="22"/>
          <w:lang w:val="en-US"/>
        </w:rPr>
        <w:t xml:space="preserve"> Number:</w:t>
      </w:r>
    </w:p>
    <w:p w14:paraId="274C38EB" w14:textId="77777777" w:rsidR="00DF1B35" w:rsidRPr="00B73C84" w:rsidRDefault="00DF1B35" w:rsidP="00DF1B35">
      <w:pPr>
        <w:widowControl w:val="0"/>
        <w:tabs>
          <w:tab w:val="left" w:pos="204"/>
        </w:tabs>
        <w:rPr>
          <w:sz w:val="22"/>
          <w:lang w:val="en-US"/>
        </w:rPr>
      </w:pPr>
      <w:proofErr w:type="spellStart"/>
      <w:r w:rsidRPr="00B73C84">
        <w:rPr>
          <w:sz w:val="22"/>
          <w:lang w:val="en-US"/>
        </w:rPr>
        <w:t>Callsign</w:t>
      </w:r>
      <w:proofErr w:type="spellEnd"/>
      <w:r w:rsidRPr="00B73C84">
        <w:rPr>
          <w:sz w:val="22"/>
          <w:lang w:val="en-US"/>
        </w:rPr>
        <w:t>:</w:t>
      </w:r>
    </w:p>
    <w:p w14:paraId="3230520F" w14:textId="77777777" w:rsidR="00DF1B35" w:rsidRPr="00B73C84" w:rsidRDefault="00DF1B35" w:rsidP="00DF1B35">
      <w:pPr>
        <w:widowControl w:val="0"/>
        <w:tabs>
          <w:tab w:val="decimal" w:pos="5612"/>
        </w:tabs>
        <w:spacing w:before="240"/>
        <w:rPr>
          <w:sz w:val="22"/>
          <w:lang w:val="en-US"/>
        </w:rPr>
      </w:pPr>
      <w:r w:rsidRPr="00B73C84">
        <w:rPr>
          <w:sz w:val="22"/>
          <w:lang w:val="en-US"/>
        </w:rPr>
        <w:t>Spectrum Access:</w:t>
      </w:r>
    </w:p>
    <w:p w14:paraId="02C8E1C2" w14:textId="77777777" w:rsidR="00DF1B35" w:rsidRPr="00B73C84" w:rsidRDefault="00DF1B35" w:rsidP="00DF1B35">
      <w:pPr>
        <w:widowControl w:val="0"/>
        <w:tabs>
          <w:tab w:val="left" w:pos="1320"/>
          <w:tab w:val="decimal" w:pos="5022"/>
        </w:tabs>
        <w:rPr>
          <w:sz w:val="22"/>
          <w:lang w:val="en-US"/>
        </w:rPr>
      </w:pPr>
      <w:r w:rsidRPr="00B73C84">
        <w:rPr>
          <w:sz w:val="22"/>
          <w:lang w:val="en-US"/>
        </w:rPr>
        <w:tab/>
        <w:t>Carrier Frequency:</w:t>
      </w:r>
    </w:p>
    <w:p w14:paraId="6F897234" w14:textId="77777777" w:rsidR="00DF1B35" w:rsidRPr="00B73C84" w:rsidRDefault="00DF1B35" w:rsidP="00DF1B35">
      <w:pPr>
        <w:widowControl w:val="0"/>
        <w:tabs>
          <w:tab w:val="left" w:pos="1303"/>
        </w:tabs>
        <w:ind w:left="1303"/>
        <w:rPr>
          <w:sz w:val="22"/>
          <w:lang w:val="en-US"/>
        </w:rPr>
      </w:pPr>
      <w:r w:rsidRPr="00B73C84">
        <w:rPr>
          <w:sz w:val="22"/>
          <w:lang w:val="en-US"/>
        </w:rPr>
        <w:t>Bandwidth (Chargeable) 200 kHz</w:t>
      </w:r>
    </w:p>
    <w:p w14:paraId="06EF2939" w14:textId="77777777" w:rsidR="00DF1B35" w:rsidRPr="00B73C84" w:rsidRDefault="00DF1B35" w:rsidP="00DF1B35">
      <w:pPr>
        <w:widowControl w:val="0"/>
        <w:tabs>
          <w:tab w:val="left" w:pos="1303"/>
        </w:tabs>
        <w:spacing w:before="240" w:after="240"/>
        <w:ind w:left="1304"/>
        <w:rPr>
          <w:sz w:val="22"/>
          <w:lang w:val="en-US"/>
        </w:rPr>
      </w:pPr>
      <w:r w:rsidRPr="00B73C84">
        <w:rPr>
          <w:sz w:val="22"/>
          <w:lang w:val="en-US"/>
        </w:rPr>
        <w:t>STATION:</w:t>
      </w:r>
    </w:p>
    <w:p w14:paraId="200D26EE" w14:textId="77777777" w:rsidR="00DF1B35" w:rsidRPr="00B73C84" w:rsidRDefault="00DF1B35" w:rsidP="00DF1B35">
      <w:pPr>
        <w:widowControl w:val="0"/>
        <w:tabs>
          <w:tab w:val="left" w:pos="1303"/>
        </w:tabs>
        <w:ind w:left="1303"/>
        <w:rPr>
          <w:sz w:val="22"/>
          <w:lang w:val="en-US"/>
        </w:rPr>
      </w:pPr>
      <w:r w:rsidRPr="00B73C84">
        <w:rPr>
          <w:sz w:val="22"/>
          <w:lang w:val="en-US"/>
        </w:rPr>
        <w:t>Site ID:</w:t>
      </w:r>
    </w:p>
    <w:p w14:paraId="339B4D48" w14:textId="77777777" w:rsidR="00DF1B35" w:rsidRPr="00B73C84" w:rsidRDefault="00DF1B35" w:rsidP="00DF1B35">
      <w:pPr>
        <w:widowControl w:val="0"/>
        <w:tabs>
          <w:tab w:val="left" w:pos="1303"/>
        </w:tabs>
        <w:ind w:left="1303"/>
        <w:rPr>
          <w:sz w:val="22"/>
          <w:lang w:val="en-US"/>
        </w:rPr>
      </w:pPr>
      <w:r w:rsidRPr="00B73C84">
        <w:rPr>
          <w:sz w:val="22"/>
          <w:lang w:val="en-US"/>
        </w:rPr>
        <w:t>Site Name:</w:t>
      </w:r>
    </w:p>
    <w:p w14:paraId="67F08E4F" w14:textId="77777777" w:rsidR="00DF1B35" w:rsidRPr="00B73C84" w:rsidRDefault="00DF1B35" w:rsidP="00DF1B35">
      <w:pPr>
        <w:widowControl w:val="0"/>
        <w:tabs>
          <w:tab w:val="left" w:pos="1303"/>
        </w:tabs>
        <w:spacing w:after="240"/>
        <w:ind w:left="1304"/>
        <w:rPr>
          <w:sz w:val="22"/>
          <w:szCs w:val="22"/>
          <w:lang w:val="en-US"/>
        </w:rPr>
      </w:pPr>
      <w:r w:rsidRPr="00B73C84">
        <w:rPr>
          <w:sz w:val="22"/>
          <w:szCs w:val="22"/>
          <w:lang w:val="en-US"/>
        </w:rPr>
        <w:t>AMG Co-ordinates:</w:t>
      </w:r>
      <w:r w:rsidRPr="00B73C84">
        <w:rPr>
          <w:sz w:val="22"/>
          <w:szCs w:val="22"/>
          <w:lang w:val="en-US"/>
        </w:rPr>
        <w:tab/>
        <w:t>Zn:</w:t>
      </w:r>
      <w:r w:rsidRPr="00B73C84">
        <w:rPr>
          <w:sz w:val="22"/>
          <w:szCs w:val="22"/>
          <w:lang w:val="en-US"/>
        </w:rPr>
        <w:tab/>
        <w:t>E:</w:t>
      </w:r>
      <w:r w:rsidRPr="00B73C84">
        <w:rPr>
          <w:sz w:val="22"/>
          <w:szCs w:val="22"/>
          <w:lang w:val="en-US"/>
        </w:rPr>
        <w:tab/>
        <w:t>N:</w:t>
      </w:r>
    </w:p>
    <w:p w14:paraId="12904DA9" w14:textId="77777777" w:rsidR="00DF1B35" w:rsidRPr="00B73C84" w:rsidRDefault="00DF1B35" w:rsidP="00DF1B35">
      <w:pPr>
        <w:widowControl w:val="0"/>
        <w:tabs>
          <w:tab w:val="left" w:pos="1303"/>
        </w:tabs>
        <w:ind w:left="1303"/>
        <w:rPr>
          <w:sz w:val="22"/>
          <w:lang w:val="en-US"/>
        </w:rPr>
      </w:pPr>
      <w:r w:rsidRPr="00B73C84">
        <w:rPr>
          <w:sz w:val="22"/>
          <w:lang w:val="en-US"/>
        </w:rPr>
        <w:t>Operating Mode:</w:t>
      </w:r>
      <w:r w:rsidRPr="00B73C84">
        <w:rPr>
          <w:sz w:val="22"/>
          <w:lang w:val="en-US"/>
        </w:rPr>
        <w:tab/>
      </w:r>
      <w:r w:rsidRPr="00B73C84">
        <w:rPr>
          <w:sz w:val="22"/>
          <w:lang w:val="en-US"/>
        </w:rPr>
        <w:tab/>
        <w:t>Transmit</w:t>
      </w:r>
    </w:p>
    <w:p w14:paraId="45000185" w14:textId="77777777" w:rsidR="00DF1B35" w:rsidRPr="00B73C84" w:rsidRDefault="00DF1B35" w:rsidP="00DF1B35">
      <w:pPr>
        <w:widowControl w:val="0"/>
        <w:tabs>
          <w:tab w:val="left" w:pos="1303"/>
        </w:tabs>
        <w:ind w:left="1303"/>
        <w:rPr>
          <w:sz w:val="22"/>
          <w:lang w:val="en-US"/>
        </w:rPr>
      </w:pPr>
      <w:r w:rsidRPr="00B73C84">
        <w:rPr>
          <w:sz w:val="22"/>
          <w:lang w:val="en-US"/>
        </w:rPr>
        <w:t>Emission Designator:</w:t>
      </w:r>
      <w:r w:rsidRPr="00B73C84">
        <w:rPr>
          <w:sz w:val="22"/>
          <w:lang w:val="en-US"/>
        </w:rPr>
        <w:tab/>
        <w:t>200KF8EGF</w:t>
      </w:r>
    </w:p>
    <w:p w14:paraId="2C471CD7" w14:textId="77777777" w:rsidR="00DF1B35" w:rsidRPr="00B73C84" w:rsidRDefault="00DF1B35" w:rsidP="00DF1B35">
      <w:pPr>
        <w:widowControl w:val="0"/>
        <w:tabs>
          <w:tab w:val="left" w:pos="1303"/>
        </w:tabs>
        <w:spacing w:before="480"/>
        <w:ind w:left="1304"/>
        <w:rPr>
          <w:sz w:val="22"/>
          <w:lang w:val="en-US"/>
        </w:rPr>
      </w:pPr>
      <w:r w:rsidRPr="00B73C84">
        <w:rPr>
          <w:sz w:val="22"/>
          <w:lang w:val="en-US"/>
        </w:rPr>
        <w:t>Radiation Pattern:</w:t>
      </w:r>
    </w:p>
    <w:p w14:paraId="3F2A2F8F" w14:textId="77777777" w:rsidR="00DF1B35" w:rsidRPr="00B73C84" w:rsidRDefault="00DF1B35" w:rsidP="00DF1B35">
      <w:pPr>
        <w:widowControl w:val="0"/>
        <w:tabs>
          <w:tab w:val="left" w:pos="1276"/>
        </w:tabs>
        <w:ind w:left="1276"/>
        <w:rPr>
          <w:sz w:val="22"/>
          <w:lang w:val="en-US"/>
        </w:rPr>
      </w:pPr>
      <w:r w:rsidRPr="00B73C84">
        <w:rPr>
          <w:sz w:val="22"/>
          <w:lang w:val="en-US"/>
        </w:rPr>
        <w:t>Start Angle</w:t>
      </w:r>
      <w:r w:rsidRPr="00B73C84">
        <w:rPr>
          <w:sz w:val="22"/>
          <w:lang w:val="en-US"/>
        </w:rPr>
        <w:tab/>
        <w:t>Stop Angle</w:t>
      </w:r>
      <w:r w:rsidRPr="00B73C84">
        <w:rPr>
          <w:sz w:val="22"/>
          <w:lang w:val="en-US"/>
        </w:rPr>
        <w:tab/>
        <w:t>Max ERP</w:t>
      </w:r>
      <w:r w:rsidRPr="00B73C84">
        <w:rPr>
          <w:sz w:val="22"/>
          <w:lang w:val="en-US"/>
        </w:rPr>
        <w:tab/>
        <w:t>General Pol.</w:t>
      </w:r>
    </w:p>
    <w:p w14:paraId="506F576A" w14:textId="77777777" w:rsidR="00DF1B35" w:rsidRPr="00B73C84" w:rsidRDefault="00DF1B35" w:rsidP="00DF1B35">
      <w:pPr>
        <w:widowControl w:val="0"/>
        <w:tabs>
          <w:tab w:val="left" w:pos="204"/>
        </w:tabs>
        <w:spacing w:before="480"/>
        <w:rPr>
          <w:sz w:val="26"/>
          <w:lang w:val="en-US"/>
        </w:rPr>
      </w:pPr>
      <w:r w:rsidRPr="00B73C84">
        <w:rPr>
          <w:sz w:val="22"/>
          <w:lang w:val="en-US"/>
        </w:rPr>
        <w:t xml:space="preserve">SPECIAL CONDITIONS APPLYING TO LICENCE  </w:t>
      </w:r>
      <w:r w:rsidRPr="00B73C84">
        <w:rPr>
          <w:lang w:val="en-US"/>
        </w:rPr>
        <w:t xml:space="preserve">[insert </w:t>
      </w:r>
      <w:proofErr w:type="spellStart"/>
      <w:r w:rsidRPr="00B73C84">
        <w:rPr>
          <w:lang w:val="en-US"/>
        </w:rPr>
        <w:t>licence</w:t>
      </w:r>
      <w:proofErr w:type="spellEnd"/>
      <w:r w:rsidRPr="00B73C84">
        <w:rPr>
          <w:lang w:val="en-US"/>
        </w:rPr>
        <w:t xml:space="preserve"> number]</w:t>
      </w:r>
    </w:p>
    <w:p w14:paraId="5A796EDF" w14:textId="77777777" w:rsidR="00DF1B35" w:rsidRPr="00B73C84" w:rsidRDefault="00DF1B35" w:rsidP="00DF1B35">
      <w:pPr>
        <w:widowControl w:val="0"/>
        <w:tabs>
          <w:tab w:val="left" w:pos="1303"/>
        </w:tabs>
        <w:spacing w:before="240"/>
        <w:ind w:left="1304"/>
        <w:rPr>
          <w:sz w:val="22"/>
          <w:lang w:val="en-US"/>
        </w:rPr>
      </w:pPr>
      <w:r w:rsidRPr="00B73C84">
        <w:rPr>
          <w:sz w:val="22"/>
          <w:lang w:val="en-US"/>
        </w:rPr>
        <w:t xml:space="preserve">This </w:t>
      </w:r>
      <w:proofErr w:type="spellStart"/>
      <w:r w:rsidRPr="00B73C84">
        <w:rPr>
          <w:sz w:val="22"/>
          <w:lang w:val="en-US"/>
        </w:rPr>
        <w:t>licence</w:t>
      </w:r>
      <w:proofErr w:type="spellEnd"/>
      <w:r w:rsidRPr="00B73C84">
        <w:rPr>
          <w:sz w:val="22"/>
          <w:lang w:val="en-US"/>
        </w:rPr>
        <w:t xml:space="preserve"> can only be used to provide a low power open narrowcasting service.</w:t>
      </w:r>
    </w:p>
    <w:p w14:paraId="7F9F5A64" w14:textId="77777777" w:rsidR="00DF1B35" w:rsidRPr="00B73C84" w:rsidRDefault="00DF1B35" w:rsidP="00DF1B35">
      <w:pPr>
        <w:widowControl w:val="0"/>
        <w:tabs>
          <w:tab w:val="left" w:pos="1303"/>
        </w:tabs>
        <w:spacing w:before="240"/>
        <w:ind w:left="1304"/>
        <w:rPr>
          <w:sz w:val="22"/>
          <w:lang w:val="en-US"/>
        </w:rPr>
      </w:pPr>
      <w:r w:rsidRPr="00B73C84">
        <w:rPr>
          <w:sz w:val="22"/>
          <w:lang w:val="en-US"/>
        </w:rPr>
        <w:t xml:space="preserve">This </w:t>
      </w:r>
      <w:proofErr w:type="spellStart"/>
      <w:r w:rsidRPr="00B73C84">
        <w:rPr>
          <w:sz w:val="22"/>
          <w:lang w:val="en-US"/>
        </w:rPr>
        <w:t>licence</w:t>
      </w:r>
      <w:proofErr w:type="spellEnd"/>
      <w:r w:rsidRPr="00B73C84">
        <w:rPr>
          <w:sz w:val="22"/>
          <w:lang w:val="en-US"/>
        </w:rPr>
        <w:t xml:space="preserve"> is issued or renewed only for the period for which the frequency has been made available under section 34 of the </w:t>
      </w:r>
      <w:r w:rsidRPr="00B73C84">
        <w:rPr>
          <w:i/>
          <w:sz w:val="22"/>
          <w:lang w:val="en-US"/>
        </w:rPr>
        <w:t>Broadcasting Services Act 1992</w:t>
      </w:r>
      <w:r w:rsidRPr="00B73C84">
        <w:rPr>
          <w:sz w:val="22"/>
          <w:lang w:val="en-US"/>
        </w:rPr>
        <w:t>.</w:t>
      </w:r>
    </w:p>
    <w:p w14:paraId="1F5BB86C" w14:textId="77777777" w:rsidR="00DF1B35" w:rsidRPr="00B73C84" w:rsidRDefault="00DF1B35" w:rsidP="00DF1B35">
      <w:pPr>
        <w:widowControl w:val="0"/>
        <w:tabs>
          <w:tab w:val="left" w:pos="1303"/>
        </w:tabs>
        <w:spacing w:before="240"/>
        <w:ind w:left="1304"/>
        <w:rPr>
          <w:sz w:val="22"/>
          <w:lang w:val="en-US"/>
        </w:rPr>
      </w:pPr>
      <w:r w:rsidRPr="00B73C84">
        <w:rPr>
          <w:sz w:val="22"/>
          <w:lang w:val="en-US"/>
        </w:rPr>
        <w:t xml:space="preserve">This </w:t>
      </w:r>
      <w:proofErr w:type="spellStart"/>
      <w:r w:rsidRPr="00B73C84">
        <w:rPr>
          <w:sz w:val="22"/>
          <w:lang w:val="en-US"/>
        </w:rPr>
        <w:t>licence</w:t>
      </w:r>
      <w:proofErr w:type="spellEnd"/>
      <w:r w:rsidRPr="00B73C84">
        <w:rPr>
          <w:sz w:val="22"/>
          <w:lang w:val="en-US"/>
        </w:rPr>
        <w:t xml:space="preserve"> can only be issued in accordance with the ‘use it or lose it’ condition contained within section 4.11 of the </w:t>
      </w:r>
      <w:proofErr w:type="spellStart"/>
      <w:r w:rsidRPr="00B73C84">
        <w:rPr>
          <w:i/>
          <w:sz w:val="22"/>
          <w:lang w:val="en-US"/>
        </w:rPr>
        <w:t>Radiocommunications</w:t>
      </w:r>
      <w:proofErr w:type="spellEnd"/>
      <w:r w:rsidRPr="00B73C84">
        <w:rPr>
          <w:i/>
          <w:sz w:val="22"/>
          <w:lang w:val="en-US"/>
        </w:rPr>
        <w:t xml:space="preserve"> </w:t>
      </w:r>
      <w:proofErr w:type="spellStart"/>
      <w:r w:rsidRPr="00B73C84">
        <w:rPr>
          <w:i/>
          <w:sz w:val="22"/>
          <w:lang w:val="en-US"/>
        </w:rPr>
        <w:t>Licence</w:t>
      </w:r>
      <w:proofErr w:type="spellEnd"/>
      <w:r w:rsidRPr="00B73C84">
        <w:rPr>
          <w:i/>
          <w:sz w:val="22"/>
          <w:lang w:val="en-US"/>
        </w:rPr>
        <w:t xml:space="preserve"> Conditions (Broadcasting </w:t>
      </w:r>
      <w:proofErr w:type="spellStart"/>
      <w:r w:rsidRPr="00B73C84">
        <w:rPr>
          <w:i/>
          <w:sz w:val="22"/>
          <w:lang w:val="en-US"/>
        </w:rPr>
        <w:t>Licence</w:t>
      </w:r>
      <w:proofErr w:type="spellEnd"/>
      <w:r w:rsidRPr="00B73C84">
        <w:rPr>
          <w:i/>
          <w:sz w:val="22"/>
          <w:lang w:val="en-US"/>
        </w:rPr>
        <w:t>) Determination No. 1 of 1998</w:t>
      </w:r>
      <w:r w:rsidR="002C57CD">
        <w:rPr>
          <w:sz w:val="22"/>
          <w:lang w:val="en-US"/>
        </w:rPr>
        <w:t xml:space="preserve"> as in force from time to time, or equivalent provision contained in any </w:t>
      </w:r>
      <w:r w:rsidR="002C57CD" w:rsidRPr="002C57CD">
        <w:rPr>
          <w:sz w:val="22"/>
          <w:lang w:val="en-US"/>
        </w:rPr>
        <w:t>legislative instrument that replaces that Determination, as in force from time to time</w:t>
      </w:r>
      <w:r w:rsidRPr="00B73C84">
        <w:rPr>
          <w:sz w:val="22"/>
          <w:lang w:val="en-US"/>
        </w:rPr>
        <w:t>.</w:t>
      </w:r>
    </w:p>
    <w:p w14:paraId="1CBED816" w14:textId="77777777" w:rsidR="00DF1B35" w:rsidRPr="00B73C84" w:rsidRDefault="00A2763F" w:rsidP="00DF1B35">
      <w:pPr>
        <w:pageBreakBefore/>
        <w:widowControl w:val="0"/>
        <w:tabs>
          <w:tab w:val="left" w:pos="204"/>
        </w:tabs>
        <w:spacing w:before="240"/>
        <w:rPr>
          <w:sz w:val="22"/>
          <w:lang w:val="en-US"/>
        </w:rPr>
      </w:pPr>
      <w:r w:rsidRPr="00B73C84">
        <w:rPr>
          <w:sz w:val="22"/>
          <w:lang w:val="en-US"/>
        </w:rPr>
        <w:t xml:space="preserve">OTHER CONDITIONS </w:t>
      </w:r>
      <w:r w:rsidR="00DF1B35" w:rsidRPr="00B73C84">
        <w:rPr>
          <w:sz w:val="22"/>
          <w:lang w:val="en-US"/>
        </w:rPr>
        <w:t xml:space="preserve"> APPLYING TO LICENCE </w:t>
      </w:r>
      <w:r w:rsidR="00DF1B35" w:rsidRPr="00B73C84">
        <w:rPr>
          <w:sz w:val="22"/>
          <w:szCs w:val="22"/>
          <w:lang w:val="en-US"/>
        </w:rPr>
        <w:t xml:space="preserve">[insert </w:t>
      </w:r>
      <w:proofErr w:type="spellStart"/>
      <w:r w:rsidR="00DF1B35" w:rsidRPr="00B73C84">
        <w:rPr>
          <w:sz w:val="22"/>
          <w:szCs w:val="22"/>
          <w:lang w:val="en-US"/>
        </w:rPr>
        <w:t>licence</w:t>
      </w:r>
      <w:proofErr w:type="spellEnd"/>
      <w:r w:rsidR="00DF1B35" w:rsidRPr="00B73C84">
        <w:rPr>
          <w:sz w:val="22"/>
          <w:szCs w:val="22"/>
          <w:lang w:val="en-US"/>
        </w:rPr>
        <w:t xml:space="preserve"> number]</w:t>
      </w:r>
    </w:p>
    <w:p w14:paraId="60747717" w14:textId="77777777" w:rsidR="00DF1B35" w:rsidRPr="008C3A33" w:rsidRDefault="00DF1B35" w:rsidP="00DF1B35">
      <w:pPr>
        <w:widowControl w:val="0"/>
        <w:tabs>
          <w:tab w:val="left" w:pos="1303"/>
        </w:tabs>
        <w:spacing w:before="240"/>
        <w:ind w:left="1304"/>
        <w:rPr>
          <w:sz w:val="22"/>
          <w:lang w:val="en-US"/>
        </w:rPr>
      </w:pPr>
      <w:r w:rsidRPr="00B73C84">
        <w:rPr>
          <w:sz w:val="22"/>
          <w:lang w:val="en-US"/>
        </w:rPr>
        <w:t xml:space="preserve">Conditions applicable to the operation of narrowcasting service station(s) </w:t>
      </w:r>
      <w:proofErr w:type="spellStart"/>
      <w:r w:rsidRPr="00B73C84">
        <w:rPr>
          <w:sz w:val="22"/>
          <w:lang w:val="en-US"/>
        </w:rPr>
        <w:t>authorised</w:t>
      </w:r>
      <w:proofErr w:type="spellEnd"/>
      <w:r w:rsidRPr="00B73C84">
        <w:rPr>
          <w:sz w:val="22"/>
          <w:lang w:val="en-US"/>
        </w:rPr>
        <w:t xml:space="preserve"> under this </w:t>
      </w:r>
      <w:proofErr w:type="spellStart"/>
      <w:r w:rsidRPr="00B73C84">
        <w:rPr>
          <w:sz w:val="22"/>
          <w:lang w:val="en-US"/>
        </w:rPr>
        <w:t>licence</w:t>
      </w:r>
      <w:proofErr w:type="spellEnd"/>
      <w:r w:rsidRPr="00B73C84">
        <w:rPr>
          <w:sz w:val="22"/>
          <w:lang w:val="en-US"/>
        </w:rPr>
        <w:t xml:space="preserve"> can be found in the </w:t>
      </w:r>
      <w:proofErr w:type="spellStart"/>
      <w:r w:rsidRPr="00B73C84">
        <w:rPr>
          <w:i/>
          <w:sz w:val="22"/>
          <w:lang w:val="en-US"/>
        </w:rPr>
        <w:t>Radiocommunications</w:t>
      </w:r>
      <w:proofErr w:type="spellEnd"/>
      <w:r w:rsidRPr="00B73C84">
        <w:rPr>
          <w:i/>
          <w:sz w:val="22"/>
          <w:lang w:val="en-US"/>
        </w:rPr>
        <w:t xml:space="preserve"> </w:t>
      </w:r>
      <w:proofErr w:type="spellStart"/>
      <w:r w:rsidRPr="00B73C84">
        <w:rPr>
          <w:i/>
          <w:sz w:val="22"/>
          <w:lang w:val="en-US"/>
        </w:rPr>
        <w:t>Licence</w:t>
      </w:r>
      <w:proofErr w:type="spellEnd"/>
      <w:r w:rsidRPr="00B73C84">
        <w:rPr>
          <w:i/>
          <w:sz w:val="22"/>
          <w:lang w:val="en-US"/>
        </w:rPr>
        <w:t xml:space="preserve"> Conditions (Apparatus </w:t>
      </w:r>
      <w:proofErr w:type="spellStart"/>
      <w:r w:rsidRPr="00B73C84">
        <w:rPr>
          <w:i/>
          <w:sz w:val="22"/>
          <w:lang w:val="en-US"/>
        </w:rPr>
        <w:t>Licence</w:t>
      </w:r>
      <w:proofErr w:type="spellEnd"/>
      <w:r w:rsidRPr="00B73C84">
        <w:rPr>
          <w:i/>
          <w:sz w:val="22"/>
          <w:lang w:val="en-US"/>
        </w:rPr>
        <w:t>) Determination 2015</w:t>
      </w:r>
      <w:r w:rsidRPr="00B73C84">
        <w:rPr>
          <w:sz w:val="22"/>
          <w:lang w:val="en-US"/>
        </w:rPr>
        <w:t xml:space="preserve"> and the </w:t>
      </w:r>
      <w:proofErr w:type="spellStart"/>
      <w:r w:rsidRPr="00B73C84">
        <w:rPr>
          <w:i/>
          <w:sz w:val="22"/>
          <w:lang w:val="en-US"/>
        </w:rPr>
        <w:t>Radiocommunications</w:t>
      </w:r>
      <w:proofErr w:type="spellEnd"/>
      <w:r w:rsidRPr="00B73C84">
        <w:rPr>
          <w:i/>
          <w:sz w:val="22"/>
          <w:lang w:val="en-US"/>
        </w:rPr>
        <w:t xml:space="preserve"> </w:t>
      </w:r>
      <w:proofErr w:type="spellStart"/>
      <w:r w:rsidRPr="00B73C84">
        <w:rPr>
          <w:i/>
          <w:sz w:val="22"/>
          <w:lang w:val="en-US"/>
        </w:rPr>
        <w:t>Licence</w:t>
      </w:r>
      <w:proofErr w:type="spellEnd"/>
      <w:r w:rsidRPr="00B73C84">
        <w:rPr>
          <w:i/>
          <w:sz w:val="22"/>
          <w:lang w:val="en-US"/>
        </w:rPr>
        <w:t xml:space="preserve"> Conditions (Broadcasting </w:t>
      </w:r>
      <w:proofErr w:type="spellStart"/>
      <w:r w:rsidRPr="00B73C84">
        <w:rPr>
          <w:i/>
          <w:sz w:val="22"/>
          <w:lang w:val="en-US"/>
        </w:rPr>
        <w:t>Licence</w:t>
      </w:r>
      <w:proofErr w:type="spellEnd"/>
      <w:r w:rsidRPr="00B73C84">
        <w:rPr>
          <w:i/>
          <w:sz w:val="22"/>
          <w:lang w:val="en-US"/>
        </w:rPr>
        <w:t>) Determination No. 1 of 1998</w:t>
      </w:r>
      <w:r w:rsidRPr="00B73C84">
        <w:rPr>
          <w:sz w:val="22"/>
          <w:lang w:val="en-US"/>
        </w:rPr>
        <w:t xml:space="preserve">. Copies of these determinations are available from </w:t>
      </w:r>
      <w:r w:rsidR="00A2763F" w:rsidRPr="00B73C84">
        <w:rPr>
          <w:sz w:val="22"/>
          <w:lang w:val="en-US"/>
        </w:rPr>
        <w:t>www.comlaw.gov.au.</w:t>
      </w:r>
    </w:p>
    <w:p w14:paraId="6F09A8E9" w14:textId="77777777" w:rsidR="00DF1B35" w:rsidRDefault="00DF1B35" w:rsidP="00DF1B35">
      <w:pPr>
        <w:pStyle w:val="SchedSectionBreak"/>
        <w:sectPr w:rsidR="00DF1B35">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09" w:footer="709" w:gutter="0"/>
          <w:cols w:space="708"/>
          <w:docGrid w:linePitch="360"/>
        </w:sectPr>
      </w:pPr>
      <w:bookmarkStart w:id="55" w:name="_Toc156187179"/>
      <w:bookmarkStart w:id="56" w:name="_Toc111352229"/>
    </w:p>
    <w:bookmarkEnd w:id="55"/>
    <w:bookmarkEnd w:id="56"/>
    <w:p w14:paraId="60A1E0A3" w14:textId="77777777" w:rsidR="00DF1B35" w:rsidRDefault="00DF1B35" w:rsidP="00DF1B35">
      <w:pPr>
        <w:pStyle w:val="NotesSectionBreak"/>
      </w:pPr>
    </w:p>
    <w:p w14:paraId="3D33BFEE" w14:textId="77777777" w:rsidR="00DF1B35" w:rsidRDefault="00DF1B35" w:rsidP="00DF1B35">
      <w:pPr>
        <w:pStyle w:val="NotesSectionBreak"/>
        <w:sectPr w:rsidR="00DF1B35" w:rsidSect="00320545">
          <w:headerReference w:type="even" r:id="rId33"/>
          <w:headerReference w:type="default" r:id="rId34"/>
          <w:footerReference w:type="even" r:id="rId35"/>
          <w:footerReference w:type="default" r:id="rId36"/>
          <w:headerReference w:type="first" r:id="rId37"/>
          <w:footerReference w:type="first" r:id="rId38"/>
          <w:type w:val="continuous"/>
          <w:pgSz w:w="11907" w:h="16839"/>
          <w:pgMar w:top="1440" w:right="1797" w:bottom="1440" w:left="1797" w:header="709" w:footer="709" w:gutter="0"/>
          <w:cols w:space="708"/>
          <w:docGrid w:linePitch="326"/>
        </w:sectPr>
      </w:pPr>
    </w:p>
    <w:p w14:paraId="0556EAD3" w14:textId="77777777" w:rsidR="00DF1B35" w:rsidRPr="008C3A33" w:rsidRDefault="00DF1B35" w:rsidP="00DF1B35"/>
    <w:p w14:paraId="727B6090" w14:textId="77777777" w:rsidR="00475C74" w:rsidRDefault="00475C74"/>
    <w:sectPr w:rsidR="00475C74" w:rsidSect="00320545">
      <w:type w:val="continuous"/>
      <w:pgSz w:w="11907" w:h="16839"/>
      <w:pgMar w:top="1440" w:right="1797" w:bottom="1440" w:left="179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A55D4" w14:textId="77777777" w:rsidR="004244F8" w:rsidRDefault="004244F8" w:rsidP="00DF1B35">
      <w:r>
        <w:separator/>
      </w:r>
    </w:p>
  </w:endnote>
  <w:endnote w:type="continuationSeparator" w:id="0">
    <w:p w14:paraId="101144A0" w14:textId="77777777" w:rsidR="004244F8" w:rsidRDefault="004244F8" w:rsidP="00DF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04A31" w14:textId="77777777" w:rsidR="004244F8" w:rsidRPr="00F10D43" w:rsidRDefault="004244F8">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4244F8" w:rsidRPr="008C43B2" w14:paraId="3930CD1F" w14:textId="77777777">
      <w:tc>
        <w:tcPr>
          <w:tcW w:w="1701" w:type="dxa"/>
          <w:shd w:val="clear" w:color="auto" w:fill="auto"/>
        </w:tcPr>
        <w:p w14:paraId="17EAFBBE" w14:textId="77777777" w:rsidR="004244F8" w:rsidRPr="008C43B2" w:rsidRDefault="004244F8">
          <w:pPr>
            <w:pStyle w:val="FooterPageEven"/>
          </w:pPr>
          <w:r w:rsidRPr="008C43B2">
            <w:fldChar w:fldCharType="begin"/>
          </w:r>
          <w:r w:rsidRPr="008C43B2">
            <w:instrText xml:space="preserve"> PAGE </w:instrText>
          </w:r>
          <w:r w:rsidRPr="008C43B2">
            <w:fldChar w:fldCharType="separate"/>
          </w:r>
          <w:r>
            <w:rPr>
              <w:noProof/>
            </w:rPr>
            <w:t>6</w:t>
          </w:r>
          <w:r w:rsidRPr="008C43B2">
            <w:fldChar w:fldCharType="end"/>
          </w:r>
        </w:p>
      </w:tc>
      <w:tc>
        <w:tcPr>
          <w:tcW w:w="4933" w:type="dxa"/>
          <w:shd w:val="clear" w:color="auto" w:fill="auto"/>
        </w:tcPr>
        <w:p w14:paraId="2CC85582" w14:textId="77777777" w:rsidR="004244F8" w:rsidRPr="008C43B2" w:rsidRDefault="004244F8">
          <w:pPr>
            <w:pStyle w:val="FooterCitation"/>
          </w:pPr>
          <w:r>
            <w:fldChar w:fldCharType="begin"/>
          </w:r>
          <w:r>
            <w:instrText xml:space="preserve"> STYLEREF  Title </w:instrText>
          </w:r>
          <w:r>
            <w:fldChar w:fldCharType="separate"/>
          </w:r>
          <w:r>
            <w:rPr>
              <w:b/>
              <w:bCs/>
              <w:noProof/>
              <w:lang w:val="en-US"/>
            </w:rPr>
            <w:t>Error! No text of specified style in document.</w:t>
          </w:r>
          <w:r>
            <w:rPr>
              <w:noProof/>
            </w:rPr>
            <w:fldChar w:fldCharType="end"/>
          </w:r>
        </w:p>
      </w:tc>
      <w:tc>
        <w:tcPr>
          <w:tcW w:w="1701" w:type="dxa"/>
          <w:shd w:val="clear" w:color="auto" w:fill="auto"/>
        </w:tcPr>
        <w:p w14:paraId="1C851985" w14:textId="77777777" w:rsidR="004244F8" w:rsidRPr="008C43B2" w:rsidRDefault="004244F8">
          <w:pPr>
            <w:pStyle w:val="FooterPageOdd"/>
          </w:pPr>
        </w:p>
      </w:tc>
    </w:tr>
  </w:tbl>
  <w:p w14:paraId="2039F4E2" w14:textId="77777777" w:rsidR="004244F8" w:rsidRPr="00F10D43" w:rsidRDefault="004244F8">
    <w:pPr>
      <w:pStyle w:val="Footerinfo"/>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B1B63" w14:textId="77777777" w:rsidR="004244F8" w:rsidRPr="00F10D43" w:rsidRDefault="004244F8" w:rsidP="00320545">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4244F8" w:rsidRPr="008C43B2" w14:paraId="2AA8827E" w14:textId="77777777">
      <w:tc>
        <w:tcPr>
          <w:tcW w:w="1701" w:type="dxa"/>
          <w:shd w:val="clear" w:color="auto" w:fill="auto"/>
        </w:tcPr>
        <w:p w14:paraId="75C671EA" w14:textId="77777777" w:rsidR="004244F8" w:rsidRPr="008C43B2" w:rsidRDefault="004244F8" w:rsidP="00320545">
          <w:pPr>
            <w:pStyle w:val="FooterPageOdd"/>
          </w:pPr>
        </w:p>
      </w:tc>
      <w:tc>
        <w:tcPr>
          <w:tcW w:w="4933" w:type="dxa"/>
          <w:shd w:val="clear" w:color="auto" w:fill="auto"/>
        </w:tcPr>
        <w:p w14:paraId="590D0CC0" w14:textId="77777777" w:rsidR="004244F8" w:rsidRPr="008C43B2" w:rsidRDefault="004244F8" w:rsidP="00320545">
          <w:pPr>
            <w:pStyle w:val="FooterCitation"/>
          </w:pPr>
          <w:r>
            <w:fldChar w:fldCharType="begin"/>
          </w:r>
          <w:r>
            <w:instrText xml:space="preserve"> STYLEREF  Title </w:instrText>
          </w:r>
          <w:r>
            <w:fldChar w:fldCharType="separate"/>
          </w:r>
          <w:r>
            <w:rPr>
              <w:b/>
              <w:bCs/>
              <w:noProof/>
              <w:lang w:val="en-US"/>
            </w:rPr>
            <w:t>Error! No text of specified style in document.</w:t>
          </w:r>
          <w:r>
            <w:rPr>
              <w:noProof/>
            </w:rPr>
            <w:fldChar w:fldCharType="end"/>
          </w:r>
        </w:p>
      </w:tc>
      <w:tc>
        <w:tcPr>
          <w:tcW w:w="1701" w:type="dxa"/>
          <w:shd w:val="clear" w:color="auto" w:fill="auto"/>
        </w:tcPr>
        <w:p w14:paraId="64AF0D92" w14:textId="77777777" w:rsidR="004244F8" w:rsidRPr="008C43B2" w:rsidRDefault="004244F8" w:rsidP="00320545">
          <w:pPr>
            <w:pStyle w:val="FooterPageOdd"/>
          </w:pPr>
          <w:r w:rsidRPr="008C43B2">
            <w:fldChar w:fldCharType="begin"/>
          </w:r>
          <w:r w:rsidRPr="008C43B2">
            <w:instrText xml:space="preserve"> PAGE </w:instrText>
          </w:r>
          <w:r w:rsidRPr="008C43B2">
            <w:fldChar w:fldCharType="separate"/>
          </w:r>
          <w:r>
            <w:rPr>
              <w:noProof/>
            </w:rPr>
            <w:t>27</w:t>
          </w:r>
          <w:r w:rsidRPr="008C43B2">
            <w:fldChar w:fldCharType="end"/>
          </w:r>
        </w:p>
      </w:tc>
    </w:tr>
  </w:tbl>
  <w:p w14:paraId="1DA2D732" w14:textId="77777777" w:rsidR="004244F8" w:rsidRPr="00F10D43" w:rsidRDefault="004244F8" w:rsidP="00320545">
    <w:pPr>
      <w:pStyle w:val="Footerinfo"/>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B6F10" w14:textId="77777777" w:rsidR="004244F8" w:rsidRPr="00556EB9" w:rsidRDefault="004244F8" w:rsidP="00320545">
    <w:pPr>
      <w:pStyle w:val="FooterCitation"/>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5C1FE" w14:textId="77777777" w:rsidR="004244F8" w:rsidRDefault="004244F8" w:rsidP="00D7642C">
    <w:pPr>
      <w:pStyle w:val="Footer"/>
      <w:pBdr>
        <w:top w:val="single" w:sz="4" w:space="1" w:color="auto"/>
      </w:pBdr>
      <w:jc w:val="center"/>
      <w:rPr>
        <w:i/>
      </w:rPr>
    </w:pPr>
    <w:proofErr w:type="spellStart"/>
    <w:r w:rsidRPr="00D7642C">
      <w:rPr>
        <w:i/>
      </w:rPr>
      <w:t>Radiocommunications</w:t>
    </w:r>
    <w:proofErr w:type="spellEnd"/>
    <w:r w:rsidRPr="00D7642C">
      <w:rPr>
        <w:i/>
      </w:rPr>
      <w:t xml:space="preserve"> (Allocation of Transmitter Licences – Low Power </w:t>
    </w:r>
  </w:p>
  <w:p w14:paraId="68BFEB63" w14:textId="77777777" w:rsidR="004244F8" w:rsidRDefault="004244F8" w:rsidP="00D7642C">
    <w:pPr>
      <w:pStyle w:val="Footer"/>
      <w:pBdr>
        <w:top w:val="single" w:sz="4" w:space="1" w:color="auto"/>
      </w:pBdr>
      <w:jc w:val="center"/>
      <w:rPr>
        <w:i/>
      </w:rPr>
    </w:pPr>
    <w:r w:rsidRPr="00D7642C">
      <w:rPr>
        <w:i/>
      </w:rPr>
      <w:t>Open Narrowcasting Licences) Determination 2015</w:t>
    </w:r>
  </w:p>
  <w:p w14:paraId="25B6250F" w14:textId="77777777" w:rsidR="004244F8" w:rsidRPr="00D7642C" w:rsidRDefault="004244F8" w:rsidP="00D7642C">
    <w:pPr>
      <w:pStyle w:val="Footer"/>
      <w:pBdr>
        <w:top w:val="single" w:sz="4" w:space="1" w:color="auto"/>
      </w:pBdr>
      <w:jc w:val="right"/>
    </w:pPr>
    <w:r w:rsidRPr="00D7642C">
      <w:fldChar w:fldCharType="begin"/>
    </w:r>
    <w:r w:rsidRPr="00D7642C">
      <w:instrText xml:space="preserve"> PAGE   \* MERGEFORMAT </w:instrText>
    </w:r>
    <w:r w:rsidRPr="00D7642C">
      <w:fldChar w:fldCharType="separate"/>
    </w:r>
    <w:r w:rsidR="009773A0">
      <w:rPr>
        <w:noProof/>
      </w:rPr>
      <w:t>6</w:t>
    </w:r>
    <w:r w:rsidRPr="00D7642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1A98E" w14:textId="77777777" w:rsidR="004244F8" w:rsidRPr="00F10D43" w:rsidRDefault="004244F8">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4244F8" w:rsidRPr="008C43B2" w14:paraId="5B6C9B65" w14:textId="77777777">
      <w:tc>
        <w:tcPr>
          <w:tcW w:w="1701" w:type="dxa"/>
          <w:shd w:val="clear" w:color="auto" w:fill="auto"/>
        </w:tcPr>
        <w:p w14:paraId="730265D4" w14:textId="77777777" w:rsidR="004244F8" w:rsidRPr="008C43B2" w:rsidRDefault="004244F8">
          <w:pPr>
            <w:pStyle w:val="FooterPageEven"/>
          </w:pPr>
          <w:r w:rsidRPr="008C43B2">
            <w:fldChar w:fldCharType="begin"/>
          </w:r>
          <w:r w:rsidRPr="008C43B2">
            <w:instrText xml:space="preserve"> PAGE </w:instrText>
          </w:r>
          <w:r w:rsidRPr="008C43B2">
            <w:fldChar w:fldCharType="separate"/>
          </w:r>
          <w:r>
            <w:rPr>
              <w:noProof/>
            </w:rPr>
            <w:t>20</w:t>
          </w:r>
          <w:r w:rsidRPr="008C43B2">
            <w:fldChar w:fldCharType="end"/>
          </w:r>
        </w:p>
      </w:tc>
      <w:tc>
        <w:tcPr>
          <w:tcW w:w="4933" w:type="dxa"/>
          <w:shd w:val="clear" w:color="auto" w:fill="auto"/>
        </w:tcPr>
        <w:p w14:paraId="3E096D87" w14:textId="77777777" w:rsidR="004244F8" w:rsidRPr="008C43B2" w:rsidRDefault="004244F8">
          <w:pPr>
            <w:pStyle w:val="FooterCitation"/>
          </w:pPr>
          <w:r>
            <w:fldChar w:fldCharType="begin"/>
          </w:r>
          <w:r>
            <w:instrText xml:space="preserve"> STYLEREF  Title </w:instrText>
          </w:r>
          <w:r>
            <w:fldChar w:fldCharType="separate"/>
          </w:r>
          <w:r>
            <w:rPr>
              <w:b/>
              <w:bCs/>
              <w:noProof/>
              <w:lang w:val="en-US"/>
            </w:rPr>
            <w:t>Error! No text of specified style in document.</w:t>
          </w:r>
          <w:r>
            <w:rPr>
              <w:noProof/>
            </w:rPr>
            <w:fldChar w:fldCharType="end"/>
          </w:r>
        </w:p>
      </w:tc>
      <w:tc>
        <w:tcPr>
          <w:tcW w:w="1701" w:type="dxa"/>
          <w:shd w:val="clear" w:color="auto" w:fill="auto"/>
        </w:tcPr>
        <w:p w14:paraId="0ABBA319" w14:textId="77777777" w:rsidR="004244F8" w:rsidRPr="008C43B2" w:rsidRDefault="004244F8">
          <w:pPr>
            <w:pStyle w:val="FooterPageOdd"/>
          </w:pPr>
        </w:p>
      </w:tc>
    </w:tr>
  </w:tbl>
  <w:p w14:paraId="70925D10" w14:textId="77777777" w:rsidR="004244F8" w:rsidRPr="00F10D43" w:rsidRDefault="004244F8">
    <w:pPr>
      <w:pStyle w:val="Footerinf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A0D13" w14:textId="77777777" w:rsidR="004244F8" w:rsidRDefault="004244F8" w:rsidP="00D7642C">
    <w:pPr>
      <w:pStyle w:val="Footer"/>
      <w:pBdr>
        <w:top w:val="single" w:sz="4" w:space="1" w:color="auto"/>
      </w:pBdr>
    </w:pPr>
  </w:p>
  <w:p w14:paraId="682C8D12" w14:textId="77777777" w:rsidR="004244F8" w:rsidRDefault="004244F8" w:rsidP="00D7642C">
    <w:pPr>
      <w:pStyle w:val="Footer"/>
      <w:pBdr>
        <w:top w:val="single" w:sz="4" w:space="1" w:color="auto"/>
      </w:pBdr>
      <w:jc w:val="center"/>
      <w:rPr>
        <w:i/>
      </w:rPr>
    </w:pPr>
    <w:proofErr w:type="spellStart"/>
    <w:r w:rsidRPr="00D7642C">
      <w:rPr>
        <w:i/>
      </w:rPr>
      <w:t>Radiocommunications</w:t>
    </w:r>
    <w:proofErr w:type="spellEnd"/>
    <w:r w:rsidRPr="00D7642C">
      <w:rPr>
        <w:i/>
      </w:rPr>
      <w:t xml:space="preserve"> (Allocation of Transmitter Licences – Low Power </w:t>
    </w:r>
  </w:p>
  <w:p w14:paraId="102CEA19" w14:textId="77777777" w:rsidR="004244F8" w:rsidRPr="00D7642C" w:rsidRDefault="004244F8" w:rsidP="00D7642C">
    <w:pPr>
      <w:pStyle w:val="Footer"/>
      <w:pBdr>
        <w:top w:val="single" w:sz="4" w:space="1" w:color="auto"/>
      </w:pBdr>
      <w:jc w:val="center"/>
    </w:pPr>
    <w:r w:rsidRPr="00D7642C">
      <w:rPr>
        <w:i/>
      </w:rPr>
      <w:t>Open Narrowcasting Licences) Determination 2015</w:t>
    </w:r>
  </w:p>
  <w:p w14:paraId="261D6C8B" w14:textId="77777777" w:rsidR="004244F8" w:rsidRPr="00D7642C" w:rsidRDefault="004244F8" w:rsidP="00D7642C">
    <w:pPr>
      <w:pStyle w:val="Footer"/>
      <w:pBdr>
        <w:top w:val="single" w:sz="4" w:space="1" w:color="auto"/>
      </w:pBdr>
      <w:jc w:val="right"/>
    </w:pPr>
    <w:r w:rsidRPr="00D7642C">
      <w:fldChar w:fldCharType="begin"/>
    </w:r>
    <w:r w:rsidRPr="00D7642C">
      <w:instrText xml:space="preserve"> PAGE   \* MERGEFORMAT </w:instrText>
    </w:r>
    <w:r w:rsidRPr="00D7642C">
      <w:fldChar w:fldCharType="separate"/>
    </w:r>
    <w:r w:rsidR="009773A0">
      <w:rPr>
        <w:noProof/>
      </w:rPr>
      <w:t>19</w:t>
    </w:r>
    <w:r w:rsidRPr="00D7642C">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BFBF7" w14:textId="77777777" w:rsidR="004244F8" w:rsidRPr="00556EB9" w:rsidRDefault="004244F8">
    <w:pPr>
      <w:pStyle w:val="FooterCitation"/>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4A6D6" w14:textId="77777777" w:rsidR="004244F8" w:rsidRPr="00F10D43" w:rsidRDefault="004244F8">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4244F8" w:rsidRPr="008C43B2" w14:paraId="2F8999AB" w14:textId="77777777">
      <w:tc>
        <w:tcPr>
          <w:tcW w:w="1701" w:type="dxa"/>
          <w:shd w:val="clear" w:color="auto" w:fill="auto"/>
        </w:tcPr>
        <w:p w14:paraId="3BE11551" w14:textId="77777777" w:rsidR="004244F8" w:rsidRPr="008C43B2" w:rsidRDefault="004244F8">
          <w:pPr>
            <w:pStyle w:val="FooterPageEven"/>
          </w:pPr>
          <w:r w:rsidRPr="008C43B2">
            <w:fldChar w:fldCharType="begin"/>
          </w:r>
          <w:r w:rsidRPr="008C43B2">
            <w:instrText xml:space="preserve"> PAGE </w:instrText>
          </w:r>
          <w:r w:rsidRPr="008C43B2">
            <w:fldChar w:fldCharType="separate"/>
          </w:r>
          <w:r>
            <w:rPr>
              <w:noProof/>
            </w:rPr>
            <w:t>22</w:t>
          </w:r>
          <w:r w:rsidRPr="008C43B2">
            <w:fldChar w:fldCharType="end"/>
          </w:r>
        </w:p>
      </w:tc>
      <w:tc>
        <w:tcPr>
          <w:tcW w:w="4933" w:type="dxa"/>
          <w:shd w:val="clear" w:color="auto" w:fill="auto"/>
        </w:tcPr>
        <w:p w14:paraId="44FB9966" w14:textId="77777777" w:rsidR="004244F8" w:rsidRPr="008C43B2" w:rsidRDefault="004244F8">
          <w:pPr>
            <w:pStyle w:val="FooterCitation"/>
          </w:pPr>
          <w:r>
            <w:fldChar w:fldCharType="begin"/>
          </w:r>
          <w:r>
            <w:instrText xml:space="preserve"> STYLEREF  Title </w:instrText>
          </w:r>
          <w:r>
            <w:fldChar w:fldCharType="separate"/>
          </w:r>
          <w:r>
            <w:rPr>
              <w:b/>
              <w:bCs/>
              <w:noProof/>
              <w:lang w:val="en-US"/>
            </w:rPr>
            <w:t>Error! No text of specified style in document.</w:t>
          </w:r>
          <w:r>
            <w:rPr>
              <w:noProof/>
            </w:rPr>
            <w:fldChar w:fldCharType="end"/>
          </w:r>
        </w:p>
      </w:tc>
      <w:tc>
        <w:tcPr>
          <w:tcW w:w="1701" w:type="dxa"/>
          <w:shd w:val="clear" w:color="auto" w:fill="auto"/>
        </w:tcPr>
        <w:p w14:paraId="0338A7CA" w14:textId="77777777" w:rsidR="004244F8" w:rsidRPr="008C43B2" w:rsidRDefault="004244F8">
          <w:pPr>
            <w:pStyle w:val="FooterPageOdd"/>
          </w:pPr>
        </w:p>
      </w:tc>
    </w:tr>
  </w:tbl>
  <w:p w14:paraId="4CD9122F" w14:textId="77777777" w:rsidR="004244F8" w:rsidRPr="00F10D43" w:rsidRDefault="004244F8">
    <w:pPr>
      <w:pStyle w:val="Footerinf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D2B9E" w14:textId="77777777" w:rsidR="004244F8" w:rsidRDefault="004244F8" w:rsidP="00D7642C">
    <w:pPr>
      <w:pStyle w:val="Footer"/>
      <w:pBdr>
        <w:top w:val="single" w:sz="4" w:space="1" w:color="auto"/>
      </w:pBdr>
    </w:pPr>
  </w:p>
  <w:p w14:paraId="2DD6DACD" w14:textId="77777777" w:rsidR="004244F8" w:rsidRDefault="004244F8" w:rsidP="00D7642C">
    <w:pPr>
      <w:pStyle w:val="Footer"/>
      <w:pBdr>
        <w:top w:val="single" w:sz="4" w:space="1" w:color="auto"/>
      </w:pBdr>
      <w:jc w:val="center"/>
      <w:rPr>
        <w:i/>
      </w:rPr>
    </w:pPr>
    <w:proofErr w:type="spellStart"/>
    <w:r w:rsidRPr="00D7642C">
      <w:rPr>
        <w:i/>
      </w:rPr>
      <w:t>Radiocommunications</w:t>
    </w:r>
    <w:proofErr w:type="spellEnd"/>
    <w:r w:rsidRPr="00D7642C">
      <w:rPr>
        <w:i/>
      </w:rPr>
      <w:t xml:space="preserve"> (Allocation of Transmitter Licences – Low Power </w:t>
    </w:r>
  </w:p>
  <w:p w14:paraId="2694B9C0" w14:textId="77777777" w:rsidR="004244F8" w:rsidRDefault="004244F8" w:rsidP="00D7642C">
    <w:pPr>
      <w:pStyle w:val="Footer"/>
      <w:pBdr>
        <w:top w:val="single" w:sz="4" w:space="1" w:color="auto"/>
      </w:pBdr>
      <w:jc w:val="center"/>
      <w:rPr>
        <w:i/>
      </w:rPr>
    </w:pPr>
    <w:r w:rsidRPr="00D7642C">
      <w:rPr>
        <w:i/>
      </w:rPr>
      <w:t>Open Narrowcasting Licences) Determination 2015</w:t>
    </w:r>
  </w:p>
  <w:p w14:paraId="32A6B4F8" w14:textId="77777777" w:rsidR="004244F8" w:rsidRPr="00D91FB9" w:rsidRDefault="004244F8" w:rsidP="00A721DD">
    <w:pPr>
      <w:pStyle w:val="Footer"/>
      <w:jc w:val="right"/>
    </w:pPr>
    <w:r>
      <w:fldChar w:fldCharType="begin"/>
    </w:r>
    <w:r>
      <w:instrText xml:space="preserve"> PAGE   \* MERGEFORMAT </w:instrText>
    </w:r>
    <w:r>
      <w:fldChar w:fldCharType="separate"/>
    </w:r>
    <w:r w:rsidR="009773A0">
      <w:rPr>
        <w:noProof/>
      </w:rPr>
      <w:t>21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D9943" w14:textId="77777777" w:rsidR="004244F8" w:rsidRPr="00556EB9" w:rsidRDefault="004244F8">
    <w:pPr>
      <w:pStyle w:val="FooterCitation"/>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2FE7" w14:textId="77777777" w:rsidR="004244F8" w:rsidRPr="00F10D43" w:rsidRDefault="004244F8" w:rsidP="00320545">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4244F8" w:rsidRPr="008C43B2" w14:paraId="022A8152" w14:textId="77777777">
      <w:tc>
        <w:tcPr>
          <w:tcW w:w="1701" w:type="dxa"/>
          <w:shd w:val="clear" w:color="auto" w:fill="auto"/>
        </w:tcPr>
        <w:p w14:paraId="12607315" w14:textId="77777777" w:rsidR="004244F8" w:rsidRPr="008C43B2" w:rsidRDefault="004244F8" w:rsidP="00320545">
          <w:pPr>
            <w:pStyle w:val="FooterPageEven"/>
          </w:pPr>
          <w:r w:rsidRPr="008C43B2">
            <w:fldChar w:fldCharType="begin"/>
          </w:r>
          <w:r w:rsidRPr="008C43B2">
            <w:instrText xml:space="preserve"> PAGE </w:instrText>
          </w:r>
          <w:r w:rsidRPr="008C43B2">
            <w:fldChar w:fldCharType="separate"/>
          </w:r>
          <w:r>
            <w:rPr>
              <w:noProof/>
            </w:rPr>
            <w:t>28</w:t>
          </w:r>
          <w:r w:rsidRPr="008C43B2">
            <w:fldChar w:fldCharType="end"/>
          </w:r>
        </w:p>
      </w:tc>
      <w:tc>
        <w:tcPr>
          <w:tcW w:w="4933" w:type="dxa"/>
          <w:shd w:val="clear" w:color="auto" w:fill="auto"/>
        </w:tcPr>
        <w:p w14:paraId="192BAF05" w14:textId="77777777" w:rsidR="004244F8" w:rsidRPr="008C43B2" w:rsidRDefault="004244F8" w:rsidP="00320545">
          <w:pPr>
            <w:pStyle w:val="FooterCitation"/>
          </w:pPr>
          <w:r>
            <w:fldChar w:fldCharType="begin"/>
          </w:r>
          <w:r>
            <w:instrText xml:space="preserve"> STYLEREF  Title </w:instrText>
          </w:r>
          <w:r>
            <w:fldChar w:fldCharType="separate"/>
          </w:r>
          <w:r>
            <w:rPr>
              <w:b/>
              <w:bCs/>
              <w:noProof/>
              <w:lang w:val="en-US"/>
            </w:rPr>
            <w:t>Error! No text of specified style in document.</w:t>
          </w:r>
          <w:r>
            <w:rPr>
              <w:noProof/>
            </w:rPr>
            <w:fldChar w:fldCharType="end"/>
          </w:r>
        </w:p>
      </w:tc>
      <w:tc>
        <w:tcPr>
          <w:tcW w:w="1701" w:type="dxa"/>
          <w:shd w:val="clear" w:color="auto" w:fill="auto"/>
        </w:tcPr>
        <w:p w14:paraId="3BE603BF" w14:textId="77777777" w:rsidR="004244F8" w:rsidRPr="008C43B2" w:rsidRDefault="004244F8" w:rsidP="00320545">
          <w:pPr>
            <w:pStyle w:val="FooterPageOdd"/>
          </w:pPr>
        </w:p>
      </w:tc>
    </w:tr>
  </w:tbl>
  <w:p w14:paraId="33AFCC7B" w14:textId="77777777" w:rsidR="004244F8" w:rsidRPr="00F10D43" w:rsidRDefault="004244F8" w:rsidP="00320545">
    <w:pPr>
      <w:pStyle w:val="Footerinf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88A73" w14:textId="77777777" w:rsidR="004244F8" w:rsidRDefault="004244F8" w:rsidP="00DF1B35">
      <w:r>
        <w:separator/>
      </w:r>
    </w:p>
  </w:footnote>
  <w:footnote w:type="continuationSeparator" w:id="0">
    <w:p w14:paraId="5358B661" w14:textId="77777777" w:rsidR="004244F8" w:rsidRDefault="004244F8" w:rsidP="00DF1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43" w:type="dxa"/>
      <w:tblLook w:val="01E0" w:firstRow="1" w:lastRow="1" w:firstColumn="1" w:lastColumn="1" w:noHBand="0" w:noVBand="0"/>
    </w:tblPr>
    <w:tblGrid>
      <w:gridCol w:w="1546"/>
      <w:gridCol w:w="6797"/>
    </w:tblGrid>
    <w:tr w:rsidR="004244F8" w14:paraId="5DE319C7" w14:textId="77777777">
      <w:tc>
        <w:tcPr>
          <w:tcW w:w="8343" w:type="dxa"/>
          <w:gridSpan w:val="2"/>
        </w:tcPr>
        <w:p w14:paraId="033D333B" w14:textId="77777777" w:rsidR="004244F8" w:rsidRDefault="004244F8">
          <w:pPr>
            <w:pStyle w:val="HeaderLiteEven"/>
            <w:ind w:right="-108"/>
          </w:pPr>
          <w:r>
            <w:t>Contents</w:t>
          </w:r>
        </w:p>
      </w:tc>
    </w:tr>
    <w:tr w:rsidR="004244F8" w14:paraId="36B9F85F" w14:textId="77777777">
      <w:tc>
        <w:tcPr>
          <w:tcW w:w="1546" w:type="dxa"/>
        </w:tcPr>
        <w:p w14:paraId="6C60C73C" w14:textId="77777777" w:rsidR="004244F8" w:rsidRDefault="004244F8">
          <w:pPr>
            <w:pStyle w:val="HeaderLiteEven"/>
            <w:ind w:right="-108"/>
          </w:pPr>
        </w:p>
      </w:tc>
      <w:tc>
        <w:tcPr>
          <w:tcW w:w="6797" w:type="dxa"/>
          <w:vAlign w:val="bottom"/>
        </w:tcPr>
        <w:p w14:paraId="57C83584" w14:textId="77777777" w:rsidR="004244F8" w:rsidRDefault="004244F8">
          <w:pPr>
            <w:pStyle w:val="HeaderLiteEven"/>
            <w:ind w:right="-108"/>
          </w:pPr>
        </w:p>
      </w:tc>
    </w:tr>
    <w:tr w:rsidR="004244F8" w14:paraId="48287BF6" w14:textId="77777777">
      <w:tc>
        <w:tcPr>
          <w:tcW w:w="1546" w:type="dxa"/>
          <w:tcBorders>
            <w:bottom w:val="single" w:sz="4" w:space="0" w:color="auto"/>
          </w:tcBorders>
          <w:shd w:val="clear" w:color="auto" w:fill="auto"/>
        </w:tcPr>
        <w:p w14:paraId="177A322D" w14:textId="77777777" w:rsidR="004244F8" w:rsidRDefault="004244F8">
          <w:pPr>
            <w:pStyle w:val="HeaderLiteEven"/>
            <w:spacing w:before="120" w:after="60"/>
            <w:ind w:right="-108"/>
          </w:pPr>
        </w:p>
      </w:tc>
      <w:tc>
        <w:tcPr>
          <w:tcW w:w="6797" w:type="dxa"/>
          <w:tcBorders>
            <w:bottom w:val="single" w:sz="4" w:space="0" w:color="auto"/>
          </w:tcBorders>
          <w:shd w:val="clear" w:color="auto" w:fill="auto"/>
          <w:vAlign w:val="bottom"/>
        </w:tcPr>
        <w:p w14:paraId="45E39DC6" w14:textId="77777777" w:rsidR="004244F8" w:rsidRDefault="004244F8">
          <w:pPr>
            <w:pStyle w:val="HeaderLiteEven"/>
            <w:spacing w:before="120" w:after="60"/>
            <w:ind w:right="-108"/>
          </w:pPr>
        </w:p>
      </w:tc>
    </w:tr>
  </w:tbl>
  <w:p w14:paraId="54286DB3" w14:textId="77777777" w:rsidR="004244F8" w:rsidRPr="001269B3" w:rsidRDefault="004244F8">
    <w:pPr>
      <w:pStyle w:val="HeaderContentsPage"/>
    </w:pPr>
    <w:r>
      <w:t>Page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B6493" w14:textId="77777777" w:rsidR="004244F8" w:rsidRDefault="004244F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ook w:val="01E0" w:firstRow="1" w:lastRow="1" w:firstColumn="1" w:lastColumn="1" w:noHBand="0" w:noVBand="0"/>
    </w:tblPr>
    <w:tblGrid>
      <w:gridCol w:w="8414"/>
    </w:tblGrid>
    <w:tr w:rsidR="004244F8" w14:paraId="3BE3293E" w14:textId="77777777">
      <w:tc>
        <w:tcPr>
          <w:tcW w:w="8414" w:type="dxa"/>
        </w:tcPr>
        <w:p w14:paraId="0D16B9D0" w14:textId="77777777" w:rsidR="004244F8" w:rsidRDefault="004244F8" w:rsidP="00320545">
          <w:pPr>
            <w:pStyle w:val="HeaderLiteEven"/>
          </w:pPr>
          <w:r>
            <w:t>Notes to the</w:t>
          </w:r>
          <w:r w:rsidRPr="000D4CDA">
            <w:t xml:space="preserve"> </w:t>
          </w:r>
          <w:r w:rsidRPr="00264A41">
            <w:rPr>
              <w:i/>
            </w:rPr>
            <w:fldChar w:fldCharType="begin"/>
          </w:r>
          <w:r w:rsidRPr="00264A41">
            <w:rPr>
              <w:i/>
            </w:rPr>
            <w:instrText xml:space="preserve"> STYLEREF  Title </w:instrText>
          </w:r>
          <w:r w:rsidRPr="00264A41">
            <w:rPr>
              <w:i/>
            </w:rPr>
            <w:fldChar w:fldCharType="separate"/>
          </w:r>
          <w:r>
            <w:rPr>
              <w:b/>
              <w:bCs/>
              <w:i/>
              <w:noProof/>
              <w:lang w:val="en-US"/>
            </w:rPr>
            <w:t>Error! No text of specified style in document.</w:t>
          </w:r>
          <w:r w:rsidRPr="00264A41">
            <w:rPr>
              <w:i/>
            </w:rPr>
            <w:fldChar w:fldCharType="end"/>
          </w:r>
        </w:p>
      </w:tc>
    </w:tr>
    <w:tr w:rsidR="004244F8" w14:paraId="0E37B9C9" w14:textId="77777777">
      <w:tc>
        <w:tcPr>
          <w:tcW w:w="8414" w:type="dxa"/>
        </w:tcPr>
        <w:p w14:paraId="14B210B5" w14:textId="77777777" w:rsidR="004244F8" w:rsidRDefault="004244F8" w:rsidP="00320545">
          <w:pPr>
            <w:pStyle w:val="HeaderLiteEven"/>
          </w:pPr>
        </w:p>
      </w:tc>
    </w:tr>
    <w:tr w:rsidR="004244F8" w14:paraId="2BD5C64A" w14:textId="77777777">
      <w:tc>
        <w:tcPr>
          <w:tcW w:w="8414" w:type="dxa"/>
          <w:tcBorders>
            <w:bottom w:val="single" w:sz="4" w:space="0" w:color="auto"/>
          </w:tcBorders>
          <w:shd w:val="clear" w:color="auto" w:fill="auto"/>
        </w:tcPr>
        <w:p w14:paraId="0ADF192F" w14:textId="77777777" w:rsidR="004244F8" w:rsidRPr="000D4CDA" w:rsidRDefault="004244F8" w:rsidP="00320545">
          <w:pPr>
            <w:pStyle w:val="HeaderBoldEven"/>
          </w:pPr>
          <w:r w:rsidRPr="000D4CDA">
            <w:fldChar w:fldCharType="begin"/>
          </w:r>
          <w:r w:rsidRPr="000D4CDA">
            <w:instrText xml:space="preserve"> STYLEREF  CharENotesHeading  \* CHARFORMAT </w:instrText>
          </w:r>
          <w:r w:rsidRPr="000D4CDA">
            <w:fldChar w:fldCharType="separate"/>
          </w:r>
          <w:r>
            <w:rPr>
              <w:b w:val="0"/>
              <w:bCs/>
              <w:noProof/>
              <w:lang w:val="en-US"/>
            </w:rPr>
            <w:t>Error! No text of specified style in document.</w:t>
          </w:r>
          <w:r w:rsidRPr="000D4CDA">
            <w:fldChar w:fldCharType="end"/>
          </w:r>
        </w:p>
      </w:tc>
    </w:tr>
  </w:tbl>
  <w:p w14:paraId="4324D0C9" w14:textId="77777777" w:rsidR="004244F8" w:rsidRDefault="004244F8" w:rsidP="0032054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60" w:type="dxa"/>
      <w:tblLook w:val="01E0" w:firstRow="1" w:lastRow="1" w:firstColumn="1" w:lastColumn="1" w:noHBand="0" w:noVBand="0"/>
    </w:tblPr>
    <w:tblGrid>
      <w:gridCol w:w="8460"/>
    </w:tblGrid>
    <w:tr w:rsidR="004244F8" w14:paraId="4CEED793" w14:textId="77777777">
      <w:tc>
        <w:tcPr>
          <w:tcW w:w="8460" w:type="dxa"/>
        </w:tcPr>
        <w:p w14:paraId="70141176" w14:textId="77777777" w:rsidR="004244F8" w:rsidRDefault="004244F8" w:rsidP="00320545">
          <w:pPr>
            <w:pStyle w:val="HeaderLiteOdd"/>
          </w:pPr>
          <w:r>
            <w:t xml:space="preserve">Notes to the </w:t>
          </w:r>
          <w:r w:rsidRPr="00264A41">
            <w:rPr>
              <w:i/>
            </w:rPr>
            <w:fldChar w:fldCharType="begin"/>
          </w:r>
          <w:r w:rsidRPr="00264A41">
            <w:rPr>
              <w:i/>
            </w:rPr>
            <w:instrText xml:space="preserve"> STYLEREF  Title </w:instrText>
          </w:r>
          <w:r w:rsidRPr="00264A41">
            <w:rPr>
              <w:i/>
            </w:rPr>
            <w:fldChar w:fldCharType="separate"/>
          </w:r>
          <w:r>
            <w:rPr>
              <w:b/>
              <w:bCs/>
              <w:i/>
              <w:noProof/>
              <w:lang w:val="en-US"/>
            </w:rPr>
            <w:t>Error! No text of specified style in document.</w:t>
          </w:r>
          <w:r w:rsidRPr="00264A41">
            <w:rPr>
              <w:i/>
            </w:rPr>
            <w:fldChar w:fldCharType="end"/>
          </w:r>
        </w:p>
      </w:tc>
    </w:tr>
    <w:tr w:rsidR="004244F8" w14:paraId="48C8AF70" w14:textId="77777777">
      <w:tc>
        <w:tcPr>
          <w:tcW w:w="8460" w:type="dxa"/>
        </w:tcPr>
        <w:p w14:paraId="01D0F80D" w14:textId="77777777" w:rsidR="004244F8" w:rsidRDefault="004244F8" w:rsidP="00320545">
          <w:pPr>
            <w:pStyle w:val="HeaderLiteOdd"/>
          </w:pPr>
        </w:p>
      </w:tc>
    </w:tr>
    <w:tr w:rsidR="004244F8" w14:paraId="3ABB2476" w14:textId="77777777">
      <w:tc>
        <w:tcPr>
          <w:tcW w:w="8460" w:type="dxa"/>
          <w:tcBorders>
            <w:bottom w:val="single" w:sz="4" w:space="0" w:color="auto"/>
          </w:tcBorders>
          <w:shd w:val="clear" w:color="auto" w:fill="auto"/>
        </w:tcPr>
        <w:p w14:paraId="55FF35AD" w14:textId="77777777" w:rsidR="004244F8" w:rsidRPr="000D4CDA" w:rsidRDefault="004244F8" w:rsidP="00320545">
          <w:pPr>
            <w:pStyle w:val="HeaderBoldOdd"/>
          </w:pPr>
          <w:r w:rsidRPr="000D4CDA">
            <w:fldChar w:fldCharType="begin"/>
          </w:r>
          <w:r w:rsidRPr="000D4CDA">
            <w:instrText xml:space="preserve"> STYLEREF  CharENotesHeading  \* CHARFORMAT </w:instrText>
          </w:r>
          <w:r w:rsidRPr="000D4CDA">
            <w:fldChar w:fldCharType="separate"/>
          </w:r>
          <w:r>
            <w:rPr>
              <w:b w:val="0"/>
              <w:bCs/>
              <w:noProof/>
              <w:lang w:val="en-US"/>
            </w:rPr>
            <w:t>Error! No text of specified style in document.</w:t>
          </w:r>
          <w:r w:rsidRPr="000D4CDA">
            <w:fldChar w:fldCharType="end"/>
          </w:r>
        </w:p>
      </w:tc>
    </w:tr>
  </w:tbl>
  <w:p w14:paraId="38728AF3" w14:textId="77777777" w:rsidR="004244F8" w:rsidRDefault="004244F8" w:rsidP="0032054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35E88" w14:textId="77777777" w:rsidR="004244F8" w:rsidRDefault="004244F8" w:rsidP="00320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64" w:type="dxa"/>
      <w:tblBorders>
        <w:bottom w:val="single" w:sz="4" w:space="0" w:color="auto"/>
      </w:tblBorders>
      <w:tblLook w:val="04A0" w:firstRow="1" w:lastRow="0" w:firstColumn="1" w:lastColumn="0" w:noHBand="0" w:noVBand="1"/>
    </w:tblPr>
    <w:tblGrid>
      <w:gridCol w:w="5812"/>
      <w:gridCol w:w="2552"/>
    </w:tblGrid>
    <w:tr w:rsidR="004244F8" w:rsidRPr="00DF1B35" w14:paraId="066333DF" w14:textId="77777777" w:rsidTr="00DF1B35">
      <w:tc>
        <w:tcPr>
          <w:tcW w:w="5812" w:type="dxa"/>
        </w:tcPr>
        <w:p w14:paraId="1B0E4A8E" w14:textId="77777777" w:rsidR="004244F8" w:rsidRPr="00DF1B35" w:rsidRDefault="004244F8">
          <w:pPr>
            <w:pStyle w:val="HeaderContentsPage"/>
            <w:rPr>
              <w:sz w:val="18"/>
              <w:szCs w:val="18"/>
            </w:rPr>
          </w:pPr>
        </w:p>
      </w:tc>
      <w:tc>
        <w:tcPr>
          <w:tcW w:w="2552" w:type="dxa"/>
        </w:tcPr>
        <w:p w14:paraId="0E4EF6EA" w14:textId="77777777" w:rsidR="004244F8" w:rsidRPr="00DF1B35" w:rsidRDefault="004244F8">
          <w:pPr>
            <w:pStyle w:val="HeaderContentsPage"/>
            <w:rPr>
              <w:sz w:val="18"/>
              <w:szCs w:val="18"/>
            </w:rPr>
          </w:pPr>
          <w:r>
            <w:rPr>
              <w:sz w:val="18"/>
              <w:szCs w:val="18"/>
            </w:rPr>
            <w:t>Contents</w:t>
          </w:r>
        </w:p>
      </w:tc>
    </w:tr>
    <w:tr w:rsidR="004244F8" w:rsidRPr="00DF1B35" w14:paraId="226A7711" w14:textId="77777777" w:rsidTr="00DF1B35">
      <w:tc>
        <w:tcPr>
          <w:tcW w:w="5812" w:type="dxa"/>
        </w:tcPr>
        <w:p w14:paraId="26C9A2B8" w14:textId="77777777" w:rsidR="004244F8" w:rsidRPr="00DF1B35" w:rsidRDefault="004244F8">
          <w:pPr>
            <w:pStyle w:val="HeaderContentsPage"/>
            <w:rPr>
              <w:sz w:val="18"/>
              <w:szCs w:val="18"/>
            </w:rPr>
          </w:pPr>
        </w:p>
      </w:tc>
      <w:tc>
        <w:tcPr>
          <w:tcW w:w="2552" w:type="dxa"/>
        </w:tcPr>
        <w:p w14:paraId="207422DF" w14:textId="77777777" w:rsidR="004244F8" w:rsidRPr="00DF1B35" w:rsidRDefault="004244F8">
          <w:pPr>
            <w:pStyle w:val="HeaderContentsPage"/>
            <w:rPr>
              <w:sz w:val="18"/>
              <w:szCs w:val="18"/>
            </w:rPr>
          </w:pPr>
        </w:p>
      </w:tc>
    </w:tr>
  </w:tbl>
  <w:p w14:paraId="69668789" w14:textId="77777777" w:rsidR="004244F8" w:rsidRDefault="004244F8">
    <w:pPr>
      <w:pStyle w:val="HeaderContents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64" w:type="dxa"/>
      <w:tblBorders>
        <w:bottom w:val="single" w:sz="4" w:space="0" w:color="auto"/>
      </w:tblBorders>
      <w:tblLook w:val="04A0" w:firstRow="1" w:lastRow="0" w:firstColumn="1" w:lastColumn="0" w:noHBand="0" w:noVBand="1"/>
    </w:tblPr>
    <w:tblGrid>
      <w:gridCol w:w="6521"/>
      <w:gridCol w:w="1843"/>
    </w:tblGrid>
    <w:tr w:rsidR="004244F8" w:rsidRPr="00DF1B35" w14:paraId="6B452378" w14:textId="77777777" w:rsidTr="00DF1B35">
      <w:tc>
        <w:tcPr>
          <w:tcW w:w="6521" w:type="dxa"/>
        </w:tcPr>
        <w:p w14:paraId="5C171C24" w14:textId="77777777" w:rsidR="004244F8" w:rsidRPr="00DF1B35" w:rsidRDefault="004244F8" w:rsidP="00DF1B35">
          <w:pPr>
            <w:pStyle w:val="HeaderContentsPage"/>
            <w:rPr>
              <w:sz w:val="18"/>
              <w:szCs w:val="18"/>
            </w:rPr>
          </w:pPr>
          <w:r>
            <w:rPr>
              <w:sz w:val="18"/>
              <w:szCs w:val="18"/>
            </w:rPr>
            <w:fldChar w:fldCharType="begin"/>
          </w:r>
          <w:r>
            <w:rPr>
              <w:sz w:val="18"/>
              <w:szCs w:val="18"/>
            </w:rPr>
            <w:instrText xml:space="preserve"> STYLEREF  CharPartText  \* MERGEFORMAT </w:instrText>
          </w:r>
          <w:r>
            <w:rPr>
              <w:sz w:val="18"/>
              <w:szCs w:val="18"/>
            </w:rPr>
            <w:fldChar w:fldCharType="separate"/>
          </w:r>
          <w:r w:rsidR="009773A0">
            <w:rPr>
              <w:noProof/>
              <w:sz w:val="18"/>
              <w:szCs w:val="18"/>
            </w:rPr>
            <w:t>Preliminary</w:t>
          </w:r>
          <w:r>
            <w:rPr>
              <w:sz w:val="18"/>
              <w:szCs w:val="18"/>
            </w:rPr>
            <w:fldChar w:fldCharType="end"/>
          </w:r>
        </w:p>
      </w:tc>
      <w:tc>
        <w:tcPr>
          <w:tcW w:w="1843" w:type="dxa"/>
        </w:tcPr>
        <w:p w14:paraId="7D9F81D7" w14:textId="77777777" w:rsidR="004244F8" w:rsidRPr="00DF1B35" w:rsidRDefault="004244F8" w:rsidP="00DF1B35">
          <w:pPr>
            <w:pStyle w:val="HeaderContentsPage"/>
            <w:ind w:left="-108" w:right="34"/>
            <w:rPr>
              <w:sz w:val="18"/>
              <w:szCs w:val="18"/>
            </w:rPr>
          </w:pPr>
          <w:r>
            <w:rPr>
              <w:sz w:val="18"/>
              <w:szCs w:val="18"/>
            </w:rPr>
            <w:fldChar w:fldCharType="begin"/>
          </w:r>
          <w:r>
            <w:rPr>
              <w:sz w:val="18"/>
              <w:szCs w:val="18"/>
            </w:rPr>
            <w:instrText xml:space="preserve"> STYLEREF  CharPartNo  \* MERGEFORMAT </w:instrText>
          </w:r>
          <w:r>
            <w:rPr>
              <w:sz w:val="18"/>
              <w:szCs w:val="18"/>
            </w:rPr>
            <w:fldChar w:fldCharType="separate"/>
          </w:r>
          <w:r w:rsidR="009773A0">
            <w:rPr>
              <w:noProof/>
              <w:sz w:val="18"/>
              <w:szCs w:val="18"/>
            </w:rPr>
            <w:t>Part 1</w:t>
          </w:r>
          <w:r>
            <w:rPr>
              <w:sz w:val="18"/>
              <w:szCs w:val="18"/>
            </w:rPr>
            <w:fldChar w:fldCharType="end"/>
          </w:r>
        </w:p>
      </w:tc>
    </w:tr>
    <w:tr w:rsidR="004244F8" w:rsidRPr="00DF1B35" w14:paraId="1AA37457" w14:textId="77777777" w:rsidTr="00DF1B35">
      <w:tc>
        <w:tcPr>
          <w:tcW w:w="6521" w:type="dxa"/>
        </w:tcPr>
        <w:p w14:paraId="566E90ED" w14:textId="77777777" w:rsidR="004244F8" w:rsidRPr="00DF1B35" w:rsidRDefault="004244F8" w:rsidP="00DF1B35">
          <w:pPr>
            <w:pStyle w:val="HeaderContentsPage"/>
            <w:rPr>
              <w:sz w:val="18"/>
              <w:szCs w:val="18"/>
            </w:rPr>
          </w:pPr>
          <w:r>
            <w:rPr>
              <w:sz w:val="18"/>
              <w:szCs w:val="18"/>
            </w:rPr>
            <w:fldChar w:fldCharType="begin"/>
          </w:r>
          <w:r>
            <w:rPr>
              <w:sz w:val="18"/>
              <w:szCs w:val="18"/>
            </w:rPr>
            <w:instrText xml:space="preserve"> STYLEREF  CharSchText  \* MERGEFORMAT </w:instrText>
          </w:r>
          <w:r>
            <w:rPr>
              <w:sz w:val="18"/>
              <w:szCs w:val="18"/>
            </w:rPr>
            <w:fldChar w:fldCharType="separate"/>
          </w:r>
          <w:r w:rsidR="009773A0">
            <w:rPr>
              <w:noProof/>
              <w:sz w:val="18"/>
              <w:szCs w:val="18"/>
            </w:rPr>
            <w:t>Name of Determination</w:t>
          </w:r>
          <w:r>
            <w:rPr>
              <w:sz w:val="18"/>
              <w:szCs w:val="18"/>
            </w:rPr>
            <w:fldChar w:fldCharType="end"/>
          </w:r>
        </w:p>
      </w:tc>
      <w:tc>
        <w:tcPr>
          <w:tcW w:w="1843" w:type="dxa"/>
        </w:tcPr>
        <w:p w14:paraId="6ABAC84F" w14:textId="77777777" w:rsidR="004244F8" w:rsidRPr="00DF1B35" w:rsidRDefault="004244F8" w:rsidP="00DF1B35">
          <w:pPr>
            <w:pStyle w:val="HeaderContentsPage"/>
            <w:rPr>
              <w:sz w:val="18"/>
              <w:szCs w:val="18"/>
            </w:rPr>
          </w:pPr>
          <w:r>
            <w:rPr>
              <w:sz w:val="18"/>
              <w:szCs w:val="18"/>
            </w:rPr>
            <w:t xml:space="preserve">Section </w:t>
          </w:r>
          <w:r>
            <w:rPr>
              <w:sz w:val="18"/>
              <w:szCs w:val="18"/>
            </w:rPr>
            <w:fldChar w:fldCharType="begin"/>
          </w:r>
          <w:r>
            <w:rPr>
              <w:sz w:val="18"/>
              <w:szCs w:val="18"/>
            </w:rPr>
            <w:instrText xml:space="preserve"> STYLEREF  CharSectno  \* MERGEFORMAT </w:instrText>
          </w:r>
          <w:r>
            <w:rPr>
              <w:sz w:val="18"/>
              <w:szCs w:val="18"/>
            </w:rPr>
            <w:fldChar w:fldCharType="separate"/>
          </w:r>
          <w:r w:rsidR="009773A0">
            <w:rPr>
              <w:noProof/>
              <w:sz w:val="18"/>
              <w:szCs w:val="18"/>
            </w:rPr>
            <w:t>1.1</w:t>
          </w:r>
          <w:r>
            <w:rPr>
              <w:sz w:val="18"/>
              <w:szCs w:val="18"/>
            </w:rPr>
            <w:fldChar w:fldCharType="end"/>
          </w:r>
        </w:p>
      </w:tc>
    </w:tr>
  </w:tbl>
  <w:p w14:paraId="0BB2E7D4" w14:textId="77777777" w:rsidR="004244F8" w:rsidRPr="009F1587" w:rsidRDefault="004244F8" w:rsidP="00DF1B35">
    <w:pPr>
      <w:pStyle w:val="Header"/>
      <w:tabs>
        <w:tab w:val="clear" w:pos="4153"/>
        <w:tab w:val="center" w:pos="1985"/>
      </w:tabs>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64" w:type="dxa"/>
      <w:tblBorders>
        <w:bottom w:val="single" w:sz="4" w:space="0" w:color="auto"/>
      </w:tblBorders>
      <w:tblLook w:val="04A0" w:firstRow="1" w:lastRow="0" w:firstColumn="1" w:lastColumn="0" w:noHBand="0" w:noVBand="1"/>
    </w:tblPr>
    <w:tblGrid>
      <w:gridCol w:w="6521"/>
      <w:gridCol w:w="1843"/>
    </w:tblGrid>
    <w:tr w:rsidR="004244F8" w:rsidRPr="00DF1B35" w14:paraId="1F993B0E" w14:textId="77777777" w:rsidTr="00DF1B35">
      <w:tc>
        <w:tcPr>
          <w:tcW w:w="6521" w:type="dxa"/>
        </w:tcPr>
        <w:p w14:paraId="31E00186" w14:textId="77777777" w:rsidR="004244F8" w:rsidRPr="00DF1B35" w:rsidRDefault="004244F8" w:rsidP="00DF1B35">
          <w:pPr>
            <w:pStyle w:val="HeaderContentsPage"/>
            <w:rPr>
              <w:sz w:val="18"/>
              <w:szCs w:val="18"/>
            </w:rPr>
          </w:pPr>
          <w:r>
            <w:rPr>
              <w:sz w:val="18"/>
              <w:szCs w:val="18"/>
            </w:rPr>
            <w:fldChar w:fldCharType="begin"/>
          </w:r>
          <w:r>
            <w:rPr>
              <w:sz w:val="18"/>
              <w:szCs w:val="18"/>
            </w:rPr>
            <w:instrText xml:space="preserve"> STYLEREF  CharPartText  \* MERGEFORMAT </w:instrText>
          </w:r>
          <w:r>
            <w:rPr>
              <w:sz w:val="18"/>
              <w:szCs w:val="18"/>
            </w:rPr>
            <w:fldChar w:fldCharType="separate"/>
          </w:r>
          <w:r w:rsidR="009773A0">
            <w:rPr>
              <w:noProof/>
              <w:sz w:val="18"/>
              <w:szCs w:val="18"/>
            </w:rPr>
            <w:t>Preliminary</w:t>
          </w:r>
          <w:r>
            <w:rPr>
              <w:sz w:val="18"/>
              <w:szCs w:val="18"/>
            </w:rPr>
            <w:fldChar w:fldCharType="end"/>
          </w:r>
        </w:p>
      </w:tc>
      <w:tc>
        <w:tcPr>
          <w:tcW w:w="1843" w:type="dxa"/>
        </w:tcPr>
        <w:p w14:paraId="79A73B42" w14:textId="5029C848" w:rsidR="004244F8" w:rsidRPr="00DF1B35" w:rsidRDefault="004244F8" w:rsidP="00DF1B35">
          <w:pPr>
            <w:pStyle w:val="HeaderContentsPage"/>
            <w:ind w:left="-108" w:right="34"/>
            <w:rPr>
              <w:sz w:val="18"/>
              <w:szCs w:val="18"/>
            </w:rPr>
          </w:pPr>
          <w:r>
            <w:rPr>
              <w:sz w:val="18"/>
              <w:szCs w:val="18"/>
            </w:rPr>
            <w:fldChar w:fldCharType="begin"/>
          </w:r>
          <w:r>
            <w:rPr>
              <w:sz w:val="18"/>
              <w:szCs w:val="18"/>
            </w:rPr>
            <w:instrText xml:space="preserve"> STYLEREF  CharPartNo  \* MERGEFORMAT </w:instrText>
          </w:r>
          <w:r>
            <w:rPr>
              <w:sz w:val="18"/>
              <w:szCs w:val="18"/>
            </w:rPr>
            <w:fldChar w:fldCharType="end"/>
          </w:r>
        </w:p>
      </w:tc>
    </w:tr>
    <w:tr w:rsidR="004244F8" w:rsidRPr="00DF1B35" w14:paraId="3C5B5419" w14:textId="77777777" w:rsidTr="00DF1B35">
      <w:tc>
        <w:tcPr>
          <w:tcW w:w="6521" w:type="dxa"/>
        </w:tcPr>
        <w:p w14:paraId="547B471A" w14:textId="77777777" w:rsidR="004244F8" w:rsidRPr="00DF1B35" w:rsidRDefault="004244F8" w:rsidP="00DF1B35">
          <w:pPr>
            <w:pStyle w:val="HeaderContentsPage"/>
            <w:rPr>
              <w:sz w:val="18"/>
              <w:szCs w:val="18"/>
            </w:rPr>
          </w:pPr>
          <w:r>
            <w:rPr>
              <w:sz w:val="18"/>
              <w:szCs w:val="18"/>
            </w:rPr>
            <w:fldChar w:fldCharType="begin"/>
          </w:r>
          <w:r>
            <w:rPr>
              <w:sz w:val="18"/>
              <w:szCs w:val="18"/>
            </w:rPr>
            <w:instrText xml:space="preserve"> STYLEREF  CharSchText  \* MERGEFORMAT </w:instrText>
          </w:r>
          <w:r>
            <w:rPr>
              <w:sz w:val="18"/>
              <w:szCs w:val="18"/>
            </w:rPr>
            <w:fldChar w:fldCharType="separate"/>
          </w:r>
          <w:r w:rsidR="009773A0">
            <w:rPr>
              <w:noProof/>
              <w:sz w:val="18"/>
              <w:szCs w:val="18"/>
            </w:rPr>
            <w:t>Revocation of previous Determination</w:t>
          </w:r>
          <w:r>
            <w:rPr>
              <w:sz w:val="18"/>
              <w:szCs w:val="18"/>
            </w:rPr>
            <w:fldChar w:fldCharType="end"/>
          </w:r>
        </w:p>
      </w:tc>
      <w:tc>
        <w:tcPr>
          <w:tcW w:w="1843" w:type="dxa"/>
        </w:tcPr>
        <w:p w14:paraId="18638112" w14:textId="77777777" w:rsidR="004244F8" w:rsidRPr="00DF1B35" w:rsidRDefault="004244F8" w:rsidP="00DF1B35">
          <w:pPr>
            <w:pStyle w:val="HeaderContentsPage"/>
            <w:rPr>
              <w:sz w:val="18"/>
              <w:szCs w:val="18"/>
            </w:rPr>
          </w:pPr>
          <w:r>
            <w:rPr>
              <w:sz w:val="18"/>
              <w:szCs w:val="18"/>
            </w:rPr>
            <w:t xml:space="preserve">Section </w:t>
          </w:r>
          <w:r>
            <w:rPr>
              <w:sz w:val="18"/>
              <w:szCs w:val="18"/>
            </w:rPr>
            <w:fldChar w:fldCharType="begin"/>
          </w:r>
          <w:r>
            <w:rPr>
              <w:sz w:val="18"/>
              <w:szCs w:val="18"/>
            </w:rPr>
            <w:instrText xml:space="preserve"> STYLEREF  CharSectno  \* MERGEFORMAT </w:instrText>
          </w:r>
          <w:r>
            <w:rPr>
              <w:sz w:val="18"/>
              <w:szCs w:val="18"/>
            </w:rPr>
            <w:fldChar w:fldCharType="separate"/>
          </w:r>
          <w:r w:rsidR="009773A0">
            <w:rPr>
              <w:noProof/>
              <w:sz w:val="18"/>
              <w:szCs w:val="18"/>
            </w:rPr>
            <w:t>1.6</w:t>
          </w:r>
          <w:r>
            <w:rPr>
              <w:sz w:val="18"/>
              <w:szCs w:val="18"/>
            </w:rPr>
            <w:fldChar w:fldCharType="end"/>
          </w:r>
        </w:p>
      </w:tc>
    </w:tr>
  </w:tbl>
  <w:p w14:paraId="16B624A4" w14:textId="77777777" w:rsidR="004244F8" w:rsidRPr="009F1587" w:rsidRDefault="004244F8" w:rsidP="00DF1B35">
    <w:pPr>
      <w:pStyle w:val="Header"/>
      <w:tabs>
        <w:tab w:val="clear" w:pos="4153"/>
        <w:tab w:val="center" w:pos="1985"/>
      </w:tabs>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6980"/>
    </w:tblGrid>
    <w:tr w:rsidR="004244F8" w14:paraId="4EDB8660" w14:textId="77777777">
      <w:tc>
        <w:tcPr>
          <w:tcW w:w="1548" w:type="dxa"/>
        </w:tcPr>
        <w:p w14:paraId="2C9418E9" w14:textId="77777777" w:rsidR="004244F8" w:rsidRDefault="004244F8">
          <w:pPr>
            <w:pStyle w:val="HeaderLiteEven"/>
          </w:pPr>
          <w:r>
            <w:fldChar w:fldCharType="begin"/>
          </w:r>
          <w:r>
            <w:instrText xml:space="preserve"> STYLEREF  CharPartNo  \* CHARFORMAT </w:instrText>
          </w:r>
          <w:r>
            <w:fldChar w:fldCharType="end"/>
          </w:r>
        </w:p>
      </w:tc>
      <w:tc>
        <w:tcPr>
          <w:tcW w:w="6980" w:type="dxa"/>
          <w:vAlign w:val="bottom"/>
        </w:tcPr>
        <w:p w14:paraId="488C7118" w14:textId="77777777" w:rsidR="004244F8" w:rsidRDefault="004244F8">
          <w:pPr>
            <w:pStyle w:val="HeaderLiteEven"/>
          </w:pPr>
          <w:fldSimple w:instr=" STYLEREF  CharPartText  \* CHARFORMAT ">
            <w:r>
              <w:rPr>
                <w:noProof/>
              </w:rPr>
              <w:t>Preliminary</w:t>
            </w:r>
          </w:fldSimple>
        </w:p>
      </w:tc>
    </w:tr>
    <w:tr w:rsidR="004244F8" w14:paraId="5F1BF3D8" w14:textId="77777777">
      <w:tc>
        <w:tcPr>
          <w:tcW w:w="1548" w:type="dxa"/>
        </w:tcPr>
        <w:p w14:paraId="56BEF6DA" w14:textId="77777777" w:rsidR="004244F8" w:rsidRDefault="004244F8">
          <w:pPr>
            <w:pStyle w:val="HeaderLiteEven"/>
          </w:pPr>
          <w:r>
            <w:fldChar w:fldCharType="begin"/>
          </w:r>
          <w:r>
            <w:instrText xml:space="preserve"> STYLEREF  CharDivNo  \* CHARFORMAT </w:instrText>
          </w:r>
          <w:r>
            <w:fldChar w:fldCharType="end"/>
          </w:r>
        </w:p>
      </w:tc>
      <w:tc>
        <w:tcPr>
          <w:tcW w:w="6980" w:type="dxa"/>
          <w:vAlign w:val="bottom"/>
        </w:tcPr>
        <w:p w14:paraId="7710EB33" w14:textId="77777777" w:rsidR="004244F8" w:rsidRDefault="004244F8">
          <w:pPr>
            <w:pStyle w:val="HeaderLiteEven"/>
          </w:pPr>
          <w:r>
            <w:fldChar w:fldCharType="begin"/>
          </w:r>
          <w:r>
            <w:instrText xml:space="preserve"> STYLEREF  CharDivText  \* CHARFORMAT </w:instrText>
          </w:r>
          <w:r>
            <w:fldChar w:fldCharType="end"/>
          </w:r>
        </w:p>
      </w:tc>
    </w:tr>
    <w:tr w:rsidR="004244F8" w14:paraId="4ECCB8BF" w14:textId="77777777">
      <w:tc>
        <w:tcPr>
          <w:tcW w:w="8528" w:type="dxa"/>
          <w:gridSpan w:val="2"/>
          <w:tcBorders>
            <w:bottom w:val="single" w:sz="4" w:space="0" w:color="auto"/>
          </w:tcBorders>
          <w:shd w:val="clear" w:color="auto" w:fill="auto"/>
        </w:tcPr>
        <w:p w14:paraId="4E668A19" w14:textId="77777777" w:rsidR="004244F8" w:rsidRDefault="004244F8">
          <w:pPr>
            <w:pStyle w:val="HeaderBoldEven"/>
          </w:pPr>
          <w:r>
            <w:t xml:space="preserve">Section </w:t>
          </w:r>
          <w:fldSimple w:instr=" STYLEREF  CharSectno  \* CHARFORMAT ">
            <w:r>
              <w:rPr>
                <w:noProof/>
              </w:rPr>
              <w:t>1.6</w:t>
            </w:r>
          </w:fldSimple>
        </w:p>
      </w:tc>
    </w:tr>
  </w:tbl>
  <w:p w14:paraId="1ED86529" w14:textId="77777777" w:rsidR="004244F8" w:rsidRDefault="004244F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64" w:type="dxa"/>
      <w:tblBorders>
        <w:bottom w:val="single" w:sz="4" w:space="0" w:color="auto"/>
      </w:tblBorders>
      <w:tblLook w:val="04A0" w:firstRow="1" w:lastRow="0" w:firstColumn="1" w:lastColumn="0" w:noHBand="0" w:noVBand="1"/>
    </w:tblPr>
    <w:tblGrid>
      <w:gridCol w:w="6521"/>
      <w:gridCol w:w="1843"/>
    </w:tblGrid>
    <w:tr w:rsidR="004244F8" w:rsidRPr="00DF1B35" w14:paraId="6EFF9D12" w14:textId="77777777" w:rsidTr="00320545">
      <w:tc>
        <w:tcPr>
          <w:tcW w:w="6521" w:type="dxa"/>
        </w:tcPr>
        <w:p w14:paraId="13142C55" w14:textId="77777777" w:rsidR="004244F8" w:rsidRPr="00DF1B35" w:rsidRDefault="004244F8" w:rsidP="00DF1B35">
          <w:pPr>
            <w:pStyle w:val="HeaderContentsPage"/>
            <w:rPr>
              <w:sz w:val="18"/>
              <w:szCs w:val="18"/>
            </w:rPr>
          </w:pPr>
          <w:r>
            <w:rPr>
              <w:sz w:val="18"/>
              <w:szCs w:val="18"/>
            </w:rPr>
            <w:fldChar w:fldCharType="begin"/>
          </w:r>
          <w:r>
            <w:rPr>
              <w:sz w:val="18"/>
              <w:szCs w:val="18"/>
            </w:rPr>
            <w:instrText xml:space="preserve"> STYLEREF  CharPartText  \* MERGEFORMAT </w:instrText>
          </w:r>
          <w:r>
            <w:rPr>
              <w:sz w:val="18"/>
              <w:szCs w:val="18"/>
            </w:rPr>
            <w:fldChar w:fldCharType="separate"/>
          </w:r>
          <w:r w:rsidR="009773A0">
            <w:rPr>
              <w:noProof/>
              <w:sz w:val="18"/>
              <w:szCs w:val="18"/>
            </w:rPr>
            <w:t>Miscellaneous</w:t>
          </w:r>
          <w:r>
            <w:rPr>
              <w:sz w:val="18"/>
              <w:szCs w:val="18"/>
            </w:rPr>
            <w:fldChar w:fldCharType="end"/>
          </w:r>
        </w:p>
      </w:tc>
      <w:tc>
        <w:tcPr>
          <w:tcW w:w="1843" w:type="dxa"/>
        </w:tcPr>
        <w:p w14:paraId="07F577BF" w14:textId="77777777" w:rsidR="004244F8" w:rsidRPr="00DF1B35" w:rsidRDefault="004244F8" w:rsidP="00DF1B35">
          <w:pPr>
            <w:pStyle w:val="HeaderContentsPage"/>
            <w:ind w:left="-108" w:right="34"/>
            <w:rPr>
              <w:sz w:val="18"/>
              <w:szCs w:val="18"/>
            </w:rPr>
          </w:pPr>
          <w:r>
            <w:rPr>
              <w:sz w:val="18"/>
              <w:szCs w:val="18"/>
            </w:rPr>
            <w:fldChar w:fldCharType="begin"/>
          </w:r>
          <w:r>
            <w:rPr>
              <w:sz w:val="18"/>
              <w:szCs w:val="18"/>
            </w:rPr>
            <w:instrText xml:space="preserve"> STYLEREF  CharPartNo  \* MERGEFORMAT </w:instrText>
          </w:r>
          <w:r>
            <w:rPr>
              <w:sz w:val="18"/>
              <w:szCs w:val="18"/>
            </w:rPr>
            <w:fldChar w:fldCharType="separate"/>
          </w:r>
          <w:r w:rsidR="009773A0">
            <w:rPr>
              <w:noProof/>
              <w:sz w:val="18"/>
              <w:szCs w:val="18"/>
            </w:rPr>
            <w:t>Part 7</w:t>
          </w:r>
          <w:r>
            <w:rPr>
              <w:sz w:val="18"/>
              <w:szCs w:val="18"/>
            </w:rPr>
            <w:fldChar w:fldCharType="end"/>
          </w:r>
        </w:p>
      </w:tc>
    </w:tr>
    <w:tr w:rsidR="004244F8" w:rsidRPr="00DF1B35" w14:paraId="0EAD21F4" w14:textId="77777777" w:rsidTr="00320545">
      <w:tc>
        <w:tcPr>
          <w:tcW w:w="6521" w:type="dxa"/>
        </w:tcPr>
        <w:p w14:paraId="5F39AEB4" w14:textId="77777777" w:rsidR="004244F8" w:rsidRPr="00DF1B35" w:rsidRDefault="004244F8" w:rsidP="00DF1B35">
          <w:pPr>
            <w:pStyle w:val="HeaderContentsPage"/>
            <w:rPr>
              <w:sz w:val="18"/>
              <w:szCs w:val="18"/>
            </w:rPr>
          </w:pPr>
          <w:r>
            <w:rPr>
              <w:sz w:val="18"/>
              <w:szCs w:val="18"/>
            </w:rPr>
            <w:fldChar w:fldCharType="begin"/>
          </w:r>
          <w:r>
            <w:rPr>
              <w:sz w:val="18"/>
              <w:szCs w:val="18"/>
            </w:rPr>
            <w:instrText xml:space="preserve"> STYLEREF  CharSchText  \* MERGEFORMAT </w:instrText>
          </w:r>
          <w:r>
            <w:rPr>
              <w:sz w:val="18"/>
              <w:szCs w:val="18"/>
            </w:rPr>
            <w:fldChar w:fldCharType="separate"/>
          </w:r>
          <w:r w:rsidR="009773A0">
            <w:rPr>
              <w:noProof/>
              <w:sz w:val="18"/>
              <w:szCs w:val="18"/>
            </w:rPr>
            <w:t>ACMA not liable under the allocation system</w:t>
          </w:r>
          <w:r>
            <w:rPr>
              <w:sz w:val="18"/>
              <w:szCs w:val="18"/>
            </w:rPr>
            <w:fldChar w:fldCharType="end"/>
          </w:r>
        </w:p>
      </w:tc>
      <w:tc>
        <w:tcPr>
          <w:tcW w:w="1843" w:type="dxa"/>
        </w:tcPr>
        <w:p w14:paraId="42F01046" w14:textId="77777777" w:rsidR="004244F8" w:rsidRPr="00DF1B35" w:rsidRDefault="004244F8" w:rsidP="00DF1B35">
          <w:pPr>
            <w:pStyle w:val="HeaderContentsPage"/>
            <w:rPr>
              <w:sz w:val="18"/>
              <w:szCs w:val="18"/>
            </w:rPr>
          </w:pPr>
          <w:r>
            <w:rPr>
              <w:sz w:val="18"/>
              <w:szCs w:val="18"/>
            </w:rPr>
            <w:t xml:space="preserve">Section </w:t>
          </w:r>
          <w:r>
            <w:rPr>
              <w:sz w:val="18"/>
              <w:szCs w:val="18"/>
            </w:rPr>
            <w:fldChar w:fldCharType="begin"/>
          </w:r>
          <w:r>
            <w:rPr>
              <w:sz w:val="18"/>
              <w:szCs w:val="18"/>
            </w:rPr>
            <w:instrText xml:space="preserve"> STYLEREF  CharSectno  \* MERGEFORMAT </w:instrText>
          </w:r>
          <w:r>
            <w:rPr>
              <w:sz w:val="18"/>
              <w:szCs w:val="18"/>
            </w:rPr>
            <w:fldChar w:fldCharType="separate"/>
          </w:r>
          <w:r w:rsidR="009773A0">
            <w:rPr>
              <w:noProof/>
              <w:sz w:val="18"/>
              <w:szCs w:val="18"/>
            </w:rPr>
            <w:t>7.1</w:t>
          </w:r>
          <w:r>
            <w:rPr>
              <w:sz w:val="18"/>
              <w:szCs w:val="18"/>
            </w:rPr>
            <w:fldChar w:fldCharType="end"/>
          </w:r>
        </w:p>
      </w:tc>
    </w:tr>
  </w:tbl>
  <w:p w14:paraId="22FC3CEC" w14:textId="77777777" w:rsidR="004244F8" w:rsidRDefault="004244F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561DA" w14:textId="77777777" w:rsidR="004244F8" w:rsidRDefault="004244F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43" w:type="dxa"/>
      <w:tblLook w:val="01E0" w:firstRow="1" w:lastRow="1" w:firstColumn="1" w:lastColumn="1" w:noHBand="0" w:noVBand="0"/>
    </w:tblPr>
    <w:tblGrid>
      <w:gridCol w:w="1546"/>
      <w:gridCol w:w="6797"/>
    </w:tblGrid>
    <w:tr w:rsidR="004244F8" w14:paraId="68CCADFD" w14:textId="77777777">
      <w:tc>
        <w:tcPr>
          <w:tcW w:w="1546" w:type="dxa"/>
        </w:tcPr>
        <w:p w14:paraId="640649AE" w14:textId="77777777" w:rsidR="004244F8" w:rsidRDefault="004244F8">
          <w:pPr>
            <w:pStyle w:val="HeaderLiteEven"/>
          </w:pPr>
          <w:fldSimple w:instr=" STYLEREF  CharAmSchNo  \* CHARFORMAT ">
            <w:r>
              <w:rPr>
                <w:noProof/>
              </w:rPr>
              <w:t>Schedule 1</w:t>
            </w:r>
          </w:fldSimple>
        </w:p>
      </w:tc>
      <w:tc>
        <w:tcPr>
          <w:tcW w:w="6797" w:type="dxa"/>
          <w:vAlign w:val="bottom"/>
        </w:tcPr>
        <w:p w14:paraId="6045975D" w14:textId="77777777" w:rsidR="004244F8" w:rsidRDefault="004244F8">
          <w:pPr>
            <w:pStyle w:val="HeaderLiteEven"/>
          </w:pPr>
          <w:fldSimple w:instr=" STYLEREF  CharAmSchText  \* CHARFORMAT ">
            <w:r>
              <w:rPr>
                <w:noProof/>
              </w:rPr>
              <w:t>Sample transmitter licence</w:t>
            </w:r>
          </w:fldSimple>
        </w:p>
      </w:tc>
    </w:tr>
    <w:tr w:rsidR="004244F8" w14:paraId="0EEC9C13" w14:textId="77777777">
      <w:tc>
        <w:tcPr>
          <w:tcW w:w="1546" w:type="dxa"/>
        </w:tcPr>
        <w:p w14:paraId="0F3BAFA2" w14:textId="77777777" w:rsidR="004244F8" w:rsidRDefault="004244F8">
          <w:pPr>
            <w:pStyle w:val="HeaderLiteEven"/>
          </w:pPr>
          <w:r>
            <w:fldChar w:fldCharType="begin"/>
          </w:r>
          <w:r>
            <w:instrText xml:space="preserve"> STYLEREF  CharSchPTNo  \* CHARFORMAT </w:instrText>
          </w:r>
          <w:r>
            <w:fldChar w:fldCharType="end"/>
          </w:r>
        </w:p>
      </w:tc>
      <w:tc>
        <w:tcPr>
          <w:tcW w:w="6797" w:type="dxa"/>
          <w:vAlign w:val="bottom"/>
        </w:tcPr>
        <w:p w14:paraId="7FCDA2D4" w14:textId="77777777" w:rsidR="004244F8" w:rsidRDefault="004244F8">
          <w:pPr>
            <w:pStyle w:val="HeaderLiteEven"/>
          </w:pPr>
          <w:r>
            <w:fldChar w:fldCharType="begin"/>
          </w:r>
          <w:r>
            <w:instrText xml:space="preserve"> STYLEREF  CharSchPTText  \* CHARFORMAT </w:instrText>
          </w:r>
          <w:r>
            <w:fldChar w:fldCharType="end"/>
          </w:r>
        </w:p>
      </w:tc>
    </w:tr>
    <w:tr w:rsidR="004244F8" w14:paraId="0A67684F" w14:textId="77777777">
      <w:tc>
        <w:tcPr>
          <w:tcW w:w="8343" w:type="dxa"/>
          <w:gridSpan w:val="2"/>
          <w:tcBorders>
            <w:bottom w:val="single" w:sz="4" w:space="0" w:color="auto"/>
          </w:tcBorders>
          <w:shd w:val="clear" w:color="auto" w:fill="auto"/>
        </w:tcPr>
        <w:p w14:paraId="262C3E86" w14:textId="77777777" w:rsidR="004244F8" w:rsidRDefault="004244F8">
          <w:pPr>
            <w:pStyle w:val="HeaderLiteEven"/>
            <w:spacing w:before="120" w:after="60"/>
            <w:ind w:right="-108"/>
          </w:pPr>
        </w:p>
      </w:tc>
    </w:tr>
  </w:tbl>
  <w:p w14:paraId="3C195912" w14:textId="77777777" w:rsidR="004244F8" w:rsidRDefault="004244F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ook w:val="01E0" w:firstRow="1" w:lastRow="1" w:firstColumn="1" w:lastColumn="1" w:noHBand="0" w:noVBand="0"/>
    </w:tblPr>
    <w:tblGrid>
      <w:gridCol w:w="6868"/>
      <w:gridCol w:w="1546"/>
    </w:tblGrid>
    <w:tr w:rsidR="004244F8" w14:paraId="56FDE662" w14:textId="77777777">
      <w:tc>
        <w:tcPr>
          <w:tcW w:w="6868" w:type="dxa"/>
          <w:vAlign w:val="bottom"/>
        </w:tcPr>
        <w:p w14:paraId="09425927" w14:textId="77777777" w:rsidR="004244F8" w:rsidRDefault="004244F8">
          <w:pPr>
            <w:pStyle w:val="HeaderLiteOdd"/>
          </w:pPr>
          <w:fldSimple w:instr=" STYLEREF  CharAmSchText \l   \* CHARFORMAT ">
            <w:r w:rsidR="009773A0">
              <w:rPr>
                <w:noProof/>
              </w:rPr>
              <w:t>Sample transmitter licence</w:t>
            </w:r>
          </w:fldSimple>
        </w:p>
      </w:tc>
      <w:tc>
        <w:tcPr>
          <w:tcW w:w="1546" w:type="dxa"/>
        </w:tcPr>
        <w:p w14:paraId="5162D122" w14:textId="77777777" w:rsidR="004244F8" w:rsidRDefault="004244F8">
          <w:pPr>
            <w:pStyle w:val="HeaderLiteOdd"/>
          </w:pPr>
          <w:fldSimple w:instr=" STYLEREF  CharAmSchNo \l   \* CHARFORMAT ">
            <w:r w:rsidR="009773A0">
              <w:rPr>
                <w:noProof/>
              </w:rPr>
              <w:t>Schedule 1</w:t>
            </w:r>
          </w:fldSimple>
        </w:p>
      </w:tc>
    </w:tr>
    <w:tr w:rsidR="004244F8" w14:paraId="5D81F305" w14:textId="77777777">
      <w:tc>
        <w:tcPr>
          <w:tcW w:w="6868" w:type="dxa"/>
          <w:vAlign w:val="bottom"/>
        </w:tcPr>
        <w:p w14:paraId="657C200E" w14:textId="77777777" w:rsidR="004244F8" w:rsidRDefault="004244F8">
          <w:pPr>
            <w:pStyle w:val="HeaderLiteOdd"/>
          </w:pPr>
          <w:r>
            <w:fldChar w:fldCharType="begin"/>
          </w:r>
          <w:r>
            <w:instrText xml:space="preserve"> STYLEREF  CharSchPTText \l   \* CHARFORMAT </w:instrText>
          </w:r>
          <w:r>
            <w:fldChar w:fldCharType="end"/>
          </w:r>
        </w:p>
      </w:tc>
      <w:tc>
        <w:tcPr>
          <w:tcW w:w="1546" w:type="dxa"/>
        </w:tcPr>
        <w:p w14:paraId="65E6ACD9" w14:textId="77777777" w:rsidR="004244F8" w:rsidRDefault="004244F8">
          <w:pPr>
            <w:pStyle w:val="HeaderLiteOdd"/>
          </w:pPr>
          <w:r>
            <w:fldChar w:fldCharType="begin"/>
          </w:r>
          <w:r>
            <w:instrText xml:space="preserve"> STYLEREF  CharSchPTNo \l   \* CHARFORMAT </w:instrText>
          </w:r>
          <w:r>
            <w:fldChar w:fldCharType="end"/>
          </w:r>
        </w:p>
      </w:tc>
    </w:tr>
    <w:tr w:rsidR="004244F8" w14:paraId="20F2A863" w14:textId="77777777">
      <w:tc>
        <w:tcPr>
          <w:tcW w:w="8414" w:type="dxa"/>
          <w:gridSpan w:val="2"/>
          <w:tcBorders>
            <w:bottom w:val="single" w:sz="4" w:space="0" w:color="auto"/>
          </w:tcBorders>
          <w:shd w:val="clear" w:color="auto" w:fill="auto"/>
        </w:tcPr>
        <w:p w14:paraId="5D550020" w14:textId="77777777" w:rsidR="004244F8" w:rsidRDefault="004244F8">
          <w:pPr>
            <w:pStyle w:val="HeaderBoldOdd"/>
          </w:pPr>
        </w:p>
      </w:tc>
    </w:tr>
  </w:tbl>
  <w:p w14:paraId="1832B2DD" w14:textId="77777777" w:rsidR="004244F8" w:rsidRDefault="004244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99D1E09"/>
    <w:multiLevelType w:val="multilevel"/>
    <w:tmpl w:val="CF1A952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554871C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6B5E3C2D"/>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B35"/>
    <w:rsid w:val="00002F50"/>
    <w:rsid w:val="00013522"/>
    <w:rsid w:val="000E521B"/>
    <w:rsid w:val="001457F6"/>
    <w:rsid w:val="001464F9"/>
    <w:rsid w:val="001B7ABB"/>
    <w:rsid w:val="001F4F9F"/>
    <w:rsid w:val="002134D2"/>
    <w:rsid w:val="00225507"/>
    <w:rsid w:val="0025371C"/>
    <w:rsid w:val="00275970"/>
    <w:rsid w:val="00283A9E"/>
    <w:rsid w:val="002A48CF"/>
    <w:rsid w:val="002C57CD"/>
    <w:rsid w:val="002D7F1A"/>
    <w:rsid w:val="00313EB9"/>
    <w:rsid w:val="00320545"/>
    <w:rsid w:val="00337DD9"/>
    <w:rsid w:val="0035409F"/>
    <w:rsid w:val="004244F8"/>
    <w:rsid w:val="00475C74"/>
    <w:rsid w:val="00496132"/>
    <w:rsid w:val="004C14CC"/>
    <w:rsid w:val="004D2094"/>
    <w:rsid w:val="004D6340"/>
    <w:rsid w:val="005240F8"/>
    <w:rsid w:val="005268E5"/>
    <w:rsid w:val="0062290F"/>
    <w:rsid w:val="00670A80"/>
    <w:rsid w:val="006D701A"/>
    <w:rsid w:val="006E184C"/>
    <w:rsid w:val="006E6AC1"/>
    <w:rsid w:val="007F4A63"/>
    <w:rsid w:val="00810336"/>
    <w:rsid w:val="008408F3"/>
    <w:rsid w:val="0088570C"/>
    <w:rsid w:val="0089300E"/>
    <w:rsid w:val="00911BAD"/>
    <w:rsid w:val="0094122E"/>
    <w:rsid w:val="0094544C"/>
    <w:rsid w:val="009467CA"/>
    <w:rsid w:val="00960998"/>
    <w:rsid w:val="0096490D"/>
    <w:rsid w:val="00976FBE"/>
    <w:rsid w:val="009773A0"/>
    <w:rsid w:val="009D5A50"/>
    <w:rsid w:val="00A12138"/>
    <w:rsid w:val="00A2763F"/>
    <w:rsid w:val="00A721DD"/>
    <w:rsid w:val="00A73D7D"/>
    <w:rsid w:val="00AA58C7"/>
    <w:rsid w:val="00AA5FF2"/>
    <w:rsid w:val="00AB022F"/>
    <w:rsid w:val="00AD16DD"/>
    <w:rsid w:val="00AD76C3"/>
    <w:rsid w:val="00AE2FF0"/>
    <w:rsid w:val="00B1316D"/>
    <w:rsid w:val="00B73C84"/>
    <w:rsid w:val="00BE2828"/>
    <w:rsid w:val="00BE32BF"/>
    <w:rsid w:val="00C73244"/>
    <w:rsid w:val="00D612AE"/>
    <w:rsid w:val="00D7642C"/>
    <w:rsid w:val="00D91FB9"/>
    <w:rsid w:val="00DF1B35"/>
    <w:rsid w:val="00E012C5"/>
    <w:rsid w:val="00E03C14"/>
    <w:rsid w:val="00E074F9"/>
    <w:rsid w:val="00E07D3C"/>
    <w:rsid w:val="00E175D4"/>
    <w:rsid w:val="00E207E9"/>
    <w:rsid w:val="00E4432C"/>
    <w:rsid w:val="00EC4213"/>
    <w:rsid w:val="00EC60AD"/>
    <w:rsid w:val="00ED4633"/>
    <w:rsid w:val="00F51D6A"/>
    <w:rsid w:val="00F54C78"/>
    <w:rsid w:val="00F9401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14:docId w14:val="54072230"/>
  <w15:chartTrackingRefBased/>
  <w15:docId w15:val="{9EAC20A4-E1C3-4B64-88D5-17A699D4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B35"/>
    <w:pPr>
      <w:spacing w:after="0" w:line="240" w:lineRule="auto"/>
    </w:pPr>
    <w:rPr>
      <w:rFonts w:ascii="Times New Roman" w:eastAsia="Times New Roman" w:hAnsi="Times New Roman" w:cs="Times New Roman"/>
      <w:sz w:val="24"/>
      <w:szCs w:val="24"/>
      <w:lang w:eastAsia="en-AU"/>
    </w:rPr>
  </w:style>
  <w:style w:type="paragraph" w:styleId="Heading1">
    <w:name w:val="heading 1"/>
    <w:aliases w:val="h1"/>
    <w:basedOn w:val="Normal"/>
    <w:next w:val="Normal"/>
    <w:link w:val="Heading1Char"/>
    <w:qFormat/>
    <w:rsid w:val="00DF1B35"/>
    <w:pPr>
      <w:keepNext/>
      <w:keepLines/>
      <w:numPr>
        <w:numId w:val="4"/>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Normal"/>
    <w:next w:val="Normal"/>
    <w:link w:val="Heading2Char"/>
    <w:qFormat/>
    <w:rsid w:val="00DF1B35"/>
    <w:pPr>
      <w:keepNext/>
      <w:keepLines/>
      <w:numPr>
        <w:ilvl w:val="1"/>
        <w:numId w:val="4"/>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
    <w:basedOn w:val="Normal"/>
    <w:next w:val="Normal"/>
    <w:link w:val="Heading3Char"/>
    <w:qFormat/>
    <w:rsid w:val="00DF1B35"/>
    <w:pPr>
      <w:keepNext/>
      <w:keepLines/>
      <w:numPr>
        <w:ilvl w:val="2"/>
        <w:numId w:val="4"/>
      </w:numPr>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aliases w:val="h4"/>
    <w:basedOn w:val="Normal"/>
    <w:next w:val="Normal"/>
    <w:link w:val="Heading4Char"/>
    <w:qFormat/>
    <w:rsid w:val="00DF1B35"/>
    <w:pPr>
      <w:keepNext/>
      <w:keepLines/>
      <w:numPr>
        <w:ilvl w:val="3"/>
        <w:numId w:val="4"/>
      </w:numPr>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DF1B35"/>
    <w:pPr>
      <w:keepNext/>
      <w:keepLines/>
      <w:numPr>
        <w:ilvl w:val="4"/>
        <w:numId w:val="4"/>
      </w:numPr>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DF1B35"/>
    <w:pPr>
      <w:keepNext/>
      <w:keepLines/>
      <w:numPr>
        <w:ilvl w:val="5"/>
        <w:numId w:val="4"/>
      </w:numPr>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F1B35"/>
    <w:pPr>
      <w:keepNext/>
      <w:keepLines/>
      <w:numPr>
        <w:ilvl w:val="6"/>
        <w:numId w:val="4"/>
      </w:numPr>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DF1B35"/>
    <w:pPr>
      <w:keepNext/>
      <w:keepLines/>
      <w:numPr>
        <w:ilvl w:val="7"/>
        <w:numId w:val="4"/>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DF1B35"/>
    <w:pPr>
      <w:keepNext/>
      <w:keepLines/>
      <w:numPr>
        <w:ilvl w:val="8"/>
        <w:numId w:val="4"/>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F1B35"/>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aliases w:val="h2 Char"/>
    <w:basedOn w:val="DefaultParagraphFont"/>
    <w:link w:val="Heading2"/>
    <w:rsid w:val="00DF1B35"/>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aliases w:val="h3 Char"/>
    <w:basedOn w:val="DefaultParagraphFont"/>
    <w:link w:val="Heading3"/>
    <w:rsid w:val="00DF1B35"/>
    <w:rPr>
      <w:rFonts w:asciiTheme="majorHAnsi" w:eastAsiaTheme="majorEastAsia" w:hAnsiTheme="majorHAnsi" w:cstheme="majorBidi"/>
      <w:color w:val="1F4D78" w:themeColor="accent1" w:themeShade="7F"/>
      <w:sz w:val="24"/>
      <w:szCs w:val="24"/>
      <w:lang w:eastAsia="en-AU"/>
    </w:rPr>
  </w:style>
  <w:style w:type="character" w:customStyle="1" w:styleId="Heading4Char">
    <w:name w:val="Heading 4 Char"/>
    <w:aliases w:val="h4 Char"/>
    <w:basedOn w:val="DefaultParagraphFont"/>
    <w:link w:val="Heading4"/>
    <w:rsid w:val="00DF1B35"/>
    <w:rPr>
      <w:rFonts w:asciiTheme="majorHAnsi" w:eastAsiaTheme="majorEastAsia" w:hAnsiTheme="majorHAnsi" w:cstheme="majorBidi"/>
      <w:i/>
      <w:iCs/>
      <w:color w:val="2E74B5" w:themeColor="accent1" w:themeShade="BF"/>
      <w:sz w:val="24"/>
      <w:szCs w:val="24"/>
      <w:lang w:eastAsia="en-AU"/>
    </w:rPr>
  </w:style>
  <w:style w:type="character" w:customStyle="1" w:styleId="Heading5Char">
    <w:name w:val="Heading 5 Char"/>
    <w:basedOn w:val="DefaultParagraphFont"/>
    <w:link w:val="Heading5"/>
    <w:rsid w:val="00DF1B35"/>
    <w:rPr>
      <w:rFonts w:asciiTheme="majorHAnsi" w:eastAsiaTheme="majorEastAsia" w:hAnsiTheme="majorHAnsi" w:cstheme="majorBidi"/>
      <w:color w:val="2E74B5" w:themeColor="accent1" w:themeShade="BF"/>
      <w:sz w:val="24"/>
      <w:szCs w:val="24"/>
      <w:lang w:eastAsia="en-AU"/>
    </w:rPr>
  </w:style>
  <w:style w:type="character" w:customStyle="1" w:styleId="Heading6Char">
    <w:name w:val="Heading 6 Char"/>
    <w:basedOn w:val="DefaultParagraphFont"/>
    <w:link w:val="Heading6"/>
    <w:rsid w:val="00DF1B35"/>
    <w:rPr>
      <w:rFonts w:asciiTheme="majorHAnsi" w:eastAsiaTheme="majorEastAsia" w:hAnsiTheme="majorHAnsi" w:cstheme="majorBidi"/>
      <w:color w:val="1F4D78" w:themeColor="accent1" w:themeShade="7F"/>
      <w:sz w:val="24"/>
      <w:szCs w:val="24"/>
      <w:lang w:eastAsia="en-AU"/>
    </w:rPr>
  </w:style>
  <w:style w:type="character" w:customStyle="1" w:styleId="Heading7Char">
    <w:name w:val="Heading 7 Char"/>
    <w:basedOn w:val="DefaultParagraphFont"/>
    <w:link w:val="Heading7"/>
    <w:rsid w:val="00DF1B35"/>
    <w:rPr>
      <w:rFonts w:asciiTheme="majorHAnsi" w:eastAsiaTheme="majorEastAsia" w:hAnsiTheme="majorHAnsi" w:cstheme="majorBidi"/>
      <w:i/>
      <w:iCs/>
      <w:color w:val="1F4D78" w:themeColor="accent1" w:themeShade="7F"/>
      <w:sz w:val="24"/>
      <w:szCs w:val="24"/>
      <w:lang w:eastAsia="en-AU"/>
    </w:rPr>
  </w:style>
  <w:style w:type="character" w:customStyle="1" w:styleId="Heading8Char">
    <w:name w:val="Heading 8 Char"/>
    <w:basedOn w:val="DefaultParagraphFont"/>
    <w:link w:val="Heading8"/>
    <w:rsid w:val="00DF1B35"/>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DF1B35"/>
    <w:rPr>
      <w:rFonts w:asciiTheme="majorHAnsi" w:eastAsiaTheme="majorEastAsia" w:hAnsiTheme="majorHAnsi" w:cstheme="majorBidi"/>
      <w:i/>
      <w:iCs/>
      <w:color w:val="272727" w:themeColor="text1" w:themeTint="D8"/>
      <w:sz w:val="21"/>
      <w:szCs w:val="21"/>
      <w:lang w:eastAsia="en-AU"/>
    </w:rPr>
  </w:style>
  <w:style w:type="paragraph" w:customStyle="1" w:styleId="Body">
    <w:name w:val="Body"/>
    <w:basedOn w:val="Normal"/>
    <w:rsid w:val="00DF1B35"/>
  </w:style>
  <w:style w:type="paragraph" w:customStyle="1" w:styleId="Paragraph">
    <w:name w:val="Paragraph"/>
    <w:basedOn w:val="Body"/>
    <w:rsid w:val="00DF1B35"/>
    <w:pPr>
      <w:spacing w:before="240"/>
    </w:pPr>
  </w:style>
  <w:style w:type="paragraph" w:styleId="Footer">
    <w:name w:val="footer"/>
    <w:basedOn w:val="Normal"/>
    <w:link w:val="FooterChar"/>
    <w:rsid w:val="00DF1B35"/>
    <w:pPr>
      <w:tabs>
        <w:tab w:val="center" w:pos="4153"/>
        <w:tab w:val="right" w:pos="8306"/>
      </w:tabs>
    </w:pPr>
    <w:rPr>
      <w:rFonts w:ascii="Arial" w:hAnsi="Arial"/>
      <w:sz w:val="18"/>
    </w:rPr>
  </w:style>
  <w:style w:type="character" w:customStyle="1" w:styleId="FooterChar">
    <w:name w:val="Footer Char"/>
    <w:basedOn w:val="DefaultParagraphFont"/>
    <w:link w:val="Footer"/>
    <w:rsid w:val="00DF1B35"/>
    <w:rPr>
      <w:rFonts w:ascii="Arial" w:eastAsia="Times New Roman" w:hAnsi="Arial" w:cs="Times New Roman"/>
      <w:sz w:val="18"/>
      <w:szCs w:val="24"/>
      <w:lang w:eastAsia="en-AU"/>
    </w:rPr>
  </w:style>
  <w:style w:type="paragraph" w:styleId="Header">
    <w:name w:val="header"/>
    <w:basedOn w:val="Normal"/>
    <w:link w:val="HeaderChar"/>
    <w:rsid w:val="00DF1B35"/>
    <w:pPr>
      <w:tabs>
        <w:tab w:val="center" w:pos="4153"/>
        <w:tab w:val="right" w:pos="8306"/>
      </w:tabs>
    </w:pPr>
    <w:rPr>
      <w:rFonts w:ascii="Arial" w:hAnsi="Arial"/>
      <w:sz w:val="16"/>
    </w:rPr>
  </w:style>
  <w:style w:type="character" w:customStyle="1" w:styleId="HeaderChar">
    <w:name w:val="Header Char"/>
    <w:basedOn w:val="DefaultParagraphFont"/>
    <w:link w:val="Header"/>
    <w:rsid w:val="00DF1B35"/>
    <w:rPr>
      <w:rFonts w:ascii="Arial" w:eastAsia="Times New Roman" w:hAnsi="Arial" w:cs="Times New Roman"/>
      <w:sz w:val="16"/>
      <w:szCs w:val="24"/>
      <w:lang w:eastAsia="en-AU"/>
    </w:rPr>
  </w:style>
  <w:style w:type="character" w:styleId="FootnoteReference">
    <w:name w:val="footnote reference"/>
    <w:rsid w:val="00DF1B35"/>
    <w:rPr>
      <w:rFonts w:ascii="Times New Roman" w:hAnsi="Times New Roman"/>
      <w:sz w:val="20"/>
      <w:vertAlign w:val="superscript"/>
    </w:rPr>
  </w:style>
  <w:style w:type="paragraph" w:customStyle="1" w:styleId="HR">
    <w:name w:val="HR"/>
    <w:aliases w:val="Regulation Heading"/>
    <w:basedOn w:val="Normal"/>
    <w:next w:val="Normal"/>
    <w:rsid w:val="00DF1B35"/>
    <w:pPr>
      <w:keepNext/>
      <w:spacing w:before="360"/>
      <w:ind w:left="964" w:hanging="964"/>
    </w:pPr>
    <w:rPr>
      <w:rFonts w:ascii="Arial" w:hAnsi="Arial"/>
      <w:b/>
      <w:lang w:eastAsia="en-US"/>
    </w:rPr>
  </w:style>
  <w:style w:type="paragraph" w:customStyle="1" w:styleId="R1">
    <w:name w:val="R1"/>
    <w:aliases w:val="1. or 1.(1)"/>
    <w:basedOn w:val="Normal"/>
    <w:next w:val="Normal"/>
    <w:rsid w:val="00DF1B35"/>
    <w:pPr>
      <w:keepLines/>
      <w:tabs>
        <w:tab w:val="right" w:pos="794"/>
      </w:tabs>
      <w:spacing w:before="120" w:line="260" w:lineRule="exact"/>
      <w:ind w:left="964" w:hanging="964"/>
      <w:jc w:val="both"/>
    </w:pPr>
    <w:rPr>
      <w:lang w:eastAsia="en-US"/>
    </w:rPr>
  </w:style>
  <w:style w:type="paragraph" w:customStyle="1" w:styleId="P1">
    <w:name w:val="P1"/>
    <w:aliases w:val="(a)"/>
    <w:basedOn w:val="Normal"/>
    <w:rsid w:val="00DF1B35"/>
    <w:pPr>
      <w:tabs>
        <w:tab w:val="right" w:pos="1191"/>
      </w:tabs>
      <w:spacing w:before="60" w:line="260" w:lineRule="exact"/>
      <w:ind w:left="1418" w:hanging="1418"/>
      <w:jc w:val="both"/>
    </w:pPr>
    <w:rPr>
      <w:lang w:eastAsia="en-US"/>
    </w:rPr>
  </w:style>
  <w:style w:type="paragraph" w:customStyle="1" w:styleId="R2">
    <w:name w:val="R2"/>
    <w:aliases w:val="(2)"/>
    <w:basedOn w:val="Normal"/>
    <w:rsid w:val="00DF1B35"/>
    <w:pPr>
      <w:keepLines/>
      <w:tabs>
        <w:tab w:val="right" w:pos="794"/>
      </w:tabs>
      <w:spacing w:before="180" w:line="260" w:lineRule="exact"/>
      <w:ind w:left="964" w:hanging="964"/>
      <w:jc w:val="both"/>
    </w:pPr>
    <w:rPr>
      <w:lang w:eastAsia="en-US"/>
    </w:rPr>
  </w:style>
  <w:style w:type="paragraph" w:customStyle="1" w:styleId="P2">
    <w:name w:val="P2"/>
    <w:aliases w:val="(i)"/>
    <w:basedOn w:val="Normal"/>
    <w:rsid w:val="00DF1B35"/>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DF1B35"/>
    <w:pPr>
      <w:tabs>
        <w:tab w:val="right" w:pos="2410"/>
      </w:tabs>
      <w:spacing w:before="60" w:line="260" w:lineRule="exact"/>
      <w:ind w:left="2693" w:hanging="2693"/>
      <w:jc w:val="both"/>
    </w:pPr>
    <w:rPr>
      <w:lang w:eastAsia="en-US"/>
    </w:rPr>
  </w:style>
  <w:style w:type="paragraph" w:customStyle="1" w:styleId="HP">
    <w:name w:val="HP"/>
    <w:aliases w:val="Part Heading"/>
    <w:basedOn w:val="Normal"/>
    <w:next w:val="Normal"/>
    <w:rsid w:val="00DF1B35"/>
    <w:pPr>
      <w:keepNext/>
      <w:spacing w:before="360"/>
      <w:ind w:left="2410" w:hanging="2410"/>
    </w:pPr>
    <w:rPr>
      <w:rFonts w:ascii="Arial" w:hAnsi="Arial"/>
      <w:b/>
      <w:sz w:val="32"/>
      <w:lang w:eastAsia="en-US"/>
    </w:rPr>
  </w:style>
  <w:style w:type="paragraph" w:customStyle="1" w:styleId="HD">
    <w:name w:val="HD"/>
    <w:aliases w:val="Division Heading"/>
    <w:basedOn w:val="Normal"/>
    <w:next w:val="HR"/>
    <w:rsid w:val="00DF1B35"/>
    <w:pPr>
      <w:keepNext/>
      <w:spacing w:before="360"/>
      <w:ind w:left="2410" w:hanging="2410"/>
    </w:pPr>
    <w:rPr>
      <w:rFonts w:ascii="Arial" w:hAnsi="Arial"/>
      <w:b/>
      <w:sz w:val="28"/>
    </w:rPr>
  </w:style>
  <w:style w:type="paragraph" w:customStyle="1" w:styleId="SL">
    <w:name w:val="SL"/>
    <w:aliases w:val="Section at left"/>
    <w:basedOn w:val="Normal"/>
    <w:rsid w:val="00DF1B35"/>
    <w:pPr>
      <w:spacing w:before="240" w:after="240" w:line="240" w:lineRule="atLeast"/>
    </w:pPr>
    <w:rPr>
      <w:b/>
    </w:rPr>
  </w:style>
  <w:style w:type="paragraph" w:customStyle="1" w:styleId="SR">
    <w:name w:val="SR"/>
    <w:aliases w:val="Section at right"/>
    <w:basedOn w:val="Normal"/>
    <w:rsid w:val="00DF1B35"/>
    <w:pPr>
      <w:spacing w:before="240" w:after="240" w:line="240" w:lineRule="atLeast"/>
      <w:jc w:val="right"/>
    </w:pPr>
    <w:rPr>
      <w:b/>
    </w:rPr>
  </w:style>
  <w:style w:type="paragraph" w:customStyle="1" w:styleId="Rc">
    <w:name w:val="Rc"/>
    <w:aliases w:val="Rn continued"/>
    <w:basedOn w:val="Normal"/>
    <w:next w:val="R2"/>
    <w:rsid w:val="00DF1B35"/>
    <w:pPr>
      <w:spacing w:before="60" w:line="260" w:lineRule="exact"/>
      <w:ind w:left="964"/>
      <w:jc w:val="both"/>
    </w:pPr>
    <w:rPr>
      <w:lang w:eastAsia="en-US"/>
    </w:rPr>
  </w:style>
  <w:style w:type="paragraph" w:customStyle="1" w:styleId="NoteEnd">
    <w:name w:val="Note End"/>
    <w:basedOn w:val="Normal"/>
    <w:rsid w:val="00DF1B35"/>
    <w:pPr>
      <w:spacing w:before="120" w:line="240" w:lineRule="exact"/>
      <w:ind w:left="567" w:hanging="567"/>
      <w:jc w:val="both"/>
    </w:pPr>
    <w:rPr>
      <w:sz w:val="22"/>
      <w:lang w:eastAsia="en-US"/>
    </w:rPr>
  </w:style>
  <w:style w:type="paragraph" w:customStyle="1" w:styleId="P4">
    <w:name w:val="P4"/>
    <w:aliases w:val="(I)"/>
    <w:basedOn w:val="Normal"/>
    <w:rsid w:val="00DF1B35"/>
    <w:pPr>
      <w:tabs>
        <w:tab w:val="right" w:pos="3119"/>
      </w:tabs>
      <w:spacing w:before="60" w:line="260" w:lineRule="exact"/>
      <w:ind w:left="3419" w:hanging="3419"/>
      <w:jc w:val="both"/>
    </w:pPr>
    <w:rPr>
      <w:lang w:eastAsia="en-US"/>
    </w:rPr>
  </w:style>
  <w:style w:type="paragraph" w:customStyle="1" w:styleId="A3">
    <w:name w:val="A3"/>
    <w:aliases w:val="1.2 amendment"/>
    <w:basedOn w:val="Normal"/>
    <w:rsid w:val="00DF1B35"/>
    <w:pPr>
      <w:tabs>
        <w:tab w:val="right" w:pos="794"/>
      </w:tabs>
      <w:spacing w:before="180" w:line="260" w:lineRule="exact"/>
      <w:ind w:left="964" w:hanging="964"/>
      <w:jc w:val="both"/>
    </w:pPr>
    <w:rPr>
      <w:lang w:eastAsia="en-US"/>
    </w:rPr>
  </w:style>
  <w:style w:type="paragraph" w:customStyle="1" w:styleId="A2">
    <w:name w:val="A2"/>
    <w:aliases w:val="1.1 amendment,Instruction amendment"/>
    <w:basedOn w:val="Normal"/>
    <w:next w:val="Normal"/>
    <w:rsid w:val="00DF1B35"/>
    <w:pPr>
      <w:tabs>
        <w:tab w:val="right" w:pos="794"/>
      </w:tabs>
      <w:spacing w:before="120" w:line="260" w:lineRule="exact"/>
      <w:ind w:left="964" w:hanging="964"/>
      <w:jc w:val="both"/>
    </w:pPr>
    <w:rPr>
      <w:lang w:eastAsia="en-US"/>
    </w:rPr>
  </w:style>
  <w:style w:type="paragraph" w:customStyle="1" w:styleId="A1">
    <w:name w:val="A1"/>
    <w:aliases w:val="Heading Amendment,1. Amendment"/>
    <w:basedOn w:val="Normal"/>
    <w:next w:val="Normal"/>
    <w:rsid w:val="00DF1B35"/>
    <w:pPr>
      <w:keepNext/>
      <w:spacing w:before="480" w:line="260" w:lineRule="exact"/>
      <w:ind w:left="964" w:hanging="964"/>
    </w:pPr>
    <w:rPr>
      <w:rFonts w:ascii="Arial" w:hAnsi="Arial"/>
      <w:b/>
      <w:lang w:eastAsia="en-US"/>
    </w:rPr>
  </w:style>
  <w:style w:type="paragraph" w:customStyle="1" w:styleId="NoteBody">
    <w:name w:val="Note Body"/>
    <w:basedOn w:val="NoteEnd"/>
    <w:rsid w:val="00DF1B35"/>
    <w:pPr>
      <w:spacing w:before="240" w:line="260" w:lineRule="atLeast"/>
      <w:ind w:left="0" w:firstLine="0"/>
    </w:pPr>
  </w:style>
  <w:style w:type="paragraph" w:customStyle="1" w:styleId="definition">
    <w:name w:val="definition"/>
    <w:basedOn w:val="Normal"/>
    <w:rsid w:val="00DF1B35"/>
    <w:pPr>
      <w:spacing w:before="80" w:line="260" w:lineRule="exact"/>
      <w:ind w:left="964"/>
      <w:jc w:val="both"/>
    </w:pPr>
    <w:rPr>
      <w:lang w:eastAsia="en-US"/>
    </w:rPr>
  </w:style>
  <w:style w:type="paragraph" w:customStyle="1" w:styleId="Letterhead">
    <w:name w:val="Letterhead"/>
    <w:rsid w:val="00DF1B35"/>
    <w:pPr>
      <w:spacing w:after="180" w:line="240" w:lineRule="auto"/>
      <w:jc w:val="right"/>
    </w:pPr>
    <w:rPr>
      <w:rFonts w:ascii="Optima" w:eastAsia="Times New Roman" w:hAnsi="Optima" w:cs="Times New Roman"/>
      <w:noProof/>
      <w:sz w:val="32"/>
      <w:szCs w:val="20"/>
      <w:lang w:eastAsia="en-AU"/>
    </w:rPr>
  </w:style>
  <w:style w:type="paragraph" w:customStyle="1" w:styleId="Schedulepara">
    <w:name w:val="Schedule para"/>
    <w:basedOn w:val="Normal"/>
    <w:rsid w:val="00DF1B35"/>
    <w:pPr>
      <w:tabs>
        <w:tab w:val="right" w:pos="567"/>
      </w:tabs>
      <w:spacing w:before="180" w:line="260" w:lineRule="exact"/>
      <w:ind w:left="964" w:hanging="964"/>
      <w:jc w:val="both"/>
    </w:pPr>
    <w:rPr>
      <w:lang w:eastAsia="en-US"/>
    </w:rPr>
  </w:style>
  <w:style w:type="paragraph" w:styleId="Signature">
    <w:name w:val="Signature"/>
    <w:basedOn w:val="Normal"/>
    <w:link w:val="SignatureChar"/>
    <w:rsid w:val="00DF1B35"/>
    <w:pPr>
      <w:ind w:left="4252"/>
    </w:pPr>
  </w:style>
  <w:style w:type="character" w:customStyle="1" w:styleId="SignatureChar">
    <w:name w:val="Signature Char"/>
    <w:basedOn w:val="DefaultParagraphFont"/>
    <w:link w:val="Signature"/>
    <w:rsid w:val="00DF1B35"/>
    <w:rPr>
      <w:rFonts w:ascii="Times New Roman" w:eastAsia="Times New Roman" w:hAnsi="Times New Roman" w:cs="Times New Roman"/>
      <w:sz w:val="24"/>
      <w:szCs w:val="24"/>
      <w:lang w:eastAsia="en-AU"/>
    </w:rPr>
  </w:style>
  <w:style w:type="paragraph" w:customStyle="1" w:styleId="Equation">
    <w:name w:val="Equation"/>
    <w:rsid w:val="00DF1B35"/>
    <w:pPr>
      <w:spacing w:before="120" w:after="120" w:line="240" w:lineRule="auto"/>
      <w:jc w:val="center"/>
    </w:pPr>
    <w:rPr>
      <w:rFonts w:ascii="Arial" w:eastAsia="Times New Roman" w:hAnsi="Arial" w:cs="Times New Roman"/>
      <w:b/>
      <w:noProof/>
      <w:sz w:val="20"/>
      <w:szCs w:val="20"/>
      <w:lang w:eastAsia="en-AU"/>
    </w:rPr>
  </w:style>
  <w:style w:type="paragraph" w:customStyle="1" w:styleId="i1">
    <w:name w:val="i1"/>
    <w:aliases w:val="-&gt;•-&gt;1cm"/>
    <w:basedOn w:val="Body"/>
    <w:rsid w:val="00DF1B35"/>
    <w:pPr>
      <w:tabs>
        <w:tab w:val="right" w:pos="397"/>
      </w:tabs>
      <w:spacing w:before="240"/>
      <w:ind w:left="567" w:hanging="567"/>
    </w:pPr>
  </w:style>
  <w:style w:type="paragraph" w:customStyle="1" w:styleId="i2">
    <w:name w:val="i2"/>
    <w:aliases w:val="--&gt;•-&gt;2cm"/>
    <w:basedOn w:val="Body"/>
    <w:rsid w:val="00DF1B35"/>
    <w:pPr>
      <w:tabs>
        <w:tab w:val="right" w:pos="964"/>
      </w:tabs>
      <w:spacing w:before="240"/>
      <w:ind w:left="1134" w:hanging="1134"/>
    </w:pPr>
  </w:style>
  <w:style w:type="paragraph" w:customStyle="1" w:styleId="i3">
    <w:name w:val="i3"/>
    <w:aliases w:val="---&gt;•-&gt;3cm"/>
    <w:basedOn w:val="Body"/>
    <w:rsid w:val="00DF1B35"/>
    <w:pPr>
      <w:tabs>
        <w:tab w:val="right" w:pos="1531"/>
      </w:tabs>
      <w:spacing w:before="240"/>
      <w:ind w:left="1700" w:hanging="1700"/>
    </w:pPr>
  </w:style>
  <w:style w:type="paragraph" w:customStyle="1" w:styleId="i4">
    <w:name w:val="i4"/>
    <w:aliases w:val="----&gt;•-&gt;4cm"/>
    <w:basedOn w:val="Body"/>
    <w:rsid w:val="00DF1B35"/>
    <w:pPr>
      <w:tabs>
        <w:tab w:val="right" w:pos="2098"/>
      </w:tabs>
      <w:spacing w:before="240"/>
      <w:ind w:left="2268" w:hanging="2268"/>
    </w:pPr>
  </w:style>
  <w:style w:type="paragraph" w:customStyle="1" w:styleId="Quotation">
    <w:name w:val="Quotation"/>
    <w:basedOn w:val="Body"/>
    <w:rsid w:val="00DF1B35"/>
    <w:pPr>
      <w:spacing w:before="240"/>
      <w:ind w:left="851" w:right="851"/>
      <w:jc w:val="both"/>
    </w:pPr>
  </w:style>
  <w:style w:type="paragraph" w:styleId="FootnoteText">
    <w:name w:val="footnote text"/>
    <w:basedOn w:val="Normal"/>
    <w:link w:val="FootnoteTextChar"/>
    <w:rsid w:val="00DF1B35"/>
    <w:rPr>
      <w:sz w:val="20"/>
      <w:szCs w:val="20"/>
      <w:lang w:eastAsia="en-US"/>
    </w:rPr>
  </w:style>
  <w:style w:type="character" w:customStyle="1" w:styleId="FootnoteTextChar">
    <w:name w:val="Footnote Text Char"/>
    <w:basedOn w:val="DefaultParagraphFont"/>
    <w:link w:val="FootnoteText"/>
    <w:rsid w:val="00DF1B35"/>
    <w:rPr>
      <w:rFonts w:ascii="Times New Roman" w:eastAsia="Times New Roman" w:hAnsi="Times New Roman" w:cs="Times New Roman"/>
      <w:sz w:val="20"/>
      <w:szCs w:val="20"/>
      <w:lang w:eastAsia="en-US"/>
    </w:rPr>
  </w:style>
  <w:style w:type="paragraph" w:customStyle="1" w:styleId="shortrule">
    <w:name w:val="short rule"/>
    <w:basedOn w:val="Normal"/>
    <w:rsid w:val="00DF1B35"/>
    <w:pPr>
      <w:pBdr>
        <w:bottom w:val="single" w:sz="2" w:space="4" w:color="auto"/>
      </w:pBdr>
      <w:spacing w:before="260"/>
      <w:ind w:left="3402" w:right="3402"/>
      <w:jc w:val="center"/>
    </w:pPr>
  </w:style>
  <w:style w:type="paragraph" w:customStyle="1" w:styleId="Noteheadingseveral">
    <w:name w:val="Note heading (several)"/>
    <w:basedOn w:val="NoteBody"/>
    <w:rsid w:val="00DF1B35"/>
    <w:pPr>
      <w:spacing w:after="60"/>
    </w:pPr>
  </w:style>
  <w:style w:type="paragraph" w:styleId="TOC1">
    <w:name w:val="toc 1"/>
    <w:basedOn w:val="Normal"/>
    <w:next w:val="Normal"/>
    <w:rsid w:val="00DF1B35"/>
    <w:pPr>
      <w:keepNext/>
      <w:tabs>
        <w:tab w:val="right" w:pos="8278"/>
      </w:tabs>
      <w:spacing w:before="120"/>
      <w:ind w:left="1701" w:hanging="1701"/>
    </w:pPr>
    <w:rPr>
      <w:rFonts w:ascii="Arial" w:hAnsi="Arial"/>
      <w:b/>
      <w:lang w:eastAsia="en-US"/>
    </w:rPr>
  </w:style>
  <w:style w:type="paragraph" w:styleId="TOC2">
    <w:name w:val="toc 2"/>
    <w:basedOn w:val="Normal"/>
    <w:next w:val="Normal"/>
    <w:rsid w:val="00DF1B35"/>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rsid w:val="00DF1B35"/>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DF1B35"/>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rsid w:val="00DF1B35"/>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rsid w:val="00DF1B35"/>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DF1B35"/>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rsid w:val="00DF1B35"/>
    <w:pPr>
      <w:tabs>
        <w:tab w:val="right" w:pos="8278"/>
      </w:tabs>
      <w:spacing w:before="60"/>
      <w:ind w:left="1843" w:right="714" w:hanging="1843"/>
    </w:pPr>
    <w:rPr>
      <w:rFonts w:ascii="Arial" w:hAnsi="Arial"/>
      <w:sz w:val="20"/>
      <w:lang w:eastAsia="en-US"/>
    </w:rPr>
  </w:style>
  <w:style w:type="paragraph" w:styleId="TOC9">
    <w:name w:val="toc 9"/>
    <w:basedOn w:val="Normal"/>
    <w:next w:val="Normal"/>
    <w:rsid w:val="00DF1B35"/>
    <w:pPr>
      <w:tabs>
        <w:tab w:val="right" w:pos="8278"/>
      </w:tabs>
      <w:spacing w:before="240" w:after="120"/>
      <w:ind w:left="1843" w:hanging="1843"/>
    </w:pPr>
    <w:rPr>
      <w:rFonts w:ascii="Arial" w:hAnsi="Arial"/>
      <w:b/>
      <w:sz w:val="20"/>
      <w:lang w:eastAsia="en-US"/>
    </w:rPr>
  </w:style>
  <w:style w:type="character" w:styleId="PageNumber">
    <w:name w:val="page number"/>
    <w:rsid w:val="00DF1B35"/>
    <w:rPr>
      <w:rFonts w:ascii="Arial" w:hAnsi="Arial"/>
      <w:sz w:val="22"/>
      <w:szCs w:val="22"/>
    </w:rPr>
  </w:style>
  <w:style w:type="character" w:styleId="CommentReference">
    <w:name w:val="annotation reference"/>
    <w:rsid w:val="00DF1B35"/>
    <w:rPr>
      <w:sz w:val="16"/>
      <w:szCs w:val="16"/>
    </w:rPr>
  </w:style>
  <w:style w:type="paragraph" w:styleId="CommentText">
    <w:name w:val="annotation text"/>
    <w:basedOn w:val="Normal"/>
    <w:link w:val="CommentTextChar"/>
    <w:rsid w:val="00DF1B35"/>
    <w:rPr>
      <w:sz w:val="20"/>
      <w:szCs w:val="20"/>
    </w:rPr>
  </w:style>
  <w:style w:type="character" w:customStyle="1" w:styleId="CommentTextChar">
    <w:name w:val="Comment Text Char"/>
    <w:basedOn w:val="DefaultParagraphFont"/>
    <w:link w:val="CommentText"/>
    <w:rsid w:val="00DF1B35"/>
    <w:rPr>
      <w:rFonts w:ascii="Times New Roman" w:eastAsia="Times New Roman" w:hAnsi="Times New Roman" w:cs="Times New Roman"/>
      <w:sz w:val="20"/>
      <w:szCs w:val="20"/>
      <w:lang w:eastAsia="en-AU"/>
    </w:rPr>
  </w:style>
  <w:style w:type="paragraph" w:customStyle="1" w:styleId="ExampleBody">
    <w:name w:val="Example Body"/>
    <w:basedOn w:val="Normal"/>
    <w:rsid w:val="00DF1B35"/>
    <w:pPr>
      <w:spacing w:before="60" w:line="220" w:lineRule="exact"/>
      <w:ind w:left="964"/>
      <w:jc w:val="both"/>
    </w:pPr>
    <w:rPr>
      <w:sz w:val="20"/>
      <w:lang w:eastAsia="en-US"/>
    </w:rPr>
  </w:style>
  <w:style w:type="paragraph" w:customStyle="1" w:styleId="Note">
    <w:name w:val="Note"/>
    <w:rsid w:val="00DF1B35"/>
    <w:pPr>
      <w:spacing w:before="120" w:after="0" w:line="220" w:lineRule="exact"/>
      <w:ind w:left="964"/>
      <w:jc w:val="both"/>
    </w:pPr>
    <w:rPr>
      <w:rFonts w:ascii="Times New Roman" w:eastAsia="Times New Roman" w:hAnsi="Times New Roman" w:cs="Times New Roman"/>
      <w:sz w:val="20"/>
      <w:szCs w:val="24"/>
      <w:lang w:eastAsia="en-AU"/>
    </w:rPr>
  </w:style>
  <w:style w:type="character" w:styleId="Emphasis">
    <w:name w:val="Emphasis"/>
    <w:qFormat/>
    <w:rsid w:val="00DF1B35"/>
    <w:rPr>
      <w:i/>
      <w:iCs/>
    </w:rPr>
  </w:style>
  <w:style w:type="paragraph" w:styleId="BodyText">
    <w:name w:val="Body Text"/>
    <w:basedOn w:val="Normal"/>
    <w:link w:val="BodyTextChar"/>
    <w:rsid w:val="00DF1B35"/>
    <w:pPr>
      <w:spacing w:after="120"/>
    </w:pPr>
  </w:style>
  <w:style w:type="character" w:customStyle="1" w:styleId="BodyTextChar">
    <w:name w:val="Body Text Char"/>
    <w:basedOn w:val="DefaultParagraphFont"/>
    <w:link w:val="BodyText"/>
    <w:rsid w:val="00DF1B35"/>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DF1B35"/>
    <w:pPr>
      <w:spacing w:after="120"/>
      <w:ind w:left="283"/>
    </w:pPr>
  </w:style>
  <w:style w:type="character" w:customStyle="1" w:styleId="BodyTextIndentChar">
    <w:name w:val="Body Text Indent Char"/>
    <w:basedOn w:val="DefaultParagraphFont"/>
    <w:link w:val="BodyTextIndent"/>
    <w:rsid w:val="00DF1B35"/>
    <w:rPr>
      <w:rFonts w:ascii="Times New Roman" w:eastAsia="Times New Roman" w:hAnsi="Times New Roman" w:cs="Times New Roman"/>
      <w:sz w:val="24"/>
      <w:szCs w:val="24"/>
      <w:lang w:eastAsia="en-AU"/>
    </w:rPr>
  </w:style>
  <w:style w:type="paragraph" w:customStyle="1" w:styleId="SigningPageBreak">
    <w:name w:val="SigningPageBreak"/>
    <w:basedOn w:val="Normal"/>
    <w:next w:val="Normal"/>
    <w:rsid w:val="00DF1B35"/>
    <w:rPr>
      <w:lang w:eastAsia="en-US"/>
    </w:rPr>
  </w:style>
  <w:style w:type="paragraph" w:customStyle="1" w:styleId="Footerinfo">
    <w:name w:val="Footerinfo"/>
    <w:basedOn w:val="Footer"/>
    <w:rsid w:val="00DF1B35"/>
    <w:pPr>
      <w:tabs>
        <w:tab w:val="clear" w:pos="4153"/>
        <w:tab w:val="clear" w:pos="8306"/>
        <w:tab w:val="center" w:pos="3600"/>
        <w:tab w:val="right" w:pos="7201"/>
      </w:tabs>
    </w:pPr>
    <w:rPr>
      <w:sz w:val="12"/>
      <w:szCs w:val="18"/>
      <w:lang w:eastAsia="en-US"/>
    </w:rPr>
  </w:style>
  <w:style w:type="paragraph" w:customStyle="1" w:styleId="Citation">
    <w:name w:val="Citation"/>
    <w:basedOn w:val="Footer"/>
    <w:rsid w:val="00DF1B35"/>
  </w:style>
  <w:style w:type="paragraph" w:customStyle="1" w:styleId="citation0">
    <w:name w:val="citation"/>
    <w:basedOn w:val="Footer"/>
    <w:rsid w:val="00DF1B35"/>
  </w:style>
  <w:style w:type="paragraph" w:customStyle="1" w:styleId="HeaderLiteEven">
    <w:name w:val="HeaderLiteEven"/>
    <w:basedOn w:val="Normal"/>
    <w:rsid w:val="00DF1B35"/>
    <w:pPr>
      <w:tabs>
        <w:tab w:val="center" w:pos="3969"/>
        <w:tab w:val="right" w:pos="8505"/>
      </w:tabs>
      <w:spacing w:before="60"/>
    </w:pPr>
    <w:rPr>
      <w:rFonts w:ascii="Arial" w:hAnsi="Arial"/>
      <w:sz w:val="18"/>
      <w:lang w:eastAsia="en-US"/>
    </w:rPr>
  </w:style>
  <w:style w:type="paragraph" w:customStyle="1" w:styleId="HeaderContentsPage">
    <w:name w:val="HeaderContents&quot;Page&quot;"/>
    <w:basedOn w:val="Normal"/>
    <w:rsid w:val="00DF1B35"/>
    <w:pPr>
      <w:spacing w:before="120" w:after="120"/>
      <w:jc w:val="right"/>
    </w:pPr>
    <w:rPr>
      <w:rFonts w:ascii="Arial" w:hAnsi="Arial"/>
      <w:sz w:val="20"/>
      <w:lang w:eastAsia="en-US"/>
    </w:rPr>
  </w:style>
  <w:style w:type="paragraph" w:customStyle="1" w:styleId="HeaderLiteOdd">
    <w:name w:val="HeaderLiteOdd"/>
    <w:basedOn w:val="Normal"/>
    <w:rsid w:val="00DF1B35"/>
    <w:pPr>
      <w:tabs>
        <w:tab w:val="center" w:pos="3969"/>
        <w:tab w:val="right" w:pos="8505"/>
      </w:tabs>
      <w:spacing w:before="60"/>
      <w:jc w:val="right"/>
    </w:pPr>
    <w:rPr>
      <w:rFonts w:ascii="Arial" w:hAnsi="Arial"/>
      <w:sz w:val="18"/>
      <w:lang w:eastAsia="en-US"/>
    </w:rPr>
  </w:style>
  <w:style w:type="paragraph" w:customStyle="1" w:styleId="ReadersGuideSectionBreak">
    <w:name w:val="ReadersGuideSectionBreak"/>
    <w:basedOn w:val="Normal"/>
    <w:next w:val="Normal"/>
    <w:rsid w:val="00DF1B35"/>
    <w:rPr>
      <w:lang w:eastAsia="en-US"/>
    </w:rPr>
  </w:style>
  <w:style w:type="paragraph" w:customStyle="1" w:styleId="A1S">
    <w:name w:val="A1S"/>
    <w:aliases w:val="1.Schedule Amendment"/>
    <w:basedOn w:val="Normal"/>
    <w:next w:val="Normal"/>
    <w:rsid w:val="00DF1B35"/>
    <w:pPr>
      <w:keepNext/>
      <w:spacing w:before="480" w:line="260" w:lineRule="exact"/>
      <w:ind w:left="964" w:hanging="964"/>
    </w:pPr>
    <w:rPr>
      <w:rFonts w:ascii="Arial" w:hAnsi="Arial"/>
      <w:b/>
      <w:lang w:eastAsia="en-US"/>
    </w:rPr>
  </w:style>
  <w:style w:type="paragraph" w:customStyle="1" w:styleId="A2S">
    <w:name w:val="A2S"/>
    <w:aliases w:val="Schedule Inst Amendment"/>
    <w:basedOn w:val="Normal"/>
    <w:next w:val="Normal"/>
    <w:rsid w:val="00DF1B35"/>
    <w:pPr>
      <w:keepNext/>
      <w:spacing w:before="120" w:line="260" w:lineRule="exact"/>
      <w:ind w:left="964"/>
    </w:pPr>
    <w:rPr>
      <w:i/>
      <w:lang w:eastAsia="en-US"/>
    </w:rPr>
  </w:style>
  <w:style w:type="paragraph" w:customStyle="1" w:styleId="A3S">
    <w:name w:val="A3S"/>
    <w:aliases w:val="Schedule Amendment"/>
    <w:basedOn w:val="Normal"/>
    <w:next w:val="A1S"/>
    <w:rsid w:val="00DF1B35"/>
    <w:pPr>
      <w:spacing w:before="60" w:line="260" w:lineRule="exact"/>
      <w:ind w:left="1247"/>
      <w:jc w:val="both"/>
    </w:pPr>
    <w:rPr>
      <w:lang w:eastAsia="en-US"/>
    </w:rPr>
  </w:style>
  <w:style w:type="paragraph" w:customStyle="1" w:styleId="A4">
    <w:name w:val="A4"/>
    <w:aliases w:val="(a) Amendment"/>
    <w:basedOn w:val="Normal"/>
    <w:rsid w:val="00DF1B3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DF1B3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DF1B35"/>
    <w:pPr>
      <w:spacing w:before="120" w:line="220" w:lineRule="exact"/>
      <w:ind w:left="964"/>
      <w:jc w:val="both"/>
    </w:pPr>
    <w:rPr>
      <w:sz w:val="20"/>
      <w:lang w:eastAsia="en-US"/>
    </w:rPr>
  </w:style>
  <w:style w:type="paragraph" w:customStyle="1" w:styleId="ASref">
    <w:name w:val="AS ref"/>
    <w:basedOn w:val="Normal"/>
    <w:next w:val="A1S"/>
    <w:rsid w:val="00DF1B3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DF1B35"/>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DF1B35"/>
    <w:pPr>
      <w:keepNext/>
      <w:spacing w:before="360"/>
      <w:ind w:left="2410" w:hanging="2410"/>
    </w:pPr>
    <w:rPr>
      <w:rFonts w:ascii="Arial" w:hAnsi="Arial"/>
      <w:b/>
      <w:sz w:val="28"/>
      <w:lang w:eastAsia="en-US"/>
    </w:rPr>
  </w:style>
  <w:style w:type="character" w:customStyle="1" w:styleId="CharAmSchNo">
    <w:name w:val="CharAmSchNo"/>
    <w:basedOn w:val="DefaultParagraphFont"/>
    <w:rsid w:val="00DF1B35"/>
  </w:style>
  <w:style w:type="character" w:customStyle="1" w:styleId="CharAmSchText">
    <w:name w:val="CharAmSchText"/>
    <w:basedOn w:val="DefaultParagraphFont"/>
    <w:rsid w:val="00DF1B35"/>
  </w:style>
  <w:style w:type="character" w:customStyle="1" w:styleId="CharChapNo">
    <w:name w:val="CharChapNo"/>
    <w:basedOn w:val="DefaultParagraphFont"/>
    <w:rsid w:val="00DF1B35"/>
  </w:style>
  <w:style w:type="character" w:customStyle="1" w:styleId="CharChapText">
    <w:name w:val="CharChapText"/>
    <w:basedOn w:val="DefaultParagraphFont"/>
    <w:rsid w:val="00DF1B35"/>
  </w:style>
  <w:style w:type="character" w:customStyle="1" w:styleId="CharDivNo">
    <w:name w:val="CharDivNo"/>
    <w:basedOn w:val="DefaultParagraphFont"/>
    <w:rsid w:val="00DF1B35"/>
  </w:style>
  <w:style w:type="character" w:customStyle="1" w:styleId="CharDivText">
    <w:name w:val="CharDivText"/>
    <w:basedOn w:val="DefaultParagraphFont"/>
    <w:rsid w:val="00DF1B35"/>
  </w:style>
  <w:style w:type="character" w:customStyle="1" w:styleId="CharPartNo">
    <w:name w:val="CharPartNo"/>
    <w:basedOn w:val="DefaultParagraphFont"/>
    <w:rsid w:val="00DF1B35"/>
  </w:style>
  <w:style w:type="character" w:customStyle="1" w:styleId="CharPartText">
    <w:name w:val="CharPartText"/>
    <w:basedOn w:val="DefaultParagraphFont"/>
    <w:rsid w:val="00DF1B35"/>
    <w:rPr>
      <w:rFonts w:ascii="Arial" w:hAnsi="Arial" w:cs="Arial"/>
      <w:b/>
      <w:sz w:val="32"/>
      <w:szCs w:val="32"/>
    </w:rPr>
  </w:style>
  <w:style w:type="character" w:customStyle="1" w:styleId="CharSchPTNo">
    <w:name w:val="CharSchPTNo"/>
    <w:basedOn w:val="DefaultParagraphFont"/>
    <w:rsid w:val="00DF1B35"/>
  </w:style>
  <w:style w:type="character" w:customStyle="1" w:styleId="CharSchPTText">
    <w:name w:val="CharSchPTText"/>
    <w:basedOn w:val="DefaultParagraphFont"/>
    <w:rsid w:val="00DF1B35"/>
  </w:style>
  <w:style w:type="character" w:customStyle="1" w:styleId="CharSectno">
    <w:name w:val="CharSectno"/>
    <w:basedOn w:val="DefaultParagraphFont"/>
    <w:rsid w:val="00DF1B35"/>
  </w:style>
  <w:style w:type="paragraph" w:customStyle="1" w:styleId="ContentsHead">
    <w:name w:val="ContentsHead"/>
    <w:basedOn w:val="Normal"/>
    <w:next w:val="Normal"/>
    <w:rsid w:val="00DF1B35"/>
    <w:pPr>
      <w:keepNext/>
      <w:pageBreakBefore/>
      <w:spacing w:before="240" w:after="240"/>
    </w:pPr>
    <w:rPr>
      <w:rFonts w:ascii="Arial" w:hAnsi="Arial"/>
      <w:b/>
      <w:sz w:val="28"/>
      <w:lang w:eastAsia="en-US"/>
    </w:rPr>
  </w:style>
  <w:style w:type="paragraph" w:customStyle="1" w:styleId="ContentsSectionBreak">
    <w:name w:val="ContentsSectionBreak"/>
    <w:basedOn w:val="Normal"/>
    <w:next w:val="Normal"/>
    <w:rsid w:val="00DF1B35"/>
    <w:rPr>
      <w:lang w:eastAsia="en-US"/>
    </w:rPr>
  </w:style>
  <w:style w:type="paragraph" w:customStyle="1" w:styleId="DD">
    <w:name w:val="DD"/>
    <w:aliases w:val="Dictionary Definition"/>
    <w:basedOn w:val="Normal"/>
    <w:rsid w:val="00DF1B35"/>
    <w:pPr>
      <w:spacing w:before="80" w:line="260" w:lineRule="exact"/>
      <w:jc w:val="both"/>
    </w:pPr>
    <w:rPr>
      <w:lang w:eastAsia="en-US"/>
    </w:rPr>
  </w:style>
  <w:style w:type="paragraph" w:customStyle="1" w:styleId="DictionaryHeading">
    <w:name w:val="Dictionary Heading"/>
    <w:basedOn w:val="Normal"/>
    <w:next w:val="DD"/>
    <w:rsid w:val="00DF1B35"/>
    <w:pPr>
      <w:keepNext/>
      <w:spacing w:before="480"/>
      <w:ind w:left="2552" w:hanging="2552"/>
    </w:pPr>
    <w:rPr>
      <w:rFonts w:ascii="Arial" w:hAnsi="Arial"/>
      <w:b/>
      <w:sz w:val="32"/>
      <w:lang w:eastAsia="en-US"/>
    </w:rPr>
  </w:style>
  <w:style w:type="paragraph" w:customStyle="1" w:styleId="DictionarySectionBreak">
    <w:name w:val="DictionarySectionBreak"/>
    <w:basedOn w:val="Normal"/>
    <w:next w:val="Normal"/>
    <w:rsid w:val="00DF1B35"/>
    <w:rPr>
      <w:lang w:eastAsia="en-US"/>
    </w:rPr>
  </w:style>
  <w:style w:type="paragraph" w:customStyle="1" w:styleId="DNote">
    <w:name w:val="DNote"/>
    <w:aliases w:val="DictionaryNote"/>
    <w:basedOn w:val="Normal"/>
    <w:rsid w:val="00DF1B35"/>
    <w:pPr>
      <w:spacing w:before="120" w:line="220" w:lineRule="exact"/>
      <w:ind w:left="425"/>
      <w:jc w:val="both"/>
    </w:pPr>
    <w:rPr>
      <w:sz w:val="20"/>
      <w:lang w:eastAsia="en-US"/>
    </w:rPr>
  </w:style>
  <w:style w:type="paragraph" w:customStyle="1" w:styleId="DP1a">
    <w:name w:val="DP1(a)"/>
    <w:aliases w:val="Dictionary (a)"/>
    <w:basedOn w:val="Normal"/>
    <w:rsid w:val="00DF1B3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DF1B35"/>
    <w:pPr>
      <w:tabs>
        <w:tab w:val="right" w:pos="1276"/>
      </w:tabs>
      <w:spacing w:before="60" w:line="260" w:lineRule="exact"/>
      <w:ind w:left="1503" w:hanging="1503"/>
      <w:jc w:val="both"/>
    </w:pPr>
    <w:rPr>
      <w:lang w:eastAsia="en-US"/>
    </w:rPr>
  </w:style>
  <w:style w:type="paragraph" w:customStyle="1" w:styleId="ExampleList">
    <w:name w:val="Example List"/>
    <w:basedOn w:val="Normal"/>
    <w:rsid w:val="00DF1B35"/>
    <w:pPr>
      <w:tabs>
        <w:tab w:val="left" w:pos="1247"/>
        <w:tab w:val="left" w:pos="1349"/>
      </w:tabs>
      <w:spacing w:before="60" w:line="220" w:lineRule="exact"/>
      <w:ind w:left="340" w:firstLine="652"/>
      <w:jc w:val="both"/>
    </w:pPr>
    <w:rPr>
      <w:sz w:val="20"/>
      <w:lang w:eastAsia="en-US"/>
    </w:rPr>
  </w:style>
  <w:style w:type="paragraph" w:customStyle="1" w:styleId="FooterDraft">
    <w:name w:val="FooterDraft"/>
    <w:basedOn w:val="Normal"/>
    <w:rsid w:val="00DF1B35"/>
    <w:pPr>
      <w:jc w:val="center"/>
    </w:pPr>
    <w:rPr>
      <w:rFonts w:ascii="Arial" w:hAnsi="Arial"/>
      <w:b/>
      <w:sz w:val="40"/>
      <w:lang w:eastAsia="en-US"/>
    </w:rPr>
  </w:style>
  <w:style w:type="paragraph" w:customStyle="1" w:styleId="FooterInfo0">
    <w:name w:val="FooterInfo"/>
    <w:basedOn w:val="Normal"/>
    <w:rsid w:val="00DF1B35"/>
    <w:rPr>
      <w:rFonts w:ascii="Arial" w:hAnsi="Arial"/>
      <w:sz w:val="12"/>
      <w:lang w:eastAsia="en-US"/>
    </w:rPr>
  </w:style>
  <w:style w:type="paragraph" w:customStyle="1" w:styleId="Formula">
    <w:name w:val="Formula"/>
    <w:basedOn w:val="Normal"/>
    <w:next w:val="Normal"/>
    <w:rsid w:val="00DF1B35"/>
    <w:pPr>
      <w:spacing w:before="180" w:after="180"/>
      <w:jc w:val="center"/>
    </w:pPr>
    <w:rPr>
      <w:lang w:eastAsia="en-US"/>
    </w:rPr>
  </w:style>
  <w:style w:type="paragraph" w:customStyle="1" w:styleId="HC">
    <w:name w:val="HC"/>
    <w:aliases w:val="Chapter Heading"/>
    <w:basedOn w:val="Normal"/>
    <w:next w:val="Normal"/>
    <w:rsid w:val="00DF1B35"/>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DF1B35"/>
  </w:style>
  <w:style w:type="paragraph" w:customStyle="1" w:styleId="HE">
    <w:name w:val="HE"/>
    <w:aliases w:val="Example heading"/>
    <w:basedOn w:val="Normal"/>
    <w:next w:val="ExampleBody"/>
    <w:rsid w:val="00DF1B35"/>
    <w:pPr>
      <w:keepNext/>
      <w:spacing w:before="120" w:line="220" w:lineRule="exact"/>
      <w:ind w:left="964"/>
    </w:pPr>
    <w:rPr>
      <w:i/>
      <w:sz w:val="20"/>
      <w:lang w:eastAsia="en-US"/>
    </w:rPr>
  </w:style>
  <w:style w:type="paragraph" w:customStyle="1" w:styleId="HeaderBoldEven">
    <w:name w:val="HeaderBoldEven"/>
    <w:basedOn w:val="Normal"/>
    <w:rsid w:val="00DF1B35"/>
    <w:pPr>
      <w:spacing w:before="120" w:after="60"/>
    </w:pPr>
    <w:rPr>
      <w:rFonts w:ascii="Arial" w:hAnsi="Arial"/>
      <w:b/>
      <w:sz w:val="20"/>
      <w:lang w:eastAsia="en-US"/>
    </w:rPr>
  </w:style>
  <w:style w:type="paragraph" w:customStyle="1" w:styleId="HeaderBoldOdd">
    <w:name w:val="HeaderBoldOdd"/>
    <w:basedOn w:val="Normal"/>
    <w:rsid w:val="00DF1B35"/>
    <w:pPr>
      <w:spacing w:before="120" w:after="60"/>
      <w:jc w:val="right"/>
    </w:pPr>
    <w:rPr>
      <w:rFonts w:ascii="Arial" w:hAnsi="Arial"/>
      <w:b/>
      <w:sz w:val="20"/>
      <w:lang w:eastAsia="en-US"/>
    </w:rPr>
  </w:style>
  <w:style w:type="paragraph" w:customStyle="1" w:styleId="HS">
    <w:name w:val="HS"/>
    <w:aliases w:val="Subdiv Heading"/>
    <w:basedOn w:val="Normal"/>
    <w:next w:val="HR"/>
    <w:rsid w:val="00DF1B35"/>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DF1B35"/>
    <w:pPr>
      <w:keepNext/>
      <w:spacing w:before="300"/>
      <w:ind w:left="964"/>
    </w:pPr>
    <w:rPr>
      <w:rFonts w:ascii="Arial" w:hAnsi="Arial"/>
      <w:i/>
      <w:lang w:eastAsia="en-US"/>
    </w:rPr>
  </w:style>
  <w:style w:type="paragraph" w:customStyle="1" w:styleId="Lt">
    <w:name w:val="Lt"/>
    <w:aliases w:val="Long title"/>
    <w:basedOn w:val="Normal"/>
    <w:rsid w:val="00DF1B35"/>
    <w:pPr>
      <w:spacing w:before="260"/>
    </w:pPr>
    <w:rPr>
      <w:rFonts w:ascii="Arial" w:hAnsi="Arial"/>
      <w:b/>
      <w:sz w:val="28"/>
      <w:lang w:eastAsia="en-US"/>
    </w:rPr>
  </w:style>
  <w:style w:type="paragraph" w:customStyle="1" w:styleId="M1">
    <w:name w:val="M1"/>
    <w:aliases w:val="Modification Heading"/>
    <w:basedOn w:val="Normal"/>
    <w:next w:val="Normal"/>
    <w:rsid w:val="00DF1B35"/>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DF1B35"/>
    <w:pPr>
      <w:keepNext/>
      <w:spacing w:before="120" w:line="260" w:lineRule="exact"/>
      <w:ind w:left="964"/>
    </w:pPr>
    <w:rPr>
      <w:i/>
      <w:lang w:eastAsia="en-US"/>
    </w:rPr>
  </w:style>
  <w:style w:type="paragraph" w:customStyle="1" w:styleId="M3">
    <w:name w:val="M3"/>
    <w:aliases w:val="Modification Text"/>
    <w:basedOn w:val="Normal"/>
    <w:next w:val="M1"/>
    <w:rsid w:val="00DF1B35"/>
    <w:pPr>
      <w:spacing w:before="60" w:line="260" w:lineRule="exact"/>
      <w:ind w:left="1247"/>
      <w:jc w:val="both"/>
    </w:pPr>
    <w:rPr>
      <w:lang w:eastAsia="en-US"/>
    </w:rPr>
  </w:style>
  <w:style w:type="paragraph" w:customStyle="1" w:styleId="MainBodySectionBreak">
    <w:name w:val="MainBody Section Break"/>
    <w:basedOn w:val="Normal"/>
    <w:next w:val="Normal"/>
    <w:rsid w:val="00DF1B35"/>
    <w:rPr>
      <w:lang w:eastAsia="en-US"/>
    </w:rPr>
  </w:style>
  <w:style w:type="paragraph" w:customStyle="1" w:styleId="Maker">
    <w:name w:val="Maker"/>
    <w:basedOn w:val="Normal"/>
    <w:rsid w:val="00DF1B35"/>
    <w:pPr>
      <w:tabs>
        <w:tab w:val="left" w:pos="3119"/>
      </w:tabs>
      <w:spacing w:line="300" w:lineRule="atLeast"/>
    </w:pPr>
    <w:rPr>
      <w:lang w:eastAsia="en-US"/>
    </w:rPr>
  </w:style>
  <w:style w:type="paragraph" w:customStyle="1" w:styleId="MHD">
    <w:name w:val="MHD"/>
    <w:aliases w:val="Mod Division Heading"/>
    <w:basedOn w:val="Normal"/>
    <w:next w:val="Normal"/>
    <w:rsid w:val="00DF1B35"/>
    <w:pPr>
      <w:keepNext/>
      <w:spacing w:before="360"/>
      <w:ind w:left="2410" w:hanging="2410"/>
    </w:pPr>
    <w:rPr>
      <w:b/>
      <w:sz w:val="28"/>
      <w:lang w:eastAsia="en-US"/>
    </w:rPr>
  </w:style>
  <w:style w:type="paragraph" w:customStyle="1" w:styleId="MHP">
    <w:name w:val="MHP"/>
    <w:aliases w:val="Mod Part Heading"/>
    <w:basedOn w:val="Normal"/>
    <w:next w:val="Normal"/>
    <w:rsid w:val="00DF1B35"/>
    <w:pPr>
      <w:keepNext/>
      <w:spacing w:before="360"/>
      <w:ind w:left="2410" w:hanging="2410"/>
    </w:pPr>
    <w:rPr>
      <w:b/>
      <w:sz w:val="32"/>
      <w:lang w:eastAsia="en-US"/>
    </w:rPr>
  </w:style>
  <w:style w:type="paragraph" w:customStyle="1" w:styleId="MHR">
    <w:name w:val="MHR"/>
    <w:aliases w:val="Mod Regulation Heading"/>
    <w:basedOn w:val="Normal"/>
    <w:next w:val="Normal"/>
    <w:rsid w:val="00DF1B35"/>
    <w:pPr>
      <w:keepNext/>
      <w:spacing w:before="360"/>
      <w:ind w:left="964" w:hanging="964"/>
    </w:pPr>
    <w:rPr>
      <w:b/>
      <w:lang w:eastAsia="en-US"/>
    </w:rPr>
  </w:style>
  <w:style w:type="paragraph" w:customStyle="1" w:styleId="MHS">
    <w:name w:val="MHS"/>
    <w:aliases w:val="Mod Subdivision Heading"/>
    <w:basedOn w:val="Normal"/>
    <w:next w:val="MHR"/>
    <w:rsid w:val="00DF1B35"/>
    <w:pPr>
      <w:keepNext/>
      <w:spacing w:before="360"/>
      <w:ind w:left="2410" w:hanging="2410"/>
    </w:pPr>
    <w:rPr>
      <w:b/>
      <w:lang w:eastAsia="en-US"/>
    </w:rPr>
  </w:style>
  <w:style w:type="paragraph" w:customStyle="1" w:styleId="MHSR">
    <w:name w:val="MHSR"/>
    <w:aliases w:val="Mod Subregulation Heading"/>
    <w:basedOn w:val="Normal"/>
    <w:next w:val="Normal"/>
    <w:rsid w:val="00DF1B35"/>
    <w:pPr>
      <w:keepNext/>
      <w:spacing w:before="300"/>
      <w:ind w:left="964" w:hanging="964"/>
    </w:pPr>
    <w:rPr>
      <w:i/>
      <w:lang w:eastAsia="en-US"/>
    </w:rPr>
  </w:style>
  <w:style w:type="paragraph" w:customStyle="1" w:styleId="Notepara">
    <w:name w:val="Note para"/>
    <w:basedOn w:val="Normal"/>
    <w:rsid w:val="00DF1B35"/>
    <w:pPr>
      <w:spacing w:before="60" w:line="220" w:lineRule="exact"/>
      <w:ind w:left="1304" w:hanging="340"/>
      <w:jc w:val="both"/>
    </w:pPr>
    <w:rPr>
      <w:sz w:val="20"/>
      <w:lang w:eastAsia="en-US"/>
    </w:rPr>
  </w:style>
  <w:style w:type="paragraph" w:customStyle="1" w:styleId="NotesSectionBreak">
    <w:name w:val="NotesSectionBreak"/>
    <w:basedOn w:val="Normal"/>
    <w:next w:val="Normal"/>
    <w:rsid w:val="00DF1B35"/>
    <w:rPr>
      <w:lang w:eastAsia="en-US"/>
    </w:rPr>
  </w:style>
  <w:style w:type="paragraph" w:customStyle="1" w:styleId="Penalty">
    <w:name w:val="Penalty"/>
    <w:basedOn w:val="Normal"/>
    <w:next w:val="Normal"/>
    <w:rsid w:val="00DF1B35"/>
    <w:pPr>
      <w:spacing w:before="180" w:line="260" w:lineRule="exact"/>
      <w:ind w:left="964"/>
      <w:jc w:val="both"/>
    </w:pPr>
    <w:rPr>
      <w:lang w:eastAsia="en-US"/>
    </w:rPr>
  </w:style>
  <w:style w:type="paragraph" w:customStyle="1" w:styleId="Query">
    <w:name w:val="Query"/>
    <w:aliases w:val="QY"/>
    <w:basedOn w:val="Normal"/>
    <w:rsid w:val="00DF1B35"/>
    <w:pPr>
      <w:spacing w:before="180" w:line="260" w:lineRule="exact"/>
      <w:ind w:left="964" w:hanging="964"/>
      <w:jc w:val="both"/>
    </w:pPr>
    <w:rPr>
      <w:b/>
      <w:i/>
      <w:lang w:eastAsia="en-US"/>
    </w:rPr>
  </w:style>
  <w:style w:type="paragraph" w:customStyle="1" w:styleId="RGHead">
    <w:name w:val="RGHead"/>
    <w:basedOn w:val="Normal"/>
    <w:next w:val="Normal"/>
    <w:rsid w:val="00DF1B35"/>
    <w:pPr>
      <w:keepNext/>
      <w:spacing w:before="360"/>
    </w:pPr>
    <w:rPr>
      <w:rFonts w:ascii="Arial" w:hAnsi="Arial"/>
      <w:b/>
      <w:sz w:val="32"/>
      <w:lang w:eastAsia="en-US"/>
    </w:rPr>
  </w:style>
  <w:style w:type="paragraph" w:customStyle="1" w:styleId="RGPara">
    <w:name w:val="RGPara"/>
    <w:aliases w:val="Readers Guide Para"/>
    <w:basedOn w:val="Normal"/>
    <w:rsid w:val="00DF1B35"/>
    <w:pPr>
      <w:spacing w:before="120" w:line="260" w:lineRule="exact"/>
      <w:jc w:val="both"/>
    </w:pPr>
    <w:rPr>
      <w:lang w:eastAsia="en-US"/>
    </w:rPr>
  </w:style>
  <w:style w:type="paragraph" w:customStyle="1" w:styleId="RGPtHd">
    <w:name w:val="RGPtHd"/>
    <w:aliases w:val="Readers Guide PT Heading"/>
    <w:basedOn w:val="Normal"/>
    <w:next w:val="Normal"/>
    <w:rsid w:val="00DF1B35"/>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DF1B35"/>
    <w:pPr>
      <w:keepNext/>
      <w:spacing w:before="360"/>
      <w:ind w:left="964" w:hanging="964"/>
    </w:pPr>
    <w:rPr>
      <w:rFonts w:ascii="Arial" w:hAnsi="Arial"/>
      <w:b/>
      <w:lang w:eastAsia="en-US"/>
    </w:rPr>
  </w:style>
  <w:style w:type="paragraph" w:customStyle="1" w:styleId="AsAmendedBy">
    <w:name w:val="AsAmendedBy"/>
    <w:basedOn w:val="Normal"/>
    <w:rsid w:val="00DF1B35"/>
    <w:pPr>
      <w:spacing w:before="60" w:line="200" w:lineRule="exact"/>
      <w:ind w:left="170"/>
    </w:pPr>
    <w:rPr>
      <w:rFonts w:ascii="Arial" w:hAnsi="Arial"/>
      <w:sz w:val="18"/>
    </w:rPr>
  </w:style>
  <w:style w:type="paragraph" w:customStyle="1" w:styleId="AsAmendedByBold">
    <w:name w:val="AsAmendedByBold"/>
    <w:basedOn w:val="Normal"/>
    <w:next w:val="AsAmendedBy"/>
    <w:rsid w:val="00DF1B35"/>
    <w:pPr>
      <w:spacing w:before="60" w:after="60" w:line="200" w:lineRule="exact"/>
      <w:ind w:left="170"/>
    </w:pPr>
    <w:rPr>
      <w:rFonts w:ascii="Arial" w:hAnsi="Arial"/>
      <w:b/>
      <w:sz w:val="18"/>
    </w:rPr>
  </w:style>
  <w:style w:type="paragraph" w:customStyle="1" w:styleId="ContentsStatRule">
    <w:name w:val="ContentsStatRule"/>
    <w:basedOn w:val="Normal"/>
    <w:rsid w:val="00DF1B35"/>
    <w:pPr>
      <w:spacing w:before="480"/>
    </w:pPr>
    <w:rPr>
      <w:rFonts w:ascii="Arial" w:hAnsi="Arial"/>
      <w:b/>
    </w:rPr>
  </w:style>
  <w:style w:type="paragraph" w:customStyle="1" w:styleId="CoverAct">
    <w:name w:val="CoverAct"/>
    <w:basedOn w:val="Normal"/>
    <w:next w:val="CoverUpdate"/>
    <w:rsid w:val="00DF1B35"/>
    <w:pPr>
      <w:pBdr>
        <w:bottom w:val="single" w:sz="4" w:space="3" w:color="auto"/>
      </w:pBdr>
    </w:pPr>
    <w:rPr>
      <w:rFonts w:ascii="Arial" w:hAnsi="Arial"/>
      <w:i/>
      <w:sz w:val="28"/>
    </w:rPr>
  </w:style>
  <w:style w:type="paragraph" w:customStyle="1" w:styleId="TableENotesHeading">
    <w:name w:val="TableENotesHeading"/>
    <w:basedOn w:val="Normal"/>
    <w:next w:val="TableASLI"/>
    <w:rsid w:val="00DF1B35"/>
    <w:pPr>
      <w:spacing w:before="240" w:after="240" w:line="300" w:lineRule="exact"/>
      <w:ind w:left="2410" w:hanging="2410"/>
    </w:pPr>
    <w:rPr>
      <w:rFonts w:ascii="Arial" w:hAnsi="Arial"/>
      <w:b/>
      <w:sz w:val="28"/>
    </w:rPr>
  </w:style>
  <w:style w:type="paragraph" w:styleId="Title">
    <w:name w:val="Title"/>
    <w:basedOn w:val="Normal"/>
    <w:link w:val="TitleChar"/>
    <w:qFormat/>
    <w:rsid w:val="00DF1B35"/>
    <w:pPr>
      <w:spacing w:before="240" w:after="60"/>
    </w:pPr>
    <w:rPr>
      <w:rFonts w:ascii="Arial" w:hAnsi="Arial" w:cs="Arial"/>
      <w:b/>
      <w:bCs/>
      <w:sz w:val="40"/>
      <w:szCs w:val="40"/>
    </w:rPr>
  </w:style>
  <w:style w:type="character" w:customStyle="1" w:styleId="TitleChar">
    <w:name w:val="Title Char"/>
    <w:basedOn w:val="DefaultParagraphFont"/>
    <w:link w:val="Title"/>
    <w:rsid w:val="00DF1B35"/>
    <w:rPr>
      <w:rFonts w:ascii="Arial" w:eastAsia="Times New Roman" w:hAnsi="Arial" w:cs="Arial"/>
      <w:b/>
      <w:bCs/>
      <w:sz w:val="40"/>
      <w:szCs w:val="40"/>
      <w:lang w:eastAsia="en-AU"/>
    </w:rPr>
  </w:style>
  <w:style w:type="paragraph" w:customStyle="1" w:styleId="CoverStatRule">
    <w:name w:val="CoverStatRule"/>
    <w:basedOn w:val="Normal"/>
    <w:next w:val="Normal"/>
    <w:rsid w:val="00DF1B35"/>
    <w:pPr>
      <w:spacing w:before="240"/>
    </w:pPr>
    <w:rPr>
      <w:rFonts w:ascii="Arial" w:hAnsi="Arial"/>
      <w:b/>
    </w:rPr>
  </w:style>
  <w:style w:type="paragraph" w:customStyle="1" w:styleId="CoverUpdate">
    <w:name w:val="CoverUpdate"/>
    <w:basedOn w:val="Normal"/>
    <w:rsid w:val="00DF1B35"/>
    <w:pPr>
      <w:spacing w:before="240"/>
    </w:pPr>
  </w:style>
  <w:style w:type="paragraph" w:customStyle="1" w:styleId="EndNotes">
    <w:name w:val="EndNotes"/>
    <w:basedOn w:val="Normal"/>
    <w:rsid w:val="00DF1B35"/>
    <w:pPr>
      <w:spacing w:before="120" w:line="260" w:lineRule="exact"/>
      <w:jc w:val="both"/>
    </w:pPr>
  </w:style>
  <w:style w:type="paragraph" w:customStyle="1" w:styleId="ENoteNo">
    <w:name w:val="ENoteNo"/>
    <w:basedOn w:val="EndNotes"/>
    <w:rsid w:val="00DF1B35"/>
    <w:pPr>
      <w:ind w:left="357" w:hanging="357"/>
    </w:pPr>
    <w:rPr>
      <w:rFonts w:ascii="Arial" w:hAnsi="Arial"/>
      <w:b/>
    </w:rPr>
  </w:style>
  <w:style w:type="paragraph" w:customStyle="1" w:styleId="FooterText">
    <w:name w:val="Footer Text"/>
    <w:basedOn w:val="Normal"/>
    <w:rsid w:val="00DF1B35"/>
    <w:rPr>
      <w:sz w:val="20"/>
    </w:rPr>
  </w:style>
  <w:style w:type="paragraph" w:customStyle="1" w:styleId="SchedSectionBreak">
    <w:name w:val="SchedSectionBreak"/>
    <w:basedOn w:val="Normal"/>
    <w:next w:val="Normal"/>
    <w:rsid w:val="00DF1B35"/>
    <w:rPr>
      <w:lang w:eastAsia="en-US"/>
    </w:rPr>
  </w:style>
  <w:style w:type="paragraph" w:customStyle="1" w:styleId="ScheduleHeading">
    <w:name w:val="Schedule Heading"/>
    <w:basedOn w:val="Normal"/>
    <w:next w:val="Normal"/>
    <w:rsid w:val="00DF1B35"/>
    <w:pPr>
      <w:keepNext/>
      <w:keepLines/>
      <w:spacing w:before="360"/>
      <w:ind w:left="964" w:hanging="964"/>
    </w:pPr>
    <w:rPr>
      <w:rFonts w:ascii="Arial" w:hAnsi="Arial"/>
      <w:b/>
      <w:lang w:eastAsia="en-US"/>
    </w:rPr>
  </w:style>
  <w:style w:type="paragraph" w:customStyle="1" w:styleId="Schedulelist">
    <w:name w:val="Schedule list"/>
    <w:basedOn w:val="Normal"/>
    <w:rsid w:val="00DF1B35"/>
    <w:pPr>
      <w:tabs>
        <w:tab w:val="right" w:pos="1985"/>
      </w:tabs>
      <w:spacing w:before="60" w:line="260" w:lineRule="exact"/>
      <w:ind w:left="454"/>
    </w:pPr>
    <w:rPr>
      <w:lang w:eastAsia="en-US"/>
    </w:rPr>
  </w:style>
  <w:style w:type="paragraph" w:customStyle="1" w:styleId="Schedulepart">
    <w:name w:val="Schedule part"/>
    <w:basedOn w:val="Normal"/>
    <w:rsid w:val="00DF1B3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DF1B3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DF1B35"/>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DF1B35"/>
    <w:pPr>
      <w:pBdr>
        <w:bottom w:val="single" w:sz="4" w:space="3" w:color="auto"/>
      </w:pBdr>
      <w:spacing w:before="480"/>
    </w:pPr>
    <w:rPr>
      <w:rFonts w:ascii="Arial" w:hAnsi="Arial"/>
      <w:b/>
      <w:lang w:eastAsia="en-US"/>
    </w:rPr>
  </w:style>
  <w:style w:type="paragraph" w:customStyle="1" w:styleId="TableColHead">
    <w:name w:val="TableColHead"/>
    <w:basedOn w:val="Normal"/>
    <w:rsid w:val="00DF1B35"/>
    <w:pPr>
      <w:keepNext/>
      <w:spacing w:before="120" w:after="60" w:line="200" w:lineRule="exact"/>
    </w:pPr>
    <w:rPr>
      <w:rFonts w:ascii="Arial" w:hAnsi="Arial"/>
      <w:b/>
      <w:sz w:val="18"/>
      <w:lang w:eastAsia="en-US"/>
    </w:rPr>
  </w:style>
  <w:style w:type="paragraph" w:customStyle="1" w:styleId="TableP1a">
    <w:name w:val="TableP1(a)"/>
    <w:basedOn w:val="Normal"/>
    <w:rsid w:val="00DF1B35"/>
    <w:pPr>
      <w:tabs>
        <w:tab w:val="right" w:pos="408"/>
      </w:tabs>
      <w:spacing w:after="60" w:line="240" w:lineRule="exact"/>
      <w:ind w:left="533" w:hanging="533"/>
    </w:pPr>
    <w:rPr>
      <w:sz w:val="22"/>
      <w:lang w:eastAsia="en-US"/>
    </w:rPr>
  </w:style>
  <w:style w:type="paragraph" w:customStyle="1" w:styleId="TableP2i">
    <w:name w:val="TableP2(i)"/>
    <w:basedOn w:val="Normal"/>
    <w:rsid w:val="00DF1B35"/>
    <w:pPr>
      <w:tabs>
        <w:tab w:val="right" w:pos="726"/>
      </w:tabs>
      <w:spacing w:after="60" w:line="240" w:lineRule="exact"/>
      <w:ind w:left="868" w:hanging="868"/>
    </w:pPr>
    <w:rPr>
      <w:sz w:val="22"/>
      <w:lang w:eastAsia="en-US"/>
    </w:rPr>
  </w:style>
  <w:style w:type="paragraph" w:customStyle="1" w:styleId="TableText">
    <w:name w:val="TableText"/>
    <w:basedOn w:val="Normal"/>
    <w:rsid w:val="00DF1B35"/>
    <w:pPr>
      <w:spacing w:before="60" w:after="60" w:line="240" w:lineRule="exact"/>
    </w:pPr>
    <w:rPr>
      <w:sz w:val="22"/>
      <w:lang w:eastAsia="en-US"/>
    </w:rPr>
  </w:style>
  <w:style w:type="paragraph" w:customStyle="1" w:styleId="TextWOutChapSectionBreak">
    <w:name w:val="TextW/OutChapSectionBreak"/>
    <w:basedOn w:val="Normal"/>
    <w:next w:val="Normal"/>
    <w:rsid w:val="00DF1B35"/>
    <w:rPr>
      <w:lang w:eastAsia="en-US"/>
    </w:rPr>
  </w:style>
  <w:style w:type="paragraph" w:customStyle="1" w:styleId="TOC">
    <w:name w:val="TOC"/>
    <w:basedOn w:val="Normal"/>
    <w:next w:val="Normal"/>
    <w:rsid w:val="00DF1B35"/>
    <w:pPr>
      <w:tabs>
        <w:tab w:val="right" w:pos="7088"/>
      </w:tabs>
      <w:spacing w:after="120"/>
    </w:pPr>
    <w:rPr>
      <w:rFonts w:ascii="Arial" w:hAnsi="Arial"/>
      <w:sz w:val="20"/>
      <w:lang w:eastAsia="en-US"/>
    </w:rPr>
  </w:style>
  <w:style w:type="paragraph" w:customStyle="1" w:styleId="ZA2">
    <w:name w:val="ZA2"/>
    <w:basedOn w:val="A2"/>
    <w:rsid w:val="00DF1B35"/>
    <w:pPr>
      <w:keepNext/>
    </w:pPr>
  </w:style>
  <w:style w:type="paragraph" w:customStyle="1" w:styleId="ZA3">
    <w:name w:val="ZA3"/>
    <w:basedOn w:val="A3"/>
    <w:rsid w:val="00DF1B35"/>
    <w:pPr>
      <w:keepNext/>
    </w:pPr>
  </w:style>
  <w:style w:type="paragraph" w:customStyle="1" w:styleId="ZA4">
    <w:name w:val="ZA4"/>
    <w:basedOn w:val="Normal"/>
    <w:next w:val="A4"/>
    <w:rsid w:val="00DF1B3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DF1B35"/>
    <w:pPr>
      <w:keepNext/>
    </w:pPr>
  </w:style>
  <w:style w:type="paragraph" w:customStyle="1" w:styleId="Zdefinition">
    <w:name w:val="Zdefinition"/>
    <w:basedOn w:val="definition"/>
    <w:rsid w:val="00DF1B35"/>
    <w:pPr>
      <w:keepNext/>
    </w:pPr>
  </w:style>
  <w:style w:type="paragraph" w:customStyle="1" w:styleId="ZDP1">
    <w:name w:val="ZDP1"/>
    <w:basedOn w:val="DP1a"/>
    <w:rsid w:val="00DF1B35"/>
    <w:pPr>
      <w:keepNext/>
    </w:pPr>
  </w:style>
  <w:style w:type="paragraph" w:customStyle="1" w:styleId="ZExampleBody">
    <w:name w:val="ZExample Body"/>
    <w:basedOn w:val="ExampleBody"/>
    <w:rsid w:val="00DF1B35"/>
    <w:pPr>
      <w:keepNext/>
    </w:pPr>
  </w:style>
  <w:style w:type="paragraph" w:customStyle="1" w:styleId="ZNote">
    <w:name w:val="ZNote"/>
    <w:basedOn w:val="Normal"/>
    <w:rsid w:val="00DF1B35"/>
    <w:pPr>
      <w:keepNext/>
      <w:spacing w:before="120" w:line="220" w:lineRule="exact"/>
      <w:ind w:left="964"/>
      <w:jc w:val="both"/>
    </w:pPr>
    <w:rPr>
      <w:sz w:val="20"/>
      <w:lang w:eastAsia="en-US"/>
    </w:rPr>
  </w:style>
  <w:style w:type="paragraph" w:customStyle="1" w:styleId="ZP1">
    <w:name w:val="ZP1"/>
    <w:basedOn w:val="P1"/>
    <w:rsid w:val="00DF1B35"/>
    <w:pPr>
      <w:keepNext/>
    </w:pPr>
  </w:style>
  <w:style w:type="paragraph" w:customStyle="1" w:styleId="ZP2">
    <w:name w:val="ZP2"/>
    <w:basedOn w:val="P2"/>
    <w:rsid w:val="00DF1B35"/>
    <w:pPr>
      <w:keepNext/>
    </w:pPr>
  </w:style>
  <w:style w:type="paragraph" w:customStyle="1" w:styleId="ZP3">
    <w:name w:val="ZP3"/>
    <w:basedOn w:val="P3"/>
    <w:rsid w:val="00DF1B35"/>
    <w:pPr>
      <w:keepNext/>
    </w:pPr>
  </w:style>
  <w:style w:type="paragraph" w:customStyle="1" w:styleId="ZR1">
    <w:name w:val="ZR1"/>
    <w:basedOn w:val="R1"/>
    <w:rsid w:val="00DF1B35"/>
    <w:pPr>
      <w:keepNext/>
    </w:pPr>
  </w:style>
  <w:style w:type="paragraph" w:customStyle="1" w:styleId="ZR2">
    <w:name w:val="ZR2"/>
    <w:basedOn w:val="R2"/>
    <w:rsid w:val="00DF1B35"/>
    <w:pPr>
      <w:keepNext/>
    </w:pPr>
  </w:style>
  <w:style w:type="paragraph" w:customStyle="1" w:styleId="ZRcN">
    <w:name w:val="ZRcN"/>
    <w:basedOn w:val="Rc"/>
    <w:rsid w:val="00DF1B35"/>
    <w:pPr>
      <w:keepNext/>
    </w:pPr>
  </w:style>
  <w:style w:type="paragraph" w:styleId="NoteHeading">
    <w:name w:val="Note Heading"/>
    <w:aliases w:val="HN"/>
    <w:basedOn w:val="Normal"/>
    <w:next w:val="Normal"/>
    <w:link w:val="NoteHeadingChar"/>
    <w:rsid w:val="00DF1B35"/>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rsid w:val="00DF1B35"/>
    <w:rPr>
      <w:rFonts w:ascii="Arial" w:eastAsia="Times New Roman" w:hAnsi="Arial" w:cs="Times New Roman"/>
      <w:b/>
      <w:sz w:val="32"/>
      <w:szCs w:val="24"/>
      <w:lang w:eastAsia="en-AU"/>
    </w:rPr>
  </w:style>
  <w:style w:type="paragraph" w:customStyle="1" w:styleId="RegNotesa">
    <w:name w:val="RegNotes(a)"/>
    <w:basedOn w:val="Normal"/>
    <w:rsid w:val="00DF1B35"/>
    <w:pPr>
      <w:spacing w:before="60" w:line="200" w:lineRule="exact"/>
      <w:ind w:left="425" w:hanging="425"/>
      <w:jc w:val="both"/>
    </w:pPr>
    <w:rPr>
      <w:rFonts w:ascii="Arial" w:hAnsi="Arial"/>
      <w:sz w:val="18"/>
    </w:rPr>
  </w:style>
  <w:style w:type="paragraph" w:customStyle="1" w:styleId="RegNotes1">
    <w:name w:val="RegNotes(1)"/>
    <w:basedOn w:val="RegNotesa"/>
    <w:rsid w:val="00DF1B35"/>
    <w:pPr>
      <w:ind w:left="850"/>
    </w:pPr>
  </w:style>
  <w:style w:type="paragraph" w:customStyle="1" w:styleId="Schedulereferenceleft">
    <w:name w:val="Schedule reference left"/>
    <w:basedOn w:val="Schedulereference"/>
    <w:rsid w:val="00DF1B35"/>
    <w:pPr>
      <w:ind w:left="0"/>
      <w:jc w:val="both"/>
    </w:pPr>
  </w:style>
  <w:style w:type="paragraph" w:customStyle="1" w:styleId="PageBreak">
    <w:name w:val="PageBreak"/>
    <w:aliases w:val="pb"/>
    <w:basedOn w:val="Normal"/>
    <w:next w:val="Heading2"/>
    <w:rsid w:val="00DF1B35"/>
    <w:rPr>
      <w:sz w:val="16"/>
      <w:szCs w:val="20"/>
    </w:rPr>
  </w:style>
  <w:style w:type="paragraph" w:customStyle="1" w:styleId="TableASR">
    <w:name w:val="TableASR"/>
    <w:basedOn w:val="Normal"/>
    <w:semiHidden/>
    <w:rsid w:val="00DF1B35"/>
    <w:pPr>
      <w:spacing w:before="360" w:after="120" w:line="280" w:lineRule="exact"/>
      <w:ind w:left="2410" w:hanging="2410"/>
    </w:pPr>
    <w:rPr>
      <w:rFonts w:ascii="Arial" w:hAnsi="Arial"/>
      <w:b/>
      <w:sz w:val="26"/>
    </w:rPr>
  </w:style>
  <w:style w:type="paragraph" w:customStyle="1" w:styleId="TableOfAmend">
    <w:name w:val="TableOfAmend"/>
    <w:basedOn w:val="Normal"/>
    <w:rsid w:val="00DF1B3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DF1B35"/>
    <w:pPr>
      <w:spacing w:before="0"/>
    </w:pPr>
  </w:style>
  <w:style w:type="paragraph" w:customStyle="1" w:styleId="TableOfAmendHead">
    <w:name w:val="TableOfAmendHead"/>
    <w:basedOn w:val="TableOfAmend"/>
    <w:next w:val="Normal"/>
    <w:rsid w:val="00DF1B35"/>
    <w:pPr>
      <w:spacing w:after="60"/>
    </w:pPr>
    <w:rPr>
      <w:sz w:val="16"/>
    </w:rPr>
  </w:style>
  <w:style w:type="paragraph" w:customStyle="1" w:styleId="TableOfStatRules">
    <w:name w:val="TableOfStatRules"/>
    <w:basedOn w:val="Normal"/>
    <w:rsid w:val="00DF1B35"/>
    <w:pPr>
      <w:spacing w:before="60" w:line="200" w:lineRule="exact"/>
    </w:pPr>
    <w:rPr>
      <w:rFonts w:ascii="Arial" w:hAnsi="Arial"/>
      <w:sz w:val="18"/>
    </w:rPr>
  </w:style>
  <w:style w:type="paragraph" w:styleId="BalloonText">
    <w:name w:val="Balloon Text"/>
    <w:basedOn w:val="Normal"/>
    <w:link w:val="BalloonTextChar"/>
    <w:rsid w:val="00DF1B35"/>
    <w:rPr>
      <w:rFonts w:ascii="Tahoma" w:hAnsi="Tahoma" w:cs="Tahoma"/>
      <w:sz w:val="16"/>
      <w:szCs w:val="16"/>
    </w:rPr>
  </w:style>
  <w:style w:type="character" w:customStyle="1" w:styleId="BalloonTextChar">
    <w:name w:val="Balloon Text Char"/>
    <w:basedOn w:val="DefaultParagraphFont"/>
    <w:link w:val="BalloonText"/>
    <w:rsid w:val="00DF1B35"/>
    <w:rPr>
      <w:rFonts w:ascii="Tahoma" w:eastAsia="Times New Roman" w:hAnsi="Tahoma" w:cs="Tahoma"/>
      <w:sz w:val="16"/>
      <w:szCs w:val="16"/>
      <w:lang w:eastAsia="en-AU"/>
    </w:rPr>
  </w:style>
  <w:style w:type="character" w:customStyle="1" w:styleId="CharENotesHeading">
    <w:name w:val="CharENotesHeading"/>
    <w:basedOn w:val="DefaultParagraphFont"/>
    <w:rsid w:val="00DF1B35"/>
  </w:style>
  <w:style w:type="paragraph" w:styleId="BlockText">
    <w:name w:val="Block Text"/>
    <w:basedOn w:val="Normal"/>
    <w:rsid w:val="00DF1B35"/>
    <w:pPr>
      <w:spacing w:after="120"/>
      <w:ind w:left="1440" w:right="1440"/>
    </w:pPr>
  </w:style>
  <w:style w:type="paragraph" w:customStyle="1" w:styleId="ContentsPage">
    <w:name w:val="ContentsPage"/>
    <w:basedOn w:val="Normal"/>
    <w:next w:val="TOC"/>
    <w:rsid w:val="00DF1B35"/>
    <w:pPr>
      <w:spacing w:before="120"/>
      <w:jc w:val="right"/>
    </w:pPr>
    <w:rPr>
      <w:rFonts w:ascii="Arial" w:hAnsi="Arial"/>
    </w:rPr>
  </w:style>
  <w:style w:type="paragraph" w:customStyle="1" w:styleId="Explain1">
    <w:name w:val="Explain (1)"/>
    <w:basedOn w:val="Normal"/>
    <w:rsid w:val="00DF1B35"/>
    <w:pPr>
      <w:spacing w:before="240"/>
      <w:jc w:val="both"/>
    </w:pPr>
    <w:rPr>
      <w:rFonts w:ascii="Optima" w:hAnsi="Optima"/>
      <w:sz w:val="22"/>
    </w:rPr>
  </w:style>
  <w:style w:type="paragraph" w:customStyle="1" w:styleId="Explaindot">
    <w:name w:val="Explain dot"/>
    <w:basedOn w:val="Normal"/>
    <w:rsid w:val="00DF1B35"/>
    <w:pPr>
      <w:spacing w:before="120"/>
      <w:ind w:left="426" w:right="-8" w:hanging="426"/>
      <w:jc w:val="both"/>
    </w:pPr>
    <w:rPr>
      <w:rFonts w:ascii="Optima" w:hAnsi="Optima"/>
      <w:sz w:val="22"/>
    </w:rPr>
  </w:style>
  <w:style w:type="paragraph" w:customStyle="1" w:styleId="Explaintitle">
    <w:name w:val="Explain title"/>
    <w:basedOn w:val="Normal"/>
    <w:rsid w:val="00DF1B35"/>
    <w:pPr>
      <w:pageBreakBefore/>
      <w:spacing w:before="240"/>
      <w:jc w:val="center"/>
    </w:pPr>
    <w:rPr>
      <w:rFonts w:ascii="Optima" w:hAnsi="Optima"/>
      <w:b/>
      <w:i/>
      <w:sz w:val="28"/>
    </w:rPr>
  </w:style>
  <w:style w:type="table" w:styleId="TableGrid">
    <w:name w:val="Table Grid"/>
    <w:basedOn w:val="TableNormal"/>
    <w:rsid w:val="00DF1B35"/>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lastRow">
      <w:tblPr/>
      <w:tcPr>
        <w:tcBorders>
          <w:top w:val="nil"/>
          <w:left w:val="nil"/>
          <w:bottom w:val="single" w:sz="4" w:space="0" w:color="auto"/>
          <w:right w:val="nil"/>
          <w:insideH w:val="nil"/>
          <w:insideV w:val="nil"/>
          <w:tl2br w:val="nil"/>
          <w:tr2bl w:val="nil"/>
        </w:tcBorders>
      </w:tcPr>
    </w:tblStylePr>
  </w:style>
  <w:style w:type="paragraph" w:customStyle="1" w:styleId="CoverMade">
    <w:name w:val="CoverMade"/>
    <w:basedOn w:val="Normal"/>
    <w:rsid w:val="00DF1B35"/>
    <w:pPr>
      <w:spacing w:before="240" w:after="240"/>
    </w:pPr>
    <w:rPr>
      <w:rFonts w:ascii="Arial" w:hAnsi="Arial"/>
    </w:rPr>
  </w:style>
  <w:style w:type="paragraph" w:customStyle="1" w:styleId="TableENotesHeadingAmdt">
    <w:name w:val="TableENotesHeadingAmdt"/>
    <w:basedOn w:val="Normal"/>
    <w:rsid w:val="00DF1B35"/>
    <w:pPr>
      <w:pageBreakBefore/>
      <w:spacing w:before="240" w:after="240" w:line="300" w:lineRule="exact"/>
      <w:ind w:left="2410" w:hanging="2410"/>
    </w:pPr>
    <w:rPr>
      <w:rFonts w:ascii="Arial" w:hAnsi="Arial"/>
      <w:b/>
      <w:sz w:val="28"/>
    </w:rPr>
  </w:style>
  <w:style w:type="paragraph" w:styleId="BodyText2">
    <w:name w:val="Body Text 2"/>
    <w:basedOn w:val="Normal"/>
    <w:link w:val="BodyText2Char"/>
    <w:rsid w:val="00DF1B35"/>
    <w:pPr>
      <w:spacing w:after="120" w:line="480" w:lineRule="auto"/>
    </w:pPr>
  </w:style>
  <w:style w:type="character" w:customStyle="1" w:styleId="BodyText2Char">
    <w:name w:val="Body Text 2 Char"/>
    <w:basedOn w:val="DefaultParagraphFont"/>
    <w:link w:val="BodyText2"/>
    <w:rsid w:val="00DF1B35"/>
    <w:rPr>
      <w:rFonts w:ascii="Times New Roman" w:eastAsia="Times New Roman" w:hAnsi="Times New Roman" w:cs="Times New Roman"/>
      <w:sz w:val="24"/>
      <w:szCs w:val="24"/>
      <w:lang w:eastAsia="en-AU"/>
    </w:rPr>
  </w:style>
  <w:style w:type="paragraph" w:styleId="BodyText3">
    <w:name w:val="Body Text 3"/>
    <w:basedOn w:val="Normal"/>
    <w:link w:val="BodyText3Char"/>
    <w:rsid w:val="00DF1B35"/>
    <w:pPr>
      <w:spacing w:after="120"/>
    </w:pPr>
    <w:rPr>
      <w:sz w:val="16"/>
      <w:szCs w:val="16"/>
    </w:rPr>
  </w:style>
  <w:style w:type="character" w:customStyle="1" w:styleId="BodyText3Char">
    <w:name w:val="Body Text 3 Char"/>
    <w:basedOn w:val="DefaultParagraphFont"/>
    <w:link w:val="BodyText3"/>
    <w:rsid w:val="00DF1B35"/>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DF1B35"/>
    <w:pPr>
      <w:ind w:firstLine="210"/>
    </w:pPr>
  </w:style>
  <w:style w:type="character" w:customStyle="1" w:styleId="BodyTextFirstIndentChar">
    <w:name w:val="Body Text First Indent Char"/>
    <w:basedOn w:val="BodyTextChar"/>
    <w:link w:val="BodyTextFirstIndent"/>
    <w:rsid w:val="00DF1B35"/>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DF1B35"/>
    <w:pPr>
      <w:ind w:firstLine="210"/>
    </w:pPr>
  </w:style>
  <w:style w:type="character" w:customStyle="1" w:styleId="BodyTextFirstIndent2Char">
    <w:name w:val="Body Text First Indent 2 Char"/>
    <w:basedOn w:val="BodyTextIndentChar"/>
    <w:link w:val="BodyTextFirstIndent2"/>
    <w:rsid w:val="00DF1B35"/>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DF1B35"/>
    <w:pPr>
      <w:spacing w:after="120" w:line="480" w:lineRule="auto"/>
      <w:ind w:left="283"/>
    </w:pPr>
  </w:style>
  <w:style w:type="character" w:customStyle="1" w:styleId="BodyTextIndent2Char">
    <w:name w:val="Body Text Indent 2 Char"/>
    <w:basedOn w:val="DefaultParagraphFont"/>
    <w:link w:val="BodyTextIndent2"/>
    <w:rsid w:val="00DF1B35"/>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DF1B35"/>
    <w:pPr>
      <w:spacing w:after="120"/>
      <w:ind w:left="283"/>
    </w:pPr>
    <w:rPr>
      <w:sz w:val="16"/>
      <w:szCs w:val="16"/>
    </w:rPr>
  </w:style>
  <w:style w:type="character" w:customStyle="1" w:styleId="BodyTextIndent3Char">
    <w:name w:val="Body Text Indent 3 Char"/>
    <w:basedOn w:val="DefaultParagraphFont"/>
    <w:link w:val="BodyTextIndent3"/>
    <w:rsid w:val="00DF1B35"/>
    <w:rPr>
      <w:rFonts w:ascii="Times New Roman" w:eastAsia="Times New Roman" w:hAnsi="Times New Roman" w:cs="Times New Roman"/>
      <w:sz w:val="16"/>
      <w:szCs w:val="16"/>
      <w:lang w:eastAsia="en-AU"/>
    </w:rPr>
  </w:style>
  <w:style w:type="paragraph" w:styleId="Caption">
    <w:name w:val="caption"/>
    <w:basedOn w:val="Normal"/>
    <w:next w:val="Normal"/>
    <w:qFormat/>
    <w:rsid w:val="00DF1B35"/>
    <w:pPr>
      <w:spacing w:before="120" w:after="120"/>
    </w:pPr>
    <w:rPr>
      <w:b/>
      <w:bCs/>
      <w:sz w:val="20"/>
      <w:szCs w:val="20"/>
    </w:rPr>
  </w:style>
  <w:style w:type="paragraph" w:styleId="Closing">
    <w:name w:val="Closing"/>
    <w:basedOn w:val="Normal"/>
    <w:link w:val="ClosingChar"/>
    <w:rsid w:val="00DF1B35"/>
    <w:pPr>
      <w:ind w:left="4252"/>
    </w:pPr>
  </w:style>
  <w:style w:type="character" w:customStyle="1" w:styleId="ClosingChar">
    <w:name w:val="Closing Char"/>
    <w:basedOn w:val="DefaultParagraphFont"/>
    <w:link w:val="Closing"/>
    <w:rsid w:val="00DF1B35"/>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rsid w:val="00DF1B35"/>
    <w:rPr>
      <w:b/>
      <w:bCs/>
    </w:rPr>
  </w:style>
  <w:style w:type="character" w:customStyle="1" w:styleId="CommentSubjectChar">
    <w:name w:val="Comment Subject Char"/>
    <w:basedOn w:val="CommentTextChar"/>
    <w:link w:val="CommentSubject"/>
    <w:rsid w:val="00DF1B35"/>
    <w:rPr>
      <w:rFonts w:ascii="Times New Roman" w:eastAsia="Times New Roman" w:hAnsi="Times New Roman" w:cs="Times New Roman"/>
      <w:b/>
      <w:bCs/>
      <w:sz w:val="20"/>
      <w:szCs w:val="20"/>
      <w:lang w:eastAsia="en-AU"/>
    </w:rPr>
  </w:style>
  <w:style w:type="paragraph" w:styleId="Date">
    <w:name w:val="Date"/>
    <w:basedOn w:val="Normal"/>
    <w:next w:val="Normal"/>
    <w:link w:val="DateChar"/>
    <w:rsid w:val="00DF1B35"/>
  </w:style>
  <w:style w:type="character" w:customStyle="1" w:styleId="DateChar">
    <w:name w:val="Date Char"/>
    <w:basedOn w:val="DefaultParagraphFont"/>
    <w:link w:val="Date"/>
    <w:rsid w:val="00DF1B35"/>
    <w:rPr>
      <w:rFonts w:ascii="Times New Roman" w:eastAsia="Times New Roman" w:hAnsi="Times New Roman" w:cs="Times New Roman"/>
      <w:sz w:val="24"/>
      <w:szCs w:val="24"/>
      <w:lang w:eastAsia="en-AU"/>
    </w:rPr>
  </w:style>
  <w:style w:type="paragraph" w:styleId="DocumentMap">
    <w:name w:val="Document Map"/>
    <w:basedOn w:val="Normal"/>
    <w:link w:val="DocumentMapChar"/>
    <w:rsid w:val="00DF1B35"/>
    <w:pPr>
      <w:shd w:val="clear" w:color="auto" w:fill="000080"/>
    </w:pPr>
    <w:rPr>
      <w:rFonts w:ascii="Tahoma" w:hAnsi="Tahoma" w:cs="Tahoma"/>
    </w:rPr>
  </w:style>
  <w:style w:type="character" w:customStyle="1" w:styleId="DocumentMapChar">
    <w:name w:val="Document Map Char"/>
    <w:basedOn w:val="DefaultParagraphFont"/>
    <w:link w:val="DocumentMap"/>
    <w:rsid w:val="00DF1B35"/>
    <w:rPr>
      <w:rFonts w:ascii="Tahoma" w:eastAsia="Times New Roman" w:hAnsi="Tahoma" w:cs="Tahoma"/>
      <w:sz w:val="24"/>
      <w:szCs w:val="24"/>
      <w:shd w:val="clear" w:color="auto" w:fill="000080"/>
      <w:lang w:eastAsia="en-AU"/>
    </w:rPr>
  </w:style>
  <w:style w:type="paragraph" w:styleId="E-mailSignature">
    <w:name w:val="E-mail Signature"/>
    <w:basedOn w:val="Normal"/>
    <w:link w:val="E-mailSignatureChar"/>
    <w:rsid w:val="00DF1B35"/>
  </w:style>
  <w:style w:type="character" w:customStyle="1" w:styleId="E-mailSignatureChar">
    <w:name w:val="E-mail Signature Char"/>
    <w:basedOn w:val="DefaultParagraphFont"/>
    <w:link w:val="E-mailSignature"/>
    <w:rsid w:val="00DF1B35"/>
    <w:rPr>
      <w:rFonts w:ascii="Times New Roman" w:eastAsia="Times New Roman" w:hAnsi="Times New Roman" w:cs="Times New Roman"/>
      <w:sz w:val="24"/>
      <w:szCs w:val="24"/>
      <w:lang w:eastAsia="en-AU"/>
    </w:rPr>
  </w:style>
  <w:style w:type="character" w:styleId="EndnoteReference">
    <w:name w:val="endnote reference"/>
    <w:rsid w:val="00DF1B35"/>
    <w:rPr>
      <w:vertAlign w:val="superscript"/>
    </w:rPr>
  </w:style>
  <w:style w:type="paragraph" w:styleId="EndnoteText">
    <w:name w:val="endnote text"/>
    <w:basedOn w:val="Normal"/>
    <w:link w:val="EndnoteTextChar"/>
    <w:rsid w:val="00DF1B35"/>
    <w:rPr>
      <w:sz w:val="20"/>
      <w:szCs w:val="20"/>
      <w:lang w:eastAsia="en-US"/>
    </w:rPr>
  </w:style>
  <w:style w:type="character" w:customStyle="1" w:styleId="EndnoteTextChar">
    <w:name w:val="Endnote Text Char"/>
    <w:basedOn w:val="DefaultParagraphFont"/>
    <w:link w:val="EndnoteText"/>
    <w:rsid w:val="00DF1B35"/>
    <w:rPr>
      <w:rFonts w:ascii="Times New Roman" w:eastAsia="Times New Roman" w:hAnsi="Times New Roman" w:cs="Times New Roman"/>
      <w:sz w:val="20"/>
      <w:szCs w:val="20"/>
      <w:lang w:eastAsia="en-US"/>
    </w:rPr>
  </w:style>
  <w:style w:type="paragraph" w:styleId="EnvelopeAddress">
    <w:name w:val="envelope address"/>
    <w:basedOn w:val="Normal"/>
    <w:rsid w:val="00DF1B3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F1B35"/>
    <w:rPr>
      <w:rFonts w:ascii="Arial" w:hAnsi="Arial" w:cs="Arial"/>
      <w:sz w:val="20"/>
      <w:szCs w:val="20"/>
    </w:rPr>
  </w:style>
  <w:style w:type="character" w:styleId="FollowedHyperlink">
    <w:name w:val="FollowedHyperlink"/>
    <w:rsid w:val="00DF1B35"/>
    <w:rPr>
      <w:color w:val="800080"/>
      <w:u w:val="single"/>
    </w:rPr>
  </w:style>
  <w:style w:type="character" w:styleId="HTMLAcronym">
    <w:name w:val="HTML Acronym"/>
    <w:basedOn w:val="DefaultParagraphFont"/>
    <w:rsid w:val="00DF1B35"/>
  </w:style>
  <w:style w:type="paragraph" w:styleId="HTMLAddress">
    <w:name w:val="HTML Address"/>
    <w:basedOn w:val="Normal"/>
    <w:link w:val="HTMLAddressChar"/>
    <w:rsid w:val="00DF1B35"/>
    <w:rPr>
      <w:i/>
      <w:iCs/>
    </w:rPr>
  </w:style>
  <w:style w:type="character" w:customStyle="1" w:styleId="HTMLAddressChar">
    <w:name w:val="HTML Address Char"/>
    <w:basedOn w:val="DefaultParagraphFont"/>
    <w:link w:val="HTMLAddress"/>
    <w:rsid w:val="00DF1B35"/>
    <w:rPr>
      <w:rFonts w:ascii="Times New Roman" w:eastAsia="Times New Roman" w:hAnsi="Times New Roman" w:cs="Times New Roman"/>
      <w:i/>
      <w:iCs/>
      <w:sz w:val="24"/>
      <w:szCs w:val="24"/>
      <w:lang w:eastAsia="en-AU"/>
    </w:rPr>
  </w:style>
  <w:style w:type="character" w:styleId="HTMLCite">
    <w:name w:val="HTML Cite"/>
    <w:rsid w:val="00DF1B35"/>
    <w:rPr>
      <w:i/>
      <w:iCs/>
    </w:rPr>
  </w:style>
  <w:style w:type="character" w:styleId="HTMLCode">
    <w:name w:val="HTML Code"/>
    <w:rsid w:val="00DF1B35"/>
    <w:rPr>
      <w:rFonts w:ascii="Courier New" w:hAnsi="Courier New" w:cs="Courier New"/>
      <w:sz w:val="20"/>
      <w:szCs w:val="20"/>
    </w:rPr>
  </w:style>
  <w:style w:type="character" w:styleId="HTMLDefinition">
    <w:name w:val="HTML Definition"/>
    <w:rsid w:val="00DF1B35"/>
    <w:rPr>
      <w:i/>
      <w:iCs/>
    </w:rPr>
  </w:style>
  <w:style w:type="character" w:styleId="HTMLKeyboard">
    <w:name w:val="HTML Keyboard"/>
    <w:rsid w:val="00DF1B35"/>
    <w:rPr>
      <w:rFonts w:ascii="Courier New" w:hAnsi="Courier New" w:cs="Courier New"/>
      <w:sz w:val="20"/>
      <w:szCs w:val="20"/>
    </w:rPr>
  </w:style>
  <w:style w:type="paragraph" w:styleId="HTMLPreformatted">
    <w:name w:val="HTML Preformatted"/>
    <w:basedOn w:val="Normal"/>
    <w:link w:val="HTMLPreformattedChar"/>
    <w:rsid w:val="00DF1B35"/>
    <w:rPr>
      <w:rFonts w:ascii="Courier New" w:hAnsi="Courier New" w:cs="Courier New"/>
      <w:sz w:val="20"/>
      <w:szCs w:val="20"/>
    </w:rPr>
  </w:style>
  <w:style w:type="character" w:customStyle="1" w:styleId="HTMLPreformattedChar">
    <w:name w:val="HTML Preformatted Char"/>
    <w:basedOn w:val="DefaultParagraphFont"/>
    <w:link w:val="HTMLPreformatted"/>
    <w:rsid w:val="00DF1B35"/>
    <w:rPr>
      <w:rFonts w:ascii="Courier New" w:eastAsia="Times New Roman" w:hAnsi="Courier New" w:cs="Courier New"/>
      <w:sz w:val="20"/>
      <w:szCs w:val="20"/>
      <w:lang w:eastAsia="en-AU"/>
    </w:rPr>
  </w:style>
  <w:style w:type="character" w:styleId="HTMLSample">
    <w:name w:val="HTML Sample"/>
    <w:rsid w:val="00DF1B35"/>
    <w:rPr>
      <w:rFonts w:ascii="Courier New" w:hAnsi="Courier New" w:cs="Courier New"/>
    </w:rPr>
  </w:style>
  <w:style w:type="character" w:styleId="HTMLTypewriter">
    <w:name w:val="HTML Typewriter"/>
    <w:rsid w:val="00DF1B35"/>
    <w:rPr>
      <w:rFonts w:ascii="Courier New" w:hAnsi="Courier New" w:cs="Courier New"/>
      <w:sz w:val="20"/>
      <w:szCs w:val="20"/>
    </w:rPr>
  </w:style>
  <w:style w:type="character" w:styleId="HTMLVariable">
    <w:name w:val="HTML Variable"/>
    <w:rsid w:val="00DF1B35"/>
    <w:rPr>
      <w:i/>
      <w:iCs/>
    </w:rPr>
  </w:style>
  <w:style w:type="character" w:styleId="Hyperlink">
    <w:name w:val="Hyperlink"/>
    <w:rsid w:val="00DF1B35"/>
    <w:rPr>
      <w:color w:val="0000FF"/>
      <w:u w:val="single"/>
    </w:rPr>
  </w:style>
  <w:style w:type="paragraph" w:styleId="Index1">
    <w:name w:val="index 1"/>
    <w:basedOn w:val="Normal"/>
    <w:next w:val="Normal"/>
    <w:rsid w:val="00DF1B35"/>
    <w:pPr>
      <w:ind w:left="240" w:hanging="240"/>
    </w:pPr>
  </w:style>
  <w:style w:type="paragraph" w:styleId="Index2">
    <w:name w:val="index 2"/>
    <w:basedOn w:val="Normal"/>
    <w:next w:val="Normal"/>
    <w:rsid w:val="00DF1B35"/>
    <w:pPr>
      <w:ind w:left="480" w:hanging="240"/>
    </w:pPr>
  </w:style>
  <w:style w:type="paragraph" w:styleId="Index3">
    <w:name w:val="index 3"/>
    <w:basedOn w:val="Normal"/>
    <w:next w:val="Normal"/>
    <w:rsid w:val="00DF1B35"/>
    <w:pPr>
      <w:ind w:left="720" w:hanging="240"/>
    </w:pPr>
  </w:style>
  <w:style w:type="paragraph" w:styleId="Index4">
    <w:name w:val="index 4"/>
    <w:basedOn w:val="Normal"/>
    <w:next w:val="Normal"/>
    <w:rsid w:val="00DF1B35"/>
    <w:pPr>
      <w:ind w:left="960" w:hanging="240"/>
    </w:pPr>
  </w:style>
  <w:style w:type="paragraph" w:styleId="Index5">
    <w:name w:val="index 5"/>
    <w:basedOn w:val="Normal"/>
    <w:next w:val="Normal"/>
    <w:rsid w:val="00DF1B35"/>
    <w:pPr>
      <w:ind w:left="1200" w:hanging="240"/>
    </w:pPr>
  </w:style>
  <w:style w:type="paragraph" w:styleId="Index6">
    <w:name w:val="index 6"/>
    <w:basedOn w:val="Normal"/>
    <w:next w:val="Normal"/>
    <w:rsid w:val="00DF1B35"/>
    <w:pPr>
      <w:ind w:left="1440" w:hanging="240"/>
    </w:pPr>
  </w:style>
  <w:style w:type="paragraph" w:styleId="Index7">
    <w:name w:val="index 7"/>
    <w:basedOn w:val="Normal"/>
    <w:next w:val="Normal"/>
    <w:rsid w:val="00DF1B35"/>
    <w:pPr>
      <w:ind w:left="1680" w:hanging="240"/>
    </w:pPr>
  </w:style>
  <w:style w:type="paragraph" w:styleId="Index8">
    <w:name w:val="index 8"/>
    <w:basedOn w:val="Normal"/>
    <w:next w:val="Normal"/>
    <w:rsid w:val="00DF1B35"/>
    <w:pPr>
      <w:ind w:left="1920" w:hanging="240"/>
    </w:pPr>
  </w:style>
  <w:style w:type="paragraph" w:styleId="Index9">
    <w:name w:val="index 9"/>
    <w:basedOn w:val="Normal"/>
    <w:next w:val="Normal"/>
    <w:rsid w:val="00DF1B35"/>
    <w:pPr>
      <w:ind w:left="2160" w:hanging="240"/>
    </w:pPr>
  </w:style>
  <w:style w:type="paragraph" w:styleId="IndexHeading">
    <w:name w:val="index heading"/>
    <w:basedOn w:val="Normal"/>
    <w:next w:val="Index1"/>
    <w:rsid w:val="00DF1B35"/>
    <w:rPr>
      <w:rFonts w:ascii="Arial" w:hAnsi="Arial" w:cs="Arial"/>
      <w:b/>
      <w:bCs/>
    </w:rPr>
  </w:style>
  <w:style w:type="character" w:styleId="LineNumber">
    <w:name w:val="line number"/>
    <w:basedOn w:val="DefaultParagraphFont"/>
    <w:rsid w:val="00DF1B35"/>
  </w:style>
  <w:style w:type="paragraph" w:styleId="List">
    <w:name w:val="List"/>
    <w:basedOn w:val="Normal"/>
    <w:rsid w:val="00DF1B35"/>
    <w:pPr>
      <w:ind w:left="283" w:hanging="283"/>
    </w:pPr>
  </w:style>
  <w:style w:type="paragraph" w:styleId="List2">
    <w:name w:val="List 2"/>
    <w:basedOn w:val="Normal"/>
    <w:rsid w:val="00DF1B35"/>
    <w:pPr>
      <w:ind w:left="566" w:hanging="283"/>
    </w:pPr>
  </w:style>
  <w:style w:type="paragraph" w:styleId="List3">
    <w:name w:val="List 3"/>
    <w:basedOn w:val="Normal"/>
    <w:rsid w:val="00DF1B35"/>
    <w:pPr>
      <w:ind w:left="849" w:hanging="283"/>
    </w:pPr>
  </w:style>
  <w:style w:type="paragraph" w:styleId="List4">
    <w:name w:val="List 4"/>
    <w:basedOn w:val="Normal"/>
    <w:rsid w:val="00DF1B35"/>
    <w:pPr>
      <w:ind w:left="1132" w:hanging="283"/>
    </w:pPr>
  </w:style>
  <w:style w:type="paragraph" w:styleId="List5">
    <w:name w:val="List 5"/>
    <w:basedOn w:val="Normal"/>
    <w:rsid w:val="00DF1B35"/>
    <w:pPr>
      <w:ind w:left="1415" w:hanging="283"/>
    </w:pPr>
  </w:style>
  <w:style w:type="paragraph" w:styleId="ListBullet">
    <w:name w:val="List Bullet"/>
    <w:basedOn w:val="Normal"/>
    <w:rsid w:val="00DF1B35"/>
    <w:pPr>
      <w:tabs>
        <w:tab w:val="num" w:pos="720"/>
      </w:tabs>
      <w:ind w:left="720" w:hanging="720"/>
    </w:pPr>
  </w:style>
  <w:style w:type="paragraph" w:styleId="ListBullet2">
    <w:name w:val="List Bullet 2"/>
    <w:basedOn w:val="Normal"/>
    <w:rsid w:val="00DF1B35"/>
    <w:pPr>
      <w:tabs>
        <w:tab w:val="num" w:pos="720"/>
      </w:tabs>
      <w:ind w:left="720" w:hanging="720"/>
    </w:pPr>
  </w:style>
  <w:style w:type="paragraph" w:styleId="ListBullet3">
    <w:name w:val="List Bullet 3"/>
    <w:basedOn w:val="Normal"/>
    <w:rsid w:val="00DF1B35"/>
    <w:pPr>
      <w:tabs>
        <w:tab w:val="num" w:pos="720"/>
      </w:tabs>
      <w:ind w:left="720" w:hanging="720"/>
    </w:pPr>
  </w:style>
  <w:style w:type="paragraph" w:styleId="ListBullet4">
    <w:name w:val="List Bullet 4"/>
    <w:basedOn w:val="Normal"/>
    <w:rsid w:val="00DF1B35"/>
    <w:pPr>
      <w:tabs>
        <w:tab w:val="num" w:pos="720"/>
      </w:tabs>
      <w:ind w:left="720" w:hanging="720"/>
    </w:pPr>
  </w:style>
  <w:style w:type="paragraph" w:styleId="ListBullet5">
    <w:name w:val="List Bullet 5"/>
    <w:basedOn w:val="Normal"/>
    <w:rsid w:val="00DF1B35"/>
    <w:pPr>
      <w:tabs>
        <w:tab w:val="num" w:pos="720"/>
      </w:tabs>
      <w:ind w:left="720" w:hanging="720"/>
    </w:pPr>
  </w:style>
  <w:style w:type="paragraph" w:styleId="ListContinue">
    <w:name w:val="List Continue"/>
    <w:basedOn w:val="Normal"/>
    <w:rsid w:val="00DF1B35"/>
    <w:pPr>
      <w:spacing w:after="120"/>
      <w:ind w:left="283"/>
    </w:pPr>
  </w:style>
  <w:style w:type="paragraph" w:styleId="ListContinue2">
    <w:name w:val="List Continue 2"/>
    <w:basedOn w:val="Normal"/>
    <w:rsid w:val="00DF1B35"/>
    <w:pPr>
      <w:spacing w:after="120"/>
      <w:ind w:left="566"/>
    </w:pPr>
  </w:style>
  <w:style w:type="paragraph" w:styleId="ListContinue3">
    <w:name w:val="List Continue 3"/>
    <w:basedOn w:val="Normal"/>
    <w:rsid w:val="00DF1B35"/>
    <w:pPr>
      <w:spacing w:after="120"/>
      <w:ind w:left="849"/>
    </w:pPr>
  </w:style>
  <w:style w:type="paragraph" w:styleId="ListContinue4">
    <w:name w:val="List Continue 4"/>
    <w:basedOn w:val="Normal"/>
    <w:rsid w:val="00DF1B35"/>
    <w:pPr>
      <w:spacing w:after="120"/>
      <w:ind w:left="1132"/>
    </w:pPr>
  </w:style>
  <w:style w:type="paragraph" w:styleId="ListContinue5">
    <w:name w:val="List Continue 5"/>
    <w:basedOn w:val="Normal"/>
    <w:rsid w:val="00DF1B35"/>
    <w:pPr>
      <w:spacing w:after="120"/>
      <w:ind w:left="1415"/>
    </w:pPr>
  </w:style>
  <w:style w:type="paragraph" w:styleId="ListNumber">
    <w:name w:val="List Number"/>
    <w:basedOn w:val="Normal"/>
    <w:rsid w:val="00DF1B35"/>
    <w:pPr>
      <w:tabs>
        <w:tab w:val="num" w:pos="720"/>
      </w:tabs>
      <w:ind w:left="720" w:hanging="720"/>
    </w:pPr>
  </w:style>
  <w:style w:type="paragraph" w:styleId="ListNumber2">
    <w:name w:val="List Number 2"/>
    <w:basedOn w:val="Normal"/>
    <w:rsid w:val="00DF1B35"/>
    <w:pPr>
      <w:tabs>
        <w:tab w:val="num" w:pos="720"/>
      </w:tabs>
      <w:ind w:left="720" w:hanging="720"/>
    </w:pPr>
  </w:style>
  <w:style w:type="paragraph" w:styleId="ListNumber3">
    <w:name w:val="List Number 3"/>
    <w:basedOn w:val="Normal"/>
    <w:rsid w:val="00DF1B35"/>
    <w:pPr>
      <w:tabs>
        <w:tab w:val="num" w:pos="720"/>
      </w:tabs>
      <w:ind w:left="720" w:hanging="720"/>
    </w:pPr>
  </w:style>
  <w:style w:type="paragraph" w:styleId="ListNumber4">
    <w:name w:val="List Number 4"/>
    <w:basedOn w:val="Normal"/>
    <w:rsid w:val="00DF1B35"/>
    <w:pPr>
      <w:tabs>
        <w:tab w:val="num" w:pos="720"/>
      </w:tabs>
      <w:ind w:left="720" w:hanging="720"/>
    </w:pPr>
  </w:style>
  <w:style w:type="paragraph" w:styleId="ListNumber5">
    <w:name w:val="List Number 5"/>
    <w:basedOn w:val="Normal"/>
    <w:rsid w:val="00DF1B35"/>
    <w:pPr>
      <w:tabs>
        <w:tab w:val="num" w:pos="720"/>
      </w:tabs>
      <w:ind w:left="720" w:hanging="720"/>
    </w:pPr>
  </w:style>
  <w:style w:type="paragraph" w:styleId="MacroText">
    <w:name w:val="macro"/>
    <w:link w:val="MacroTextChar"/>
    <w:rsid w:val="00DF1B3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DF1B35"/>
    <w:rPr>
      <w:rFonts w:ascii="Courier New" w:eastAsia="Times New Roman" w:hAnsi="Courier New" w:cs="Courier New"/>
      <w:sz w:val="20"/>
      <w:szCs w:val="20"/>
      <w:lang w:eastAsia="en-AU"/>
    </w:rPr>
  </w:style>
  <w:style w:type="paragraph" w:styleId="MessageHeader">
    <w:name w:val="Message Header"/>
    <w:basedOn w:val="Normal"/>
    <w:link w:val="MessageHeaderChar"/>
    <w:rsid w:val="00DF1B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F1B35"/>
    <w:rPr>
      <w:rFonts w:ascii="Arial" w:eastAsia="Times New Roman" w:hAnsi="Arial" w:cs="Arial"/>
      <w:sz w:val="24"/>
      <w:szCs w:val="24"/>
      <w:shd w:val="pct20" w:color="auto" w:fill="auto"/>
      <w:lang w:eastAsia="en-AU"/>
    </w:rPr>
  </w:style>
  <w:style w:type="paragraph" w:styleId="NormalWeb">
    <w:name w:val="Normal (Web)"/>
    <w:basedOn w:val="Normal"/>
    <w:rsid w:val="00DF1B35"/>
  </w:style>
  <w:style w:type="paragraph" w:styleId="NormalIndent">
    <w:name w:val="Normal Indent"/>
    <w:basedOn w:val="Normal"/>
    <w:rsid w:val="00DF1B35"/>
    <w:pPr>
      <w:ind w:left="720"/>
    </w:pPr>
  </w:style>
  <w:style w:type="paragraph" w:styleId="PlainText">
    <w:name w:val="Plain Text"/>
    <w:basedOn w:val="Normal"/>
    <w:link w:val="PlainTextChar"/>
    <w:rsid w:val="00DF1B35"/>
    <w:rPr>
      <w:rFonts w:ascii="Courier New" w:hAnsi="Courier New" w:cs="Courier New"/>
      <w:sz w:val="20"/>
      <w:szCs w:val="20"/>
    </w:rPr>
  </w:style>
  <w:style w:type="character" w:customStyle="1" w:styleId="PlainTextChar">
    <w:name w:val="Plain Text Char"/>
    <w:basedOn w:val="DefaultParagraphFont"/>
    <w:link w:val="PlainText"/>
    <w:rsid w:val="00DF1B35"/>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DF1B35"/>
  </w:style>
  <w:style w:type="character" w:customStyle="1" w:styleId="SalutationChar">
    <w:name w:val="Salutation Char"/>
    <w:basedOn w:val="DefaultParagraphFont"/>
    <w:link w:val="Salutation"/>
    <w:rsid w:val="00DF1B35"/>
    <w:rPr>
      <w:rFonts w:ascii="Times New Roman" w:eastAsia="Times New Roman" w:hAnsi="Times New Roman" w:cs="Times New Roman"/>
      <w:sz w:val="24"/>
      <w:szCs w:val="24"/>
      <w:lang w:eastAsia="en-AU"/>
    </w:rPr>
  </w:style>
  <w:style w:type="character" w:styleId="Strong">
    <w:name w:val="Strong"/>
    <w:qFormat/>
    <w:rsid w:val="00DF1B35"/>
    <w:rPr>
      <w:b/>
      <w:bCs/>
    </w:rPr>
  </w:style>
  <w:style w:type="paragraph" w:styleId="Subtitle">
    <w:name w:val="Subtitle"/>
    <w:basedOn w:val="Normal"/>
    <w:link w:val="SubtitleChar"/>
    <w:qFormat/>
    <w:rsid w:val="00DF1B35"/>
    <w:pPr>
      <w:spacing w:after="60"/>
      <w:jc w:val="center"/>
      <w:outlineLvl w:val="1"/>
    </w:pPr>
    <w:rPr>
      <w:rFonts w:ascii="Arial" w:hAnsi="Arial" w:cs="Arial"/>
    </w:rPr>
  </w:style>
  <w:style w:type="character" w:customStyle="1" w:styleId="SubtitleChar">
    <w:name w:val="Subtitle Char"/>
    <w:basedOn w:val="DefaultParagraphFont"/>
    <w:link w:val="Subtitle"/>
    <w:rsid w:val="00DF1B35"/>
    <w:rPr>
      <w:rFonts w:ascii="Arial" w:eastAsia="Times New Roman" w:hAnsi="Arial" w:cs="Arial"/>
      <w:sz w:val="24"/>
      <w:szCs w:val="24"/>
      <w:lang w:eastAsia="en-AU"/>
    </w:rPr>
  </w:style>
  <w:style w:type="table" w:styleId="Table3Deffects1">
    <w:name w:val="Table 3D effects 1"/>
    <w:basedOn w:val="TableNormal"/>
    <w:rsid w:val="00DF1B35"/>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F1B35"/>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F1B3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F1B35"/>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F1B35"/>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F1B35"/>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F1B3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F1B35"/>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F1B35"/>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F1B35"/>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F1B35"/>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F1B35"/>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F1B35"/>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F1B35"/>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F1B35"/>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F1B35"/>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F1B35"/>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F1B3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F1B35"/>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F1B3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F1B35"/>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F1B3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F1B3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F1B35"/>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F1B35"/>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F1B35"/>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F1B35"/>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F1B35"/>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F1B3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F1B3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F1B35"/>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F1B35"/>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F1B35"/>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F1B35"/>
    <w:pPr>
      <w:ind w:left="240" w:hanging="240"/>
    </w:pPr>
  </w:style>
  <w:style w:type="paragraph" w:styleId="TableofFigures">
    <w:name w:val="table of figures"/>
    <w:basedOn w:val="Normal"/>
    <w:next w:val="Normal"/>
    <w:rsid w:val="00DF1B35"/>
    <w:pPr>
      <w:ind w:left="480" w:hanging="480"/>
    </w:pPr>
  </w:style>
  <w:style w:type="table" w:styleId="TableProfessional">
    <w:name w:val="Table Professional"/>
    <w:basedOn w:val="TableNormal"/>
    <w:rsid w:val="00DF1B3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F1B35"/>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F1B35"/>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F1B3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F1B35"/>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F1B35"/>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F1B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F1B35"/>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F1B35"/>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F1B35"/>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F1B35"/>
    <w:pPr>
      <w:spacing w:before="120"/>
    </w:pPr>
    <w:rPr>
      <w:rFonts w:ascii="Arial" w:hAnsi="Arial" w:cs="Arial"/>
      <w:b/>
      <w:bCs/>
    </w:rPr>
  </w:style>
  <w:style w:type="character" w:customStyle="1" w:styleId="CharSchText">
    <w:name w:val="CharSchText"/>
    <w:rsid w:val="00DF1B35"/>
  </w:style>
  <w:style w:type="paragraph" w:customStyle="1" w:styleId="ScheduleDivision">
    <w:name w:val="Schedule Division"/>
    <w:basedOn w:val="Normal"/>
    <w:next w:val="ScheduleHeading"/>
    <w:rsid w:val="00DF1B35"/>
    <w:pPr>
      <w:keepNext/>
      <w:spacing w:before="360"/>
      <w:ind w:left="1559" w:hanging="1559"/>
    </w:pPr>
    <w:rPr>
      <w:rFonts w:ascii="Arial" w:hAnsi="Arial"/>
      <w:b/>
      <w:lang w:eastAsia="en-US"/>
    </w:rPr>
  </w:style>
  <w:style w:type="paragraph" w:customStyle="1" w:styleId="TOC10">
    <w:name w:val="TOC 10"/>
    <w:basedOn w:val="TOC5"/>
    <w:rsid w:val="00DF1B35"/>
  </w:style>
  <w:style w:type="paragraph" w:customStyle="1" w:styleId="MadeunderText">
    <w:name w:val="MadeunderText"/>
    <w:basedOn w:val="Normal"/>
    <w:next w:val="Normal"/>
    <w:rsid w:val="00DF1B35"/>
    <w:pPr>
      <w:spacing w:before="240" w:line="260" w:lineRule="atLeast"/>
    </w:pPr>
  </w:style>
  <w:style w:type="paragraph" w:customStyle="1" w:styleId="FooterCitation">
    <w:name w:val="FooterCitation"/>
    <w:basedOn w:val="Footer"/>
    <w:rsid w:val="00DF1B35"/>
    <w:pPr>
      <w:spacing w:before="20" w:line="240" w:lineRule="exact"/>
      <w:jc w:val="center"/>
    </w:pPr>
    <w:rPr>
      <w:i/>
    </w:rPr>
  </w:style>
  <w:style w:type="numbering" w:styleId="111111">
    <w:name w:val="Outline List 2"/>
    <w:basedOn w:val="NoList"/>
    <w:rsid w:val="00DF1B35"/>
    <w:pPr>
      <w:numPr>
        <w:numId w:val="1"/>
      </w:numPr>
    </w:pPr>
  </w:style>
  <w:style w:type="numbering" w:styleId="1ai">
    <w:name w:val="Outline List 1"/>
    <w:basedOn w:val="NoList"/>
    <w:rsid w:val="00DF1B35"/>
    <w:pPr>
      <w:numPr>
        <w:numId w:val="2"/>
      </w:numPr>
    </w:pPr>
  </w:style>
  <w:style w:type="numbering" w:styleId="ArticleSection">
    <w:name w:val="Outline List 3"/>
    <w:basedOn w:val="NoList"/>
    <w:rsid w:val="00DF1B35"/>
    <w:pPr>
      <w:numPr>
        <w:numId w:val="3"/>
      </w:numPr>
    </w:pPr>
  </w:style>
  <w:style w:type="paragraph" w:customStyle="1" w:styleId="Rx2">
    <w:name w:val="Rx(2)"/>
    <w:aliases w:val="Subclause (2)"/>
    <w:basedOn w:val="Normal"/>
    <w:rsid w:val="00DF1B35"/>
    <w:pPr>
      <w:spacing w:before="180" w:line="260" w:lineRule="exact"/>
      <w:ind w:left="1134" w:hanging="1134"/>
      <w:jc w:val="both"/>
    </w:pPr>
    <w:rPr>
      <w:lang w:eastAsia="en-US"/>
    </w:rPr>
  </w:style>
  <w:style w:type="paragraph" w:customStyle="1" w:styleId="Rxa">
    <w:name w:val="Rx(a)"/>
    <w:aliases w:val="Cardpara"/>
    <w:basedOn w:val="Normal"/>
    <w:rsid w:val="00DF1B3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DF1B3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DF1B3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DF1B3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DF1B35"/>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DF1B35"/>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DF1B35"/>
    <w:pPr>
      <w:spacing w:before="120" w:line="260" w:lineRule="exact"/>
      <w:ind w:left="1134" w:hanging="1134"/>
      <w:jc w:val="both"/>
    </w:pPr>
    <w:rPr>
      <w:lang w:eastAsia="en-US"/>
    </w:rPr>
  </w:style>
  <w:style w:type="paragraph" w:customStyle="1" w:styleId="RxDef">
    <w:name w:val="Rx.Def"/>
    <w:aliases w:val="MDefinition"/>
    <w:basedOn w:val="Normal"/>
    <w:rsid w:val="00DF1B35"/>
    <w:pPr>
      <w:spacing w:before="80" w:line="260" w:lineRule="exact"/>
      <w:ind w:left="1134"/>
      <w:jc w:val="both"/>
    </w:pPr>
    <w:rPr>
      <w:lang w:eastAsia="en-US"/>
    </w:rPr>
  </w:style>
  <w:style w:type="paragraph" w:customStyle="1" w:styleId="RxN">
    <w:name w:val="Rx.N"/>
    <w:aliases w:val="MNote"/>
    <w:basedOn w:val="Normal"/>
    <w:rsid w:val="00DF1B35"/>
    <w:pPr>
      <w:spacing w:before="120" w:line="220" w:lineRule="exact"/>
      <w:ind w:left="1134"/>
      <w:jc w:val="both"/>
    </w:pPr>
    <w:rPr>
      <w:sz w:val="20"/>
      <w:lang w:eastAsia="en-US"/>
    </w:rPr>
  </w:style>
  <w:style w:type="paragraph" w:customStyle="1" w:styleId="RxSC">
    <w:name w:val="Rx.SC"/>
    <w:aliases w:val="Subclass"/>
    <w:basedOn w:val="Normal"/>
    <w:next w:val="Rx1"/>
    <w:rsid w:val="00DF1B35"/>
    <w:pPr>
      <w:spacing w:before="360"/>
      <w:ind w:left="2835" w:hanging="2835"/>
    </w:pPr>
    <w:rPr>
      <w:rFonts w:ascii="Arial" w:hAnsi="Arial"/>
      <w:b/>
      <w:sz w:val="28"/>
      <w:lang w:eastAsia="en-US"/>
    </w:rPr>
  </w:style>
  <w:style w:type="paragraph" w:customStyle="1" w:styleId="ZRx2">
    <w:name w:val="ZRx(2)"/>
    <w:basedOn w:val="Rx2"/>
    <w:rsid w:val="00DF1B35"/>
    <w:pPr>
      <w:keepNext/>
    </w:pPr>
  </w:style>
  <w:style w:type="paragraph" w:customStyle="1" w:styleId="ZRxA">
    <w:name w:val="ZRx(A)"/>
    <w:basedOn w:val="RxA0"/>
    <w:rsid w:val="00DF1B35"/>
    <w:pPr>
      <w:keepNext/>
    </w:pPr>
  </w:style>
  <w:style w:type="paragraph" w:customStyle="1" w:styleId="ZRxa0">
    <w:name w:val="ZRx(a)"/>
    <w:basedOn w:val="Rxa"/>
    <w:rsid w:val="00DF1B35"/>
    <w:pPr>
      <w:keepNext/>
    </w:pPr>
  </w:style>
  <w:style w:type="paragraph" w:customStyle="1" w:styleId="ZRxi">
    <w:name w:val="ZRx(i)"/>
    <w:basedOn w:val="Rxi"/>
    <w:rsid w:val="00DF1B35"/>
    <w:pPr>
      <w:keepNext/>
    </w:pPr>
  </w:style>
  <w:style w:type="paragraph" w:customStyle="1" w:styleId="ZRx123">
    <w:name w:val="ZRx.123"/>
    <w:basedOn w:val="Rx123"/>
    <w:rsid w:val="00DF1B35"/>
    <w:pPr>
      <w:keepNext/>
    </w:pPr>
  </w:style>
  <w:style w:type="paragraph" w:customStyle="1" w:styleId="TableASLI">
    <w:name w:val="TableASLI"/>
    <w:basedOn w:val="Normal"/>
    <w:rsid w:val="00DF1B35"/>
    <w:pPr>
      <w:spacing w:before="360" w:after="120" w:line="280" w:lineRule="exact"/>
      <w:ind w:left="2410" w:hanging="2410"/>
    </w:pPr>
    <w:rPr>
      <w:rFonts w:ascii="Arial" w:hAnsi="Arial"/>
      <w:b/>
      <w:sz w:val="26"/>
    </w:rPr>
  </w:style>
  <w:style w:type="paragraph" w:customStyle="1" w:styleId="Tablepara">
    <w:name w:val="Table para"/>
    <w:basedOn w:val="Normal"/>
    <w:rsid w:val="00DF1B35"/>
    <w:pPr>
      <w:spacing w:before="40" w:line="240" w:lineRule="exact"/>
      <w:ind w:left="459" w:hanging="425"/>
    </w:pPr>
    <w:rPr>
      <w:sz w:val="22"/>
      <w:szCs w:val="20"/>
    </w:rPr>
  </w:style>
  <w:style w:type="paragraph" w:customStyle="1" w:styleId="Tablesubpara">
    <w:name w:val="Table subpara"/>
    <w:basedOn w:val="Normal"/>
    <w:rsid w:val="00DF1B35"/>
    <w:pPr>
      <w:tabs>
        <w:tab w:val="right" w:pos="884"/>
      </w:tabs>
      <w:spacing w:before="40"/>
      <w:ind w:left="1168" w:hanging="1168"/>
    </w:pPr>
    <w:rPr>
      <w:sz w:val="22"/>
      <w:szCs w:val="20"/>
    </w:rPr>
  </w:style>
  <w:style w:type="paragraph" w:customStyle="1" w:styleId="TableTextpa">
    <w:name w:val="TableText p(a)"/>
    <w:basedOn w:val="TableText"/>
    <w:rsid w:val="00DF1B35"/>
    <w:pPr>
      <w:spacing w:after="0"/>
      <w:ind w:left="318" w:hanging="318"/>
    </w:pPr>
    <w:rPr>
      <w:sz w:val="18"/>
      <w:szCs w:val="20"/>
      <w:lang w:eastAsia="en-AU"/>
    </w:rPr>
  </w:style>
  <w:style w:type="paragraph" w:customStyle="1" w:styleId="top1">
    <w:name w:val="top1"/>
    <w:basedOn w:val="Normal"/>
    <w:rsid w:val="00DF1B35"/>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F1B35"/>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F1B35"/>
    <w:pPr>
      <w:spacing w:before="80"/>
      <w:ind w:left="2410" w:hanging="1168"/>
    </w:pPr>
    <w:rPr>
      <w:rFonts w:ascii="Arial" w:hAnsi="Arial"/>
      <w:sz w:val="18"/>
      <w:lang w:eastAsia="en-US"/>
    </w:rPr>
  </w:style>
  <w:style w:type="paragraph" w:customStyle="1" w:styleId="notetext">
    <w:name w:val="note(text)"/>
    <w:aliases w:val="n"/>
    <w:rsid w:val="00DF1B35"/>
    <w:pPr>
      <w:spacing w:before="122" w:after="0" w:line="198" w:lineRule="exact"/>
      <w:ind w:left="1985" w:hanging="851"/>
    </w:pPr>
    <w:rPr>
      <w:rFonts w:ascii="Times New Roman" w:eastAsia="Times New Roman" w:hAnsi="Times New Roman" w:cs="Times New Roman"/>
      <w:sz w:val="18"/>
      <w:szCs w:val="24"/>
      <w:lang w:eastAsia="en-AU"/>
    </w:rPr>
  </w:style>
  <w:style w:type="paragraph" w:customStyle="1" w:styleId="FooterPageOdd">
    <w:name w:val="FooterPageOdd"/>
    <w:basedOn w:val="Footer"/>
    <w:rsid w:val="00DF1B35"/>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F1B35"/>
    <w:pPr>
      <w:jc w:val="left"/>
    </w:pPr>
  </w:style>
  <w:style w:type="paragraph" w:customStyle="1" w:styleId="endnotes0">
    <w:name w:val="endnotes"/>
    <w:basedOn w:val="Normal"/>
    <w:rsid w:val="00DF1B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eader" Target="header9.xml"/><Relationship Id="rId36" Type="http://schemas.openxmlformats.org/officeDocument/2006/relationships/footer" Target="footer10.xml"/><Relationship Id="rId10" Type="http://schemas.openxmlformats.org/officeDocument/2006/relationships/webSettings" Target="webSettings.xml"/><Relationship Id="rId19" Type="http://schemas.openxmlformats.org/officeDocument/2006/relationships/hyperlink" Target="http://www.acma.gov.au" TargetMode="Externa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KNAH4PPFC442-3114-896</_dlc_DocId>
    <_dlc_DocIdUrl xmlns="6db8f3c6-01a1-4322-b043-a3b2a190f7a8">
      <Url>http://collaboration/organisation/Auth/Chair/Auth/_layouts/DocIdRedir.aspx?ID=KNAH4PPFC442-3114-896</Url>
      <Description>KNAH4PPFC442-3114-896</Description>
    </_dlc_DocIdUrl>
    <Record_x0020_Number xmlns="83630db1-6fc2-4dfd-b3fe-d61d34e1440c" xsi:nil="true"/>
    <Legacy_x0020_Record_x0020_Number xmlns="83630db1-6fc2-4dfd-b3fe-d61d34e1440c" xsi:nil="true"/>
    <IconOverlay xmlns="http://schemas.microsoft.com/sharepoint/v4" xsi:nil="true"/>
    <Category xmlns="5e268b55-9e20-462b-aba6-694451a37717">(none)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033047a-93aa-421b-8aef-52cbfb63cf36" ContentTypeId="0x01010070E27D6A746B5B48ADF22C2128054D55" PreviousValue="false"/>
</file>

<file path=customXml/item5.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CA8B2-2692-4B50-97E6-61FF22686225}">
  <ds:schemaRef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sharepoint/v4"/>
    <ds:schemaRef ds:uri="http://purl.org/dc/terms/"/>
    <ds:schemaRef ds:uri="5e268b55-9e20-462b-aba6-694451a37717"/>
    <ds:schemaRef ds:uri="6db8f3c6-01a1-4322-b043-a3b2a190f7a8"/>
    <ds:schemaRef ds:uri="83630db1-6fc2-4dfd-b3fe-d61d34e1440c"/>
  </ds:schemaRefs>
</ds:datastoreItem>
</file>

<file path=customXml/itemProps2.xml><?xml version="1.0" encoding="utf-8"?>
<ds:datastoreItem xmlns:ds="http://schemas.openxmlformats.org/officeDocument/2006/customXml" ds:itemID="{5BD1FA6B-6089-43E2-AEAE-9154280D559F}">
  <ds:schemaRefs>
    <ds:schemaRef ds:uri="http://schemas.microsoft.com/sharepoint/v3/contenttype/forms"/>
  </ds:schemaRefs>
</ds:datastoreItem>
</file>

<file path=customXml/itemProps3.xml><?xml version="1.0" encoding="utf-8"?>
<ds:datastoreItem xmlns:ds="http://schemas.openxmlformats.org/officeDocument/2006/customXml" ds:itemID="{F262E38A-7C8A-450D-A43F-06CE437BF2AB}">
  <ds:schemaRefs>
    <ds:schemaRef ds:uri="http://schemas.microsoft.com/sharepoint/events"/>
  </ds:schemaRefs>
</ds:datastoreItem>
</file>

<file path=customXml/itemProps4.xml><?xml version="1.0" encoding="utf-8"?>
<ds:datastoreItem xmlns:ds="http://schemas.openxmlformats.org/officeDocument/2006/customXml" ds:itemID="{92609F49-0DAC-4977-9DE5-C1052B600D35}">
  <ds:schemaRefs>
    <ds:schemaRef ds:uri="Microsoft.SharePoint.Taxonomy.ContentTypeSync"/>
  </ds:schemaRefs>
</ds:datastoreItem>
</file>

<file path=customXml/itemProps5.xml><?xml version="1.0" encoding="utf-8"?>
<ds:datastoreItem xmlns:ds="http://schemas.openxmlformats.org/officeDocument/2006/customXml" ds:itemID="{FDC6B843-A396-439E-9AA1-B79C76765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B6E146-DDF9-4E73-AE55-35A782AE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4818</Words>
  <Characters>27464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Vaudrey</dc:creator>
  <cp:keywords/>
  <dc:description/>
  <cp:lastModifiedBy>Helen Turnbull</cp:lastModifiedBy>
  <cp:revision>4</cp:revision>
  <cp:lastPrinted>2015-08-11T00:52:00Z</cp:lastPrinted>
  <dcterms:created xsi:type="dcterms:W3CDTF">2015-08-31T00:38:00Z</dcterms:created>
  <dcterms:modified xsi:type="dcterms:W3CDTF">2015-09-08T05:38:00Z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8890aa04-13e4-4350-a634-70b8bbeaa1f6</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ActiveItemMoved">
    <vt:lpwstr/>
  </property>
  <property fmtid="{D5CDD505-2E9C-101B-9397-08002B2CF9AE}" pid="8" name="RecordPoint_SubmissionCompleted">
    <vt:lpwstr/>
  </property>
  <property fmtid="{D5CDD505-2E9C-101B-9397-08002B2CF9AE}" pid="9" name="RecordPoint_ActiveItemUniqueId">
    <vt:lpwstr>{8890aa04-13e4-4350-a634-70b8bbeaa1f6}</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