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4C07" w14:textId="77777777" w:rsidR="006E559D" w:rsidRDefault="00C56F0E">
      <w:pPr>
        <w:spacing w:line="1800" w:lineRule="atLeast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 wp14:anchorId="646D3B86" wp14:editId="4D916742">
            <wp:extent cx="1390015" cy="1104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70ED" w14:textId="437C1BB1" w:rsidR="006E559D" w:rsidRDefault="006E559D">
      <w:pPr>
        <w:pStyle w:val="Title"/>
        <w:pBdr>
          <w:bottom w:val="single" w:sz="4" w:space="3" w:color="auto"/>
        </w:pBdr>
        <w:spacing w:before="480"/>
      </w:pPr>
      <w:bookmarkStart w:id="0" w:name="Citation"/>
      <w:proofErr w:type="spellStart"/>
      <w:r>
        <w:t>Radiocommunications</w:t>
      </w:r>
      <w:proofErr w:type="spellEnd"/>
      <w:r>
        <w:t xml:space="preserve"> (27 MHz </w:t>
      </w:r>
      <w:proofErr w:type="spellStart"/>
      <w:r>
        <w:t>Handphone</w:t>
      </w:r>
      <w:proofErr w:type="spellEnd"/>
      <w:r>
        <w:t xml:space="preserve"> Stations) Class Licence </w:t>
      </w:r>
      <w:bookmarkEnd w:id="0"/>
      <w:r w:rsidR="00AE434E">
        <w:t>2015</w:t>
      </w:r>
    </w:p>
    <w:p w14:paraId="0513F969" w14:textId="4084CC75" w:rsidR="006E559D" w:rsidRDefault="006E559D">
      <w:pPr>
        <w:spacing w:before="360"/>
        <w:jc w:val="both"/>
      </w:pPr>
      <w:r>
        <w:t xml:space="preserve">The AUSTRALIAN COMMUNICATIONS </w:t>
      </w:r>
      <w:r w:rsidR="00AE434E">
        <w:t xml:space="preserve">AND MEDIA </w:t>
      </w:r>
      <w:r>
        <w:t xml:space="preserve">AUTHORITY issues this Class Licence under subsection 132 (1) of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Act 1992</w:t>
      </w:r>
      <w:r>
        <w:t>.</w:t>
      </w:r>
    </w:p>
    <w:p w14:paraId="36C08172" w14:textId="77777777" w:rsidR="009E1F3C" w:rsidRDefault="009E1F3C">
      <w:pPr>
        <w:tabs>
          <w:tab w:val="left" w:pos="3119"/>
        </w:tabs>
        <w:spacing w:before="300" w:after="600" w:line="300" w:lineRule="atLeast"/>
      </w:pPr>
    </w:p>
    <w:p w14:paraId="6A53E54B" w14:textId="4DAB4C39" w:rsidR="006E559D" w:rsidRDefault="006E559D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005861">
        <w:t xml:space="preserve">  </w:t>
      </w:r>
      <w:r w:rsidR="003A0F09" w:rsidRPr="003A0F09">
        <w:rPr>
          <w:i/>
        </w:rPr>
        <w:t>4</w:t>
      </w:r>
      <w:r w:rsidR="003A0F09" w:rsidRPr="003A0F09">
        <w:rPr>
          <w:i/>
          <w:vertAlign w:val="superscript"/>
        </w:rPr>
        <w:t>th</w:t>
      </w:r>
      <w:r w:rsidR="003A0F09" w:rsidRPr="003A0F09">
        <w:rPr>
          <w:i/>
        </w:rPr>
        <w:t xml:space="preserve"> September 2015</w:t>
      </w:r>
    </w:p>
    <w:p w14:paraId="2F905845" w14:textId="2A2B2859" w:rsidR="006E559D" w:rsidRDefault="003A0F09">
      <w:pPr>
        <w:tabs>
          <w:tab w:val="left" w:pos="3119"/>
        </w:tabs>
        <w:spacing w:after="600" w:line="300" w:lineRule="atLeast"/>
        <w:jc w:val="right"/>
      </w:pPr>
      <w:r w:rsidRPr="003A0F09">
        <w:rPr>
          <w:i/>
        </w:rPr>
        <w:t>Chris Chapman</w:t>
      </w:r>
      <w:r>
        <w:t xml:space="preserve"> </w:t>
      </w:r>
      <w:r w:rsidR="00391AD3">
        <w:br/>
      </w:r>
      <w:r>
        <w:t xml:space="preserve">[signed] </w:t>
      </w:r>
      <w:r w:rsidR="00391AD3">
        <w:br/>
      </w:r>
      <w:r w:rsidR="00AE434E">
        <w:t>Member</w:t>
      </w:r>
    </w:p>
    <w:p w14:paraId="4F9729BB" w14:textId="26ED83FC" w:rsidR="006E559D" w:rsidRDefault="00AE434E">
      <w:pPr>
        <w:tabs>
          <w:tab w:val="left" w:pos="3119"/>
        </w:tabs>
        <w:spacing w:before="600" w:line="300" w:lineRule="atLeast"/>
        <w:jc w:val="right"/>
      </w:pPr>
      <w:r>
        <w:br/>
      </w:r>
      <w:r>
        <w:br/>
      </w:r>
      <w:r w:rsidR="003A0F09" w:rsidRPr="003A0F09">
        <w:rPr>
          <w:i/>
        </w:rPr>
        <w:t>Richard Bean</w:t>
      </w:r>
      <w:r w:rsidR="003A0F09">
        <w:t xml:space="preserve"> </w:t>
      </w:r>
      <w:r w:rsidR="00391AD3">
        <w:br/>
      </w:r>
      <w:r w:rsidR="003A0F09">
        <w:t xml:space="preserve">[signed] </w:t>
      </w:r>
      <w:r w:rsidR="00391AD3">
        <w:br/>
      </w:r>
      <w:r>
        <w:t xml:space="preserve">Member / </w:t>
      </w:r>
      <w:r w:rsidRPr="003A0F09">
        <w:rPr>
          <w:strike/>
        </w:rPr>
        <w:t>General Manager</w:t>
      </w:r>
    </w:p>
    <w:p w14:paraId="7528BC87" w14:textId="77777777" w:rsidR="006E559D" w:rsidRDefault="006E559D">
      <w:pPr>
        <w:tabs>
          <w:tab w:val="left" w:pos="3969"/>
        </w:tabs>
        <w:spacing w:before="480" w:line="300" w:lineRule="atLeast"/>
      </w:pPr>
    </w:p>
    <w:p w14:paraId="36D57FD4" w14:textId="77189A29" w:rsidR="006E559D" w:rsidRDefault="006E559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 xml:space="preserve">Australian Communications </w:t>
      </w:r>
      <w:r w:rsidR="00AE434E">
        <w:t xml:space="preserve">and Media </w:t>
      </w:r>
      <w:r>
        <w:t>Authority</w:t>
      </w:r>
      <w:bookmarkEnd w:id="1"/>
    </w:p>
    <w:p w14:paraId="3795BA5D" w14:textId="77777777" w:rsidR="006E559D" w:rsidRDefault="006E559D">
      <w:pPr>
        <w:pStyle w:val="SigningPageBreak"/>
        <w:sectPr w:rsidR="006E559D">
          <w:footerReference w:type="even" r:id="rId13"/>
          <w:footerReference w:type="default" r:id="rId14"/>
          <w:pgSz w:w="11906" w:h="16838" w:code="9"/>
          <w:pgMar w:top="1440" w:right="1797" w:bottom="1440" w:left="1797" w:header="709" w:footer="709" w:gutter="0"/>
          <w:cols w:space="709"/>
          <w:titlePg/>
        </w:sectPr>
      </w:pPr>
    </w:p>
    <w:p w14:paraId="336755F2" w14:textId="77777777" w:rsidR="006E559D" w:rsidRDefault="006E559D">
      <w:pPr>
        <w:pStyle w:val="ContentsSectionBreak"/>
        <w:sectPr w:rsidR="006E559D">
          <w:headerReference w:type="even" r:id="rId15"/>
          <w:head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40" w:right="1797" w:bottom="1440" w:left="1797" w:header="709" w:footer="709" w:gutter="0"/>
          <w:cols w:space="709"/>
          <w:formProt w:val="0"/>
          <w:titlePg/>
        </w:sectPr>
      </w:pPr>
    </w:p>
    <w:p w14:paraId="1E58EEDF" w14:textId="77777777" w:rsidR="006E559D" w:rsidRDefault="006E559D">
      <w:pPr>
        <w:pStyle w:val="Header"/>
        <w:rPr>
          <w:sz w:val="16"/>
          <w:szCs w:val="16"/>
        </w:rPr>
      </w:pPr>
      <w:r>
        <w:rPr>
          <w:rStyle w:val="CharPartNo"/>
          <w:sz w:val="16"/>
          <w:szCs w:val="16"/>
        </w:rPr>
        <w:lastRenderedPageBreak/>
        <w:t xml:space="preserve"> </w:t>
      </w:r>
      <w:r>
        <w:rPr>
          <w:rStyle w:val="CharPartText"/>
          <w:sz w:val="16"/>
          <w:szCs w:val="16"/>
        </w:rPr>
        <w:t xml:space="preserve"> </w:t>
      </w:r>
    </w:p>
    <w:p w14:paraId="54D09F34" w14:textId="77777777" w:rsidR="006E559D" w:rsidRDefault="006E559D">
      <w:pPr>
        <w:pStyle w:val="Header"/>
        <w:rPr>
          <w:sz w:val="16"/>
          <w:szCs w:val="16"/>
        </w:rPr>
      </w:pPr>
      <w:r>
        <w:rPr>
          <w:rStyle w:val="CharDivNo"/>
          <w:sz w:val="16"/>
          <w:szCs w:val="16"/>
        </w:rPr>
        <w:t xml:space="preserve"> </w:t>
      </w:r>
      <w:r>
        <w:rPr>
          <w:rStyle w:val="CharDivText"/>
          <w:sz w:val="16"/>
          <w:szCs w:val="16"/>
        </w:rPr>
        <w:t xml:space="preserve"> </w:t>
      </w:r>
    </w:p>
    <w:p w14:paraId="62785E96" w14:textId="77777777" w:rsidR="006E559D" w:rsidRDefault="006E559D">
      <w:pPr>
        <w:pStyle w:val="HR"/>
      </w:pPr>
      <w:bookmarkStart w:id="2" w:name="_Toc535920700"/>
      <w:r>
        <w:rPr>
          <w:rStyle w:val="CharSectno"/>
        </w:rPr>
        <w:t>1</w:t>
      </w:r>
      <w:r>
        <w:tab/>
        <w:t>Name of Class Licence</w:t>
      </w:r>
      <w:bookmarkEnd w:id="2"/>
    </w:p>
    <w:p w14:paraId="3ED19262" w14:textId="0876F12C" w:rsidR="006E559D" w:rsidRDefault="006E559D">
      <w:pPr>
        <w:pStyle w:val="R1"/>
      </w:pPr>
      <w:r>
        <w:tab/>
      </w:r>
      <w:r>
        <w:tab/>
        <w:t xml:space="preserve">This Class Licence is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(27 MHz </w:t>
      </w:r>
      <w:proofErr w:type="spellStart"/>
      <w:r>
        <w:rPr>
          <w:i/>
          <w:iCs/>
        </w:rPr>
        <w:t>Handphone</w:t>
      </w:r>
      <w:proofErr w:type="spellEnd"/>
      <w:r>
        <w:rPr>
          <w:i/>
          <w:iCs/>
        </w:rPr>
        <w:t xml:space="preserve"> Stations) Class Licence </w:t>
      </w:r>
      <w:r w:rsidR="001271D0">
        <w:rPr>
          <w:i/>
          <w:iCs/>
        </w:rPr>
        <w:t>2015</w:t>
      </w:r>
      <w:r>
        <w:t>.</w:t>
      </w:r>
    </w:p>
    <w:p w14:paraId="08E9970A" w14:textId="560EE592" w:rsidR="006E559D" w:rsidRDefault="006E559D">
      <w:pPr>
        <w:pStyle w:val="HR"/>
      </w:pPr>
      <w:bookmarkStart w:id="3" w:name="_Toc535920701"/>
      <w:r>
        <w:rPr>
          <w:rStyle w:val="CharSectno"/>
        </w:rPr>
        <w:t>2</w:t>
      </w:r>
      <w:r>
        <w:tab/>
      </w:r>
      <w:bookmarkEnd w:id="3"/>
      <w:r w:rsidR="001271D0">
        <w:t>Commencement</w:t>
      </w:r>
    </w:p>
    <w:p w14:paraId="04542185" w14:textId="77777777" w:rsidR="001271D0" w:rsidRDefault="006E559D" w:rsidP="001271D0">
      <w:pPr>
        <w:pStyle w:val="R1"/>
      </w:pPr>
      <w:r>
        <w:tab/>
      </w:r>
      <w:r>
        <w:tab/>
      </w:r>
      <w:r w:rsidR="001271D0">
        <w:t>This Class Licence commences on the later of:</w:t>
      </w:r>
    </w:p>
    <w:p w14:paraId="2A96985A" w14:textId="77777777" w:rsidR="001271D0" w:rsidRDefault="001271D0" w:rsidP="001271D0">
      <w:pPr>
        <w:spacing w:before="120"/>
        <w:ind w:left="993" w:hanging="29"/>
        <w:rPr>
          <w:lang w:eastAsia="en-US"/>
        </w:rPr>
      </w:pPr>
      <w:r>
        <w:rPr>
          <w:lang w:eastAsia="en-US"/>
        </w:rPr>
        <w:t>(a)</w:t>
      </w:r>
      <w:r>
        <w:rPr>
          <w:lang w:eastAsia="en-US"/>
        </w:rPr>
        <w:tab/>
      </w:r>
      <w:proofErr w:type="gramStart"/>
      <w:r>
        <w:rPr>
          <w:lang w:eastAsia="en-US"/>
        </w:rPr>
        <w:t>the</w:t>
      </w:r>
      <w:proofErr w:type="gramEnd"/>
      <w:r>
        <w:rPr>
          <w:lang w:eastAsia="en-US"/>
        </w:rPr>
        <w:t xml:space="preserve"> day of its gazettal; or</w:t>
      </w:r>
    </w:p>
    <w:p w14:paraId="6E5F6E8A" w14:textId="77777777" w:rsidR="001271D0" w:rsidRDefault="001271D0" w:rsidP="001271D0">
      <w:pPr>
        <w:spacing w:before="120"/>
        <w:ind w:left="273" w:firstLine="691"/>
        <w:rPr>
          <w:lang w:eastAsia="en-US"/>
        </w:rPr>
      </w:pPr>
      <w:r>
        <w:rPr>
          <w:lang w:eastAsia="en-US"/>
        </w:rPr>
        <w:t>(b)</w:t>
      </w:r>
      <w:r>
        <w:rPr>
          <w:lang w:eastAsia="en-US"/>
        </w:rPr>
        <w:tab/>
      </w:r>
      <w:proofErr w:type="gramStart"/>
      <w:r>
        <w:rPr>
          <w:lang w:eastAsia="en-US"/>
        </w:rPr>
        <w:t>the</w:t>
      </w:r>
      <w:proofErr w:type="gramEnd"/>
      <w:r>
        <w:rPr>
          <w:lang w:eastAsia="en-US"/>
        </w:rPr>
        <w:t xml:space="preserve"> day after it is registered.</w:t>
      </w:r>
    </w:p>
    <w:p w14:paraId="5E2086A9" w14:textId="77777777" w:rsidR="001271D0" w:rsidRDefault="001271D0" w:rsidP="001271D0">
      <w:pPr>
        <w:pStyle w:val="Note"/>
      </w:pPr>
      <w:r>
        <w:rPr>
          <w:i/>
        </w:rPr>
        <w:t>Note 1</w:t>
      </w:r>
      <w:r>
        <w:t xml:space="preserve"> All legislative instruments and compilations are registered on the Federal Register of Legislative Instruments kept under the </w:t>
      </w:r>
      <w:r>
        <w:rPr>
          <w:i/>
        </w:rPr>
        <w:t>Legislative Instruments Act 2003</w:t>
      </w:r>
      <w:r>
        <w:t xml:space="preserve">.  See </w:t>
      </w:r>
      <w:hyperlink r:id="rId19" w:history="1">
        <w:r w:rsidRPr="005013E1">
          <w:rPr>
            <w:rStyle w:val="Hyperlink"/>
          </w:rPr>
          <w:t>http://www.comlaw.gov.au</w:t>
        </w:r>
      </w:hyperlink>
      <w:r>
        <w:t>.</w:t>
      </w:r>
    </w:p>
    <w:p w14:paraId="20DAFC34" w14:textId="77777777" w:rsidR="001271D0" w:rsidRPr="00C67EFF" w:rsidRDefault="001271D0" w:rsidP="001271D0">
      <w:pPr>
        <w:pStyle w:val="Note"/>
      </w:pPr>
      <w:r>
        <w:rPr>
          <w:i/>
        </w:rPr>
        <w:t xml:space="preserve">Note 2 </w:t>
      </w:r>
      <w:r>
        <w:t xml:space="preserve">Both of the events specified at paragraphs (a) and (b) must occur before the Class Licence can commence. </w:t>
      </w:r>
    </w:p>
    <w:p w14:paraId="7C4FFADF" w14:textId="77777777" w:rsidR="006E559D" w:rsidRDefault="006E559D">
      <w:pPr>
        <w:pStyle w:val="HR"/>
      </w:pPr>
      <w:bookmarkStart w:id="4" w:name="_Toc535920702"/>
      <w:r>
        <w:rPr>
          <w:rStyle w:val="CharSectno"/>
        </w:rPr>
        <w:t>3</w:t>
      </w:r>
      <w:r>
        <w:tab/>
        <w:t>Definitions</w:t>
      </w:r>
      <w:bookmarkEnd w:id="4"/>
    </w:p>
    <w:p w14:paraId="23583CFE" w14:textId="77777777" w:rsidR="006E559D" w:rsidRDefault="006E559D">
      <w:pPr>
        <w:pStyle w:val="R1"/>
      </w:pPr>
      <w:r>
        <w:tab/>
      </w:r>
      <w:r w:rsidR="00443CCC">
        <w:t>(1)</w:t>
      </w:r>
      <w:r>
        <w:tab/>
        <w:t>In this Class Licence:</w:t>
      </w:r>
    </w:p>
    <w:p w14:paraId="0B28990B" w14:textId="77777777" w:rsidR="006E559D" w:rsidRDefault="006E559D">
      <w:pPr>
        <w:pStyle w:val="definition"/>
      </w:pPr>
      <w:r>
        <w:rPr>
          <w:b/>
          <w:bCs/>
          <w:i/>
          <w:iCs/>
        </w:rPr>
        <w:t>Act</w:t>
      </w:r>
      <w:r>
        <w:rPr>
          <w:i/>
          <w:iCs/>
        </w:rPr>
        <w:t xml:space="preserve"> </w:t>
      </w:r>
      <w:r>
        <w:t xml:space="preserve">means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Act 1992</w:t>
      </w:r>
      <w:r>
        <w:t>.</w:t>
      </w:r>
    </w:p>
    <w:p w14:paraId="2F83FA63" w14:textId="77777777" w:rsidR="006E559D" w:rsidRDefault="006E559D">
      <w:pPr>
        <w:pStyle w:val="definition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device</w:t>
      </w:r>
      <w:proofErr w:type="gramEnd"/>
      <w:r>
        <w:rPr>
          <w:b/>
          <w:bCs/>
          <w:i/>
          <w:iCs/>
          <w:color w:val="000000"/>
        </w:rPr>
        <w:t xml:space="preserve"> compliance day</w:t>
      </w:r>
      <w:r>
        <w:rPr>
          <w:color w:val="000000"/>
        </w:rPr>
        <w:t xml:space="preserve">, for a </w:t>
      </w:r>
      <w:proofErr w:type="spellStart"/>
      <w:r>
        <w:rPr>
          <w:color w:val="000000"/>
        </w:rPr>
        <w:t>handphone</w:t>
      </w:r>
      <w:proofErr w:type="spellEnd"/>
      <w:r>
        <w:rPr>
          <w:color w:val="000000"/>
        </w:rPr>
        <w:t xml:space="preserve"> station, means the most recent of the following days:</w:t>
      </w:r>
    </w:p>
    <w:p w14:paraId="75297510" w14:textId="77777777" w:rsidR="006E559D" w:rsidRDefault="006E559D">
      <w:pPr>
        <w:pStyle w:val="P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handphone</w:t>
      </w:r>
      <w:proofErr w:type="spellEnd"/>
      <w:r>
        <w:t xml:space="preserve"> station was manufactured in Australia — the day the </w:t>
      </w:r>
      <w:proofErr w:type="spellStart"/>
      <w:r>
        <w:t>handphone</w:t>
      </w:r>
      <w:proofErr w:type="spellEnd"/>
      <w:r>
        <w:t xml:space="preserve"> station was manufactured;</w:t>
      </w:r>
    </w:p>
    <w:p w14:paraId="527CE37E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handphone</w:t>
      </w:r>
      <w:proofErr w:type="spellEnd"/>
      <w:r>
        <w:t xml:space="preserve"> station was manufactured overseas and imported — the day it was imported;</w:t>
      </w:r>
    </w:p>
    <w:p w14:paraId="1C303C35" w14:textId="77777777" w:rsidR="006E559D" w:rsidRDefault="006E559D">
      <w:pPr>
        <w:pStyle w:val="P1"/>
      </w:pPr>
      <w:r>
        <w:tab/>
        <w:t>(c)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handphone</w:t>
      </w:r>
      <w:proofErr w:type="spellEnd"/>
      <w:r>
        <w:t xml:space="preserve"> station was altered or modified in a material respect — the day it was altered or modified.</w:t>
      </w:r>
    </w:p>
    <w:p w14:paraId="01827228" w14:textId="77777777" w:rsidR="006E559D" w:rsidRDefault="006E559D">
      <w:pPr>
        <w:pStyle w:val="definition"/>
        <w:rPr>
          <w:color w:val="000000"/>
        </w:rPr>
      </w:pPr>
      <w:proofErr w:type="spellStart"/>
      <w:proofErr w:type="gramStart"/>
      <w:r>
        <w:rPr>
          <w:b/>
          <w:bCs/>
          <w:i/>
          <w:iCs/>
          <w:color w:val="000000"/>
        </w:rPr>
        <w:t>handphone</w:t>
      </w:r>
      <w:proofErr w:type="spellEnd"/>
      <w:proofErr w:type="gramEnd"/>
      <w:r>
        <w:rPr>
          <w:b/>
          <w:bCs/>
          <w:i/>
          <w:iCs/>
          <w:color w:val="000000"/>
        </w:rPr>
        <w:t xml:space="preserve"> station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means a station that:</w:t>
      </w:r>
      <w:bookmarkStart w:id="5" w:name="_GoBack"/>
      <w:bookmarkEnd w:id="5"/>
    </w:p>
    <w:p w14:paraId="04622527" w14:textId="77777777" w:rsidR="006E559D" w:rsidRDefault="006E559D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designed to be carried personally; and</w:t>
      </w:r>
    </w:p>
    <w:p w14:paraId="4437FA9F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uses</w:t>
      </w:r>
      <w:proofErr w:type="gramEnd"/>
      <w:r>
        <w:t xml:space="preserve"> a carrier frequency specified in an item in Schedule 1.</w:t>
      </w:r>
    </w:p>
    <w:p w14:paraId="4F2B9B49" w14:textId="42519C79" w:rsidR="00745035" w:rsidRDefault="00350511" w:rsidP="00D30DCF">
      <w:pPr>
        <w:pStyle w:val="P1"/>
        <w:tabs>
          <w:tab w:val="clear" w:pos="1191"/>
          <w:tab w:val="right" w:pos="851"/>
        </w:tabs>
        <w:spacing w:before="80"/>
        <w:ind w:left="992" w:hanging="992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gramStart"/>
      <w:r w:rsidR="00745035">
        <w:rPr>
          <w:b/>
          <w:bCs/>
          <w:i/>
          <w:iCs/>
        </w:rPr>
        <w:t>industrial</w:t>
      </w:r>
      <w:proofErr w:type="gramEnd"/>
      <w:r w:rsidR="00745035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scientific and medical (ISM) applications</w:t>
      </w:r>
      <w:r w:rsidR="00745035">
        <w:rPr>
          <w:b/>
          <w:bCs/>
          <w:i/>
          <w:iCs/>
        </w:rPr>
        <w:t xml:space="preserve"> </w:t>
      </w:r>
      <w:r w:rsidR="00745035">
        <w:rPr>
          <w:i/>
          <w:iCs/>
        </w:rPr>
        <w:t xml:space="preserve"> </w:t>
      </w:r>
      <w:r w:rsidR="00AF259E">
        <w:t xml:space="preserve">has the meaning given by the </w:t>
      </w:r>
      <w:r w:rsidR="00AF259E" w:rsidRPr="00D30DCF">
        <w:rPr>
          <w:i/>
        </w:rPr>
        <w:t>Australian Radiofrequency Spectrum Plan 2013</w:t>
      </w:r>
      <w:r w:rsidR="00AF259E">
        <w:t>.</w:t>
      </w:r>
    </w:p>
    <w:p w14:paraId="1FED9AE9" w14:textId="287036B5" w:rsidR="006E559D" w:rsidRDefault="006E559D">
      <w:pPr>
        <w:pStyle w:val="Note"/>
      </w:pPr>
      <w:r>
        <w:rPr>
          <w:i/>
          <w:iCs/>
        </w:rPr>
        <w:t>Note</w:t>
      </w:r>
      <w:r>
        <w:t xml:space="preserve">   For definitions of other expressions used in this Class Licence, see the Act, </w:t>
      </w:r>
      <w:r w:rsidR="00D54515">
        <w:t>and</w:t>
      </w:r>
      <w:r w:rsidR="00B034B5">
        <w:t xml:space="preserve"> </w:t>
      </w:r>
      <w:r>
        <w:t xml:space="preserve">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(Interpretation) Determination </w:t>
      </w:r>
      <w:r w:rsidR="00725EEF">
        <w:rPr>
          <w:i/>
          <w:iCs/>
        </w:rPr>
        <w:t>2015</w:t>
      </w:r>
      <w:r w:rsidR="00B034B5">
        <w:t>.</w:t>
      </w:r>
      <w:r w:rsidR="00B034B5">
        <w:rPr>
          <w:iCs/>
        </w:rPr>
        <w:t xml:space="preserve"> </w:t>
      </w:r>
    </w:p>
    <w:p w14:paraId="795C90A4" w14:textId="77777777" w:rsidR="00725EEF" w:rsidRPr="008D11FD" w:rsidRDefault="00725EEF" w:rsidP="00725EEF">
      <w:pPr>
        <w:pStyle w:val="Note"/>
        <w:ind w:hanging="397"/>
        <w:rPr>
          <w:sz w:val="24"/>
        </w:rPr>
      </w:pPr>
      <w:r w:rsidRPr="008A7566">
        <w:rPr>
          <w:sz w:val="24"/>
          <w:lang w:eastAsia="en-US"/>
        </w:rPr>
        <w:t>(</w:t>
      </w:r>
      <w:r>
        <w:rPr>
          <w:sz w:val="24"/>
          <w:lang w:eastAsia="en-US"/>
        </w:rPr>
        <w:t>2</w:t>
      </w:r>
      <w:r w:rsidRPr="008A7566">
        <w:rPr>
          <w:sz w:val="24"/>
          <w:lang w:eastAsia="en-US"/>
        </w:rPr>
        <w:t>)</w:t>
      </w:r>
      <w:r>
        <w:rPr>
          <w:sz w:val="24"/>
          <w:lang w:eastAsia="en-US"/>
        </w:rPr>
        <w:tab/>
      </w:r>
      <w:r w:rsidRPr="008D11FD">
        <w:rPr>
          <w:sz w:val="24"/>
        </w:rPr>
        <w:t xml:space="preserve">In this </w:t>
      </w:r>
      <w:r>
        <w:rPr>
          <w:sz w:val="24"/>
        </w:rPr>
        <w:t>Class Licence</w:t>
      </w:r>
      <w:r w:rsidRPr="008D11FD">
        <w:rPr>
          <w:sz w:val="24"/>
        </w:rPr>
        <w:t>, unless the contrary intention appears, a reference to another legislative instrument is a reference to that other legislative instrument as in force from time to time.</w:t>
      </w:r>
    </w:p>
    <w:p w14:paraId="6F25E607" w14:textId="77777777" w:rsidR="00725EEF" w:rsidRPr="008D11FD" w:rsidRDefault="00725EEF" w:rsidP="00725EEF">
      <w:pPr>
        <w:pStyle w:val="Note"/>
        <w:rPr>
          <w:lang w:eastAsia="en-US"/>
        </w:rPr>
      </w:pPr>
      <w:r w:rsidRPr="008D11FD">
        <w:rPr>
          <w:i/>
          <w:iCs/>
          <w:lang w:eastAsia="en-US"/>
        </w:rPr>
        <w:t>Note 1</w:t>
      </w:r>
      <w:r>
        <w:rPr>
          <w:lang w:eastAsia="en-US"/>
        </w:rPr>
        <w:t> </w:t>
      </w:r>
      <w:r w:rsidRPr="008D11FD">
        <w:rPr>
          <w:lang w:eastAsia="en-US"/>
        </w:rPr>
        <w:t>For references to Commonwealth Acts, see section 10 of the</w:t>
      </w:r>
      <w:r w:rsidRPr="008D11FD">
        <w:rPr>
          <w:i/>
          <w:iCs/>
          <w:lang w:eastAsia="en-US"/>
        </w:rPr>
        <w:t xml:space="preserve"> Acts Interpretation Act 1901</w:t>
      </w:r>
      <w:r w:rsidRPr="008D11FD">
        <w:rPr>
          <w:lang w:eastAsia="en-US"/>
        </w:rPr>
        <w:t xml:space="preserve">; and see also subsection 13(1) of the </w:t>
      </w:r>
      <w:r w:rsidRPr="008D11FD">
        <w:rPr>
          <w:i/>
          <w:iCs/>
          <w:lang w:eastAsia="en-US"/>
        </w:rPr>
        <w:t>Legislative Instruments Act 2003</w:t>
      </w:r>
      <w:r w:rsidRPr="008D11FD">
        <w:rPr>
          <w:lang w:eastAsia="en-US"/>
        </w:rPr>
        <w:t xml:space="preserve"> for the application of the </w:t>
      </w:r>
      <w:r w:rsidRPr="008D11FD">
        <w:rPr>
          <w:i/>
          <w:iCs/>
          <w:lang w:eastAsia="en-US"/>
        </w:rPr>
        <w:t>Acts Interpretation Act 1901</w:t>
      </w:r>
      <w:r w:rsidRPr="008D11FD">
        <w:rPr>
          <w:lang w:eastAsia="en-US"/>
        </w:rPr>
        <w:t xml:space="preserve"> to legislative instruments.</w:t>
      </w:r>
    </w:p>
    <w:p w14:paraId="1BF67D87" w14:textId="77777777" w:rsidR="00725EEF" w:rsidRDefault="00725EEF" w:rsidP="00FE3817">
      <w:pPr>
        <w:pStyle w:val="Note"/>
      </w:pPr>
      <w:r w:rsidRPr="008D11FD">
        <w:rPr>
          <w:i/>
          <w:iCs/>
          <w:lang w:eastAsia="en-US"/>
        </w:rPr>
        <w:t>Note 2</w:t>
      </w:r>
      <w:r w:rsidRPr="008D11FD">
        <w:rPr>
          <w:lang w:eastAsia="en-US"/>
        </w:rPr>
        <w:t xml:space="preserve"> All Commonwealth Acts and legislative instruments are available on the </w:t>
      </w:r>
      <w:proofErr w:type="spellStart"/>
      <w:r w:rsidRPr="008D11FD">
        <w:rPr>
          <w:lang w:eastAsia="en-US"/>
        </w:rPr>
        <w:t>ComLaw</w:t>
      </w:r>
      <w:proofErr w:type="spellEnd"/>
      <w:r w:rsidRPr="008D11FD">
        <w:rPr>
          <w:lang w:eastAsia="en-US"/>
        </w:rPr>
        <w:t xml:space="preserve"> website at http://</w:t>
      </w:r>
      <w:hyperlink r:id="rId20" w:history="1">
        <w:r w:rsidRPr="008D11FD">
          <w:rPr>
            <w:rStyle w:val="Hyperlink"/>
            <w:lang w:eastAsia="en-US"/>
          </w:rPr>
          <w:t>www.comlaw.gov.au</w:t>
        </w:r>
      </w:hyperlink>
      <w:r w:rsidRPr="008D11FD">
        <w:rPr>
          <w:lang w:eastAsia="en-US"/>
        </w:rPr>
        <w:t>.</w:t>
      </w:r>
    </w:p>
    <w:p w14:paraId="5A3A5592" w14:textId="77777777" w:rsidR="006E559D" w:rsidRDefault="006E559D">
      <w:pPr>
        <w:pStyle w:val="HR"/>
      </w:pPr>
      <w:bookmarkStart w:id="6" w:name="_Toc535920703"/>
      <w:r>
        <w:rPr>
          <w:rStyle w:val="CharSectno"/>
        </w:rPr>
        <w:lastRenderedPageBreak/>
        <w:t>4</w:t>
      </w:r>
      <w:r>
        <w:tab/>
        <w:t>Revocation</w:t>
      </w:r>
      <w:bookmarkEnd w:id="6"/>
    </w:p>
    <w:p w14:paraId="0AF19E5B" w14:textId="77777777" w:rsidR="00443CCC" w:rsidRDefault="00443CCC" w:rsidP="00443CCC">
      <w:pPr>
        <w:spacing w:before="120"/>
        <w:ind w:left="964"/>
        <w:rPr>
          <w:lang w:eastAsia="en-US"/>
        </w:rPr>
      </w:pPr>
      <w:r>
        <w:t xml:space="preserve">The </w:t>
      </w:r>
      <w:proofErr w:type="spellStart"/>
      <w:r w:rsidRPr="00EB5E92">
        <w:rPr>
          <w:i/>
        </w:rPr>
        <w:t>Radiocommunications</w:t>
      </w:r>
      <w:proofErr w:type="spellEnd"/>
      <w:r w:rsidRPr="00EB5E92">
        <w:rPr>
          <w:i/>
        </w:rPr>
        <w:t xml:space="preserve"> (27 MHz </w:t>
      </w:r>
      <w:proofErr w:type="spellStart"/>
      <w:r w:rsidRPr="00EB5E92">
        <w:rPr>
          <w:i/>
        </w:rPr>
        <w:t>Handphone</w:t>
      </w:r>
      <w:proofErr w:type="spellEnd"/>
      <w:r w:rsidRPr="00EB5E92">
        <w:rPr>
          <w:i/>
        </w:rPr>
        <w:t xml:space="preserve"> Stations) Class Licence 2002 </w:t>
      </w:r>
      <w:r>
        <w:t>[</w:t>
      </w:r>
      <w:r w:rsidRPr="004135EF">
        <w:t>F2005B00</w:t>
      </w:r>
      <w:r>
        <w:t>237]</w:t>
      </w:r>
      <w:r w:rsidRPr="004135EF">
        <w:t xml:space="preserve"> </w:t>
      </w:r>
      <w:r>
        <w:t>is revoked.</w:t>
      </w:r>
    </w:p>
    <w:p w14:paraId="7254B424" w14:textId="61C9A5BA" w:rsidR="006E559D" w:rsidRDefault="006E559D">
      <w:pPr>
        <w:pStyle w:val="HR"/>
      </w:pPr>
      <w:bookmarkStart w:id="7" w:name="_Toc535920704"/>
      <w:r>
        <w:rPr>
          <w:rStyle w:val="CharSectno"/>
        </w:rPr>
        <w:t>5</w:t>
      </w:r>
      <w:r>
        <w:tab/>
        <w:t>Class licence</w:t>
      </w:r>
      <w:bookmarkEnd w:id="7"/>
    </w:p>
    <w:p w14:paraId="368FB3ED" w14:textId="3A829D6C" w:rsidR="006E559D" w:rsidRDefault="006E559D">
      <w:pPr>
        <w:pStyle w:val="R1"/>
      </w:pPr>
      <w:r>
        <w:tab/>
      </w:r>
      <w:r>
        <w:tab/>
        <w:t>Subject to sections 6, 7</w:t>
      </w:r>
      <w:r w:rsidR="00340734">
        <w:t xml:space="preserve"> and </w:t>
      </w:r>
      <w:r>
        <w:t xml:space="preserve">8 a person may operate a </w:t>
      </w:r>
      <w:proofErr w:type="spellStart"/>
      <w:r>
        <w:t>handphone</w:t>
      </w:r>
      <w:proofErr w:type="spellEnd"/>
      <w:r>
        <w:t xml:space="preserve"> station that transmits speech to, or audio tones to initiate communication with, another </w:t>
      </w:r>
      <w:proofErr w:type="spellStart"/>
      <w:r>
        <w:t>handphone</w:t>
      </w:r>
      <w:proofErr w:type="spellEnd"/>
      <w:r>
        <w:t xml:space="preserve"> station:</w:t>
      </w:r>
    </w:p>
    <w:p w14:paraId="41F665D6" w14:textId="77777777" w:rsidR="006E559D" w:rsidRDefault="006E559D">
      <w:pPr>
        <w:pStyle w:val="P1"/>
      </w:pPr>
      <w:r>
        <w:tab/>
        <w:t>(a)</w:t>
      </w:r>
      <w:r>
        <w:tab/>
      </w:r>
      <w:proofErr w:type="gramStart"/>
      <w:r>
        <w:t>on</w:t>
      </w:r>
      <w:proofErr w:type="gramEnd"/>
      <w:r>
        <w:t xml:space="preserve"> a carrier frequency specified in an item in Schedule 1; and</w:t>
      </w:r>
    </w:p>
    <w:p w14:paraId="24AD9B4F" w14:textId="3FDE0FC0" w:rsidR="006E559D" w:rsidRDefault="006E559D">
      <w:pPr>
        <w:pStyle w:val="P1"/>
      </w:pPr>
      <w:r>
        <w:tab/>
        <w:t>(b)</w:t>
      </w:r>
      <w:r>
        <w:tab/>
      </w:r>
      <w:proofErr w:type="gramStart"/>
      <w:r>
        <w:t>subject</w:t>
      </w:r>
      <w:proofErr w:type="gramEnd"/>
      <w:r>
        <w:t xml:space="preserve"> to any restriction specified </w:t>
      </w:r>
      <w:r w:rsidR="00783F7A">
        <w:t xml:space="preserve">for that item </w:t>
      </w:r>
      <w:r>
        <w:t xml:space="preserve">in </w:t>
      </w:r>
      <w:r w:rsidR="00783F7A">
        <w:t>Schedule 1</w:t>
      </w:r>
      <w:r>
        <w:t>.</w:t>
      </w:r>
    </w:p>
    <w:p w14:paraId="383C76B9" w14:textId="3B651ED2" w:rsidR="006E559D" w:rsidRDefault="006E559D">
      <w:pPr>
        <w:pStyle w:val="HR"/>
      </w:pPr>
      <w:bookmarkStart w:id="8" w:name="_Toc535920705"/>
      <w:r>
        <w:rPr>
          <w:rStyle w:val="CharSectno"/>
        </w:rPr>
        <w:t>6</w:t>
      </w:r>
      <w:r>
        <w:tab/>
        <w:t>Conditions — general</w:t>
      </w:r>
      <w:bookmarkEnd w:id="8"/>
    </w:p>
    <w:p w14:paraId="02A35F11" w14:textId="77777777" w:rsidR="006E559D" w:rsidRDefault="006E559D">
      <w:pPr>
        <w:pStyle w:val="R1"/>
      </w:pPr>
      <w:r>
        <w:rPr>
          <w:b/>
          <w:bCs/>
        </w:rPr>
        <w:tab/>
      </w:r>
      <w:r>
        <w:rPr>
          <w:b/>
          <w:bCs/>
        </w:rPr>
        <w:tab/>
      </w:r>
      <w:r>
        <w:t>A person must not:</w:t>
      </w:r>
    </w:p>
    <w:p w14:paraId="5082CA12" w14:textId="27884447" w:rsidR="006E559D" w:rsidRDefault="006E559D">
      <w:pPr>
        <w:pStyle w:val="P1"/>
      </w:pPr>
      <w:r>
        <w:tab/>
        <w:t>(a)</w:t>
      </w:r>
      <w:r>
        <w:tab/>
        <w:t xml:space="preserve">when operating on a carrier frequency specified in item 2 of Schedule 1 — cause interference to a station to which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(Citizen Band Radio Stations) Class Licence </w:t>
      </w:r>
      <w:r w:rsidR="00FE3817">
        <w:rPr>
          <w:i/>
          <w:iCs/>
        </w:rPr>
        <w:t>2015</w:t>
      </w:r>
      <w:r w:rsidR="00FE3817">
        <w:t xml:space="preserve"> </w:t>
      </w:r>
      <w:r>
        <w:t>applies; or</w:t>
      </w:r>
    </w:p>
    <w:p w14:paraId="448EE58A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operate</w:t>
      </w:r>
      <w:proofErr w:type="gramEnd"/>
      <w:r>
        <w:t xml:space="preserve"> a </w:t>
      </w:r>
      <w:proofErr w:type="spellStart"/>
      <w:r>
        <w:t>handphone</w:t>
      </w:r>
      <w:proofErr w:type="spellEnd"/>
      <w:r>
        <w:t xml:space="preserve"> station that was manufactured on or after 2 March 1989 on a carrier frequency specified in item 2 of Schedule 1; or</w:t>
      </w:r>
    </w:p>
    <w:p w14:paraId="3908B72D" w14:textId="77777777" w:rsidR="006E559D" w:rsidRDefault="006E559D">
      <w:pPr>
        <w:pStyle w:val="P1"/>
      </w:pPr>
      <w:r>
        <w:tab/>
        <w:t>(c)</w:t>
      </w:r>
      <w:r>
        <w:tab/>
      </w:r>
      <w:proofErr w:type="gramStart"/>
      <w:r>
        <w:t>operate</w:t>
      </w:r>
      <w:proofErr w:type="gramEnd"/>
      <w:r>
        <w:t xml:space="preserve"> a </w:t>
      </w:r>
      <w:proofErr w:type="spellStart"/>
      <w:r>
        <w:t>handphone</w:t>
      </w:r>
      <w:proofErr w:type="spellEnd"/>
      <w:r>
        <w:t xml:space="preserve"> station unless it is equipped with an antenna that is an integral part of the </w:t>
      </w:r>
      <w:proofErr w:type="spellStart"/>
      <w:r>
        <w:t>handphone</w:t>
      </w:r>
      <w:proofErr w:type="spellEnd"/>
      <w:r>
        <w:t xml:space="preserve"> station; or</w:t>
      </w:r>
    </w:p>
    <w:p w14:paraId="1E67FD3C" w14:textId="77777777" w:rsidR="006E559D" w:rsidRDefault="006E559D">
      <w:pPr>
        <w:pStyle w:val="P1"/>
      </w:pPr>
      <w:r>
        <w:tab/>
        <w:t>(d)</w:t>
      </w:r>
      <w:r>
        <w:tab/>
      </w:r>
      <w:proofErr w:type="gramStart"/>
      <w:r>
        <w:t>connect</w:t>
      </w:r>
      <w:proofErr w:type="gramEnd"/>
      <w:r>
        <w:t xml:space="preserve"> or couple to the </w:t>
      </w:r>
      <w:proofErr w:type="spellStart"/>
      <w:r>
        <w:t>handphone</w:t>
      </w:r>
      <w:proofErr w:type="spellEnd"/>
      <w:r>
        <w:t xml:space="preserve"> station:</w:t>
      </w:r>
    </w:p>
    <w:p w14:paraId="166AB001" w14:textId="77777777" w:rsidR="006E559D" w:rsidRDefault="006E559D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separate antenna; or</w:t>
      </w:r>
    </w:p>
    <w:p w14:paraId="15EEDB9A" w14:textId="77777777" w:rsidR="006E559D" w:rsidRDefault="006E559D">
      <w:pPr>
        <w:pStyle w:val="P2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combination of an external radiofrequency amplifier and antenna; or</w:t>
      </w:r>
    </w:p>
    <w:p w14:paraId="076B5021" w14:textId="77777777" w:rsidR="006E559D" w:rsidRDefault="006E559D">
      <w:pPr>
        <w:pStyle w:val="P1"/>
      </w:pPr>
      <w:r>
        <w:tab/>
        <w:t>(e)</w:t>
      </w:r>
      <w:r>
        <w:tab/>
        <w:t xml:space="preserve">if a </w:t>
      </w:r>
      <w:proofErr w:type="spellStart"/>
      <w:r>
        <w:t>handphone</w:t>
      </w:r>
      <w:proofErr w:type="spellEnd"/>
      <w:r>
        <w:t xml:space="preserve"> station transmits in a form other than speech — transmit for more than 3 seconds in any period of 60 seconds; or</w:t>
      </w:r>
    </w:p>
    <w:p w14:paraId="3AEDC9C5" w14:textId="098BBB76" w:rsidR="006E559D" w:rsidRDefault="006E559D">
      <w:pPr>
        <w:pStyle w:val="P1"/>
      </w:pPr>
      <w:r>
        <w:tab/>
        <w:t>(f)</w:t>
      </w:r>
      <w:r>
        <w:tab/>
        <w:t xml:space="preserve">make an alteration to a </w:t>
      </w:r>
      <w:proofErr w:type="spellStart"/>
      <w:r>
        <w:t>handphone</w:t>
      </w:r>
      <w:proofErr w:type="spellEnd"/>
      <w:r>
        <w:t xml:space="preserve"> station, or to accessory apparatus used in the operation of the </w:t>
      </w:r>
      <w:proofErr w:type="spellStart"/>
      <w:r w:rsidR="003A08D1">
        <w:t>handphone</w:t>
      </w:r>
      <w:proofErr w:type="spellEnd"/>
      <w:r w:rsidR="003A08D1">
        <w:t xml:space="preserve"> </w:t>
      </w:r>
      <w:r>
        <w:t xml:space="preserve">station, that is likely to cause interference to </w:t>
      </w:r>
      <w:proofErr w:type="spellStart"/>
      <w:r>
        <w:t>radiocommunications</w:t>
      </w:r>
      <w:proofErr w:type="spellEnd"/>
      <w:r>
        <w:t>, except:</w:t>
      </w:r>
    </w:p>
    <w:p w14:paraId="4F6264DB" w14:textId="77777777" w:rsidR="006E559D" w:rsidRDefault="006E559D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accordance with a direction given under subparagraph 7 (2) (a) (</w:t>
      </w:r>
      <w:proofErr w:type="spellStart"/>
      <w:r>
        <w:t>i</w:t>
      </w:r>
      <w:proofErr w:type="spellEnd"/>
      <w:r>
        <w:t>); or</w:t>
      </w:r>
    </w:p>
    <w:p w14:paraId="0CC3FAAE" w14:textId="77777777" w:rsidR="006E559D" w:rsidRDefault="006E559D">
      <w:pPr>
        <w:pStyle w:val="P2"/>
      </w:pPr>
      <w:r>
        <w:tab/>
        <w:t>(ii)</w:t>
      </w:r>
      <w:r>
        <w:tab/>
      </w:r>
      <w:proofErr w:type="gramStart"/>
      <w:r>
        <w:t>with</w:t>
      </w:r>
      <w:proofErr w:type="gramEnd"/>
      <w:r>
        <w:t xml:space="preserve"> the consent in writing of an inspector who is reasonably satisfied that the alteration has been made to test the operation of the </w:t>
      </w:r>
      <w:proofErr w:type="spellStart"/>
      <w:r>
        <w:t>handphone</w:t>
      </w:r>
      <w:proofErr w:type="spellEnd"/>
      <w:r>
        <w:t xml:space="preserve"> station; or</w:t>
      </w:r>
    </w:p>
    <w:p w14:paraId="5574A5E0" w14:textId="77777777" w:rsidR="006E559D" w:rsidRDefault="006E559D">
      <w:pPr>
        <w:pStyle w:val="P1"/>
      </w:pPr>
      <w:r>
        <w:tab/>
        <w:t>(g)</w:t>
      </w:r>
      <w:r>
        <w:tab/>
      </w:r>
      <w:proofErr w:type="gramStart"/>
      <w:r>
        <w:t>operate</w:t>
      </w:r>
      <w:proofErr w:type="gramEnd"/>
      <w:r>
        <w:t xml:space="preserve"> a </w:t>
      </w:r>
      <w:proofErr w:type="spellStart"/>
      <w:r>
        <w:t>handphone</w:t>
      </w:r>
      <w:proofErr w:type="spellEnd"/>
      <w:r>
        <w:t xml:space="preserve"> station:</w:t>
      </w:r>
    </w:p>
    <w:p w14:paraId="770C52D8" w14:textId="77777777" w:rsidR="006E559D" w:rsidRDefault="006E559D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a way that would be likely to cause a reasonable person, justifiably in all the circumstances, to be seriously alarmed or seriously affronted; or</w:t>
      </w:r>
    </w:p>
    <w:p w14:paraId="2ED32BD2" w14:textId="77777777" w:rsidR="006E559D" w:rsidRDefault="006E559D">
      <w:pPr>
        <w:pStyle w:val="P2"/>
      </w:pPr>
      <w:r>
        <w:tab/>
        <w:t>(ii)</w:t>
      </w:r>
      <w:r>
        <w:tab/>
      </w:r>
      <w:proofErr w:type="gramStart"/>
      <w:r>
        <w:t>for</w:t>
      </w:r>
      <w:proofErr w:type="gramEnd"/>
      <w:r>
        <w:t xml:space="preserve"> the purpose of harassing a person; or</w:t>
      </w:r>
    </w:p>
    <w:p w14:paraId="7644DACC" w14:textId="77777777" w:rsidR="006E559D" w:rsidRDefault="006E559D">
      <w:pPr>
        <w:pStyle w:val="P1"/>
      </w:pPr>
      <w:r>
        <w:tab/>
        <w:t>(h)</w:t>
      </w:r>
      <w:r>
        <w:tab/>
      </w:r>
      <w:proofErr w:type="gramStart"/>
      <w:r>
        <w:t>fail</w:t>
      </w:r>
      <w:proofErr w:type="gramEnd"/>
      <w:r>
        <w:t xml:space="preserve"> to comply with a direction given under section 7.</w:t>
      </w:r>
    </w:p>
    <w:p w14:paraId="4A8AB733" w14:textId="77777777" w:rsidR="006E559D" w:rsidRDefault="006E559D">
      <w:pPr>
        <w:pStyle w:val="HR"/>
      </w:pPr>
      <w:bookmarkStart w:id="9" w:name="_Toc535920706"/>
      <w:r>
        <w:rPr>
          <w:rStyle w:val="CharSectno"/>
        </w:rPr>
        <w:t>7</w:t>
      </w:r>
      <w:r>
        <w:tab/>
        <w:t>Directions</w:t>
      </w:r>
      <w:bookmarkEnd w:id="9"/>
    </w:p>
    <w:p w14:paraId="46A2F95E" w14:textId="77777777" w:rsidR="006E559D" w:rsidRDefault="006E559D">
      <w:pPr>
        <w:pStyle w:val="R1"/>
        <w:keepNext/>
      </w:pPr>
      <w:r>
        <w:tab/>
        <w:t>(1)</w:t>
      </w:r>
      <w:r>
        <w:tab/>
        <w:t>A person must comply with a direction that:</w:t>
      </w:r>
    </w:p>
    <w:p w14:paraId="75455CD1" w14:textId="77777777" w:rsidR="006E559D" w:rsidRDefault="006E559D">
      <w:pPr>
        <w:pStyle w:val="P1"/>
        <w:keepNext/>
      </w:pPr>
      <w:r>
        <w:tab/>
        <w:t>(a)</w:t>
      </w:r>
      <w:r>
        <w:tab/>
      </w:r>
      <w:proofErr w:type="gramStart"/>
      <w:r>
        <w:t>relates</w:t>
      </w:r>
      <w:proofErr w:type="gramEnd"/>
      <w:r>
        <w:t xml:space="preserve"> to the operation of a </w:t>
      </w:r>
      <w:proofErr w:type="spellStart"/>
      <w:r>
        <w:t>handphone</w:t>
      </w:r>
      <w:proofErr w:type="spellEnd"/>
      <w:r>
        <w:t xml:space="preserve"> station by the person; and</w:t>
      </w:r>
    </w:p>
    <w:p w14:paraId="0106BDAF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 given to the person by a person referred to in subsection (3); and</w:t>
      </w:r>
    </w:p>
    <w:p w14:paraId="7AA78A82" w14:textId="77777777" w:rsidR="006E559D" w:rsidRDefault="006E559D">
      <w:pPr>
        <w:pStyle w:val="P1"/>
      </w:pPr>
      <w:r>
        <w:tab/>
        <w:t>(c)</w:t>
      </w:r>
      <w:r>
        <w:tab/>
      </w:r>
      <w:proofErr w:type="gramStart"/>
      <w:r>
        <w:t>is</w:t>
      </w:r>
      <w:proofErr w:type="gramEnd"/>
      <w:r>
        <w:t xml:space="preserve"> described in subsection (4).</w:t>
      </w:r>
    </w:p>
    <w:p w14:paraId="08799651" w14:textId="77777777" w:rsidR="006E559D" w:rsidRDefault="006E559D">
      <w:pPr>
        <w:pStyle w:val="R2"/>
      </w:pPr>
      <w:r>
        <w:tab/>
        <w:t>(2)</w:t>
      </w:r>
      <w:r>
        <w:tab/>
        <w:t>A person must comply with a direction that:</w:t>
      </w:r>
    </w:p>
    <w:p w14:paraId="3B884E75" w14:textId="77777777" w:rsidR="006E559D" w:rsidRDefault="006E559D">
      <w:pPr>
        <w:pStyle w:val="P1"/>
      </w:pPr>
      <w:r>
        <w:tab/>
        <w:t>(a)</w:t>
      </w:r>
      <w:r>
        <w:tab/>
      </w:r>
      <w:proofErr w:type="gramStart"/>
      <w:r>
        <w:t>relates</w:t>
      </w:r>
      <w:proofErr w:type="gramEnd"/>
      <w:r>
        <w:t xml:space="preserve"> to interference to </w:t>
      </w:r>
      <w:proofErr w:type="spellStart"/>
      <w:r>
        <w:t>radiocommunications</w:t>
      </w:r>
      <w:proofErr w:type="spellEnd"/>
      <w:r>
        <w:t xml:space="preserve"> that:</w:t>
      </w:r>
    </w:p>
    <w:p w14:paraId="7736BEB5" w14:textId="77777777" w:rsidR="006E559D" w:rsidRDefault="006E559D">
      <w:pPr>
        <w:pStyle w:val="P2"/>
      </w:pP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 xml:space="preserve">is likely to be caused by the alteration, installation or maintenance of a </w:t>
      </w:r>
      <w:proofErr w:type="spellStart"/>
      <w:r>
        <w:t>handphone</w:t>
      </w:r>
      <w:proofErr w:type="spellEnd"/>
      <w:r>
        <w:t xml:space="preserve"> station, or of accessory apparatus for use with a </w:t>
      </w:r>
      <w:proofErr w:type="spellStart"/>
      <w:r>
        <w:t>handphone</w:t>
      </w:r>
      <w:proofErr w:type="spellEnd"/>
      <w:r>
        <w:t xml:space="preserve"> station, by the person; or</w:t>
      </w:r>
    </w:p>
    <w:p w14:paraId="0A3F2EA7" w14:textId="77777777" w:rsidR="006E559D" w:rsidRDefault="006E559D">
      <w:pPr>
        <w:pStyle w:val="P2"/>
      </w:pPr>
      <w:r>
        <w:tab/>
        <w:t>(ii)</w:t>
      </w:r>
      <w:r>
        <w:tab/>
      </w:r>
      <w:proofErr w:type="gramStart"/>
      <w:r>
        <w:t>is</w:t>
      </w:r>
      <w:proofErr w:type="gramEnd"/>
      <w:r>
        <w:t xml:space="preserve">, or is likely to be, caused by the operation of a </w:t>
      </w:r>
      <w:proofErr w:type="spellStart"/>
      <w:r>
        <w:t>handphone</w:t>
      </w:r>
      <w:proofErr w:type="spellEnd"/>
      <w:r>
        <w:t xml:space="preserve"> station by the person; and</w:t>
      </w:r>
    </w:p>
    <w:p w14:paraId="34ED6AC0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 given to the person in writing by an inspector.</w:t>
      </w:r>
    </w:p>
    <w:p w14:paraId="1325166E" w14:textId="31B03155" w:rsidR="006E559D" w:rsidRDefault="006E559D">
      <w:pPr>
        <w:pStyle w:val="R2"/>
      </w:pPr>
      <w:r>
        <w:tab/>
        <w:t>(3)</w:t>
      </w:r>
      <w:r>
        <w:tab/>
        <w:t xml:space="preserve">For paragraph (1) (b), a direction may be given by any of the following persons who is acting in the performance of </w:t>
      </w:r>
      <w:r w:rsidR="007845F0">
        <w:t>t</w:t>
      </w:r>
      <w:r>
        <w:t>he</w:t>
      </w:r>
      <w:r w:rsidR="007845F0">
        <w:t>i</w:t>
      </w:r>
      <w:r>
        <w:t>r duties:</w:t>
      </w:r>
    </w:p>
    <w:p w14:paraId="10DA22CD" w14:textId="77777777" w:rsidR="006E559D" w:rsidRDefault="006E559D">
      <w:pPr>
        <w:pStyle w:val="P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member of the Australian Federal Police;</w:t>
      </w:r>
    </w:p>
    <w:p w14:paraId="1B75C5BA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member of the police force of a State or Territory;</w:t>
      </w:r>
    </w:p>
    <w:p w14:paraId="102F2D57" w14:textId="77777777" w:rsidR="006E559D" w:rsidRDefault="006E559D">
      <w:pPr>
        <w:pStyle w:val="P1"/>
      </w:pPr>
      <w:r>
        <w:tab/>
        <w:t>(c)</w:t>
      </w:r>
      <w:r>
        <w:tab/>
      </w:r>
      <w:proofErr w:type="gramStart"/>
      <w:r>
        <w:t>an</w:t>
      </w:r>
      <w:proofErr w:type="gramEnd"/>
      <w:r>
        <w:t xml:space="preserve"> officer of the Defence Force;</w:t>
      </w:r>
    </w:p>
    <w:p w14:paraId="7CEB21FE" w14:textId="4F61660A" w:rsidR="006E559D" w:rsidRDefault="006E559D">
      <w:pPr>
        <w:pStyle w:val="P1"/>
      </w:pPr>
      <w:r>
        <w:tab/>
        <w:t>(d)</w:t>
      </w:r>
      <w:r>
        <w:tab/>
      </w:r>
      <w:proofErr w:type="gramStart"/>
      <w:r>
        <w:t>an</w:t>
      </w:r>
      <w:proofErr w:type="gramEnd"/>
      <w:r>
        <w:t xml:space="preserve"> officer of the Australian Maritime Safety Authority who is employed in the Authority’s Rescue Coordination Centre</w:t>
      </w:r>
      <w:r w:rsidR="00677C2B">
        <w:t>;</w:t>
      </w:r>
      <w:r>
        <w:t xml:space="preserve"> </w:t>
      </w:r>
    </w:p>
    <w:p w14:paraId="638400BC" w14:textId="77777777" w:rsidR="006E559D" w:rsidRDefault="006E559D">
      <w:pPr>
        <w:pStyle w:val="P1"/>
      </w:pPr>
      <w:r>
        <w:tab/>
        <w:t>(e)</w:t>
      </w:r>
      <w:r>
        <w:tab/>
      </w:r>
      <w:proofErr w:type="gramStart"/>
      <w:r>
        <w:t>an</w:t>
      </w:r>
      <w:proofErr w:type="gramEnd"/>
      <w:r>
        <w:t xml:space="preserve"> officer mentioned in Schedule 2 to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Regulations 1993</w:t>
      </w:r>
      <w:r>
        <w:t>.</w:t>
      </w:r>
    </w:p>
    <w:p w14:paraId="5A1D290D" w14:textId="77777777" w:rsidR="006E559D" w:rsidRDefault="006E559D">
      <w:pPr>
        <w:pStyle w:val="R2"/>
      </w:pPr>
      <w:r>
        <w:tab/>
        <w:t>(4)</w:t>
      </w:r>
      <w:r>
        <w:tab/>
        <w:t>A direction given to a person under subsection (1) must be reasonably necessary to:</w:t>
      </w:r>
    </w:p>
    <w:p w14:paraId="2BBCC21F" w14:textId="77777777" w:rsidR="006E559D" w:rsidRDefault="006E559D">
      <w:pPr>
        <w:pStyle w:val="P1"/>
      </w:pPr>
      <w:r>
        <w:tab/>
        <w:t>(a)</w:t>
      </w:r>
      <w:r>
        <w:tab/>
      </w:r>
      <w:proofErr w:type="gramStart"/>
      <w:r>
        <w:t>secure</w:t>
      </w:r>
      <w:proofErr w:type="gramEnd"/>
      <w:r>
        <w:t xml:space="preserve"> the safety of an aircraft or a vessel that is in danger; or</w:t>
      </w:r>
    </w:p>
    <w:p w14:paraId="036FF668" w14:textId="77777777" w:rsidR="006E559D" w:rsidRDefault="006E559D">
      <w:pPr>
        <w:pStyle w:val="P1"/>
      </w:pPr>
      <w:r>
        <w:tab/>
        <w:t>(b)</w:t>
      </w:r>
      <w:r>
        <w:tab/>
      </w:r>
      <w:proofErr w:type="gramStart"/>
      <w:r>
        <w:t>deal</w:t>
      </w:r>
      <w:proofErr w:type="gramEnd"/>
      <w:r>
        <w:t xml:space="preserve"> with an emergency that involves a serious threat to the environment; or</w:t>
      </w:r>
    </w:p>
    <w:p w14:paraId="794CB0C5" w14:textId="77777777" w:rsidR="006E559D" w:rsidRDefault="006E559D">
      <w:pPr>
        <w:pStyle w:val="P1"/>
      </w:pPr>
      <w:r>
        <w:tab/>
        <w:t>(c)</w:t>
      </w:r>
      <w:r>
        <w:tab/>
      </w:r>
      <w:proofErr w:type="gramStart"/>
      <w:r>
        <w:t>deal</w:t>
      </w:r>
      <w:proofErr w:type="gramEnd"/>
      <w:r>
        <w:t xml:space="preserve"> with an emergency that involves the risk of death of, or injury to, a person; or</w:t>
      </w:r>
    </w:p>
    <w:p w14:paraId="0E26703A" w14:textId="77777777" w:rsidR="006E559D" w:rsidRDefault="006E559D">
      <w:pPr>
        <w:pStyle w:val="P1"/>
      </w:pPr>
      <w:r>
        <w:tab/>
        <w:t>(d)</w:t>
      </w:r>
      <w:r>
        <w:tab/>
      </w:r>
      <w:proofErr w:type="gramStart"/>
      <w:r>
        <w:t>deal</w:t>
      </w:r>
      <w:proofErr w:type="gramEnd"/>
      <w:r>
        <w:t xml:space="preserve"> with an emergency that involves the risk of substantial damage to, or substantial loss of, property.</w:t>
      </w:r>
    </w:p>
    <w:p w14:paraId="73AC21E1" w14:textId="77777777" w:rsidR="006E559D" w:rsidRDefault="006E559D">
      <w:pPr>
        <w:pStyle w:val="HR"/>
      </w:pPr>
      <w:bookmarkStart w:id="10" w:name="_Toc535920707"/>
      <w:r>
        <w:rPr>
          <w:rStyle w:val="CharSectno"/>
        </w:rPr>
        <w:t>8</w:t>
      </w:r>
      <w:r>
        <w:tab/>
        <w:t>Standards</w:t>
      </w:r>
      <w:bookmarkEnd w:id="10"/>
    </w:p>
    <w:p w14:paraId="693F3FB1" w14:textId="2FBC4687" w:rsidR="00511B80" w:rsidRDefault="00511B80" w:rsidP="00511B80">
      <w:pPr>
        <w:pStyle w:val="R1"/>
      </w:pPr>
      <w:r>
        <w:tab/>
      </w:r>
      <w:r>
        <w:tab/>
        <w:t xml:space="preserve">A </w:t>
      </w:r>
      <w:proofErr w:type="spellStart"/>
      <w:r>
        <w:t>handphone</w:t>
      </w:r>
      <w:proofErr w:type="spellEnd"/>
      <w:r>
        <w:t xml:space="preserve"> station </w:t>
      </w:r>
      <w:r w:rsidRPr="00783F7A">
        <w:t xml:space="preserve">must comply with any applicable </w:t>
      </w:r>
      <w:r w:rsidR="008F6EED">
        <w:t xml:space="preserve">standard </w:t>
      </w:r>
      <w:r w:rsidRPr="00783F7A">
        <w:t>as in force on the relevant device compliance day</w:t>
      </w:r>
      <w:r w:rsidR="008F6EED">
        <w:t>.</w:t>
      </w:r>
      <w:r w:rsidR="006E559D">
        <w:tab/>
      </w:r>
    </w:p>
    <w:p w14:paraId="5F6B28D3" w14:textId="61F1E253" w:rsidR="006E559D" w:rsidRDefault="006E559D">
      <w:pPr>
        <w:pStyle w:val="Note"/>
      </w:pPr>
      <w:r>
        <w:rPr>
          <w:i/>
          <w:iCs/>
        </w:rPr>
        <w:t>Note</w:t>
      </w:r>
      <w:r>
        <w:t xml:space="preserve">   Section 5 of the Act defines </w:t>
      </w:r>
      <w:r>
        <w:rPr>
          <w:b/>
          <w:bCs/>
          <w:i/>
          <w:iCs/>
        </w:rPr>
        <w:t>standard</w:t>
      </w:r>
      <w:r>
        <w:rPr>
          <w:i/>
          <w:iCs/>
        </w:rPr>
        <w:t xml:space="preserve"> </w:t>
      </w:r>
      <w:r>
        <w:t>to mean a standard made under section 162 of the Act.</w:t>
      </w:r>
    </w:p>
    <w:p w14:paraId="751F4738" w14:textId="77777777" w:rsidR="006E559D" w:rsidRDefault="006E559D">
      <w:pPr>
        <w:pStyle w:val="TextWOutChapSectionBreak"/>
        <w:sectPr w:rsidR="006E559D">
          <w:headerReference w:type="even" r:id="rId21"/>
          <w:headerReference w:type="default" r:id="rId22"/>
          <w:pgSz w:w="11906" w:h="16838" w:code="9"/>
          <w:pgMar w:top="1440" w:right="1797" w:bottom="1440" w:left="1797" w:header="709" w:footer="709" w:gutter="0"/>
          <w:cols w:space="709"/>
        </w:sectPr>
      </w:pPr>
    </w:p>
    <w:p w14:paraId="4BFC2F79" w14:textId="77777777" w:rsidR="006E559D" w:rsidRDefault="006E559D">
      <w:pPr>
        <w:pStyle w:val="Scheduletitle"/>
        <w:pageBreakBefore/>
      </w:pPr>
      <w:bookmarkStart w:id="11" w:name="_Toc535920709"/>
      <w:r>
        <w:rPr>
          <w:rStyle w:val="CharAmSchNo"/>
        </w:rPr>
        <w:t>Schedule 1</w:t>
      </w:r>
      <w:r>
        <w:rPr>
          <w:sz w:val="20"/>
          <w:szCs w:val="20"/>
        </w:rPr>
        <w:tab/>
      </w:r>
      <w:proofErr w:type="spellStart"/>
      <w:r>
        <w:rPr>
          <w:rStyle w:val="CharAmSchText"/>
        </w:rPr>
        <w:t>Handphone</w:t>
      </w:r>
      <w:proofErr w:type="spellEnd"/>
      <w:r>
        <w:rPr>
          <w:rStyle w:val="CharAmSchText"/>
        </w:rPr>
        <w:t xml:space="preserve"> station operational requirements</w:t>
      </w:r>
      <w:bookmarkEnd w:id="11"/>
    </w:p>
    <w:p w14:paraId="24B5FFD0" w14:textId="77777777" w:rsidR="006E559D" w:rsidRDefault="006E559D">
      <w:pPr>
        <w:pStyle w:val="Schedulereference"/>
      </w:pPr>
      <w:r>
        <w:t>(</w:t>
      </w:r>
      <w:proofErr w:type="gramStart"/>
      <w:r>
        <w:t>sections</w:t>
      </w:r>
      <w:proofErr w:type="gramEnd"/>
      <w:r>
        <w:t xml:space="preserve"> 3, 5 and 6)</w:t>
      </w:r>
    </w:p>
    <w:p w14:paraId="752393A5" w14:textId="77777777" w:rsidR="006E559D" w:rsidRDefault="006E559D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70E40CE9" w14:textId="77777777" w:rsidR="006E559D" w:rsidRDefault="006E55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8"/>
        <w:gridCol w:w="1763"/>
        <w:gridCol w:w="5893"/>
      </w:tblGrid>
      <w:tr w:rsidR="006E559D" w14:paraId="36FBB53E" w14:textId="77777777" w:rsidTr="00E802C5">
        <w:trPr>
          <w:cantSplit/>
          <w:tblHeader/>
        </w:trPr>
        <w:tc>
          <w:tcPr>
            <w:tcW w:w="788" w:type="dxa"/>
          </w:tcPr>
          <w:p w14:paraId="77D03D1A" w14:textId="77777777" w:rsidR="006E559D" w:rsidRDefault="006E559D">
            <w:pPr>
              <w:pStyle w:val="TableColHead"/>
            </w:pPr>
            <w:r>
              <w:t>Item</w:t>
            </w:r>
          </w:p>
        </w:tc>
        <w:tc>
          <w:tcPr>
            <w:tcW w:w="1763" w:type="dxa"/>
          </w:tcPr>
          <w:p w14:paraId="0AC51565" w14:textId="77777777" w:rsidR="006E559D" w:rsidRDefault="006E559D">
            <w:pPr>
              <w:pStyle w:val="TableColHead"/>
              <w:spacing w:after="60"/>
            </w:pPr>
            <w:r>
              <w:t>Carrier frequency (MHz)</w:t>
            </w:r>
          </w:p>
        </w:tc>
        <w:tc>
          <w:tcPr>
            <w:tcW w:w="5893" w:type="dxa"/>
          </w:tcPr>
          <w:p w14:paraId="45D27C69" w14:textId="77777777" w:rsidR="006E559D" w:rsidRDefault="006E559D">
            <w:pPr>
              <w:pStyle w:val="TableColHead"/>
            </w:pPr>
            <w:r>
              <w:t>Restriction</w:t>
            </w:r>
          </w:p>
        </w:tc>
      </w:tr>
      <w:tr w:rsidR="006E559D" w14:paraId="2FA34C19" w14:textId="77777777" w:rsidTr="00E802C5">
        <w:trPr>
          <w:cantSplit/>
        </w:trPr>
        <w:tc>
          <w:tcPr>
            <w:tcW w:w="788" w:type="dxa"/>
          </w:tcPr>
          <w:p w14:paraId="7164D0FB" w14:textId="77777777" w:rsidR="006E559D" w:rsidRDefault="006E559D">
            <w:pPr>
              <w:pStyle w:val="TableText"/>
              <w:ind w:left="227"/>
            </w:pPr>
            <w:r>
              <w:t>1</w:t>
            </w:r>
          </w:p>
        </w:tc>
        <w:tc>
          <w:tcPr>
            <w:tcW w:w="1763" w:type="dxa"/>
          </w:tcPr>
          <w:p w14:paraId="43B215A2" w14:textId="77777777" w:rsidR="006E559D" w:rsidRDefault="006E559D">
            <w:pPr>
              <w:pStyle w:val="TableText"/>
            </w:pPr>
            <w:r>
              <w:t>27.550</w:t>
            </w:r>
          </w:p>
          <w:p w14:paraId="21F4C9C9" w14:textId="77777777" w:rsidR="006E559D" w:rsidRDefault="006E559D">
            <w:pPr>
              <w:pStyle w:val="TableText"/>
            </w:pPr>
            <w:r>
              <w:t>27.560</w:t>
            </w:r>
          </w:p>
          <w:p w14:paraId="46EDE701" w14:textId="77777777" w:rsidR="006E559D" w:rsidRDefault="006E559D">
            <w:pPr>
              <w:pStyle w:val="TableText"/>
            </w:pPr>
            <w:r>
              <w:t>27.580</w:t>
            </w:r>
          </w:p>
          <w:p w14:paraId="2FC3FA0A" w14:textId="77777777" w:rsidR="006E559D" w:rsidRDefault="006E559D">
            <w:pPr>
              <w:pStyle w:val="TableText"/>
            </w:pPr>
            <w:r>
              <w:t>27.590</w:t>
            </w:r>
          </w:p>
          <w:p w14:paraId="0C5C21F6" w14:textId="77777777" w:rsidR="006E559D" w:rsidRDefault="006E559D">
            <w:pPr>
              <w:pStyle w:val="TableText"/>
            </w:pPr>
            <w:r>
              <w:t>27.620</w:t>
            </w:r>
          </w:p>
          <w:p w14:paraId="458F830E" w14:textId="77777777" w:rsidR="006E559D" w:rsidRDefault="006E559D">
            <w:pPr>
              <w:pStyle w:val="TableText"/>
            </w:pPr>
            <w:r>
              <w:t>27.660</w:t>
            </w:r>
          </w:p>
          <w:p w14:paraId="2DA37BC4" w14:textId="77777777" w:rsidR="006E559D" w:rsidRDefault="006E559D">
            <w:pPr>
              <w:pStyle w:val="TableText"/>
            </w:pPr>
            <w:r>
              <w:t>27.760</w:t>
            </w:r>
          </w:p>
        </w:tc>
        <w:tc>
          <w:tcPr>
            <w:tcW w:w="5893" w:type="dxa"/>
          </w:tcPr>
          <w:p w14:paraId="73CFD336" w14:textId="77777777" w:rsidR="006E559D" w:rsidRDefault="006E559D">
            <w:pPr>
              <w:pStyle w:val="TableText"/>
            </w:pPr>
            <w:r>
              <w:t xml:space="preserve">Operation of a </w:t>
            </w:r>
            <w:proofErr w:type="spellStart"/>
            <w:r>
              <w:t>handphone</w:t>
            </w:r>
            <w:proofErr w:type="spellEnd"/>
            <w:r>
              <w:t xml:space="preserve"> station must only employ:</w:t>
            </w:r>
          </w:p>
          <w:p w14:paraId="06E6A3A0" w14:textId="77777777" w:rsidR="006E559D" w:rsidRDefault="006E559D">
            <w:pPr>
              <w:pStyle w:val="TableP1a"/>
            </w:pPr>
            <w:r>
              <w:tab/>
              <w:t>(a)</w:t>
            </w:r>
            <w:r>
              <w:tab/>
              <w:t xml:space="preserve">AM with a transmitter power not exceeding 4 watts </w:t>
            </w:r>
            <w:proofErr w:type="spellStart"/>
            <w:r>
              <w:t>pZ</w:t>
            </w:r>
            <w:proofErr w:type="spellEnd"/>
            <w:r>
              <w:t xml:space="preserve"> with a necessary bandwidth not exceeding 6 kHz; or</w:t>
            </w:r>
          </w:p>
          <w:p w14:paraId="591FDEE8" w14:textId="77777777" w:rsidR="006E559D" w:rsidRDefault="006E559D">
            <w:pPr>
              <w:pStyle w:val="TableP1a"/>
            </w:pPr>
            <w:r>
              <w:tab/>
              <w:t>(b)</w:t>
            </w:r>
            <w:r>
              <w:tab/>
              <w:t xml:space="preserve">SSB modulation using USB with a transmitter power not exceeding 12 watts </w:t>
            </w:r>
            <w:proofErr w:type="spellStart"/>
            <w:r>
              <w:t>pX</w:t>
            </w:r>
            <w:proofErr w:type="spellEnd"/>
            <w:r>
              <w:t xml:space="preserve"> with a necessary bandwidth not exceeding 3 kHz.</w:t>
            </w:r>
          </w:p>
          <w:p w14:paraId="36B74372" w14:textId="77777777" w:rsidR="006E559D" w:rsidRDefault="006E559D">
            <w:pPr>
              <w:pStyle w:val="TableText"/>
            </w:pPr>
            <w:r>
              <w:t xml:space="preserve">A </w:t>
            </w:r>
            <w:proofErr w:type="spellStart"/>
            <w:r>
              <w:t>handphone</w:t>
            </w:r>
            <w:proofErr w:type="spellEnd"/>
            <w:r>
              <w:t xml:space="preserve"> station operating on carrier frequency 27.580 MHz must only be used for bushfire fighting purposes.</w:t>
            </w:r>
          </w:p>
        </w:tc>
      </w:tr>
      <w:tr w:rsidR="006E559D" w14:paraId="074CA1D7" w14:textId="77777777" w:rsidTr="00E802C5">
        <w:trPr>
          <w:cantSplit/>
        </w:trPr>
        <w:tc>
          <w:tcPr>
            <w:tcW w:w="788" w:type="dxa"/>
          </w:tcPr>
          <w:p w14:paraId="26AB3333" w14:textId="77777777" w:rsidR="006E559D" w:rsidRDefault="006E559D">
            <w:pPr>
              <w:pStyle w:val="TableText"/>
              <w:ind w:left="227"/>
            </w:pPr>
            <w:r>
              <w:t>2</w:t>
            </w:r>
          </w:p>
        </w:tc>
        <w:tc>
          <w:tcPr>
            <w:tcW w:w="1763" w:type="dxa"/>
          </w:tcPr>
          <w:p w14:paraId="10D7F662" w14:textId="77777777" w:rsidR="006E559D" w:rsidRDefault="006E559D">
            <w:pPr>
              <w:pStyle w:val="TableText"/>
            </w:pPr>
            <w:r>
              <w:t>27.230</w:t>
            </w:r>
          </w:p>
          <w:p w14:paraId="4813D2AF" w14:textId="77777777" w:rsidR="006E559D" w:rsidRDefault="006E559D">
            <w:pPr>
              <w:pStyle w:val="TableText"/>
            </w:pPr>
            <w:r>
              <w:t>27.240</w:t>
            </w:r>
          </w:p>
          <w:p w14:paraId="3B866F8C" w14:textId="77777777" w:rsidR="006E559D" w:rsidRDefault="006E559D">
            <w:pPr>
              <w:pStyle w:val="TableText"/>
            </w:pPr>
            <w:r>
              <w:t>27.250</w:t>
            </w:r>
          </w:p>
          <w:p w14:paraId="2F721DE2" w14:textId="77777777" w:rsidR="006E559D" w:rsidRDefault="006E559D">
            <w:pPr>
              <w:pStyle w:val="TableText"/>
            </w:pPr>
            <w:r>
              <w:t>27.260</w:t>
            </w:r>
          </w:p>
          <w:p w14:paraId="47F140A4" w14:textId="77777777" w:rsidR="006E559D" w:rsidRDefault="006E559D">
            <w:pPr>
              <w:pStyle w:val="TableText"/>
            </w:pPr>
            <w:r>
              <w:t>27.270</w:t>
            </w:r>
          </w:p>
          <w:p w14:paraId="0D49AFBE" w14:textId="77777777" w:rsidR="006E559D" w:rsidRDefault="006E559D">
            <w:pPr>
              <w:pStyle w:val="TableText"/>
            </w:pPr>
            <w:r>
              <w:t>27.280</w:t>
            </w:r>
          </w:p>
        </w:tc>
        <w:tc>
          <w:tcPr>
            <w:tcW w:w="5893" w:type="dxa"/>
          </w:tcPr>
          <w:p w14:paraId="5EE7CF88" w14:textId="77777777" w:rsidR="006E559D" w:rsidRDefault="006E559D">
            <w:pPr>
              <w:pStyle w:val="TableText"/>
            </w:pPr>
            <w:r>
              <w:rPr>
                <w:position w:val="-4"/>
              </w:rPr>
              <w:t xml:space="preserve">Operation of a </w:t>
            </w:r>
            <w:proofErr w:type="spellStart"/>
            <w:r>
              <w:rPr>
                <w:position w:val="-4"/>
              </w:rPr>
              <w:t>handphone</w:t>
            </w:r>
            <w:proofErr w:type="spellEnd"/>
            <w:r>
              <w:rPr>
                <w:position w:val="-4"/>
              </w:rPr>
              <w:t xml:space="preserve"> station:</w:t>
            </w:r>
          </w:p>
          <w:p w14:paraId="7E11877E" w14:textId="77777777" w:rsidR="006E559D" w:rsidRDefault="006E559D">
            <w:pPr>
              <w:pStyle w:val="TableP1a"/>
            </w:pPr>
            <w:r>
              <w:tab/>
              <w:t>(a)</w:t>
            </w:r>
            <w:r>
              <w:tab/>
              <w:t xml:space="preserve">must only employ AM with a transmitter power not exceeding 700 </w:t>
            </w:r>
            <w:proofErr w:type="spellStart"/>
            <w:r>
              <w:t>milliwatts</w:t>
            </w:r>
            <w:proofErr w:type="spellEnd"/>
            <w:r>
              <w:t xml:space="preserve"> </w:t>
            </w:r>
            <w:proofErr w:type="spellStart"/>
            <w:r>
              <w:t>pZ</w:t>
            </w:r>
            <w:proofErr w:type="spellEnd"/>
            <w:r>
              <w:t xml:space="preserve"> with a necessary bandwidth not exceeding 6 kHz; and</w:t>
            </w:r>
          </w:p>
          <w:p w14:paraId="0187ECFB" w14:textId="7AB2DE7F" w:rsidR="006E559D" w:rsidRDefault="006E559D">
            <w:pPr>
              <w:pStyle w:val="TableP1a"/>
            </w:pPr>
            <w:r>
              <w:tab/>
              <w:t>(b)</w:t>
            </w:r>
            <w:r>
              <w:tab/>
            </w:r>
            <w:r w:rsidR="00882BD1">
              <w:t xml:space="preserve">may be </w:t>
            </w:r>
            <w:r>
              <w:t>subject to interference from:</w:t>
            </w:r>
          </w:p>
          <w:p w14:paraId="569B0491" w14:textId="39801C9A" w:rsidR="006E559D" w:rsidRDefault="006E559D">
            <w:pPr>
              <w:pStyle w:val="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 xml:space="preserve">a station to which the </w:t>
            </w:r>
            <w:proofErr w:type="spellStart"/>
            <w:r>
              <w:rPr>
                <w:i/>
                <w:iCs/>
              </w:rPr>
              <w:t>Radiocommunications</w:t>
            </w:r>
            <w:proofErr w:type="spellEnd"/>
            <w:r>
              <w:rPr>
                <w:i/>
                <w:iCs/>
              </w:rPr>
              <w:t xml:space="preserve"> (Citizen Band Radio Stations) Class Licence </w:t>
            </w:r>
            <w:r w:rsidR="00EB196B">
              <w:rPr>
                <w:i/>
                <w:iCs/>
              </w:rPr>
              <w:t>2015</w:t>
            </w:r>
            <w:r w:rsidR="00EB196B">
              <w:t xml:space="preserve"> </w:t>
            </w:r>
            <w:r>
              <w:t>applies; or</w:t>
            </w:r>
          </w:p>
          <w:p w14:paraId="140B0F0A" w14:textId="7DE7AEB0" w:rsidR="006E559D" w:rsidRDefault="006E559D" w:rsidP="003D6CD7">
            <w:pPr>
              <w:pStyle w:val="TableP2i"/>
              <w:spacing w:after="60"/>
            </w:pPr>
            <w:r>
              <w:tab/>
              <w:t>(ii)</w:t>
            </w:r>
            <w:r>
              <w:tab/>
            </w:r>
            <w:proofErr w:type="gramStart"/>
            <w:r>
              <w:t>a</w:t>
            </w:r>
            <w:proofErr w:type="gramEnd"/>
            <w:r>
              <w:t xml:space="preserve"> transmitter operating in the</w:t>
            </w:r>
            <w:r w:rsidR="003D6CD7">
              <w:t xml:space="preserve"> frequency band designated for</w:t>
            </w:r>
            <w:r>
              <w:t xml:space="preserve"> </w:t>
            </w:r>
            <w:r w:rsidR="00745035">
              <w:t>i</w:t>
            </w:r>
            <w:r>
              <w:t xml:space="preserve">ndustrial, </w:t>
            </w:r>
            <w:r w:rsidR="00745035">
              <w:t>s</w:t>
            </w:r>
            <w:r>
              <w:t xml:space="preserve">cientific and </w:t>
            </w:r>
            <w:r w:rsidR="00745035">
              <w:t>m</w:t>
            </w:r>
            <w:r>
              <w:t xml:space="preserve">edical (ISM) </w:t>
            </w:r>
            <w:r w:rsidR="003D6CD7">
              <w:t>applications</w:t>
            </w:r>
            <w:r>
              <w:t>.</w:t>
            </w:r>
          </w:p>
        </w:tc>
      </w:tr>
    </w:tbl>
    <w:p w14:paraId="21E97938" w14:textId="77777777" w:rsidR="006E559D" w:rsidRDefault="006E559D">
      <w:pPr>
        <w:pStyle w:val="P1"/>
      </w:pPr>
    </w:p>
    <w:p w14:paraId="14DC1118" w14:textId="77777777" w:rsidR="006E559D" w:rsidRDefault="006E559D">
      <w:pPr>
        <w:pStyle w:val="SchedSectionBreak"/>
        <w:sectPr w:rsidR="006E559D">
          <w:headerReference w:type="even" r:id="rId23"/>
          <w:headerReference w:type="default" r:id="rId24"/>
          <w:type w:val="continuous"/>
          <w:pgSz w:w="11906" w:h="16838" w:code="9"/>
          <w:pgMar w:top="1440" w:right="1797" w:bottom="1440" w:left="1797" w:header="709" w:footer="709" w:gutter="0"/>
          <w:cols w:space="709"/>
        </w:sectPr>
      </w:pPr>
    </w:p>
    <w:p w14:paraId="59887E97" w14:textId="77777777" w:rsidR="006E559D" w:rsidRDefault="006E559D"/>
    <w:sectPr w:rsidR="006E559D">
      <w:headerReference w:type="even" r:id="rId25"/>
      <w:headerReference w:type="default" r:id="rId26"/>
      <w:type w:val="continuous"/>
      <w:pgSz w:w="11906" w:h="16838" w:code="9"/>
      <w:pgMar w:top="1440" w:right="1797" w:bottom="1440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07F6E" w14:textId="77777777" w:rsidR="00F41F8E" w:rsidRDefault="00F41F8E">
      <w:r>
        <w:separator/>
      </w:r>
    </w:p>
  </w:endnote>
  <w:endnote w:type="continuationSeparator" w:id="0">
    <w:p w14:paraId="4414C5E5" w14:textId="77777777" w:rsidR="00F41F8E" w:rsidRDefault="00F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4B7F" w14:textId="77777777" w:rsidR="006E559D" w:rsidRDefault="006E559D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6E559D" w14:paraId="160B28C9" w14:textId="77777777">
      <w:trPr>
        <w:trHeight w:val="70"/>
        <w:jc w:val="center"/>
      </w:trPr>
      <w:tc>
        <w:tcPr>
          <w:tcW w:w="175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423462" w14:textId="77777777" w:rsidR="006E559D" w:rsidRDefault="006E559D">
          <w:pPr>
            <w:spacing w:line="240" w:lineRule="exact"/>
            <w:ind w:left="-2"/>
            <w:rPr>
              <w:rFonts w:ascii="Arial" w:hAnsi="Arial" w:cs="Arial"/>
              <w:sz w:val="22"/>
              <w:szCs w:val="22"/>
            </w:rPr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F5432D">
            <w:rPr>
              <w:rStyle w:val="PageNumber"/>
              <w:rFonts w:ascii="Arial" w:hAnsi="Arial" w:cs="Arial"/>
              <w:noProof/>
              <w:sz w:val="22"/>
              <w:szCs w:val="22"/>
            </w:rPr>
            <w:t>4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48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E06726" w14:textId="315BD01D" w:rsidR="006E559D" w:rsidRDefault="00F41F8E" w:rsidP="00443CCC">
          <w:pPr>
            <w:pStyle w:val="Footer"/>
          </w:pPr>
          <w:r>
            <w:fldChar w:fldCharType="begin"/>
          </w:r>
          <w:r>
            <w:instrText xml:space="preserve"> REF citation  \* charformat </w:instrText>
          </w:r>
          <w:r>
            <w:fldChar w:fldCharType="separate"/>
          </w:r>
          <w:proofErr w:type="spellStart"/>
          <w:r w:rsidR="00A93B9E">
            <w:t>Radiocommunications</w:t>
          </w:r>
          <w:proofErr w:type="spellEnd"/>
          <w:r w:rsidR="00A93B9E">
            <w:t xml:space="preserve"> (27 MHz </w:t>
          </w:r>
          <w:proofErr w:type="spellStart"/>
          <w:r w:rsidR="00A93B9E">
            <w:t>Handphone</w:t>
          </w:r>
          <w:proofErr w:type="spellEnd"/>
          <w:r w:rsidR="00A93B9E">
            <w:t xml:space="preserve"> Stations) Class Licence </w:t>
          </w:r>
          <w:r>
            <w:fldChar w:fldCharType="end"/>
          </w:r>
          <w:r w:rsidR="00496D2A">
            <w:t>20</w:t>
          </w:r>
          <w:r w:rsidR="00443CCC">
            <w:t>15</w:t>
          </w:r>
        </w:p>
      </w:tc>
      <w:tc>
        <w:tcPr>
          <w:tcW w:w="175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E1E497" w14:textId="77777777" w:rsidR="006E559D" w:rsidRDefault="006E559D">
          <w:pPr>
            <w:spacing w:line="240" w:lineRule="exact"/>
            <w:jc w:val="right"/>
          </w:pPr>
        </w:p>
      </w:tc>
    </w:tr>
  </w:tbl>
  <w:p w14:paraId="452855C6" w14:textId="77777777" w:rsidR="006E559D" w:rsidRDefault="006E559D">
    <w:pPr>
      <w:pStyle w:val="FooterDra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04E7A" w14:textId="77777777" w:rsidR="006E559D" w:rsidRDefault="006E559D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6E559D" w14:paraId="242AC4EB" w14:textId="77777777">
      <w:trPr>
        <w:trHeight w:val="70"/>
        <w:jc w:val="center"/>
      </w:trPr>
      <w:tc>
        <w:tcPr>
          <w:tcW w:w="175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8F7B4E" w14:textId="77777777" w:rsidR="006E559D" w:rsidRDefault="006E559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8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7A4923" w14:textId="3866C34C" w:rsidR="006E559D" w:rsidRDefault="00F41F8E" w:rsidP="006F1038">
          <w:pPr>
            <w:pStyle w:val="Footer"/>
          </w:pPr>
          <w:r>
            <w:fldChar w:fldCharType="begin"/>
          </w:r>
          <w:r>
            <w:instrText xml:space="preserve"> REF citation  \* charformat </w:instrText>
          </w:r>
          <w:r>
            <w:fldChar w:fldCharType="separate"/>
          </w:r>
          <w:proofErr w:type="spellStart"/>
          <w:r w:rsidR="00A93B9E">
            <w:t>Radiocommunications</w:t>
          </w:r>
          <w:proofErr w:type="spellEnd"/>
          <w:r w:rsidR="00A93B9E">
            <w:t xml:space="preserve"> (27 MHz </w:t>
          </w:r>
          <w:proofErr w:type="spellStart"/>
          <w:r w:rsidR="00A93B9E">
            <w:t>Handphone</w:t>
          </w:r>
          <w:proofErr w:type="spellEnd"/>
          <w:r w:rsidR="00A93B9E">
            <w:t xml:space="preserve"> Stations) Class Licence </w:t>
          </w:r>
          <w:r>
            <w:fldChar w:fldCharType="end"/>
          </w:r>
          <w:r w:rsidR="00496D2A">
            <w:t>20</w:t>
          </w:r>
          <w:r w:rsidR="006F1038">
            <w:t>15</w:t>
          </w:r>
        </w:p>
      </w:tc>
      <w:tc>
        <w:tcPr>
          <w:tcW w:w="175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548978" w14:textId="77777777" w:rsidR="006E559D" w:rsidRDefault="006E559D">
          <w:pPr>
            <w:spacing w:line="240" w:lineRule="exact"/>
            <w:jc w:val="right"/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F5432D">
            <w:rPr>
              <w:rStyle w:val="PageNumber"/>
              <w:rFonts w:ascii="Arial" w:hAnsi="Arial" w:cs="Arial"/>
              <w:noProof/>
              <w:sz w:val="22"/>
              <w:szCs w:val="22"/>
            </w:rPr>
            <w:t>5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17D13CD2" w14:textId="77777777" w:rsidR="006E559D" w:rsidRDefault="006E559D">
    <w:pPr>
      <w:pStyle w:val="FooterDra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D7E13" w14:textId="77777777" w:rsidR="006E559D" w:rsidRDefault="006E559D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6E559D" w14:paraId="62410837" w14:textId="77777777">
      <w:trPr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0A96A4" w14:textId="77777777" w:rsidR="006E559D" w:rsidRDefault="006E559D">
          <w:pPr>
            <w:pStyle w:val="Footer"/>
            <w:jc w:val="left"/>
            <w:rPr>
              <w:i w:val="0"/>
              <w:iCs w:val="0"/>
            </w:rPr>
          </w:pPr>
          <w:r>
            <w:rPr>
              <w:rStyle w:val="PageNumber"/>
              <w:i w:val="0"/>
              <w:iCs w:val="0"/>
              <w:sz w:val="22"/>
              <w:szCs w:val="22"/>
            </w:rPr>
            <w:fldChar w:fldCharType="begin"/>
          </w:r>
          <w:r>
            <w:rPr>
              <w:rStyle w:val="PageNumber"/>
              <w:i w:val="0"/>
              <w:iCs w:val="0"/>
              <w:sz w:val="22"/>
              <w:szCs w:val="22"/>
            </w:rPr>
            <w:instrText xml:space="preserve"> PAGE </w:instrText>
          </w:r>
          <w:r>
            <w:rPr>
              <w:rStyle w:val="PageNumber"/>
              <w:i w:val="0"/>
              <w:iCs w:val="0"/>
              <w:sz w:val="22"/>
              <w:szCs w:val="22"/>
            </w:rPr>
            <w:fldChar w:fldCharType="separate"/>
          </w:r>
          <w:r>
            <w:rPr>
              <w:rStyle w:val="PageNumber"/>
              <w:i w:val="0"/>
              <w:iCs w:val="0"/>
              <w:noProof/>
              <w:sz w:val="22"/>
              <w:szCs w:val="22"/>
            </w:rPr>
            <w:t>6</w:t>
          </w:r>
          <w:r>
            <w:rPr>
              <w:rStyle w:val="PageNumber"/>
              <w:i w:val="0"/>
              <w:iCs w:val="0"/>
              <w:sz w:val="22"/>
              <w:szCs w:val="22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1CF19" w14:textId="2D92491E" w:rsidR="006E559D" w:rsidRDefault="00F41F8E">
          <w:pPr>
            <w:pStyle w:val="Footer"/>
          </w:pPr>
          <w:r>
            <w:fldChar w:fldCharType="begin"/>
          </w:r>
          <w:r>
            <w:instrText xml:space="preserve"> REF citation \* charformat  \* MERGEFORMAT </w:instrText>
          </w:r>
          <w:r>
            <w:fldChar w:fldCharType="separate"/>
          </w:r>
          <w:proofErr w:type="spellStart"/>
          <w:r w:rsidR="00A93B9E" w:rsidRPr="009E1F3C">
            <w:rPr>
              <w:b/>
              <w:bCs/>
            </w:rPr>
            <w:t>Radiocommunications</w:t>
          </w:r>
          <w:proofErr w:type="spellEnd"/>
          <w:r w:rsidR="00A93B9E" w:rsidRPr="009E1F3C">
            <w:rPr>
              <w:b/>
              <w:bCs/>
            </w:rPr>
            <w:t xml:space="preserve"> (27 MHz </w:t>
          </w:r>
          <w:proofErr w:type="spellStart"/>
          <w:r w:rsidR="00A93B9E" w:rsidRPr="009E1F3C">
            <w:rPr>
              <w:b/>
              <w:bCs/>
            </w:rPr>
            <w:t>Handphone</w:t>
          </w:r>
          <w:proofErr w:type="spellEnd"/>
          <w:r w:rsidR="00A93B9E" w:rsidRPr="009E1F3C">
            <w:rPr>
              <w:b/>
              <w:bCs/>
            </w:rPr>
            <w:t xml:space="preserve"> Stations)</w:t>
          </w:r>
          <w:r w:rsidR="00A93B9E">
            <w:t xml:space="preserve"> Class Licence </w:t>
          </w:r>
          <w: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B2AA6D" w14:textId="77777777" w:rsidR="006E559D" w:rsidRDefault="006E559D">
          <w:pPr>
            <w:pStyle w:val="Footer"/>
            <w:jc w:val="right"/>
          </w:pPr>
        </w:p>
      </w:tc>
    </w:tr>
  </w:tbl>
  <w:p w14:paraId="73E5001E" w14:textId="77777777" w:rsidR="006E559D" w:rsidRDefault="006E559D">
    <w:pPr>
      <w:pStyle w:val="FooterDraft"/>
    </w:pPr>
  </w:p>
  <w:p w14:paraId="33426C72" w14:textId="3C259E88" w:rsidR="006E559D" w:rsidRDefault="00F5432D">
    <w:pPr>
      <w:pStyle w:val="FooterInfo"/>
    </w:pPr>
    <w:r>
      <w:fldChar w:fldCharType="begin"/>
    </w:r>
    <w:r>
      <w:instrText xml:space="preserve"> FILENAME  \* MERGEFORMAT </w:instrText>
    </w:r>
    <w:r>
      <w:fldChar w:fldCharType="separate"/>
    </w:r>
    <w:r w:rsidR="00A93B9E">
      <w:rPr>
        <w:noProof/>
      </w:rPr>
      <w:t>draft_for_consultation_Radiocommunciations (27 MHz Handphone Stations) Class Licence 2015_markedup - AJ _RCcomments (3)</w:t>
    </w:r>
    <w:r>
      <w:rPr>
        <w:noProof/>
      </w:rPr>
      <w:fldChar w:fldCharType="end"/>
    </w:r>
    <w:r w:rsidR="006E559D">
      <w:t xml:space="preserve"> </w:t>
    </w:r>
    <w:r w:rsidR="006E559D">
      <w:fldChar w:fldCharType="begin"/>
    </w:r>
    <w:r w:rsidR="006E559D">
      <w:instrText xml:space="preserve"> DATE \@ "d/MM/yyyy h:mm am/pm" \* MERGEFORMAT </w:instrText>
    </w:r>
    <w:r w:rsidR="006E559D">
      <w:fldChar w:fldCharType="separate"/>
    </w:r>
    <w:r w:rsidR="003A0F09">
      <w:rPr>
        <w:noProof/>
      </w:rPr>
      <w:t>8/09/2015 4:26 PM</w:t>
    </w:r>
    <w:r w:rsidR="006E559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8188" w14:textId="77777777" w:rsidR="00F41F8E" w:rsidRDefault="00F41F8E">
      <w:r>
        <w:separator/>
      </w:r>
    </w:p>
  </w:footnote>
  <w:footnote w:type="continuationSeparator" w:id="0">
    <w:p w14:paraId="349C2D50" w14:textId="77777777" w:rsidR="00F41F8E" w:rsidRDefault="00F4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E559D" w14:paraId="3AE14757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7B7918" w14:textId="77777777" w:rsidR="006E559D" w:rsidRDefault="006E559D">
          <w:pPr>
            <w:pStyle w:val="HeaderLiteEven"/>
          </w:pPr>
          <w:r>
            <w:t>Contents</w:t>
          </w:r>
        </w:p>
      </w:tc>
    </w:tr>
    <w:tr w:rsidR="006E559D" w14:paraId="1A2A4248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F7AA23B" w14:textId="77777777" w:rsidR="006E559D" w:rsidRDefault="006E559D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EAE922A" w14:textId="77777777" w:rsidR="006E559D" w:rsidRDefault="006E559D">
          <w:pPr>
            <w:pStyle w:val="HeaderLiteEven"/>
          </w:pPr>
        </w:p>
      </w:tc>
    </w:tr>
    <w:tr w:rsidR="006E559D" w14:paraId="17B6E300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3D82A5" w14:textId="77777777" w:rsidR="006E559D" w:rsidRDefault="006E559D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CC9E083" w14:textId="77777777" w:rsidR="006E559D" w:rsidRDefault="006E559D">
          <w:pPr>
            <w:pStyle w:val="HeaderLiteEven"/>
            <w:spacing w:before="120" w:after="60"/>
          </w:pPr>
        </w:p>
      </w:tc>
    </w:tr>
  </w:tbl>
  <w:p w14:paraId="5E2F2F92" w14:textId="77777777" w:rsidR="006E559D" w:rsidRDefault="006E559D">
    <w:pPr>
      <w:pStyle w:val="HeaderContentsPage"/>
    </w:pPr>
    <w:r>
      <w:t>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6E559D" w14:paraId="211BADC6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8F3193A" w14:textId="77777777" w:rsidR="006E559D" w:rsidRDefault="006E559D">
          <w:pPr>
            <w:pStyle w:val="HeaderLiteOdd"/>
          </w:pPr>
          <w:r>
            <w:t>Contents</w:t>
          </w:r>
        </w:p>
      </w:tc>
    </w:tr>
    <w:tr w:rsidR="006E559D" w14:paraId="2BD658AA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DE64764" w14:textId="77777777" w:rsidR="006E559D" w:rsidRDefault="006E559D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64DA596" w14:textId="77777777" w:rsidR="006E559D" w:rsidRDefault="006E559D">
          <w:pPr>
            <w:pStyle w:val="HeaderLiteOdd"/>
          </w:pPr>
        </w:p>
      </w:tc>
    </w:tr>
    <w:tr w:rsidR="006E559D" w14:paraId="0B7ED294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9143E2F" w14:textId="77777777" w:rsidR="006E559D" w:rsidRDefault="006E559D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8A27566" w14:textId="77777777" w:rsidR="006E559D" w:rsidRDefault="006E559D">
          <w:pPr>
            <w:pStyle w:val="HeaderLiteOdd"/>
            <w:spacing w:before="120" w:after="60"/>
          </w:pPr>
        </w:p>
      </w:tc>
    </w:tr>
  </w:tbl>
  <w:p w14:paraId="1B612972" w14:textId="77777777" w:rsidR="006E559D" w:rsidRDefault="006E559D">
    <w:pPr>
      <w:pStyle w:val="HeaderContentsPage"/>
    </w:pPr>
    <w: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E559D" w14:paraId="05CDFF06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4B4592E" w14:textId="77777777" w:rsidR="006E559D" w:rsidRDefault="006E559D">
          <w:pPr>
            <w:pStyle w:val="HeaderLiteEven"/>
          </w:pPr>
          <w:r>
            <w:t>Contents</w:t>
          </w:r>
        </w:p>
      </w:tc>
    </w:tr>
    <w:tr w:rsidR="006E559D" w14:paraId="2402EDCC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ABD3D54" w14:textId="77777777" w:rsidR="006E559D" w:rsidRDefault="006E559D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58E6A98A" w14:textId="77777777" w:rsidR="006E559D" w:rsidRDefault="006E559D">
          <w:pPr>
            <w:pStyle w:val="HeaderLiteEven"/>
          </w:pPr>
        </w:p>
      </w:tc>
    </w:tr>
    <w:tr w:rsidR="006E559D" w14:paraId="74E0D6B1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697CB5" w14:textId="77777777" w:rsidR="006E559D" w:rsidRDefault="006E559D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CE1FE2D" w14:textId="77777777" w:rsidR="006E559D" w:rsidRDefault="006E559D">
          <w:pPr>
            <w:pStyle w:val="HeaderLiteEven"/>
            <w:spacing w:before="120" w:after="60"/>
          </w:pPr>
        </w:p>
      </w:tc>
    </w:tr>
  </w:tbl>
  <w:p w14:paraId="7099360A" w14:textId="77777777" w:rsidR="006E559D" w:rsidRDefault="006E55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E559D" w14:paraId="2F28AE74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0CF4B41" w14:textId="77777777" w:rsidR="006E559D" w:rsidRDefault="006E559D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6B86D866" w14:textId="77777777" w:rsidR="006E559D" w:rsidRDefault="006E559D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6E559D" w14:paraId="3E87EEFF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6B9531C" w14:textId="77777777" w:rsidR="006E559D" w:rsidRDefault="006E559D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EB63123" w14:textId="77777777" w:rsidR="006E559D" w:rsidRDefault="006E559D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6E559D" w14:paraId="149BBD98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FE879F6" w14:textId="77777777" w:rsidR="006E559D" w:rsidRDefault="006E559D">
          <w:pPr>
            <w:pStyle w:val="HeaderBoldEven"/>
            <w:rPr>
              <w:b w:val="0"/>
              <w:bCs w:val="0"/>
            </w:rPr>
          </w:pPr>
          <w:r>
            <w:t xml:space="preserve">Section </w:t>
          </w:r>
          <w:r w:rsidR="00F5432D">
            <w:fldChar w:fldCharType="begin"/>
          </w:r>
          <w:r w:rsidR="00F5432D">
            <w:instrText xml:space="preserve"> STYLEREF CharSectno \*Charformat </w:instrText>
          </w:r>
          <w:r w:rsidR="00F5432D">
            <w:fldChar w:fldCharType="separate"/>
          </w:r>
          <w:r w:rsidR="00F5432D">
            <w:rPr>
              <w:noProof/>
            </w:rPr>
            <w:t>7</w:t>
          </w:r>
          <w:r w:rsidR="00F5432D">
            <w:rPr>
              <w:noProof/>
            </w:rPr>
            <w:fldChar w:fldCharType="end"/>
          </w:r>
        </w:p>
      </w:tc>
    </w:tr>
  </w:tbl>
  <w:p w14:paraId="35C520FF" w14:textId="77777777" w:rsidR="006E559D" w:rsidRDefault="006E559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6E559D" w14:paraId="6844C7BB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2DF1992" w14:textId="77777777" w:rsidR="006E559D" w:rsidRDefault="006E559D">
          <w:pPr>
            <w:pStyle w:val="HeaderLiteOdd"/>
          </w:pPr>
          <w:r>
            <w:fldChar w:fldCharType="begin"/>
          </w:r>
          <w:r>
            <w:instrText xml:space="preserve"> STYLEREF CharPartText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3E4B6C7" w14:textId="77777777" w:rsidR="006E559D" w:rsidRDefault="006E559D">
          <w:pPr>
            <w:pStyle w:val="HeaderLiteOdd"/>
          </w:pPr>
          <w:r>
            <w:fldChar w:fldCharType="begin"/>
          </w:r>
          <w:r>
            <w:instrText xml:space="preserve"> STYLEREF CharPartNo \*Charformat \l  </w:instrText>
          </w:r>
          <w:r>
            <w:fldChar w:fldCharType="end"/>
          </w:r>
        </w:p>
      </w:tc>
    </w:tr>
    <w:tr w:rsidR="006E559D" w14:paraId="65EBB7C6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1AF502A" w14:textId="77777777" w:rsidR="006E559D" w:rsidRDefault="006E559D">
          <w:pPr>
            <w:pStyle w:val="HeaderLiteOdd"/>
          </w:pPr>
          <w:r>
            <w:fldChar w:fldCharType="begin"/>
          </w:r>
          <w:r>
            <w:instrText xml:space="preserve"> STYLEREF CharDivText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DA31F12" w14:textId="77777777" w:rsidR="006E559D" w:rsidRDefault="006E559D">
          <w:pPr>
            <w:pStyle w:val="HeaderLiteOdd"/>
          </w:pPr>
          <w:r>
            <w:fldChar w:fldCharType="begin"/>
          </w:r>
          <w:r>
            <w:instrText xml:space="preserve"> STYLEREF CharDivNo \*Charformat \l  </w:instrText>
          </w:r>
          <w:r>
            <w:fldChar w:fldCharType="end"/>
          </w:r>
        </w:p>
      </w:tc>
    </w:tr>
    <w:tr w:rsidR="006E559D" w14:paraId="61CFB179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EF616A6" w14:textId="35CAE85C" w:rsidR="006E559D" w:rsidRDefault="006E559D" w:rsidP="0097500F">
          <w:pPr>
            <w:pStyle w:val="HeaderBoldOdd"/>
            <w:rPr>
              <w:b w:val="0"/>
              <w:bCs w:val="0"/>
            </w:rPr>
          </w:pPr>
          <w:r>
            <w:t xml:space="preserve">Section </w:t>
          </w:r>
          <w:r w:rsidR="00D54515">
            <w:t>4</w:t>
          </w:r>
        </w:p>
      </w:tc>
    </w:tr>
  </w:tbl>
  <w:p w14:paraId="77D8609F" w14:textId="77777777" w:rsidR="006E559D" w:rsidRDefault="006E559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E559D" w14:paraId="587D5896" w14:textId="77777777">
      <w:trPr>
        <w:tblHeader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40FDA46" w14:textId="77777777" w:rsidR="006E559D" w:rsidRDefault="00F5432D">
          <w:pPr>
            <w:pStyle w:val="HeaderLiteEven"/>
          </w:pPr>
          <w:r>
            <w:fldChar w:fldCharType="begin"/>
          </w:r>
          <w:r>
            <w:instrText xml:space="preserve"> STYLEREF CharAmSchNo \*Charformat </w:instrText>
          </w:r>
          <w:r>
            <w:fldChar w:fldCharType="separate"/>
          </w:r>
          <w:r w:rsidR="00496D2A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F35A810" w14:textId="77777777" w:rsidR="006E559D" w:rsidRDefault="00F5432D">
          <w:pPr>
            <w:pStyle w:val="HeaderLiteEven"/>
          </w:pPr>
          <w:r>
            <w:fldChar w:fldCharType="begin"/>
          </w:r>
          <w:r>
            <w:instrText xml:space="preserve"> STYLEREF CharAmSchText \*Charformat </w:instrText>
          </w:r>
          <w:r>
            <w:fldChar w:fldCharType="separate"/>
          </w:r>
          <w:r w:rsidR="00496D2A">
            <w:rPr>
              <w:noProof/>
            </w:rPr>
            <w:t>Handphone station operational requirements</w:t>
          </w:r>
          <w:r>
            <w:rPr>
              <w:noProof/>
            </w:rPr>
            <w:fldChar w:fldCharType="end"/>
          </w:r>
        </w:p>
      </w:tc>
    </w:tr>
    <w:tr w:rsidR="006E559D" w14:paraId="3C9DE7B0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BBC461C" w14:textId="77777777" w:rsidR="006E559D" w:rsidRDefault="006E559D">
          <w:pPr>
            <w:pStyle w:val="HeaderLiteEven"/>
          </w:pPr>
          <w:r>
            <w:fldChar w:fldCharType="begin"/>
          </w:r>
          <w:r>
            <w:instrText xml:space="preserve"> STYLEREF CharSchPTNo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60DA9548" w14:textId="77777777" w:rsidR="006E559D" w:rsidRDefault="006E559D">
          <w:pPr>
            <w:pStyle w:val="HeaderLiteEven"/>
          </w:pPr>
          <w:r>
            <w:fldChar w:fldCharType="begin"/>
          </w:r>
          <w:r>
            <w:instrText xml:space="preserve"> STYLEREF CharSchPTText \*Charformat </w:instrText>
          </w:r>
          <w:r>
            <w:fldChar w:fldCharType="end"/>
          </w:r>
        </w:p>
      </w:tc>
    </w:tr>
    <w:tr w:rsidR="006E559D" w14:paraId="105B5A77" w14:textId="77777777"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0CE206F" w14:textId="77777777" w:rsidR="006E559D" w:rsidRDefault="006E559D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BEFF77" w14:textId="77777777" w:rsidR="006E559D" w:rsidRDefault="006E559D">
          <w:pPr>
            <w:pStyle w:val="HeaderLiteEven"/>
            <w:spacing w:before="120" w:after="60"/>
          </w:pPr>
        </w:p>
      </w:tc>
    </w:tr>
  </w:tbl>
  <w:p w14:paraId="1BAA3FBB" w14:textId="77777777" w:rsidR="006E559D" w:rsidRDefault="006E559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6E559D" w14:paraId="19256D4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6E4CFCA9" w14:textId="77777777" w:rsidR="006E559D" w:rsidRDefault="00F5432D">
          <w:pPr>
            <w:pStyle w:val="HeaderLiteOdd"/>
          </w:pPr>
          <w:r>
            <w:fldChar w:fldCharType="begin"/>
          </w:r>
          <w:r>
            <w:instrText xml:space="preserve"> STYLEREF CharAmSchText \*Charformat \l  </w:instrText>
          </w:r>
          <w:r>
            <w:fldChar w:fldCharType="separate"/>
          </w:r>
          <w:r w:rsidR="003A0F09">
            <w:rPr>
              <w:noProof/>
            </w:rPr>
            <w:t>Handphone station operational requirements</w:t>
          </w:r>
          <w:r>
            <w:rPr>
              <w:noProof/>
            </w:rP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A85C6B9" w14:textId="77777777" w:rsidR="006E559D" w:rsidRDefault="00F5432D">
          <w:pPr>
            <w:pStyle w:val="HeaderLiteOdd"/>
          </w:pPr>
          <w:r>
            <w:fldChar w:fldCharType="begin"/>
          </w:r>
          <w:r>
            <w:instrText xml:space="preserve"> STYLEREF CharAmSchNo \*Charformat \l  </w:instrText>
          </w:r>
          <w:r>
            <w:fldChar w:fldCharType="separate"/>
          </w:r>
          <w:r w:rsidR="003A0F09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  <w:tr w:rsidR="006E559D" w14:paraId="26EB6B4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BDD9D2C" w14:textId="77777777" w:rsidR="006E559D" w:rsidRDefault="006E559D">
          <w:pPr>
            <w:pStyle w:val="HeaderLiteOdd"/>
          </w:pPr>
          <w:r>
            <w:fldChar w:fldCharType="begin"/>
          </w:r>
          <w:r>
            <w:instrText xml:space="preserve"> STYLEREF CharSchPTText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FE3882A" w14:textId="77777777" w:rsidR="006E559D" w:rsidRDefault="006E559D">
          <w:pPr>
            <w:pStyle w:val="HeaderLiteOdd"/>
          </w:pPr>
          <w:r>
            <w:fldChar w:fldCharType="begin"/>
          </w:r>
          <w:r>
            <w:instrText xml:space="preserve"> STYLEREF CharSchPTNo \*Charformat \l  </w:instrText>
          </w:r>
          <w:r>
            <w:fldChar w:fldCharType="end"/>
          </w:r>
        </w:p>
      </w:tc>
    </w:tr>
    <w:tr w:rsidR="006E559D" w14:paraId="472C39A4" w14:textId="77777777"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0806415" w14:textId="77777777" w:rsidR="006E559D" w:rsidRDefault="006E559D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88C3DD0" w14:textId="77777777" w:rsidR="006E559D" w:rsidRDefault="006E559D">
          <w:pPr>
            <w:pStyle w:val="HeaderLiteOdd"/>
            <w:spacing w:before="120" w:after="60"/>
          </w:pPr>
        </w:p>
      </w:tc>
    </w:tr>
  </w:tbl>
  <w:p w14:paraId="06AC23B2" w14:textId="77777777" w:rsidR="006E559D" w:rsidRDefault="006E559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E559D" w14:paraId="5043C253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FE69A07" w14:textId="77777777" w:rsidR="006E559D" w:rsidRDefault="006E559D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0CAFD324" w14:textId="77777777" w:rsidR="006E559D" w:rsidRDefault="006E559D">
          <w:pPr>
            <w:pStyle w:val="HeaderLiteEven"/>
          </w:pPr>
        </w:p>
      </w:tc>
    </w:tr>
    <w:tr w:rsidR="006E559D" w14:paraId="593880E0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282D779" w14:textId="77777777" w:rsidR="006E559D" w:rsidRDefault="006E559D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00911753" w14:textId="77777777" w:rsidR="006E559D" w:rsidRDefault="006E559D">
          <w:pPr>
            <w:pStyle w:val="HeaderLiteEven"/>
          </w:pPr>
        </w:p>
      </w:tc>
    </w:tr>
    <w:tr w:rsidR="006E559D" w14:paraId="0691AF0B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7B4F448" w14:textId="77777777" w:rsidR="006E559D" w:rsidRDefault="006E559D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0C4A78" w14:textId="77777777" w:rsidR="006E559D" w:rsidRDefault="006E559D">
          <w:pPr>
            <w:pStyle w:val="HeaderLiteEven"/>
            <w:spacing w:before="120" w:after="60"/>
          </w:pPr>
        </w:p>
      </w:tc>
    </w:tr>
  </w:tbl>
  <w:p w14:paraId="1DF4FD7C" w14:textId="77777777" w:rsidR="006E559D" w:rsidRDefault="006E559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6E559D" w14:paraId="24AD053F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16E720F" w14:textId="77777777" w:rsidR="006E559D" w:rsidRDefault="006E559D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51A7FFE" w14:textId="77777777" w:rsidR="006E559D" w:rsidRDefault="006E559D">
          <w:pPr>
            <w:pStyle w:val="HeaderLiteOdd"/>
          </w:pPr>
        </w:p>
      </w:tc>
    </w:tr>
    <w:tr w:rsidR="006E559D" w14:paraId="10673FE1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CAF10CA" w14:textId="77777777" w:rsidR="006E559D" w:rsidRDefault="006E559D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323D321" w14:textId="77777777" w:rsidR="006E559D" w:rsidRDefault="006E559D">
          <w:pPr>
            <w:pStyle w:val="HeaderLiteOdd"/>
          </w:pPr>
        </w:p>
      </w:tc>
    </w:tr>
    <w:tr w:rsidR="006E559D" w14:paraId="4F618828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0A58A1" w14:textId="77777777" w:rsidR="006E559D" w:rsidRDefault="006E559D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BF70AAD" w14:textId="77777777" w:rsidR="006E559D" w:rsidRDefault="006E559D">
          <w:pPr>
            <w:pStyle w:val="HeaderLiteOdd"/>
            <w:spacing w:before="120" w:after="60"/>
          </w:pPr>
        </w:p>
      </w:tc>
    </w:tr>
  </w:tbl>
  <w:p w14:paraId="6BB1435D" w14:textId="77777777" w:rsidR="006E559D" w:rsidRDefault="006E55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BE6A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D0C3F94"/>
    <w:multiLevelType w:val="singleLevel"/>
    <w:tmpl w:val="255E0224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Symbol" w:hint="default"/>
      </w:rPr>
    </w:lvl>
  </w:abstractNum>
  <w:abstractNum w:abstractNumId="2">
    <w:nsid w:val="41A87C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A042F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A6F0C41"/>
    <w:multiLevelType w:val="singleLevel"/>
    <w:tmpl w:val="16A6274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Symbol" w:hint="default"/>
      </w:rPr>
    </w:lvl>
  </w:abstractNum>
  <w:abstractNum w:abstractNumId="5">
    <w:nsid w:val="62EB25EB"/>
    <w:multiLevelType w:val="singleLevel"/>
    <w:tmpl w:val="50C2A20A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cs="Symbol" w:hint="default"/>
      </w:rPr>
    </w:lvl>
  </w:abstractNum>
  <w:abstractNum w:abstractNumId="6">
    <w:nsid w:val="668A1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4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6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0"/>
    <w:rsid w:val="00005861"/>
    <w:rsid w:val="00080728"/>
    <w:rsid w:val="000C397E"/>
    <w:rsid w:val="000C7906"/>
    <w:rsid w:val="000E36BD"/>
    <w:rsid w:val="001271D0"/>
    <w:rsid w:val="001574D0"/>
    <w:rsid w:val="001830F1"/>
    <w:rsid w:val="001A7CE3"/>
    <w:rsid w:val="001B1BA0"/>
    <w:rsid w:val="001B531A"/>
    <w:rsid w:val="00217211"/>
    <w:rsid w:val="0025613B"/>
    <w:rsid w:val="00293123"/>
    <w:rsid w:val="002A3161"/>
    <w:rsid w:val="002B3D37"/>
    <w:rsid w:val="002C64A1"/>
    <w:rsid w:val="002E1C80"/>
    <w:rsid w:val="002E702C"/>
    <w:rsid w:val="002F08F5"/>
    <w:rsid w:val="002F620F"/>
    <w:rsid w:val="00310954"/>
    <w:rsid w:val="0032543C"/>
    <w:rsid w:val="00331AEC"/>
    <w:rsid w:val="00333760"/>
    <w:rsid w:val="00340734"/>
    <w:rsid w:val="00343BC3"/>
    <w:rsid w:val="00350511"/>
    <w:rsid w:val="00391AD3"/>
    <w:rsid w:val="00397FFB"/>
    <w:rsid w:val="003A08D1"/>
    <w:rsid w:val="003A0F09"/>
    <w:rsid w:val="003D6CD7"/>
    <w:rsid w:val="003D7994"/>
    <w:rsid w:val="003F407A"/>
    <w:rsid w:val="00411DF9"/>
    <w:rsid w:val="00443CCC"/>
    <w:rsid w:val="0044692E"/>
    <w:rsid w:val="00496D2A"/>
    <w:rsid w:val="004A616C"/>
    <w:rsid w:val="004B782D"/>
    <w:rsid w:val="00511B80"/>
    <w:rsid w:val="00553C08"/>
    <w:rsid w:val="00556587"/>
    <w:rsid w:val="00570D36"/>
    <w:rsid w:val="00581DE8"/>
    <w:rsid w:val="005A73CC"/>
    <w:rsid w:val="006550FC"/>
    <w:rsid w:val="00677C2B"/>
    <w:rsid w:val="006971B4"/>
    <w:rsid w:val="006E559D"/>
    <w:rsid w:val="006E5E65"/>
    <w:rsid w:val="006F1038"/>
    <w:rsid w:val="00725EEF"/>
    <w:rsid w:val="00745035"/>
    <w:rsid w:val="00756808"/>
    <w:rsid w:val="00763A9A"/>
    <w:rsid w:val="00783F7A"/>
    <w:rsid w:val="007845F0"/>
    <w:rsid w:val="007C6D2F"/>
    <w:rsid w:val="007D718D"/>
    <w:rsid w:val="00846E0B"/>
    <w:rsid w:val="00862AF3"/>
    <w:rsid w:val="00882BD1"/>
    <w:rsid w:val="0088691E"/>
    <w:rsid w:val="008A2891"/>
    <w:rsid w:val="008F1D23"/>
    <w:rsid w:val="008F67E8"/>
    <w:rsid w:val="008F6EED"/>
    <w:rsid w:val="00900BD8"/>
    <w:rsid w:val="00947A4D"/>
    <w:rsid w:val="0097500F"/>
    <w:rsid w:val="00987849"/>
    <w:rsid w:val="009B1264"/>
    <w:rsid w:val="009B6BA1"/>
    <w:rsid w:val="009B7A82"/>
    <w:rsid w:val="009E1F3C"/>
    <w:rsid w:val="00A0358F"/>
    <w:rsid w:val="00A42203"/>
    <w:rsid w:val="00A65E7C"/>
    <w:rsid w:val="00A93B9E"/>
    <w:rsid w:val="00AE434E"/>
    <w:rsid w:val="00AF259E"/>
    <w:rsid w:val="00B034B5"/>
    <w:rsid w:val="00B15CAD"/>
    <w:rsid w:val="00B513FA"/>
    <w:rsid w:val="00B74DC6"/>
    <w:rsid w:val="00B876AA"/>
    <w:rsid w:val="00B9196A"/>
    <w:rsid w:val="00BE08DE"/>
    <w:rsid w:val="00C2004E"/>
    <w:rsid w:val="00C52CA9"/>
    <w:rsid w:val="00C56F0E"/>
    <w:rsid w:val="00C67664"/>
    <w:rsid w:val="00C972E3"/>
    <w:rsid w:val="00CB23CC"/>
    <w:rsid w:val="00CB3E7F"/>
    <w:rsid w:val="00CE0B02"/>
    <w:rsid w:val="00CE0F52"/>
    <w:rsid w:val="00CF1947"/>
    <w:rsid w:val="00D27F60"/>
    <w:rsid w:val="00D30DCF"/>
    <w:rsid w:val="00D319DF"/>
    <w:rsid w:val="00D54515"/>
    <w:rsid w:val="00D605D8"/>
    <w:rsid w:val="00D618A8"/>
    <w:rsid w:val="00E3006E"/>
    <w:rsid w:val="00E339B7"/>
    <w:rsid w:val="00E802C5"/>
    <w:rsid w:val="00E9062F"/>
    <w:rsid w:val="00EA08E9"/>
    <w:rsid w:val="00EB196B"/>
    <w:rsid w:val="00ED4B42"/>
    <w:rsid w:val="00EE2D64"/>
    <w:rsid w:val="00EF2713"/>
    <w:rsid w:val="00F3460D"/>
    <w:rsid w:val="00F41F8E"/>
    <w:rsid w:val="00F5432D"/>
    <w:rsid w:val="00F54BD4"/>
    <w:rsid w:val="00F8535B"/>
    <w:rsid w:val="00F925C0"/>
    <w:rsid w:val="00FA3D04"/>
    <w:rsid w:val="00FC67E4"/>
    <w:rsid w:val="00FD7D35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62FE1"/>
  <w14:defaultImageDpi w14:val="0"/>
  <w15:docId w15:val="{963B334F-39AE-463B-8449-B0B7E0C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SigningPageBreak">
    <w:name w:val="SigningPageBreak"/>
    <w:basedOn w:val="Normal"/>
    <w:next w:val="Normal"/>
    <w:uiPriority w:val="99"/>
    <w:pPr>
      <w:spacing w:line="1800" w:lineRule="atLeast"/>
    </w:pPr>
  </w:style>
  <w:style w:type="paragraph" w:customStyle="1" w:styleId="FooterInfo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styleId="Footer">
    <w:name w:val="footer"/>
    <w:basedOn w:val="Normal"/>
    <w:link w:val="FooterChar"/>
    <w:uiPriority w:val="99"/>
    <w:pPr>
      <w:spacing w:before="20"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HeaderLiteEven">
    <w:name w:val="HeaderLiteEven"/>
    <w:basedOn w:val="Header"/>
    <w:uiPriority w:val="99"/>
    <w:pPr>
      <w:spacing w:before="60"/>
      <w:jc w:val="left"/>
    </w:pPr>
    <w:rPr>
      <w:rFonts w:ascii="Arial" w:hAnsi="Arial" w:cs="Arial"/>
      <w:sz w:val="18"/>
      <w:szCs w:val="18"/>
    </w:rPr>
  </w:style>
  <w:style w:type="paragraph" w:customStyle="1" w:styleId="ContentsHead">
    <w:name w:val="ContentsHead"/>
    <w:basedOn w:val="Normal"/>
    <w:next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TOC">
    <w:name w:val="TOC"/>
    <w:basedOn w:val="Normal"/>
    <w:next w:val="Normal"/>
    <w:uiPriority w:val="99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customStyle="1" w:styleId="ContentsSectionBreak">
    <w:name w:val="ContentsSectionBreak"/>
    <w:basedOn w:val="Normal"/>
    <w:next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3969"/>
        <w:tab w:val="right" w:pos="8505"/>
      </w:tabs>
      <w:jc w:val="both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customStyle="1" w:styleId="HeaderLiteOdd">
    <w:name w:val="HeaderLiteOdd"/>
    <w:basedOn w:val="HeaderLiteEven"/>
    <w:uiPriority w:val="99"/>
    <w:pPr>
      <w:jc w:val="right"/>
    </w:pPr>
  </w:style>
  <w:style w:type="paragraph" w:customStyle="1" w:styleId="ReadersGuideSectionBreak">
    <w:name w:val="ReadersGuideSectionBreak"/>
    <w:basedOn w:val="Normal"/>
    <w:next w:val="Normal"/>
    <w:uiPriority w:val="99"/>
  </w:style>
  <w:style w:type="paragraph" w:customStyle="1" w:styleId="TextWOutChapSectionBreak">
    <w:name w:val="TextW/OutChapSectionBreak"/>
    <w:basedOn w:val="Normal"/>
    <w:next w:val="Normal"/>
    <w:uiPriority w:val="99"/>
    <w:pPr>
      <w:jc w:val="center"/>
    </w:pPr>
  </w:style>
  <w:style w:type="paragraph" w:customStyle="1" w:styleId="SchedSectionBreak">
    <w:name w:val="SchedSectionBreak"/>
    <w:basedOn w:val="Normal"/>
    <w:next w:val="Normal"/>
    <w:uiPriority w:val="99"/>
  </w:style>
  <w:style w:type="paragraph" w:customStyle="1" w:styleId="DictionarySectionBreak">
    <w:name w:val="DictionarySectionBreak"/>
    <w:basedOn w:val="Normal"/>
    <w:uiPriority w:val="99"/>
  </w:style>
  <w:style w:type="paragraph" w:styleId="BodyText">
    <w:name w:val="Body Text"/>
    <w:basedOn w:val="Normal"/>
    <w:link w:val="BodyTextChar"/>
    <w:uiPriority w:val="99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57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character" w:customStyle="1" w:styleId="CharAmSchNo">
    <w:name w:val="CharAmSchNo"/>
    <w:basedOn w:val="DefaultParagraphFont"/>
    <w:uiPriority w:val="99"/>
    <w:rPr>
      <w:rFonts w:ascii="Arial" w:hAnsi="Arial" w:cs="Arial"/>
    </w:rPr>
  </w:style>
  <w:style w:type="character" w:customStyle="1" w:styleId="CharAmSchText">
    <w:name w:val="CharAmSchText"/>
    <w:basedOn w:val="DefaultParagraphFont"/>
    <w:uiPriority w:val="99"/>
    <w:rPr>
      <w:rFonts w:ascii="Arial" w:hAnsi="Arial" w:cs="Arial"/>
    </w:rPr>
  </w:style>
  <w:style w:type="character" w:customStyle="1" w:styleId="CharChapNo">
    <w:name w:val="CharChapNo"/>
    <w:basedOn w:val="DefaultParagraphFont"/>
    <w:uiPriority w:val="99"/>
    <w:rPr>
      <w:rFonts w:ascii="Arial" w:hAnsi="Arial" w:cs="Arial"/>
    </w:rPr>
  </w:style>
  <w:style w:type="character" w:customStyle="1" w:styleId="CharChapText">
    <w:name w:val="CharChapText"/>
    <w:basedOn w:val="DefaultParagraphFont"/>
    <w:uiPriority w:val="99"/>
    <w:rPr>
      <w:rFonts w:ascii="Arial" w:hAnsi="Arial" w:cs="Arial"/>
    </w:rPr>
  </w:style>
  <w:style w:type="character" w:customStyle="1" w:styleId="CharDivNo">
    <w:name w:val="CharDivNo"/>
    <w:basedOn w:val="DefaultParagraphFont"/>
    <w:uiPriority w:val="99"/>
    <w:rPr>
      <w:rFonts w:ascii="Arial" w:hAnsi="Arial" w:cs="Arial"/>
    </w:rPr>
  </w:style>
  <w:style w:type="character" w:customStyle="1" w:styleId="CharDivText">
    <w:name w:val="CharDivText"/>
    <w:basedOn w:val="DefaultParagraphFont"/>
    <w:uiPriority w:val="99"/>
    <w:rPr>
      <w:rFonts w:ascii="Arial" w:hAnsi="Arial" w:cs="Arial"/>
    </w:r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964"/>
      <w:jc w:val="both"/>
    </w:pPr>
  </w:style>
  <w:style w:type="character" w:customStyle="1" w:styleId="CharPartNo">
    <w:name w:val="CharPartNo"/>
    <w:basedOn w:val="DefaultParagraphFont"/>
    <w:uiPriority w:val="99"/>
    <w:rPr>
      <w:rFonts w:ascii="Arial" w:hAnsi="Arial" w:cs="Arial"/>
    </w:rPr>
  </w:style>
  <w:style w:type="character" w:customStyle="1" w:styleId="CharPartText">
    <w:name w:val="CharPartText"/>
    <w:basedOn w:val="DefaultParagraphFont"/>
    <w:uiPriority w:val="99"/>
    <w:rPr>
      <w:rFonts w:ascii="Arial" w:hAnsi="Arial" w:cs="Arial"/>
    </w:rPr>
  </w:style>
  <w:style w:type="character" w:customStyle="1" w:styleId="CharSchPTNo">
    <w:name w:val="CharSchPTNo"/>
    <w:basedOn w:val="DefaultParagraphFont"/>
    <w:uiPriority w:val="99"/>
    <w:rPr>
      <w:rFonts w:ascii="Arial" w:hAnsi="Arial" w:cs="Arial"/>
    </w:rPr>
  </w:style>
  <w:style w:type="paragraph" w:customStyle="1" w:styleId="R1">
    <w:name w:val="R1"/>
    <w:aliases w:val="1. or 1.(1)"/>
    <w:basedOn w:val="Normal"/>
    <w:next w:val="R2"/>
    <w:uiPriority w:val="99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uiPriority w:val="99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character" w:customStyle="1" w:styleId="CharSchPTText">
    <w:name w:val="CharSchPTText"/>
    <w:basedOn w:val="DefaultParagraphFont"/>
    <w:uiPriority w:val="99"/>
    <w:rPr>
      <w:rFonts w:ascii="Arial" w:hAnsi="Arial" w:cs="Arial"/>
    </w:rPr>
  </w:style>
  <w:style w:type="character" w:customStyle="1" w:styleId="CharSectno">
    <w:name w:val="CharSectno"/>
    <w:basedOn w:val="DefaultParagraphFont"/>
    <w:uiPriority w:val="99"/>
    <w:rPr>
      <w:rFonts w:ascii="Arial" w:hAnsi="Arial" w:cs="Arial"/>
    </w:rPr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uiPriority w:val="99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HC">
    <w:name w:val="HC"/>
    <w:aliases w:val="Chapter Heading"/>
    <w:basedOn w:val="Normal"/>
    <w:next w:val="HP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D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</w:style>
  <w:style w:type="paragraph" w:customStyle="1" w:styleId="DictionaryHeading">
    <w:name w:val="Dictionary Heading"/>
    <w:basedOn w:val="Normal"/>
    <w:next w:val="DD"/>
    <w:uiPriority w:val="99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HD">
    <w:name w:val="HD"/>
    <w:aliases w:val="Division Heading"/>
    <w:basedOn w:val="Normal"/>
    <w:next w:val="HR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aderBoldEven">
    <w:name w:val="HeaderBoldEven"/>
    <w:basedOn w:val="Normal"/>
    <w:uiPriority w:val="99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R1"/>
    <w:uiPriority w:val="99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3">
    <w:name w:val="M3"/>
    <w:aliases w:val="Modification Text"/>
    <w:basedOn w:val="Normal"/>
    <w:uiPriority w:val="99"/>
    <w:pPr>
      <w:spacing w:before="60" w:line="260" w:lineRule="exact"/>
      <w:ind w:left="1077" w:hanging="1077"/>
      <w:jc w:val="both"/>
    </w:p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P2">
    <w:name w:val="P2"/>
    <w:aliases w:val="(i)"/>
    <w:basedOn w:val="Normal"/>
    <w:uiPriority w:val="9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DP2i">
    <w:name w:val="DP2(i)"/>
    <w:aliases w:val="Dictionary(i)"/>
    <w:basedOn w:val="Normal"/>
    <w:uiPriority w:val="99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pPr>
      <w:numPr>
        <w:numId w:val="7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M2">
    <w:name w:val="M2"/>
    <w:aliases w:val="Modification Instruction"/>
    <w:basedOn w:val="Normal"/>
    <w:next w:val="M3"/>
    <w:uiPriority w:val="99"/>
    <w:pPr>
      <w:keepNext/>
      <w:spacing w:before="120" w:line="260" w:lineRule="exact"/>
      <w:ind w:left="794"/>
    </w:pPr>
    <w:rPr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R1"/>
    <w:uiPriority w:val="99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pPr>
      <w:keepNext/>
      <w:spacing w:before="300"/>
    </w:pPr>
    <w:rPr>
      <w:i/>
      <w:iCs/>
    </w:rPr>
  </w:style>
  <w:style w:type="paragraph" w:customStyle="1" w:styleId="P3">
    <w:name w:val="P3"/>
    <w:aliases w:val="(A)"/>
    <w:basedOn w:val="Normal"/>
    <w:uiPriority w:val="99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age">
    <w:name w:val="Page"/>
    <w:uiPriority w:val="99"/>
    <w:pPr>
      <w:autoSpaceDE w:val="0"/>
      <w:autoSpaceDN w:val="0"/>
      <w:spacing w:after="0" w:line="240" w:lineRule="auto"/>
      <w:jc w:val="right"/>
    </w:pPr>
    <w:rPr>
      <w:rFonts w:ascii="Arial" w:hAnsi="Arial" w:cs="Arial"/>
      <w:noProof/>
      <w:sz w:val="20"/>
      <w:szCs w:val="20"/>
      <w:lang w:val="en-US"/>
    </w:rPr>
  </w:style>
  <w:style w:type="paragraph" w:customStyle="1" w:styleId="Penalty">
    <w:name w:val="Penalty"/>
    <w:basedOn w:val="Normal"/>
    <w:uiPriority w:val="99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uiPriority w:val="99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1"/>
    <w:uiPriority w:val="99"/>
    <w:pPr>
      <w:spacing w:before="60" w:line="260" w:lineRule="exact"/>
      <w:ind w:left="964"/>
      <w:jc w:val="both"/>
    </w:pPr>
  </w:style>
  <w:style w:type="paragraph" w:customStyle="1" w:styleId="TableText">
    <w:name w:val="TableText"/>
    <w:basedOn w:val="Normal"/>
    <w:uiPriority w:val="99"/>
    <w:pPr>
      <w:spacing w:before="120" w:line="240" w:lineRule="exact"/>
    </w:pPr>
    <w:rPr>
      <w:sz w:val="22"/>
      <w:szCs w:val="22"/>
    </w:rPr>
  </w:style>
  <w:style w:type="paragraph" w:customStyle="1" w:styleId="RGHead">
    <w:name w:val="RGHead"/>
    <w:basedOn w:val="Normal"/>
    <w:next w:val="RGPtHd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uiPriority w:val="99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pPr>
      <w:keepNext/>
      <w:spacing w:before="360"/>
    </w:pPr>
    <w:rPr>
      <w:rFonts w:ascii="Arial" w:hAnsi="Arial" w:cs="Arial"/>
      <w:b/>
      <w:bCs/>
    </w:rPr>
  </w:style>
  <w:style w:type="paragraph" w:customStyle="1" w:styleId="Schedulepara">
    <w:name w:val="Schedule para"/>
    <w:basedOn w:val="Normal"/>
    <w:uiPriority w:val="99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R1"/>
    <w:uiPriority w:val="99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tabs>
        <w:tab w:val="right" w:pos="1985"/>
      </w:tabs>
      <w:spacing w:before="60" w:line="260" w:lineRule="exact"/>
      <w:ind w:left="454"/>
    </w:pPr>
  </w:style>
  <w:style w:type="paragraph" w:styleId="TOC1">
    <w:name w:val="toc 1"/>
    <w:basedOn w:val="Normal"/>
    <w:next w:val="Normal"/>
    <w:autoRedefine/>
    <w:uiPriority w:val="99"/>
    <w:semiHidden/>
    <w:pPr>
      <w:keepNext/>
      <w:tabs>
        <w:tab w:val="right" w:pos="8335"/>
      </w:tabs>
      <w:spacing w:before="120"/>
      <w:ind w:left="1701" w:hanging="1701"/>
    </w:pPr>
    <w:rPr>
      <w:rFonts w:ascii="Arial" w:hAnsi="Arial" w:cs="Arial"/>
      <w:b/>
      <w:bCs/>
    </w:rPr>
  </w:style>
  <w:style w:type="paragraph" w:customStyle="1" w:styleId="Schedulereference">
    <w:name w:val="Schedule reference"/>
    <w:basedOn w:val="Normal"/>
    <w:next w:val="Schedulepart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chedulepart">
    <w:name w:val="Schedule part"/>
    <w:basedOn w:val="Normal"/>
    <w:uiPriority w:val="99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customStyle="1" w:styleId="TableColHead">
    <w:name w:val="TableColHead"/>
    <w:basedOn w:val="Normal"/>
    <w:uiPriority w:val="99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styleId="TOC2">
    <w:name w:val="toc 2"/>
    <w:basedOn w:val="Normal"/>
    <w:next w:val="Normal"/>
    <w:autoRedefine/>
    <w:uiPriority w:val="99"/>
    <w:semiHidden/>
    <w:pPr>
      <w:keepNext/>
      <w:tabs>
        <w:tab w:val="right" w:pos="8335"/>
      </w:tabs>
      <w:spacing w:before="240" w:after="120"/>
      <w:ind w:left="1701" w:right="714" w:hanging="1701"/>
    </w:pPr>
    <w:rPr>
      <w:rFonts w:ascii="Arial" w:hAnsi="Arial" w:cs="Arial"/>
      <w:b/>
      <w:bCs/>
    </w:rPr>
  </w:style>
  <w:style w:type="paragraph" w:styleId="TOC3">
    <w:name w:val="toc 3"/>
    <w:basedOn w:val="Normal"/>
    <w:next w:val="Normal"/>
    <w:autoRedefine/>
    <w:uiPriority w:val="99"/>
    <w:semiHidden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keepNext/>
      <w:tabs>
        <w:tab w:val="right" w:pos="8335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pos="1559"/>
        <w:tab w:val="right" w:pos="8335"/>
      </w:tabs>
      <w:spacing w:before="40"/>
      <w:ind w:left="1843" w:right="714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pPr>
      <w:keepNext/>
      <w:tabs>
        <w:tab w:val="right" w:pos="8335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left" w:pos="1701"/>
        <w:tab w:val="right" w:pos="8335"/>
      </w:tabs>
      <w:spacing w:before="60"/>
      <w:ind w:left="1701" w:right="714" w:hanging="1701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pos="8335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uiPriority w:val="99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Maker">
    <w:name w:val="Maker"/>
    <w:basedOn w:val="Normal"/>
    <w:uiPriority w:val="99"/>
    <w:pPr>
      <w:tabs>
        <w:tab w:val="left" w:pos="3119"/>
      </w:tabs>
      <w:spacing w:line="300" w:lineRule="atLeast"/>
    </w:pPr>
  </w:style>
  <w:style w:type="paragraph" w:customStyle="1" w:styleId="TableP1a">
    <w:name w:val="TableP1(a)"/>
    <w:basedOn w:val="Normal"/>
    <w:uiPriority w:val="99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NoteBody">
    <w:name w:val="Note Body"/>
    <w:basedOn w:val="Normal"/>
    <w:uiPriority w:val="99"/>
    <w:pPr>
      <w:spacing w:before="240" w:line="260" w:lineRule="atLeast"/>
      <w:jc w:val="both"/>
    </w:pPr>
    <w:rPr>
      <w:rFonts w:ascii="Times" w:hAnsi="Times" w:cs="Times"/>
      <w:sz w:val="22"/>
      <w:szCs w:val="22"/>
    </w:r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N">
    <w:name w:val="ZRcN"/>
    <w:basedOn w:val="Rc"/>
    <w:uiPriority w:val="99"/>
    <w:pPr>
      <w:keepNext/>
    </w:pPr>
  </w:style>
  <w:style w:type="paragraph" w:customStyle="1" w:styleId="bulletedlist">
    <w:name w:val="bulleted list"/>
    <w:basedOn w:val="Normal"/>
    <w:uiPriority w:val="99"/>
    <w:pPr>
      <w:numPr>
        <w:numId w:val="14"/>
      </w:numPr>
      <w:spacing w:before="60" w:line="260" w:lineRule="exact"/>
      <w:jc w:val="both"/>
    </w:pPr>
  </w:style>
  <w:style w:type="paragraph" w:customStyle="1" w:styleId="PageBreak">
    <w:name w:val="PageBreak"/>
    <w:aliases w:val="pb"/>
    <w:basedOn w:val="Normal"/>
    <w:next w:val="Heading2"/>
    <w:uiPriority w:val="99"/>
    <w:rPr>
      <w:sz w:val="2"/>
      <w:szCs w:val="2"/>
    </w:rPr>
  </w:style>
  <w:style w:type="paragraph" w:customStyle="1" w:styleId="Formula">
    <w:name w:val="Formula"/>
    <w:basedOn w:val="Normal"/>
    <w:next w:val="Rc"/>
    <w:uiPriority w:val="99"/>
    <w:pPr>
      <w:spacing w:before="180" w:after="1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1D0"/>
    <w:rPr>
      <w:b/>
      <w:bCs/>
      <w:sz w:val="20"/>
      <w:szCs w:val="20"/>
    </w:rPr>
  </w:style>
  <w:style w:type="character" w:styleId="Hyperlink">
    <w:name w:val="Hyperlink"/>
    <w:rsid w:val="001271D0"/>
    <w:rPr>
      <w:color w:val="0000FF"/>
      <w:u w:val="single"/>
    </w:rPr>
  </w:style>
  <w:style w:type="character" w:customStyle="1" w:styleId="legtitle1">
    <w:name w:val="legtitle1"/>
    <w:basedOn w:val="DefaultParagraphFont"/>
    <w:rsid w:val="00553C08"/>
    <w:rPr>
      <w:rFonts w:ascii="Helvetica Neue" w:hAnsi="Helvetica Neue" w:hint="default"/>
      <w:b/>
      <w:bCs/>
      <w:color w:val="10418E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A7CE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45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comlaw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comlaw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KNAH4PPFC442-3114-890</_dlc_DocId>
    <_dlc_DocIdUrl xmlns="6db8f3c6-01a1-4322-b043-a3b2a190f7a8">
      <Url>http://collaboration/organisation/Auth/Chair/Auth/_layouts/DocIdRedir.aspx?ID=KNAH4PPFC442-3114-890</Url>
      <Description>KNAH4PPFC442-3114-890</Description>
    </_dlc_DocIdUrl>
    <Record_x0020_Number xmlns="83630db1-6fc2-4dfd-b3fe-d61d34e1440c">ER2015/141428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8C58C-9DB0-45E1-B10C-DD8D1823E14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09AA1F-BFC4-4C76-8226-9997C42EEC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F4D324-806E-4432-9EC2-6652B6B09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14F4D-EB6C-430D-937D-036F45B8ADD2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5.xml><?xml version="1.0" encoding="utf-8"?>
<ds:datastoreItem xmlns:ds="http://schemas.openxmlformats.org/officeDocument/2006/customXml" ds:itemID="{58B0D8CE-91D5-4BCD-983B-B3D801B30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(27 MHz Handphone Stations) Class Licence 2002</vt:lpstr>
    </vt:vector>
  </TitlesOfParts>
  <Company>ACA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(27 MHz Handphone Stations) Class Licence 2002</dc:title>
  <dc:subject/>
  <dc:creator>ACA</dc:creator>
  <cp:keywords/>
  <dc:description/>
  <cp:lastModifiedBy>Helen Turnbull</cp:lastModifiedBy>
  <cp:revision>3</cp:revision>
  <cp:lastPrinted>2015-06-10T04:37:00Z</cp:lastPrinted>
  <dcterms:created xsi:type="dcterms:W3CDTF">2015-08-20T07:30:00Z</dcterms:created>
  <dcterms:modified xsi:type="dcterms:W3CDTF">2015-09-08T06:32:00Z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b0e3fe1d-6e6e-4d39-b160-414096141c42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{b0e3fe1d-6e6e-4d39-b160-414096141c42}</vt:lpwstr>
  </property>
  <property fmtid="{D5CDD505-2E9C-101B-9397-08002B2CF9AE}" pid="9" name="RecordPoint_SubmissionCompleted">
    <vt:lpwstr>2015-09-02T15:02:26.8263502+10:00</vt:lpwstr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