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1C5" w:rsidRPr="008E01C5" w:rsidRDefault="008E01C5" w:rsidP="001072FD">
      <w:pPr>
        <w:spacing w:after="200" w:line="276" w:lineRule="auto"/>
        <w:jc w:val="center"/>
        <w:rPr>
          <w:rFonts w:ascii="Times New Roman" w:hAnsi="Times New Roman"/>
          <w:b/>
          <w:sz w:val="24"/>
          <w:u w:val="single"/>
        </w:rPr>
      </w:pPr>
      <w:r w:rsidRPr="0053704F">
        <w:rPr>
          <w:rFonts w:ascii="Times New Roman" w:hAnsi="Times New Roman"/>
          <w:b/>
          <w:sz w:val="24"/>
          <w:u w:val="single"/>
        </w:rPr>
        <w:t>EXPLANATORY STATEMENT</w:t>
      </w:r>
    </w:p>
    <w:p w:rsidR="00DA7FC6" w:rsidRPr="00AA6125" w:rsidRDefault="007F6A87" w:rsidP="00DA7FC6">
      <w:pPr>
        <w:pStyle w:val="Subtitle"/>
        <w:jc w:val="center"/>
        <w:rPr>
          <w:rFonts w:ascii="Times New Roman" w:hAnsi="Times New Roman"/>
          <w:b w:val="0"/>
          <w:u w:val="single"/>
        </w:rPr>
      </w:pPr>
      <w:r w:rsidRPr="00E60680">
        <w:rPr>
          <w:rFonts w:ascii="Times New Roman" w:hAnsi="Times New Roman"/>
          <w:b w:val="0"/>
          <w:i/>
        </w:rPr>
        <w:t>Space Activities (Approved Scientific or Educational Organisations) Guidelines 20</w:t>
      </w:r>
      <w:r w:rsidR="00C71570" w:rsidRPr="00E60680">
        <w:rPr>
          <w:rFonts w:ascii="Times New Roman" w:hAnsi="Times New Roman"/>
          <w:b w:val="0"/>
          <w:i/>
        </w:rPr>
        <w:t>15</w:t>
      </w:r>
      <w:r w:rsidR="00DA7FC6" w:rsidRPr="00AA6125">
        <w:rPr>
          <w:rFonts w:ascii="Times New Roman" w:hAnsi="Times New Roman"/>
          <w:b w:val="0"/>
          <w:u w:val="single"/>
        </w:rPr>
        <w:t xml:space="preserve"> </w:t>
      </w:r>
    </w:p>
    <w:p w:rsidR="00DA7FC6" w:rsidRPr="005E73C5" w:rsidRDefault="00DA7FC6" w:rsidP="00DA7FC6">
      <w:pPr>
        <w:pStyle w:val="Subtitle"/>
        <w:jc w:val="center"/>
        <w:rPr>
          <w:rFonts w:ascii="Times New Roman" w:hAnsi="Times New Roman"/>
          <w:b w:val="0"/>
          <w:u w:val="single"/>
        </w:rPr>
      </w:pPr>
      <w:r>
        <w:rPr>
          <w:rFonts w:ascii="Times New Roman" w:hAnsi="Times New Roman"/>
          <w:b w:val="0"/>
          <w:u w:val="single"/>
        </w:rPr>
        <w:t>Issued by the a</w:t>
      </w:r>
      <w:r w:rsidRPr="005E73C5">
        <w:rPr>
          <w:rFonts w:ascii="Times New Roman" w:hAnsi="Times New Roman"/>
          <w:b w:val="0"/>
          <w:u w:val="single"/>
        </w:rPr>
        <w:t>uthority of the Minister for Industry</w:t>
      </w:r>
      <w:r>
        <w:rPr>
          <w:rFonts w:ascii="Times New Roman" w:hAnsi="Times New Roman"/>
          <w:b w:val="0"/>
          <w:u w:val="single"/>
        </w:rPr>
        <w:t xml:space="preserve"> and Science</w:t>
      </w:r>
    </w:p>
    <w:p w:rsidR="007F6A87" w:rsidRPr="007F6A87" w:rsidRDefault="007F6A87" w:rsidP="007F6A87">
      <w:pPr>
        <w:pStyle w:val="BodyText"/>
        <w:jc w:val="center"/>
        <w:rPr>
          <w:rFonts w:ascii="Times New Roman" w:hAnsi="Times New Roman"/>
          <w:b/>
          <w:i/>
          <w:szCs w:val="22"/>
        </w:rPr>
      </w:pPr>
    </w:p>
    <w:p w:rsidR="00E2251D" w:rsidRPr="0053704F" w:rsidRDefault="00E2251D" w:rsidP="00E2251D">
      <w:pPr>
        <w:rPr>
          <w:rFonts w:ascii="Times New Roman" w:hAnsi="Times New Roman"/>
          <w:b/>
          <w:sz w:val="24"/>
        </w:rPr>
      </w:pPr>
      <w:r w:rsidRPr="0053704F">
        <w:rPr>
          <w:rFonts w:ascii="Times New Roman" w:hAnsi="Times New Roman"/>
          <w:b/>
          <w:sz w:val="24"/>
        </w:rPr>
        <w:t>Authority</w:t>
      </w:r>
    </w:p>
    <w:p w:rsidR="00E2251D" w:rsidRDefault="00454EC4" w:rsidP="001A2100">
      <w:pPr>
        <w:rPr>
          <w:rFonts w:ascii="Times New Roman" w:hAnsi="Times New Roman"/>
          <w:szCs w:val="22"/>
        </w:rPr>
      </w:pPr>
      <w:r>
        <w:rPr>
          <w:rFonts w:ascii="Times New Roman" w:hAnsi="Times New Roman"/>
          <w:szCs w:val="22"/>
        </w:rPr>
        <w:t>The</w:t>
      </w:r>
      <w:r w:rsidRPr="00454EC4">
        <w:rPr>
          <w:rFonts w:ascii="Times New Roman" w:hAnsi="Times New Roman"/>
          <w:i/>
        </w:rPr>
        <w:t xml:space="preserve"> </w:t>
      </w:r>
      <w:r w:rsidRPr="007F6A87">
        <w:rPr>
          <w:rFonts w:ascii="Times New Roman" w:hAnsi="Times New Roman"/>
          <w:i/>
        </w:rPr>
        <w:t>Space Activities (Approved Scientific or Educational Organisations)</w:t>
      </w:r>
      <w:r w:rsidRPr="00475EDE">
        <w:rPr>
          <w:rFonts w:ascii="Times New Roman" w:hAnsi="Times New Roman"/>
          <w:i/>
        </w:rPr>
        <w:t xml:space="preserve"> Guidelines</w:t>
      </w:r>
      <w:r>
        <w:rPr>
          <w:rFonts w:ascii="Times New Roman" w:hAnsi="Times New Roman"/>
        </w:rPr>
        <w:t xml:space="preserve"> </w:t>
      </w:r>
      <w:r w:rsidRPr="00475EDE">
        <w:rPr>
          <w:rFonts w:ascii="Times New Roman" w:hAnsi="Times New Roman"/>
          <w:i/>
        </w:rPr>
        <w:t>20</w:t>
      </w:r>
      <w:r>
        <w:rPr>
          <w:rFonts w:ascii="Times New Roman" w:hAnsi="Times New Roman"/>
          <w:i/>
        </w:rPr>
        <w:t>15</w:t>
      </w:r>
      <w:r>
        <w:rPr>
          <w:rFonts w:ascii="Times New Roman" w:hAnsi="Times New Roman"/>
        </w:rPr>
        <w:t xml:space="preserve"> (the 2015 Guidelines) are made under s</w:t>
      </w:r>
      <w:r w:rsidR="00E2251D">
        <w:rPr>
          <w:rFonts w:ascii="Times New Roman" w:hAnsi="Times New Roman"/>
          <w:szCs w:val="22"/>
        </w:rPr>
        <w:t>ubs</w:t>
      </w:r>
      <w:r w:rsidR="00E2251D" w:rsidRPr="00824FE4">
        <w:rPr>
          <w:rFonts w:ascii="Times New Roman" w:hAnsi="Times New Roman"/>
          <w:szCs w:val="22"/>
        </w:rPr>
        <w:t xml:space="preserve">ection 8B(1) of the </w:t>
      </w:r>
      <w:r w:rsidR="00E2251D" w:rsidRPr="00824FE4">
        <w:rPr>
          <w:rFonts w:ascii="Times New Roman" w:hAnsi="Times New Roman"/>
          <w:i/>
          <w:szCs w:val="22"/>
        </w:rPr>
        <w:t>Space Activities Act 1998</w:t>
      </w:r>
      <w:r w:rsidR="00E2251D" w:rsidRPr="00824FE4">
        <w:rPr>
          <w:rFonts w:ascii="Times New Roman" w:hAnsi="Times New Roman"/>
          <w:szCs w:val="22"/>
        </w:rPr>
        <w:t xml:space="preserve"> (the Act) </w:t>
      </w:r>
      <w:r>
        <w:rPr>
          <w:rFonts w:ascii="Times New Roman" w:hAnsi="Times New Roman"/>
          <w:szCs w:val="22"/>
        </w:rPr>
        <w:t xml:space="preserve">which </w:t>
      </w:r>
      <w:r w:rsidR="00E2251D">
        <w:rPr>
          <w:rFonts w:ascii="Times New Roman" w:hAnsi="Times New Roman"/>
          <w:szCs w:val="22"/>
        </w:rPr>
        <w:t>provides that</w:t>
      </w:r>
      <w:r w:rsidR="00E2251D" w:rsidRPr="00824FE4">
        <w:rPr>
          <w:rFonts w:ascii="Times New Roman" w:hAnsi="Times New Roman"/>
          <w:szCs w:val="22"/>
        </w:rPr>
        <w:t xml:space="preserve"> the Minister must develop written guidelines which he or she must have regard to when deciding whether or not to make</w:t>
      </w:r>
      <w:r w:rsidR="00E2251D">
        <w:rPr>
          <w:rFonts w:ascii="Times New Roman" w:hAnsi="Times New Roman"/>
          <w:szCs w:val="22"/>
        </w:rPr>
        <w:t xml:space="preserve"> a declaration under the Act. </w:t>
      </w:r>
    </w:p>
    <w:p w:rsidR="00454EC4" w:rsidRPr="00454EC4" w:rsidRDefault="00454EC4" w:rsidP="001A2100">
      <w:pPr>
        <w:rPr>
          <w:rFonts w:ascii="Times New Roman" w:hAnsi="Times New Roman"/>
        </w:rPr>
      </w:pPr>
      <w:r>
        <w:rPr>
          <w:rFonts w:ascii="Times New Roman" w:hAnsi="Times New Roman"/>
          <w:szCs w:val="22"/>
        </w:rPr>
        <w:t xml:space="preserve">The 2015 Guidelines are a legislative instrument for the purpose of the </w:t>
      </w:r>
      <w:r>
        <w:rPr>
          <w:rFonts w:ascii="Times New Roman" w:hAnsi="Times New Roman"/>
          <w:i/>
          <w:szCs w:val="22"/>
        </w:rPr>
        <w:t>Legislative Instruments Act 2003</w:t>
      </w:r>
      <w:r>
        <w:rPr>
          <w:rFonts w:ascii="Times New Roman" w:hAnsi="Times New Roman"/>
          <w:szCs w:val="22"/>
        </w:rPr>
        <w:t xml:space="preserve">. </w:t>
      </w:r>
    </w:p>
    <w:p w:rsidR="00E2251D" w:rsidRPr="00E2251D" w:rsidRDefault="00E2251D" w:rsidP="001A2100">
      <w:pPr>
        <w:rPr>
          <w:rFonts w:ascii="Times New Roman" w:hAnsi="Times New Roman"/>
          <w:b/>
          <w:szCs w:val="22"/>
        </w:rPr>
      </w:pPr>
      <w:r>
        <w:rPr>
          <w:rFonts w:ascii="Times New Roman" w:hAnsi="Times New Roman"/>
          <w:b/>
          <w:szCs w:val="22"/>
        </w:rPr>
        <w:t>Ba</w:t>
      </w:r>
      <w:r w:rsidRPr="00E2251D">
        <w:rPr>
          <w:rFonts w:ascii="Times New Roman" w:hAnsi="Times New Roman"/>
          <w:b/>
          <w:szCs w:val="22"/>
        </w:rPr>
        <w:t>ckground</w:t>
      </w:r>
    </w:p>
    <w:p w:rsidR="00C31803" w:rsidRDefault="00C31803" w:rsidP="001A2100">
      <w:pPr>
        <w:rPr>
          <w:rFonts w:ascii="Times New Roman" w:hAnsi="Times New Roman"/>
          <w:szCs w:val="22"/>
        </w:rPr>
      </w:pPr>
      <w:r w:rsidRPr="00C31803">
        <w:rPr>
          <w:rFonts w:ascii="Times New Roman" w:hAnsi="Times New Roman"/>
          <w:szCs w:val="22"/>
        </w:rPr>
        <w:t>The Act establishes a system for the regulation of space launch/re-entry activities conducted either in Australia or by Australian nationals outside Australia.</w:t>
      </w:r>
    </w:p>
    <w:p w:rsidR="00F1287B" w:rsidRDefault="00F1287B" w:rsidP="001A2100">
      <w:pPr>
        <w:rPr>
          <w:rFonts w:ascii="Times New Roman" w:hAnsi="Times New Roman"/>
          <w:szCs w:val="22"/>
        </w:rPr>
      </w:pPr>
      <w:r w:rsidRPr="00824FE4">
        <w:rPr>
          <w:rFonts w:ascii="Times New Roman" w:hAnsi="Times New Roman"/>
          <w:szCs w:val="22"/>
        </w:rPr>
        <w:t>Amendments were made</w:t>
      </w:r>
      <w:r>
        <w:rPr>
          <w:rFonts w:ascii="Times New Roman" w:hAnsi="Times New Roman"/>
          <w:szCs w:val="22"/>
        </w:rPr>
        <w:t xml:space="preserve"> to the Act in November 2002.  </w:t>
      </w:r>
      <w:r w:rsidRPr="00824FE4">
        <w:rPr>
          <w:rFonts w:ascii="Times New Roman" w:hAnsi="Times New Roman"/>
          <w:szCs w:val="22"/>
        </w:rPr>
        <w:t xml:space="preserve">These amendments included provisions for a </w:t>
      </w:r>
      <w:r>
        <w:rPr>
          <w:rFonts w:ascii="Times New Roman" w:hAnsi="Times New Roman"/>
          <w:szCs w:val="22"/>
        </w:rPr>
        <w:t>tailored</w:t>
      </w:r>
      <w:r w:rsidRPr="00824FE4">
        <w:rPr>
          <w:rFonts w:ascii="Times New Roman" w:hAnsi="Times New Roman"/>
          <w:szCs w:val="22"/>
        </w:rPr>
        <w:t xml:space="preserve"> application and assessment process and a lower fee re</w:t>
      </w:r>
      <w:r>
        <w:rPr>
          <w:rFonts w:ascii="Times New Roman" w:hAnsi="Times New Roman"/>
          <w:szCs w:val="22"/>
        </w:rPr>
        <w:t>gime for approved scientific or</w:t>
      </w:r>
      <w:r w:rsidRPr="00824FE4">
        <w:rPr>
          <w:rFonts w:ascii="Times New Roman" w:hAnsi="Times New Roman"/>
          <w:szCs w:val="22"/>
        </w:rPr>
        <w:t xml:space="preserve"> educational organisations.  The amendments to the A</w:t>
      </w:r>
      <w:r>
        <w:rPr>
          <w:rFonts w:ascii="Times New Roman" w:hAnsi="Times New Roman"/>
          <w:szCs w:val="22"/>
        </w:rPr>
        <w:t>ct in relation to scientific or</w:t>
      </w:r>
      <w:r w:rsidRPr="00824FE4">
        <w:rPr>
          <w:rFonts w:ascii="Times New Roman" w:hAnsi="Times New Roman"/>
          <w:szCs w:val="22"/>
        </w:rPr>
        <w:t xml:space="preserve"> educational organisations </w:t>
      </w:r>
      <w:r>
        <w:rPr>
          <w:rFonts w:ascii="Times New Roman" w:hAnsi="Times New Roman"/>
          <w:szCs w:val="22"/>
        </w:rPr>
        <w:t xml:space="preserve">reflect the public good aspect of bona fide scientific and educational space activities, and the modest scale nature of these activities.  For example, these activities are usually conducted </w:t>
      </w:r>
      <w:r w:rsidRPr="00824FE4">
        <w:rPr>
          <w:rFonts w:ascii="Times New Roman" w:hAnsi="Times New Roman"/>
          <w:szCs w:val="22"/>
        </w:rPr>
        <w:t>on a one-off basis and do not involve the construc</w:t>
      </w:r>
      <w:r>
        <w:rPr>
          <w:rFonts w:ascii="Times New Roman" w:hAnsi="Times New Roman"/>
          <w:szCs w:val="22"/>
        </w:rPr>
        <w:t xml:space="preserve">tion of major infrastructure.  </w:t>
      </w:r>
    </w:p>
    <w:p w:rsidR="00F1287B" w:rsidRDefault="00F1287B" w:rsidP="001A2100">
      <w:pPr>
        <w:rPr>
          <w:rFonts w:ascii="Times New Roman" w:hAnsi="Times New Roman"/>
          <w:szCs w:val="22"/>
        </w:rPr>
      </w:pPr>
      <w:r w:rsidRPr="00824FE4">
        <w:rPr>
          <w:rFonts w:ascii="Times New Roman" w:hAnsi="Times New Roman"/>
          <w:szCs w:val="22"/>
        </w:rPr>
        <w:t>Section 8A of the Act</w:t>
      </w:r>
      <w:r>
        <w:rPr>
          <w:rFonts w:ascii="Times New Roman" w:hAnsi="Times New Roman"/>
          <w:szCs w:val="22"/>
        </w:rPr>
        <w:t xml:space="preserve"> allows the Minister to declare</w:t>
      </w:r>
      <w:r w:rsidR="00C31803">
        <w:rPr>
          <w:rFonts w:ascii="Times New Roman" w:hAnsi="Times New Roman"/>
          <w:szCs w:val="22"/>
        </w:rPr>
        <w:t>,</w:t>
      </w:r>
      <w:r>
        <w:rPr>
          <w:rFonts w:ascii="Times New Roman" w:hAnsi="Times New Roman"/>
          <w:szCs w:val="22"/>
        </w:rPr>
        <w:t xml:space="preserve"> by writing</w:t>
      </w:r>
      <w:r w:rsidR="00C31803">
        <w:rPr>
          <w:rFonts w:ascii="Times New Roman" w:hAnsi="Times New Roman"/>
          <w:szCs w:val="22"/>
        </w:rPr>
        <w:t>,</w:t>
      </w:r>
      <w:r w:rsidRPr="00824FE4">
        <w:rPr>
          <w:rFonts w:ascii="Times New Roman" w:hAnsi="Times New Roman"/>
          <w:szCs w:val="22"/>
        </w:rPr>
        <w:t xml:space="preserve"> an educational institution, a scientific organisation or a non-profit body</w:t>
      </w:r>
      <w:r>
        <w:rPr>
          <w:rFonts w:ascii="Times New Roman" w:hAnsi="Times New Roman"/>
          <w:szCs w:val="22"/>
        </w:rPr>
        <w:t xml:space="preserve"> to be an approved scientific or</w:t>
      </w:r>
      <w:r w:rsidRPr="00824FE4">
        <w:rPr>
          <w:rFonts w:ascii="Times New Roman" w:hAnsi="Times New Roman"/>
          <w:szCs w:val="22"/>
        </w:rPr>
        <w:t xml:space="preserve"> educational organisatio</w:t>
      </w:r>
      <w:r>
        <w:rPr>
          <w:rFonts w:ascii="Times New Roman" w:hAnsi="Times New Roman"/>
          <w:szCs w:val="22"/>
        </w:rPr>
        <w:t xml:space="preserve">n for the purposes of the Act. </w:t>
      </w:r>
      <w:r w:rsidRPr="00824FE4">
        <w:rPr>
          <w:rFonts w:ascii="Times New Roman" w:hAnsi="Times New Roman"/>
          <w:szCs w:val="22"/>
        </w:rPr>
        <w:t xml:space="preserve"> </w:t>
      </w:r>
    </w:p>
    <w:p w:rsidR="00F1287B" w:rsidRPr="00406E58" w:rsidRDefault="00F1287B" w:rsidP="00E60680">
      <w:pPr>
        <w:rPr>
          <w:rFonts w:ascii="Times New Roman" w:hAnsi="Times New Roman"/>
        </w:rPr>
      </w:pPr>
      <w:r>
        <w:rPr>
          <w:rFonts w:ascii="Times New Roman" w:hAnsi="Times New Roman"/>
        </w:rPr>
        <w:t>A declaration to be an approved scientific or educational organisation under section 8A of the Act will only be considered in relation to an orga</w:t>
      </w:r>
      <w:r w:rsidR="0081283B">
        <w:rPr>
          <w:rFonts w:ascii="Times New Roman" w:hAnsi="Times New Roman"/>
        </w:rPr>
        <w:t>nisation proposing to conduct a space</w:t>
      </w:r>
      <w:r>
        <w:rPr>
          <w:rFonts w:ascii="Times New Roman" w:hAnsi="Times New Roman"/>
        </w:rPr>
        <w:t xml:space="preserve"> activity that must be covered by an approval under the Act.</w:t>
      </w:r>
      <w:r w:rsidR="000B171B">
        <w:rPr>
          <w:rFonts w:ascii="Times New Roman" w:hAnsi="Times New Roman"/>
        </w:rPr>
        <w:t xml:space="preserve"> </w:t>
      </w:r>
      <w:r w:rsidR="00A31202" w:rsidRPr="00E60680">
        <w:rPr>
          <w:rFonts w:ascii="Times New Roman" w:hAnsi="Times New Roman"/>
        </w:rPr>
        <w:t xml:space="preserve">A space activity </w:t>
      </w:r>
      <w:r w:rsidR="006A71A4" w:rsidRPr="00E60680">
        <w:rPr>
          <w:rFonts w:ascii="Times New Roman" w:hAnsi="Times New Roman"/>
        </w:rPr>
        <w:t xml:space="preserve">commonly </w:t>
      </w:r>
      <w:r w:rsidR="00A31202" w:rsidRPr="00E60680">
        <w:rPr>
          <w:rFonts w:ascii="Times New Roman" w:hAnsi="Times New Roman"/>
        </w:rPr>
        <w:t xml:space="preserve">includes the launch of vehicles into an area beyond </w:t>
      </w:r>
      <w:r w:rsidR="00C31803">
        <w:rPr>
          <w:rFonts w:ascii="Times New Roman" w:hAnsi="Times New Roman"/>
        </w:rPr>
        <w:br/>
        <w:t>100 kilometres</w:t>
      </w:r>
      <w:r w:rsidR="00A31202" w:rsidRPr="00E60680">
        <w:rPr>
          <w:rFonts w:ascii="Times New Roman" w:hAnsi="Times New Roman"/>
        </w:rPr>
        <w:t xml:space="preserve"> above mean sea level as </w:t>
      </w:r>
      <w:r w:rsidR="00C31803">
        <w:rPr>
          <w:rFonts w:ascii="Times New Roman" w:hAnsi="Times New Roman"/>
        </w:rPr>
        <w:t xml:space="preserve">conducted </w:t>
      </w:r>
      <w:r w:rsidR="00A31202" w:rsidRPr="00E60680">
        <w:rPr>
          <w:rFonts w:ascii="Times New Roman" w:hAnsi="Times New Roman"/>
        </w:rPr>
        <w:t>either from Australia or by Australian nationals outside Australia.</w:t>
      </w:r>
    </w:p>
    <w:p w:rsidR="00E2251D" w:rsidRPr="00E2251D" w:rsidRDefault="00E2251D" w:rsidP="001A2100">
      <w:pPr>
        <w:rPr>
          <w:rFonts w:ascii="Times New Roman" w:hAnsi="Times New Roman"/>
          <w:b/>
          <w:szCs w:val="22"/>
        </w:rPr>
      </w:pPr>
      <w:r w:rsidRPr="00E2251D">
        <w:rPr>
          <w:rFonts w:ascii="Times New Roman" w:hAnsi="Times New Roman"/>
          <w:b/>
          <w:szCs w:val="22"/>
        </w:rPr>
        <w:t>Purpose and operation</w:t>
      </w:r>
    </w:p>
    <w:p w:rsidR="00454EC4" w:rsidRPr="00F1287B" w:rsidRDefault="00367FB7" w:rsidP="00454EC4">
      <w:pPr>
        <w:pStyle w:val="bullets"/>
        <w:numPr>
          <w:ilvl w:val="0"/>
          <w:numId w:val="0"/>
        </w:numPr>
        <w:rPr>
          <w:rFonts w:ascii="Times New Roman" w:hAnsi="Times New Roman"/>
        </w:rPr>
      </w:pPr>
      <w:r>
        <w:rPr>
          <w:rFonts w:ascii="Times New Roman" w:hAnsi="Times New Roman"/>
        </w:rPr>
        <w:t xml:space="preserve">The </w:t>
      </w:r>
      <w:r w:rsidR="00454EC4" w:rsidRPr="00475EDE">
        <w:rPr>
          <w:rFonts w:ascii="Times New Roman" w:hAnsi="Times New Roman"/>
          <w:i/>
        </w:rPr>
        <w:t>Space Activities (Approved Scientific or Educational Organisations) Guidelines 2004</w:t>
      </w:r>
      <w:r w:rsidR="00454EC4">
        <w:rPr>
          <w:rFonts w:ascii="Times New Roman" w:hAnsi="Times New Roman"/>
          <w:i/>
        </w:rPr>
        <w:t xml:space="preserve"> </w:t>
      </w:r>
      <w:r w:rsidR="00454EC4">
        <w:rPr>
          <w:rFonts w:ascii="Times New Roman" w:hAnsi="Times New Roman"/>
        </w:rPr>
        <w:t xml:space="preserve">(the 2004 Guidelines) </w:t>
      </w:r>
      <w:r w:rsidR="00454EC4" w:rsidRPr="00C71570">
        <w:rPr>
          <w:rFonts w:ascii="Times New Roman" w:hAnsi="Times New Roman"/>
        </w:rPr>
        <w:t xml:space="preserve">were </w:t>
      </w:r>
      <w:r w:rsidR="00454EC4">
        <w:rPr>
          <w:rFonts w:ascii="Times New Roman" w:hAnsi="Times New Roman"/>
        </w:rPr>
        <w:t xml:space="preserve">made on 3 February 2004, gazetted on 11 February 2015 and will </w:t>
      </w:r>
      <w:r w:rsidR="00C31803">
        <w:rPr>
          <w:rFonts w:ascii="Times New Roman" w:hAnsi="Times New Roman"/>
        </w:rPr>
        <w:t xml:space="preserve">sunset </w:t>
      </w:r>
      <w:r w:rsidR="00454EC4">
        <w:rPr>
          <w:rFonts w:ascii="Times New Roman" w:hAnsi="Times New Roman"/>
        </w:rPr>
        <w:t xml:space="preserve">on </w:t>
      </w:r>
      <w:r w:rsidR="00C31803">
        <w:rPr>
          <w:rFonts w:ascii="Times New Roman" w:hAnsi="Times New Roman"/>
        </w:rPr>
        <w:br/>
      </w:r>
      <w:r w:rsidR="00454EC4" w:rsidRPr="00C71570">
        <w:rPr>
          <w:rFonts w:ascii="Times New Roman" w:hAnsi="Times New Roman"/>
        </w:rPr>
        <w:t>1 October 2015</w:t>
      </w:r>
      <w:r w:rsidR="00C31803">
        <w:rPr>
          <w:rFonts w:ascii="Times New Roman" w:hAnsi="Times New Roman"/>
        </w:rPr>
        <w:t>.</w:t>
      </w:r>
      <w:r w:rsidR="00454EC4">
        <w:rPr>
          <w:rFonts w:ascii="Times New Roman" w:hAnsi="Times New Roman"/>
        </w:rPr>
        <w:t xml:space="preserve"> The </w:t>
      </w:r>
      <w:r>
        <w:rPr>
          <w:rFonts w:ascii="Times New Roman" w:hAnsi="Times New Roman"/>
        </w:rPr>
        <w:t>purpose of</w:t>
      </w:r>
      <w:r w:rsidR="00454EC4">
        <w:rPr>
          <w:rFonts w:ascii="Times New Roman" w:hAnsi="Times New Roman"/>
        </w:rPr>
        <w:t xml:space="preserve"> the 2015 Guidelines is to replace the 2004 Guidelines.</w:t>
      </w:r>
    </w:p>
    <w:p w:rsidR="00F1287B" w:rsidRDefault="00C31803" w:rsidP="00F1287B">
      <w:pPr>
        <w:pStyle w:val="bullets"/>
        <w:numPr>
          <w:ilvl w:val="0"/>
          <w:numId w:val="0"/>
        </w:numPr>
        <w:rPr>
          <w:rFonts w:ascii="Times New Roman" w:hAnsi="Times New Roman"/>
        </w:rPr>
      </w:pPr>
      <w:r>
        <w:rPr>
          <w:rFonts w:ascii="Times New Roman" w:hAnsi="Times New Roman"/>
        </w:rPr>
        <w:t>M</w:t>
      </w:r>
      <w:r w:rsidR="00F1287B">
        <w:rPr>
          <w:rFonts w:ascii="Times New Roman" w:hAnsi="Times New Roman"/>
        </w:rPr>
        <w:t xml:space="preserve">aking a declaration under section 8A of the Act in accordance with the </w:t>
      </w:r>
      <w:r w:rsidR="008E4666">
        <w:rPr>
          <w:rFonts w:ascii="Times New Roman" w:hAnsi="Times New Roman"/>
        </w:rPr>
        <w:t xml:space="preserve">2015 </w:t>
      </w:r>
      <w:r w:rsidR="00F1287B">
        <w:rPr>
          <w:rFonts w:ascii="Times New Roman" w:hAnsi="Times New Roman"/>
        </w:rPr>
        <w:t>Guidelines allow</w:t>
      </w:r>
      <w:r>
        <w:rPr>
          <w:rFonts w:ascii="Times New Roman" w:hAnsi="Times New Roman"/>
        </w:rPr>
        <w:t>s</w:t>
      </w:r>
      <w:r w:rsidR="00F1287B">
        <w:rPr>
          <w:rFonts w:ascii="Times New Roman" w:hAnsi="Times New Roman"/>
        </w:rPr>
        <w:t xml:space="preserve"> an approved scientific or educational organisation </w:t>
      </w:r>
      <w:r>
        <w:rPr>
          <w:rFonts w:ascii="Times New Roman" w:hAnsi="Times New Roman"/>
        </w:rPr>
        <w:t xml:space="preserve">to </w:t>
      </w:r>
      <w:r w:rsidR="00F1287B">
        <w:rPr>
          <w:rFonts w:ascii="Times New Roman" w:hAnsi="Times New Roman"/>
        </w:rPr>
        <w:t xml:space="preserve">access to the </w:t>
      </w:r>
      <w:r w:rsidR="00F1287B" w:rsidRPr="00784F35">
        <w:rPr>
          <w:rFonts w:ascii="Times New Roman" w:hAnsi="Times New Roman"/>
        </w:rPr>
        <w:t xml:space="preserve">different forms of application </w:t>
      </w:r>
      <w:r w:rsidR="00F1287B">
        <w:rPr>
          <w:rFonts w:ascii="Times New Roman" w:hAnsi="Times New Roman"/>
        </w:rPr>
        <w:t>for approvals under the A</w:t>
      </w:r>
      <w:r w:rsidR="00F1287B" w:rsidRPr="00784F35">
        <w:rPr>
          <w:rFonts w:ascii="Times New Roman" w:hAnsi="Times New Roman"/>
        </w:rPr>
        <w:t>ct</w:t>
      </w:r>
      <w:r>
        <w:rPr>
          <w:rFonts w:ascii="Times New Roman" w:hAnsi="Times New Roman"/>
        </w:rPr>
        <w:t>,</w:t>
      </w:r>
      <w:r w:rsidR="00F1287B" w:rsidRPr="00784F35">
        <w:rPr>
          <w:rFonts w:ascii="Times New Roman" w:hAnsi="Times New Roman"/>
        </w:rPr>
        <w:t xml:space="preserve"> and a different licensing and fee</w:t>
      </w:r>
      <w:r w:rsidR="00F1287B">
        <w:rPr>
          <w:rFonts w:ascii="Times New Roman" w:hAnsi="Times New Roman"/>
        </w:rPr>
        <w:t xml:space="preserve"> regime from those applicable to commercial organisations</w:t>
      </w:r>
      <w:r>
        <w:rPr>
          <w:rFonts w:ascii="Times New Roman" w:hAnsi="Times New Roman"/>
        </w:rPr>
        <w:t xml:space="preserve"> (</w:t>
      </w:r>
      <w:r w:rsidR="009E1C04">
        <w:rPr>
          <w:rFonts w:ascii="Times New Roman" w:hAnsi="Times New Roman"/>
        </w:rPr>
        <w:t xml:space="preserve">section 9 of the </w:t>
      </w:r>
      <w:r w:rsidR="009E1C04" w:rsidRPr="00E60680">
        <w:rPr>
          <w:rFonts w:ascii="Times New Roman" w:hAnsi="Times New Roman"/>
          <w:i/>
        </w:rPr>
        <w:t>Space Activities Regulations 2001</w:t>
      </w:r>
      <w:r w:rsidR="000B171B">
        <w:rPr>
          <w:rFonts w:ascii="Times New Roman" w:hAnsi="Times New Roman"/>
        </w:rPr>
        <w:t xml:space="preserve"> </w:t>
      </w:r>
      <w:r>
        <w:rPr>
          <w:rFonts w:ascii="Times New Roman" w:hAnsi="Times New Roman"/>
        </w:rPr>
        <w:t xml:space="preserve">- </w:t>
      </w:r>
      <w:r w:rsidR="000B171B">
        <w:rPr>
          <w:rFonts w:ascii="Times New Roman" w:hAnsi="Times New Roman"/>
        </w:rPr>
        <w:t>refer to table 1 below)</w:t>
      </w:r>
      <w:r w:rsidR="00F1287B">
        <w:rPr>
          <w:rFonts w:ascii="Times New Roman" w:hAnsi="Times New Roman"/>
        </w:rPr>
        <w:t xml:space="preserve">.  However, the criteria for being granted an approval under the regulations remain the same for both approved scientific and educational organisations and </w:t>
      </w:r>
      <w:r w:rsidR="009E1C04">
        <w:rPr>
          <w:rFonts w:ascii="Times New Roman" w:hAnsi="Times New Roman"/>
        </w:rPr>
        <w:t xml:space="preserve">organisations which are </w:t>
      </w:r>
      <w:r w:rsidR="00F1287B">
        <w:rPr>
          <w:rFonts w:ascii="Times New Roman" w:hAnsi="Times New Roman"/>
        </w:rPr>
        <w:t xml:space="preserve">not approved scientific or educational organisations.  </w:t>
      </w:r>
    </w:p>
    <w:p w:rsidR="00252D95" w:rsidRDefault="00C31803" w:rsidP="00252D95">
      <w:pPr>
        <w:pStyle w:val="NoSpacing"/>
        <w:rPr>
          <w:rFonts w:ascii="Times New Roman" w:hAnsi="Times New Roman"/>
          <w:sz w:val="24"/>
          <w:szCs w:val="24"/>
          <w:u w:val="single"/>
        </w:rPr>
      </w:pPr>
      <w:r>
        <w:rPr>
          <w:rFonts w:ascii="Times New Roman" w:hAnsi="Times New Roman"/>
          <w:sz w:val="24"/>
          <w:szCs w:val="24"/>
          <w:u w:val="single"/>
        </w:rPr>
        <w:br w:type="page"/>
      </w:r>
    </w:p>
    <w:p w:rsidR="00252D95" w:rsidRPr="00C31803" w:rsidRDefault="00252D95" w:rsidP="00252D95">
      <w:pPr>
        <w:pStyle w:val="NoSpacing"/>
        <w:rPr>
          <w:rFonts w:ascii="Times New Roman" w:hAnsi="Times New Roman"/>
          <w:b/>
          <w:sz w:val="24"/>
          <w:szCs w:val="24"/>
        </w:rPr>
      </w:pPr>
      <w:r w:rsidRPr="00C31803">
        <w:rPr>
          <w:rFonts w:ascii="Times New Roman" w:hAnsi="Times New Roman"/>
          <w:b/>
          <w:sz w:val="24"/>
          <w:szCs w:val="24"/>
          <w:u w:val="single"/>
        </w:rPr>
        <w:lastRenderedPageBreak/>
        <w:t xml:space="preserve">Table 1 </w:t>
      </w:r>
      <w:r w:rsidR="00C31803" w:rsidRPr="00C31803">
        <w:rPr>
          <w:rFonts w:ascii="Times New Roman" w:hAnsi="Times New Roman"/>
          <w:b/>
          <w:sz w:val="24"/>
          <w:szCs w:val="24"/>
          <w:u w:val="single"/>
        </w:rPr>
        <w:t>- C</w:t>
      </w:r>
      <w:r w:rsidRPr="00C31803">
        <w:rPr>
          <w:rFonts w:ascii="Times New Roman" w:hAnsi="Times New Roman"/>
          <w:b/>
          <w:sz w:val="24"/>
          <w:szCs w:val="24"/>
          <w:u w:val="single"/>
        </w:rPr>
        <w:t>omparison of space activity fees</w:t>
      </w:r>
      <w:r w:rsidR="00406E58" w:rsidRPr="00C31803">
        <w:rPr>
          <w:rFonts w:ascii="Times New Roman" w:hAnsi="Times New Roman"/>
          <w:b/>
          <w:sz w:val="24"/>
          <w:szCs w:val="24"/>
          <w:u w:val="single"/>
        </w:rPr>
        <w:t xml:space="preserve"> (</w:t>
      </w:r>
      <w:r w:rsidR="009E1C04" w:rsidRPr="00C31803">
        <w:rPr>
          <w:rFonts w:ascii="Times New Roman" w:hAnsi="Times New Roman"/>
          <w:b/>
          <w:sz w:val="24"/>
          <w:szCs w:val="24"/>
          <w:u w:val="single"/>
        </w:rPr>
        <w:t xml:space="preserve">current </w:t>
      </w:r>
      <w:r w:rsidR="00406E58" w:rsidRPr="00C31803">
        <w:rPr>
          <w:rFonts w:ascii="Times New Roman" w:hAnsi="Times New Roman"/>
          <w:b/>
          <w:sz w:val="24"/>
          <w:szCs w:val="24"/>
          <w:u w:val="single"/>
        </w:rPr>
        <w:t>as at the date of the 2015 Guidelines)</w:t>
      </w:r>
    </w:p>
    <w:p w:rsidR="00C31803" w:rsidRPr="0028059C" w:rsidRDefault="00C31803" w:rsidP="00252D95">
      <w:pPr>
        <w:pStyle w:val="NoSpacing"/>
        <w:rPr>
          <w:rFonts w:ascii="Times New Roman" w:hAnsi="Times New Roman"/>
          <w:sz w:val="24"/>
          <w:szCs w:val="24"/>
        </w:rPr>
      </w:pPr>
    </w:p>
    <w:tbl>
      <w:tblPr>
        <w:tblW w:w="0" w:type="auto"/>
        <w:tblLook w:val="04A0" w:firstRow="1" w:lastRow="0" w:firstColumn="1" w:lastColumn="0" w:noHBand="0" w:noVBand="1"/>
      </w:tblPr>
      <w:tblGrid>
        <w:gridCol w:w="2111"/>
        <w:gridCol w:w="4225"/>
        <w:gridCol w:w="3384"/>
      </w:tblGrid>
      <w:tr w:rsidR="00252D95" w:rsidRPr="0028059C" w:rsidTr="00D63F43">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6A6A6"/>
            <w:vAlign w:val="center"/>
            <w:hideMark/>
          </w:tcPr>
          <w:p w:rsidR="00252D95" w:rsidRPr="0028059C" w:rsidRDefault="00252D95" w:rsidP="00406E58">
            <w:pPr>
              <w:spacing w:before="0"/>
              <w:rPr>
                <w:rFonts w:ascii="Times New Roman" w:hAnsi="Times New Roman"/>
                <w:b/>
                <w:bCs/>
                <w:color w:val="000000"/>
                <w:sz w:val="24"/>
                <w:szCs w:val="24"/>
              </w:rPr>
            </w:pPr>
            <w:r w:rsidRPr="0028059C">
              <w:rPr>
                <w:rFonts w:ascii="Times New Roman" w:hAnsi="Times New Roman"/>
                <w:b/>
                <w:bCs/>
                <w:color w:val="000000"/>
                <w:sz w:val="24"/>
                <w:szCs w:val="24"/>
              </w:rPr>
              <w:t xml:space="preserve">Activity </w:t>
            </w:r>
          </w:p>
        </w:tc>
        <w:tc>
          <w:tcPr>
            <w:tcW w:w="0" w:type="auto"/>
            <w:tcBorders>
              <w:top w:val="single" w:sz="8" w:space="0" w:color="auto"/>
              <w:left w:val="nil"/>
              <w:bottom w:val="single" w:sz="4" w:space="0" w:color="auto"/>
              <w:right w:val="single" w:sz="4" w:space="0" w:color="auto"/>
            </w:tcBorders>
            <w:shd w:val="clear" w:color="auto" w:fill="A6A6A6"/>
            <w:vAlign w:val="center"/>
            <w:hideMark/>
          </w:tcPr>
          <w:p w:rsidR="00252D95" w:rsidRPr="0028059C" w:rsidRDefault="00252D95" w:rsidP="00406E58">
            <w:pPr>
              <w:spacing w:before="0"/>
              <w:rPr>
                <w:rFonts w:ascii="Times New Roman" w:hAnsi="Times New Roman"/>
                <w:b/>
                <w:bCs/>
                <w:color w:val="000000"/>
                <w:sz w:val="24"/>
                <w:szCs w:val="24"/>
              </w:rPr>
            </w:pPr>
            <w:r w:rsidRPr="0028059C">
              <w:rPr>
                <w:rFonts w:ascii="Times New Roman" w:hAnsi="Times New Roman"/>
                <w:b/>
                <w:bCs/>
                <w:color w:val="000000"/>
                <w:sz w:val="24"/>
                <w:szCs w:val="24"/>
              </w:rPr>
              <w:t>Fee</w:t>
            </w:r>
            <w:r w:rsidR="00406E58">
              <w:rPr>
                <w:rFonts w:ascii="Times New Roman" w:hAnsi="Times New Roman"/>
                <w:b/>
                <w:bCs/>
                <w:color w:val="000000"/>
                <w:sz w:val="24"/>
                <w:szCs w:val="24"/>
              </w:rPr>
              <w:t xml:space="preserve"> for a person other than an approved scientific or educational organisation</w:t>
            </w:r>
          </w:p>
        </w:tc>
        <w:tc>
          <w:tcPr>
            <w:tcW w:w="0" w:type="auto"/>
            <w:tcBorders>
              <w:top w:val="single" w:sz="8" w:space="0" w:color="auto"/>
              <w:left w:val="nil"/>
              <w:bottom w:val="single" w:sz="4" w:space="0" w:color="auto"/>
              <w:right w:val="single" w:sz="8" w:space="0" w:color="auto"/>
            </w:tcBorders>
            <w:shd w:val="clear" w:color="auto" w:fill="A6A6A6"/>
            <w:vAlign w:val="center"/>
            <w:hideMark/>
          </w:tcPr>
          <w:p w:rsidR="00252D95" w:rsidRPr="0028059C" w:rsidRDefault="00252D95" w:rsidP="00406E58">
            <w:pPr>
              <w:spacing w:before="0"/>
              <w:rPr>
                <w:rFonts w:ascii="Times New Roman" w:hAnsi="Times New Roman"/>
                <w:b/>
                <w:bCs/>
                <w:color w:val="000000"/>
                <w:sz w:val="24"/>
                <w:szCs w:val="24"/>
              </w:rPr>
            </w:pPr>
            <w:r w:rsidRPr="0028059C">
              <w:rPr>
                <w:rFonts w:ascii="Times New Roman" w:hAnsi="Times New Roman"/>
                <w:b/>
                <w:bCs/>
                <w:color w:val="000000"/>
                <w:sz w:val="24"/>
                <w:szCs w:val="24"/>
              </w:rPr>
              <w:t>Fee</w:t>
            </w:r>
            <w:r w:rsidR="00406E58">
              <w:rPr>
                <w:rFonts w:ascii="Times New Roman" w:hAnsi="Times New Roman"/>
                <w:b/>
                <w:bCs/>
                <w:color w:val="000000"/>
                <w:sz w:val="24"/>
                <w:szCs w:val="24"/>
              </w:rPr>
              <w:t xml:space="preserve"> for an approved scientific or educational organisation</w:t>
            </w:r>
          </w:p>
        </w:tc>
      </w:tr>
      <w:tr w:rsidR="00252D95" w:rsidRPr="0028059C" w:rsidTr="00E60680">
        <w:trPr>
          <w:trHeight w:val="6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52D95" w:rsidRPr="0028059C" w:rsidRDefault="00252D95" w:rsidP="00C31803">
            <w:pPr>
              <w:spacing w:before="0"/>
              <w:rPr>
                <w:rFonts w:ascii="Times New Roman" w:hAnsi="Times New Roman"/>
                <w:color w:val="000000"/>
                <w:sz w:val="24"/>
                <w:szCs w:val="24"/>
              </w:rPr>
            </w:pPr>
            <w:r w:rsidRPr="0028059C">
              <w:rPr>
                <w:rFonts w:ascii="Times New Roman" w:hAnsi="Times New Roman"/>
                <w:color w:val="000000"/>
                <w:sz w:val="24"/>
                <w:szCs w:val="24"/>
              </w:rPr>
              <w:t>Space Licen</w:t>
            </w:r>
            <w:r w:rsidR="00C31803">
              <w:rPr>
                <w:rFonts w:ascii="Times New Roman" w:hAnsi="Times New Roman"/>
                <w:color w:val="000000"/>
                <w:sz w:val="24"/>
                <w:szCs w:val="24"/>
              </w:rPr>
              <w:t>c</w:t>
            </w:r>
            <w:r w:rsidRPr="0028059C">
              <w:rPr>
                <w:rFonts w:ascii="Times New Roman" w:hAnsi="Times New Roman"/>
                <w:color w:val="000000"/>
                <w:sz w:val="24"/>
                <w:szCs w:val="24"/>
              </w:rPr>
              <w:t>es</w:t>
            </w:r>
          </w:p>
        </w:tc>
        <w:tc>
          <w:tcPr>
            <w:tcW w:w="0" w:type="auto"/>
            <w:tcBorders>
              <w:top w:val="nil"/>
              <w:left w:val="nil"/>
              <w:bottom w:val="single" w:sz="4" w:space="0" w:color="auto"/>
              <w:right w:val="single" w:sz="4" w:space="0" w:color="auto"/>
            </w:tcBorders>
            <w:shd w:val="clear" w:color="auto" w:fill="auto"/>
            <w:vAlign w:val="center"/>
            <w:hideMark/>
          </w:tcPr>
          <w:p w:rsidR="00252D95" w:rsidRPr="0028059C" w:rsidRDefault="00252D95" w:rsidP="00406E58">
            <w:pPr>
              <w:spacing w:before="0"/>
              <w:rPr>
                <w:rFonts w:ascii="Times New Roman" w:hAnsi="Times New Roman"/>
                <w:color w:val="000000"/>
                <w:sz w:val="24"/>
                <w:szCs w:val="24"/>
              </w:rPr>
            </w:pPr>
            <w:r w:rsidRPr="0028059C">
              <w:rPr>
                <w:rFonts w:ascii="Times New Roman" w:hAnsi="Times New Roman"/>
                <w:color w:val="000000"/>
                <w:sz w:val="24"/>
                <w:szCs w:val="24"/>
              </w:rPr>
              <w:t>$300,000 application fee and a $190,000 annual fee</w:t>
            </w:r>
          </w:p>
        </w:tc>
        <w:tc>
          <w:tcPr>
            <w:tcW w:w="0" w:type="auto"/>
            <w:tcBorders>
              <w:top w:val="nil"/>
              <w:left w:val="nil"/>
              <w:bottom w:val="single" w:sz="4" w:space="0" w:color="auto"/>
              <w:right w:val="single" w:sz="8" w:space="0" w:color="auto"/>
            </w:tcBorders>
            <w:shd w:val="clear" w:color="auto" w:fill="auto"/>
            <w:vAlign w:val="center"/>
            <w:hideMark/>
          </w:tcPr>
          <w:p w:rsidR="00252D95" w:rsidRPr="0028059C" w:rsidRDefault="00252D95" w:rsidP="00406E58">
            <w:pPr>
              <w:spacing w:before="0"/>
              <w:rPr>
                <w:rFonts w:ascii="Times New Roman" w:hAnsi="Times New Roman"/>
                <w:color w:val="000000"/>
                <w:sz w:val="24"/>
                <w:szCs w:val="24"/>
              </w:rPr>
            </w:pPr>
            <w:r w:rsidRPr="0028059C">
              <w:rPr>
                <w:rFonts w:ascii="Times New Roman" w:hAnsi="Times New Roman"/>
                <w:color w:val="000000"/>
                <w:sz w:val="24"/>
                <w:szCs w:val="24"/>
              </w:rPr>
              <w:t>$3,000 application fee and a $1,900 annual fee</w:t>
            </w:r>
          </w:p>
        </w:tc>
      </w:tr>
      <w:tr w:rsidR="00252D95" w:rsidRPr="0028059C" w:rsidTr="00E60680">
        <w:trPr>
          <w:trHeight w:val="9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52D95" w:rsidRPr="0028059C" w:rsidRDefault="00252D95" w:rsidP="00406E58">
            <w:pPr>
              <w:spacing w:before="0"/>
              <w:rPr>
                <w:rFonts w:ascii="Times New Roman" w:hAnsi="Times New Roman"/>
                <w:color w:val="000000"/>
                <w:sz w:val="24"/>
                <w:szCs w:val="24"/>
              </w:rPr>
            </w:pPr>
            <w:r w:rsidRPr="0028059C">
              <w:rPr>
                <w:rFonts w:ascii="Times New Roman" w:hAnsi="Times New Roman"/>
                <w:color w:val="000000"/>
                <w:sz w:val="24"/>
                <w:szCs w:val="24"/>
              </w:rPr>
              <w:t xml:space="preserve">Launch Permit </w:t>
            </w:r>
          </w:p>
        </w:tc>
        <w:tc>
          <w:tcPr>
            <w:tcW w:w="0" w:type="auto"/>
            <w:tcBorders>
              <w:top w:val="nil"/>
              <w:left w:val="nil"/>
              <w:bottom w:val="single" w:sz="4" w:space="0" w:color="auto"/>
              <w:right w:val="single" w:sz="4" w:space="0" w:color="auto"/>
            </w:tcBorders>
            <w:shd w:val="clear" w:color="auto" w:fill="auto"/>
            <w:vAlign w:val="center"/>
            <w:hideMark/>
          </w:tcPr>
          <w:p w:rsidR="00252D95" w:rsidRPr="0028059C" w:rsidRDefault="00252D95" w:rsidP="00406E58">
            <w:pPr>
              <w:spacing w:before="0"/>
              <w:rPr>
                <w:rFonts w:ascii="Times New Roman" w:hAnsi="Times New Roman"/>
                <w:color w:val="000000"/>
                <w:sz w:val="24"/>
                <w:szCs w:val="24"/>
              </w:rPr>
            </w:pPr>
            <w:r w:rsidRPr="0028059C">
              <w:rPr>
                <w:rFonts w:ascii="Times New Roman" w:hAnsi="Times New Roman"/>
                <w:color w:val="000000"/>
                <w:sz w:val="24"/>
                <w:szCs w:val="24"/>
              </w:rPr>
              <w:t>$40,000 application and $10,000 for each additional launch</w:t>
            </w:r>
          </w:p>
        </w:tc>
        <w:tc>
          <w:tcPr>
            <w:tcW w:w="0" w:type="auto"/>
            <w:tcBorders>
              <w:top w:val="nil"/>
              <w:left w:val="nil"/>
              <w:bottom w:val="single" w:sz="4" w:space="0" w:color="auto"/>
              <w:right w:val="single" w:sz="8" w:space="0" w:color="auto"/>
            </w:tcBorders>
            <w:shd w:val="clear" w:color="auto" w:fill="auto"/>
            <w:vAlign w:val="center"/>
            <w:hideMark/>
          </w:tcPr>
          <w:p w:rsidR="00252D95" w:rsidRPr="0028059C" w:rsidRDefault="00252D95" w:rsidP="00406E58">
            <w:pPr>
              <w:spacing w:before="0"/>
              <w:rPr>
                <w:rFonts w:ascii="Times New Roman" w:hAnsi="Times New Roman"/>
                <w:color w:val="000000"/>
                <w:sz w:val="24"/>
                <w:szCs w:val="24"/>
              </w:rPr>
            </w:pPr>
            <w:r w:rsidRPr="0028059C">
              <w:rPr>
                <w:rFonts w:ascii="Times New Roman" w:hAnsi="Times New Roman"/>
                <w:color w:val="000000"/>
                <w:sz w:val="24"/>
                <w:szCs w:val="24"/>
              </w:rPr>
              <w:t>$400 application and $100 for each additional launch</w:t>
            </w:r>
          </w:p>
        </w:tc>
      </w:tr>
      <w:tr w:rsidR="00252D95" w:rsidRPr="0028059C" w:rsidTr="00E60680">
        <w:trPr>
          <w:trHeight w:val="6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52D95" w:rsidRPr="0028059C" w:rsidRDefault="00252D95" w:rsidP="00406E58">
            <w:pPr>
              <w:spacing w:before="0"/>
              <w:rPr>
                <w:rFonts w:ascii="Times New Roman" w:hAnsi="Times New Roman"/>
                <w:color w:val="000000"/>
                <w:sz w:val="24"/>
                <w:szCs w:val="24"/>
              </w:rPr>
            </w:pPr>
            <w:r w:rsidRPr="0028059C">
              <w:rPr>
                <w:rFonts w:ascii="Times New Roman" w:hAnsi="Times New Roman"/>
                <w:color w:val="000000"/>
                <w:sz w:val="24"/>
                <w:szCs w:val="24"/>
              </w:rPr>
              <w:t>Overseas Launch Certificate</w:t>
            </w:r>
          </w:p>
        </w:tc>
        <w:tc>
          <w:tcPr>
            <w:tcW w:w="0" w:type="auto"/>
            <w:tcBorders>
              <w:top w:val="nil"/>
              <w:left w:val="nil"/>
              <w:bottom w:val="single" w:sz="4" w:space="0" w:color="auto"/>
              <w:right w:val="single" w:sz="4" w:space="0" w:color="auto"/>
            </w:tcBorders>
            <w:shd w:val="clear" w:color="auto" w:fill="auto"/>
            <w:vAlign w:val="center"/>
            <w:hideMark/>
          </w:tcPr>
          <w:p w:rsidR="00252D95" w:rsidRPr="0028059C" w:rsidRDefault="00252D95" w:rsidP="00E60680">
            <w:pPr>
              <w:spacing w:before="0"/>
              <w:rPr>
                <w:rFonts w:ascii="Times New Roman" w:hAnsi="Times New Roman"/>
                <w:color w:val="000000"/>
                <w:sz w:val="24"/>
                <w:szCs w:val="24"/>
              </w:rPr>
            </w:pPr>
            <w:r w:rsidRPr="0028059C">
              <w:rPr>
                <w:rFonts w:ascii="Times New Roman" w:hAnsi="Times New Roman"/>
                <w:color w:val="000000"/>
                <w:sz w:val="24"/>
                <w:szCs w:val="24"/>
              </w:rPr>
              <w:t>$10,000</w:t>
            </w:r>
          </w:p>
        </w:tc>
        <w:tc>
          <w:tcPr>
            <w:tcW w:w="0" w:type="auto"/>
            <w:tcBorders>
              <w:top w:val="nil"/>
              <w:left w:val="nil"/>
              <w:bottom w:val="single" w:sz="4" w:space="0" w:color="auto"/>
              <w:right w:val="single" w:sz="8" w:space="0" w:color="auto"/>
            </w:tcBorders>
            <w:shd w:val="clear" w:color="auto" w:fill="auto"/>
            <w:vAlign w:val="center"/>
            <w:hideMark/>
          </w:tcPr>
          <w:p w:rsidR="00252D95" w:rsidRPr="0028059C" w:rsidRDefault="00252D95" w:rsidP="00E60680">
            <w:pPr>
              <w:spacing w:before="0"/>
              <w:rPr>
                <w:rFonts w:ascii="Times New Roman" w:hAnsi="Times New Roman"/>
                <w:color w:val="000000"/>
                <w:sz w:val="24"/>
                <w:szCs w:val="24"/>
              </w:rPr>
            </w:pPr>
            <w:r w:rsidRPr="0028059C">
              <w:rPr>
                <w:rFonts w:ascii="Times New Roman" w:hAnsi="Times New Roman"/>
                <w:color w:val="000000"/>
                <w:sz w:val="24"/>
                <w:szCs w:val="24"/>
              </w:rPr>
              <w:t>$100</w:t>
            </w:r>
          </w:p>
        </w:tc>
      </w:tr>
      <w:tr w:rsidR="00252D95" w:rsidRPr="0028059C" w:rsidTr="00E60680">
        <w:trPr>
          <w:trHeight w:val="6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252D95" w:rsidRPr="0028059C" w:rsidRDefault="00C31803" w:rsidP="00406E58">
            <w:pPr>
              <w:spacing w:before="0"/>
              <w:rPr>
                <w:rFonts w:ascii="Times New Roman" w:hAnsi="Times New Roman"/>
                <w:color w:val="000000"/>
                <w:sz w:val="24"/>
                <w:szCs w:val="24"/>
              </w:rPr>
            </w:pPr>
            <w:r>
              <w:rPr>
                <w:rFonts w:ascii="Times New Roman" w:hAnsi="Times New Roman"/>
                <w:color w:val="000000"/>
                <w:sz w:val="24"/>
                <w:szCs w:val="24"/>
              </w:rPr>
              <w:t>Variation A</w:t>
            </w:r>
            <w:r w:rsidR="00252D95" w:rsidRPr="0028059C">
              <w:rPr>
                <w:rFonts w:ascii="Times New Roman" w:hAnsi="Times New Roman"/>
                <w:color w:val="000000"/>
                <w:sz w:val="24"/>
                <w:szCs w:val="24"/>
              </w:rPr>
              <w:t>uthorisation</w:t>
            </w:r>
          </w:p>
        </w:tc>
        <w:tc>
          <w:tcPr>
            <w:tcW w:w="0" w:type="auto"/>
            <w:tcBorders>
              <w:top w:val="nil"/>
              <w:left w:val="nil"/>
              <w:bottom w:val="single" w:sz="4" w:space="0" w:color="auto"/>
              <w:right w:val="single" w:sz="4" w:space="0" w:color="auto"/>
            </w:tcBorders>
            <w:shd w:val="clear" w:color="auto" w:fill="auto"/>
            <w:vAlign w:val="center"/>
            <w:hideMark/>
          </w:tcPr>
          <w:p w:rsidR="00252D95" w:rsidRPr="0028059C" w:rsidRDefault="00252D95" w:rsidP="00E60680">
            <w:pPr>
              <w:spacing w:before="0"/>
              <w:rPr>
                <w:rFonts w:ascii="Times New Roman" w:hAnsi="Times New Roman"/>
                <w:color w:val="000000"/>
                <w:sz w:val="24"/>
                <w:szCs w:val="24"/>
              </w:rPr>
            </w:pPr>
            <w:r w:rsidRPr="0028059C">
              <w:rPr>
                <w:rFonts w:ascii="Times New Roman" w:hAnsi="Times New Roman"/>
                <w:color w:val="000000"/>
                <w:sz w:val="24"/>
                <w:szCs w:val="24"/>
              </w:rPr>
              <w:t>$10,000</w:t>
            </w:r>
          </w:p>
        </w:tc>
        <w:tc>
          <w:tcPr>
            <w:tcW w:w="0" w:type="auto"/>
            <w:tcBorders>
              <w:top w:val="nil"/>
              <w:left w:val="nil"/>
              <w:bottom w:val="single" w:sz="4" w:space="0" w:color="auto"/>
              <w:right w:val="single" w:sz="8" w:space="0" w:color="auto"/>
            </w:tcBorders>
            <w:shd w:val="clear" w:color="auto" w:fill="auto"/>
            <w:vAlign w:val="center"/>
            <w:hideMark/>
          </w:tcPr>
          <w:p w:rsidR="00252D95" w:rsidRPr="0028059C" w:rsidRDefault="00252D95" w:rsidP="00E60680">
            <w:pPr>
              <w:spacing w:before="0"/>
              <w:rPr>
                <w:rFonts w:ascii="Times New Roman" w:hAnsi="Times New Roman"/>
                <w:color w:val="000000"/>
                <w:sz w:val="24"/>
                <w:szCs w:val="24"/>
              </w:rPr>
            </w:pPr>
            <w:r w:rsidRPr="0028059C">
              <w:rPr>
                <w:rFonts w:ascii="Times New Roman" w:hAnsi="Times New Roman"/>
                <w:color w:val="000000"/>
                <w:sz w:val="24"/>
                <w:szCs w:val="24"/>
              </w:rPr>
              <w:t>$100</w:t>
            </w:r>
          </w:p>
        </w:tc>
      </w:tr>
      <w:tr w:rsidR="00252D95" w:rsidRPr="0028059C" w:rsidTr="00E60680">
        <w:trPr>
          <w:trHeight w:val="61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252D95" w:rsidRPr="0028059C" w:rsidRDefault="00C31803" w:rsidP="00406E58">
            <w:pPr>
              <w:spacing w:before="0"/>
              <w:rPr>
                <w:rFonts w:ascii="Times New Roman" w:hAnsi="Times New Roman"/>
                <w:color w:val="000000"/>
                <w:sz w:val="24"/>
                <w:szCs w:val="24"/>
              </w:rPr>
            </w:pPr>
            <w:r>
              <w:rPr>
                <w:rFonts w:ascii="Times New Roman" w:hAnsi="Times New Roman"/>
                <w:color w:val="000000"/>
                <w:sz w:val="24"/>
                <w:szCs w:val="24"/>
              </w:rPr>
              <w:t>Exemption C</w:t>
            </w:r>
            <w:r w:rsidR="00252D95" w:rsidRPr="0028059C">
              <w:rPr>
                <w:rFonts w:ascii="Times New Roman" w:hAnsi="Times New Roman"/>
                <w:color w:val="000000"/>
                <w:sz w:val="24"/>
                <w:szCs w:val="24"/>
              </w:rPr>
              <w:t xml:space="preserve">ertificate </w:t>
            </w:r>
          </w:p>
        </w:tc>
        <w:tc>
          <w:tcPr>
            <w:tcW w:w="0" w:type="auto"/>
            <w:tcBorders>
              <w:top w:val="nil"/>
              <w:left w:val="nil"/>
              <w:bottom w:val="single" w:sz="8" w:space="0" w:color="auto"/>
              <w:right w:val="single" w:sz="4" w:space="0" w:color="auto"/>
            </w:tcBorders>
            <w:shd w:val="clear" w:color="auto" w:fill="auto"/>
            <w:vAlign w:val="center"/>
            <w:hideMark/>
          </w:tcPr>
          <w:p w:rsidR="00252D95" w:rsidRPr="0028059C" w:rsidRDefault="00252D95" w:rsidP="00E60680">
            <w:pPr>
              <w:spacing w:before="0"/>
              <w:rPr>
                <w:rFonts w:ascii="Times New Roman" w:hAnsi="Times New Roman"/>
                <w:color w:val="000000"/>
                <w:sz w:val="24"/>
                <w:szCs w:val="24"/>
              </w:rPr>
            </w:pPr>
            <w:r w:rsidRPr="0028059C">
              <w:rPr>
                <w:rFonts w:ascii="Times New Roman" w:hAnsi="Times New Roman"/>
                <w:color w:val="000000"/>
                <w:sz w:val="24"/>
                <w:szCs w:val="24"/>
              </w:rPr>
              <w:t>$10,000</w:t>
            </w:r>
          </w:p>
        </w:tc>
        <w:tc>
          <w:tcPr>
            <w:tcW w:w="0" w:type="auto"/>
            <w:tcBorders>
              <w:top w:val="nil"/>
              <w:left w:val="nil"/>
              <w:bottom w:val="single" w:sz="8" w:space="0" w:color="auto"/>
              <w:right w:val="single" w:sz="8" w:space="0" w:color="auto"/>
            </w:tcBorders>
            <w:shd w:val="clear" w:color="auto" w:fill="auto"/>
            <w:vAlign w:val="center"/>
            <w:hideMark/>
          </w:tcPr>
          <w:p w:rsidR="00252D95" w:rsidRPr="0028059C" w:rsidRDefault="00252D95" w:rsidP="00E60680">
            <w:pPr>
              <w:spacing w:before="0"/>
              <w:rPr>
                <w:rFonts w:ascii="Times New Roman" w:hAnsi="Times New Roman"/>
                <w:color w:val="000000"/>
                <w:sz w:val="24"/>
                <w:szCs w:val="24"/>
              </w:rPr>
            </w:pPr>
            <w:r w:rsidRPr="0028059C">
              <w:rPr>
                <w:rFonts w:ascii="Times New Roman" w:hAnsi="Times New Roman"/>
                <w:color w:val="000000"/>
                <w:sz w:val="24"/>
                <w:szCs w:val="24"/>
              </w:rPr>
              <w:t>$100</w:t>
            </w:r>
          </w:p>
        </w:tc>
      </w:tr>
    </w:tbl>
    <w:p w:rsidR="001A2100" w:rsidRDefault="001A2100" w:rsidP="00972E48">
      <w:pPr>
        <w:pStyle w:val="bullets"/>
        <w:numPr>
          <w:ilvl w:val="0"/>
          <w:numId w:val="0"/>
        </w:numPr>
      </w:pPr>
      <w:r>
        <w:rPr>
          <w:rFonts w:ascii="Times New Roman" w:hAnsi="Times New Roman"/>
        </w:rPr>
        <w:t xml:space="preserve">The </w:t>
      </w:r>
      <w:r w:rsidR="008E4666">
        <w:rPr>
          <w:rFonts w:ascii="Times New Roman" w:hAnsi="Times New Roman"/>
        </w:rPr>
        <w:t xml:space="preserve">2015 </w:t>
      </w:r>
      <w:r>
        <w:rPr>
          <w:rFonts w:ascii="Times New Roman" w:hAnsi="Times New Roman"/>
        </w:rPr>
        <w:t xml:space="preserve">Guidelines are not intended to </w:t>
      </w:r>
      <w:r w:rsidR="00C71570">
        <w:rPr>
          <w:rFonts w:ascii="Times New Roman" w:hAnsi="Times New Roman"/>
        </w:rPr>
        <w:t>preclude</w:t>
      </w:r>
      <w:r>
        <w:rPr>
          <w:rFonts w:ascii="Times New Roman" w:hAnsi="Times New Roman"/>
        </w:rPr>
        <w:t xml:space="preserve"> an approved scientific or educational organisation from subsequently seeking to commercialise the results, data or intellectual property arising from their activities.  However, the </w:t>
      </w:r>
      <w:r w:rsidR="008E4666">
        <w:rPr>
          <w:rFonts w:ascii="Times New Roman" w:hAnsi="Times New Roman"/>
        </w:rPr>
        <w:t xml:space="preserve">2015 </w:t>
      </w:r>
      <w:r>
        <w:rPr>
          <w:rFonts w:ascii="Times New Roman" w:hAnsi="Times New Roman"/>
        </w:rPr>
        <w:t xml:space="preserve">Guidelines are intended to </w:t>
      </w:r>
      <w:r w:rsidR="00C71570">
        <w:rPr>
          <w:rFonts w:ascii="Times New Roman" w:hAnsi="Times New Roman"/>
        </w:rPr>
        <w:t>prevent</w:t>
      </w:r>
      <w:r>
        <w:rPr>
          <w:rFonts w:ascii="Times New Roman" w:hAnsi="Times New Roman"/>
        </w:rPr>
        <w:t xml:space="preserve"> an organisation gaining a declaration under section 8A of the Act in relation to a proposed space activity that is, or is likely to be, a precursor to the commercial operation of a launch facility or the commercial operation of a space object by the applicant or a related party or entity.</w:t>
      </w:r>
    </w:p>
    <w:p w:rsidR="00454EC4" w:rsidRPr="00E2251D" w:rsidRDefault="00454EC4" w:rsidP="00454EC4">
      <w:pPr>
        <w:rPr>
          <w:rFonts w:ascii="Times New Roman" w:hAnsi="Times New Roman"/>
          <w:b/>
          <w:szCs w:val="22"/>
        </w:rPr>
      </w:pPr>
      <w:r>
        <w:rPr>
          <w:rFonts w:ascii="Times New Roman" w:hAnsi="Times New Roman"/>
          <w:b/>
          <w:szCs w:val="22"/>
        </w:rPr>
        <w:t xml:space="preserve">Consultation </w:t>
      </w:r>
    </w:p>
    <w:p w:rsidR="00C31803" w:rsidRPr="00E60680" w:rsidRDefault="00C31803" w:rsidP="00C31803">
      <w:pPr>
        <w:pStyle w:val="bullets"/>
        <w:numPr>
          <w:ilvl w:val="0"/>
          <w:numId w:val="0"/>
        </w:numPr>
        <w:rPr>
          <w:rFonts w:ascii="Times New Roman" w:hAnsi="Times New Roman"/>
        </w:rPr>
      </w:pPr>
      <w:r>
        <w:rPr>
          <w:rFonts w:ascii="Times New Roman" w:hAnsi="Times New Roman"/>
        </w:rPr>
        <w:t xml:space="preserve">The Office of Best Practice Regulation was consulted in relation to the regulatory impact of the 2015 Guidelines. </w:t>
      </w:r>
      <w:r w:rsidRPr="00E60680">
        <w:rPr>
          <w:rFonts w:ascii="Times New Roman" w:hAnsi="Times New Roman"/>
        </w:rPr>
        <w:t xml:space="preserve">As the </w:t>
      </w:r>
      <w:r>
        <w:rPr>
          <w:rFonts w:ascii="Times New Roman" w:hAnsi="Times New Roman"/>
        </w:rPr>
        <w:t>2015 Guidelines</w:t>
      </w:r>
      <w:r w:rsidRPr="00E60680">
        <w:rPr>
          <w:rFonts w:ascii="Times New Roman" w:hAnsi="Times New Roman"/>
        </w:rPr>
        <w:t xml:space="preserve"> only affect the Minister’s decision-making process and ha</w:t>
      </w:r>
      <w:r>
        <w:rPr>
          <w:rFonts w:ascii="Times New Roman" w:hAnsi="Times New Roman"/>
        </w:rPr>
        <w:t>ve</w:t>
      </w:r>
      <w:r w:rsidRPr="00E60680">
        <w:rPr>
          <w:rFonts w:ascii="Times New Roman" w:hAnsi="Times New Roman"/>
        </w:rPr>
        <w:t xml:space="preserve"> no impact on the requirements for an applicant, the Office of Best Practice</w:t>
      </w:r>
      <w:r>
        <w:rPr>
          <w:rFonts w:ascii="Times New Roman" w:hAnsi="Times New Roman"/>
        </w:rPr>
        <w:t xml:space="preserve"> Regulation</w:t>
      </w:r>
      <w:r w:rsidRPr="00E60680">
        <w:rPr>
          <w:rFonts w:ascii="Times New Roman" w:hAnsi="Times New Roman"/>
        </w:rPr>
        <w:t xml:space="preserve"> confirmed that a Regulat</w:t>
      </w:r>
      <w:r>
        <w:rPr>
          <w:rFonts w:ascii="Times New Roman" w:hAnsi="Times New Roman"/>
        </w:rPr>
        <w:t>ion</w:t>
      </w:r>
      <w:r w:rsidRPr="00E60680">
        <w:rPr>
          <w:rFonts w:ascii="Times New Roman" w:hAnsi="Times New Roman"/>
        </w:rPr>
        <w:t xml:space="preserve"> Impact Statement is not required. </w:t>
      </w:r>
    </w:p>
    <w:p w:rsidR="00575E1B" w:rsidRDefault="00C31803" w:rsidP="00454EC4">
      <w:pPr>
        <w:pStyle w:val="bullets"/>
        <w:numPr>
          <w:ilvl w:val="0"/>
          <w:numId w:val="0"/>
        </w:numPr>
        <w:rPr>
          <w:rFonts w:ascii="Times New Roman" w:hAnsi="Times New Roman"/>
        </w:rPr>
      </w:pPr>
      <w:r>
        <w:rPr>
          <w:rFonts w:ascii="Times New Roman" w:hAnsi="Times New Roman"/>
        </w:rPr>
        <w:t>Further c</w:t>
      </w:r>
      <w:r w:rsidR="00493EE3">
        <w:rPr>
          <w:rFonts w:ascii="Times New Roman" w:hAnsi="Times New Roman"/>
        </w:rPr>
        <w:t xml:space="preserve">onsultation was considered unnecessary because the purpose of the </w:t>
      </w:r>
      <w:r w:rsidR="008E4666">
        <w:rPr>
          <w:rFonts w:ascii="Times New Roman" w:hAnsi="Times New Roman"/>
        </w:rPr>
        <w:t xml:space="preserve">2015 </w:t>
      </w:r>
      <w:r w:rsidR="00493EE3">
        <w:rPr>
          <w:rFonts w:ascii="Times New Roman" w:hAnsi="Times New Roman"/>
        </w:rPr>
        <w:t xml:space="preserve">Guidelines is simply to replace the 2004 Guidelines, </w:t>
      </w:r>
      <w:r w:rsidR="008E4666">
        <w:rPr>
          <w:rFonts w:ascii="Times New Roman" w:hAnsi="Times New Roman"/>
        </w:rPr>
        <w:t>which sunset on 1 October 2015. T</w:t>
      </w:r>
      <w:r w:rsidR="00493EE3">
        <w:rPr>
          <w:rFonts w:ascii="Times New Roman" w:hAnsi="Times New Roman"/>
        </w:rPr>
        <w:t xml:space="preserve">he 2015 Guidelines do not substantially alter the existing arrangements set out in the 2004 Guidelines. </w:t>
      </w:r>
      <w:r w:rsidR="00BC7DF6" w:rsidRPr="00BC7DF6">
        <w:rPr>
          <w:rFonts w:ascii="Times New Roman" w:hAnsi="Times New Roman"/>
        </w:rPr>
        <w:t>However</w:t>
      </w:r>
      <w:r w:rsidR="00575E1B">
        <w:rPr>
          <w:rFonts w:ascii="Times New Roman" w:hAnsi="Times New Roman"/>
        </w:rPr>
        <w:t>,</w:t>
      </w:r>
      <w:r w:rsidR="00BC7DF6" w:rsidRPr="00BC7DF6">
        <w:rPr>
          <w:rFonts w:ascii="Times New Roman" w:hAnsi="Times New Roman"/>
        </w:rPr>
        <w:t xml:space="preserve"> there </w:t>
      </w:r>
      <w:r w:rsidR="00D33720">
        <w:rPr>
          <w:rFonts w:ascii="Times New Roman" w:hAnsi="Times New Roman"/>
        </w:rPr>
        <w:t xml:space="preserve">were </w:t>
      </w:r>
      <w:r w:rsidR="00575E1B">
        <w:rPr>
          <w:rFonts w:ascii="Times New Roman" w:hAnsi="Times New Roman"/>
        </w:rPr>
        <w:t xml:space="preserve">two </w:t>
      </w:r>
      <w:r w:rsidR="00BC7DF6" w:rsidRPr="00BC7DF6">
        <w:rPr>
          <w:rFonts w:ascii="Times New Roman" w:hAnsi="Times New Roman"/>
        </w:rPr>
        <w:t>minor amendment</w:t>
      </w:r>
      <w:r w:rsidR="00575E1B">
        <w:rPr>
          <w:rFonts w:ascii="Times New Roman" w:hAnsi="Times New Roman"/>
        </w:rPr>
        <w:t>s:</w:t>
      </w:r>
    </w:p>
    <w:p w:rsidR="00575E1B" w:rsidRDefault="00575E1B" w:rsidP="00F23783">
      <w:pPr>
        <w:pStyle w:val="bullets"/>
        <w:numPr>
          <w:ilvl w:val="0"/>
          <w:numId w:val="23"/>
        </w:numPr>
        <w:tabs>
          <w:tab w:val="left" w:pos="851"/>
        </w:tabs>
        <w:ind w:left="851"/>
        <w:rPr>
          <w:rFonts w:ascii="Times New Roman" w:hAnsi="Times New Roman"/>
        </w:rPr>
      </w:pPr>
      <w:r>
        <w:rPr>
          <w:rFonts w:ascii="Times New Roman" w:hAnsi="Times New Roman"/>
        </w:rPr>
        <w:t>a</w:t>
      </w:r>
      <w:r w:rsidRPr="00575E1B">
        <w:rPr>
          <w:rFonts w:ascii="Times New Roman" w:hAnsi="Times New Roman"/>
        </w:rPr>
        <w:t xml:space="preserve">dding a condition </w:t>
      </w:r>
      <w:r>
        <w:rPr>
          <w:rFonts w:ascii="Times New Roman" w:hAnsi="Times New Roman"/>
        </w:rPr>
        <w:t>clarifying</w:t>
      </w:r>
      <w:r w:rsidRPr="00575E1B">
        <w:rPr>
          <w:rFonts w:ascii="Times New Roman" w:hAnsi="Times New Roman"/>
        </w:rPr>
        <w:t xml:space="preserve"> that the Minister</w:t>
      </w:r>
      <w:r w:rsidR="008F3173">
        <w:rPr>
          <w:rFonts w:ascii="Times New Roman" w:hAnsi="Times New Roman"/>
        </w:rPr>
        <w:t>,</w:t>
      </w:r>
      <w:r w:rsidRPr="00575E1B">
        <w:rPr>
          <w:rFonts w:ascii="Times New Roman" w:hAnsi="Times New Roman"/>
        </w:rPr>
        <w:t xml:space="preserve"> when deciding to make a declaration</w:t>
      </w:r>
      <w:r w:rsidR="008F3173">
        <w:rPr>
          <w:rFonts w:ascii="Times New Roman" w:hAnsi="Times New Roman"/>
        </w:rPr>
        <w:t>,</w:t>
      </w:r>
      <w:r w:rsidRPr="00575E1B">
        <w:rPr>
          <w:rFonts w:ascii="Times New Roman" w:hAnsi="Times New Roman"/>
        </w:rPr>
        <w:t xml:space="preserve"> must consider </w:t>
      </w:r>
      <w:r w:rsidRPr="00F23783">
        <w:rPr>
          <w:rFonts w:ascii="Times New Roman" w:hAnsi="Times New Roman"/>
        </w:rPr>
        <w:t xml:space="preserve">whether the declaration should be expressly limited to </w:t>
      </w:r>
      <w:r w:rsidR="00D33720">
        <w:rPr>
          <w:rFonts w:ascii="Times New Roman" w:hAnsi="Times New Roman"/>
        </w:rPr>
        <w:t xml:space="preserve">a </w:t>
      </w:r>
      <w:r w:rsidRPr="00F23783">
        <w:rPr>
          <w:rFonts w:ascii="Times New Roman" w:hAnsi="Times New Roman"/>
        </w:rPr>
        <w:t>particular space activity or series of space activities that the applicant proposes that it will, or is likely to, undertake</w:t>
      </w:r>
      <w:r w:rsidRPr="00575E1B">
        <w:rPr>
          <w:rFonts w:ascii="Times New Roman" w:hAnsi="Times New Roman"/>
        </w:rPr>
        <w:t>; and</w:t>
      </w:r>
    </w:p>
    <w:p w:rsidR="00575E1B" w:rsidRDefault="00575E1B" w:rsidP="00F23783">
      <w:pPr>
        <w:pStyle w:val="bullets"/>
        <w:numPr>
          <w:ilvl w:val="0"/>
          <w:numId w:val="23"/>
        </w:numPr>
        <w:tabs>
          <w:tab w:val="left" w:pos="851"/>
        </w:tabs>
        <w:ind w:left="851"/>
        <w:rPr>
          <w:rFonts w:ascii="Times New Roman" w:hAnsi="Times New Roman"/>
        </w:rPr>
      </w:pPr>
      <w:proofErr w:type="gramStart"/>
      <w:r>
        <w:rPr>
          <w:rFonts w:ascii="Times New Roman" w:hAnsi="Times New Roman"/>
        </w:rPr>
        <w:t>amending</w:t>
      </w:r>
      <w:proofErr w:type="gramEnd"/>
      <w:r>
        <w:rPr>
          <w:rFonts w:ascii="Times New Roman" w:hAnsi="Times New Roman"/>
        </w:rPr>
        <w:t xml:space="preserve"> </w:t>
      </w:r>
      <w:r w:rsidR="00BC7DF6" w:rsidRPr="00575E1B">
        <w:rPr>
          <w:rFonts w:ascii="Times New Roman" w:hAnsi="Times New Roman"/>
        </w:rPr>
        <w:t xml:space="preserve">Note 1 in the 2015 Guidelines to reflect that regulation 1.04 of the Space Activities Regulations 2001 was made subsequent to the 2004 Guidelines, providing how an application for a declaration under section 8A of the Act must be made. </w:t>
      </w:r>
    </w:p>
    <w:p w:rsidR="00454EC4" w:rsidRPr="00575E1B" w:rsidRDefault="00454EC4" w:rsidP="00575E1B">
      <w:pPr>
        <w:pStyle w:val="bullets"/>
        <w:numPr>
          <w:ilvl w:val="0"/>
          <w:numId w:val="0"/>
        </w:numPr>
        <w:rPr>
          <w:rFonts w:ascii="Times New Roman" w:hAnsi="Times New Roman"/>
        </w:rPr>
      </w:pPr>
      <w:r w:rsidRPr="00575E1B">
        <w:rPr>
          <w:rFonts w:ascii="Times New Roman" w:hAnsi="Times New Roman"/>
        </w:rPr>
        <w:t>At the time of</w:t>
      </w:r>
      <w:r w:rsidR="00367FB7" w:rsidRPr="00575E1B">
        <w:rPr>
          <w:rFonts w:ascii="Times New Roman" w:hAnsi="Times New Roman"/>
        </w:rPr>
        <w:t xml:space="preserve"> the</w:t>
      </w:r>
      <w:r w:rsidRPr="00575E1B">
        <w:rPr>
          <w:rFonts w:ascii="Times New Roman" w:hAnsi="Times New Roman"/>
        </w:rPr>
        <w:t xml:space="preserve"> making</w:t>
      </w:r>
      <w:r w:rsidR="00367FB7" w:rsidRPr="00575E1B">
        <w:rPr>
          <w:rFonts w:ascii="Times New Roman" w:hAnsi="Times New Roman"/>
        </w:rPr>
        <w:t xml:space="preserve"> of the 2004 Guidelines</w:t>
      </w:r>
      <w:r w:rsidRPr="00575E1B">
        <w:rPr>
          <w:rFonts w:ascii="Times New Roman" w:hAnsi="Times New Roman"/>
        </w:rPr>
        <w:t xml:space="preserve">, consultation was undertaken with stakeholders </w:t>
      </w:r>
      <w:r w:rsidR="00367FB7" w:rsidRPr="00575E1B">
        <w:rPr>
          <w:rFonts w:ascii="Times New Roman" w:hAnsi="Times New Roman"/>
        </w:rPr>
        <w:t xml:space="preserve">who </w:t>
      </w:r>
      <w:r w:rsidRPr="00575E1B">
        <w:rPr>
          <w:rFonts w:ascii="Times New Roman" w:hAnsi="Times New Roman"/>
        </w:rPr>
        <w:t>were given the opportunity to provide feedback to the Space Licensing and Safety Office.</w:t>
      </w:r>
      <w:r w:rsidRPr="00DB5F3A">
        <w:rPr>
          <w:rFonts w:ascii="Times New Roman" w:hAnsi="Times New Roman"/>
        </w:rPr>
        <w:t xml:space="preserve">  This feedback was taken into account in developing the 2004 Guidelines.  </w:t>
      </w:r>
      <w:r w:rsidR="001C6FB2">
        <w:rPr>
          <w:rFonts w:ascii="Times New Roman" w:hAnsi="Times New Roman"/>
        </w:rPr>
        <w:t>It was not necessary to consult on this</w:t>
      </w:r>
      <w:r w:rsidR="00575E1B">
        <w:rPr>
          <w:rFonts w:ascii="Times New Roman" w:hAnsi="Times New Roman"/>
        </w:rPr>
        <w:t xml:space="preserve"> new condition </w:t>
      </w:r>
      <w:r w:rsidR="001C6FB2">
        <w:rPr>
          <w:rFonts w:ascii="Times New Roman" w:hAnsi="Times New Roman"/>
        </w:rPr>
        <w:t xml:space="preserve">as it </w:t>
      </w:r>
      <w:r w:rsidR="00575E1B">
        <w:rPr>
          <w:rFonts w:ascii="Times New Roman" w:hAnsi="Times New Roman"/>
        </w:rPr>
        <w:t>does not provide a further power</w:t>
      </w:r>
      <w:r w:rsidR="001C6FB2">
        <w:rPr>
          <w:rFonts w:ascii="Times New Roman" w:hAnsi="Times New Roman"/>
        </w:rPr>
        <w:t xml:space="preserve"> to,</w:t>
      </w:r>
      <w:r w:rsidR="00575E1B">
        <w:rPr>
          <w:rFonts w:ascii="Times New Roman" w:hAnsi="Times New Roman"/>
        </w:rPr>
        <w:t xml:space="preserve"> </w:t>
      </w:r>
      <w:r w:rsidR="001C6FB2">
        <w:rPr>
          <w:rFonts w:ascii="Times New Roman" w:hAnsi="Times New Roman"/>
        </w:rPr>
        <w:t xml:space="preserve">or limit the power of, the Minister to make a declaration </w:t>
      </w:r>
      <w:r w:rsidR="00575E1B">
        <w:rPr>
          <w:rFonts w:ascii="Times New Roman" w:hAnsi="Times New Roman"/>
        </w:rPr>
        <w:t xml:space="preserve">but merely makes it clear that the Minister </w:t>
      </w:r>
      <w:r w:rsidR="001C6FB2">
        <w:rPr>
          <w:rFonts w:ascii="Times New Roman" w:hAnsi="Times New Roman"/>
        </w:rPr>
        <w:t>must consider whether to limit the scope of the declaration to relevant space activity or a series of activities when deciding whether to make a declaration.</w:t>
      </w:r>
    </w:p>
    <w:p w:rsidR="001A2100" w:rsidRDefault="00FE5953" w:rsidP="007A78D8">
      <w:pPr>
        <w:keepNext/>
        <w:rPr>
          <w:rFonts w:ascii="Times New Roman" w:hAnsi="Times New Roman"/>
          <w:b/>
          <w:szCs w:val="22"/>
        </w:rPr>
      </w:pPr>
      <w:r>
        <w:rPr>
          <w:rFonts w:ascii="Times New Roman" w:hAnsi="Times New Roman"/>
          <w:b/>
          <w:szCs w:val="22"/>
        </w:rPr>
        <w:lastRenderedPageBreak/>
        <w:t xml:space="preserve">DETAILED </w:t>
      </w:r>
      <w:r w:rsidR="001A2100" w:rsidRPr="00E510B8">
        <w:rPr>
          <w:rFonts w:ascii="Times New Roman" w:hAnsi="Times New Roman"/>
          <w:b/>
          <w:szCs w:val="22"/>
        </w:rPr>
        <w:t>EXPLANATION OF</w:t>
      </w:r>
      <w:r w:rsidR="00AA6125">
        <w:rPr>
          <w:rFonts w:ascii="Times New Roman" w:hAnsi="Times New Roman"/>
          <w:b/>
          <w:szCs w:val="22"/>
        </w:rPr>
        <w:t xml:space="preserve"> THE</w:t>
      </w:r>
      <w:r w:rsidR="001A2100" w:rsidRPr="00E510B8">
        <w:rPr>
          <w:rFonts w:ascii="Times New Roman" w:hAnsi="Times New Roman"/>
          <w:b/>
          <w:szCs w:val="22"/>
        </w:rPr>
        <w:t xml:space="preserve"> </w:t>
      </w:r>
      <w:r w:rsidR="008E4666">
        <w:rPr>
          <w:rFonts w:ascii="Times New Roman" w:hAnsi="Times New Roman"/>
          <w:b/>
          <w:szCs w:val="22"/>
        </w:rPr>
        <w:t xml:space="preserve">2015 </w:t>
      </w:r>
      <w:r w:rsidR="001A2100" w:rsidRPr="00E510B8">
        <w:rPr>
          <w:rFonts w:ascii="Times New Roman" w:hAnsi="Times New Roman"/>
          <w:b/>
          <w:szCs w:val="22"/>
        </w:rPr>
        <w:t>GUIDELINES</w:t>
      </w:r>
    </w:p>
    <w:p w:rsidR="001A2100" w:rsidRDefault="001A2100" w:rsidP="001A2100">
      <w:pPr>
        <w:rPr>
          <w:rFonts w:ascii="Times New Roman" w:hAnsi="Times New Roman"/>
          <w:b/>
          <w:szCs w:val="22"/>
        </w:rPr>
      </w:pPr>
      <w:r>
        <w:rPr>
          <w:rFonts w:ascii="Times New Roman" w:hAnsi="Times New Roman"/>
          <w:b/>
          <w:szCs w:val="22"/>
        </w:rPr>
        <w:t>1</w:t>
      </w:r>
      <w:r>
        <w:rPr>
          <w:rFonts w:ascii="Times New Roman" w:hAnsi="Times New Roman"/>
          <w:b/>
          <w:szCs w:val="22"/>
        </w:rPr>
        <w:tab/>
        <w:t>Name of Guidelines</w:t>
      </w:r>
    </w:p>
    <w:p w:rsidR="001A2100" w:rsidRDefault="001A2100" w:rsidP="001A2100">
      <w:pPr>
        <w:rPr>
          <w:rFonts w:ascii="Times New Roman" w:hAnsi="Times New Roman"/>
          <w:szCs w:val="22"/>
        </w:rPr>
      </w:pPr>
      <w:r>
        <w:rPr>
          <w:rFonts w:ascii="Times New Roman" w:hAnsi="Times New Roman"/>
          <w:szCs w:val="22"/>
        </w:rPr>
        <w:t xml:space="preserve">This section sets out the name of the </w:t>
      </w:r>
      <w:r w:rsidR="008E4666">
        <w:rPr>
          <w:rFonts w:ascii="Times New Roman" w:hAnsi="Times New Roman"/>
          <w:szCs w:val="22"/>
        </w:rPr>
        <w:t xml:space="preserve">2015 </w:t>
      </w:r>
      <w:r>
        <w:rPr>
          <w:rFonts w:ascii="Times New Roman" w:hAnsi="Times New Roman"/>
          <w:szCs w:val="22"/>
        </w:rPr>
        <w:t xml:space="preserve">Guidelines as the </w:t>
      </w:r>
      <w:r w:rsidRPr="00F21F69">
        <w:rPr>
          <w:rFonts w:ascii="Times New Roman" w:hAnsi="Times New Roman"/>
          <w:i/>
          <w:szCs w:val="22"/>
        </w:rPr>
        <w:t>Space Activities (Approved Scientific or Educational Organisations) Guidelines 20</w:t>
      </w:r>
      <w:r w:rsidR="00C71570">
        <w:rPr>
          <w:rFonts w:ascii="Times New Roman" w:hAnsi="Times New Roman"/>
          <w:i/>
          <w:szCs w:val="22"/>
        </w:rPr>
        <w:t>15</w:t>
      </w:r>
      <w:r>
        <w:rPr>
          <w:rFonts w:ascii="Times New Roman" w:hAnsi="Times New Roman"/>
          <w:szCs w:val="22"/>
        </w:rPr>
        <w:t>.</w:t>
      </w:r>
    </w:p>
    <w:p w:rsidR="001A2100" w:rsidRDefault="001A2100" w:rsidP="001A2100">
      <w:pPr>
        <w:rPr>
          <w:rFonts w:ascii="Times New Roman" w:hAnsi="Times New Roman"/>
          <w:b/>
          <w:szCs w:val="22"/>
        </w:rPr>
      </w:pPr>
      <w:r w:rsidRPr="00F21F69">
        <w:rPr>
          <w:rFonts w:ascii="Times New Roman" w:hAnsi="Times New Roman"/>
          <w:b/>
          <w:szCs w:val="22"/>
        </w:rPr>
        <w:t>2</w:t>
      </w:r>
      <w:r w:rsidRPr="00F21F69">
        <w:rPr>
          <w:rFonts w:ascii="Times New Roman" w:hAnsi="Times New Roman"/>
          <w:b/>
          <w:szCs w:val="22"/>
        </w:rPr>
        <w:tab/>
        <w:t>Commencement</w:t>
      </w:r>
    </w:p>
    <w:p w:rsidR="001A2100" w:rsidRDefault="001A2100" w:rsidP="001A2100">
      <w:pPr>
        <w:ind w:left="720" w:hanging="720"/>
        <w:rPr>
          <w:rFonts w:ascii="Times New Roman" w:hAnsi="Times New Roman"/>
          <w:szCs w:val="22"/>
        </w:rPr>
      </w:pPr>
      <w:r>
        <w:rPr>
          <w:rFonts w:ascii="Times New Roman" w:hAnsi="Times New Roman"/>
          <w:szCs w:val="22"/>
        </w:rPr>
        <w:t xml:space="preserve">This section provides that the </w:t>
      </w:r>
      <w:r w:rsidR="008E4666">
        <w:rPr>
          <w:rFonts w:ascii="Times New Roman" w:hAnsi="Times New Roman"/>
          <w:szCs w:val="22"/>
        </w:rPr>
        <w:t xml:space="preserve">2015 </w:t>
      </w:r>
      <w:r>
        <w:rPr>
          <w:rFonts w:ascii="Times New Roman" w:hAnsi="Times New Roman"/>
          <w:szCs w:val="22"/>
        </w:rPr>
        <w:t xml:space="preserve">Guidelines will </w:t>
      </w:r>
      <w:r w:rsidRPr="00DC0F75">
        <w:rPr>
          <w:rFonts w:ascii="Times New Roman" w:hAnsi="Times New Roman"/>
          <w:szCs w:val="22"/>
        </w:rPr>
        <w:t xml:space="preserve">commence on </w:t>
      </w:r>
      <w:r w:rsidR="00FA1760" w:rsidRPr="00F92426">
        <w:rPr>
          <w:rFonts w:ascii="Times New Roman" w:hAnsi="Times New Roman"/>
        </w:rPr>
        <w:t>1 October 2015</w:t>
      </w:r>
      <w:r w:rsidRPr="00DC0F75">
        <w:rPr>
          <w:rFonts w:ascii="Times New Roman" w:hAnsi="Times New Roman"/>
          <w:szCs w:val="22"/>
        </w:rPr>
        <w:t>.</w:t>
      </w:r>
    </w:p>
    <w:p w:rsidR="001A2100" w:rsidRDefault="001A2100" w:rsidP="001A2100">
      <w:pPr>
        <w:ind w:left="720" w:hanging="720"/>
        <w:rPr>
          <w:rFonts w:ascii="Times New Roman" w:hAnsi="Times New Roman"/>
          <w:b/>
          <w:szCs w:val="22"/>
        </w:rPr>
      </w:pPr>
      <w:r w:rsidRPr="007F41BB">
        <w:rPr>
          <w:rFonts w:ascii="Times New Roman" w:hAnsi="Times New Roman"/>
          <w:b/>
          <w:szCs w:val="22"/>
        </w:rPr>
        <w:t>3</w:t>
      </w:r>
      <w:r w:rsidRPr="007F41BB">
        <w:rPr>
          <w:rFonts w:ascii="Times New Roman" w:hAnsi="Times New Roman"/>
          <w:b/>
          <w:szCs w:val="22"/>
        </w:rPr>
        <w:tab/>
        <w:t>Definitions</w:t>
      </w:r>
    </w:p>
    <w:p w:rsidR="001A2100" w:rsidRDefault="001A2100" w:rsidP="001A2100">
      <w:pPr>
        <w:ind w:hanging="11"/>
        <w:rPr>
          <w:rFonts w:ascii="Times New Roman" w:hAnsi="Times New Roman"/>
          <w:szCs w:val="22"/>
        </w:rPr>
      </w:pPr>
      <w:r>
        <w:rPr>
          <w:rFonts w:ascii="Times New Roman" w:hAnsi="Times New Roman"/>
          <w:szCs w:val="22"/>
        </w:rPr>
        <w:t xml:space="preserve">This section provides that words and phrases that have been defined in the </w:t>
      </w:r>
      <w:r w:rsidRPr="008B773B">
        <w:rPr>
          <w:rFonts w:ascii="Times New Roman" w:hAnsi="Times New Roman"/>
          <w:i/>
          <w:szCs w:val="22"/>
        </w:rPr>
        <w:t xml:space="preserve">Space Activities Regulations 2001 </w:t>
      </w:r>
      <w:r>
        <w:rPr>
          <w:rFonts w:ascii="Times New Roman" w:hAnsi="Times New Roman"/>
          <w:szCs w:val="22"/>
        </w:rPr>
        <w:t xml:space="preserve">and used in the </w:t>
      </w:r>
      <w:r w:rsidR="008E4666">
        <w:rPr>
          <w:rFonts w:ascii="Times New Roman" w:hAnsi="Times New Roman"/>
          <w:szCs w:val="22"/>
        </w:rPr>
        <w:t xml:space="preserve">2015 </w:t>
      </w:r>
      <w:r>
        <w:rPr>
          <w:rFonts w:ascii="Times New Roman" w:hAnsi="Times New Roman"/>
          <w:szCs w:val="22"/>
        </w:rPr>
        <w:t>Guidelines shall have the same meaning as they do in the Regulations.</w:t>
      </w:r>
    </w:p>
    <w:p w:rsidR="001A2100" w:rsidRPr="00593760" w:rsidRDefault="001A2100" w:rsidP="001A2100">
      <w:pPr>
        <w:ind w:hanging="11"/>
        <w:rPr>
          <w:rFonts w:ascii="Times New Roman" w:hAnsi="Times New Roman"/>
          <w:b/>
          <w:szCs w:val="22"/>
        </w:rPr>
      </w:pPr>
      <w:r w:rsidRPr="00593760">
        <w:rPr>
          <w:rFonts w:ascii="Times New Roman" w:hAnsi="Times New Roman"/>
          <w:b/>
          <w:szCs w:val="22"/>
        </w:rPr>
        <w:t xml:space="preserve">4. </w:t>
      </w:r>
      <w:r w:rsidRPr="00593760">
        <w:rPr>
          <w:rFonts w:ascii="Times New Roman" w:hAnsi="Times New Roman"/>
          <w:b/>
          <w:szCs w:val="22"/>
        </w:rPr>
        <w:tab/>
        <w:t>Matters that the Minister must consider</w:t>
      </w:r>
    </w:p>
    <w:p w:rsidR="001A2100" w:rsidRDefault="001A2100" w:rsidP="001A2100">
      <w:pPr>
        <w:rPr>
          <w:b/>
          <w:szCs w:val="22"/>
        </w:rPr>
      </w:pPr>
      <w:r>
        <w:rPr>
          <w:rFonts w:ascii="Times New Roman" w:hAnsi="Times New Roman"/>
        </w:rPr>
        <w:t>I</w:t>
      </w:r>
      <w:r w:rsidRPr="00824FE4">
        <w:rPr>
          <w:rFonts w:ascii="Times New Roman" w:hAnsi="Times New Roman"/>
        </w:rPr>
        <w:t>n deciding whether or not</w:t>
      </w:r>
      <w:r>
        <w:rPr>
          <w:rFonts w:ascii="Times New Roman" w:hAnsi="Times New Roman"/>
        </w:rPr>
        <w:t xml:space="preserve"> to make a declaration under </w:t>
      </w:r>
      <w:r w:rsidRPr="00824FE4">
        <w:rPr>
          <w:rFonts w:ascii="Times New Roman" w:hAnsi="Times New Roman"/>
        </w:rPr>
        <w:t>section 8A of the Act</w:t>
      </w:r>
      <w:r>
        <w:rPr>
          <w:rFonts w:ascii="Times New Roman" w:hAnsi="Times New Roman"/>
        </w:rPr>
        <w:t xml:space="preserve">, the Minister must consider a number of matters.  </w:t>
      </w:r>
    </w:p>
    <w:p w:rsidR="001A2100" w:rsidRPr="00EC4DBE" w:rsidRDefault="0088592C" w:rsidP="001A2100">
      <w:pPr>
        <w:rPr>
          <w:rFonts w:ascii="Times New Roman" w:hAnsi="Times New Roman"/>
          <w:b/>
          <w:szCs w:val="22"/>
        </w:rPr>
      </w:pPr>
      <w:r w:rsidRPr="0088592C">
        <w:rPr>
          <w:rFonts w:ascii="Times New Roman" w:hAnsi="Times New Roman"/>
          <w:b/>
          <w:szCs w:val="22"/>
        </w:rPr>
        <w:t>Matters relat</w:t>
      </w:r>
      <w:r>
        <w:rPr>
          <w:rFonts w:ascii="Times New Roman" w:hAnsi="Times New Roman"/>
          <w:b/>
          <w:szCs w:val="22"/>
        </w:rPr>
        <w:t>ing</w:t>
      </w:r>
      <w:r w:rsidRPr="0088592C">
        <w:rPr>
          <w:rFonts w:ascii="Times New Roman" w:hAnsi="Times New Roman"/>
          <w:b/>
          <w:szCs w:val="22"/>
        </w:rPr>
        <w:t xml:space="preserve"> to determining whether the applicant for a declaration is a bona fide scientific or educational organisation intending to undertake a bona fide scientific </w:t>
      </w:r>
      <w:r>
        <w:rPr>
          <w:rFonts w:ascii="Times New Roman" w:hAnsi="Times New Roman"/>
          <w:b/>
          <w:szCs w:val="22"/>
        </w:rPr>
        <w:t>or educational space activity</w:t>
      </w:r>
    </w:p>
    <w:p w:rsidR="001A2100" w:rsidRDefault="001A2100" w:rsidP="001A2100">
      <w:pPr>
        <w:autoSpaceDE w:val="0"/>
        <w:autoSpaceDN w:val="0"/>
        <w:adjustRightInd w:val="0"/>
        <w:spacing w:before="0"/>
        <w:rPr>
          <w:rFonts w:ascii="Times New Roman" w:hAnsi="Times New Roman"/>
        </w:rPr>
      </w:pPr>
    </w:p>
    <w:p w:rsidR="001072FD" w:rsidRDefault="0088592C" w:rsidP="001A2100">
      <w:pPr>
        <w:autoSpaceDE w:val="0"/>
        <w:autoSpaceDN w:val="0"/>
        <w:adjustRightInd w:val="0"/>
        <w:spacing w:before="0"/>
        <w:rPr>
          <w:rFonts w:ascii="Times New Roman" w:hAnsi="Times New Roman"/>
        </w:rPr>
      </w:pPr>
      <w:r w:rsidRPr="0088592C">
        <w:rPr>
          <w:rFonts w:ascii="Times New Roman" w:hAnsi="Times New Roman"/>
        </w:rPr>
        <w:t>Paragraphs 4(1)(a) to (e)</w:t>
      </w:r>
      <w:r>
        <w:rPr>
          <w:rFonts w:ascii="Times New Roman" w:hAnsi="Times New Roman"/>
        </w:rPr>
        <w:t xml:space="preserve"> </w:t>
      </w:r>
      <w:r w:rsidR="001A2100">
        <w:rPr>
          <w:rFonts w:ascii="Times New Roman" w:hAnsi="Times New Roman"/>
        </w:rPr>
        <w:t>go to determining whether the</w:t>
      </w:r>
      <w:r w:rsidR="001A2100" w:rsidRPr="00824FE4">
        <w:rPr>
          <w:rFonts w:ascii="Times New Roman" w:hAnsi="Times New Roman"/>
        </w:rPr>
        <w:t xml:space="preserve"> applicant is a </w:t>
      </w:r>
      <w:r w:rsidR="001A2100">
        <w:rPr>
          <w:rFonts w:ascii="Times New Roman" w:hAnsi="Times New Roman"/>
        </w:rPr>
        <w:t>bona fide</w:t>
      </w:r>
      <w:r w:rsidR="001A2100" w:rsidRPr="00824FE4">
        <w:rPr>
          <w:rFonts w:ascii="Times New Roman" w:hAnsi="Times New Roman"/>
        </w:rPr>
        <w:t xml:space="preserve"> </w:t>
      </w:r>
      <w:r w:rsidR="001A2100">
        <w:rPr>
          <w:rFonts w:ascii="Times New Roman" w:hAnsi="Times New Roman"/>
        </w:rPr>
        <w:t xml:space="preserve">scientific or </w:t>
      </w:r>
      <w:r w:rsidR="001A2100" w:rsidRPr="00824FE4">
        <w:rPr>
          <w:rFonts w:ascii="Times New Roman" w:hAnsi="Times New Roman"/>
        </w:rPr>
        <w:t>education</w:t>
      </w:r>
      <w:r w:rsidR="001A2100">
        <w:rPr>
          <w:rFonts w:ascii="Times New Roman" w:hAnsi="Times New Roman"/>
        </w:rPr>
        <w:t xml:space="preserve">al </w:t>
      </w:r>
      <w:r w:rsidR="001A2100" w:rsidRPr="00824FE4">
        <w:rPr>
          <w:rFonts w:ascii="Times New Roman" w:hAnsi="Times New Roman"/>
        </w:rPr>
        <w:t>organisation</w:t>
      </w:r>
      <w:r w:rsidR="001A2100">
        <w:rPr>
          <w:rFonts w:ascii="Times New Roman" w:hAnsi="Times New Roman"/>
        </w:rPr>
        <w:t xml:space="preserve"> having regard to the applicant’s pr</w:t>
      </w:r>
      <w:r w:rsidR="002F34A1">
        <w:rPr>
          <w:rFonts w:ascii="Times New Roman" w:hAnsi="Times New Roman"/>
        </w:rPr>
        <w:t>incipal function and activities:</w:t>
      </w:r>
      <w:r w:rsidR="001A2100">
        <w:rPr>
          <w:rFonts w:ascii="Times New Roman" w:hAnsi="Times New Roman"/>
        </w:rPr>
        <w:t xml:space="preserve"> in the case</w:t>
      </w:r>
      <w:r w:rsidR="002F34A1">
        <w:rPr>
          <w:rFonts w:ascii="Times New Roman" w:hAnsi="Times New Roman"/>
        </w:rPr>
        <w:t xml:space="preserve"> of </w:t>
      </w:r>
      <w:r w:rsidR="001A2100">
        <w:rPr>
          <w:rFonts w:ascii="Times New Roman" w:hAnsi="Times New Roman"/>
        </w:rPr>
        <w:t>an appli</w:t>
      </w:r>
      <w:r w:rsidR="009256A4">
        <w:rPr>
          <w:rFonts w:ascii="Times New Roman" w:hAnsi="Times New Roman"/>
        </w:rPr>
        <w:t>cant that is not an individual,</w:t>
      </w:r>
      <w:r w:rsidR="001A2100">
        <w:rPr>
          <w:rFonts w:ascii="Times New Roman" w:hAnsi="Times New Roman"/>
        </w:rPr>
        <w:t xml:space="preserve"> the purpose and</w:t>
      </w:r>
      <w:r w:rsidR="0029485D">
        <w:rPr>
          <w:rFonts w:ascii="Times New Roman" w:hAnsi="Times New Roman"/>
        </w:rPr>
        <w:t xml:space="preserve"> manner</w:t>
      </w:r>
      <w:r w:rsidR="001A2100">
        <w:rPr>
          <w:rFonts w:ascii="Times New Roman" w:hAnsi="Times New Roman"/>
        </w:rPr>
        <w:t xml:space="preserve"> </w:t>
      </w:r>
      <w:r w:rsidR="002F34A1">
        <w:rPr>
          <w:rFonts w:ascii="Times New Roman" w:hAnsi="Times New Roman"/>
        </w:rPr>
        <w:t xml:space="preserve">in </w:t>
      </w:r>
      <w:r w:rsidR="001A2100">
        <w:rPr>
          <w:rFonts w:ascii="Times New Roman" w:hAnsi="Times New Roman"/>
        </w:rPr>
        <w:t xml:space="preserve">which </w:t>
      </w:r>
      <w:r w:rsidR="002F34A1">
        <w:rPr>
          <w:rFonts w:ascii="Times New Roman" w:hAnsi="Times New Roman"/>
        </w:rPr>
        <w:t>the applicant</w:t>
      </w:r>
      <w:r w:rsidR="001A2100">
        <w:rPr>
          <w:rFonts w:ascii="Times New Roman" w:hAnsi="Times New Roman"/>
        </w:rPr>
        <w:t xml:space="preserve"> was established; whether the applicant carries on business for profit or gain; and whether the applicant is prohibited by its constitution or by law from making distribution of its assets to members and persons while it is operating </w:t>
      </w:r>
      <w:r w:rsidR="002F34A1">
        <w:rPr>
          <w:rFonts w:ascii="Times New Roman" w:hAnsi="Times New Roman"/>
        </w:rPr>
        <w:t xml:space="preserve">or </w:t>
      </w:r>
      <w:r w:rsidR="001A2100">
        <w:rPr>
          <w:rFonts w:ascii="Times New Roman" w:hAnsi="Times New Roman"/>
        </w:rPr>
        <w:t xml:space="preserve">being wound up. </w:t>
      </w:r>
    </w:p>
    <w:p w:rsidR="001072FD" w:rsidRDefault="001072FD" w:rsidP="001A2100">
      <w:pPr>
        <w:autoSpaceDE w:val="0"/>
        <w:autoSpaceDN w:val="0"/>
        <w:adjustRightInd w:val="0"/>
        <w:spacing w:before="0"/>
        <w:rPr>
          <w:rFonts w:ascii="Times New Roman" w:hAnsi="Times New Roman"/>
        </w:rPr>
      </w:pPr>
    </w:p>
    <w:p w:rsidR="0088592C" w:rsidRDefault="0088592C" w:rsidP="001A2100">
      <w:pPr>
        <w:autoSpaceDE w:val="0"/>
        <w:autoSpaceDN w:val="0"/>
        <w:adjustRightInd w:val="0"/>
        <w:spacing w:before="0"/>
        <w:rPr>
          <w:rFonts w:ascii="Times New Roman" w:hAnsi="Times New Roman"/>
          <w:b/>
          <w:szCs w:val="22"/>
        </w:rPr>
      </w:pPr>
      <w:r w:rsidRPr="0088592C">
        <w:rPr>
          <w:rFonts w:ascii="Times New Roman" w:hAnsi="Times New Roman"/>
          <w:b/>
          <w:szCs w:val="22"/>
        </w:rPr>
        <w:t>Matters relat</w:t>
      </w:r>
      <w:r>
        <w:rPr>
          <w:rFonts w:ascii="Times New Roman" w:hAnsi="Times New Roman"/>
          <w:b/>
          <w:szCs w:val="22"/>
        </w:rPr>
        <w:t>ing</w:t>
      </w:r>
      <w:r w:rsidRPr="0088592C">
        <w:rPr>
          <w:rFonts w:ascii="Times New Roman" w:hAnsi="Times New Roman"/>
          <w:b/>
          <w:szCs w:val="22"/>
        </w:rPr>
        <w:t xml:space="preserve"> to determining</w:t>
      </w:r>
      <w:r>
        <w:rPr>
          <w:rFonts w:ascii="Times New Roman" w:hAnsi="Times New Roman"/>
          <w:b/>
          <w:szCs w:val="22"/>
        </w:rPr>
        <w:t xml:space="preserve"> </w:t>
      </w:r>
      <w:r w:rsidRPr="0088592C">
        <w:rPr>
          <w:rFonts w:ascii="Times New Roman" w:hAnsi="Times New Roman"/>
          <w:b/>
          <w:szCs w:val="22"/>
        </w:rPr>
        <w:t>the scientific or educational character of the space activity proposed to be undertaken by the applicant.</w:t>
      </w:r>
    </w:p>
    <w:p w:rsidR="001A2100" w:rsidRDefault="001A2100" w:rsidP="001A2100">
      <w:pPr>
        <w:autoSpaceDE w:val="0"/>
        <w:autoSpaceDN w:val="0"/>
        <w:adjustRightInd w:val="0"/>
        <w:spacing w:before="0"/>
        <w:rPr>
          <w:rFonts w:ascii="Times New Roman" w:hAnsi="Times New Roman"/>
        </w:rPr>
      </w:pPr>
    </w:p>
    <w:p w:rsidR="001A2100" w:rsidRDefault="0088592C" w:rsidP="001A2100">
      <w:pPr>
        <w:autoSpaceDE w:val="0"/>
        <w:autoSpaceDN w:val="0"/>
        <w:adjustRightInd w:val="0"/>
        <w:spacing w:before="0"/>
        <w:rPr>
          <w:rFonts w:ascii="Times New Roman" w:hAnsi="Times New Roman"/>
        </w:rPr>
      </w:pPr>
      <w:r w:rsidRPr="0088592C">
        <w:rPr>
          <w:rFonts w:ascii="Times New Roman" w:hAnsi="Times New Roman"/>
        </w:rPr>
        <w:t>Paragraphs 4(1</w:t>
      </w:r>
      <w:proofErr w:type="gramStart"/>
      <w:r w:rsidRPr="0088592C">
        <w:rPr>
          <w:rFonts w:ascii="Times New Roman" w:hAnsi="Times New Roman"/>
        </w:rPr>
        <w:t>)(</w:t>
      </w:r>
      <w:proofErr w:type="gramEnd"/>
      <w:r w:rsidRPr="0088592C">
        <w:rPr>
          <w:rFonts w:ascii="Times New Roman" w:hAnsi="Times New Roman"/>
        </w:rPr>
        <w:t>f) to (h)</w:t>
      </w:r>
      <w:r w:rsidR="001A2100">
        <w:rPr>
          <w:rFonts w:ascii="Times New Roman" w:hAnsi="Times New Roman"/>
        </w:rPr>
        <w:t xml:space="preserve"> focus on</w:t>
      </w:r>
      <w:r w:rsidR="00BF2FB7">
        <w:rPr>
          <w:rFonts w:ascii="Times New Roman" w:hAnsi="Times New Roman"/>
        </w:rPr>
        <w:t xml:space="preserve"> the</w:t>
      </w:r>
      <w:r w:rsidR="001A2100">
        <w:rPr>
          <w:rFonts w:ascii="Times New Roman" w:hAnsi="Times New Roman"/>
        </w:rPr>
        <w:t xml:space="preserve"> scientific or educational character of the space activity proposed to be undertaken by the applicant</w:t>
      </w:r>
      <w:r w:rsidR="0014412C">
        <w:rPr>
          <w:rFonts w:ascii="Times New Roman" w:hAnsi="Times New Roman"/>
        </w:rPr>
        <w:t>. The Minister must</w:t>
      </w:r>
      <w:r w:rsidR="00FE5953">
        <w:rPr>
          <w:rFonts w:ascii="Times New Roman" w:hAnsi="Times New Roman"/>
        </w:rPr>
        <w:t xml:space="preserve"> </w:t>
      </w:r>
      <w:r w:rsidR="001A2100">
        <w:rPr>
          <w:rFonts w:ascii="Times New Roman" w:hAnsi="Times New Roman"/>
        </w:rPr>
        <w:t>hav</w:t>
      </w:r>
      <w:r w:rsidR="0014412C">
        <w:rPr>
          <w:rFonts w:ascii="Times New Roman" w:hAnsi="Times New Roman"/>
        </w:rPr>
        <w:t>e</w:t>
      </w:r>
      <w:r w:rsidR="001A2100">
        <w:rPr>
          <w:rFonts w:ascii="Times New Roman" w:hAnsi="Times New Roman"/>
        </w:rPr>
        <w:t xml:space="preserve"> regard to the purpose of the</w:t>
      </w:r>
      <w:r w:rsidR="0014412C">
        <w:rPr>
          <w:rFonts w:ascii="Times New Roman" w:hAnsi="Times New Roman"/>
        </w:rPr>
        <w:t xml:space="preserve"> applicant’s</w:t>
      </w:r>
      <w:r w:rsidR="001A2100">
        <w:rPr>
          <w:rFonts w:ascii="Times New Roman" w:hAnsi="Times New Roman"/>
        </w:rPr>
        <w:t xml:space="preserve"> space activity</w:t>
      </w:r>
      <w:r w:rsidR="0014412C">
        <w:rPr>
          <w:rFonts w:ascii="Times New Roman" w:hAnsi="Times New Roman"/>
        </w:rPr>
        <w:t>, which is</w:t>
      </w:r>
      <w:r w:rsidR="001A2100">
        <w:rPr>
          <w:rFonts w:ascii="Times New Roman" w:hAnsi="Times New Roman"/>
        </w:rPr>
        <w:t xml:space="preserve"> </w:t>
      </w:r>
      <w:r w:rsidR="0014412C">
        <w:rPr>
          <w:rFonts w:ascii="Times New Roman" w:hAnsi="Times New Roman"/>
        </w:rPr>
        <w:t>to be</w:t>
      </w:r>
      <w:r w:rsidR="001A2100">
        <w:rPr>
          <w:rFonts w:ascii="Times New Roman" w:hAnsi="Times New Roman"/>
        </w:rPr>
        <w:t xml:space="preserve"> determined by the nature, origin and function of the payload </w:t>
      </w:r>
      <w:r w:rsidR="0014412C">
        <w:rPr>
          <w:rFonts w:ascii="Times New Roman" w:hAnsi="Times New Roman"/>
        </w:rPr>
        <w:t xml:space="preserve">relating to the activity, </w:t>
      </w:r>
      <w:r w:rsidR="009B40C3">
        <w:rPr>
          <w:rFonts w:ascii="Times New Roman" w:hAnsi="Times New Roman"/>
        </w:rPr>
        <w:t>and the</w:t>
      </w:r>
      <w:r w:rsidR="001A2100">
        <w:rPr>
          <w:rFonts w:ascii="Times New Roman" w:hAnsi="Times New Roman"/>
        </w:rPr>
        <w:t xml:space="preserve"> proposed use of the results, data, intellectual property or other products</w:t>
      </w:r>
      <w:r w:rsidR="0014412C">
        <w:rPr>
          <w:rFonts w:ascii="Times New Roman" w:hAnsi="Times New Roman"/>
        </w:rPr>
        <w:t xml:space="preserve"> relating to the activity. The Minister must also have regard to:</w:t>
      </w:r>
      <w:r w:rsidR="00FE5953">
        <w:rPr>
          <w:rFonts w:ascii="Times New Roman" w:hAnsi="Times New Roman"/>
        </w:rPr>
        <w:t xml:space="preserve"> </w:t>
      </w:r>
      <w:r w:rsidR="001A2100">
        <w:rPr>
          <w:rFonts w:ascii="Times New Roman" w:hAnsi="Times New Roman"/>
        </w:rPr>
        <w:t>the nature and source of the funding for the activity; any conditions under which the funding will be provided; and any agreements, memorandum</w:t>
      </w:r>
      <w:r w:rsidR="00E926B4">
        <w:rPr>
          <w:rFonts w:ascii="Times New Roman" w:hAnsi="Times New Roman"/>
        </w:rPr>
        <w:t>s</w:t>
      </w:r>
      <w:r w:rsidR="001A2100">
        <w:rPr>
          <w:rFonts w:ascii="Times New Roman" w:hAnsi="Times New Roman"/>
        </w:rPr>
        <w:t xml:space="preserve"> of understanding</w:t>
      </w:r>
      <w:r w:rsidR="00E926B4">
        <w:rPr>
          <w:rFonts w:ascii="Times New Roman" w:hAnsi="Times New Roman"/>
        </w:rPr>
        <w:t>,</w:t>
      </w:r>
      <w:r w:rsidR="001A2100">
        <w:rPr>
          <w:rFonts w:ascii="Times New Roman" w:hAnsi="Times New Roman"/>
        </w:rPr>
        <w:t xml:space="preserve"> or other arrangements entered into by the applicant or which the applicant is proposing to enter into</w:t>
      </w:r>
      <w:r w:rsidR="00E926B4">
        <w:rPr>
          <w:rFonts w:ascii="Times New Roman" w:hAnsi="Times New Roman"/>
        </w:rPr>
        <w:t xml:space="preserve"> in relation to the activity or series of activities.</w:t>
      </w:r>
    </w:p>
    <w:p w:rsidR="001A2100" w:rsidRDefault="001A2100" w:rsidP="001A2100">
      <w:pPr>
        <w:autoSpaceDE w:val="0"/>
        <w:autoSpaceDN w:val="0"/>
        <w:adjustRightInd w:val="0"/>
        <w:spacing w:before="0"/>
        <w:rPr>
          <w:rFonts w:ascii="Times New Roman" w:hAnsi="Times New Roman"/>
        </w:rPr>
      </w:pPr>
    </w:p>
    <w:p w:rsidR="001A2100" w:rsidRDefault="0088592C" w:rsidP="001A2100">
      <w:pPr>
        <w:autoSpaceDE w:val="0"/>
        <w:autoSpaceDN w:val="0"/>
        <w:adjustRightInd w:val="0"/>
        <w:spacing w:before="0"/>
        <w:rPr>
          <w:rFonts w:ascii="Times New Roman" w:hAnsi="Times New Roman"/>
          <w:b/>
        </w:rPr>
      </w:pPr>
      <w:r w:rsidRPr="0088592C">
        <w:rPr>
          <w:rFonts w:ascii="Times New Roman" w:hAnsi="Times New Roman"/>
          <w:b/>
          <w:szCs w:val="22"/>
        </w:rPr>
        <w:t>Matters relat</w:t>
      </w:r>
      <w:r>
        <w:rPr>
          <w:rFonts w:ascii="Times New Roman" w:hAnsi="Times New Roman"/>
          <w:b/>
          <w:szCs w:val="22"/>
        </w:rPr>
        <w:t>ing</w:t>
      </w:r>
      <w:r w:rsidRPr="0088592C">
        <w:rPr>
          <w:rFonts w:ascii="Times New Roman" w:hAnsi="Times New Roman"/>
          <w:b/>
          <w:szCs w:val="22"/>
        </w:rPr>
        <w:t xml:space="preserve"> to</w:t>
      </w:r>
      <w:r>
        <w:rPr>
          <w:rFonts w:ascii="Times New Roman" w:hAnsi="Times New Roman"/>
          <w:b/>
        </w:rPr>
        <w:t xml:space="preserve"> </w:t>
      </w:r>
      <w:r w:rsidR="00D33720">
        <w:rPr>
          <w:rFonts w:ascii="Times New Roman" w:hAnsi="Times New Roman"/>
          <w:b/>
        </w:rPr>
        <w:t xml:space="preserve">when </w:t>
      </w:r>
      <w:r w:rsidRPr="0088592C">
        <w:rPr>
          <w:rFonts w:ascii="Times New Roman" w:hAnsi="Times New Roman"/>
          <w:b/>
        </w:rPr>
        <w:t xml:space="preserve">the activity is likely to be undertaken by the applicant </w:t>
      </w:r>
    </w:p>
    <w:p w:rsidR="0009217E" w:rsidRDefault="0088592C" w:rsidP="001A2100">
      <w:pPr>
        <w:rPr>
          <w:rFonts w:ascii="Times New Roman" w:hAnsi="Times New Roman"/>
        </w:rPr>
      </w:pPr>
      <w:r w:rsidRPr="0088592C">
        <w:rPr>
          <w:rFonts w:ascii="Times New Roman" w:hAnsi="Times New Roman"/>
        </w:rPr>
        <w:t>Paragraph 4(1</w:t>
      </w:r>
      <w:proofErr w:type="gramStart"/>
      <w:r w:rsidRPr="0088592C">
        <w:rPr>
          <w:rFonts w:ascii="Times New Roman" w:hAnsi="Times New Roman"/>
        </w:rPr>
        <w:t>)(</w:t>
      </w:r>
      <w:proofErr w:type="spellStart"/>
      <w:proofErr w:type="gramEnd"/>
      <w:r w:rsidRPr="0088592C">
        <w:rPr>
          <w:rFonts w:ascii="Times New Roman" w:hAnsi="Times New Roman"/>
        </w:rPr>
        <w:t>i</w:t>
      </w:r>
      <w:proofErr w:type="spellEnd"/>
      <w:r w:rsidRPr="0088592C">
        <w:rPr>
          <w:rFonts w:ascii="Times New Roman" w:hAnsi="Times New Roman"/>
        </w:rPr>
        <w:t>)</w:t>
      </w:r>
      <w:r>
        <w:rPr>
          <w:rFonts w:ascii="Times New Roman" w:hAnsi="Times New Roman"/>
        </w:rPr>
        <w:t xml:space="preserve"> </w:t>
      </w:r>
      <w:r w:rsidR="00E926B4">
        <w:rPr>
          <w:rFonts w:ascii="Times New Roman" w:hAnsi="Times New Roman"/>
        </w:rPr>
        <w:t>relates to when the activity is likely to be undertaken by the applicant. This will assist the Minister in determining whether the activity will be undertaken within a reasonable period of time.</w:t>
      </w:r>
    </w:p>
    <w:p w:rsidR="00DB5F3A" w:rsidRDefault="00DB5F3A" w:rsidP="001A2100">
      <w:pPr>
        <w:rPr>
          <w:rFonts w:ascii="Times New Roman" w:hAnsi="Times New Roman"/>
        </w:rPr>
      </w:pPr>
      <w:r>
        <w:rPr>
          <w:rFonts w:ascii="Times New Roman" w:hAnsi="Times New Roman"/>
        </w:rPr>
        <w:t>Paragraph 4(1</w:t>
      </w:r>
      <w:proofErr w:type="gramStart"/>
      <w:r>
        <w:rPr>
          <w:rFonts w:ascii="Times New Roman" w:hAnsi="Times New Roman"/>
        </w:rPr>
        <w:t>)(</w:t>
      </w:r>
      <w:proofErr w:type="gramEnd"/>
      <w:r>
        <w:rPr>
          <w:rFonts w:ascii="Times New Roman" w:hAnsi="Times New Roman"/>
        </w:rPr>
        <w:t>l</w:t>
      </w:r>
      <w:r w:rsidRPr="0088592C">
        <w:rPr>
          <w:rFonts w:ascii="Times New Roman" w:hAnsi="Times New Roman"/>
        </w:rPr>
        <w:t>)</w:t>
      </w:r>
      <w:r>
        <w:rPr>
          <w:rFonts w:ascii="Times New Roman" w:hAnsi="Times New Roman"/>
        </w:rPr>
        <w:t xml:space="preserve"> relates to whether the </w:t>
      </w:r>
      <w:r w:rsidRPr="00F23783">
        <w:rPr>
          <w:rFonts w:ascii="Times New Roman" w:hAnsi="Times New Roman"/>
        </w:rPr>
        <w:t>declaration should be expressly limited to particular space activity or series of space activities that the applicant proposes that it will, or is likely to, undertake</w:t>
      </w:r>
      <w:r>
        <w:rPr>
          <w:rFonts w:ascii="Times New Roman" w:hAnsi="Times New Roman"/>
        </w:rPr>
        <w:t xml:space="preserve"> as expressed in their app</w:t>
      </w:r>
      <w:r w:rsidR="00284F4D">
        <w:rPr>
          <w:rFonts w:ascii="Times New Roman" w:hAnsi="Times New Roman"/>
        </w:rPr>
        <w:t>lication and considered by the M</w:t>
      </w:r>
      <w:r>
        <w:rPr>
          <w:rFonts w:ascii="Times New Roman" w:hAnsi="Times New Roman"/>
        </w:rPr>
        <w:t>inister.</w:t>
      </w:r>
    </w:p>
    <w:p w:rsidR="001A2100" w:rsidRDefault="000C292D" w:rsidP="007A78D8">
      <w:pPr>
        <w:keepNext/>
        <w:rPr>
          <w:rFonts w:ascii="Times New Roman" w:hAnsi="Times New Roman"/>
          <w:b/>
          <w:szCs w:val="22"/>
        </w:rPr>
      </w:pPr>
      <w:r>
        <w:rPr>
          <w:rFonts w:ascii="Times New Roman" w:hAnsi="Times New Roman"/>
          <w:b/>
          <w:szCs w:val="22"/>
        </w:rPr>
        <w:lastRenderedPageBreak/>
        <w:t xml:space="preserve">Matters relating </w:t>
      </w:r>
      <w:r w:rsidRPr="000C292D">
        <w:rPr>
          <w:rFonts w:ascii="Times New Roman" w:hAnsi="Times New Roman"/>
          <w:b/>
          <w:szCs w:val="22"/>
        </w:rPr>
        <w:t xml:space="preserve">to the activities and purpose of each party that is a related entity or related party to the applicant </w:t>
      </w:r>
    </w:p>
    <w:p w:rsidR="00987825" w:rsidRPr="00987825" w:rsidRDefault="000C292D" w:rsidP="00987825">
      <w:pPr>
        <w:rPr>
          <w:rFonts w:ascii="Calibri" w:eastAsia="Calibri" w:hAnsi="Calibri"/>
          <w:szCs w:val="22"/>
          <w:lang w:eastAsia="en-US"/>
        </w:rPr>
      </w:pPr>
      <w:r w:rsidRPr="000C292D">
        <w:rPr>
          <w:rFonts w:ascii="Times New Roman" w:hAnsi="Times New Roman"/>
          <w:szCs w:val="22"/>
        </w:rPr>
        <w:t>Paragraphs 4(1), (j) and (k)</w:t>
      </w:r>
      <w:r>
        <w:rPr>
          <w:rFonts w:ascii="Times New Roman" w:hAnsi="Times New Roman"/>
          <w:szCs w:val="22"/>
        </w:rPr>
        <w:t xml:space="preserve"> </w:t>
      </w:r>
      <w:r w:rsidR="001A2100">
        <w:rPr>
          <w:rFonts w:ascii="Times New Roman" w:hAnsi="Times New Roman"/>
          <w:szCs w:val="22"/>
        </w:rPr>
        <w:t xml:space="preserve">allow the Minister to have regard to the activities and purpose of each party that is a related entity or related party to the applicant and whether a related entity or a related party that is not an educational institution, non-profit body or scientific organisation may gain a benefit from the making of the declaration by the Minister. </w:t>
      </w:r>
      <w:r w:rsidR="001A2100">
        <w:rPr>
          <w:rFonts w:ascii="Times New Roman" w:hAnsi="Times New Roman"/>
        </w:rPr>
        <w:t xml:space="preserve">These paragraphs reinforce the intention of the </w:t>
      </w:r>
      <w:r w:rsidR="008E4666">
        <w:rPr>
          <w:rFonts w:ascii="Times New Roman" w:hAnsi="Times New Roman"/>
        </w:rPr>
        <w:t xml:space="preserve">2015 </w:t>
      </w:r>
      <w:r w:rsidR="001A2100">
        <w:rPr>
          <w:rFonts w:ascii="Times New Roman" w:hAnsi="Times New Roman"/>
        </w:rPr>
        <w:t xml:space="preserve">Guidelines to prevent an organisation from gaining a declaration in relation to a proposed space activity that is likely to be a precursor to the commercial operation of a launch facility or the commercial operation of a space object by the applicant or a related entity or related party.  </w:t>
      </w:r>
    </w:p>
    <w:p w:rsidR="000C292D" w:rsidRDefault="000C292D" w:rsidP="001A2100">
      <w:pPr>
        <w:rPr>
          <w:rFonts w:ascii="Times New Roman" w:hAnsi="Times New Roman"/>
          <w:b/>
          <w:szCs w:val="22"/>
        </w:rPr>
      </w:pPr>
      <w:r w:rsidRPr="000C292D">
        <w:rPr>
          <w:rFonts w:ascii="Times New Roman" w:hAnsi="Times New Roman"/>
          <w:b/>
          <w:szCs w:val="22"/>
        </w:rPr>
        <w:t xml:space="preserve">Matters relating to the broader national and international policy considerations </w:t>
      </w:r>
    </w:p>
    <w:p w:rsidR="001072FD" w:rsidRDefault="000C292D" w:rsidP="002F34A1">
      <w:pPr>
        <w:rPr>
          <w:rFonts w:ascii="Times New Roman" w:hAnsi="Times New Roman"/>
          <w:szCs w:val="22"/>
        </w:rPr>
      </w:pPr>
      <w:r w:rsidRPr="000C292D">
        <w:rPr>
          <w:rFonts w:ascii="Times New Roman" w:hAnsi="Times New Roman"/>
          <w:szCs w:val="22"/>
        </w:rPr>
        <w:t>Paragraphs 4(2</w:t>
      </w:r>
      <w:proofErr w:type="gramStart"/>
      <w:r w:rsidRPr="000C292D">
        <w:rPr>
          <w:rFonts w:ascii="Times New Roman" w:hAnsi="Times New Roman"/>
          <w:szCs w:val="22"/>
        </w:rPr>
        <w:t>)(</w:t>
      </w:r>
      <w:proofErr w:type="gramEnd"/>
      <w:r w:rsidRPr="000C292D">
        <w:rPr>
          <w:rFonts w:ascii="Times New Roman" w:hAnsi="Times New Roman"/>
          <w:szCs w:val="22"/>
        </w:rPr>
        <w:t>a) and (b)</w:t>
      </w:r>
      <w:r>
        <w:rPr>
          <w:rFonts w:ascii="Times New Roman" w:hAnsi="Times New Roman"/>
          <w:szCs w:val="22"/>
        </w:rPr>
        <w:t xml:space="preserve"> </w:t>
      </w:r>
      <w:r w:rsidR="001A2100">
        <w:rPr>
          <w:rFonts w:ascii="Times New Roman" w:hAnsi="Times New Roman"/>
          <w:szCs w:val="22"/>
        </w:rPr>
        <w:t>highlight the broader national</w:t>
      </w:r>
      <w:r w:rsidR="00987825">
        <w:rPr>
          <w:rFonts w:ascii="Times New Roman" w:hAnsi="Times New Roman"/>
          <w:szCs w:val="22"/>
        </w:rPr>
        <w:t xml:space="preserve"> and international</w:t>
      </w:r>
      <w:r w:rsidR="00FE5953">
        <w:rPr>
          <w:rFonts w:ascii="Times New Roman" w:hAnsi="Times New Roman"/>
          <w:szCs w:val="22"/>
        </w:rPr>
        <w:t xml:space="preserve"> </w:t>
      </w:r>
      <w:r w:rsidR="001A2100">
        <w:rPr>
          <w:rFonts w:ascii="Times New Roman" w:hAnsi="Times New Roman"/>
          <w:szCs w:val="22"/>
        </w:rPr>
        <w:t>policy considerations that the Minister must also consider in making a declaration.  They include consideration of the impact of the proposed space activity on Australia’s national security, foreign policy, international obligations and the extent of participation by Australian nationals i</w:t>
      </w:r>
      <w:r w:rsidR="005A27EB">
        <w:rPr>
          <w:rFonts w:ascii="Times New Roman" w:hAnsi="Times New Roman"/>
          <w:szCs w:val="22"/>
        </w:rPr>
        <w:t xml:space="preserve">n the proposed space activity. </w:t>
      </w:r>
    </w:p>
    <w:p w:rsidR="00EE3762" w:rsidRDefault="00EE3762">
      <w:pPr>
        <w:spacing w:before="0"/>
        <w:rPr>
          <w:rFonts w:ascii="Times New Roman" w:hAnsi="Times New Roman"/>
          <w:szCs w:val="22"/>
        </w:rPr>
      </w:pPr>
      <w:r>
        <w:rPr>
          <w:rFonts w:ascii="Times New Roman" w:hAnsi="Times New Roman"/>
          <w:szCs w:val="22"/>
        </w:rPr>
        <w:br w:type="page"/>
      </w:r>
    </w:p>
    <w:p w:rsidR="00EE3762" w:rsidRPr="0053704F" w:rsidRDefault="00EE3762" w:rsidP="00EE3762">
      <w:pPr>
        <w:spacing w:after="200" w:line="276" w:lineRule="auto"/>
        <w:jc w:val="center"/>
        <w:rPr>
          <w:rFonts w:ascii="Calibri" w:hAnsi="Calibri"/>
        </w:rPr>
      </w:pPr>
      <w:r w:rsidRPr="0053704F">
        <w:rPr>
          <w:rFonts w:ascii="Times New Roman" w:hAnsi="Times New Roman"/>
          <w:b/>
          <w:sz w:val="24"/>
        </w:rPr>
        <w:lastRenderedPageBreak/>
        <w:t>STATEMENT OF COMPATIBILITY WITH HUMAN RIGHTS</w:t>
      </w:r>
    </w:p>
    <w:p w:rsidR="00EE3762" w:rsidRPr="0053704F" w:rsidRDefault="00EE3762" w:rsidP="00EE3762">
      <w:pPr>
        <w:contextualSpacing/>
        <w:jc w:val="center"/>
        <w:rPr>
          <w:rFonts w:ascii="Times New Roman" w:hAnsi="Times New Roman"/>
          <w:i/>
          <w:sz w:val="24"/>
        </w:rPr>
      </w:pPr>
    </w:p>
    <w:p w:rsidR="00EE3762" w:rsidRPr="0053704F" w:rsidRDefault="00EE3762" w:rsidP="00EE3762">
      <w:pPr>
        <w:contextualSpacing/>
        <w:jc w:val="center"/>
        <w:rPr>
          <w:rFonts w:ascii="Times New Roman" w:hAnsi="Times New Roman"/>
          <w:sz w:val="24"/>
        </w:rPr>
      </w:pPr>
      <w:r w:rsidRPr="0053704F">
        <w:rPr>
          <w:rFonts w:ascii="Times New Roman" w:hAnsi="Times New Roman"/>
          <w:i/>
          <w:sz w:val="24"/>
        </w:rPr>
        <w:t>Prepared in accordance with Part 3 of the Human Rights (Parliamentary Scrutiny) Act 2011</w:t>
      </w:r>
    </w:p>
    <w:p w:rsidR="00EE3762" w:rsidRPr="008E01C5" w:rsidRDefault="00EE3762" w:rsidP="00EE3762">
      <w:pPr>
        <w:pStyle w:val="BodyText"/>
        <w:jc w:val="center"/>
        <w:rPr>
          <w:rFonts w:ascii="Times New Roman" w:hAnsi="Times New Roman"/>
          <w:b/>
          <w:i/>
          <w:szCs w:val="22"/>
        </w:rPr>
      </w:pPr>
      <w:r w:rsidRPr="00E2251D">
        <w:rPr>
          <w:rFonts w:ascii="Times New Roman" w:hAnsi="Times New Roman"/>
          <w:b/>
          <w:i/>
        </w:rPr>
        <w:t>SPACE ACTIVITIES (APPROVED SCIENTIFIC OR EDUCATIONAL ORGANISATIONS) GUIDELINES 2015</w:t>
      </w:r>
    </w:p>
    <w:p w:rsidR="00EE3762" w:rsidRPr="005311AE" w:rsidRDefault="00EE3762" w:rsidP="00EE3762">
      <w:pPr>
        <w:contextualSpacing/>
        <w:rPr>
          <w:rFonts w:ascii="Times New Roman" w:hAnsi="Times New Roman"/>
          <w:szCs w:val="22"/>
        </w:rPr>
      </w:pPr>
      <w:r w:rsidRPr="005311AE">
        <w:rPr>
          <w:rFonts w:ascii="Times New Roman" w:hAnsi="Times New Roman"/>
          <w:szCs w:val="22"/>
        </w:rPr>
        <w:t xml:space="preserve">The 2015 Guidelines are compatible with the human rights and freedoms recognised or declared in the international instruments listed in section 3 of the </w:t>
      </w:r>
      <w:r w:rsidRPr="005311AE">
        <w:rPr>
          <w:rFonts w:ascii="Times New Roman" w:hAnsi="Times New Roman"/>
          <w:i/>
          <w:szCs w:val="22"/>
        </w:rPr>
        <w:t>Human Rights (Parliamentary Scrutiny) Act 2011</w:t>
      </w:r>
      <w:r w:rsidRPr="005311AE">
        <w:rPr>
          <w:rFonts w:ascii="Times New Roman" w:hAnsi="Times New Roman"/>
          <w:szCs w:val="22"/>
        </w:rPr>
        <w:t>.</w:t>
      </w:r>
    </w:p>
    <w:p w:rsidR="00EE3762" w:rsidRPr="0053704F" w:rsidRDefault="00EE3762" w:rsidP="00EE3762">
      <w:pPr>
        <w:jc w:val="both"/>
        <w:rPr>
          <w:rFonts w:ascii="Times New Roman" w:hAnsi="Times New Roman"/>
          <w:b/>
          <w:sz w:val="24"/>
        </w:rPr>
      </w:pPr>
      <w:r w:rsidRPr="0053704F">
        <w:rPr>
          <w:rFonts w:ascii="Times New Roman" w:hAnsi="Times New Roman"/>
          <w:b/>
          <w:sz w:val="24"/>
        </w:rPr>
        <w:t xml:space="preserve">Overview of the </w:t>
      </w:r>
      <w:r>
        <w:rPr>
          <w:rFonts w:ascii="Times New Roman" w:hAnsi="Times New Roman"/>
          <w:b/>
          <w:sz w:val="24"/>
        </w:rPr>
        <w:t>Guidelines</w:t>
      </w:r>
    </w:p>
    <w:p w:rsidR="00EE3762" w:rsidRDefault="00EE3762" w:rsidP="00EE3762">
      <w:pPr>
        <w:tabs>
          <w:tab w:val="left" w:pos="1080"/>
        </w:tabs>
        <w:autoSpaceDE w:val="0"/>
        <w:autoSpaceDN w:val="0"/>
        <w:adjustRightInd w:val="0"/>
        <w:rPr>
          <w:rFonts w:ascii="Times New Roman" w:hAnsi="Times New Roman"/>
          <w:szCs w:val="22"/>
        </w:rPr>
      </w:pPr>
      <w:r w:rsidRPr="0053704F">
        <w:rPr>
          <w:rFonts w:ascii="Times New Roman" w:hAnsi="Times New Roman"/>
          <w:sz w:val="24"/>
        </w:rPr>
        <w:t xml:space="preserve">The </w:t>
      </w:r>
      <w:r>
        <w:rPr>
          <w:rFonts w:ascii="Times New Roman" w:hAnsi="Times New Roman"/>
          <w:sz w:val="24"/>
        </w:rPr>
        <w:t>2015 Guidelines</w:t>
      </w:r>
      <w:r w:rsidRPr="0053704F">
        <w:rPr>
          <w:rFonts w:ascii="Times New Roman" w:hAnsi="Times New Roman"/>
          <w:sz w:val="24"/>
        </w:rPr>
        <w:t xml:space="preserve"> </w:t>
      </w:r>
      <w:r w:rsidRPr="0081283B">
        <w:rPr>
          <w:rFonts w:ascii="Times New Roman" w:hAnsi="Times New Roman"/>
          <w:sz w:val="24"/>
        </w:rPr>
        <w:t>prescribe the information that the</w:t>
      </w:r>
      <w:r>
        <w:rPr>
          <w:rFonts w:ascii="Times New Roman" w:hAnsi="Times New Roman"/>
          <w:sz w:val="24"/>
        </w:rPr>
        <w:t xml:space="preserve"> Minister </w:t>
      </w:r>
      <w:r w:rsidRPr="00824FE4">
        <w:rPr>
          <w:rFonts w:ascii="Times New Roman" w:hAnsi="Times New Roman"/>
          <w:szCs w:val="22"/>
        </w:rPr>
        <w:t>must have regard to when deciding whether or not to make</w:t>
      </w:r>
      <w:r>
        <w:rPr>
          <w:rFonts w:ascii="Times New Roman" w:hAnsi="Times New Roman"/>
          <w:szCs w:val="22"/>
        </w:rPr>
        <w:t xml:space="preserve"> a declaration under section 8A of the </w:t>
      </w:r>
      <w:r w:rsidRPr="00824FE4">
        <w:rPr>
          <w:rFonts w:ascii="Times New Roman" w:hAnsi="Times New Roman"/>
          <w:i/>
          <w:szCs w:val="22"/>
        </w:rPr>
        <w:t>Space Activities Act 1998</w:t>
      </w:r>
      <w:r w:rsidRPr="00824FE4">
        <w:rPr>
          <w:rFonts w:ascii="Times New Roman" w:hAnsi="Times New Roman"/>
          <w:szCs w:val="22"/>
        </w:rPr>
        <w:t xml:space="preserve"> (the Act)</w:t>
      </w:r>
      <w:r>
        <w:rPr>
          <w:rFonts w:ascii="Times New Roman" w:hAnsi="Times New Roman"/>
          <w:szCs w:val="22"/>
        </w:rPr>
        <w:t>.</w:t>
      </w:r>
    </w:p>
    <w:p w:rsidR="00EE3762" w:rsidRDefault="00EE3762" w:rsidP="00EE3762">
      <w:pPr>
        <w:rPr>
          <w:rFonts w:ascii="Times New Roman" w:hAnsi="Times New Roman"/>
          <w:szCs w:val="22"/>
        </w:rPr>
      </w:pPr>
      <w:r w:rsidRPr="00824FE4">
        <w:rPr>
          <w:rFonts w:ascii="Times New Roman" w:hAnsi="Times New Roman"/>
          <w:szCs w:val="22"/>
        </w:rPr>
        <w:t>Section 8A of the Act</w:t>
      </w:r>
      <w:r>
        <w:rPr>
          <w:rFonts w:ascii="Times New Roman" w:hAnsi="Times New Roman"/>
          <w:szCs w:val="22"/>
        </w:rPr>
        <w:t xml:space="preserve"> allows the Minister to declare by writing</w:t>
      </w:r>
      <w:r w:rsidRPr="00824FE4">
        <w:rPr>
          <w:rFonts w:ascii="Times New Roman" w:hAnsi="Times New Roman"/>
          <w:szCs w:val="22"/>
        </w:rPr>
        <w:t xml:space="preserve"> an educational institution, a scientific organisation or a non-profit body</w:t>
      </w:r>
      <w:r>
        <w:rPr>
          <w:rFonts w:ascii="Times New Roman" w:hAnsi="Times New Roman"/>
          <w:szCs w:val="22"/>
        </w:rPr>
        <w:t xml:space="preserve"> to be an approved scientific or</w:t>
      </w:r>
      <w:r w:rsidRPr="00824FE4">
        <w:rPr>
          <w:rFonts w:ascii="Times New Roman" w:hAnsi="Times New Roman"/>
          <w:szCs w:val="22"/>
        </w:rPr>
        <w:t xml:space="preserve"> educational organisatio</w:t>
      </w:r>
      <w:r>
        <w:rPr>
          <w:rFonts w:ascii="Times New Roman" w:hAnsi="Times New Roman"/>
          <w:szCs w:val="22"/>
        </w:rPr>
        <w:t xml:space="preserve">n for the purposes of the Act. </w:t>
      </w:r>
      <w:r w:rsidRPr="00824FE4">
        <w:rPr>
          <w:rFonts w:ascii="Times New Roman" w:hAnsi="Times New Roman"/>
          <w:szCs w:val="22"/>
        </w:rPr>
        <w:t xml:space="preserve"> </w:t>
      </w:r>
    </w:p>
    <w:p w:rsidR="00EE3762" w:rsidRPr="00F1287B" w:rsidRDefault="00EE3762" w:rsidP="00EE3762">
      <w:pPr>
        <w:pStyle w:val="bullets"/>
        <w:numPr>
          <w:ilvl w:val="0"/>
          <w:numId w:val="0"/>
        </w:numPr>
        <w:rPr>
          <w:rFonts w:ascii="Times New Roman" w:hAnsi="Times New Roman"/>
        </w:rPr>
      </w:pPr>
      <w:r>
        <w:rPr>
          <w:rFonts w:ascii="Times New Roman" w:hAnsi="Times New Roman"/>
        </w:rPr>
        <w:t>A declaration to be an approved scientific or educational organisation under section 8A of the Act will only be considered in relation to an organisation proposing to conduct a space activity that must be covered by an approval under the Act.</w:t>
      </w:r>
    </w:p>
    <w:p w:rsidR="00EE3762" w:rsidRPr="0081283B" w:rsidRDefault="00EE3762" w:rsidP="00EE3762">
      <w:pPr>
        <w:pStyle w:val="bullets"/>
        <w:numPr>
          <w:ilvl w:val="0"/>
          <w:numId w:val="0"/>
        </w:numPr>
        <w:rPr>
          <w:rFonts w:ascii="Times New Roman" w:hAnsi="Times New Roman"/>
        </w:rPr>
      </w:pPr>
      <w:r>
        <w:rPr>
          <w:rFonts w:ascii="Times New Roman" w:hAnsi="Times New Roman"/>
        </w:rPr>
        <w:t xml:space="preserve">The effect of the Minister making a declaration under section 8A of the Act in accordance with the 2015 Guidelines is to allow an approved scientific or educational organisation access to the </w:t>
      </w:r>
      <w:r w:rsidRPr="00784F35">
        <w:rPr>
          <w:rFonts w:ascii="Times New Roman" w:hAnsi="Times New Roman"/>
        </w:rPr>
        <w:t xml:space="preserve">different forms of application </w:t>
      </w:r>
      <w:r>
        <w:rPr>
          <w:rFonts w:ascii="Times New Roman" w:hAnsi="Times New Roman"/>
        </w:rPr>
        <w:t>for approvals under the A</w:t>
      </w:r>
      <w:r w:rsidRPr="00784F35">
        <w:rPr>
          <w:rFonts w:ascii="Times New Roman" w:hAnsi="Times New Roman"/>
        </w:rPr>
        <w:t>ct and a different licensing and fee</w:t>
      </w:r>
      <w:r>
        <w:rPr>
          <w:rFonts w:ascii="Times New Roman" w:hAnsi="Times New Roman"/>
        </w:rPr>
        <w:t xml:space="preserve"> regime from those applicable to commercial organisations. However, the criteria for being granted an approval under the regulations remain the same for both approved scientific and educational organisations and organisations which are not approved scientific or educational organisations.  </w:t>
      </w:r>
    </w:p>
    <w:p w:rsidR="00EE3762" w:rsidRPr="0053704F" w:rsidRDefault="00EE3762" w:rsidP="00EE3762">
      <w:pPr>
        <w:rPr>
          <w:rFonts w:ascii="Times New Roman" w:hAnsi="Times New Roman"/>
          <w:b/>
          <w:sz w:val="24"/>
        </w:rPr>
      </w:pPr>
      <w:r w:rsidRPr="0053704F">
        <w:rPr>
          <w:rFonts w:ascii="Times New Roman" w:hAnsi="Times New Roman"/>
          <w:b/>
          <w:sz w:val="24"/>
        </w:rPr>
        <w:t>Human rights implications</w:t>
      </w:r>
    </w:p>
    <w:p w:rsidR="00EE3762" w:rsidRPr="005311AE" w:rsidRDefault="00EE3762" w:rsidP="00EE3762">
      <w:pPr>
        <w:rPr>
          <w:rFonts w:ascii="Times New Roman" w:hAnsi="Times New Roman"/>
          <w:szCs w:val="22"/>
        </w:rPr>
      </w:pPr>
      <w:r w:rsidRPr="005311AE">
        <w:rPr>
          <w:rFonts w:ascii="Times New Roman" w:hAnsi="Times New Roman"/>
          <w:szCs w:val="22"/>
        </w:rPr>
        <w:t>The 2015 Guidelines do not engage any of the applicable rights or freedoms.</w:t>
      </w:r>
    </w:p>
    <w:p w:rsidR="00EE3762" w:rsidRPr="0053704F" w:rsidRDefault="00EE3762" w:rsidP="00EE3762">
      <w:pPr>
        <w:rPr>
          <w:rFonts w:ascii="Times New Roman" w:hAnsi="Times New Roman"/>
          <w:b/>
          <w:sz w:val="24"/>
        </w:rPr>
      </w:pPr>
      <w:r w:rsidRPr="0053704F">
        <w:rPr>
          <w:rFonts w:ascii="Times New Roman" w:hAnsi="Times New Roman"/>
          <w:b/>
          <w:sz w:val="24"/>
        </w:rPr>
        <w:t xml:space="preserve">Conclusion </w:t>
      </w:r>
    </w:p>
    <w:p w:rsidR="00EE3762" w:rsidRPr="005311AE" w:rsidRDefault="00EE3762" w:rsidP="00EE3762">
      <w:pPr>
        <w:rPr>
          <w:rFonts w:ascii="Times New Roman" w:hAnsi="Times New Roman"/>
          <w:szCs w:val="22"/>
        </w:rPr>
      </w:pPr>
      <w:r w:rsidRPr="005311AE">
        <w:rPr>
          <w:rFonts w:ascii="Times New Roman" w:hAnsi="Times New Roman"/>
          <w:szCs w:val="22"/>
        </w:rPr>
        <w:t>The 2015 Guidelines are compatible with human rights as they do not raise any human rights issues.</w:t>
      </w:r>
    </w:p>
    <w:p w:rsidR="00EE3762" w:rsidRPr="0053704F" w:rsidRDefault="00EE3762" w:rsidP="00EE3762">
      <w:pPr>
        <w:rPr>
          <w:rFonts w:ascii="Times New Roman" w:hAnsi="Times New Roman"/>
          <w:sz w:val="24"/>
        </w:rPr>
      </w:pPr>
    </w:p>
    <w:p w:rsidR="00EE3762" w:rsidRPr="0053704F" w:rsidRDefault="00EE3762" w:rsidP="00EE3762">
      <w:pPr>
        <w:jc w:val="center"/>
        <w:rPr>
          <w:rFonts w:ascii="Times New Roman" w:hAnsi="Times New Roman"/>
          <w:sz w:val="24"/>
        </w:rPr>
      </w:pPr>
      <w:r w:rsidRPr="0053704F">
        <w:rPr>
          <w:rFonts w:ascii="Times New Roman" w:hAnsi="Times New Roman"/>
          <w:b/>
          <w:sz w:val="24"/>
        </w:rPr>
        <w:t>The Minister for Industry and Science, the Honourable Ian Macfarlane MP</w:t>
      </w:r>
    </w:p>
    <w:p w:rsidR="00EE3762" w:rsidRPr="0053704F" w:rsidRDefault="00EE3762" w:rsidP="00EE3762">
      <w:pPr>
        <w:rPr>
          <w:rFonts w:ascii="Times New Roman" w:hAnsi="Times New Roman"/>
          <w:sz w:val="24"/>
        </w:rPr>
      </w:pPr>
    </w:p>
    <w:p w:rsidR="00EE3762" w:rsidRDefault="00EE3762" w:rsidP="00EE3762"/>
    <w:p w:rsidR="00EE3762" w:rsidRDefault="00EE3762" w:rsidP="00EE3762"/>
    <w:p w:rsidR="00EE3762" w:rsidRPr="005A27EB" w:rsidRDefault="00EE3762" w:rsidP="002F34A1">
      <w:pPr>
        <w:rPr>
          <w:rFonts w:ascii="Times New Roman" w:hAnsi="Times New Roman"/>
          <w:szCs w:val="22"/>
        </w:rPr>
      </w:pPr>
      <w:bookmarkStart w:id="0" w:name="_GoBack"/>
      <w:bookmarkEnd w:id="0"/>
    </w:p>
    <w:sectPr w:rsidR="00EE3762" w:rsidRPr="005A27EB" w:rsidSect="00D937FC">
      <w:headerReference w:type="even" r:id="rId12"/>
      <w:footerReference w:type="even" r:id="rId13"/>
      <w:footerReference w:type="default" r:id="rId14"/>
      <w:footerReference w:type="first" r:id="rId15"/>
      <w:pgSz w:w="11880" w:h="16820" w:code="9"/>
      <w:pgMar w:top="1440" w:right="936"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A50" w:rsidRDefault="00662A50">
      <w:pPr>
        <w:spacing w:before="0"/>
      </w:pPr>
      <w:r>
        <w:separator/>
      </w:r>
    </w:p>
  </w:endnote>
  <w:endnote w:type="continuationSeparator" w:id="0">
    <w:p w:rsidR="00662A50" w:rsidRDefault="00662A5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Frutiger 45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33D" w:rsidRDefault="00A8733D" w:rsidP="00D937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733D" w:rsidRDefault="00A873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33D" w:rsidRDefault="00A8733D">
    <w:pPr>
      <w:pStyle w:val="Footer"/>
      <w:tabs>
        <w:tab w:val="right" w:pos="954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33D" w:rsidRDefault="00A8733D">
    <w:pPr>
      <w:pStyle w:val="Footer"/>
    </w:pPr>
    <w: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A50" w:rsidRDefault="00662A50">
      <w:pPr>
        <w:spacing w:before="0"/>
      </w:pPr>
      <w:r>
        <w:separator/>
      </w:r>
    </w:p>
  </w:footnote>
  <w:footnote w:type="continuationSeparator" w:id="0">
    <w:p w:rsidR="00662A50" w:rsidRDefault="00662A5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33D" w:rsidRDefault="00A8733D">
    <w:pPr>
      <w:pStyle w:val="Header"/>
    </w:pPr>
    <w:r>
      <w:pgNum/>
    </w:r>
    <w:r>
      <w:t>.</w:t>
    </w:r>
  </w:p>
  <w:p w:rsidR="00A8733D" w:rsidRDefault="00A873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4843E6"/>
    <w:lvl w:ilvl="0">
      <w:start w:val="1"/>
      <w:numFmt w:val="lowerLetter"/>
      <w:pStyle w:val="ListNumber5"/>
      <w:lvlText w:val="(%1)"/>
      <w:lvlJc w:val="left"/>
      <w:pPr>
        <w:tabs>
          <w:tab w:val="num" w:pos="720"/>
        </w:tabs>
        <w:ind w:left="720" w:hanging="720"/>
      </w:pPr>
    </w:lvl>
  </w:abstractNum>
  <w:abstractNum w:abstractNumId="1">
    <w:nsid w:val="FFFFFF7D"/>
    <w:multiLevelType w:val="singleLevel"/>
    <w:tmpl w:val="723A9722"/>
    <w:lvl w:ilvl="0">
      <w:start w:val="1"/>
      <w:numFmt w:val="upperRoman"/>
      <w:pStyle w:val="ListNumber4"/>
      <w:lvlText w:val="%1."/>
      <w:lvlJc w:val="left"/>
      <w:pPr>
        <w:tabs>
          <w:tab w:val="num" w:pos="720"/>
        </w:tabs>
        <w:ind w:left="720" w:hanging="720"/>
      </w:pPr>
    </w:lvl>
  </w:abstractNum>
  <w:abstractNum w:abstractNumId="2">
    <w:nsid w:val="FFFFFF7E"/>
    <w:multiLevelType w:val="singleLevel"/>
    <w:tmpl w:val="B31AA250"/>
    <w:lvl w:ilvl="0">
      <w:start w:val="1"/>
      <w:numFmt w:val="upperLetter"/>
      <w:pStyle w:val="ListNumber3"/>
      <w:lvlText w:val="%1."/>
      <w:lvlJc w:val="left"/>
      <w:pPr>
        <w:tabs>
          <w:tab w:val="num" w:pos="720"/>
        </w:tabs>
        <w:ind w:left="720" w:hanging="720"/>
      </w:pPr>
    </w:lvl>
  </w:abstractNum>
  <w:abstractNum w:abstractNumId="3">
    <w:nsid w:val="FFFFFF7F"/>
    <w:multiLevelType w:val="singleLevel"/>
    <w:tmpl w:val="A73AE438"/>
    <w:lvl w:ilvl="0">
      <w:start w:val="1"/>
      <w:numFmt w:val="decimal"/>
      <w:pStyle w:val="ListNumber2"/>
      <w:lvlText w:val="%1)"/>
      <w:lvlJc w:val="left"/>
      <w:pPr>
        <w:tabs>
          <w:tab w:val="num" w:pos="720"/>
        </w:tabs>
        <w:ind w:left="720" w:hanging="720"/>
      </w:pPr>
    </w:lvl>
  </w:abstractNum>
  <w:abstractNum w:abstractNumId="4">
    <w:nsid w:val="FFFFFF80"/>
    <w:multiLevelType w:val="singleLevel"/>
    <w:tmpl w:val="7C8228EE"/>
    <w:lvl w:ilvl="0">
      <w:start w:val="1"/>
      <w:numFmt w:val="bullet"/>
      <w:pStyle w:val="ListBullet5"/>
      <w:lvlText w:val=""/>
      <w:lvlJc w:val="left"/>
      <w:pPr>
        <w:tabs>
          <w:tab w:val="num" w:pos="720"/>
        </w:tabs>
        <w:ind w:left="720" w:hanging="720"/>
      </w:pPr>
      <w:rPr>
        <w:rFonts w:ascii="Wingdings" w:hAnsi="Wingdings" w:hint="default"/>
      </w:rPr>
    </w:lvl>
  </w:abstractNum>
  <w:abstractNum w:abstractNumId="5">
    <w:nsid w:val="FFFFFF82"/>
    <w:multiLevelType w:val="singleLevel"/>
    <w:tmpl w:val="6CE862BE"/>
    <w:lvl w:ilvl="0">
      <w:start w:val="1"/>
      <w:numFmt w:val="bullet"/>
      <w:pStyle w:val="ListBullet3"/>
      <w:lvlText w:val=""/>
      <w:lvlJc w:val="left"/>
      <w:pPr>
        <w:tabs>
          <w:tab w:val="num" w:pos="720"/>
        </w:tabs>
        <w:ind w:left="720" w:hanging="720"/>
      </w:pPr>
      <w:rPr>
        <w:rFonts w:ascii="Wingdings" w:hAnsi="Wingdings" w:hint="default"/>
      </w:rPr>
    </w:lvl>
  </w:abstractNum>
  <w:abstractNum w:abstractNumId="6">
    <w:nsid w:val="FFFFFF88"/>
    <w:multiLevelType w:val="singleLevel"/>
    <w:tmpl w:val="9B72DA8C"/>
    <w:lvl w:ilvl="0">
      <w:start w:val="1"/>
      <w:numFmt w:val="decimal"/>
      <w:pStyle w:val="ListNumber"/>
      <w:lvlText w:val="%1."/>
      <w:lvlJc w:val="left"/>
      <w:pPr>
        <w:tabs>
          <w:tab w:val="num" w:pos="720"/>
        </w:tabs>
        <w:ind w:left="720" w:hanging="720"/>
      </w:pPr>
    </w:lvl>
  </w:abstractNum>
  <w:abstractNum w:abstractNumId="7">
    <w:nsid w:val="0B196EED"/>
    <w:multiLevelType w:val="multilevel"/>
    <w:tmpl w:val="D1CABD1E"/>
    <w:lvl w:ilvl="0">
      <w:start w:val="1"/>
      <w:numFmt w:val="none"/>
      <w:pStyle w:val="Heading1"/>
      <w:suff w:val="nothing"/>
      <w:lvlText w:val=""/>
      <w:lvlJc w:val="left"/>
      <w:pPr>
        <w:ind w:left="0" w:firstLine="0"/>
      </w:pPr>
    </w:lvl>
    <w:lvl w:ilvl="1">
      <w:start w:val="1"/>
      <w:numFmt w:val="decimal"/>
      <w:pStyle w:val="Heading2"/>
      <w:lvlText w:val="%2."/>
      <w:lvlJc w:val="left"/>
      <w:pPr>
        <w:tabs>
          <w:tab w:val="num" w:pos="720"/>
        </w:tabs>
        <w:ind w:left="720" w:hanging="720"/>
      </w:pPr>
      <w:rPr>
        <w:rFonts w:ascii="Palatino" w:hAnsi="Palatino" w:hint="default"/>
        <w:b w:val="0"/>
        <w:i w:val="0"/>
        <w:sz w:val="24"/>
      </w:rPr>
    </w:lvl>
    <w:lvl w:ilvl="2">
      <w:start w:val="1"/>
      <w:numFmt w:val="decimal"/>
      <w:pStyle w:val="Heading3"/>
      <w:lvlText w:val="%2.%3"/>
      <w:lvlJc w:val="left"/>
      <w:pPr>
        <w:tabs>
          <w:tab w:val="num" w:pos="720"/>
        </w:tabs>
        <w:ind w:left="720" w:hanging="700"/>
      </w:pPr>
    </w:lvl>
    <w:lvl w:ilvl="3">
      <w:start w:val="1"/>
      <w:numFmt w:val="lowerLetter"/>
      <w:pStyle w:val="Heading4"/>
      <w:lvlText w:val="(%4)"/>
      <w:lvlJc w:val="left"/>
      <w:pPr>
        <w:tabs>
          <w:tab w:val="num" w:pos="1440"/>
        </w:tabs>
        <w:ind w:left="1440" w:hanging="720"/>
      </w:pPr>
    </w:lvl>
    <w:lvl w:ilvl="4">
      <w:start w:val="1"/>
      <w:numFmt w:val="lowerRoman"/>
      <w:pStyle w:val="Heading5"/>
      <w:lvlText w:val="(%5)"/>
      <w:lvlJc w:val="left"/>
      <w:pPr>
        <w:tabs>
          <w:tab w:val="num" w:pos="2160"/>
        </w:tabs>
        <w:ind w:left="2160" w:hanging="720"/>
      </w:pPr>
    </w:lvl>
    <w:lvl w:ilvl="5">
      <w:start w:val="1"/>
      <w:numFmt w:val="upperLetter"/>
      <w:pStyle w:val="Heading6"/>
      <w:lvlText w:val="(%6)"/>
      <w:lvlJc w:val="left"/>
      <w:pPr>
        <w:tabs>
          <w:tab w:val="num" w:pos="2880"/>
        </w:tabs>
        <w:ind w:left="2880" w:hanging="720"/>
      </w:pPr>
    </w:lvl>
    <w:lvl w:ilvl="6">
      <w:start w:val="1"/>
      <w:numFmt w:val="upperRoman"/>
      <w:pStyle w:val="Heading7"/>
      <w:lvlText w:val="(%7)"/>
      <w:lvlJc w:val="left"/>
      <w:pPr>
        <w:tabs>
          <w:tab w:val="num" w:pos="3600"/>
        </w:tabs>
        <w:ind w:left="3600" w:hanging="72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8">
    <w:nsid w:val="198E080B"/>
    <w:multiLevelType w:val="hybridMultilevel"/>
    <w:tmpl w:val="7B0852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07D1820"/>
    <w:multiLevelType w:val="hybridMultilevel"/>
    <w:tmpl w:val="1E54F286"/>
    <w:lvl w:ilvl="0" w:tplc="76BEE36C">
      <w:start w:val="1"/>
      <w:numFmt w:val="bullet"/>
      <w:pStyle w:val="bullets"/>
      <w:lvlText w:val=""/>
      <w:lvlJc w:val="left"/>
      <w:pPr>
        <w:tabs>
          <w:tab w:val="num" w:pos="2586"/>
        </w:tabs>
        <w:ind w:left="2586" w:hanging="360"/>
      </w:pPr>
      <w:rPr>
        <w:rFonts w:ascii="Symbol" w:hAnsi="Symbol" w:hint="default"/>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7397296"/>
    <w:multiLevelType w:val="singleLevel"/>
    <w:tmpl w:val="4F76F22E"/>
    <w:lvl w:ilvl="0">
      <w:start w:val="1"/>
      <w:numFmt w:val="bullet"/>
      <w:pStyle w:val="ListBullet2"/>
      <w:lvlText w:val=""/>
      <w:lvlJc w:val="left"/>
      <w:pPr>
        <w:tabs>
          <w:tab w:val="num" w:pos="720"/>
        </w:tabs>
        <w:ind w:left="720" w:hanging="720"/>
      </w:pPr>
      <w:rPr>
        <w:rFonts w:ascii="Symbol" w:hAnsi="Symbol" w:hint="default"/>
      </w:rPr>
    </w:lvl>
  </w:abstractNum>
  <w:abstractNum w:abstractNumId="11">
    <w:nsid w:val="35287929"/>
    <w:multiLevelType w:val="singleLevel"/>
    <w:tmpl w:val="92484500"/>
    <w:lvl w:ilvl="0">
      <w:start w:val="1"/>
      <w:numFmt w:val="bullet"/>
      <w:pStyle w:val="ListBullet4"/>
      <w:lvlText w:val=""/>
      <w:lvlJc w:val="left"/>
      <w:pPr>
        <w:tabs>
          <w:tab w:val="num" w:pos="720"/>
        </w:tabs>
        <w:ind w:left="720" w:hanging="720"/>
      </w:pPr>
      <w:rPr>
        <w:rFonts w:ascii="Wingdings" w:hAnsi="Wingdings" w:hint="default"/>
      </w:rPr>
    </w:lvl>
  </w:abstractNum>
  <w:abstractNum w:abstractNumId="12">
    <w:nsid w:val="499105B6"/>
    <w:multiLevelType w:val="multilevel"/>
    <w:tmpl w:val="C2FCBE0C"/>
    <w:lvl w:ilvl="0">
      <w:start w:val="1"/>
      <w:numFmt w:val="decimal"/>
      <w:pStyle w:val="RHeading2"/>
      <w:lvlText w:val="Paragraph %1"/>
      <w:lvlJc w:val="left"/>
      <w:pPr>
        <w:tabs>
          <w:tab w:val="num" w:pos="1800"/>
        </w:tabs>
        <w:ind w:left="0" w:firstLine="0"/>
      </w:pPr>
    </w:lvl>
    <w:lvl w:ilvl="1">
      <w:start w:val="1"/>
      <w:numFmt w:val="decimal"/>
      <w:pStyle w:val="RBody1"/>
      <w:lvlText w:val="%1.%2"/>
      <w:lvlJc w:val="left"/>
      <w:pPr>
        <w:tabs>
          <w:tab w:val="num" w:pos="720"/>
        </w:tabs>
        <w:ind w:left="0" w:firstLine="0"/>
      </w:pPr>
    </w:lvl>
    <w:lvl w:ilvl="2">
      <w:start w:val="1"/>
      <w:numFmt w:val="decimal"/>
      <w:pStyle w:val="RBody2"/>
      <w:lvlText w:val="%1.%2.%3"/>
      <w:lvlJc w:val="left"/>
      <w:pPr>
        <w:tabs>
          <w:tab w:val="num" w:pos="1288"/>
        </w:tabs>
        <w:ind w:left="568" w:firstLine="0"/>
      </w:pPr>
    </w:lvl>
    <w:lvl w:ilvl="3">
      <w:start w:val="1"/>
      <w:numFmt w:val="decimal"/>
      <w:pStyle w:val="RBody3"/>
      <w:lvlText w:val="%1.%2.%3.%4"/>
      <w:lvlJc w:val="left"/>
      <w:pPr>
        <w:tabs>
          <w:tab w:val="num" w:pos="1364"/>
        </w:tabs>
        <w:ind w:left="284"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62005F02"/>
    <w:multiLevelType w:val="multilevel"/>
    <w:tmpl w:val="6EA05FA2"/>
    <w:lvl w:ilvl="0">
      <w:start w:val="1"/>
      <w:numFmt w:val="decimal"/>
      <w:pStyle w:val="Level1"/>
      <w:lvlText w:val="%1."/>
      <w:lvlJc w:val="left"/>
      <w:pPr>
        <w:tabs>
          <w:tab w:val="num" w:pos="720"/>
        </w:tabs>
        <w:ind w:left="720" w:hanging="720"/>
      </w:pPr>
      <w:rPr>
        <w:rFonts w:ascii="Palatino" w:hAnsi="Palatino" w:hint="default"/>
        <w:b w:val="0"/>
        <w:i w:val="0"/>
        <w:sz w:val="22"/>
      </w:rPr>
    </w:lvl>
    <w:lvl w:ilvl="1">
      <w:start w:val="1"/>
      <w:numFmt w:val="decimal"/>
      <w:pStyle w:val="Level11"/>
      <w:lvlText w:val="%1.%2"/>
      <w:lvlJc w:val="left"/>
      <w:pPr>
        <w:tabs>
          <w:tab w:val="num" w:pos="720"/>
        </w:tabs>
        <w:ind w:left="720" w:hanging="706"/>
      </w:pPr>
      <w:rPr>
        <w:rFonts w:ascii="Palatino" w:hAnsi="Palatino" w:hint="default"/>
        <w:b w:val="0"/>
        <w:i w:val="0"/>
        <w:sz w:val="22"/>
      </w:rPr>
    </w:lvl>
    <w:lvl w:ilvl="2">
      <w:start w:val="1"/>
      <w:numFmt w:val="lowerLetter"/>
      <w:pStyle w:val="Levela"/>
      <w:lvlText w:val="(%3)"/>
      <w:lvlJc w:val="left"/>
      <w:pPr>
        <w:tabs>
          <w:tab w:val="num" w:pos="1440"/>
        </w:tabs>
        <w:ind w:left="1440" w:hanging="720"/>
      </w:pPr>
      <w:rPr>
        <w:rFonts w:ascii="Palatino" w:hAnsi="Palatino" w:hint="default"/>
        <w:b w:val="0"/>
        <w:i w:val="0"/>
        <w:sz w:val="22"/>
      </w:rPr>
    </w:lvl>
    <w:lvl w:ilvl="3">
      <w:start w:val="1"/>
      <w:numFmt w:val="lowerRoman"/>
      <w:pStyle w:val="Leveli"/>
      <w:lvlText w:val="(%4)"/>
      <w:lvlJc w:val="left"/>
      <w:pPr>
        <w:tabs>
          <w:tab w:val="num" w:pos="2160"/>
        </w:tabs>
        <w:ind w:left="2160" w:hanging="720"/>
      </w:pPr>
      <w:rPr>
        <w:rFonts w:ascii="Palatino" w:hAnsi="Palatino" w:hint="default"/>
        <w:b w:val="0"/>
        <w:i w:val="0"/>
        <w:sz w:val="22"/>
      </w:rPr>
    </w:lvl>
    <w:lvl w:ilvl="4">
      <w:start w:val="1"/>
      <w:numFmt w:val="upperLetter"/>
      <w:pStyle w:val="LevelA0"/>
      <w:lvlText w:val="(%5)"/>
      <w:lvlJc w:val="left"/>
      <w:pPr>
        <w:tabs>
          <w:tab w:val="num" w:pos="2880"/>
        </w:tabs>
        <w:ind w:left="2880" w:hanging="720"/>
      </w:pPr>
      <w:rPr>
        <w:rFonts w:ascii="Palatino" w:hAnsi="Palatino" w:hint="default"/>
        <w:b w:val="0"/>
        <w:i w:val="0"/>
        <w:sz w:val="22"/>
      </w:rPr>
    </w:lvl>
    <w:lvl w:ilvl="5">
      <w:start w:val="1"/>
      <w:numFmt w:val="upperRoman"/>
      <w:pStyle w:val="LevelI0"/>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6ACC5F8B"/>
    <w:multiLevelType w:val="singleLevel"/>
    <w:tmpl w:val="40D0C182"/>
    <w:lvl w:ilvl="0">
      <w:start w:val="1"/>
      <w:numFmt w:val="bullet"/>
      <w:pStyle w:val="ListBullet"/>
      <w:lvlText w:val=""/>
      <w:lvlJc w:val="left"/>
      <w:pPr>
        <w:tabs>
          <w:tab w:val="num" w:pos="720"/>
        </w:tabs>
        <w:ind w:left="720" w:hanging="720"/>
      </w:pPr>
      <w:rPr>
        <w:rFonts w:ascii="Symbol" w:hAnsi="Symbol"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14"/>
  </w:num>
  <w:num w:numId="11">
    <w:abstractNumId w:val="10"/>
  </w:num>
  <w:num w:numId="12">
    <w:abstractNumId w:val="5"/>
  </w:num>
  <w:num w:numId="13">
    <w:abstractNumId w:val="11"/>
  </w:num>
  <w:num w:numId="14">
    <w:abstractNumId w:val="4"/>
  </w:num>
  <w:num w:numId="15">
    <w:abstractNumId w:val="6"/>
  </w:num>
  <w:num w:numId="16">
    <w:abstractNumId w:val="3"/>
  </w:num>
  <w:num w:numId="17">
    <w:abstractNumId w:val="2"/>
  </w:num>
  <w:num w:numId="18">
    <w:abstractNumId w:val="1"/>
  </w:num>
  <w:num w:numId="19">
    <w:abstractNumId w:val="0"/>
  </w:num>
  <w:num w:numId="20">
    <w:abstractNumId w:val="12"/>
  </w:num>
  <w:num w:numId="21">
    <w:abstractNumId w:val="13"/>
  </w:num>
  <w:num w:numId="22">
    <w:abstractNumId w:val="9"/>
  </w:num>
  <w:num w:numId="23">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995"/>
    <w:rsid w:val="0000147D"/>
    <w:rsid w:val="00017BDF"/>
    <w:rsid w:val="00044EC5"/>
    <w:rsid w:val="00052079"/>
    <w:rsid w:val="00085AB6"/>
    <w:rsid w:val="0009217E"/>
    <w:rsid w:val="000A5B2B"/>
    <w:rsid w:val="000B171B"/>
    <w:rsid w:val="000B1983"/>
    <w:rsid w:val="000B5023"/>
    <w:rsid w:val="000C292D"/>
    <w:rsid w:val="000D0C45"/>
    <w:rsid w:val="000E0301"/>
    <w:rsid w:val="000E56D8"/>
    <w:rsid w:val="000F586E"/>
    <w:rsid w:val="000F6AD4"/>
    <w:rsid w:val="001072FD"/>
    <w:rsid w:val="0014412C"/>
    <w:rsid w:val="001640DD"/>
    <w:rsid w:val="00165CB3"/>
    <w:rsid w:val="001678DC"/>
    <w:rsid w:val="00167FBA"/>
    <w:rsid w:val="00170522"/>
    <w:rsid w:val="00177A11"/>
    <w:rsid w:val="00186550"/>
    <w:rsid w:val="001970DB"/>
    <w:rsid w:val="001A2100"/>
    <w:rsid w:val="001C6FB2"/>
    <w:rsid w:val="001E3E8B"/>
    <w:rsid w:val="001F027D"/>
    <w:rsid w:val="001F74EF"/>
    <w:rsid w:val="0020755A"/>
    <w:rsid w:val="00223EEA"/>
    <w:rsid w:val="002326AC"/>
    <w:rsid w:val="0024261E"/>
    <w:rsid w:val="0024512F"/>
    <w:rsid w:val="00252D95"/>
    <w:rsid w:val="00260083"/>
    <w:rsid w:val="00284702"/>
    <w:rsid w:val="00284F4D"/>
    <w:rsid w:val="002909E8"/>
    <w:rsid w:val="00290EBE"/>
    <w:rsid w:val="0029485D"/>
    <w:rsid w:val="00294D90"/>
    <w:rsid w:val="00297884"/>
    <w:rsid w:val="002B04DF"/>
    <w:rsid w:val="002B1A85"/>
    <w:rsid w:val="002C3F0D"/>
    <w:rsid w:val="002E3983"/>
    <w:rsid w:val="002E60B8"/>
    <w:rsid w:val="002F34A1"/>
    <w:rsid w:val="00300221"/>
    <w:rsid w:val="00322BDA"/>
    <w:rsid w:val="003408BF"/>
    <w:rsid w:val="00347282"/>
    <w:rsid w:val="003607A5"/>
    <w:rsid w:val="0036307E"/>
    <w:rsid w:val="00367FB7"/>
    <w:rsid w:val="00380812"/>
    <w:rsid w:val="003953A6"/>
    <w:rsid w:val="003A7E6D"/>
    <w:rsid w:val="003C1FB6"/>
    <w:rsid w:val="00405FF2"/>
    <w:rsid w:val="00406E58"/>
    <w:rsid w:val="00446AAA"/>
    <w:rsid w:val="00446CC6"/>
    <w:rsid w:val="00447A29"/>
    <w:rsid w:val="00454EC4"/>
    <w:rsid w:val="00475EDE"/>
    <w:rsid w:val="004819B4"/>
    <w:rsid w:val="00486815"/>
    <w:rsid w:val="00493EE3"/>
    <w:rsid w:val="004B472C"/>
    <w:rsid w:val="004D11A4"/>
    <w:rsid w:val="004D4425"/>
    <w:rsid w:val="004F01E7"/>
    <w:rsid w:val="004F7D62"/>
    <w:rsid w:val="00503F6B"/>
    <w:rsid w:val="00505C22"/>
    <w:rsid w:val="005114E0"/>
    <w:rsid w:val="005311AE"/>
    <w:rsid w:val="005405A1"/>
    <w:rsid w:val="00551361"/>
    <w:rsid w:val="00575E1B"/>
    <w:rsid w:val="00577501"/>
    <w:rsid w:val="005A27EB"/>
    <w:rsid w:val="005A388A"/>
    <w:rsid w:val="005D045C"/>
    <w:rsid w:val="005D2BE5"/>
    <w:rsid w:val="005E73C5"/>
    <w:rsid w:val="005F5298"/>
    <w:rsid w:val="00612767"/>
    <w:rsid w:val="00626320"/>
    <w:rsid w:val="0063653E"/>
    <w:rsid w:val="006466B2"/>
    <w:rsid w:val="00651438"/>
    <w:rsid w:val="006560F1"/>
    <w:rsid w:val="00657E33"/>
    <w:rsid w:val="00662A50"/>
    <w:rsid w:val="006671B5"/>
    <w:rsid w:val="00685C77"/>
    <w:rsid w:val="006938C2"/>
    <w:rsid w:val="006A71A4"/>
    <w:rsid w:val="006B068B"/>
    <w:rsid w:val="006B1AFD"/>
    <w:rsid w:val="006B5E81"/>
    <w:rsid w:val="006C5A42"/>
    <w:rsid w:val="006D4E9E"/>
    <w:rsid w:val="006E51E6"/>
    <w:rsid w:val="00713C6D"/>
    <w:rsid w:val="00727129"/>
    <w:rsid w:val="007300CC"/>
    <w:rsid w:val="00736831"/>
    <w:rsid w:val="00741B2C"/>
    <w:rsid w:val="00747DCE"/>
    <w:rsid w:val="00755634"/>
    <w:rsid w:val="0076258A"/>
    <w:rsid w:val="007747D1"/>
    <w:rsid w:val="00784F35"/>
    <w:rsid w:val="007A78D8"/>
    <w:rsid w:val="007C5E06"/>
    <w:rsid w:val="007F6A87"/>
    <w:rsid w:val="0081283B"/>
    <w:rsid w:val="008214E9"/>
    <w:rsid w:val="0082438B"/>
    <w:rsid w:val="00824FE4"/>
    <w:rsid w:val="008332C6"/>
    <w:rsid w:val="00834F83"/>
    <w:rsid w:val="008402D9"/>
    <w:rsid w:val="00852603"/>
    <w:rsid w:val="00856683"/>
    <w:rsid w:val="00857301"/>
    <w:rsid w:val="00865F3F"/>
    <w:rsid w:val="0087078E"/>
    <w:rsid w:val="0088592C"/>
    <w:rsid w:val="00886739"/>
    <w:rsid w:val="008934F9"/>
    <w:rsid w:val="00895F04"/>
    <w:rsid w:val="008A59C9"/>
    <w:rsid w:val="008E01C5"/>
    <w:rsid w:val="008E2EDB"/>
    <w:rsid w:val="008E4666"/>
    <w:rsid w:val="008F01AB"/>
    <w:rsid w:val="008F3173"/>
    <w:rsid w:val="009011A5"/>
    <w:rsid w:val="009043EA"/>
    <w:rsid w:val="0091523C"/>
    <w:rsid w:val="00923F0E"/>
    <w:rsid w:val="009256A4"/>
    <w:rsid w:val="00926EAD"/>
    <w:rsid w:val="00972E48"/>
    <w:rsid w:val="00980DB8"/>
    <w:rsid w:val="00987825"/>
    <w:rsid w:val="00991E06"/>
    <w:rsid w:val="009B40C3"/>
    <w:rsid w:val="009B7A6B"/>
    <w:rsid w:val="009C28E5"/>
    <w:rsid w:val="009C58F0"/>
    <w:rsid w:val="009C59B9"/>
    <w:rsid w:val="009E1C04"/>
    <w:rsid w:val="009E1D42"/>
    <w:rsid w:val="009E5682"/>
    <w:rsid w:val="009E5858"/>
    <w:rsid w:val="009F0CDF"/>
    <w:rsid w:val="00A0725D"/>
    <w:rsid w:val="00A072A0"/>
    <w:rsid w:val="00A21EB2"/>
    <w:rsid w:val="00A31202"/>
    <w:rsid w:val="00A62024"/>
    <w:rsid w:val="00A75517"/>
    <w:rsid w:val="00A8733D"/>
    <w:rsid w:val="00A94AC9"/>
    <w:rsid w:val="00AA6125"/>
    <w:rsid w:val="00AD0271"/>
    <w:rsid w:val="00AD3FE4"/>
    <w:rsid w:val="00AE6E6E"/>
    <w:rsid w:val="00AE7A31"/>
    <w:rsid w:val="00AF2ABE"/>
    <w:rsid w:val="00B11B19"/>
    <w:rsid w:val="00B27C96"/>
    <w:rsid w:val="00B54995"/>
    <w:rsid w:val="00B70ED3"/>
    <w:rsid w:val="00B81EC3"/>
    <w:rsid w:val="00BA2333"/>
    <w:rsid w:val="00BB181C"/>
    <w:rsid w:val="00BC448C"/>
    <w:rsid w:val="00BC7DF6"/>
    <w:rsid w:val="00BF2FB7"/>
    <w:rsid w:val="00BF5FDC"/>
    <w:rsid w:val="00C012D5"/>
    <w:rsid w:val="00C02890"/>
    <w:rsid w:val="00C27ED1"/>
    <w:rsid w:val="00C31803"/>
    <w:rsid w:val="00C451EC"/>
    <w:rsid w:val="00C57754"/>
    <w:rsid w:val="00C71570"/>
    <w:rsid w:val="00CB79E1"/>
    <w:rsid w:val="00CC2B83"/>
    <w:rsid w:val="00CC7734"/>
    <w:rsid w:val="00CD4314"/>
    <w:rsid w:val="00CE5BCC"/>
    <w:rsid w:val="00CE71A7"/>
    <w:rsid w:val="00D11AA1"/>
    <w:rsid w:val="00D13701"/>
    <w:rsid w:val="00D201BC"/>
    <w:rsid w:val="00D27331"/>
    <w:rsid w:val="00D30032"/>
    <w:rsid w:val="00D33720"/>
    <w:rsid w:val="00D47A9D"/>
    <w:rsid w:val="00D63F43"/>
    <w:rsid w:val="00D838F4"/>
    <w:rsid w:val="00D937FC"/>
    <w:rsid w:val="00DA7FC6"/>
    <w:rsid w:val="00DB2781"/>
    <w:rsid w:val="00DB5F3A"/>
    <w:rsid w:val="00DC0F75"/>
    <w:rsid w:val="00DC6782"/>
    <w:rsid w:val="00DD437D"/>
    <w:rsid w:val="00DD478F"/>
    <w:rsid w:val="00E00AED"/>
    <w:rsid w:val="00E2251D"/>
    <w:rsid w:val="00E24236"/>
    <w:rsid w:val="00E510B8"/>
    <w:rsid w:val="00E60680"/>
    <w:rsid w:val="00E610C7"/>
    <w:rsid w:val="00E9011B"/>
    <w:rsid w:val="00E926B4"/>
    <w:rsid w:val="00EA1C3F"/>
    <w:rsid w:val="00EA4018"/>
    <w:rsid w:val="00EA7793"/>
    <w:rsid w:val="00EB1EA3"/>
    <w:rsid w:val="00EB1EFB"/>
    <w:rsid w:val="00EC4DBE"/>
    <w:rsid w:val="00EC79BA"/>
    <w:rsid w:val="00EE3762"/>
    <w:rsid w:val="00EE500A"/>
    <w:rsid w:val="00EE5218"/>
    <w:rsid w:val="00EF52F0"/>
    <w:rsid w:val="00F07460"/>
    <w:rsid w:val="00F1287B"/>
    <w:rsid w:val="00F23783"/>
    <w:rsid w:val="00F26B1E"/>
    <w:rsid w:val="00F33FE4"/>
    <w:rsid w:val="00F45E41"/>
    <w:rsid w:val="00F52F80"/>
    <w:rsid w:val="00F811E0"/>
    <w:rsid w:val="00F83FE5"/>
    <w:rsid w:val="00F92426"/>
    <w:rsid w:val="00FA1760"/>
    <w:rsid w:val="00FC0601"/>
    <w:rsid w:val="00FC491C"/>
    <w:rsid w:val="00FE5953"/>
    <w:rsid w:val="00FE75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pPr>
    <w:rPr>
      <w:rFonts w:ascii="Palatino" w:hAnsi="Palatino"/>
      <w:sz w:val="22"/>
    </w:rPr>
  </w:style>
  <w:style w:type="paragraph" w:styleId="Heading1">
    <w:name w:val="heading 1"/>
    <w:basedOn w:val="Normal"/>
    <w:next w:val="Normal"/>
    <w:qFormat/>
    <w:pPr>
      <w:keepNext/>
      <w:numPr>
        <w:numId w:val="1"/>
      </w:numPr>
      <w:outlineLvl w:val="0"/>
    </w:pPr>
    <w:rPr>
      <w:b/>
    </w:rPr>
  </w:style>
  <w:style w:type="paragraph" w:styleId="Heading2">
    <w:name w:val="heading 2"/>
    <w:basedOn w:val="Normal"/>
    <w:next w:val="Level1fo"/>
    <w:qFormat/>
    <w:pPr>
      <w:keepNext/>
      <w:numPr>
        <w:ilvl w:val="1"/>
        <w:numId w:val="2"/>
      </w:numPr>
      <w:tabs>
        <w:tab w:val="clear" w:pos="720"/>
      </w:tabs>
      <w:outlineLvl w:val="1"/>
    </w:pPr>
  </w:style>
  <w:style w:type="paragraph" w:styleId="Heading3">
    <w:name w:val="heading 3"/>
    <w:basedOn w:val="Normal"/>
    <w:next w:val="Level11fo"/>
    <w:qFormat/>
    <w:pPr>
      <w:numPr>
        <w:ilvl w:val="2"/>
        <w:numId w:val="3"/>
      </w:numPr>
      <w:outlineLvl w:val="2"/>
    </w:pPr>
  </w:style>
  <w:style w:type="paragraph" w:styleId="Heading4">
    <w:name w:val="heading 4"/>
    <w:basedOn w:val="Normal"/>
    <w:next w:val="Levelafo"/>
    <w:qFormat/>
    <w:pPr>
      <w:numPr>
        <w:ilvl w:val="3"/>
        <w:numId w:val="4"/>
      </w:numPr>
      <w:outlineLvl w:val="3"/>
    </w:pPr>
  </w:style>
  <w:style w:type="paragraph" w:styleId="Heading5">
    <w:name w:val="heading 5"/>
    <w:basedOn w:val="Normal"/>
    <w:next w:val="Levelifo"/>
    <w:qFormat/>
    <w:pPr>
      <w:numPr>
        <w:ilvl w:val="4"/>
        <w:numId w:val="5"/>
      </w:numPr>
      <w:outlineLvl w:val="4"/>
    </w:pPr>
  </w:style>
  <w:style w:type="paragraph" w:styleId="Heading6">
    <w:name w:val="heading 6"/>
    <w:basedOn w:val="Normal"/>
    <w:next w:val="LevelAfo0"/>
    <w:qFormat/>
    <w:pPr>
      <w:numPr>
        <w:ilvl w:val="5"/>
        <w:numId w:val="6"/>
      </w:numPr>
      <w:outlineLvl w:val="5"/>
    </w:pPr>
  </w:style>
  <w:style w:type="paragraph" w:styleId="Heading7">
    <w:name w:val="heading 7"/>
    <w:basedOn w:val="Normal"/>
    <w:next w:val="LevelIfo0"/>
    <w:qFormat/>
    <w:pPr>
      <w:numPr>
        <w:ilvl w:val="6"/>
        <w:numId w:val="7"/>
      </w:numPr>
      <w:outlineLvl w:val="6"/>
    </w:pPr>
  </w:style>
  <w:style w:type="paragraph" w:styleId="Heading8">
    <w:name w:val="heading 8"/>
    <w:basedOn w:val="Normal"/>
    <w:next w:val="Normal"/>
    <w:qFormat/>
    <w:pPr>
      <w:numPr>
        <w:ilvl w:val="7"/>
        <w:numId w:val="8"/>
      </w:numPr>
      <w:outlineLvl w:val="7"/>
    </w:pPr>
  </w:style>
  <w:style w:type="paragraph" w:styleId="Heading9">
    <w:name w:val="heading 9"/>
    <w:basedOn w:val="Normal"/>
    <w:next w:val="Normal"/>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next w:val="Level1fo"/>
    <w:pPr>
      <w:numPr>
        <w:numId w:val="21"/>
      </w:numPr>
      <w:outlineLvl w:val="1"/>
    </w:pPr>
  </w:style>
  <w:style w:type="paragraph" w:customStyle="1" w:styleId="Level1fo">
    <w:name w:val="Level 1.fo"/>
    <w:basedOn w:val="Normal"/>
    <w:pPr>
      <w:ind w:left="720"/>
    </w:pPr>
  </w:style>
  <w:style w:type="paragraph" w:customStyle="1" w:styleId="Level11">
    <w:name w:val="Level 1.1"/>
    <w:basedOn w:val="Normal"/>
    <w:next w:val="Level11fo"/>
    <w:pPr>
      <w:numPr>
        <w:ilvl w:val="1"/>
        <w:numId w:val="21"/>
      </w:numPr>
      <w:outlineLvl w:val="2"/>
    </w:pPr>
  </w:style>
  <w:style w:type="paragraph" w:customStyle="1" w:styleId="Level11fo">
    <w:name w:val="Level 1.1fo"/>
    <w:basedOn w:val="Normal"/>
    <w:pPr>
      <w:ind w:left="720"/>
    </w:pPr>
  </w:style>
  <w:style w:type="paragraph" w:customStyle="1" w:styleId="Levela">
    <w:name w:val="Level (a)"/>
    <w:basedOn w:val="Normal"/>
    <w:next w:val="Levelafo"/>
    <w:pPr>
      <w:numPr>
        <w:ilvl w:val="2"/>
        <w:numId w:val="21"/>
      </w:numPr>
      <w:outlineLvl w:val="3"/>
    </w:pPr>
  </w:style>
  <w:style w:type="paragraph" w:customStyle="1" w:styleId="Levelafo">
    <w:name w:val="Level (a)fo"/>
    <w:basedOn w:val="Normal"/>
    <w:pPr>
      <w:ind w:left="1440"/>
    </w:pPr>
  </w:style>
  <w:style w:type="paragraph" w:customStyle="1" w:styleId="Leveli">
    <w:name w:val="Level (i)"/>
    <w:basedOn w:val="Normal"/>
    <w:next w:val="Levelifo"/>
    <w:pPr>
      <w:numPr>
        <w:ilvl w:val="3"/>
        <w:numId w:val="21"/>
      </w:numPr>
      <w:outlineLvl w:val="4"/>
    </w:pPr>
  </w:style>
  <w:style w:type="paragraph" w:customStyle="1" w:styleId="Levelifo">
    <w:name w:val="Level (i)fo"/>
    <w:basedOn w:val="Normal"/>
    <w:pPr>
      <w:ind w:left="2160"/>
    </w:pPr>
  </w:style>
  <w:style w:type="paragraph" w:customStyle="1" w:styleId="LevelA0">
    <w:name w:val="Level(A)"/>
    <w:basedOn w:val="Normal"/>
    <w:next w:val="LevelAfo0"/>
    <w:pPr>
      <w:numPr>
        <w:ilvl w:val="4"/>
        <w:numId w:val="21"/>
      </w:numPr>
      <w:outlineLvl w:val="5"/>
    </w:pPr>
  </w:style>
  <w:style w:type="paragraph" w:customStyle="1" w:styleId="LevelAfo0">
    <w:name w:val="Level (A)fo"/>
    <w:basedOn w:val="Normal"/>
    <w:pPr>
      <w:ind w:left="2880"/>
    </w:pPr>
  </w:style>
  <w:style w:type="paragraph" w:customStyle="1" w:styleId="LevelI0">
    <w:name w:val="Level(I)"/>
    <w:basedOn w:val="Normal"/>
    <w:next w:val="LevelIfo0"/>
    <w:pPr>
      <w:numPr>
        <w:ilvl w:val="5"/>
        <w:numId w:val="21"/>
      </w:numPr>
      <w:outlineLvl w:val="6"/>
    </w:pPr>
  </w:style>
  <w:style w:type="paragraph" w:customStyle="1" w:styleId="LevelIfo0">
    <w:name w:val="Level (I)fo"/>
    <w:basedOn w:val="Normal"/>
    <w:pPr>
      <w:ind w:left="3600"/>
    </w:pPr>
  </w:style>
  <w:style w:type="paragraph" w:styleId="TOC7">
    <w:name w:val="toc 7"/>
    <w:basedOn w:val="Normal"/>
    <w:next w:val="Normal"/>
    <w:semiHidden/>
    <w:pPr>
      <w:tabs>
        <w:tab w:val="right" w:pos="9000"/>
      </w:tabs>
      <w:spacing w:before="0"/>
      <w:ind w:left="4320" w:right="907" w:hanging="720"/>
    </w:pPr>
  </w:style>
  <w:style w:type="paragraph" w:styleId="TOC6">
    <w:name w:val="toc 6"/>
    <w:basedOn w:val="Normal"/>
    <w:next w:val="Normal"/>
    <w:semiHidden/>
    <w:pPr>
      <w:tabs>
        <w:tab w:val="right" w:pos="9000"/>
      </w:tabs>
      <w:spacing w:before="0"/>
      <w:ind w:left="3600" w:right="907" w:hanging="720"/>
    </w:pPr>
  </w:style>
  <w:style w:type="paragraph" w:styleId="TOC5">
    <w:name w:val="toc 5"/>
    <w:basedOn w:val="Normal"/>
    <w:next w:val="Normal"/>
    <w:semiHidden/>
    <w:pPr>
      <w:tabs>
        <w:tab w:val="right" w:pos="9000"/>
      </w:tabs>
      <w:spacing w:before="0"/>
      <w:ind w:left="2880" w:right="907" w:hanging="720"/>
    </w:pPr>
  </w:style>
  <w:style w:type="paragraph" w:styleId="TOC4">
    <w:name w:val="toc 4"/>
    <w:basedOn w:val="Normal"/>
    <w:next w:val="Normal"/>
    <w:semiHidden/>
    <w:pPr>
      <w:tabs>
        <w:tab w:val="right" w:pos="9000"/>
      </w:tabs>
      <w:spacing w:before="0"/>
      <w:ind w:left="2160" w:right="907" w:hanging="720"/>
    </w:pPr>
  </w:style>
  <w:style w:type="paragraph" w:styleId="TOC3">
    <w:name w:val="toc 3"/>
    <w:basedOn w:val="Normal"/>
    <w:next w:val="Normal"/>
    <w:semiHidden/>
    <w:pPr>
      <w:tabs>
        <w:tab w:val="right" w:pos="9000"/>
      </w:tabs>
      <w:spacing w:before="0"/>
      <w:ind w:left="1440" w:right="907" w:hanging="720"/>
    </w:pPr>
  </w:style>
  <w:style w:type="paragraph" w:styleId="TOC2">
    <w:name w:val="toc 2"/>
    <w:basedOn w:val="Normal"/>
    <w:next w:val="Normal"/>
    <w:semiHidden/>
    <w:pPr>
      <w:tabs>
        <w:tab w:val="right" w:pos="9000"/>
      </w:tabs>
      <w:spacing w:after="240"/>
      <w:ind w:left="720" w:right="907" w:hanging="720"/>
    </w:pPr>
    <w:rPr>
      <w:rFonts w:ascii="Frutiger 45 Light" w:hAnsi="Frutiger 45 Light"/>
      <w:b/>
    </w:rPr>
  </w:style>
  <w:style w:type="paragraph" w:styleId="TOC1">
    <w:name w:val="toc 1"/>
    <w:basedOn w:val="Normal"/>
    <w:next w:val="Normal"/>
    <w:semiHidden/>
    <w:pPr>
      <w:tabs>
        <w:tab w:val="right" w:pos="9000"/>
      </w:tabs>
      <w:ind w:right="907"/>
    </w:pPr>
  </w:style>
  <w:style w:type="paragraph" w:styleId="Footer">
    <w:name w:val="footer"/>
    <w:basedOn w:val="Normal"/>
    <w:pPr>
      <w:spacing w:before="0"/>
    </w:pPr>
    <w:rPr>
      <w:sz w:val="18"/>
    </w:rPr>
  </w:style>
  <w:style w:type="paragraph" w:styleId="Header">
    <w:name w:val="header"/>
    <w:basedOn w:val="Normal"/>
    <w:pPr>
      <w:jc w:val="center"/>
    </w:pPr>
  </w:style>
  <w:style w:type="character" w:styleId="FootnoteReference">
    <w:name w:val="footnote reference"/>
    <w:semiHidden/>
    <w:rPr>
      <w:vertAlign w:val="superscript"/>
    </w:rPr>
  </w:style>
  <w:style w:type="paragraph" w:styleId="FootnoteText">
    <w:name w:val="footnote text"/>
    <w:basedOn w:val="Normal"/>
    <w:next w:val="Normal"/>
    <w:semiHidden/>
    <w:pPr>
      <w:ind w:left="720" w:hanging="720"/>
    </w:pPr>
    <w:rPr>
      <w:sz w:val="20"/>
    </w:rPr>
  </w:style>
  <w:style w:type="character" w:customStyle="1" w:styleId="FrutigerBold">
    <w:name w:val="FrutigerBold"/>
    <w:rPr>
      <w:rFonts w:ascii="Frutiger 45 Light" w:hAnsi="Frutiger 45 Light"/>
      <w:b/>
    </w:rPr>
  </w:style>
  <w:style w:type="paragraph" w:styleId="BlockText">
    <w:name w:val="Block Text"/>
    <w:basedOn w:val="Normal"/>
    <w:pPr>
      <w:ind w:left="1440" w:right="1440"/>
    </w:pPr>
  </w:style>
  <w:style w:type="paragraph" w:styleId="BodyText">
    <w:name w:val="Body Text"/>
    <w:basedOn w:val="Normal"/>
    <w:link w:val="BodyTextChar"/>
  </w:style>
  <w:style w:type="paragraph" w:styleId="BodyText2">
    <w:name w:val="Body Text 2"/>
    <w:basedOn w:val="Normal"/>
    <w:pPr>
      <w:spacing w:before="480" w:line="480" w:lineRule="auto"/>
    </w:pPr>
  </w:style>
  <w:style w:type="paragraph" w:styleId="BodyText3">
    <w:name w:val="Body Text 3"/>
    <w:basedOn w:val="Normal"/>
    <w:pPr>
      <w:spacing w:before="720" w:line="720" w:lineRule="auto"/>
    </w:pPr>
  </w:style>
  <w:style w:type="paragraph" w:styleId="BodyTextFirstIndent">
    <w:name w:val="Body Text First Indent"/>
    <w:basedOn w:val="BodyText"/>
    <w:pPr>
      <w:ind w:firstLine="720"/>
    </w:pPr>
  </w:style>
  <w:style w:type="paragraph" w:styleId="BodyTextIndent">
    <w:name w:val="Body Text Indent"/>
    <w:basedOn w:val="Normal"/>
    <w:pPr>
      <w:ind w:left="720"/>
    </w:pPr>
  </w:style>
  <w:style w:type="paragraph" w:styleId="BodyTextFirstIndent2">
    <w:name w:val="Body Text First Indent 2"/>
    <w:basedOn w:val="BodyTextIndent"/>
    <w:pPr>
      <w:spacing w:before="480" w:line="480" w:lineRule="auto"/>
      <w:ind w:left="0" w:firstLine="720"/>
    </w:pPr>
  </w:style>
  <w:style w:type="paragraph" w:styleId="BodyTextIndent2">
    <w:name w:val="Body Text Indent 2"/>
    <w:basedOn w:val="Normal"/>
    <w:pPr>
      <w:spacing w:before="480" w:line="480" w:lineRule="auto"/>
      <w:ind w:left="720"/>
    </w:pPr>
  </w:style>
  <w:style w:type="paragraph" w:styleId="BodyTextIndent3">
    <w:name w:val="Body Text Indent 3"/>
    <w:basedOn w:val="Normal"/>
    <w:pPr>
      <w:spacing w:before="720" w:line="720" w:lineRule="auto"/>
      <w:ind w:left="720"/>
    </w:pPr>
  </w:style>
  <w:style w:type="paragraph" w:styleId="Caption">
    <w:name w:val="caption"/>
    <w:basedOn w:val="Normal"/>
    <w:next w:val="Normal"/>
    <w:qFormat/>
  </w:style>
  <w:style w:type="paragraph" w:styleId="Closing">
    <w:name w:val="Closing"/>
    <w:basedOn w:val="Normal"/>
  </w:style>
  <w:style w:type="character" w:styleId="CommentReference">
    <w:name w:val="annotation reference"/>
    <w:semiHidden/>
    <w:rPr>
      <w:vertAlign w:val="baseline"/>
    </w:rPr>
  </w:style>
  <w:style w:type="paragraph" w:styleId="CommentText">
    <w:name w:val="annotation text"/>
    <w:basedOn w:val="Normal"/>
    <w:link w:val="CommentTextChar"/>
    <w:semiHidden/>
  </w:style>
  <w:style w:type="paragraph" w:styleId="DocumentMap">
    <w:name w:val="Document Map"/>
    <w:basedOn w:val="Normal"/>
    <w:semiHidden/>
    <w:pPr>
      <w:shd w:val="clear" w:color="auto" w:fill="000080"/>
    </w:pPr>
  </w:style>
  <w:style w:type="character" w:styleId="EndnoteReference">
    <w:name w:val="endnote reference"/>
    <w:semiHidden/>
    <w:rPr>
      <w:sz w:val="18"/>
      <w:vertAlign w:val="superscript"/>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pPr>
      <w:jc w:val="center"/>
    </w:pPr>
    <w:rPr>
      <w:b/>
    </w:rPr>
  </w:style>
  <w:style w:type="paragraph" w:styleId="List">
    <w:name w:val="List"/>
    <w:basedOn w:val="Normal"/>
    <w:next w:val="ListContinue"/>
    <w:pPr>
      <w:ind w:left="720" w:hanging="720"/>
    </w:pPr>
  </w:style>
  <w:style w:type="paragraph" w:styleId="List2">
    <w:name w:val="List 2"/>
    <w:basedOn w:val="Normal"/>
    <w:next w:val="ListContinue2"/>
    <w:pPr>
      <w:ind w:left="1440" w:hanging="720"/>
    </w:pPr>
  </w:style>
  <w:style w:type="paragraph" w:styleId="List3">
    <w:name w:val="List 3"/>
    <w:basedOn w:val="Normal"/>
    <w:next w:val="ListContinue3"/>
    <w:pPr>
      <w:ind w:left="2160" w:hanging="720"/>
    </w:pPr>
  </w:style>
  <w:style w:type="paragraph" w:styleId="List4">
    <w:name w:val="List 4"/>
    <w:basedOn w:val="Normal"/>
    <w:next w:val="ListContinue4"/>
    <w:pPr>
      <w:ind w:left="2880" w:hanging="720"/>
    </w:pPr>
  </w:style>
  <w:style w:type="paragraph" w:styleId="List5">
    <w:name w:val="List 5"/>
    <w:basedOn w:val="Normal"/>
    <w:next w:val="ListContinue5"/>
    <w:pPr>
      <w:ind w:left="3600" w:hanging="720"/>
    </w:pPr>
  </w:style>
  <w:style w:type="paragraph" w:styleId="ListBullet">
    <w:name w:val="List Bullet"/>
    <w:basedOn w:val="Normal"/>
    <w:autoRedefine/>
    <w:pPr>
      <w:numPr>
        <w:numId w:val="10"/>
      </w:numPr>
      <w:tabs>
        <w:tab w:val="clear" w:pos="720"/>
      </w:tabs>
    </w:pPr>
  </w:style>
  <w:style w:type="paragraph" w:styleId="ListBullet2">
    <w:name w:val="List Bullet 2"/>
    <w:basedOn w:val="Normal"/>
    <w:autoRedefine/>
    <w:pPr>
      <w:numPr>
        <w:numId w:val="11"/>
      </w:numPr>
      <w:tabs>
        <w:tab w:val="clear" w:pos="720"/>
      </w:tabs>
    </w:pPr>
  </w:style>
  <w:style w:type="paragraph" w:styleId="ListBullet3">
    <w:name w:val="List Bullet 3"/>
    <w:basedOn w:val="Normal"/>
    <w:autoRedefine/>
    <w:pPr>
      <w:numPr>
        <w:numId w:val="12"/>
      </w:numPr>
      <w:tabs>
        <w:tab w:val="clear" w:pos="720"/>
      </w:tabs>
    </w:pPr>
  </w:style>
  <w:style w:type="paragraph" w:styleId="ListBullet4">
    <w:name w:val="List Bullet 4"/>
    <w:basedOn w:val="Normal"/>
    <w:autoRedefine/>
    <w:pPr>
      <w:numPr>
        <w:numId w:val="13"/>
      </w:numPr>
      <w:tabs>
        <w:tab w:val="clear" w:pos="720"/>
      </w:tabs>
    </w:pPr>
  </w:style>
  <w:style w:type="paragraph" w:styleId="ListBullet5">
    <w:name w:val="List Bullet 5"/>
    <w:basedOn w:val="Normal"/>
    <w:autoRedefine/>
    <w:pPr>
      <w:numPr>
        <w:numId w:val="14"/>
      </w:numPr>
      <w:tabs>
        <w:tab w:val="clear" w:pos="720"/>
      </w:tabs>
    </w:pPr>
  </w:style>
  <w:style w:type="paragraph" w:styleId="ListContinue">
    <w:name w:val="List Continue"/>
    <w:basedOn w:val="Normal"/>
    <w:pPr>
      <w:ind w:left="720"/>
    </w:pPr>
  </w:style>
  <w:style w:type="paragraph" w:styleId="ListContinue2">
    <w:name w:val="List Continue 2"/>
    <w:basedOn w:val="Normal"/>
    <w:pPr>
      <w:ind w:left="1440"/>
    </w:pPr>
  </w:style>
  <w:style w:type="paragraph" w:styleId="ListContinue3">
    <w:name w:val="List Continue 3"/>
    <w:basedOn w:val="Normal"/>
    <w:pPr>
      <w:ind w:left="2160"/>
    </w:pPr>
  </w:style>
  <w:style w:type="paragraph" w:styleId="ListContinue4">
    <w:name w:val="List Continue 4"/>
    <w:basedOn w:val="Normal"/>
    <w:pPr>
      <w:ind w:left="2880"/>
    </w:pPr>
  </w:style>
  <w:style w:type="paragraph" w:styleId="ListContinue5">
    <w:name w:val="List Continue 5"/>
    <w:basedOn w:val="Normal"/>
    <w:pPr>
      <w:ind w:left="3600"/>
    </w:pPr>
  </w:style>
  <w:style w:type="paragraph" w:styleId="ListNumber">
    <w:name w:val="List Number"/>
    <w:basedOn w:val="Normal"/>
    <w:pPr>
      <w:numPr>
        <w:numId w:val="15"/>
      </w:numPr>
    </w:pPr>
  </w:style>
  <w:style w:type="paragraph" w:styleId="ListNumber2">
    <w:name w:val="List Number 2"/>
    <w:basedOn w:val="Normal"/>
    <w:pPr>
      <w:numPr>
        <w:numId w:val="16"/>
      </w:numPr>
      <w:tabs>
        <w:tab w:val="clear" w:pos="720"/>
      </w:tabs>
    </w:pPr>
  </w:style>
  <w:style w:type="paragraph" w:styleId="ListNumber3">
    <w:name w:val="List Number 3"/>
    <w:basedOn w:val="Normal"/>
    <w:pPr>
      <w:numPr>
        <w:numId w:val="17"/>
      </w:numPr>
      <w:tabs>
        <w:tab w:val="clear" w:pos="720"/>
      </w:tabs>
    </w:pPr>
  </w:style>
  <w:style w:type="paragraph" w:styleId="ListNumber4">
    <w:name w:val="List Number 4"/>
    <w:basedOn w:val="Normal"/>
    <w:pPr>
      <w:numPr>
        <w:numId w:val="18"/>
      </w:numPr>
      <w:tabs>
        <w:tab w:val="clear" w:pos="720"/>
      </w:tabs>
    </w:pPr>
  </w:style>
  <w:style w:type="paragraph" w:styleId="ListNumber5">
    <w:name w:val="List Number 5"/>
    <w:basedOn w:val="Normal"/>
    <w:pPr>
      <w:numPr>
        <w:numId w:val="19"/>
      </w:numPr>
      <w:tabs>
        <w:tab w:val="clear" w:pos="72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pPr>
  </w:style>
  <w:style w:type="character" w:styleId="PageNumber">
    <w:name w:val="page number"/>
    <w:basedOn w:val="DefaultParagraphFont"/>
  </w:style>
  <w:style w:type="paragraph" w:styleId="PlainText">
    <w:name w:val="Plain Text"/>
    <w:basedOn w:val="Normal"/>
  </w:style>
  <w:style w:type="paragraph" w:styleId="Signature">
    <w:name w:val="Signature"/>
    <w:basedOn w:val="Normal"/>
  </w:style>
  <w:style w:type="paragraph" w:styleId="Subtitle">
    <w:name w:val="Subtitle"/>
    <w:basedOn w:val="Title"/>
    <w:next w:val="Normal"/>
    <w:qFormat/>
    <w:pPr>
      <w:jc w:val="left"/>
    </w:pPr>
  </w:style>
  <w:style w:type="paragraph" w:styleId="TableofAuthorities">
    <w:name w:val="table of authorities"/>
    <w:basedOn w:val="Normal"/>
    <w:next w:val="Normal"/>
    <w:semiHidden/>
    <w:pPr>
      <w:tabs>
        <w:tab w:val="right" w:pos="9360"/>
      </w:tabs>
      <w:ind w:left="360" w:right="907" w:hanging="360"/>
    </w:pPr>
    <w:rPr>
      <w:noProof/>
    </w:rPr>
  </w:style>
  <w:style w:type="paragraph" w:styleId="TableofFigures">
    <w:name w:val="table of figures"/>
    <w:basedOn w:val="Normal"/>
    <w:next w:val="Normal"/>
    <w:semiHidden/>
    <w:pPr>
      <w:tabs>
        <w:tab w:val="right" w:pos="9000"/>
      </w:tabs>
      <w:ind w:left="360" w:right="907" w:hanging="360"/>
    </w:pPr>
  </w:style>
  <w:style w:type="paragraph" w:styleId="Title">
    <w:name w:val="Title"/>
    <w:basedOn w:val="Normal"/>
    <w:next w:val="Normal"/>
    <w:qFormat/>
    <w:pPr>
      <w:jc w:val="center"/>
      <w:outlineLvl w:val="0"/>
    </w:pPr>
    <w:rPr>
      <w:rFonts w:ascii="Frutiger 45 Light" w:hAnsi="Frutiger 45 Light"/>
      <w:b/>
    </w:rPr>
  </w:style>
  <w:style w:type="paragraph" w:styleId="TOAHeading">
    <w:name w:val="toa heading"/>
    <w:basedOn w:val="Normal"/>
    <w:next w:val="Normal"/>
    <w:semiHidden/>
    <w:rPr>
      <w:b/>
    </w:rPr>
  </w:style>
  <w:style w:type="paragraph" w:styleId="TOC8">
    <w:name w:val="toc 8"/>
    <w:basedOn w:val="Normal"/>
    <w:next w:val="Normal"/>
    <w:autoRedefine/>
    <w:semiHidden/>
    <w:pPr>
      <w:tabs>
        <w:tab w:val="right" w:pos="9000"/>
      </w:tabs>
      <w:spacing w:before="0"/>
      <w:ind w:left="5040" w:right="907" w:hanging="720"/>
    </w:pPr>
  </w:style>
  <w:style w:type="paragraph" w:styleId="TOC9">
    <w:name w:val="toc 9"/>
    <w:basedOn w:val="Normal"/>
    <w:next w:val="Normal"/>
    <w:autoRedefine/>
    <w:semiHidden/>
    <w:pPr>
      <w:tabs>
        <w:tab w:val="right" w:pos="9000"/>
      </w:tabs>
      <w:spacing w:before="0"/>
      <w:ind w:left="5760" w:right="907" w:hanging="720"/>
    </w:pPr>
  </w:style>
  <w:style w:type="paragraph" w:styleId="Index2">
    <w:name w:val="index 2"/>
    <w:basedOn w:val="Normal"/>
    <w:next w:val="Normal"/>
    <w:autoRedefine/>
    <w:semiHidden/>
    <w:pPr>
      <w:spacing w:before="0"/>
      <w:ind w:left="480" w:hanging="240"/>
    </w:pPr>
  </w:style>
  <w:style w:type="paragraph" w:styleId="Index3">
    <w:name w:val="index 3"/>
    <w:basedOn w:val="Normal"/>
    <w:next w:val="Normal"/>
    <w:autoRedefine/>
    <w:semiHidden/>
    <w:pPr>
      <w:spacing w:before="0"/>
      <w:ind w:left="720" w:hanging="240"/>
    </w:pPr>
  </w:style>
  <w:style w:type="paragraph" w:styleId="Index4">
    <w:name w:val="index 4"/>
    <w:basedOn w:val="Normal"/>
    <w:next w:val="Normal"/>
    <w:autoRedefine/>
    <w:semiHidden/>
    <w:pPr>
      <w:spacing w:before="0"/>
      <w:ind w:left="960" w:hanging="240"/>
    </w:pPr>
  </w:style>
  <w:style w:type="paragraph" w:styleId="Index5">
    <w:name w:val="index 5"/>
    <w:basedOn w:val="Normal"/>
    <w:next w:val="Normal"/>
    <w:autoRedefine/>
    <w:semiHidden/>
    <w:pPr>
      <w:spacing w:before="0"/>
      <w:ind w:left="1200" w:hanging="240"/>
    </w:pPr>
  </w:style>
  <w:style w:type="paragraph" w:styleId="Index6">
    <w:name w:val="index 6"/>
    <w:basedOn w:val="Normal"/>
    <w:next w:val="Normal"/>
    <w:autoRedefine/>
    <w:semiHidden/>
    <w:pPr>
      <w:spacing w:before="0"/>
      <w:ind w:left="1440" w:hanging="240"/>
    </w:pPr>
  </w:style>
  <w:style w:type="paragraph" w:styleId="Index7">
    <w:name w:val="index 7"/>
    <w:basedOn w:val="Normal"/>
    <w:next w:val="Normal"/>
    <w:autoRedefine/>
    <w:semiHidden/>
    <w:pPr>
      <w:spacing w:before="0"/>
      <w:ind w:left="1680" w:hanging="240"/>
    </w:pPr>
  </w:style>
  <w:style w:type="paragraph" w:styleId="Index8">
    <w:name w:val="index 8"/>
    <w:basedOn w:val="Normal"/>
    <w:next w:val="Normal"/>
    <w:autoRedefine/>
    <w:semiHidden/>
    <w:pPr>
      <w:spacing w:before="0"/>
      <w:ind w:left="1920" w:hanging="240"/>
    </w:pPr>
  </w:style>
  <w:style w:type="paragraph" w:styleId="Index9">
    <w:name w:val="index 9"/>
    <w:basedOn w:val="Normal"/>
    <w:next w:val="Normal"/>
    <w:autoRedefine/>
    <w:semiHidden/>
    <w:pPr>
      <w:spacing w:before="0"/>
      <w:ind w:left="2160" w:hanging="24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240"/>
    </w:pPr>
    <w:rPr>
      <w:rFonts w:ascii="Courier New" w:hAnsi="Courier New"/>
    </w:rPr>
  </w:style>
  <w:style w:type="paragraph" w:styleId="NoteHeading">
    <w:name w:val="Note Heading"/>
    <w:basedOn w:val="Normal"/>
    <w:next w:val="Normal"/>
  </w:style>
  <w:style w:type="paragraph" w:customStyle="1" w:styleId="NormalSpace">
    <w:name w:val="Normal + Space"/>
    <w:basedOn w:val="Normal"/>
    <w:pPr>
      <w:spacing w:before="0" w:after="240"/>
    </w:pPr>
    <w:rPr>
      <w:rFonts w:ascii="Times New Roman" w:hAnsi="Times New Roman"/>
      <w:sz w:val="24"/>
    </w:rPr>
  </w:style>
  <w:style w:type="paragraph" w:customStyle="1" w:styleId="RHeading2">
    <w:name w:val="R_Heading 2"/>
    <w:basedOn w:val="Normal"/>
    <w:pPr>
      <w:keepLines/>
      <w:numPr>
        <w:numId w:val="20"/>
      </w:numPr>
      <w:spacing w:before="360" w:after="120" w:line="360" w:lineRule="auto"/>
      <w:jc w:val="center"/>
      <w:outlineLvl w:val="0"/>
    </w:pPr>
    <w:rPr>
      <w:rFonts w:ascii="Times New Roman" w:hAnsi="Times New Roman"/>
      <w:b/>
      <w:sz w:val="24"/>
      <w:lang w:eastAsia="zh-CN"/>
    </w:rPr>
  </w:style>
  <w:style w:type="paragraph" w:customStyle="1" w:styleId="RBody1">
    <w:name w:val="R_Body 1"/>
    <w:basedOn w:val="Normal"/>
    <w:pPr>
      <w:numPr>
        <w:ilvl w:val="1"/>
        <w:numId w:val="20"/>
      </w:numPr>
      <w:spacing w:line="360" w:lineRule="auto"/>
    </w:pPr>
    <w:rPr>
      <w:rFonts w:ascii="Times New Roman" w:hAnsi="Times New Roman"/>
      <w:sz w:val="24"/>
      <w:lang w:eastAsia="zh-CN"/>
    </w:rPr>
  </w:style>
  <w:style w:type="paragraph" w:customStyle="1" w:styleId="RBody2">
    <w:name w:val="R_Body 2"/>
    <w:basedOn w:val="Normal"/>
    <w:pPr>
      <w:numPr>
        <w:ilvl w:val="2"/>
        <w:numId w:val="20"/>
      </w:numPr>
      <w:spacing w:line="360" w:lineRule="auto"/>
      <w:ind w:left="709"/>
    </w:pPr>
    <w:rPr>
      <w:rFonts w:ascii="Times New Roman" w:hAnsi="Times New Roman"/>
      <w:sz w:val="24"/>
      <w:lang w:eastAsia="zh-CN"/>
    </w:rPr>
  </w:style>
  <w:style w:type="paragraph" w:customStyle="1" w:styleId="RBody3">
    <w:name w:val="R_Body 3"/>
    <w:basedOn w:val="Normal"/>
    <w:pPr>
      <w:numPr>
        <w:ilvl w:val="3"/>
        <w:numId w:val="20"/>
      </w:numPr>
      <w:spacing w:line="360" w:lineRule="auto"/>
    </w:pPr>
    <w:rPr>
      <w:rFonts w:ascii="Times New Roman" w:hAnsi="Times New Roman"/>
      <w:sz w:val="24"/>
      <w:lang w:eastAsia="zh-CN"/>
    </w:rPr>
  </w:style>
  <w:style w:type="paragraph" w:customStyle="1" w:styleId="P1">
    <w:name w:val="P1"/>
    <w:aliases w:val="(a)"/>
    <w:basedOn w:val="Normal"/>
    <w:pPr>
      <w:tabs>
        <w:tab w:val="right" w:pos="1191"/>
        <w:tab w:val="left" w:pos="1644"/>
      </w:tabs>
      <w:spacing w:before="60" w:line="260" w:lineRule="exact"/>
      <w:ind w:left="1418" w:hanging="1418"/>
      <w:jc w:val="both"/>
    </w:pPr>
    <w:rPr>
      <w:rFonts w:ascii="Times New Roman" w:hAnsi="Times New Roman"/>
      <w:sz w:val="24"/>
      <w:lang w:eastAsia="en-US"/>
    </w:rPr>
  </w:style>
  <w:style w:type="paragraph" w:customStyle="1" w:styleId="bullets">
    <w:name w:val="bullets"/>
    <w:basedOn w:val="Normal"/>
    <w:rsid w:val="00741B2C"/>
    <w:pPr>
      <w:numPr>
        <w:numId w:val="22"/>
      </w:numPr>
    </w:pPr>
  </w:style>
  <w:style w:type="character" w:customStyle="1" w:styleId="BodyTextChar">
    <w:name w:val="Body Text Char"/>
    <w:link w:val="BodyText"/>
    <w:rsid w:val="003A7E6D"/>
    <w:rPr>
      <w:rFonts w:ascii="Palatino" w:hAnsi="Palatino"/>
      <w:sz w:val="22"/>
      <w:lang w:val="en-AU" w:eastAsia="en-AU" w:bidi="ar-SA"/>
    </w:rPr>
  </w:style>
  <w:style w:type="character" w:customStyle="1" w:styleId="BodyTextCharChar">
    <w:name w:val="Body Text Char Char"/>
    <w:rsid w:val="00380812"/>
    <w:rPr>
      <w:rFonts w:ascii="Palatino" w:hAnsi="Palatino"/>
      <w:sz w:val="22"/>
      <w:lang w:val="en-AU" w:eastAsia="en-AU" w:bidi="ar-SA"/>
    </w:rPr>
  </w:style>
  <w:style w:type="paragraph" w:customStyle="1" w:styleId="subsection">
    <w:name w:val="subsection"/>
    <w:aliases w:val="ss"/>
    <w:basedOn w:val="Normal"/>
    <w:rsid w:val="00F1287B"/>
    <w:pPr>
      <w:tabs>
        <w:tab w:val="right" w:pos="1021"/>
      </w:tabs>
      <w:spacing w:before="180"/>
      <w:ind w:left="1134" w:hanging="1134"/>
    </w:pPr>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E01C5"/>
    <w:rPr>
      <w:b/>
      <w:bCs/>
      <w:sz w:val="20"/>
    </w:rPr>
  </w:style>
  <w:style w:type="character" w:customStyle="1" w:styleId="CommentTextChar">
    <w:name w:val="Comment Text Char"/>
    <w:link w:val="CommentText"/>
    <w:semiHidden/>
    <w:rsid w:val="008E01C5"/>
    <w:rPr>
      <w:rFonts w:ascii="Palatino" w:hAnsi="Palatino"/>
      <w:sz w:val="22"/>
    </w:rPr>
  </w:style>
  <w:style w:type="character" w:customStyle="1" w:styleId="CommentSubjectChar">
    <w:name w:val="Comment Subject Char"/>
    <w:link w:val="CommentSubject"/>
    <w:uiPriority w:val="99"/>
    <w:semiHidden/>
    <w:rsid w:val="008E01C5"/>
    <w:rPr>
      <w:rFonts w:ascii="Palatino" w:hAnsi="Palatino"/>
      <w:b/>
      <w:bCs/>
      <w:sz w:val="22"/>
    </w:rPr>
  </w:style>
  <w:style w:type="paragraph" w:styleId="BalloonText">
    <w:name w:val="Balloon Text"/>
    <w:basedOn w:val="Normal"/>
    <w:link w:val="BalloonTextChar"/>
    <w:uiPriority w:val="99"/>
    <w:semiHidden/>
    <w:unhideWhenUsed/>
    <w:rsid w:val="008E01C5"/>
    <w:pPr>
      <w:spacing w:before="0"/>
    </w:pPr>
    <w:rPr>
      <w:rFonts w:ascii="Tahoma" w:hAnsi="Tahoma" w:cs="Tahoma"/>
      <w:sz w:val="16"/>
      <w:szCs w:val="16"/>
    </w:rPr>
  </w:style>
  <w:style w:type="character" w:customStyle="1" w:styleId="BalloonTextChar">
    <w:name w:val="Balloon Text Char"/>
    <w:link w:val="BalloonText"/>
    <w:uiPriority w:val="99"/>
    <w:semiHidden/>
    <w:rsid w:val="008E01C5"/>
    <w:rPr>
      <w:rFonts w:ascii="Tahoma" w:hAnsi="Tahoma" w:cs="Tahoma"/>
      <w:sz w:val="16"/>
      <w:szCs w:val="16"/>
    </w:rPr>
  </w:style>
  <w:style w:type="paragraph" w:styleId="Revision">
    <w:name w:val="Revision"/>
    <w:hidden/>
    <w:uiPriority w:val="99"/>
    <w:semiHidden/>
    <w:rsid w:val="00FE5953"/>
    <w:rPr>
      <w:rFonts w:ascii="Palatino" w:hAnsi="Palatino"/>
      <w:sz w:val="22"/>
    </w:rPr>
  </w:style>
  <w:style w:type="paragraph" w:styleId="NoSpacing">
    <w:name w:val="No Spacing"/>
    <w:uiPriority w:val="1"/>
    <w:qFormat/>
    <w:rsid w:val="00252D95"/>
    <w:rPr>
      <w:rFonts w:ascii="Palatino" w:hAnsi="Palatin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pPr>
    <w:rPr>
      <w:rFonts w:ascii="Palatino" w:hAnsi="Palatino"/>
      <w:sz w:val="22"/>
    </w:rPr>
  </w:style>
  <w:style w:type="paragraph" w:styleId="Heading1">
    <w:name w:val="heading 1"/>
    <w:basedOn w:val="Normal"/>
    <w:next w:val="Normal"/>
    <w:qFormat/>
    <w:pPr>
      <w:keepNext/>
      <w:numPr>
        <w:numId w:val="1"/>
      </w:numPr>
      <w:outlineLvl w:val="0"/>
    </w:pPr>
    <w:rPr>
      <w:b/>
    </w:rPr>
  </w:style>
  <w:style w:type="paragraph" w:styleId="Heading2">
    <w:name w:val="heading 2"/>
    <w:basedOn w:val="Normal"/>
    <w:next w:val="Level1fo"/>
    <w:qFormat/>
    <w:pPr>
      <w:keepNext/>
      <w:numPr>
        <w:ilvl w:val="1"/>
        <w:numId w:val="2"/>
      </w:numPr>
      <w:tabs>
        <w:tab w:val="clear" w:pos="720"/>
      </w:tabs>
      <w:outlineLvl w:val="1"/>
    </w:pPr>
  </w:style>
  <w:style w:type="paragraph" w:styleId="Heading3">
    <w:name w:val="heading 3"/>
    <w:basedOn w:val="Normal"/>
    <w:next w:val="Level11fo"/>
    <w:qFormat/>
    <w:pPr>
      <w:numPr>
        <w:ilvl w:val="2"/>
        <w:numId w:val="3"/>
      </w:numPr>
      <w:outlineLvl w:val="2"/>
    </w:pPr>
  </w:style>
  <w:style w:type="paragraph" w:styleId="Heading4">
    <w:name w:val="heading 4"/>
    <w:basedOn w:val="Normal"/>
    <w:next w:val="Levelafo"/>
    <w:qFormat/>
    <w:pPr>
      <w:numPr>
        <w:ilvl w:val="3"/>
        <w:numId w:val="4"/>
      </w:numPr>
      <w:outlineLvl w:val="3"/>
    </w:pPr>
  </w:style>
  <w:style w:type="paragraph" w:styleId="Heading5">
    <w:name w:val="heading 5"/>
    <w:basedOn w:val="Normal"/>
    <w:next w:val="Levelifo"/>
    <w:qFormat/>
    <w:pPr>
      <w:numPr>
        <w:ilvl w:val="4"/>
        <w:numId w:val="5"/>
      </w:numPr>
      <w:outlineLvl w:val="4"/>
    </w:pPr>
  </w:style>
  <w:style w:type="paragraph" w:styleId="Heading6">
    <w:name w:val="heading 6"/>
    <w:basedOn w:val="Normal"/>
    <w:next w:val="LevelAfo0"/>
    <w:qFormat/>
    <w:pPr>
      <w:numPr>
        <w:ilvl w:val="5"/>
        <w:numId w:val="6"/>
      </w:numPr>
      <w:outlineLvl w:val="5"/>
    </w:pPr>
  </w:style>
  <w:style w:type="paragraph" w:styleId="Heading7">
    <w:name w:val="heading 7"/>
    <w:basedOn w:val="Normal"/>
    <w:next w:val="LevelIfo0"/>
    <w:qFormat/>
    <w:pPr>
      <w:numPr>
        <w:ilvl w:val="6"/>
        <w:numId w:val="7"/>
      </w:numPr>
      <w:outlineLvl w:val="6"/>
    </w:pPr>
  </w:style>
  <w:style w:type="paragraph" w:styleId="Heading8">
    <w:name w:val="heading 8"/>
    <w:basedOn w:val="Normal"/>
    <w:next w:val="Normal"/>
    <w:qFormat/>
    <w:pPr>
      <w:numPr>
        <w:ilvl w:val="7"/>
        <w:numId w:val="8"/>
      </w:numPr>
      <w:outlineLvl w:val="7"/>
    </w:pPr>
  </w:style>
  <w:style w:type="paragraph" w:styleId="Heading9">
    <w:name w:val="heading 9"/>
    <w:basedOn w:val="Normal"/>
    <w:next w:val="Normal"/>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next w:val="Level1fo"/>
    <w:pPr>
      <w:numPr>
        <w:numId w:val="21"/>
      </w:numPr>
      <w:outlineLvl w:val="1"/>
    </w:pPr>
  </w:style>
  <w:style w:type="paragraph" w:customStyle="1" w:styleId="Level1fo">
    <w:name w:val="Level 1.fo"/>
    <w:basedOn w:val="Normal"/>
    <w:pPr>
      <w:ind w:left="720"/>
    </w:pPr>
  </w:style>
  <w:style w:type="paragraph" w:customStyle="1" w:styleId="Level11">
    <w:name w:val="Level 1.1"/>
    <w:basedOn w:val="Normal"/>
    <w:next w:val="Level11fo"/>
    <w:pPr>
      <w:numPr>
        <w:ilvl w:val="1"/>
        <w:numId w:val="21"/>
      </w:numPr>
      <w:outlineLvl w:val="2"/>
    </w:pPr>
  </w:style>
  <w:style w:type="paragraph" w:customStyle="1" w:styleId="Level11fo">
    <w:name w:val="Level 1.1fo"/>
    <w:basedOn w:val="Normal"/>
    <w:pPr>
      <w:ind w:left="720"/>
    </w:pPr>
  </w:style>
  <w:style w:type="paragraph" w:customStyle="1" w:styleId="Levela">
    <w:name w:val="Level (a)"/>
    <w:basedOn w:val="Normal"/>
    <w:next w:val="Levelafo"/>
    <w:pPr>
      <w:numPr>
        <w:ilvl w:val="2"/>
        <w:numId w:val="21"/>
      </w:numPr>
      <w:outlineLvl w:val="3"/>
    </w:pPr>
  </w:style>
  <w:style w:type="paragraph" w:customStyle="1" w:styleId="Levelafo">
    <w:name w:val="Level (a)fo"/>
    <w:basedOn w:val="Normal"/>
    <w:pPr>
      <w:ind w:left="1440"/>
    </w:pPr>
  </w:style>
  <w:style w:type="paragraph" w:customStyle="1" w:styleId="Leveli">
    <w:name w:val="Level (i)"/>
    <w:basedOn w:val="Normal"/>
    <w:next w:val="Levelifo"/>
    <w:pPr>
      <w:numPr>
        <w:ilvl w:val="3"/>
        <w:numId w:val="21"/>
      </w:numPr>
      <w:outlineLvl w:val="4"/>
    </w:pPr>
  </w:style>
  <w:style w:type="paragraph" w:customStyle="1" w:styleId="Levelifo">
    <w:name w:val="Level (i)fo"/>
    <w:basedOn w:val="Normal"/>
    <w:pPr>
      <w:ind w:left="2160"/>
    </w:pPr>
  </w:style>
  <w:style w:type="paragraph" w:customStyle="1" w:styleId="LevelA0">
    <w:name w:val="Level(A)"/>
    <w:basedOn w:val="Normal"/>
    <w:next w:val="LevelAfo0"/>
    <w:pPr>
      <w:numPr>
        <w:ilvl w:val="4"/>
        <w:numId w:val="21"/>
      </w:numPr>
      <w:outlineLvl w:val="5"/>
    </w:pPr>
  </w:style>
  <w:style w:type="paragraph" w:customStyle="1" w:styleId="LevelAfo0">
    <w:name w:val="Level (A)fo"/>
    <w:basedOn w:val="Normal"/>
    <w:pPr>
      <w:ind w:left="2880"/>
    </w:pPr>
  </w:style>
  <w:style w:type="paragraph" w:customStyle="1" w:styleId="LevelI0">
    <w:name w:val="Level(I)"/>
    <w:basedOn w:val="Normal"/>
    <w:next w:val="LevelIfo0"/>
    <w:pPr>
      <w:numPr>
        <w:ilvl w:val="5"/>
        <w:numId w:val="21"/>
      </w:numPr>
      <w:outlineLvl w:val="6"/>
    </w:pPr>
  </w:style>
  <w:style w:type="paragraph" w:customStyle="1" w:styleId="LevelIfo0">
    <w:name w:val="Level (I)fo"/>
    <w:basedOn w:val="Normal"/>
    <w:pPr>
      <w:ind w:left="3600"/>
    </w:pPr>
  </w:style>
  <w:style w:type="paragraph" w:styleId="TOC7">
    <w:name w:val="toc 7"/>
    <w:basedOn w:val="Normal"/>
    <w:next w:val="Normal"/>
    <w:semiHidden/>
    <w:pPr>
      <w:tabs>
        <w:tab w:val="right" w:pos="9000"/>
      </w:tabs>
      <w:spacing w:before="0"/>
      <w:ind w:left="4320" w:right="907" w:hanging="720"/>
    </w:pPr>
  </w:style>
  <w:style w:type="paragraph" w:styleId="TOC6">
    <w:name w:val="toc 6"/>
    <w:basedOn w:val="Normal"/>
    <w:next w:val="Normal"/>
    <w:semiHidden/>
    <w:pPr>
      <w:tabs>
        <w:tab w:val="right" w:pos="9000"/>
      </w:tabs>
      <w:spacing w:before="0"/>
      <w:ind w:left="3600" w:right="907" w:hanging="720"/>
    </w:pPr>
  </w:style>
  <w:style w:type="paragraph" w:styleId="TOC5">
    <w:name w:val="toc 5"/>
    <w:basedOn w:val="Normal"/>
    <w:next w:val="Normal"/>
    <w:semiHidden/>
    <w:pPr>
      <w:tabs>
        <w:tab w:val="right" w:pos="9000"/>
      </w:tabs>
      <w:spacing w:before="0"/>
      <w:ind w:left="2880" w:right="907" w:hanging="720"/>
    </w:pPr>
  </w:style>
  <w:style w:type="paragraph" w:styleId="TOC4">
    <w:name w:val="toc 4"/>
    <w:basedOn w:val="Normal"/>
    <w:next w:val="Normal"/>
    <w:semiHidden/>
    <w:pPr>
      <w:tabs>
        <w:tab w:val="right" w:pos="9000"/>
      </w:tabs>
      <w:spacing w:before="0"/>
      <w:ind w:left="2160" w:right="907" w:hanging="720"/>
    </w:pPr>
  </w:style>
  <w:style w:type="paragraph" w:styleId="TOC3">
    <w:name w:val="toc 3"/>
    <w:basedOn w:val="Normal"/>
    <w:next w:val="Normal"/>
    <w:semiHidden/>
    <w:pPr>
      <w:tabs>
        <w:tab w:val="right" w:pos="9000"/>
      </w:tabs>
      <w:spacing w:before="0"/>
      <w:ind w:left="1440" w:right="907" w:hanging="720"/>
    </w:pPr>
  </w:style>
  <w:style w:type="paragraph" w:styleId="TOC2">
    <w:name w:val="toc 2"/>
    <w:basedOn w:val="Normal"/>
    <w:next w:val="Normal"/>
    <w:semiHidden/>
    <w:pPr>
      <w:tabs>
        <w:tab w:val="right" w:pos="9000"/>
      </w:tabs>
      <w:spacing w:after="240"/>
      <w:ind w:left="720" w:right="907" w:hanging="720"/>
    </w:pPr>
    <w:rPr>
      <w:rFonts w:ascii="Frutiger 45 Light" w:hAnsi="Frutiger 45 Light"/>
      <w:b/>
    </w:rPr>
  </w:style>
  <w:style w:type="paragraph" w:styleId="TOC1">
    <w:name w:val="toc 1"/>
    <w:basedOn w:val="Normal"/>
    <w:next w:val="Normal"/>
    <w:semiHidden/>
    <w:pPr>
      <w:tabs>
        <w:tab w:val="right" w:pos="9000"/>
      </w:tabs>
      <w:ind w:right="907"/>
    </w:pPr>
  </w:style>
  <w:style w:type="paragraph" w:styleId="Footer">
    <w:name w:val="footer"/>
    <w:basedOn w:val="Normal"/>
    <w:pPr>
      <w:spacing w:before="0"/>
    </w:pPr>
    <w:rPr>
      <w:sz w:val="18"/>
    </w:rPr>
  </w:style>
  <w:style w:type="paragraph" w:styleId="Header">
    <w:name w:val="header"/>
    <w:basedOn w:val="Normal"/>
    <w:pPr>
      <w:jc w:val="center"/>
    </w:pPr>
  </w:style>
  <w:style w:type="character" w:styleId="FootnoteReference">
    <w:name w:val="footnote reference"/>
    <w:semiHidden/>
    <w:rPr>
      <w:vertAlign w:val="superscript"/>
    </w:rPr>
  </w:style>
  <w:style w:type="paragraph" w:styleId="FootnoteText">
    <w:name w:val="footnote text"/>
    <w:basedOn w:val="Normal"/>
    <w:next w:val="Normal"/>
    <w:semiHidden/>
    <w:pPr>
      <w:ind w:left="720" w:hanging="720"/>
    </w:pPr>
    <w:rPr>
      <w:sz w:val="20"/>
    </w:rPr>
  </w:style>
  <w:style w:type="character" w:customStyle="1" w:styleId="FrutigerBold">
    <w:name w:val="FrutigerBold"/>
    <w:rPr>
      <w:rFonts w:ascii="Frutiger 45 Light" w:hAnsi="Frutiger 45 Light"/>
      <w:b/>
    </w:rPr>
  </w:style>
  <w:style w:type="paragraph" w:styleId="BlockText">
    <w:name w:val="Block Text"/>
    <w:basedOn w:val="Normal"/>
    <w:pPr>
      <w:ind w:left="1440" w:right="1440"/>
    </w:pPr>
  </w:style>
  <w:style w:type="paragraph" w:styleId="BodyText">
    <w:name w:val="Body Text"/>
    <w:basedOn w:val="Normal"/>
    <w:link w:val="BodyTextChar"/>
  </w:style>
  <w:style w:type="paragraph" w:styleId="BodyText2">
    <w:name w:val="Body Text 2"/>
    <w:basedOn w:val="Normal"/>
    <w:pPr>
      <w:spacing w:before="480" w:line="480" w:lineRule="auto"/>
    </w:pPr>
  </w:style>
  <w:style w:type="paragraph" w:styleId="BodyText3">
    <w:name w:val="Body Text 3"/>
    <w:basedOn w:val="Normal"/>
    <w:pPr>
      <w:spacing w:before="720" w:line="720" w:lineRule="auto"/>
    </w:pPr>
  </w:style>
  <w:style w:type="paragraph" w:styleId="BodyTextFirstIndent">
    <w:name w:val="Body Text First Indent"/>
    <w:basedOn w:val="BodyText"/>
    <w:pPr>
      <w:ind w:firstLine="720"/>
    </w:pPr>
  </w:style>
  <w:style w:type="paragraph" w:styleId="BodyTextIndent">
    <w:name w:val="Body Text Indent"/>
    <w:basedOn w:val="Normal"/>
    <w:pPr>
      <w:ind w:left="720"/>
    </w:pPr>
  </w:style>
  <w:style w:type="paragraph" w:styleId="BodyTextFirstIndent2">
    <w:name w:val="Body Text First Indent 2"/>
    <w:basedOn w:val="BodyTextIndent"/>
    <w:pPr>
      <w:spacing w:before="480" w:line="480" w:lineRule="auto"/>
      <w:ind w:left="0" w:firstLine="720"/>
    </w:pPr>
  </w:style>
  <w:style w:type="paragraph" w:styleId="BodyTextIndent2">
    <w:name w:val="Body Text Indent 2"/>
    <w:basedOn w:val="Normal"/>
    <w:pPr>
      <w:spacing w:before="480" w:line="480" w:lineRule="auto"/>
      <w:ind w:left="720"/>
    </w:pPr>
  </w:style>
  <w:style w:type="paragraph" w:styleId="BodyTextIndent3">
    <w:name w:val="Body Text Indent 3"/>
    <w:basedOn w:val="Normal"/>
    <w:pPr>
      <w:spacing w:before="720" w:line="720" w:lineRule="auto"/>
      <w:ind w:left="720"/>
    </w:pPr>
  </w:style>
  <w:style w:type="paragraph" w:styleId="Caption">
    <w:name w:val="caption"/>
    <w:basedOn w:val="Normal"/>
    <w:next w:val="Normal"/>
    <w:qFormat/>
  </w:style>
  <w:style w:type="paragraph" w:styleId="Closing">
    <w:name w:val="Closing"/>
    <w:basedOn w:val="Normal"/>
  </w:style>
  <w:style w:type="character" w:styleId="CommentReference">
    <w:name w:val="annotation reference"/>
    <w:semiHidden/>
    <w:rPr>
      <w:vertAlign w:val="baseline"/>
    </w:rPr>
  </w:style>
  <w:style w:type="paragraph" w:styleId="CommentText">
    <w:name w:val="annotation text"/>
    <w:basedOn w:val="Normal"/>
    <w:link w:val="CommentTextChar"/>
    <w:semiHidden/>
  </w:style>
  <w:style w:type="paragraph" w:styleId="DocumentMap">
    <w:name w:val="Document Map"/>
    <w:basedOn w:val="Normal"/>
    <w:semiHidden/>
    <w:pPr>
      <w:shd w:val="clear" w:color="auto" w:fill="000080"/>
    </w:pPr>
  </w:style>
  <w:style w:type="character" w:styleId="EndnoteReference">
    <w:name w:val="endnote reference"/>
    <w:semiHidden/>
    <w:rPr>
      <w:sz w:val="18"/>
      <w:vertAlign w:val="superscript"/>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pPr>
      <w:jc w:val="center"/>
    </w:pPr>
    <w:rPr>
      <w:b/>
    </w:rPr>
  </w:style>
  <w:style w:type="paragraph" w:styleId="List">
    <w:name w:val="List"/>
    <w:basedOn w:val="Normal"/>
    <w:next w:val="ListContinue"/>
    <w:pPr>
      <w:ind w:left="720" w:hanging="720"/>
    </w:pPr>
  </w:style>
  <w:style w:type="paragraph" w:styleId="List2">
    <w:name w:val="List 2"/>
    <w:basedOn w:val="Normal"/>
    <w:next w:val="ListContinue2"/>
    <w:pPr>
      <w:ind w:left="1440" w:hanging="720"/>
    </w:pPr>
  </w:style>
  <w:style w:type="paragraph" w:styleId="List3">
    <w:name w:val="List 3"/>
    <w:basedOn w:val="Normal"/>
    <w:next w:val="ListContinue3"/>
    <w:pPr>
      <w:ind w:left="2160" w:hanging="720"/>
    </w:pPr>
  </w:style>
  <w:style w:type="paragraph" w:styleId="List4">
    <w:name w:val="List 4"/>
    <w:basedOn w:val="Normal"/>
    <w:next w:val="ListContinue4"/>
    <w:pPr>
      <w:ind w:left="2880" w:hanging="720"/>
    </w:pPr>
  </w:style>
  <w:style w:type="paragraph" w:styleId="List5">
    <w:name w:val="List 5"/>
    <w:basedOn w:val="Normal"/>
    <w:next w:val="ListContinue5"/>
    <w:pPr>
      <w:ind w:left="3600" w:hanging="720"/>
    </w:pPr>
  </w:style>
  <w:style w:type="paragraph" w:styleId="ListBullet">
    <w:name w:val="List Bullet"/>
    <w:basedOn w:val="Normal"/>
    <w:autoRedefine/>
    <w:pPr>
      <w:numPr>
        <w:numId w:val="10"/>
      </w:numPr>
      <w:tabs>
        <w:tab w:val="clear" w:pos="720"/>
      </w:tabs>
    </w:pPr>
  </w:style>
  <w:style w:type="paragraph" w:styleId="ListBullet2">
    <w:name w:val="List Bullet 2"/>
    <w:basedOn w:val="Normal"/>
    <w:autoRedefine/>
    <w:pPr>
      <w:numPr>
        <w:numId w:val="11"/>
      </w:numPr>
      <w:tabs>
        <w:tab w:val="clear" w:pos="720"/>
      </w:tabs>
    </w:pPr>
  </w:style>
  <w:style w:type="paragraph" w:styleId="ListBullet3">
    <w:name w:val="List Bullet 3"/>
    <w:basedOn w:val="Normal"/>
    <w:autoRedefine/>
    <w:pPr>
      <w:numPr>
        <w:numId w:val="12"/>
      </w:numPr>
      <w:tabs>
        <w:tab w:val="clear" w:pos="720"/>
      </w:tabs>
    </w:pPr>
  </w:style>
  <w:style w:type="paragraph" w:styleId="ListBullet4">
    <w:name w:val="List Bullet 4"/>
    <w:basedOn w:val="Normal"/>
    <w:autoRedefine/>
    <w:pPr>
      <w:numPr>
        <w:numId w:val="13"/>
      </w:numPr>
      <w:tabs>
        <w:tab w:val="clear" w:pos="720"/>
      </w:tabs>
    </w:pPr>
  </w:style>
  <w:style w:type="paragraph" w:styleId="ListBullet5">
    <w:name w:val="List Bullet 5"/>
    <w:basedOn w:val="Normal"/>
    <w:autoRedefine/>
    <w:pPr>
      <w:numPr>
        <w:numId w:val="14"/>
      </w:numPr>
      <w:tabs>
        <w:tab w:val="clear" w:pos="720"/>
      </w:tabs>
    </w:pPr>
  </w:style>
  <w:style w:type="paragraph" w:styleId="ListContinue">
    <w:name w:val="List Continue"/>
    <w:basedOn w:val="Normal"/>
    <w:pPr>
      <w:ind w:left="720"/>
    </w:pPr>
  </w:style>
  <w:style w:type="paragraph" w:styleId="ListContinue2">
    <w:name w:val="List Continue 2"/>
    <w:basedOn w:val="Normal"/>
    <w:pPr>
      <w:ind w:left="1440"/>
    </w:pPr>
  </w:style>
  <w:style w:type="paragraph" w:styleId="ListContinue3">
    <w:name w:val="List Continue 3"/>
    <w:basedOn w:val="Normal"/>
    <w:pPr>
      <w:ind w:left="2160"/>
    </w:pPr>
  </w:style>
  <w:style w:type="paragraph" w:styleId="ListContinue4">
    <w:name w:val="List Continue 4"/>
    <w:basedOn w:val="Normal"/>
    <w:pPr>
      <w:ind w:left="2880"/>
    </w:pPr>
  </w:style>
  <w:style w:type="paragraph" w:styleId="ListContinue5">
    <w:name w:val="List Continue 5"/>
    <w:basedOn w:val="Normal"/>
    <w:pPr>
      <w:ind w:left="3600"/>
    </w:pPr>
  </w:style>
  <w:style w:type="paragraph" w:styleId="ListNumber">
    <w:name w:val="List Number"/>
    <w:basedOn w:val="Normal"/>
    <w:pPr>
      <w:numPr>
        <w:numId w:val="15"/>
      </w:numPr>
    </w:pPr>
  </w:style>
  <w:style w:type="paragraph" w:styleId="ListNumber2">
    <w:name w:val="List Number 2"/>
    <w:basedOn w:val="Normal"/>
    <w:pPr>
      <w:numPr>
        <w:numId w:val="16"/>
      </w:numPr>
      <w:tabs>
        <w:tab w:val="clear" w:pos="720"/>
      </w:tabs>
    </w:pPr>
  </w:style>
  <w:style w:type="paragraph" w:styleId="ListNumber3">
    <w:name w:val="List Number 3"/>
    <w:basedOn w:val="Normal"/>
    <w:pPr>
      <w:numPr>
        <w:numId w:val="17"/>
      </w:numPr>
      <w:tabs>
        <w:tab w:val="clear" w:pos="720"/>
      </w:tabs>
    </w:pPr>
  </w:style>
  <w:style w:type="paragraph" w:styleId="ListNumber4">
    <w:name w:val="List Number 4"/>
    <w:basedOn w:val="Normal"/>
    <w:pPr>
      <w:numPr>
        <w:numId w:val="18"/>
      </w:numPr>
      <w:tabs>
        <w:tab w:val="clear" w:pos="720"/>
      </w:tabs>
    </w:pPr>
  </w:style>
  <w:style w:type="paragraph" w:styleId="ListNumber5">
    <w:name w:val="List Number 5"/>
    <w:basedOn w:val="Normal"/>
    <w:pPr>
      <w:numPr>
        <w:numId w:val="19"/>
      </w:numPr>
      <w:tabs>
        <w:tab w:val="clear" w:pos="72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pPr>
  </w:style>
  <w:style w:type="character" w:styleId="PageNumber">
    <w:name w:val="page number"/>
    <w:basedOn w:val="DefaultParagraphFont"/>
  </w:style>
  <w:style w:type="paragraph" w:styleId="PlainText">
    <w:name w:val="Plain Text"/>
    <w:basedOn w:val="Normal"/>
  </w:style>
  <w:style w:type="paragraph" w:styleId="Signature">
    <w:name w:val="Signature"/>
    <w:basedOn w:val="Normal"/>
  </w:style>
  <w:style w:type="paragraph" w:styleId="Subtitle">
    <w:name w:val="Subtitle"/>
    <w:basedOn w:val="Title"/>
    <w:next w:val="Normal"/>
    <w:qFormat/>
    <w:pPr>
      <w:jc w:val="left"/>
    </w:pPr>
  </w:style>
  <w:style w:type="paragraph" w:styleId="TableofAuthorities">
    <w:name w:val="table of authorities"/>
    <w:basedOn w:val="Normal"/>
    <w:next w:val="Normal"/>
    <w:semiHidden/>
    <w:pPr>
      <w:tabs>
        <w:tab w:val="right" w:pos="9360"/>
      </w:tabs>
      <w:ind w:left="360" w:right="907" w:hanging="360"/>
    </w:pPr>
    <w:rPr>
      <w:noProof/>
    </w:rPr>
  </w:style>
  <w:style w:type="paragraph" w:styleId="TableofFigures">
    <w:name w:val="table of figures"/>
    <w:basedOn w:val="Normal"/>
    <w:next w:val="Normal"/>
    <w:semiHidden/>
    <w:pPr>
      <w:tabs>
        <w:tab w:val="right" w:pos="9000"/>
      </w:tabs>
      <w:ind w:left="360" w:right="907" w:hanging="360"/>
    </w:pPr>
  </w:style>
  <w:style w:type="paragraph" w:styleId="Title">
    <w:name w:val="Title"/>
    <w:basedOn w:val="Normal"/>
    <w:next w:val="Normal"/>
    <w:qFormat/>
    <w:pPr>
      <w:jc w:val="center"/>
      <w:outlineLvl w:val="0"/>
    </w:pPr>
    <w:rPr>
      <w:rFonts w:ascii="Frutiger 45 Light" w:hAnsi="Frutiger 45 Light"/>
      <w:b/>
    </w:rPr>
  </w:style>
  <w:style w:type="paragraph" w:styleId="TOAHeading">
    <w:name w:val="toa heading"/>
    <w:basedOn w:val="Normal"/>
    <w:next w:val="Normal"/>
    <w:semiHidden/>
    <w:rPr>
      <w:b/>
    </w:rPr>
  </w:style>
  <w:style w:type="paragraph" w:styleId="TOC8">
    <w:name w:val="toc 8"/>
    <w:basedOn w:val="Normal"/>
    <w:next w:val="Normal"/>
    <w:autoRedefine/>
    <w:semiHidden/>
    <w:pPr>
      <w:tabs>
        <w:tab w:val="right" w:pos="9000"/>
      </w:tabs>
      <w:spacing w:before="0"/>
      <w:ind w:left="5040" w:right="907" w:hanging="720"/>
    </w:pPr>
  </w:style>
  <w:style w:type="paragraph" w:styleId="TOC9">
    <w:name w:val="toc 9"/>
    <w:basedOn w:val="Normal"/>
    <w:next w:val="Normal"/>
    <w:autoRedefine/>
    <w:semiHidden/>
    <w:pPr>
      <w:tabs>
        <w:tab w:val="right" w:pos="9000"/>
      </w:tabs>
      <w:spacing w:before="0"/>
      <w:ind w:left="5760" w:right="907" w:hanging="720"/>
    </w:pPr>
  </w:style>
  <w:style w:type="paragraph" w:styleId="Index2">
    <w:name w:val="index 2"/>
    <w:basedOn w:val="Normal"/>
    <w:next w:val="Normal"/>
    <w:autoRedefine/>
    <w:semiHidden/>
    <w:pPr>
      <w:spacing w:before="0"/>
      <w:ind w:left="480" w:hanging="240"/>
    </w:pPr>
  </w:style>
  <w:style w:type="paragraph" w:styleId="Index3">
    <w:name w:val="index 3"/>
    <w:basedOn w:val="Normal"/>
    <w:next w:val="Normal"/>
    <w:autoRedefine/>
    <w:semiHidden/>
    <w:pPr>
      <w:spacing w:before="0"/>
      <w:ind w:left="720" w:hanging="240"/>
    </w:pPr>
  </w:style>
  <w:style w:type="paragraph" w:styleId="Index4">
    <w:name w:val="index 4"/>
    <w:basedOn w:val="Normal"/>
    <w:next w:val="Normal"/>
    <w:autoRedefine/>
    <w:semiHidden/>
    <w:pPr>
      <w:spacing w:before="0"/>
      <w:ind w:left="960" w:hanging="240"/>
    </w:pPr>
  </w:style>
  <w:style w:type="paragraph" w:styleId="Index5">
    <w:name w:val="index 5"/>
    <w:basedOn w:val="Normal"/>
    <w:next w:val="Normal"/>
    <w:autoRedefine/>
    <w:semiHidden/>
    <w:pPr>
      <w:spacing w:before="0"/>
      <w:ind w:left="1200" w:hanging="240"/>
    </w:pPr>
  </w:style>
  <w:style w:type="paragraph" w:styleId="Index6">
    <w:name w:val="index 6"/>
    <w:basedOn w:val="Normal"/>
    <w:next w:val="Normal"/>
    <w:autoRedefine/>
    <w:semiHidden/>
    <w:pPr>
      <w:spacing w:before="0"/>
      <w:ind w:left="1440" w:hanging="240"/>
    </w:pPr>
  </w:style>
  <w:style w:type="paragraph" w:styleId="Index7">
    <w:name w:val="index 7"/>
    <w:basedOn w:val="Normal"/>
    <w:next w:val="Normal"/>
    <w:autoRedefine/>
    <w:semiHidden/>
    <w:pPr>
      <w:spacing w:before="0"/>
      <w:ind w:left="1680" w:hanging="240"/>
    </w:pPr>
  </w:style>
  <w:style w:type="paragraph" w:styleId="Index8">
    <w:name w:val="index 8"/>
    <w:basedOn w:val="Normal"/>
    <w:next w:val="Normal"/>
    <w:autoRedefine/>
    <w:semiHidden/>
    <w:pPr>
      <w:spacing w:before="0"/>
      <w:ind w:left="1920" w:hanging="240"/>
    </w:pPr>
  </w:style>
  <w:style w:type="paragraph" w:styleId="Index9">
    <w:name w:val="index 9"/>
    <w:basedOn w:val="Normal"/>
    <w:next w:val="Normal"/>
    <w:autoRedefine/>
    <w:semiHidden/>
    <w:pPr>
      <w:spacing w:before="0"/>
      <w:ind w:left="2160" w:hanging="24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240"/>
    </w:pPr>
    <w:rPr>
      <w:rFonts w:ascii="Courier New" w:hAnsi="Courier New"/>
    </w:rPr>
  </w:style>
  <w:style w:type="paragraph" w:styleId="NoteHeading">
    <w:name w:val="Note Heading"/>
    <w:basedOn w:val="Normal"/>
    <w:next w:val="Normal"/>
  </w:style>
  <w:style w:type="paragraph" w:customStyle="1" w:styleId="NormalSpace">
    <w:name w:val="Normal + Space"/>
    <w:basedOn w:val="Normal"/>
    <w:pPr>
      <w:spacing w:before="0" w:after="240"/>
    </w:pPr>
    <w:rPr>
      <w:rFonts w:ascii="Times New Roman" w:hAnsi="Times New Roman"/>
      <w:sz w:val="24"/>
    </w:rPr>
  </w:style>
  <w:style w:type="paragraph" w:customStyle="1" w:styleId="RHeading2">
    <w:name w:val="R_Heading 2"/>
    <w:basedOn w:val="Normal"/>
    <w:pPr>
      <w:keepLines/>
      <w:numPr>
        <w:numId w:val="20"/>
      </w:numPr>
      <w:spacing w:before="360" w:after="120" w:line="360" w:lineRule="auto"/>
      <w:jc w:val="center"/>
      <w:outlineLvl w:val="0"/>
    </w:pPr>
    <w:rPr>
      <w:rFonts w:ascii="Times New Roman" w:hAnsi="Times New Roman"/>
      <w:b/>
      <w:sz w:val="24"/>
      <w:lang w:eastAsia="zh-CN"/>
    </w:rPr>
  </w:style>
  <w:style w:type="paragraph" w:customStyle="1" w:styleId="RBody1">
    <w:name w:val="R_Body 1"/>
    <w:basedOn w:val="Normal"/>
    <w:pPr>
      <w:numPr>
        <w:ilvl w:val="1"/>
        <w:numId w:val="20"/>
      </w:numPr>
      <w:spacing w:line="360" w:lineRule="auto"/>
    </w:pPr>
    <w:rPr>
      <w:rFonts w:ascii="Times New Roman" w:hAnsi="Times New Roman"/>
      <w:sz w:val="24"/>
      <w:lang w:eastAsia="zh-CN"/>
    </w:rPr>
  </w:style>
  <w:style w:type="paragraph" w:customStyle="1" w:styleId="RBody2">
    <w:name w:val="R_Body 2"/>
    <w:basedOn w:val="Normal"/>
    <w:pPr>
      <w:numPr>
        <w:ilvl w:val="2"/>
        <w:numId w:val="20"/>
      </w:numPr>
      <w:spacing w:line="360" w:lineRule="auto"/>
      <w:ind w:left="709"/>
    </w:pPr>
    <w:rPr>
      <w:rFonts w:ascii="Times New Roman" w:hAnsi="Times New Roman"/>
      <w:sz w:val="24"/>
      <w:lang w:eastAsia="zh-CN"/>
    </w:rPr>
  </w:style>
  <w:style w:type="paragraph" w:customStyle="1" w:styleId="RBody3">
    <w:name w:val="R_Body 3"/>
    <w:basedOn w:val="Normal"/>
    <w:pPr>
      <w:numPr>
        <w:ilvl w:val="3"/>
        <w:numId w:val="20"/>
      </w:numPr>
      <w:spacing w:line="360" w:lineRule="auto"/>
    </w:pPr>
    <w:rPr>
      <w:rFonts w:ascii="Times New Roman" w:hAnsi="Times New Roman"/>
      <w:sz w:val="24"/>
      <w:lang w:eastAsia="zh-CN"/>
    </w:rPr>
  </w:style>
  <w:style w:type="paragraph" w:customStyle="1" w:styleId="P1">
    <w:name w:val="P1"/>
    <w:aliases w:val="(a)"/>
    <w:basedOn w:val="Normal"/>
    <w:pPr>
      <w:tabs>
        <w:tab w:val="right" w:pos="1191"/>
        <w:tab w:val="left" w:pos="1644"/>
      </w:tabs>
      <w:spacing w:before="60" w:line="260" w:lineRule="exact"/>
      <w:ind w:left="1418" w:hanging="1418"/>
      <w:jc w:val="both"/>
    </w:pPr>
    <w:rPr>
      <w:rFonts w:ascii="Times New Roman" w:hAnsi="Times New Roman"/>
      <w:sz w:val="24"/>
      <w:lang w:eastAsia="en-US"/>
    </w:rPr>
  </w:style>
  <w:style w:type="paragraph" w:customStyle="1" w:styleId="bullets">
    <w:name w:val="bullets"/>
    <w:basedOn w:val="Normal"/>
    <w:rsid w:val="00741B2C"/>
    <w:pPr>
      <w:numPr>
        <w:numId w:val="22"/>
      </w:numPr>
    </w:pPr>
  </w:style>
  <w:style w:type="character" w:customStyle="1" w:styleId="BodyTextChar">
    <w:name w:val="Body Text Char"/>
    <w:link w:val="BodyText"/>
    <w:rsid w:val="003A7E6D"/>
    <w:rPr>
      <w:rFonts w:ascii="Palatino" w:hAnsi="Palatino"/>
      <w:sz w:val="22"/>
      <w:lang w:val="en-AU" w:eastAsia="en-AU" w:bidi="ar-SA"/>
    </w:rPr>
  </w:style>
  <w:style w:type="character" w:customStyle="1" w:styleId="BodyTextCharChar">
    <w:name w:val="Body Text Char Char"/>
    <w:rsid w:val="00380812"/>
    <w:rPr>
      <w:rFonts w:ascii="Palatino" w:hAnsi="Palatino"/>
      <w:sz w:val="22"/>
      <w:lang w:val="en-AU" w:eastAsia="en-AU" w:bidi="ar-SA"/>
    </w:rPr>
  </w:style>
  <w:style w:type="paragraph" w:customStyle="1" w:styleId="subsection">
    <w:name w:val="subsection"/>
    <w:aliases w:val="ss"/>
    <w:basedOn w:val="Normal"/>
    <w:rsid w:val="00F1287B"/>
    <w:pPr>
      <w:tabs>
        <w:tab w:val="right" w:pos="1021"/>
      </w:tabs>
      <w:spacing w:before="180"/>
      <w:ind w:left="1134" w:hanging="1134"/>
    </w:pPr>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E01C5"/>
    <w:rPr>
      <w:b/>
      <w:bCs/>
      <w:sz w:val="20"/>
    </w:rPr>
  </w:style>
  <w:style w:type="character" w:customStyle="1" w:styleId="CommentTextChar">
    <w:name w:val="Comment Text Char"/>
    <w:link w:val="CommentText"/>
    <w:semiHidden/>
    <w:rsid w:val="008E01C5"/>
    <w:rPr>
      <w:rFonts w:ascii="Palatino" w:hAnsi="Palatino"/>
      <w:sz w:val="22"/>
    </w:rPr>
  </w:style>
  <w:style w:type="character" w:customStyle="1" w:styleId="CommentSubjectChar">
    <w:name w:val="Comment Subject Char"/>
    <w:link w:val="CommentSubject"/>
    <w:uiPriority w:val="99"/>
    <w:semiHidden/>
    <w:rsid w:val="008E01C5"/>
    <w:rPr>
      <w:rFonts w:ascii="Palatino" w:hAnsi="Palatino"/>
      <w:b/>
      <w:bCs/>
      <w:sz w:val="22"/>
    </w:rPr>
  </w:style>
  <w:style w:type="paragraph" w:styleId="BalloonText">
    <w:name w:val="Balloon Text"/>
    <w:basedOn w:val="Normal"/>
    <w:link w:val="BalloonTextChar"/>
    <w:uiPriority w:val="99"/>
    <w:semiHidden/>
    <w:unhideWhenUsed/>
    <w:rsid w:val="008E01C5"/>
    <w:pPr>
      <w:spacing w:before="0"/>
    </w:pPr>
    <w:rPr>
      <w:rFonts w:ascii="Tahoma" w:hAnsi="Tahoma" w:cs="Tahoma"/>
      <w:sz w:val="16"/>
      <w:szCs w:val="16"/>
    </w:rPr>
  </w:style>
  <w:style w:type="character" w:customStyle="1" w:styleId="BalloonTextChar">
    <w:name w:val="Balloon Text Char"/>
    <w:link w:val="BalloonText"/>
    <w:uiPriority w:val="99"/>
    <w:semiHidden/>
    <w:rsid w:val="008E01C5"/>
    <w:rPr>
      <w:rFonts w:ascii="Tahoma" w:hAnsi="Tahoma" w:cs="Tahoma"/>
      <w:sz w:val="16"/>
      <w:szCs w:val="16"/>
    </w:rPr>
  </w:style>
  <w:style w:type="paragraph" w:styleId="Revision">
    <w:name w:val="Revision"/>
    <w:hidden/>
    <w:uiPriority w:val="99"/>
    <w:semiHidden/>
    <w:rsid w:val="00FE5953"/>
    <w:rPr>
      <w:rFonts w:ascii="Palatino" w:hAnsi="Palatino"/>
      <w:sz w:val="22"/>
    </w:rPr>
  </w:style>
  <w:style w:type="paragraph" w:styleId="NoSpacing">
    <w:name w:val="No Spacing"/>
    <w:uiPriority w:val="1"/>
    <w:qFormat/>
    <w:rsid w:val="00252D95"/>
    <w:rPr>
      <w:rFonts w:ascii="Palatino" w:hAnsi="Palatin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30747">
      <w:bodyDiv w:val="1"/>
      <w:marLeft w:val="0"/>
      <w:marRight w:val="0"/>
      <w:marTop w:val="0"/>
      <w:marBottom w:val="0"/>
      <w:divBdr>
        <w:top w:val="none" w:sz="0" w:space="0" w:color="auto"/>
        <w:left w:val="none" w:sz="0" w:space="0" w:color="auto"/>
        <w:bottom w:val="none" w:sz="0" w:space="0" w:color="auto"/>
        <w:right w:val="none" w:sz="0" w:space="0" w:color="auto"/>
      </w:divBdr>
    </w:div>
    <w:div w:id="651636331">
      <w:bodyDiv w:val="1"/>
      <w:marLeft w:val="0"/>
      <w:marRight w:val="0"/>
      <w:marTop w:val="0"/>
      <w:marBottom w:val="0"/>
      <w:divBdr>
        <w:top w:val="none" w:sz="0" w:space="0" w:color="auto"/>
        <w:left w:val="none" w:sz="0" w:space="0" w:color="auto"/>
        <w:bottom w:val="none" w:sz="0" w:space="0" w:color="auto"/>
        <w:right w:val="none" w:sz="0" w:space="0" w:color="auto"/>
      </w:divBdr>
    </w:div>
    <w:div w:id="777483691">
      <w:bodyDiv w:val="1"/>
      <w:marLeft w:val="0"/>
      <w:marRight w:val="0"/>
      <w:marTop w:val="0"/>
      <w:marBottom w:val="0"/>
      <w:divBdr>
        <w:top w:val="none" w:sz="0" w:space="0" w:color="auto"/>
        <w:left w:val="none" w:sz="0" w:space="0" w:color="auto"/>
        <w:bottom w:val="none" w:sz="0" w:space="0" w:color="auto"/>
        <w:right w:val="none" w:sz="0" w:space="0" w:color="auto"/>
      </w:divBdr>
    </w:div>
    <w:div w:id="199125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SecurityClassification xmlns="007EA323-515F-428A-AB68-528D56C39EF9" xsi:nil="true"/>
    <SecurityClassification xmlns="007EA323-515F-428A-AB68-528D56C39EF9" xsi:nil="true"/>
    <pdms_Reason xmlns="007EA323-515F-428A-AB68-528D56C39EF9" xsi:nil="true"/>
    <pdms_AttachedBy xmlns="007EA323-515F-428A-AB68-528D56C39EF9" xsi:nil="true"/>
    <pdms_DocumentType xmlns="007EA323-515F-428A-AB68-528D56C39E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5D8AC88F23559345A5CB8C21E472532C" ma:contentTypeVersion="" ma:contentTypeDescription="PDMS Documentation Content Type" ma:contentTypeScope="" ma:versionID="516c56b315dac6b999088cc469c9f4ae">
  <xsd:schema xmlns:xsd="http://www.w3.org/2001/XMLSchema" xmlns:xs="http://www.w3.org/2001/XMLSchema" xmlns:p="http://schemas.microsoft.com/office/2006/metadata/properties" xmlns:ns2="007EA323-515F-428A-AB68-528D56C39EF9" targetNamespace="http://schemas.microsoft.com/office/2006/metadata/properties" ma:root="true" ma:fieldsID="4593b40bf6f57f71c3896aab832137ed" ns2:_="">
    <xsd:import namespace="007EA323-515F-428A-AB68-528D56C39EF9"/>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EA323-515F-428A-AB68-528D56C39E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F7EE0-FCDD-41C0-B406-7A4F7F54D56F}">
  <ds:schemaRefs>
    <ds:schemaRef ds:uri="http://www.w3.org/XML/1998/namespace"/>
    <ds:schemaRef ds:uri="http://schemas.microsoft.com/office/2006/metadata/properties"/>
    <ds:schemaRef ds:uri="http://purl.org/dc/terms/"/>
    <ds:schemaRef ds:uri="http://purl.org/dc/elements/1.1/"/>
    <ds:schemaRef ds:uri="007EA323-515F-428A-AB68-528D56C39EF9"/>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10812D8-51D7-441E-981D-DDF28CC53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EA323-515F-428A-AB68-528D56C39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AA3A26-6785-4373-90D9-AB92C5D8EECA}">
  <ds:schemaRefs>
    <ds:schemaRef ds:uri="http://schemas.microsoft.com/sharepoint/v3/contenttype/forms"/>
  </ds:schemaRefs>
</ds:datastoreItem>
</file>

<file path=customXml/itemProps4.xml><?xml version="1.0" encoding="utf-8"?>
<ds:datastoreItem xmlns:ds="http://schemas.openxmlformats.org/officeDocument/2006/customXml" ds:itemID="{1EB34CA5-7637-4E4F-8E41-CBD0B012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1890</Words>
  <Characters>10307</Characters>
  <Application>Microsoft Office Word</Application>
  <DocSecurity>0</DocSecurity>
  <Lines>251</Lines>
  <Paragraphs>135</Paragraphs>
  <ScaleCrop>false</ScaleCrop>
  <HeadingPairs>
    <vt:vector size="2" baseType="variant">
      <vt:variant>
        <vt:lpstr>Title</vt:lpstr>
      </vt:variant>
      <vt:variant>
        <vt:i4>1</vt:i4>
      </vt:variant>
    </vt:vector>
  </HeadingPairs>
  <TitlesOfParts>
    <vt:vector size="1" baseType="lpstr">
      <vt:lpstr>Space Activities Amendment Regulations 2003 (No</vt:lpstr>
    </vt:vector>
  </TitlesOfParts>
  <Company>Blake Dawson Waldron</Company>
  <LinksUpToDate>false</LinksUpToDate>
  <CharactersWithSpaces>12062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Activities Amendment Regulations 2003 (No</dc:title>
  <dc:creator>Angela Summersby</dc:creator>
  <cp:lastModifiedBy>Gilkes, Amanda</cp:lastModifiedBy>
  <cp:revision>3</cp:revision>
  <cp:lastPrinted>2015-07-22T02:34:00Z</cp:lastPrinted>
  <dcterms:created xsi:type="dcterms:W3CDTF">2015-09-14T04:23:00Z</dcterms:created>
  <dcterms:modified xsi:type="dcterms:W3CDTF">2015-09-14T05:29:00Z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13398706</vt:lpwstr>
  </property>
  <property fmtid="{D5CDD505-2E9C-101B-9397-08002B2CF9AE}" pid="3" name="VersionNumber">
    <vt:i4>0</vt:i4>
  </property>
  <property fmtid="{D5CDD505-2E9C-101B-9397-08002B2CF9AE}" pid="4" name="ClassificationPty">
    <vt:lpwstr/>
  </property>
  <property fmtid="{D5CDD505-2E9C-101B-9397-08002B2CF9AE}" pid="5" name="FileNumberPty">
    <vt:lpwstr/>
  </property>
  <property fmtid="{D5CDD505-2E9C-101B-9397-08002B2CF9AE}" pid="6" name="CorporateTmplBased">
    <vt:lpwstr>No</vt:lpwstr>
  </property>
  <property fmtid="{D5CDD505-2E9C-101B-9397-08002B2CF9AE}" pid="7" name="ContentTypeId">
    <vt:lpwstr>0x010100266966F133664895A6EE3632470D45F501005D8AC88F23559345A5CB8C21E472532C</vt:lpwstr>
  </property>
</Properties>
</file>