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A64FD" w14:textId="77777777" w:rsidR="00D97271" w:rsidRPr="002A7BB4" w:rsidRDefault="00D97271" w:rsidP="00D97271">
      <w:pPr>
        <w:spacing w:before="100" w:beforeAutospacing="1" w:after="100" w:afterAutospacing="1" w:line="240" w:lineRule="auto"/>
        <w:jc w:val="center"/>
        <w:rPr>
          <w:rFonts w:eastAsia="Times New Roman" w:cs="Arial"/>
          <w:sz w:val="24"/>
          <w:szCs w:val="24"/>
          <w:lang w:val="en-US" w:eastAsia="en-AU"/>
        </w:rPr>
      </w:pPr>
      <w:bookmarkStart w:id="0" w:name="_GoBack"/>
      <w:bookmarkEnd w:id="0"/>
      <w:r w:rsidRPr="002A7BB4">
        <w:rPr>
          <w:rFonts w:eastAsia="Times New Roman" w:cs="Arial"/>
          <w:b/>
          <w:bCs/>
          <w:lang w:eastAsia="en-AU"/>
        </w:rPr>
        <w:t>EXPLANATORY STATEMENT</w:t>
      </w:r>
    </w:p>
    <w:p w14:paraId="27F12649" w14:textId="77777777" w:rsidR="00D97271" w:rsidRPr="002A7BB4" w:rsidRDefault="00D97271" w:rsidP="00D97271">
      <w:pPr>
        <w:spacing w:before="100" w:beforeAutospacing="1" w:after="100" w:afterAutospacing="1" w:line="240" w:lineRule="auto"/>
        <w:jc w:val="center"/>
        <w:rPr>
          <w:rFonts w:eastAsia="Times New Roman" w:cs="Arial"/>
          <w:sz w:val="24"/>
          <w:szCs w:val="24"/>
          <w:lang w:val="en-US" w:eastAsia="en-AU"/>
        </w:rPr>
      </w:pPr>
      <w:r w:rsidRPr="002A7BB4">
        <w:rPr>
          <w:rFonts w:eastAsia="Times New Roman" w:cs="Arial"/>
          <w:lang w:eastAsia="en-AU"/>
        </w:rPr>
        <w:t>Issued by the Australian Communications and Media Authority</w:t>
      </w:r>
    </w:p>
    <w:p w14:paraId="69569955" w14:textId="77777777" w:rsidR="00D97271" w:rsidRPr="002A7BB4" w:rsidRDefault="00D97271" w:rsidP="00D97271">
      <w:pPr>
        <w:spacing w:before="100" w:beforeAutospacing="1" w:after="100" w:afterAutospacing="1" w:line="240" w:lineRule="auto"/>
        <w:jc w:val="center"/>
        <w:rPr>
          <w:rFonts w:eastAsia="Times New Roman" w:cs="Arial"/>
          <w:i/>
          <w:iCs/>
          <w:lang w:eastAsia="en-AU"/>
        </w:rPr>
      </w:pPr>
      <w:r w:rsidRPr="002A7BB4">
        <w:rPr>
          <w:rFonts w:eastAsia="Times New Roman" w:cs="Arial"/>
          <w:i/>
          <w:iCs/>
          <w:lang w:eastAsia="en-AU"/>
        </w:rPr>
        <w:t>Radiocommunications Licence Conditions (Broadcasting Licence) Determination 2015</w:t>
      </w:r>
    </w:p>
    <w:p w14:paraId="3A45316A" w14:textId="77777777" w:rsidR="00D97271" w:rsidRPr="002A7BB4" w:rsidRDefault="00D97271" w:rsidP="00D97271">
      <w:pPr>
        <w:spacing w:line="240" w:lineRule="auto"/>
        <w:rPr>
          <w:rFonts w:cs="Arial"/>
          <w:lang w:val="en-US"/>
        </w:rPr>
      </w:pPr>
      <w:r w:rsidRPr="002A7BB4">
        <w:rPr>
          <w:rFonts w:cs="Arial"/>
          <w:b/>
          <w:bCs/>
        </w:rPr>
        <w:t>Purpose</w:t>
      </w:r>
    </w:p>
    <w:p w14:paraId="0B8579B1" w14:textId="77777777" w:rsidR="00D97271" w:rsidRPr="002A7BB4" w:rsidRDefault="00D97271" w:rsidP="00D97271">
      <w:pPr>
        <w:spacing w:line="240" w:lineRule="auto"/>
        <w:rPr>
          <w:rFonts w:cs="Arial"/>
          <w:lang w:val="en-US"/>
        </w:rPr>
      </w:pPr>
      <w:r w:rsidRPr="002A7BB4">
        <w:rPr>
          <w:rFonts w:cs="Arial"/>
          <w:lang w:val="en-GB"/>
        </w:rPr>
        <w:t xml:space="preserve">The Australian Communications and Media Authority (the ACMA) has made the </w:t>
      </w:r>
      <w:r w:rsidRPr="002A7BB4">
        <w:rPr>
          <w:rFonts w:cs="Arial"/>
          <w:i/>
          <w:iCs/>
          <w:lang w:val="en-GB"/>
        </w:rPr>
        <w:t xml:space="preserve">Radiocommunications Licence Conditions (Broadcasting Licence) Determination 2015 </w:t>
      </w:r>
      <w:r w:rsidRPr="002A7BB4">
        <w:rPr>
          <w:rFonts w:cs="Arial"/>
          <w:lang w:val="en-GB"/>
        </w:rPr>
        <w:t>(the Determination)</w:t>
      </w:r>
      <w:r>
        <w:rPr>
          <w:rFonts w:cs="Arial"/>
          <w:lang w:val="en-GB"/>
        </w:rPr>
        <w:t xml:space="preserve"> in accordance with paragraph 107(1)(f) of the </w:t>
      </w:r>
      <w:r>
        <w:rPr>
          <w:rFonts w:cs="Arial"/>
          <w:i/>
          <w:lang w:val="en-GB"/>
        </w:rPr>
        <w:t xml:space="preserve">Radiocommunications Act 1992 </w:t>
      </w:r>
      <w:r>
        <w:rPr>
          <w:rFonts w:cs="Arial"/>
          <w:lang w:val="en-GB"/>
        </w:rPr>
        <w:t xml:space="preserve">(the Act) and subsection 33(3) of the </w:t>
      </w:r>
      <w:r>
        <w:rPr>
          <w:rFonts w:cs="Arial"/>
          <w:i/>
          <w:lang w:val="en-GB"/>
        </w:rPr>
        <w:t>Acts Interpretation Act 1901</w:t>
      </w:r>
      <w:r>
        <w:rPr>
          <w:rFonts w:cs="Arial"/>
          <w:lang w:val="en-GB"/>
        </w:rPr>
        <w:t xml:space="preserve"> (AIA)</w:t>
      </w:r>
      <w:r w:rsidRPr="002A7BB4">
        <w:rPr>
          <w:rFonts w:cs="Arial"/>
          <w:lang w:val="en-GB"/>
        </w:rPr>
        <w:t>.</w:t>
      </w:r>
    </w:p>
    <w:p w14:paraId="1A9A2809" w14:textId="77777777" w:rsidR="00D97271" w:rsidRPr="002A7BB4" w:rsidRDefault="00D97271" w:rsidP="00D97271">
      <w:pPr>
        <w:spacing w:line="240" w:lineRule="auto"/>
        <w:rPr>
          <w:rFonts w:cs="Arial"/>
          <w:lang w:val="en-US"/>
        </w:rPr>
      </w:pPr>
      <w:r w:rsidRPr="002A7BB4">
        <w:rPr>
          <w:rFonts w:cs="Arial"/>
          <w:lang w:val="en-GB"/>
        </w:rPr>
        <w:t xml:space="preserve">The Determination revokes and replaces the </w:t>
      </w:r>
      <w:r w:rsidRPr="002A7BB4">
        <w:rPr>
          <w:rFonts w:cs="Arial"/>
          <w:i/>
          <w:iCs/>
          <w:lang w:val="en-GB"/>
        </w:rPr>
        <w:t>Radiocommunications Licence Conditions (Broadcasting Licenc</w:t>
      </w:r>
      <w:r w:rsidRPr="0054731B">
        <w:rPr>
          <w:rFonts w:cs="Arial"/>
          <w:i/>
          <w:iCs/>
          <w:lang w:val="en-GB"/>
        </w:rPr>
        <w:t>e</w:t>
      </w:r>
      <w:r w:rsidRPr="00280B5D">
        <w:rPr>
          <w:rFonts w:cs="Arial"/>
          <w:i/>
          <w:lang w:val="en-GB"/>
        </w:rPr>
        <w:t>)</w:t>
      </w:r>
      <w:r w:rsidRPr="002A7BB4">
        <w:rPr>
          <w:rFonts w:cs="Arial"/>
          <w:lang w:val="en-GB"/>
        </w:rPr>
        <w:t xml:space="preserve"> </w:t>
      </w:r>
      <w:r w:rsidRPr="002A7BB4">
        <w:rPr>
          <w:rFonts w:cs="Arial"/>
          <w:i/>
          <w:iCs/>
          <w:lang w:val="en-GB"/>
        </w:rPr>
        <w:t>Determination No.1 of 1998</w:t>
      </w:r>
      <w:r w:rsidRPr="002A7BB4">
        <w:rPr>
          <w:rFonts w:cs="Arial"/>
          <w:lang w:val="en-GB"/>
        </w:rPr>
        <w:t xml:space="preserve"> (the 1998 Determination) without making any significant changes to the regulatory arrangements created by the 1998 Determination.</w:t>
      </w:r>
    </w:p>
    <w:p w14:paraId="26FEA59B" w14:textId="77777777" w:rsidR="00D97271" w:rsidRPr="002A7BB4" w:rsidRDefault="00D97271" w:rsidP="00D97271">
      <w:pPr>
        <w:spacing w:line="240" w:lineRule="auto"/>
        <w:rPr>
          <w:rFonts w:cs="Arial"/>
          <w:lang w:val="en-US"/>
        </w:rPr>
      </w:pPr>
      <w:r w:rsidRPr="002A7BB4">
        <w:rPr>
          <w:rFonts w:cs="Arial"/>
          <w:lang w:val="en-GB"/>
        </w:rPr>
        <w:t xml:space="preserve">The ACMA has made the Determination because the 1998 Determination was due to ‘sunset’ (i.e. be automatically repealed) on 1 October 2015, by operation of Part 6 of the </w:t>
      </w:r>
      <w:r w:rsidRPr="002A7BB4">
        <w:rPr>
          <w:rFonts w:cs="Arial"/>
          <w:i/>
          <w:iCs/>
          <w:lang w:val="en-GB"/>
        </w:rPr>
        <w:t xml:space="preserve">Legislative Instruments Act 2003 </w:t>
      </w:r>
      <w:r w:rsidRPr="002A7BB4">
        <w:rPr>
          <w:rFonts w:cs="Arial"/>
          <w:lang w:val="en-GB"/>
        </w:rPr>
        <w:t>(the LIA).</w:t>
      </w:r>
    </w:p>
    <w:p w14:paraId="1223F7F7" w14:textId="77777777" w:rsidR="00D97271" w:rsidRPr="002A7BB4" w:rsidRDefault="00D97271" w:rsidP="00D97271">
      <w:pPr>
        <w:spacing w:line="240" w:lineRule="auto"/>
        <w:rPr>
          <w:rFonts w:cs="Arial"/>
          <w:lang w:val="en-GB"/>
        </w:rPr>
      </w:pPr>
      <w:r w:rsidRPr="002A7BB4">
        <w:rPr>
          <w:rFonts w:cs="Arial"/>
          <w:lang w:val="en-GB"/>
        </w:rPr>
        <w:t>Following review, and consultation as described below, the ACMA formed the view that the 1998 Determination was operating effectively and efficiently, and continued to form a necessary and useful part of the legislative framework.</w:t>
      </w:r>
    </w:p>
    <w:p w14:paraId="08EC6B3E" w14:textId="77777777" w:rsidR="00D97271" w:rsidRPr="002A7BB4" w:rsidRDefault="00D97271" w:rsidP="00D97271">
      <w:pPr>
        <w:spacing w:line="240" w:lineRule="auto"/>
        <w:rPr>
          <w:rFonts w:cs="Arial"/>
          <w:lang w:val="en-US"/>
        </w:rPr>
      </w:pPr>
      <w:r w:rsidRPr="002A7BB4">
        <w:rPr>
          <w:rFonts w:cs="Arial"/>
          <w:b/>
          <w:bCs/>
        </w:rPr>
        <w:t>Legislative Provisions</w:t>
      </w:r>
    </w:p>
    <w:p w14:paraId="70DAD8F3" w14:textId="77777777" w:rsidR="00D97271" w:rsidRDefault="00D97271" w:rsidP="00D97271">
      <w:pPr>
        <w:spacing w:line="240" w:lineRule="auto"/>
        <w:rPr>
          <w:rFonts w:cs="Arial"/>
          <w:lang w:val="en-GB"/>
        </w:rPr>
      </w:pPr>
      <w:r w:rsidRPr="002A7BB4">
        <w:rPr>
          <w:rFonts w:cs="Arial"/>
          <w:lang w:val="en-GB"/>
        </w:rPr>
        <w:t xml:space="preserve">Paragraph 107(1)(f) of the Act allows the ACMA to determine, by </w:t>
      </w:r>
      <w:r>
        <w:rPr>
          <w:rFonts w:cs="Arial"/>
          <w:lang w:val="en-GB"/>
        </w:rPr>
        <w:t>legislative</w:t>
      </w:r>
      <w:r w:rsidRPr="002A7BB4">
        <w:rPr>
          <w:rFonts w:cs="Arial"/>
          <w:lang w:val="en-GB"/>
        </w:rPr>
        <w:t xml:space="preserve"> instrument, conditions applicable to </w:t>
      </w:r>
      <w:r>
        <w:rPr>
          <w:rFonts w:cs="Arial"/>
          <w:lang w:val="en-GB"/>
        </w:rPr>
        <w:t xml:space="preserve">particular types of </w:t>
      </w:r>
      <w:r w:rsidRPr="002A7BB4">
        <w:rPr>
          <w:rFonts w:cs="Arial"/>
          <w:lang w:val="en-GB"/>
        </w:rPr>
        <w:t>apparatus licence issued for broadcasting services under section 100 of the Act.</w:t>
      </w:r>
      <w:r>
        <w:rPr>
          <w:rFonts w:cs="Arial"/>
          <w:lang w:val="en-GB"/>
        </w:rPr>
        <w:t xml:space="preserve">  ‘Broadcasting licences’ are a type of transmitter licence, determined in the </w:t>
      </w:r>
      <w:r>
        <w:rPr>
          <w:rFonts w:cs="Arial"/>
          <w:i/>
          <w:lang w:val="en-GB"/>
        </w:rPr>
        <w:t>Radiocommunications (Specified Radiocommunications Receivers and Types of Transmitter Licences and Receiver Licences) Determination 2014</w:t>
      </w:r>
      <w:r>
        <w:rPr>
          <w:rFonts w:cs="Arial"/>
          <w:lang w:val="en-GB"/>
        </w:rPr>
        <w:t>.</w:t>
      </w:r>
    </w:p>
    <w:p w14:paraId="16C1E1A9" w14:textId="53570B6A" w:rsidR="00D97271" w:rsidRPr="002A7BB4" w:rsidRDefault="00D97271" w:rsidP="00D97271">
      <w:pPr>
        <w:spacing w:line="240" w:lineRule="auto"/>
        <w:rPr>
          <w:rFonts w:cs="Arial"/>
        </w:rPr>
      </w:pPr>
      <w:r w:rsidRPr="002A7BB4">
        <w:rPr>
          <w:rFonts w:cs="Arial"/>
        </w:rPr>
        <w:t xml:space="preserve">Subsection 107(3) </w:t>
      </w:r>
      <w:r>
        <w:rPr>
          <w:rFonts w:cs="Arial"/>
        </w:rPr>
        <w:t xml:space="preserve">of the Act </w:t>
      </w:r>
      <w:r w:rsidRPr="002A7BB4">
        <w:rPr>
          <w:rFonts w:cs="Arial"/>
        </w:rPr>
        <w:t>provides that section 107 does not apply to transmitter licences issued under section</w:t>
      </w:r>
      <w:r>
        <w:rPr>
          <w:rFonts w:cs="Arial"/>
        </w:rPr>
        <w:t>s</w:t>
      </w:r>
      <w:r w:rsidRPr="002A7BB4">
        <w:rPr>
          <w:rFonts w:cs="Arial"/>
        </w:rPr>
        <w:t xml:space="preserve"> 101A</w:t>
      </w:r>
      <w:r>
        <w:rPr>
          <w:rFonts w:cs="Arial"/>
        </w:rPr>
        <w:t xml:space="preserve"> or</w:t>
      </w:r>
      <w:r w:rsidRPr="002A7BB4">
        <w:rPr>
          <w:rFonts w:cs="Arial"/>
        </w:rPr>
        <w:t xml:space="preserve"> 102,</w:t>
      </w:r>
      <w:r>
        <w:rPr>
          <w:rFonts w:cs="Arial"/>
        </w:rPr>
        <w:t xml:space="preserve"> and does not apply to</w:t>
      </w:r>
      <w:r w:rsidRPr="002A7BB4">
        <w:rPr>
          <w:rFonts w:cs="Arial"/>
        </w:rPr>
        <w:t xml:space="preserve"> datacas</w:t>
      </w:r>
      <w:r w:rsidR="00DA4B65">
        <w:rPr>
          <w:rFonts w:cs="Arial"/>
        </w:rPr>
        <w:t>t</w:t>
      </w:r>
      <w:r w:rsidRPr="002A7BB4">
        <w:rPr>
          <w:rFonts w:cs="Arial"/>
        </w:rPr>
        <w:t xml:space="preserve">ing transmitter licences and digital radio multiplex transmitter licences. This limits the application of the Determination to </w:t>
      </w:r>
      <w:r>
        <w:rPr>
          <w:rFonts w:cs="Arial"/>
        </w:rPr>
        <w:t>broadcasting licences that authorise the operation of a transmitter for the provision of</w:t>
      </w:r>
      <w:r w:rsidRPr="002A7BB4">
        <w:rPr>
          <w:rFonts w:cs="Arial"/>
        </w:rPr>
        <w:t xml:space="preserve">: </w:t>
      </w:r>
    </w:p>
    <w:p w14:paraId="26FABBC8" w14:textId="77777777" w:rsidR="00D97271" w:rsidRPr="002A7BB4" w:rsidRDefault="00D97271" w:rsidP="00D97271">
      <w:pPr>
        <w:numPr>
          <w:ilvl w:val="1"/>
          <w:numId w:val="3"/>
        </w:numPr>
        <w:spacing w:line="240" w:lineRule="auto"/>
        <w:rPr>
          <w:rFonts w:cs="Arial"/>
        </w:rPr>
      </w:pPr>
      <w:r>
        <w:rPr>
          <w:rFonts w:cs="Arial"/>
        </w:rPr>
        <w:t>n</w:t>
      </w:r>
      <w:r w:rsidRPr="002A7BB4">
        <w:rPr>
          <w:rFonts w:cs="Arial"/>
        </w:rPr>
        <w:t xml:space="preserve">ational </w:t>
      </w:r>
      <w:r>
        <w:rPr>
          <w:rFonts w:cs="Arial"/>
        </w:rPr>
        <w:t>b</w:t>
      </w:r>
      <w:r w:rsidRPr="002A7BB4">
        <w:rPr>
          <w:rFonts w:cs="Arial"/>
        </w:rPr>
        <w:t xml:space="preserve">roadcasting </w:t>
      </w:r>
      <w:r>
        <w:rPr>
          <w:rFonts w:cs="Arial"/>
        </w:rPr>
        <w:t>s</w:t>
      </w:r>
      <w:r w:rsidRPr="002A7BB4">
        <w:rPr>
          <w:rFonts w:cs="Arial"/>
        </w:rPr>
        <w:t>ervices;</w:t>
      </w:r>
    </w:p>
    <w:p w14:paraId="7C02A1A6" w14:textId="77777777" w:rsidR="00D97271" w:rsidRPr="002A7BB4" w:rsidRDefault="00D97271" w:rsidP="00D97271">
      <w:pPr>
        <w:numPr>
          <w:ilvl w:val="1"/>
          <w:numId w:val="3"/>
        </w:numPr>
        <w:spacing w:line="240" w:lineRule="auto"/>
        <w:rPr>
          <w:rFonts w:cs="Arial"/>
        </w:rPr>
      </w:pPr>
      <w:r>
        <w:rPr>
          <w:rFonts w:cs="Arial"/>
        </w:rPr>
        <w:t>open or subscription narrowcasting services; and</w:t>
      </w:r>
    </w:p>
    <w:p w14:paraId="0C004DC7" w14:textId="77777777" w:rsidR="00D97271" w:rsidRPr="002A7BB4" w:rsidRDefault="00D97271" w:rsidP="00D97271">
      <w:pPr>
        <w:numPr>
          <w:ilvl w:val="1"/>
          <w:numId w:val="3"/>
        </w:numPr>
        <w:spacing w:line="240" w:lineRule="auto"/>
        <w:rPr>
          <w:rFonts w:cs="Arial"/>
        </w:rPr>
      </w:pPr>
      <w:r w:rsidRPr="002A7BB4">
        <w:rPr>
          <w:rFonts w:cs="Arial"/>
        </w:rPr>
        <w:t xml:space="preserve">broadcasting </w:t>
      </w:r>
      <w:r>
        <w:rPr>
          <w:rFonts w:cs="Arial"/>
        </w:rPr>
        <w:t>services provided</w:t>
      </w:r>
      <w:r w:rsidRPr="002A7BB4">
        <w:rPr>
          <w:rFonts w:cs="Arial"/>
        </w:rPr>
        <w:t xml:space="preserve"> outside the </w:t>
      </w:r>
      <w:r>
        <w:rPr>
          <w:rFonts w:cs="Arial"/>
        </w:rPr>
        <w:t>broadcasting services bands (</w:t>
      </w:r>
      <w:r w:rsidRPr="002A7BB4">
        <w:rPr>
          <w:rFonts w:cs="Arial"/>
        </w:rPr>
        <w:t>BSBs</w:t>
      </w:r>
      <w:r>
        <w:rPr>
          <w:rFonts w:cs="Arial"/>
        </w:rPr>
        <w:t>)</w:t>
      </w:r>
      <w:r w:rsidRPr="002A7BB4">
        <w:rPr>
          <w:rFonts w:cs="Arial"/>
        </w:rPr>
        <w:t>.</w:t>
      </w:r>
    </w:p>
    <w:p w14:paraId="02B47123" w14:textId="77777777" w:rsidR="00D97271" w:rsidRPr="002A7BB4" w:rsidRDefault="00D97271" w:rsidP="00D97271">
      <w:pPr>
        <w:spacing w:line="240" w:lineRule="auto"/>
        <w:rPr>
          <w:rFonts w:cs="Arial"/>
          <w:b/>
          <w:bCs/>
        </w:rPr>
      </w:pPr>
      <w:r w:rsidRPr="002A7BB4">
        <w:rPr>
          <w:rFonts w:cs="Arial"/>
          <w:lang w:val="en-GB"/>
        </w:rPr>
        <w:t>An instrument made under paragraph 107(1)(f) of the Act is a legislative instrument for the purposes of the LIA.  S</w:t>
      </w:r>
      <w:r>
        <w:rPr>
          <w:rFonts w:cs="Arial"/>
          <w:lang w:val="en-GB"/>
        </w:rPr>
        <w:t>ubs</w:t>
      </w:r>
      <w:r w:rsidRPr="002A7BB4">
        <w:rPr>
          <w:rFonts w:cs="Arial"/>
          <w:lang w:val="en-GB"/>
        </w:rPr>
        <w:t xml:space="preserve">ection 33(3) of the </w:t>
      </w:r>
      <w:r>
        <w:rPr>
          <w:rFonts w:cs="Arial"/>
          <w:lang w:val="en-GB"/>
        </w:rPr>
        <w:t>AIA</w:t>
      </w:r>
      <w:r w:rsidRPr="002A7BB4">
        <w:rPr>
          <w:rFonts w:cs="Arial"/>
          <w:lang w:val="en-GB"/>
        </w:rPr>
        <w:t xml:space="preserve"> </w:t>
      </w:r>
      <w:r>
        <w:rPr>
          <w:rFonts w:cs="Arial"/>
          <w:lang w:val="en-GB"/>
        </w:rPr>
        <w:t xml:space="preserve">relevantly </w:t>
      </w:r>
      <w:r w:rsidRPr="002A7BB4">
        <w:rPr>
          <w:rFonts w:cs="Arial"/>
          <w:lang w:val="en-GB"/>
        </w:rPr>
        <w:t>provides that</w:t>
      </w:r>
      <w:r>
        <w:rPr>
          <w:rFonts w:cs="Arial"/>
          <w:lang w:val="en-GB"/>
        </w:rPr>
        <w:t>, where an Act confers a</w:t>
      </w:r>
      <w:r w:rsidRPr="002A7BB4">
        <w:rPr>
          <w:rFonts w:cs="Arial"/>
          <w:lang w:val="en-GB"/>
        </w:rPr>
        <w:t xml:space="preserve"> power to make a</w:t>
      </w:r>
      <w:r>
        <w:rPr>
          <w:rFonts w:cs="Arial"/>
          <w:lang w:val="en-GB"/>
        </w:rPr>
        <w:t xml:space="preserve"> legislative</w:t>
      </w:r>
      <w:r w:rsidRPr="002A7BB4">
        <w:rPr>
          <w:rFonts w:cs="Arial"/>
          <w:lang w:val="en-GB"/>
        </w:rPr>
        <w:t xml:space="preserve"> instrument</w:t>
      </w:r>
      <w:r>
        <w:rPr>
          <w:rFonts w:cs="Arial"/>
          <w:lang w:val="en-GB"/>
        </w:rPr>
        <w:t>, the power shall be construed as</w:t>
      </w:r>
      <w:r w:rsidRPr="002A7BB4">
        <w:rPr>
          <w:rFonts w:cs="Arial"/>
          <w:lang w:val="en-GB"/>
        </w:rPr>
        <w:t xml:space="preserve"> includ</w:t>
      </w:r>
      <w:r>
        <w:rPr>
          <w:rFonts w:cs="Arial"/>
          <w:lang w:val="en-GB"/>
        </w:rPr>
        <w:t>ing</w:t>
      </w:r>
      <w:r w:rsidRPr="002A7BB4">
        <w:rPr>
          <w:rFonts w:cs="Arial"/>
          <w:lang w:val="en-GB"/>
        </w:rPr>
        <w:t xml:space="preserve"> </w:t>
      </w:r>
      <w:r>
        <w:rPr>
          <w:rFonts w:cs="Arial"/>
          <w:lang w:val="en-GB"/>
        </w:rPr>
        <w:t>a</w:t>
      </w:r>
      <w:r w:rsidRPr="002A7BB4">
        <w:rPr>
          <w:rFonts w:cs="Arial"/>
          <w:lang w:val="en-GB"/>
        </w:rPr>
        <w:t xml:space="preserve"> power</w:t>
      </w:r>
      <w:r>
        <w:rPr>
          <w:rFonts w:cs="Arial"/>
          <w:lang w:val="en-GB"/>
        </w:rPr>
        <w:t xml:space="preserve"> exercisable in the like manner, and subject to the like conditions (if any), to repeal, rescind, revoke,</w:t>
      </w:r>
      <w:r w:rsidRPr="002A7BB4">
        <w:rPr>
          <w:rFonts w:cs="Arial"/>
          <w:lang w:val="en-GB"/>
        </w:rPr>
        <w:t xml:space="preserve"> amend or </w:t>
      </w:r>
      <w:r>
        <w:rPr>
          <w:rFonts w:cs="Arial"/>
          <w:lang w:val="en-GB"/>
        </w:rPr>
        <w:t>vary any such</w:t>
      </w:r>
      <w:r w:rsidRPr="002A7BB4">
        <w:rPr>
          <w:rFonts w:cs="Arial"/>
          <w:lang w:val="en-GB"/>
        </w:rPr>
        <w:t xml:space="preserve"> instrument.</w:t>
      </w:r>
      <w:r>
        <w:rPr>
          <w:rFonts w:cs="Arial"/>
          <w:bCs/>
        </w:rPr>
        <w:t xml:space="preserve">  The Determination revokes the 1998 Determination.</w:t>
      </w:r>
    </w:p>
    <w:p w14:paraId="5F64F4C6" w14:textId="77777777" w:rsidR="00D97271" w:rsidRPr="002A7BB4" w:rsidRDefault="00D97271" w:rsidP="00D97271">
      <w:pPr>
        <w:spacing w:line="240" w:lineRule="auto"/>
        <w:rPr>
          <w:rFonts w:cs="Arial"/>
          <w:bCs/>
        </w:rPr>
      </w:pPr>
      <w:r w:rsidRPr="002A7BB4">
        <w:rPr>
          <w:rFonts w:cs="Arial"/>
          <w:bCs/>
        </w:rPr>
        <w:t>The Determination may be subject to disallowance in accordance with section 42 of the LIA.</w:t>
      </w:r>
    </w:p>
    <w:p w14:paraId="3F0F3E74" w14:textId="77777777" w:rsidR="00D97271" w:rsidRPr="002A7BB4" w:rsidRDefault="00D97271" w:rsidP="00D97271">
      <w:pPr>
        <w:keepNext/>
        <w:spacing w:line="240" w:lineRule="auto"/>
        <w:rPr>
          <w:rFonts w:cs="Arial"/>
          <w:lang w:val="en-GB"/>
        </w:rPr>
      </w:pPr>
      <w:r w:rsidRPr="002A7BB4">
        <w:rPr>
          <w:rFonts w:cs="Arial"/>
          <w:b/>
          <w:bCs/>
        </w:rPr>
        <w:lastRenderedPageBreak/>
        <w:t>Background</w:t>
      </w:r>
    </w:p>
    <w:p w14:paraId="46DBAF8C" w14:textId="77777777" w:rsidR="00D97271" w:rsidRDefault="00D97271" w:rsidP="00D97271">
      <w:pPr>
        <w:keepNext/>
        <w:spacing w:line="240" w:lineRule="auto"/>
        <w:rPr>
          <w:rFonts w:cs="Arial"/>
        </w:rPr>
      </w:pPr>
      <w:r w:rsidRPr="002A7BB4">
        <w:rPr>
          <w:rFonts w:cs="Arial"/>
        </w:rPr>
        <w:t xml:space="preserve">The Determination </w:t>
      </w:r>
      <w:r>
        <w:rPr>
          <w:rFonts w:cs="Arial"/>
        </w:rPr>
        <w:t>imposes</w:t>
      </w:r>
      <w:r w:rsidRPr="002A7BB4">
        <w:rPr>
          <w:rFonts w:cs="Arial"/>
        </w:rPr>
        <w:t xml:space="preserve"> licence conditions on apparatus licences</w:t>
      </w:r>
      <w:r>
        <w:rPr>
          <w:rFonts w:cs="Arial"/>
        </w:rPr>
        <w:t xml:space="preserve"> that authorise</w:t>
      </w:r>
      <w:r w:rsidRPr="002A7BB4">
        <w:rPr>
          <w:rFonts w:cs="Arial"/>
        </w:rPr>
        <w:t xml:space="preserve"> the operation of </w:t>
      </w:r>
      <w:r>
        <w:rPr>
          <w:rFonts w:cs="Arial"/>
        </w:rPr>
        <w:t xml:space="preserve">certain </w:t>
      </w:r>
      <w:r w:rsidRPr="002A7BB4">
        <w:rPr>
          <w:rFonts w:cs="Arial"/>
        </w:rPr>
        <w:t>broadcasting stations</w:t>
      </w:r>
      <w:r>
        <w:rPr>
          <w:rFonts w:cs="Arial"/>
        </w:rPr>
        <w:t>:</w:t>
      </w:r>
    </w:p>
    <w:p w14:paraId="74EA6BAB" w14:textId="77777777" w:rsidR="00D97271" w:rsidRPr="002A7BB4" w:rsidRDefault="00D97271" w:rsidP="00D97271">
      <w:pPr>
        <w:numPr>
          <w:ilvl w:val="1"/>
          <w:numId w:val="3"/>
        </w:numPr>
        <w:spacing w:line="240" w:lineRule="auto"/>
        <w:rPr>
          <w:rFonts w:cs="Arial"/>
        </w:rPr>
      </w:pPr>
      <w:r>
        <w:rPr>
          <w:rFonts w:cs="Arial"/>
        </w:rPr>
        <w:t>broadcasting service stations, which are those stations used for the provision of n</w:t>
      </w:r>
      <w:r w:rsidRPr="002A7BB4">
        <w:rPr>
          <w:rFonts w:cs="Arial"/>
        </w:rPr>
        <w:t xml:space="preserve">ational </w:t>
      </w:r>
      <w:r>
        <w:rPr>
          <w:rFonts w:cs="Arial"/>
        </w:rPr>
        <w:t>b</w:t>
      </w:r>
      <w:r w:rsidRPr="002A7BB4">
        <w:rPr>
          <w:rFonts w:cs="Arial"/>
        </w:rPr>
        <w:t xml:space="preserve">roadcasting </w:t>
      </w:r>
      <w:r>
        <w:rPr>
          <w:rFonts w:cs="Arial"/>
        </w:rPr>
        <w:t>s</w:t>
      </w:r>
      <w:r w:rsidRPr="002A7BB4">
        <w:rPr>
          <w:rFonts w:cs="Arial"/>
        </w:rPr>
        <w:t>ervices;</w:t>
      </w:r>
    </w:p>
    <w:p w14:paraId="603168D8" w14:textId="77777777" w:rsidR="00D97271" w:rsidRPr="002A7BB4" w:rsidRDefault="00D97271" w:rsidP="00D97271">
      <w:pPr>
        <w:numPr>
          <w:ilvl w:val="1"/>
          <w:numId w:val="3"/>
        </w:numPr>
        <w:spacing w:line="240" w:lineRule="auto"/>
        <w:rPr>
          <w:rFonts w:cs="Arial"/>
        </w:rPr>
      </w:pPr>
      <w:r>
        <w:rPr>
          <w:rFonts w:cs="Arial"/>
        </w:rPr>
        <w:t>narrowcasting service stations, which are those stations used for the provision of open or subscription narrowcasting services in the BSBs; and</w:t>
      </w:r>
    </w:p>
    <w:p w14:paraId="62900BB2" w14:textId="3CA97155" w:rsidR="00D97271" w:rsidRPr="002A7BB4" w:rsidRDefault="00D97271" w:rsidP="00D97271">
      <w:pPr>
        <w:numPr>
          <w:ilvl w:val="1"/>
          <w:numId w:val="3"/>
        </w:numPr>
        <w:spacing w:line="240" w:lineRule="auto"/>
        <w:rPr>
          <w:rFonts w:cs="Arial"/>
        </w:rPr>
      </w:pPr>
      <w:r>
        <w:rPr>
          <w:rFonts w:cs="Arial"/>
        </w:rPr>
        <w:t>narrowband area service (NAS) stations, which are those stations used for the provision of services</w:t>
      </w:r>
      <w:r w:rsidRPr="002A7BB4">
        <w:rPr>
          <w:rFonts w:cs="Arial"/>
        </w:rPr>
        <w:t xml:space="preserve"> </w:t>
      </w:r>
      <w:r>
        <w:rPr>
          <w:rFonts w:cs="Arial"/>
        </w:rPr>
        <w:t xml:space="preserve">to at least four narrowband area receivers </w:t>
      </w:r>
      <w:r w:rsidRPr="002A7BB4">
        <w:rPr>
          <w:rFonts w:cs="Arial"/>
        </w:rPr>
        <w:t>outside the BSBs</w:t>
      </w:r>
      <w:r>
        <w:rPr>
          <w:rFonts w:cs="Arial"/>
        </w:rPr>
        <w:t xml:space="preserve"> (in the frequency range 160</w:t>
      </w:r>
      <w:r w:rsidR="00EA5356">
        <w:rPr>
          <w:rFonts w:cs="Arial"/>
        </w:rPr>
        <w:t>6.</w:t>
      </w:r>
      <w:r>
        <w:rPr>
          <w:rFonts w:cs="Arial"/>
        </w:rPr>
        <w:t>5 kHz to 1705 kHz)</w:t>
      </w:r>
      <w:r w:rsidRPr="002A7BB4">
        <w:rPr>
          <w:rFonts w:cs="Arial"/>
        </w:rPr>
        <w:t>.</w:t>
      </w:r>
    </w:p>
    <w:p w14:paraId="4B1D94B7" w14:textId="77777777" w:rsidR="00D97271" w:rsidRPr="002A7BB4" w:rsidRDefault="00D97271" w:rsidP="00D97271">
      <w:pPr>
        <w:spacing w:line="240" w:lineRule="auto"/>
        <w:rPr>
          <w:rFonts w:cs="Arial"/>
        </w:rPr>
      </w:pPr>
      <w:r>
        <w:rPr>
          <w:rFonts w:cs="Arial"/>
        </w:rPr>
        <w:t xml:space="preserve">Some </w:t>
      </w:r>
      <w:r w:rsidRPr="002A7BB4">
        <w:rPr>
          <w:rFonts w:cs="Arial"/>
        </w:rPr>
        <w:t>licence conditions appl</w:t>
      </w:r>
      <w:r>
        <w:rPr>
          <w:rFonts w:cs="Arial"/>
        </w:rPr>
        <w:t>y</w:t>
      </w:r>
      <w:r w:rsidRPr="002A7BB4">
        <w:rPr>
          <w:rFonts w:cs="Arial"/>
        </w:rPr>
        <w:t xml:space="preserve"> to all licences which are subject to the </w:t>
      </w:r>
      <w:r>
        <w:rPr>
          <w:rFonts w:cs="Arial"/>
        </w:rPr>
        <w:t>Determination, and some apply only to one of the classes of licence mentioned above.</w:t>
      </w:r>
    </w:p>
    <w:p w14:paraId="48DEFD48" w14:textId="77777777" w:rsidR="00D97271" w:rsidRPr="002A7BB4" w:rsidRDefault="00D97271" w:rsidP="00D97271">
      <w:pPr>
        <w:keepNext/>
        <w:keepLines/>
        <w:spacing w:after="80"/>
        <w:rPr>
          <w:rFonts w:cs="Arial"/>
          <w:iCs/>
          <w:lang w:val="en-US"/>
        </w:rPr>
      </w:pPr>
      <w:r w:rsidRPr="002A7BB4">
        <w:rPr>
          <w:rFonts w:cs="Arial"/>
        </w:rPr>
        <w:t xml:space="preserve">In December 2000, the then </w:t>
      </w:r>
      <w:r w:rsidRPr="002A7BB4">
        <w:rPr>
          <w:rFonts w:cs="Arial"/>
          <w:lang w:val="en-US"/>
        </w:rPr>
        <w:t>Minister for Communications, Information Technology and the Arts</w:t>
      </w:r>
      <w:r w:rsidRPr="002A7BB4">
        <w:rPr>
          <w:rFonts w:cs="Arial"/>
        </w:rPr>
        <w:t xml:space="preserve"> made the </w:t>
      </w:r>
      <w:hyperlink r:id="rId8" w:history="1">
        <w:r w:rsidRPr="002A7BB4">
          <w:rPr>
            <w:rStyle w:val="Hyperlink"/>
            <w:rFonts w:cs="Arial"/>
          </w:rPr>
          <w:t>Australian Communications Authority (LPON Transmitter Licences) Direction No.2 of 2000</w:t>
        </w:r>
      </w:hyperlink>
      <w:r w:rsidRPr="002A7BB4">
        <w:rPr>
          <w:rFonts w:cs="Arial"/>
        </w:rPr>
        <w:t xml:space="preserve"> (LPON </w:t>
      </w:r>
      <w:r w:rsidRPr="002A7BB4">
        <w:rPr>
          <w:rFonts w:cs="Arial"/>
          <w:iCs/>
        </w:rPr>
        <w:t xml:space="preserve">Direction). The LPON Direction required the Australian Communications Authority (ACA) to make </w:t>
      </w:r>
      <w:r w:rsidRPr="002A7BB4">
        <w:rPr>
          <w:rFonts w:cs="Arial"/>
          <w:iCs/>
          <w:lang w:val="en-US"/>
        </w:rPr>
        <w:t xml:space="preserve">any apparatus </w:t>
      </w:r>
      <w:r w:rsidRPr="002A7BB4">
        <w:rPr>
          <w:rFonts w:cs="Arial"/>
          <w:iCs/>
        </w:rPr>
        <w:t>licence</w:t>
      </w:r>
      <w:r w:rsidRPr="002A7BB4">
        <w:rPr>
          <w:rFonts w:cs="Arial"/>
          <w:iCs/>
          <w:lang w:val="en-US"/>
        </w:rPr>
        <w:t xml:space="preserve"> for a low power open narrowcasting (LPON) service</w:t>
      </w:r>
      <w:r w:rsidRPr="002A7BB4">
        <w:rPr>
          <w:rFonts w:cs="Arial"/>
          <w:snapToGrid w:val="0"/>
          <w:lang w:val="en-US"/>
        </w:rPr>
        <w:t xml:space="preserve"> </w:t>
      </w:r>
      <w:r w:rsidRPr="002A7BB4">
        <w:rPr>
          <w:rFonts w:cs="Arial"/>
          <w:iCs/>
          <w:lang w:val="en-US"/>
        </w:rPr>
        <w:t>subject to conditions that require a LPON licensee:</w:t>
      </w:r>
    </w:p>
    <w:p w14:paraId="2DA793F7" w14:textId="77777777" w:rsidR="00D97271" w:rsidRPr="002A7BB4" w:rsidRDefault="00D97271" w:rsidP="00D97271">
      <w:pPr>
        <w:numPr>
          <w:ilvl w:val="1"/>
          <w:numId w:val="3"/>
        </w:numPr>
        <w:spacing w:line="240" w:lineRule="auto"/>
        <w:rPr>
          <w:rFonts w:cs="Arial"/>
        </w:rPr>
      </w:pPr>
      <w:r w:rsidRPr="002A7BB4">
        <w:rPr>
          <w:rFonts w:cs="Arial"/>
        </w:rPr>
        <w:t xml:space="preserve">to commence </w:t>
      </w:r>
      <w:r>
        <w:rPr>
          <w:rFonts w:cs="Arial"/>
        </w:rPr>
        <w:t xml:space="preserve">to provide a </w:t>
      </w:r>
      <w:r w:rsidRPr="002A7BB4">
        <w:rPr>
          <w:rFonts w:cs="Arial"/>
        </w:rPr>
        <w:t>service within the six months from the issue of the licence</w:t>
      </w:r>
      <w:r>
        <w:rPr>
          <w:rFonts w:cs="Arial"/>
        </w:rPr>
        <w:t>; and</w:t>
      </w:r>
    </w:p>
    <w:p w14:paraId="10E43849" w14:textId="77777777" w:rsidR="00D97271" w:rsidRPr="00480330" w:rsidRDefault="00D97271" w:rsidP="00D97271">
      <w:pPr>
        <w:numPr>
          <w:ilvl w:val="1"/>
          <w:numId w:val="3"/>
        </w:numPr>
        <w:spacing w:line="240" w:lineRule="auto"/>
      </w:pPr>
      <w:r w:rsidRPr="009C361E">
        <w:rPr>
          <w:rFonts w:cs="Arial"/>
        </w:rPr>
        <w:t xml:space="preserve">to continue </w:t>
      </w:r>
      <w:r w:rsidRPr="00F8585C">
        <w:rPr>
          <w:rFonts w:cs="Arial"/>
        </w:rPr>
        <w:t>to provide the service with reasonable regularity; and</w:t>
      </w:r>
      <w:r w:rsidRPr="00480330">
        <w:rPr>
          <w:rFonts w:cs="Arial"/>
        </w:rPr>
        <w:t xml:space="preserve"> </w:t>
      </w:r>
    </w:p>
    <w:p w14:paraId="1E4FFBEC" w14:textId="77777777" w:rsidR="00D97271" w:rsidRPr="00E87005" w:rsidRDefault="00D97271" w:rsidP="00D97271">
      <w:pPr>
        <w:numPr>
          <w:ilvl w:val="1"/>
          <w:numId w:val="3"/>
        </w:numPr>
        <w:spacing w:line="240" w:lineRule="auto"/>
      </w:pPr>
      <w:r w:rsidRPr="00E87005">
        <w:rPr>
          <w:rFonts w:cs="Arial"/>
        </w:rPr>
        <w:t>to maintain particular records of the service provided.</w:t>
      </w:r>
    </w:p>
    <w:p w14:paraId="7D80576F" w14:textId="77777777" w:rsidR="00D97271" w:rsidRPr="009C361E" w:rsidRDefault="00D97271" w:rsidP="00D97271">
      <w:pPr>
        <w:spacing w:before="240" w:line="240" w:lineRule="auto"/>
        <w:outlineLvl w:val="0"/>
      </w:pPr>
      <w:r w:rsidRPr="009C361E">
        <w:t>T</w:t>
      </w:r>
      <w:r w:rsidRPr="002A7BB4">
        <w:t>hese licence conditions are set out in section 4.11 of the</w:t>
      </w:r>
      <w:r>
        <w:t xml:space="preserve"> Determination.</w:t>
      </w:r>
      <w:r w:rsidRPr="002A7BB4">
        <w:t xml:space="preserve"> </w:t>
      </w:r>
      <w:r>
        <w:t xml:space="preserve"> The LPON Direction was continued in force by the </w:t>
      </w:r>
      <w:r>
        <w:rPr>
          <w:i/>
        </w:rPr>
        <w:t>Australian Communications and Media Authority (Consequential and Transitional Provisions) Act 2005</w:t>
      </w:r>
      <w:r>
        <w:t>.</w:t>
      </w:r>
    </w:p>
    <w:p w14:paraId="42C81412" w14:textId="77777777" w:rsidR="00D97271" w:rsidRPr="002A7BB4" w:rsidRDefault="00D97271" w:rsidP="00D97271">
      <w:pPr>
        <w:keepNext/>
        <w:spacing w:before="240" w:line="240" w:lineRule="auto"/>
        <w:outlineLvl w:val="0"/>
        <w:rPr>
          <w:rFonts w:cs="Arial"/>
          <w:b/>
        </w:rPr>
      </w:pPr>
      <w:r w:rsidRPr="002A7BB4">
        <w:rPr>
          <w:rFonts w:cs="Arial"/>
          <w:b/>
        </w:rPr>
        <w:t>Operation</w:t>
      </w:r>
    </w:p>
    <w:p w14:paraId="10B6BD46" w14:textId="77777777" w:rsidR="00D97271" w:rsidRDefault="00D97271" w:rsidP="00D97271">
      <w:pPr>
        <w:spacing w:line="240" w:lineRule="auto"/>
        <w:outlineLvl w:val="0"/>
        <w:rPr>
          <w:rFonts w:cs="Arial"/>
        </w:rPr>
      </w:pPr>
      <w:r>
        <w:rPr>
          <w:rFonts w:cs="Arial"/>
        </w:rPr>
        <w:t>The Determination imposes licence conditions on the broadcasting licence type of transmitter licence, where the licence was issued under section 100 of the Act.  Some licence conditions are specific to particular subsets of the broadcasting licence type of transmitter licence.</w:t>
      </w:r>
    </w:p>
    <w:p w14:paraId="4D87EBE3" w14:textId="77777777" w:rsidR="00D97271" w:rsidRDefault="00D97271" w:rsidP="00D97271">
      <w:pPr>
        <w:keepNext/>
        <w:spacing w:before="240" w:line="240" w:lineRule="auto"/>
        <w:outlineLvl w:val="0"/>
        <w:rPr>
          <w:rFonts w:cs="Arial"/>
        </w:rPr>
      </w:pPr>
      <w:r w:rsidRPr="002A7BB4">
        <w:rPr>
          <w:rFonts w:cs="Arial"/>
        </w:rPr>
        <w:t xml:space="preserve">The licence conditions </w:t>
      </w:r>
      <w:r>
        <w:rPr>
          <w:rFonts w:cs="Arial"/>
        </w:rPr>
        <w:t>generally relate to matters such as the</w:t>
      </w:r>
      <w:r w:rsidRPr="002A7BB4">
        <w:rPr>
          <w:rFonts w:cs="Arial"/>
        </w:rPr>
        <w:t xml:space="preserve"> commenc</w:t>
      </w:r>
      <w:r>
        <w:rPr>
          <w:rFonts w:cs="Arial"/>
        </w:rPr>
        <w:t>ement of</w:t>
      </w:r>
      <w:r w:rsidRPr="002A7BB4">
        <w:rPr>
          <w:rFonts w:cs="Arial"/>
        </w:rPr>
        <w:t xml:space="preserve"> broadcasting services, interference mitigation, and technical specifications.</w:t>
      </w:r>
    </w:p>
    <w:p w14:paraId="72714BEA" w14:textId="77777777" w:rsidR="00D97271" w:rsidRPr="004470BB" w:rsidRDefault="00D97271" w:rsidP="00D97271">
      <w:pPr>
        <w:keepNext/>
        <w:spacing w:before="240" w:line="240" w:lineRule="auto"/>
        <w:outlineLvl w:val="0"/>
        <w:rPr>
          <w:rFonts w:cs="Arial"/>
          <w:b/>
        </w:rPr>
      </w:pPr>
      <w:r w:rsidRPr="004470BB">
        <w:rPr>
          <w:rFonts w:cs="Arial"/>
          <w:b/>
        </w:rPr>
        <w:t>Consultation</w:t>
      </w:r>
    </w:p>
    <w:p w14:paraId="7F7A31C9" w14:textId="77777777" w:rsidR="00D97271" w:rsidRPr="002A7BB4" w:rsidRDefault="00D97271" w:rsidP="00D97271">
      <w:pPr>
        <w:pStyle w:val="ACMABodyText"/>
        <w:spacing w:line="240" w:lineRule="auto"/>
        <w:rPr>
          <w:rFonts w:asciiTheme="minorHAnsi" w:hAnsiTheme="minorHAnsi" w:cs="Arial"/>
          <w:iCs/>
          <w:snapToGrid/>
          <w:sz w:val="22"/>
          <w:szCs w:val="22"/>
          <w:lang w:bidi="he-IL"/>
        </w:rPr>
      </w:pPr>
      <w:r w:rsidRPr="002A7BB4">
        <w:rPr>
          <w:rFonts w:asciiTheme="minorHAnsi" w:hAnsiTheme="minorHAnsi" w:cs="Arial"/>
          <w:iCs/>
          <w:snapToGrid/>
          <w:sz w:val="22"/>
          <w:szCs w:val="22"/>
          <w:lang w:bidi="he-IL"/>
        </w:rPr>
        <w:t xml:space="preserve">Subsection 17(1) of the LIA requires that, before </w:t>
      </w:r>
      <w:r>
        <w:rPr>
          <w:rFonts w:asciiTheme="minorHAnsi" w:hAnsiTheme="minorHAnsi" w:cs="Arial"/>
          <w:iCs/>
          <w:snapToGrid/>
          <w:sz w:val="22"/>
          <w:szCs w:val="22"/>
          <w:lang w:bidi="he-IL"/>
        </w:rPr>
        <w:t>the ACMA</w:t>
      </w:r>
      <w:r w:rsidRPr="002A7BB4">
        <w:rPr>
          <w:rFonts w:asciiTheme="minorHAnsi" w:hAnsiTheme="minorHAnsi" w:cs="Arial"/>
          <w:iCs/>
          <w:snapToGrid/>
          <w:sz w:val="22"/>
          <w:szCs w:val="22"/>
          <w:lang w:bidi="he-IL"/>
        </w:rPr>
        <w:t xml:space="preserve"> makes a legislative instrument, it must be satisfied that any consultation that it considers appropriate and reasonably practicable to undertake has been undertaken.</w:t>
      </w:r>
    </w:p>
    <w:p w14:paraId="0DD4EDE0" w14:textId="77777777" w:rsidR="00D97271" w:rsidRPr="002A7BB4" w:rsidRDefault="00D97271" w:rsidP="00D97271">
      <w:pPr>
        <w:pStyle w:val="ACMABodyText"/>
        <w:spacing w:line="240" w:lineRule="auto"/>
        <w:rPr>
          <w:rFonts w:asciiTheme="minorHAnsi" w:hAnsiTheme="minorHAnsi" w:cs="Arial"/>
          <w:iCs/>
          <w:snapToGrid/>
          <w:sz w:val="22"/>
          <w:szCs w:val="22"/>
          <w:lang w:bidi="he-IL"/>
        </w:rPr>
      </w:pPr>
      <w:r w:rsidRPr="002A7BB4">
        <w:rPr>
          <w:rFonts w:asciiTheme="minorHAnsi" w:hAnsiTheme="minorHAnsi" w:cs="Arial"/>
          <w:iCs/>
          <w:snapToGrid/>
          <w:sz w:val="22"/>
          <w:szCs w:val="22"/>
          <w:lang w:bidi="he-IL"/>
        </w:rPr>
        <w:t xml:space="preserve">The ACMA published a consultation paper and draft instrument on its website between </w:t>
      </w:r>
      <w:r w:rsidRPr="00700A30">
        <w:rPr>
          <w:rFonts w:asciiTheme="minorHAnsi" w:hAnsiTheme="minorHAnsi" w:cs="Arial"/>
          <w:iCs/>
          <w:snapToGrid/>
          <w:sz w:val="22"/>
          <w:szCs w:val="22"/>
          <w:lang w:bidi="he-IL"/>
        </w:rPr>
        <w:t xml:space="preserve">24 July 2015 and 21 August 2015. The consultation paper explained the sunsetting process and </w:t>
      </w:r>
      <w:r>
        <w:rPr>
          <w:rFonts w:asciiTheme="minorHAnsi" w:hAnsiTheme="minorHAnsi" w:cs="Arial"/>
          <w:iCs/>
          <w:snapToGrid/>
          <w:sz w:val="22"/>
          <w:szCs w:val="22"/>
          <w:lang w:bidi="he-IL"/>
        </w:rPr>
        <w:t>t</w:t>
      </w:r>
      <w:r w:rsidRPr="00700A30">
        <w:rPr>
          <w:rFonts w:asciiTheme="minorHAnsi" w:hAnsiTheme="minorHAnsi" w:cs="Arial"/>
          <w:iCs/>
          <w:snapToGrid/>
          <w:sz w:val="22"/>
          <w:szCs w:val="22"/>
          <w:lang w:bidi="he-IL"/>
        </w:rPr>
        <w:t>he ACM</w:t>
      </w:r>
      <w:r w:rsidRPr="002A7BB4">
        <w:rPr>
          <w:rFonts w:asciiTheme="minorHAnsi" w:hAnsiTheme="minorHAnsi" w:cs="Arial"/>
          <w:iCs/>
          <w:snapToGrid/>
          <w:sz w:val="22"/>
          <w:szCs w:val="22"/>
          <w:lang w:bidi="he-IL"/>
        </w:rPr>
        <w:t>A’s preliminary view that the existing arrangements under the 1998 Determination should be saved from automatic repeal and remade without any significant changes. Interested parties were invited to comment.</w:t>
      </w:r>
    </w:p>
    <w:p w14:paraId="3CB6559C" w14:textId="0F1DB85E" w:rsidR="00D97271" w:rsidRPr="002A7BB4" w:rsidRDefault="00D97271" w:rsidP="00D97271">
      <w:pPr>
        <w:pStyle w:val="ACMABodyText"/>
        <w:spacing w:line="240" w:lineRule="auto"/>
        <w:rPr>
          <w:rFonts w:asciiTheme="minorHAnsi" w:hAnsiTheme="minorHAnsi" w:cs="Arial"/>
          <w:sz w:val="22"/>
          <w:szCs w:val="22"/>
        </w:rPr>
      </w:pPr>
      <w:r w:rsidRPr="002A7BB4">
        <w:rPr>
          <w:rFonts w:asciiTheme="minorHAnsi" w:hAnsiTheme="minorHAnsi" w:cs="Arial"/>
          <w:iCs/>
          <w:snapToGrid/>
          <w:sz w:val="22"/>
          <w:szCs w:val="22"/>
          <w:lang w:bidi="he-IL"/>
        </w:rPr>
        <w:lastRenderedPageBreak/>
        <w:t xml:space="preserve">The ACMA received </w:t>
      </w:r>
      <w:r w:rsidR="001D520E">
        <w:rPr>
          <w:rFonts w:asciiTheme="minorHAnsi" w:hAnsiTheme="minorHAnsi" w:cs="Arial"/>
          <w:iCs/>
          <w:snapToGrid/>
          <w:sz w:val="22"/>
          <w:szCs w:val="22"/>
          <w:lang w:bidi="he-IL"/>
        </w:rPr>
        <w:t>one</w:t>
      </w:r>
      <w:r w:rsidR="00724961">
        <w:rPr>
          <w:rFonts w:asciiTheme="minorHAnsi" w:hAnsiTheme="minorHAnsi" w:cs="Arial"/>
          <w:iCs/>
          <w:snapToGrid/>
          <w:sz w:val="22"/>
          <w:szCs w:val="22"/>
          <w:lang w:bidi="he-IL"/>
        </w:rPr>
        <w:t xml:space="preserve"> submission from the Australian Narrowcasting Radio Association which supported the proposal to remake the Determination</w:t>
      </w:r>
      <w:r w:rsidR="00741875">
        <w:rPr>
          <w:rFonts w:asciiTheme="minorHAnsi" w:hAnsiTheme="minorHAnsi" w:cs="Arial"/>
          <w:iCs/>
          <w:snapToGrid/>
          <w:sz w:val="22"/>
          <w:szCs w:val="22"/>
          <w:lang w:bidi="he-IL"/>
        </w:rPr>
        <w:t>.</w:t>
      </w:r>
      <w:r w:rsidRPr="002A7BB4">
        <w:rPr>
          <w:rFonts w:asciiTheme="minorHAnsi" w:hAnsiTheme="minorHAnsi" w:cs="Arial"/>
          <w:iCs/>
          <w:snapToGrid/>
          <w:sz w:val="22"/>
          <w:szCs w:val="22"/>
          <w:lang w:bidi="he-IL"/>
        </w:rPr>
        <w:t xml:space="preserve">  </w:t>
      </w:r>
    </w:p>
    <w:p w14:paraId="39FF1418" w14:textId="77777777" w:rsidR="00D97271" w:rsidRPr="002A7BB4" w:rsidRDefault="00D97271" w:rsidP="00D97271">
      <w:pPr>
        <w:spacing w:line="240" w:lineRule="auto"/>
        <w:outlineLvl w:val="0"/>
        <w:rPr>
          <w:rFonts w:cs="Arial"/>
          <w:b/>
        </w:rPr>
      </w:pPr>
      <w:r w:rsidRPr="002A7BB4">
        <w:rPr>
          <w:rFonts w:cs="Arial"/>
          <w:b/>
        </w:rPr>
        <w:t>Regulatory Impact</w:t>
      </w:r>
    </w:p>
    <w:p w14:paraId="09B2AF12" w14:textId="02369AA9" w:rsidR="00D97271" w:rsidRPr="004470BB" w:rsidRDefault="00D97271" w:rsidP="00D97271">
      <w:pPr>
        <w:spacing w:line="240" w:lineRule="auto"/>
        <w:rPr>
          <w:rFonts w:cs="Arial"/>
          <w:snapToGrid w:val="0"/>
        </w:rPr>
      </w:pPr>
      <w:r w:rsidRPr="004470BB">
        <w:rPr>
          <w:rFonts w:cs="Arial"/>
          <w:snapToGrid w:val="0"/>
        </w:rPr>
        <w:t xml:space="preserve">Under the Guidance Note </w:t>
      </w:r>
      <w:r w:rsidRPr="004470BB">
        <w:rPr>
          <w:rFonts w:cs="Arial"/>
          <w:i/>
          <w:snapToGrid w:val="0"/>
        </w:rPr>
        <w:t>Sunsetting Legislation</w:t>
      </w:r>
      <w:r w:rsidRPr="004470BB">
        <w:rPr>
          <w:rFonts w:cs="Arial"/>
          <w:snapToGrid w:val="0"/>
        </w:rPr>
        <w:t xml:space="preserve"> published by the Office of Best Practice Regulation (OBPR) in March 2013, streamlined administrative processe</w:t>
      </w:r>
      <w:r w:rsidR="001D520E">
        <w:rPr>
          <w:rFonts w:cs="Arial"/>
          <w:snapToGrid w:val="0"/>
        </w:rPr>
        <w:t>s</w:t>
      </w:r>
      <w:r w:rsidRPr="004470BB">
        <w:rPr>
          <w:rFonts w:cs="Arial"/>
          <w:snapToGrid w:val="0"/>
        </w:rPr>
        <w:t xml:space="preserve"> apply to sunsetting legislative instruments.</w:t>
      </w:r>
    </w:p>
    <w:p w14:paraId="26F2EA8E" w14:textId="77777777" w:rsidR="00D97271" w:rsidRPr="004470BB" w:rsidRDefault="00D97271" w:rsidP="00D97271">
      <w:pPr>
        <w:spacing w:line="240" w:lineRule="auto"/>
        <w:rPr>
          <w:rFonts w:cs="Arial"/>
        </w:rPr>
      </w:pPr>
      <w:r w:rsidRPr="004470BB">
        <w:rPr>
          <w:rFonts w:cs="Arial"/>
          <w:snapToGrid w:val="0"/>
        </w:rPr>
        <w:t>As the ACMA has determined that the 1998 Determination was fit for purpose and should be remade without any significant changes, and has certified those matters to OBPR, no Regulation Impact Statement is required in relation to the making of the Determination (OBPR reference number ID 19155).</w:t>
      </w:r>
    </w:p>
    <w:p w14:paraId="501D1916" w14:textId="77777777" w:rsidR="00D97271" w:rsidRPr="00470B25" w:rsidRDefault="00D97271" w:rsidP="00D97271">
      <w:pPr>
        <w:spacing w:line="240" w:lineRule="auto"/>
        <w:outlineLvl w:val="0"/>
        <w:rPr>
          <w:rFonts w:cs="Arial"/>
          <w:b/>
        </w:rPr>
      </w:pPr>
      <w:r w:rsidRPr="00470B25">
        <w:rPr>
          <w:rFonts w:cs="Arial"/>
          <w:b/>
        </w:rPr>
        <w:t>Detailed Description of the Determination</w:t>
      </w:r>
    </w:p>
    <w:p w14:paraId="0758301F" w14:textId="77777777" w:rsidR="00D97271" w:rsidRPr="004470BB" w:rsidRDefault="00D97271" w:rsidP="00D97271">
      <w:pPr>
        <w:spacing w:line="240" w:lineRule="auto"/>
        <w:outlineLvl w:val="0"/>
        <w:rPr>
          <w:rFonts w:cs="Arial"/>
        </w:rPr>
      </w:pPr>
      <w:r w:rsidRPr="004470BB">
        <w:rPr>
          <w:rFonts w:cs="Arial"/>
        </w:rPr>
        <w:t xml:space="preserve">Details of the Determination are set out in </w:t>
      </w:r>
      <w:r w:rsidRPr="004470BB">
        <w:rPr>
          <w:rFonts w:cs="Arial"/>
          <w:b/>
        </w:rPr>
        <w:t>Attachment A</w:t>
      </w:r>
      <w:r w:rsidRPr="004470BB">
        <w:rPr>
          <w:rFonts w:cs="Arial"/>
        </w:rPr>
        <w:t>.</w:t>
      </w:r>
    </w:p>
    <w:p w14:paraId="5D3AC18B" w14:textId="77777777" w:rsidR="00D97271" w:rsidRPr="004470BB" w:rsidRDefault="00D97271" w:rsidP="00D97271">
      <w:pPr>
        <w:spacing w:line="240" w:lineRule="auto"/>
        <w:outlineLvl w:val="0"/>
        <w:rPr>
          <w:rFonts w:cs="Arial"/>
          <w:b/>
        </w:rPr>
      </w:pPr>
      <w:r>
        <w:rPr>
          <w:rFonts w:cs="Arial"/>
          <w:b/>
        </w:rPr>
        <w:t>Incorporation</w:t>
      </w:r>
      <w:r w:rsidRPr="004470BB">
        <w:rPr>
          <w:rFonts w:cs="Arial"/>
          <w:b/>
        </w:rPr>
        <w:t xml:space="preserve"> by Reference</w:t>
      </w:r>
    </w:p>
    <w:p w14:paraId="321FD8C0" w14:textId="77777777" w:rsidR="00D97271" w:rsidRPr="004470BB" w:rsidRDefault="00D97271" w:rsidP="00D97271">
      <w:pPr>
        <w:pStyle w:val="BodyText"/>
        <w:spacing w:before="120" w:line="260" w:lineRule="atLeast"/>
        <w:rPr>
          <w:rFonts w:asciiTheme="minorHAnsi" w:hAnsiTheme="minorHAnsi" w:cs="Arial"/>
          <w:sz w:val="22"/>
          <w:szCs w:val="22"/>
        </w:rPr>
      </w:pPr>
      <w:r w:rsidRPr="004470BB">
        <w:rPr>
          <w:rFonts w:asciiTheme="minorHAnsi" w:hAnsiTheme="minorHAnsi" w:cs="Arial"/>
          <w:sz w:val="22"/>
          <w:szCs w:val="22"/>
        </w:rPr>
        <w:t xml:space="preserve">The Determination </w:t>
      </w:r>
      <w:r>
        <w:rPr>
          <w:rFonts w:asciiTheme="minorHAnsi" w:hAnsiTheme="minorHAnsi" w:cs="Arial"/>
          <w:sz w:val="22"/>
          <w:szCs w:val="22"/>
        </w:rPr>
        <w:t xml:space="preserve">refers to the following Acts and legislative instruments </w:t>
      </w:r>
      <w:r w:rsidRPr="004470BB">
        <w:rPr>
          <w:rFonts w:asciiTheme="minorHAnsi" w:hAnsiTheme="minorHAnsi" w:cs="Arial"/>
          <w:sz w:val="22"/>
          <w:szCs w:val="22"/>
        </w:rPr>
        <w:t>as in force from time to time</w:t>
      </w:r>
      <w:r>
        <w:rPr>
          <w:rFonts w:asciiTheme="minorHAnsi" w:hAnsiTheme="minorHAnsi" w:cs="Arial"/>
          <w:sz w:val="22"/>
          <w:szCs w:val="22"/>
        </w:rPr>
        <w:t xml:space="preserve"> (as permitted by section 314A of the Act)</w:t>
      </w:r>
      <w:r w:rsidRPr="004470BB">
        <w:rPr>
          <w:rFonts w:asciiTheme="minorHAnsi" w:hAnsiTheme="minorHAnsi" w:cs="Arial"/>
          <w:sz w:val="22"/>
          <w:szCs w:val="22"/>
        </w:rPr>
        <w:t>:</w:t>
      </w:r>
    </w:p>
    <w:p w14:paraId="0ACAFCC5" w14:textId="77777777" w:rsidR="00D97271" w:rsidRPr="00480330" w:rsidRDefault="00D97271" w:rsidP="00D97271">
      <w:pPr>
        <w:numPr>
          <w:ilvl w:val="1"/>
          <w:numId w:val="3"/>
        </w:numPr>
        <w:spacing w:line="240" w:lineRule="auto"/>
        <w:rPr>
          <w:rFonts w:cs="Arial"/>
          <w:i/>
        </w:rPr>
      </w:pPr>
      <w:r w:rsidRPr="004470BB">
        <w:rPr>
          <w:rFonts w:cs="Arial"/>
          <w:i/>
        </w:rPr>
        <w:t>Acts Interpretation Act 1901</w:t>
      </w:r>
    </w:p>
    <w:p w14:paraId="284FBBD4" w14:textId="77777777" w:rsidR="00D97271" w:rsidRPr="00E87005" w:rsidRDefault="00D97271" w:rsidP="00D97271">
      <w:pPr>
        <w:numPr>
          <w:ilvl w:val="1"/>
          <w:numId w:val="3"/>
        </w:numPr>
        <w:spacing w:line="240" w:lineRule="auto"/>
        <w:rPr>
          <w:rFonts w:cs="Arial"/>
          <w:i/>
        </w:rPr>
      </w:pPr>
      <w:r w:rsidRPr="00480330">
        <w:rPr>
          <w:rFonts w:cs="Arial"/>
          <w:i/>
        </w:rPr>
        <w:t>Broadcasting Services Act 1992</w:t>
      </w:r>
    </w:p>
    <w:p w14:paraId="138C3AB9" w14:textId="77777777" w:rsidR="006C3C69" w:rsidRDefault="006C3C69" w:rsidP="006C3C69">
      <w:pPr>
        <w:numPr>
          <w:ilvl w:val="1"/>
          <w:numId w:val="3"/>
        </w:numPr>
        <w:spacing w:line="240" w:lineRule="auto"/>
        <w:rPr>
          <w:rFonts w:cs="Arial"/>
          <w:i/>
        </w:rPr>
      </w:pPr>
      <w:r w:rsidRPr="00480330">
        <w:rPr>
          <w:rFonts w:cs="Arial"/>
          <w:i/>
        </w:rPr>
        <w:t>Broadcasting Services (Technical Planning) Guidelines 2007</w:t>
      </w:r>
    </w:p>
    <w:p w14:paraId="15E57894" w14:textId="77777777" w:rsidR="00D97271" w:rsidRPr="004470BB" w:rsidRDefault="00D97271" w:rsidP="00D97271">
      <w:pPr>
        <w:numPr>
          <w:ilvl w:val="1"/>
          <w:numId w:val="3"/>
        </w:numPr>
        <w:spacing w:line="240" w:lineRule="auto"/>
        <w:rPr>
          <w:rFonts w:cs="Arial"/>
          <w:i/>
        </w:rPr>
      </w:pPr>
      <w:r w:rsidRPr="00E87005">
        <w:rPr>
          <w:rFonts w:cs="Arial"/>
          <w:i/>
        </w:rPr>
        <w:t>Corporations Act 2001</w:t>
      </w:r>
    </w:p>
    <w:p w14:paraId="3CA08135" w14:textId="77777777" w:rsidR="00DC38AB" w:rsidRDefault="00D97271" w:rsidP="00D97271">
      <w:pPr>
        <w:numPr>
          <w:ilvl w:val="1"/>
          <w:numId w:val="3"/>
        </w:numPr>
        <w:spacing w:line="240" w:lineRule="auto"/>
        <w:rPr>
          <w:rFonts w:cs="Arial"/>
          <w:i/>
        </w:rPr>
      </w:pPr>
      <w:r w:rsidRPr="004470BB">
        <w:rPr>
          <w:rFonts w:cs="Arial"/>
          <w:i/>
        </w:rPr>
        <w:t>Radiocommunications Act 1992</w:t>
      </w:r>
    </w:p>
    <w:p w14:paraId="6F0FFB86" w14:textId="77777777" w:rsidR="00DC38AB" w:rsidRDefault="00D97271" w:rsidP="00DC38AB">
      <w:pPr>
        <w:numPr>
          <w:ilvl w:val="1"/>
          <w:numId w:val="3"/>
        </w:numPr>
        <w:spacing w:line="240" w:lineRule="auto"/>
        <w:rPr>
          <w:rFonts w:cs="Arial"/>
          <w:i/>
        </w:rPr>
      </w:pPr>
      <w:r w:rsidRPr="00DC38AB">
        <w:rPr>
          <w:rFonts w:cs="Arial"/>
          <w:i/>
        </w:rPr>
        <w:t>Radiocommunications (Interpretation) Determination 2015</w:t>
      </w:r>
    </w:p>
    <w:p w14:paraId="481323E0" w14:textId="533126A9" w:rsidR="00D97271" w:rsidRPr="00DC38AB" w:rsidRDefault="00D97271" w:rsidP="00DC38AB">
      <w:pPr>
        <w:spacing w:line="240" w:lineRule="auto"/>
        <w:rPr>
          <w:rFonts w:cs="Arial"/>
          <w:i/>
        </w:rPr>
      </w:pPr>
      <w:r w:rsidRPr="00DC38AB">
        <w:rPr>
          <w:rFonts w:cs="Arial"/>
        </w:rPr>
        <w:t>Acts and legislative instruments are available on the ComLaw website (</w:t>
      </w:r>
      <w:hyperlink r:id="rId9" w:history="1">
        <w:r w:rsidRPr="00DC38AB">
          <w:rPr>
            <w:rStyle w:val="Hyperlink"/>
            <w:rFonts w:cs="Arial"/>
          </w:rPr>
          <w:t>http://www.comlaw.gov.au/</w:t>
        </w:r>
      </w:hyperlink>
      <w:r w:rsidRPr="00DC38AB">
        <w:rPr>
          <w:rFonts w:cs="Arial"/>
        </w:rPr>
        <w:t>).</w:t>
      </w:r>
    </w:p>
    <w:p w14:paraId="21541F4B" w14:textId="445F325C" w:rsidR="00D97271" w:rsidRDefault="00D97271" w:rsidP="00D97271">
      <w:pPr>
        <w:keepNext/>
        <w:spacing w:line="240" w:lineRule="auto"/>
        <w:outlineLvl w:val="0"/>
        <w:rPr>
          <w:rFonts w:cs="Arial"/>
        </w:rPr>
      </w:pPr>
      <w:r>
        <w:rPr>
          <w:rFonts w:cs="Arial"/>
        </w:rPr>
        <w:t>The Determination also refers to</w:t>
      </w:r>
      <w:r w:rsidR="00DC38AB">
        <w:rPr>
          <w:rFonts w:cs="Arial"/>
        </w:rPr>
        <w:t>,</w:t>
      </w:r>
      <w:r>
        <w:rPr>
          <w:rFonts w:cs="Arial"/>
        </w:rPr>
        <w:t xml:space="preserve"> or incorporates the following documents (as permitted by section 314A of the Act):</w:t>
      </w:r>
    </w:p>
    <w:p w14:paraId="33414EB2" w14:textId="03D7F4D4" w:rsidR="00D97271" w:rsidRPr="0016145A" w:rsidRDefault="00D97271" w:rsidP="00D97271">
      <w:pPr>
        <w:numPr>
          <w:ilvl w:val="1"/>
          <w:numId w:val="3"/>
        </w:numPr>
        <w:spacing w:line="240" w:lineRule="auto"/>
        <w:rPr>
          <w:rFonts w:cs="Arial"/>
        </w:rPr>
      </w:pPr>
      <w:r w:rsidRPr="00480330">
        <w:rPr>
          <w:rFonts w:cs="Arial"/>
        </w:rPr>
        <w:t>the 2001 Census, conducted by the Australian Bureau of Statistics (ABS)</w:t>
      </w:r>
    </w:p>
    <w:p w14:paraId="6B74E352" w14:textId="5D6D78A7" w:rsidR="00D97271" w:rsidRPr="0016145A" w:rsidRDefault="00D97271" w:rsidP="00D97271">
      <w:pPr>
        <w:numPr>
          <w:ilvl w:val="1"/>
          <w:numId w:val="3"/>
        </w:numPr>
        <w:spacing w:line="240" w:lineRule="auto"/>
        <w:rPr>
          <w:rFonts w:cs="Arial"/>
        </w:rPr>
      </w:pPr>
      <w:r w:rsidRPr="0016145A">
        <w:rPr>
          <w:rFonts w:cs="Arial"/>
        </w:rPr>
        <w:t xml:space="preserve">the Register </w:t>
      </w:r>
      <w:r>
        <w:rPr>
          <w:rFonts w:cs="Arial"/>
        </w:rPr>
        <w:t>of Radiocommunications Licences</w:t>
      </w:r>
      <w:r w:rsidR="003B0D84">
        <w:rPr>
          <w:rFonts w:cs="Arial"/>
        </w:rPr>
        <w:t xml:space="preserve">, </w:t>
      </w:r>
      <w:r w:rsidR="00260128">
        <w:rPr>
          <w:rFonts w:cs="Arial"/>
        </w:rPr>
        <w:t xml:space="preserve">as </w:t>
      </w:r>
      <w:r w:rsidR="00260128">
        <w:t>established and kept by the ACMA in accordance with s</w:t>
      </w:r>
      <w:r w:rsidR="001D520E">
        <w:t>ection</w:t>
      </w:r>
      <w:r w:rsidR="00260128">
        <w:t xml:space="preserve"> 143 </w:t>
      </w:r>
      <w:r w:rsidR="001D520E">
        <w:t xml:space="preserve">of the Act </w:t>
      </w:r>
      <w:r w:rsidR="003B0D84">
        <w:rPr>
          <w:rFonts w:cs="Arial"/>
        </w:rPr>
        <w:t>from time to time</w:t>
      </w:r>
    </w:p>
    <w:p w14:paraId="7E41A6C3" w14:textId="77777777" w:rsidR="00D97271" w:rsidRPr="00267849" w:rsidRDefault="00D97271" w:rsidP="00D97271">
      <w:pPr>
        <w:pStyle w:val="BodyText"/>
        <w:rPr>
          <w:rFonts w:cs="Arial"/>
          <w:sz w:val="22"/>
        </w:rPr>
      </w:pPr>
      <w:r>
        <w:rPr>
          <w:rFonts w:asciiTheme="minorHAnsi" w:hAnsiTheme="minorHAnsi" w:cs="Arial"/>
          <w:sz w:val="22"/>
          <w:szCs w:val="22"/>
        </w:rPr>
        <w:t xml:space="preserve">The results of the 2001 Census are available from the ABS website at </w:t>
      </w:r>
      <w:hyperlink r:id="rId10" w:history="1">
        <w:r w:rsidRPr="005D59B5">
          <w:rPr>
            <w:rStyle w:val="Hyperlink"/>
            <w:rFonts w:asciiTheme="minorHAnsi" w:hAnsiTheme="minorHAnsi" w:cs="Arial"/>
            <w:sz w:val="22"/>
            <w:szCs w:val="22"/>
          </w:rPr>
          <w:t>http://www.abs.gov.au</w:t>
        </w:r>
      </w:hyperlink>
      <w:r>
        <w:rPr>
          <w:rFonts w:asciiTheme="minorHAnsi" w:hAnsiTheme="minorHAnsi" w:cs="Arial"/>
          <w:sz w:val="22"/>
          <w:szCs w:val="22"/>
        </w:rPr>
        <w:t xml:space="preserve">.  The Register of Radiocommunications Licences is available from </w:t>
      </w:r>
      <w:hyperlink r:id="rId11" w:history="1">
        <w:r w:rsidRPr="005D59B5">
          <w:rPr>
            <w:rStyle w:val="Hyperlink"/>
            <w:rFonts w:asciiTheme="minorHAnsi" w:hAnsiTheme="minorHAnsi" w:cs="Arial"/>
            <w:sz w:val="22"/>
            <w:szCs w:val="22"/>
          </w:rPr>
          <w:t>http://www.acma.gov.au</w:t>
        </w:r>
      </w:hyperlink>
      <w:r>
        <w:rPr>
          <w:rFonts w:asciiTheme="minorHAnsi" w:hAnsiTheme="minorHAnsi" w:cs="Arial"/>
          <w:sz w:val="22"/>
          <w:szCs w:val="22"/>
        </w:rPr>
        <w:t>.</w:t>
      </w:r>
    </w:p>
    <w:p w14:paraId="37A78F49" w14:textId="77777777" w:rsidR="00D97271" w:rsidRPr="00267849" w:rsidRDefault="00D97271" w:rsidP="00D97271">
      <w:pPr>
        <w:keepNext/>
        <w:spacing w:line="240" w:lineRule="auto"/>
        <w:outlineLvl w:val="0"/>
        <w:rPr>
          <w:rFonts w:cs="Arial"/>
          <w:b/>
        </w:rPr>
      </w:pPr>
      <w:r w:rsidRPr="00267849">
        <w:rPr>
          <w:rFonts w:cs="Arial"/>
          <w:b/>
        </w:rPr>
        <w:t>Statement of Compatibility with Human Rights</w:t>
      </w:r>
    </w:p>
    <w:p w14:paraId="3230B485" w14:textId="77777777" w:rsidR="00D97271" w:rsidRPr="00267849" w:rsidRDefault="00D97271" w:rsidP="00D97271">
      <w:pPr>
        <w:spacing w:line="240" w:lineRule="auto"/>
        <w:outlineLvl w:val="0"/>
        <w:rPr>
          <w:rFonts w:cs="Arial"/>
        </w:rPr>
      </w:pPr>
      <w:r w:rsidRPr="00267849">
        <w:rPr>
          <w:rFonts w:cs="Arial"/>
        </w:rPr>
        <w:t xml:space="preserve">As required by subsection 9(1) of the </w:t>
      </w:r>
      <w:r w:rsidRPr="00267849">
        <w:rPr>
          <w:rFonts w:cs="Arial"/>
          <w:i/>
        </w:rPr>
        <w:t>Human Rights (Parliamentary Scrutiny) Act 2011</w:t>
      </w:r>
      <w:r w:rsidRPr="00267849">
        <w:rPr>
          <w:rFonts w:cs="Arial"/>
        </w:rPr>
        <w:t xml:space="preserve"> a Statement of Compatibility with Human Rights has been prepared by the ACMA and is at </w:t>
      </w:r>
      <w:r w:rsidRPr="00267849">
        <w:rPr>
          <w:rFonts w:cs="Arial"/>
          <w:b/>
        </w:rPr>
        <w:t xml:space="preserve">Attachment </w:t>
      </w:r>
      <w:r>
        <w:rPr>
          <w:rFonts w:cs="Arial"/>
          <w:b/>
        </w:rPr>
        <w:t>B</w:t>
      </w:r>
      <w:r w:rsidRPr="00267849">
        <w:rPr>
          <w:rFonts w:cs="Arial"/>
        </w:rPr>
        <w:t>.</w:t>
      </w:r>
    </w:p>
    <w:p w14:paraId="118A135B" w14:textId="77777777" w:rsidR="00D97271" w:rsidRPr="002A7BB4" w:rsidRDefault="00D97271" w:rsidP="00D97271">
      <w:pPr>
        <w:rPr>
          <w:rFonts w:cs="Arial"/>
          <w:sz w:val="20"/>
        </w:rPr>
      </w:pPr>
      <w:r w:rsidRPr="002A7BB4">
        <w:rPr>
          <w:rFonts w:cs="Arial"/>
          <w:sz w:val="20"/>
        </w:rPr>
        <w:br w:type="page"/>
      </w:r>
    </w:p>
    <w:p w14:paraId="79155702" w14:textId="77777777" w:rsidR="00D97271" w:rsidRPr="00267849" w:rsidRDefault="00D97271" w:rsidP="00D97271">
      <w:pPr>
        <w:spacing w:line="240" w:lineRule="auto"/>
        <w:outlineLvl w:val="0"/>
        <w:rPr>
          <w:rFonts w:cs="Arial"/>
          <w:b/>
        </w:rPr>
      </w:pPr>
      <w:r w:rsidRPr="00267849">
        <w:rPr>
          <w:rFonts w:cs="Arial"/>
          <w:b/>
        </w:rPr>
        <w:lastRenderedPageBreak/>
        <w:t>Attachment A</w:t>
      </w:r>
    </w:p>
    <w:p w14:paraId="42B7D679" w14:textId="77777777" w:rsidR="00D97271" w:rsidRPr="00267849" w:rsidRDefault="00D97271" w:rsidP="00D97271">
      <w:pPr>
        <w:spacing w:line="240" w:lineRule="auto"/>
        <w:outlineLvl w:val="0"/>
        <w:rPr>
          <w:rFonts w:cs="Arial"/>
          <w:b/>
        </w:rPr>
      </w:pPr>
      <w:r w:rsidRPr="00267849">
        <w:rPr>
          <w:rFonts w:cs="Arial"/>
          <w:b/>
        </w:rPr>
        <w:t>DETAILS OF THE RADIOCOMMUNICATONS LICENCE CONDITIONS (BROADCASTING LICENCE) DETERMINATION 2015</w:t>
      </w:r>
    </w:p>
    <w:p w14:paraId="21ABA56B" w14:textId="77777777" w:rsidR="00D97271" w:rsidRPr="00267849" w:rsidRDefault="00D97271" w:rsidP="00D97271">
      <w:pPr>
        <w:spacing w:line="240" w:lineRule="auto"/>
        <w:outlineLvl w:val="0"/>
        <w:rPr>
          <w:rFonts w:cs="Arial"/>
          <w:b/>
        </w:rPr>
      </w:pPr>
      <w:r w:rsidRPr="00267849">
        <w:rPr>
          <w:rFonts w:cs="Arial"/>
          <w:b/>
        </w:rPr>
        <w:t>Part 1 - Preliminary</w:t>
      </w:r>
    </w:p>
    <w:p w14:paraId="50F5BBF5" w14:textId="77777777" w:rsidR="00D97271" w:rsidRPr="00267849" w:rsidRDefault="00D97271" w:rsidP="00D97271">
      <w:pPr>
        <w:spacing w:line="240" w:lineRule="auto"/>
        <w:outlineLvl w:val="0"/>
        <w:rPr>
          <w:rFonts w:cs="Arial"/>
          <w:b/>
        </w:rPr>
      </w:pPr>
      <w:r w:rsidRPr="00267849">
        <w:rPr>
          <w:rFonts w:cs="Arial"/>
          <w:b/>
        </w:rPr>
        <w:t>Section 1.1</w:t>
      </w:r>
      <w:r>
        <w:rPr>
          <w:rFonts w:cs="Arial"/>
          <w:b/>
        </w:rPr>
        <w:tab/>
      </w:r>
      <w:r w:rsidRPr="00267849">
        <w:rPr>
          <w:rFonts w:cs="Arial"/>
          <w:b/>
        </w:rPr>
        <w:t>Name of determination</w:t>
      </w:r>
    </w:p>
    <w:p w14:paraId="7E3887C8" w14:textId="4BBA8638" w:rsidR="00D97271" w:rsidRPr="00267849" w:rsidRDefault="00D97271" w:rsidP="00D97271">
      <w:pPr>
        <w:spacing w:line="240" w:lineRule="auto"/>
        <w:outlineLvl w:val="0"/>
        <w:rPr>
          <w:rFonts w:cs="Arial"/>
        </w:rPr>
      </w:pPr>
      <w:r w:rsidRPr="00267849">
        <w:rPr>
          <w:rFonts w:cs="Arial"/>
        </w:rPr>
        <w:t xml:space="preserve">Section 1 provides that the Determination is the </w:t>
      </w:r>
      <w:r w:rsidRPr="00267849">
        <w:rPr>
          <w:rFonts w:cs="Arial"/>
          <w:i/>
        </w:rPr>
        <w:t>Radiocommunications Licence Conditions (Broadcasting Licence</w:t>
      </w:r>
      <w:r w:rsidR="001D520E">
        <w:rPr>
          <w:rFonts w:cs="Arial"/>
          <w:i/>
        </w:rPr>
        <w:t>) Determination</w:t>
      </w:r>
      <w:r w:rsidRPr="00267849">
        <w:rPr>
          <w:rFonts w:cs="Arial"/>
        </w:rPr>
        <w:t xml:space="preserve"> </w:t>
      </w:r>
      <w:r w:rsidRPr="00267849">
        <w:rPr>
          <w:rFonts w:cs="Arial"/>
          <w:i/>
        </w:rPr>
        <w:t>2015</w:t>
      </w:r>
      <w:r w:rsidRPr="00267849">
        <w:rPr>
          <w:rFonts w:cs="Arial"/>
        </w:rPr>
        <w:t>.</w:t>
      </w:r>
    </w:p>
    <w:p w14:paraId="59BE056E" w14:textId="77777777" w:rsidR="00D97271" w:rsidRPr="00267849" w:rsidRDefault="00D97271" w:rsidP="00D97271">
      <w:pPr>
        <w:spacing w:line="240" w:lineRule="auto"/>
        <w:outlineLvl w:val="0"/>
        <w:rPr>
          <w:rFonts w:cs="Arial"/>
          <w:b/>
        </w:rPr>
      </w:pPr>
      <w:r w:rsidRPr="00267849">
        <w:rPr>
          <w:rFonts w:cs="Arial"/>
          <w:b/>
        </w:rPr>
        <w:t>Section 1.2</w:t>
      </w:r>
      <w:r>
        <w:rPr>
          <w:rFonts w:cs="Arial"/>
          <w:b/>
        </w:rPr>
        <w:tab/>
      </w:r>
      <w:r w:rsidRPr="00267849">
        <w:rPr>
          <w:rFonts w:cs="Arial"/>
          <w:b/>
        </w:rPr>
        <w:t>Commencement</w:t>
      </w:r>
    </w:p>
    <w:p w14:paraId="69E33DE0" w14:textId="77777777" w:rsidR="00D97271" w:rsidRPr="00267849" w:rsidRDefault="00D97271" w:rsidP="00D97271">
      <w:pPr>
        <w:spacing w:line="240" w:lineRule="auto"/>
        <w:outlineLvl w:val="0"/>
        <w:rPr>
          <w:rFonts w:cs="Arial"/>
        </w:rPr>
      </w:pPr>
      <w:r w:rsidRPr="00267849">
        <w:rPr>
          <w:rFonts w:cs="Arial"/>
        </w:rPr>
        <w:t>Section 1.2 provides that the Determination commences on the day after it is registered on the Federal Register of Legislative Instruments.</w:t>
      </w:r>
    </w:p>
    <w:p w14:paraId="4DC9B050" w14:textId="77777777" w:rsidR="00D97271" w:rsidRPr="00267849" w:rsidRDefault="00D97271" w:rsidP="00D97271">
      <w:pPr>
        <w:spacing w:line="240" w:lineRule="auto"/>
        <w:outlineLvl w:val="0"/>
        <w:rPr>
          <w:rFonts w:cs="Arial"/>
          <w:b/>
        </w:rPr>
      </w:pPr>
      <w:r w:rsidRPr="00267849">
        <w:rPr>
          <w:rFonts w:cs="Arial"/>
          <w:b/>
        </w:rPr>
        <w:t>Section 1.2A</w:t>
      </w:r>
      <w:r>
        <w:rPr>
          <w:rFonts w:cs="Arial"/>
          <w:b/>
        </w:rPr>
        <w:tab/>
      </w:r>
      <w:r w:rsidRPr="00267849">
        <w:rPr>
          <w:rFonts w:cs="Arial"/>
          <w:b/>
        </w:rPr>
        <w:t>Revocation</w:t>
      </w:r>
    </w:p>
    <w:p w14:paraId="4D7DC328" w14:textId="77777777" w:rsidR="00D97271" w:rsidRPr="00267849" w:rsidRDefault="00D97271" w:rsidP="00D97271">
      <w:pPr>
        <w:spacing w:line="240" w:lineRule="auto"/>
        <w:outlineLvl w:val="0"/>
        <w:rPr>
          <w:rFonts w:cs="Arial"/>
          <w:i/>
        </w:rPr>
      </w:pPr>
      <w:r w:rsidRPr="00267849">
        <w:rPr>
          <w:rFonts w:cs="Arial"/>
        </w:rPr>
        <w:t xml:space="preserve">Section 1.2A revokes the </w:t>
      </w:r>
      <w:r w:rsidRPr="00267849">
        <w:rPr>
          <w:rFonts w:cs="Arial"/>
          <w:i/>
        </w:rPr>
        <w:t>Radiocommunications Licence Conditions (Broadcasting Licence) Determination No.1 of 1998</w:t>
      </w:r>
      <w:r w:rsidRPr="00267849">
        <w:rPr>
          <w:rFonts w:cs="Arial"/>
        </w:rPr>
        <w:t>.</w:t>
      </w:r>
      <w:r w:rsidRPr="00267849">
        <w:rPr>
          <w:rFonts w:cs="Arial"/>
          <w:i/>
        </w:rPr>
        <w:t xml:space="preserve"> </w:t>
      </w:r>
    </w:p>
    <w:p w14:paraId="6CB4A40E" w14:textId="77777777" w:rsidR="00D97271" w:rsidRPr="00267849" w:rsidRDefault="00D97271" w:rsidP="00D97271">
      <w:pPr>
        <w:spacing w:line="240" w:lineRule="auto"/>
        <w:outlineLvl w:val="0"/>
        <w:rPr>
          <w:rFonts w:cs="Arial"/>
          <w:b/>
        </w:rPr>
      </w:pPr>
      <w:r w:rsidRPr="00267849">
        <w:rPr>
          <w:rFonts w:cs="Arial"/>
          <w:b/>
        </w:rPr>
        <w:t>Section 1.3</w:t>
      </w:r>
      <w:r>
        <w:rPr>
          <w:rFonts w:cs="Arial"/>
          <w:b/>
        </w:rPr>
        <w:tab/>
      </w:r>
      <w:r w:rsidRPr="00267849">
        <w:rPr>
          <w:rFonts w:cs="Arial"/>
          <w:b/>
        </w:rPr>
        <w:t>Scope</w:t>
      </w:r>
    </w:p>
    <w:p w14:paraId="690694B6" w14:textId="77777777" w:rsidR="00D97271" w:rsidRPr="00267849" w:rsidRDefault="00D97271" w:rsidP="00D97271">
      <w:pPr>
        <w:spacing w:line="240" w:lineRule="auto"/>
        <w:outlineLvl w:val="0"/>
        <w:rPr>
          <w:rFonts w:cs="Arial"/>
        </w:rPr>
      </w:pPr>
      <w:r w:rsidRPr="00267849">
        <w:rPr>
          <w:rFonts w:cs="Arial"/>
        </w:rPr>
        <w:t>Section 1.3 provides that:</w:t>
      </w:r>
    </w:p>
    <w:p w14:paraId="3C83EC0D" w14:textId="77777777" w:rsidR="00D97271" w:rsidRPr="00267849" w:rsidRDefault="00D97271" w:rsidP="00D97271">
      <w:pPr>
        <w:pStyle w:val="ListParagraph"/>
        <w:numPr>
          <w:ilvl w:val="0"/>
          <w:numId w:val="8"/>
        </w:numPr>
        <w:spacing w:line="240" w:lineRule="auto"/>
        <w:outlineLvl w:val="0"/>
        <w:rPr>
          <w:rFonts w:cs="Arial"/>
        </w:rPr>
      </w:pPr>
      <w:r w:rsidRPr="00267849">
        <w:rPr>
          <w:rFonts w:cs="Arial"/>
        </w:rPr>
        <w:t>every broadcasting licence is subject to the licence conditions set out in Part 2 of the Determination;</w:t>
      </w:r>
    </w:p>
    <w:p w14:paraId="2C0371B6" w14:textId="0ED81BAC" w:rsidR="00D97271" w:rsidRPr="00267849" w:rsidRDefault="00D97271" w:rsidP="00D97271">
      <w:pPr>
        <w:pStyle w:val="ListParagraph"/>
        <w:numPr>
          <w:ilvl w:val="0"/>
          <w:numId w:val="8"/>
        </w:numPr>
        <w:spacing w:line="240" w:lineRule="auto"/>
        <w:outlineLvl w:val="0"/>
        <w:rPr>
          <w:rFonts w:cs="Arial"/>
        </w:rPr>
      </w:pPr>
      <w:r w:rsidRPr="00267849">
        <w:rPr>
          <w:rFonts w:cs="Arial"/>
        </w:rPr>
        <w:t>every broadcasting licence (broadcasting service) is also subject to the licence condition set out in Part 3 of the Determination;</w:t>
      </w:r>
    </w:p>
    <w:p w14:paraId="1B2E156E" w14:textId="77777777" w:rsidR="00D97271" w:rsidRPr="00267849" w:rsidRDefault="00D97271" w:rsidP="00D97271">
      <w:pPr>
        <w:pStyle w:val="ListParagraph"/>
        <w:numPr>
          <w:ilvl w:val="0"/>
          <w:numId w:val="8"/>
        </w:numPr>
        <w:spacing w:line="240" w:lineRule="auto"/>
        <w:outlineLvl w:val="0"/>
        <w:rPr>
          <w:rFonts w:cs="Arial"/>
        </w:rPr>
      </w:pPr>
      <w:r w:rsidRPr="00267849">
        <w:rPr>
          <w:rFonts w:cs="Arial"/>
        </w:rPr>
        <w:t>every broadcasting licence (narrowcasting service) is also subject to the licence conditions set out in Part 4 of the Determination;</w:t>
      </w:r>
    </w:p>
    <w:p w14:paraId="51F8ED49" w14:textId="77777777" w:rsidR="00D97271" w:rsidRPr="00267849" w:rsidRDefault="00D97271" w:rsidP="00D97271">
      <w:pPr>
        <w:pStyle w:val="ListParagraph"/>
        <w:numPr>
          <w:ilvl w:val="0"/>
          <w:numId w:val="8"/>
        </w:numPr>
        <w:spacing w:line="240" w:lineRule="auto"/>
        <w:outlineLvl w:val="0"/>
        <w:rPr>
          <w:rFonts w:cs="Arial"/>
        </w:rPr>
      </w:pPr>
      <w:r w:rsidRPr="00267849">
        <w:rPr>
          <w:rFonts w:cs="Arial"/>
        </w:rPr>
        <w:t>every broadcasting licence (narrowband area service) is also subject to the licence conditions set out in Part 5 of the Determination.</w:t>
      </w:r>
    </w:p>
    <w:p w14:paraId="55B3D891" w14:textId="2C78F6B2" w:rsidR="00D97271" w:rsidRDefault="00D97271" w:rsidP="00D97271">
      <w:pPr>
        <w:spacing w:line="240" w:lineRule="auto"/>
        <w:outlineLvl w:val="0"/>
        <w:rPr>
          <w:rFonts w:cs="Arial"/>
        </w:rPr>
      </w:pPr>
      <w:r>
        <w:rPr>
          <w:rFonts w:cs="Arial"/>
        </w:rPr>
        <w:t xml:space="preserve">Because of subsection 107(3) of the Act, the Determination only applies to broadcasting licences that are </w:t>
      </w:r>
      <w:r w:rsidR="006C3C69">
        <w:rPr>
          <w:rFonts w:cs="Arial"/>
        </w:rPr>
        <w:t xml:space="preserve">not </w:t>
      </w:r>
      <w:r>
        <w:rPr>
          <w:rFonts w:cs="Arial"/>
        </w:rPr>
        <w:t>issued under section</w:t>
      </w:r>
      <w:r w:rsidR="006C3C69">
        <w:rPr>
          <w:rFonts w:cs="Arial"/>
        </w:rPr>
        <w:t>s</w:t>
      </w:r>
      <w:r>
        <w:rPr>
          <w:rFonts w:cs="Arial"/>
        </w:rPr>
        <w:t xml:space="preserve"> 10</w:t>
      </w:r>
      <w:r w:rsidR="006C3C69">
        <w:rPr>
          <w:rFonts w:cs="Arial"/>
        </w:rPr>
        <w:t>1A or 102</w:t>
      </w:r>
      <w:r>
        <w:rPr>
          <w:rFonts w:cs="Arial"/>
        </w:rPr>
        <w:t xml:space="preserve">, </w:t>
      </w:r>
      <w:r w:rsidR="006C3C69">
        <w:rPr>
          <w:rFonts w:cs="Arial"/>
        </w:rPr>
        <w:t xml:space="preserve">and which </w:t>
      </w:r>
      <w:r>
        <w:rPr>
          <w:rFonts w:cs="Arial"/>
        </w:rPr>
        <w:t>are not datacasting transmitter licences or digital radio multiplex transmitter licences.</w:t>
      </w:r>
    </w:p>
    <w:p w14:paraId="6F8824B7" w14:textId="77777777" w:rsidR="00D97271" w:rsidRPr="00267849" w:rsidRDefault="00D97271" w:rsidP="00D97271">
      <w:pPr>
        <w:spacing w:line="240" w:lineRule="auto"/>
        <w:outlineLvl w:val="0"/>
        <w:rPr>
          <w:rFonts w:cs="Arial"/>
        </w:rPr>
      </w:pPr>
      <w:r w:rsidRPr="00267849">
        <w:rPr>
          <w:rFonts w:cs="Arial"/>
        </w:rPr>
        <w:t>Subsection (2) provides that if a condition in the Determination is inconsistent with a condition specified in the licence, the condition specified in the licence applies.</w:t>
      </w:r>
    </w:p>
    <w:p w14:paraId="54F56BDA" w14:textId="77777777" w:rsidR="00D97271" w:rsidRPr="00267849" w:rsidRDefault="00D97271" w:rsidP="00D97271">
      <w:pPr>
        <w:spacing w:line="240" w:lineRule="auto"/>
        <w:outlineLvl w:val="0"/>
        <w:rPr>
          <w:rFonts w:cs="Arial"/>
          <w:b/>
        </w:rPr>
      </w:pPr>
      <w:r w:rsidRPr="00267849">
        <w:rPr>
          <w:rFonts w:cs="Arial"/>
          <w:b/>
        </w:rPr>
        <w:t>Section 1.4</w:t>
      </w:r>
      <w:r>
        <w:rPr>
          <w:rFonts w:cs="Arial"/>
          <w:b/>
        </w:rPr>
        <w:tab/>
      </w:r>
      <w:r w:rsidRPr="00267849">
        <w:rPr>
          <w:rFonts w:cs="Arial"/>
          <w:b/>
        </w:rPr>
        <w:t>Interpretation</w:t>
      </w:r>
    </w:p>
    <w:p w14:paraId="66376F46" w14:textId="77777777" w:rsidR="00D97271" w:rsidRPr="00267849" w:rsidRDefault="00D97271" w:rsidP="00D97271">
      <w:pPr>
        <w:spacing w:line="240" w:lineRule="auto"/>
        <w:outlineLvl w:val="0"/>
        <w:rPr>
          <w:rFonts w:cs="Arial"/>
        </w:rPr>
      </w:pPr>
      <w:r w:rsidRPr="00267849">
        <w:rPr>
          <w:rFonts w:cs="Arial"/>
        </w:rPr>
        <w:t>Subsection 1.4(1) defines terms used in the Determination.</w:t>
      </w:r>
    </w:p>
    <w:p w14:paraId="77B4AB8A" w14:textId="379CCCE7" w:rsidR="00D97271" w:rsidRPr="00267849" w:rsidRDefault="00D97271" w:rsidP="00D97271">
      <w:pPr>
        <w:spacing w:line="240" w:lineRule="auto"/>
        <w:outlineLvl w:val="0"/>
        <w:rPr>
          <w:rFonts w:cs="Arial"/>
        </w:rPr>
      </w:pPr>
      <w:r>
        <w:rPr>
          <w:rFonts w:cs="Arial"/>
        </w:rPr>
        <w:t>T</w:t>
      </w:r>
      <w:r w:rsidRPr="00267849">
        <w:rPr>
          <w:rFonts w:cs="Arial"/>
        </w:rPr>
        <w:t xml:space="preserve">he definition of </w:t>
      </w:r>
      <w:r w:rsidRPr="00267849">
        <w:rPr>
          <w:rFonts w:cs="Arial"/>
          <w:i/>
        </w:rPr>
        <w:t>broadcast service station</w:t>
      </w:r>
      <w:r w:rsidRPr="00267849">
        <w:rPr>
          <w:rFonts w:cs="Arial"/>
        </w:rPr>
        <w:t xml:space="preserve"> </w:t>
      </w:r>
      <w:r>
        <w:rPr>
          <w:rFonts w:cs="Arial"/>
        </w:rPr>
        <w:t xml:space="preserve">in </w:t>
      </w:r>
      <w:r w:rsidRPr="00267849">
        <w:rPr>
          <w:rFonts w:cs="Arial"/>
        </w:rPr>
        <w:t>the Determination</w:t>
      </w:r>
      <w:r>
        <w:rPr>
          <w:rFonts w:cs="Arial"/>
        </w:rPr>
        <w:t xml:space="preserve"> is different</w:t>
      </w:r>
      <w:r w:rsidRPr="00267849">
        <w:rPr>
          <w:rFonts w:cs="Arial"/>
        </w:rPr>
        <w:t xml:space="preserve"> to that in the </w:t>
      </w:r>
      <w:r w:rsidRPr="00267849">
        <w:rPr>
          <w:rFonts w:cs="Arial"/>
          <w:i/>
        </w:rPr>
        <w:t>Radiocommunications (Interpretation) Determination 2015</w:t>
      </w:r>
      <w:r w:rsidRPr="00267849">
        <w:rPr>
          <w:rFonts w:cs="Arial"/>
        </w:rPr>
        <w:t xml:space="preserve">. </w:t>
      </w:r>
      <w:r>
        <w:rPr>
          <w:rFonts w:cs="Arial"/>
        </w:rPr>
        <w:t>The definition in the Determination is limited to stations operated for providing national broadcasting services.</w:t>
      </w:r>
    </w:p>
    <w:p w14:paraId="6925C88A" w14:textId="77777777" w:rsidR="00D97271" w:rsidRPr="00267849" w:rsidRDefault="00D97271" w:rsidP="00D97271">
      <w:pPr>
        <w:spacing w:line="240" w:lineRule="auto"/>
        <w:outlineLvl w:val="0"/>
        <w:rPr>
          <w:rFonts w:cs="Arial"/>
        </w:rPr>
      </w:pPr>
      <w:r w:rsidRPr="00267849">
        <w:rPr>
          <w:rFonts w:cs="Arial"/>
        </w:rPr>
        <w:t>Subsection (2) sets out the manner in which a frequency band is described in the Determination.</w:t>
      </w:r>
    </w:p>
    <w:p w14:paraId="698B3643" w14:textId="77777777" w:rsidR="00D97271" w:rsidRPr="00267849" w:rsidRDefault="00D97271" w:rsidP="00D97271">
      <w:pPr>
        <w:keepNext/>
        <w:spacing w:line="240" w:lineRule="auto"/>
        <w:outlineLvl w:val="0"/>
        <w:rPr>
          <w:rFonts w:cs="Arial"/>
          <w:b/>
        </w:rPr>
      </w:pPr>
      <w:r w:rsidRPr="00267849">
        <w:rPr>
          <w:rFonts w:cs="Arial"/>
          <w:b/>
        </w:rPr>
        <w:t>Part 2 – Conditions for every licence</w:t>
      </w:r>
    </w:p>
    <w:p w14:paraId="1CADAA45" w14:textId="77777777" w:rsidR="00D97271" w:rsidRPr="00267849" w:rsidRDefault="00D97271" w:rsidP="00D97271">
      <w:pPr>
        <w:keepNext/>
        <w:spacing w:line="240" w:lineRule="auto"/>
        <w:outlineLvl w:val="0"/>
        <w:rPr>
          <w:rFonts w:cs="Arial"/>
          <w:b/>
        </w:rPr>
      </w:pPr>
      <w:r w:rsidRPr="00267849">
        <w:rPr>
          <w:rFonts w:cs="Arial"/>
          <w:b/>
        </w:rPr>
        <w:t>Section 2.1</w:t>
      </w:r>
      <w:r>
        <w:rPr>
          <w:rFonts w:cs="Arial"/>
          <w:b/>
        </w:rPr>
        <w:tab/>
      </w:r>
      <w:r w:rsidRPr="00267849">
        <w:rPr>
          <w:rFonts w:cs="Arial"/>
          <w:b/>
        </w:rPr>
        <w:t>Conditions</w:t>
      </w:r>
    </w:p>
    <w:p w14:paraId="4D69CB31" w14:textId="66E35302" w:rsidR="00D97271" w:rsidRPr="00267849" w:rsidRDefault="00D97271" w:rsidP="00D97271">
      <w:pPr>
        <w:spacing w:line="240" w:lineRule="auto"/>
        <w:outlineLvl w:val="0"/>
        <w:rPr>
          <w:rFonts w:cs="Arial"/>
        </w:rPr>
      </w:pPr>
      <w:r w:rsidRPr="00267849">
        <w:rPr>
          <w:rFonts w:cs="Arial"/>
        </w:rPr>
        <w:t xml:space="preserve">Section 2.1 provides that Part 2 applies common licence conditions to every licence which </w:t>
      </w:r>
      <w:r w:rsidR="001D520E">
        <w:rPr>
          <w:rFonts w:cs="Arial"/>
        </w:rPr>
        <w:t>is subject to the Determination</w:t>
      </w:r>
      <w:r w:rsidRPr="00267849">
        <w:rPr>
          <w:rFonts w:cs="Arial"/>
        </w:rPr>
        <w:t>.</w:t>
      </w:r>
    </w:p>
    <w:p w14:paraId="6EA5047E" w14:textId="77777777" w:rsidR="00D97271" w:rsidRPr="00267849" w:rsidRDefault="00D97271" w:rsidP="00D97271">
      <w:pPr>
        <w:spacing w:line="240" w:lineRule="auto"/>
        <w:outlineLvl w:val="0"/>
        <w:rPr>
          <w:rFonts w:cs="Arial"/>
          <w:b/>
        </w:rPr>
      </w:pPr>
      <w:r w:rsidRPr="00267849">
        <w:rPr>
          <w:rFonts w:cs="Arial"/>
          <w:b/>
        </w:rPr>
        <w:t>Section 2.2</w:t>
      </w:r>
      <w:r>
        <w:rPr>
          <w:rFonts w:cs="Arial"/>
          <w:b/>
        </w:rPr>
        <w:tab/>
      </w:r>
      <w:r w:rsidRPr="00267849">
        <w:rPr>
          <w:rFonts w:cs="Arial"/>
          <w:b/>
        </w:rPr>
        <w:t>Licensee to advertise before commencing service</w:t>
      </w:r>
    </w:p>
    <w:p w14:paraId="4BAA52FA" w14:textId="6811C1C7" w:rsidR="00D97271" w:rsidRPr="00267849" w:rsidRDefault="00D97271" w:rsidP="00D97271">
      <w:pPr>
        <w:spacing w:line="240" w:lineRule="auto"/>
        <w:outlineLvl w:val="0"/>
        <w:rPr>
          <w:rFonts w:cs="Arial"/>
        </w:rPr>
      </w:pPr>
      <w:r w:rsidRPr="00267849">
        <w:rPr>
          <w:rFonts w:cs="Arial"/>
        </w:rPr>
        <w:lastRenderedPageBreak/>
        <w:t>Section 2.2 sets out start-up requirements for broadcasting licensees commencing new services</w:t>
      </w:r>
      <w:r w:rsidR="002050EA">
        <w:rPr>
          <w:rFonts w:cs="Arial"/>
        </w:rPr>
        <w:t>.</w:t>
      </w:r>
      <w:r w:rsidRPr="00267849">
        <w:rPr>
          <w:rFonts w:cs="Arial"/>
        </w:rPr>
        <w:t xml:space="preserve"> The section requires licensees to make statements and information available to the public, as set out in </w:t>
      </w:r>
      <w:r>
        <w:rPr>
          <w:rFonts w:cs="Arial"/>
        </w:rPr>
        <w:t>paragraphs</w:t>
      </w:r>
      <w:r w:rsidRPr="00267849">
        <w:rPr>
          <w:rFonts w:cs="Arial"/>
        </w:rPr>
        <w:t xml:space="preserve"> 2.2 (a) to (e)</w:t>
      </w:r>
      <w:r>
        <w:rPr>
          <w:rFonts w:cs="Arial"/>
        </w:rPr>
        <w:t>,</w:t>
      </w:r>
      <w:r w:rsidRPr="00267849">
        <w:rPr>
          <w:rFonts w:cs="Arial"/>
        </w:rPr>
        <w:t xml:space="preserve"> at least 7 days </w:t>
      </w:r>
      <w:r>
        <w:rPr>
          <w:rFonts w:cs="Arial"/>
        </w:rPr>
        <w:t>before</w:t>
      </w:r>
      <w:r w:rsidRPr="00267849">
        <w:rPr>
          <w:rFonts w:cs="Arial"/>
        </w:rPr>
        <w:t xml:space="preserve"> commenc</w:t>
      </w:r>
      <w:r>
        <w:rPr>
          <w:rFonts w:cs="Arial"/>
        </w:rPr>
        <w:t>ing</w:t>
      </w:r>
      <w:r w:rsidRPr="00267849">
        <w:rPr>
          <w:rFonts w:cs="Arial"/>
        </w:rPr>
        <w:t xml:space="preserve"> transmission. Th</w:t>
      </w:r>
      <w:r>
        <w:rPr>
          <w:rFonts w:cs="Arial"/>
        </w:rPr>
        <w:t>e publication of these statements and this information</w:t>
      </w:r>
      <w:r w:rsidRPr="00267849">
        <w:rPr>
          <w:rFonts w:cs="Arial"/>
        </w:rPr>
        <w:t xml:space="preserve"> could include placing a notice to that effect on the licensee’</w:t>
      </w:r>
      <w:r>
        <w:rPr>
          <w:rFonts w:cs="Arial"/>
        </w:rPr>
        <w:t>s</w:t>
      </w:r>
      <w:r w:rsidRPr="00267849">
        <w:rPr>
          <w:rFonts w:cs="Arial"/>
        </w:rPr>
        <w:t xml:space="preserve"> website or an industry website.</w:t>
      </w:r>
      <w:r w:rsidR="00B66A0B">
        <w:rPr>
          <w:rFonts w:cs="Arial"/>
        </w:rPr>
        <w:t xml:space="preserve"> The purpose of these requirements is to inform members of the public that the service is commencing and how they may contact the licensee if they experience any interference issues. </w:t>
      </w:r>
    </w:p>
    <w:p w14:paraId="603E2EBD" w14:textId="77777777" w:rsidR="00D97271" w:rsidRPr="00267849" w:rsidRDefault="00D97271" w:rsidP="00D97271">
      <w:pPr>
        <w:spacing w:line="240" w:lineRule="auto"/>
        <w:outlineLvl w:val="0"/>
        <w:rPr>
          <w:rFonts w:cs="Arial"/>
          <w:b/>
        </w:rPr>
      </w:pPr>
      <w:r w:rsidRPr="00267849">
        <w:rPr>
          <w:rFonts w:cs="Arial"/>
          <w:b/>
        </w:rPr>
        <w:t>Section 2.3</w:t>
      </w:r>
      <w:r>
        <w:rPr>
          <w:rFonts w:cs="Arial"/>
          <w:b/>
        </w:rPr>
        <w:tab/>
      </w:r>
      <w:r w:rsidRPr="00267849">
        <w:rPr>
          <w:rFonts w:cs="Arial"/>
          <w:b/>
        </w:rPr>
        <w:t>Harmful interference</w:t>
      </w:r>
    </w:p>
    <w:p w14:paraId="4C93F468" w14:textId="77777777" w:rsidR="00D97271" w:rsidRPr="00267849" w:rsidRDefault="00D97271" w:rsidP="00D97271">
      <w:pPr>
        <w:spacing w:line="240" w:lineRule="auto"/>
        <w:outlineLvl w:val="0"/>
        <w:rPr>
          <w:rFonts w:cs="Arial"/>
          <w:lang w:val="en-GB"/>
        </w:rPr>
      </w:pPr>
      <w:r w:rsidRPr="00267849">
        <w:rPr>
          <w:rFonts w:cs="Arial"/>
        </w:rPr>
        <w:t xml:space="preserve">Section 2.3 </w:t>
      </w:r>
      <w:r w:rsidRPr="00267849">
        <w:rPr>
          <w:rFonts w:cs="Arial"/>
          <w:lang w:val="en-GB"/>
        </w:rPr>
        <w:t xml:space="preserve">provides that a licensee operating a station in the BSBs </w:t>
      </w:r>
      <w:r>
        <w:rPr>
          <w:rFonts w:cs="Arial"/>
          <w:lang w:val="en-GB"/>
        </w:rPr>
        <w:t>must</w:t>
      </w:r>
      <w:r w:rsidRPr="00267849">
        <w:rPr>
          <w:rFonts w:cs="Arial"/>
          <w:lang w:val="en-GB"/>
        </w:rPr>
        <w:t xml:space="preserve"> not cause harmful interference to broadcasting services within the licence or coverage area </w:t>
      </w:r>
      <w:r>
        <w:rPr>
          <w:rFonts w:cs="Arial"/>
          <w:lang w:val="en-GB"/>
        </w:rPr>
        <w:t xml:space="preserve">for those services.  It also provides that a licensee operating a station </w:t>
      </w:r>
      <w:r w:rsidRPr="00267849">
        <w:rPr>
          <w:rFonts w:cs="Arial"/>
          <w:lang w:val="en-GB"/>
        </w:rPr>
        <w:t>outside the BSBs</w:t>
      </w:r>
      <w:r>
        <w:rPr>
          <w:rFonts w:cs="Arial"/>
          <w:lang w:val="en-GB"/>
        </w:rPr>
        <w:t xml:space="preserve"> must not cause harmful interference to another service that is already being provided</w:t>
      </w:r>
      <w:r w:rsidRPr="00267849">
        <w:rPr>
          <w:rFonts w:cs="Arial"/>
          <w:lang w:val="en-GB"/>
        </w:rPr>
        <w:t>.</w:t>
      </w:r>
    </w:p>
    <w:p w14:paraId="63141B43" w14:textId="77777777" w:rsidR="00D97271" w:rsidRPr="00976F96" w:rsidRDefault="00D97271" w:rsidP="00D97271">
      <w:pPr>
        <w:spacing w:line="240" w:lineRule="auto"/>
        <w:outlineLvl w:val="0"/>
        <w:rPr>
          <w:rFonts w:cs="Arial"/>
          <w:b/>
          <w:lang w:val="en-GB"/>
        </w:rPr>
      </w:pPr>
      <w:r w:rsidRPr="00267849">
        <w:rPr>
          <w:rFonts w:cs="Arial"/>
          <w:b/>
          <w:lang w:val="en-GB"/>
        </w:rPr>
        <w:t>Section 2.4</w:t>
      </w:r>
      <w:r>
        <w:rPr>
          <w:rFonts w:cs="Arial"/>
          <w:b/>
          <w:lang w:val="en-GB"/>
        </w:rPr>
        <w:tab/>
      </w:r>
      <w:r w:rsidRPr="00976F96">
        <w:rPr>
          <w:rFonts w:cs="Arial"/>
          <w:b/>
          <w:lang w:val="en-GB"/>
        </w:rPr>
        <w:t>Emission standard – AM sound broadcasting service</w:t>
      </w:r>
    </w:p>
    <w:p w14:paraId="1566BF3F" w14:textId="39F473F8" w:rsidR="00D97271" w:rsidRPr="00976F96" w:rsidRDefault="00D97271" w:rsidP="00D97271">
      <w:pPr>
        <w:spacing w:line="240" w:lineRule="auto"/>
        <w:outlineLvl w:val="0"/>
        <w:rPr>
          <w:rFonts w:cs="Arial"/>
        </w:rPr>
      </w:pPr>
      <w:r w:rsidRPr="00976F96">
        <w:rPr>
          <w:rFonts w:cs="Arial"/>
          <w:lang w:val="en-GB"/>
        </w:rPr>
        <w:t xml:space="preserve">Section 2.4 </w:t>
      </w:r>
      <w:r w:rsidR="001D520E">
        <w:rPr>
          <w:rFonts w:cs="Arial"/>
          <w:lang w:val="en-GB"/>
        </w:rPr>
        <w:t xml:space="preserve">has the effect </w:t>
      </w:r>
      <w:r w:rsidRPr="00976F96">
        <w:rPr>
          <w:rFonts w:cs="Arial"/>
          <w:lang w:val="en-GB"/>
        </w:rPr>
        <w:t>that a licensee operating a broadcasting station in the AM band (</w:t>
      </w:r>
      <w:r w:rsidRPr="00976F96">
        <w:rPr>
          <w:rFonts w:cs="Arial"/>
        </w:rPr>
        <w:t xml:space="preserve">526.5 to 1606.5 kHz) </w:t>
      </w:r>
      <w:r>
        <w:rPr>
          <w:rFonts w:cs="Arial"/>
        </w:rPr>
        <w:t>must</w:t>
      </w:r>
      <w:r w:rsidRPr="00976F96">
        <w:rPr>
          <w:rFonts w:cs="Arial"/>
        </w:rPr>
        <w:t xml:space="preserve"> compl</w:t>
      </w:r>
      <w:r>
        <w:rPr>
          <w:rFonts w:cs="Arial"/>
        </w:rPr>
        <w:t>y</w:t>
      </w:r>
      <w:r w:rsidRPr="00976F96">
        <w:rPr>
          <w:rFonts w:cs="Arial"/>
        </w:rPr>
        <w:t xml:space="preserve"> with the </w:t>
      </w:r>
      <w:r w:rsidRPr="00976F96">
        <w:rPr>
          <w:rFonts w:cs="Arial"/>
          <w:i/>
        </w:rPr>
        <w:t xml:space="preserve">Emission Standard for the Australia Amplitude Modulation Sound Broadcasting Service </w:t>
      </w:r>
      <w:r>
        <w:rPr>
          <w:rFonts w:cs="Arial"/>
        </w:rPr>
        <w:t xml:space="preserve">(the AM standard) </w:t>
      </w:r>
      <w:r w:rsidRPr="00976F96">
        <w:rPr>
          <w:rFonts w:cs="Arial"/>
        </w:rPr>
        <w:t xml:space="preserve">contained in Appendix 1 to the </w:t>
      </w:r>
      <w:r w:rsidRPr="00976F96">
        <w:rPr>
          <w:rFonts w:cs="Arial"/>
          <w:i/>
        </w:rPr>
        <w:t>Broadcasting Services</w:t>
      </w:r>
      <w:r w:rsidRPr="00976F96">
        <w:rPr>
          <w:rFonts w:cs="Arial"/>
        </w:rPr>
        <w:t xml:space="preserve"> (</w:t>
      </w:r>
      <w:r w:rsidRPr="00976F96">
        <w:rPr>
          <w:rFonts w:cs="Arial"/>
          <w:i/>
        </w:rPr>
        <w:t xml:space="preserve">Technical Planning) Guidelines </w:t>
      </w:r>
      <w:r w:rsidR="006711D0">
        <w:rPr>
          <w:rFonts w:cs="Arial"/>
          <w:i/>
        </w:rPr>
        <w:t>200</w:t>
      </w:r>
      <w:r w:rsidRPr="00976F96">
        <w:rPr>
          <w:rFonts w:cs="Arial"/>
          <w:i/>
        </w:rPr>
        <w:t xml:space="preserve">7 </w:t>
      </w:r>
      <w:r w:rsidRPr="00976F96">
        <w:rPr>
          <w:rFonts w:cs="Arial"/>
        </w:rPr>
        <w:t>(TPGs).</w:t>
      </w:r>
      <w:r w:rsidRPr="00976F96">
        <w:rPr>
          <w:rFonts w:cs="Arial"/>
          <w:i/>
        </w:rPr>
        <w:t xml:space="preserve"> </w:t>
      </w:r>
      <w:r w:rsidRPr="00976F96">
        <w:rPr>
          <w:rFonts w:cs="Arial"/>
        </w:rPr>
        <w:t xml:space="preserve"> The purpose of the </w:t>
      </w:r>
      <w:r>
        <w:rPr>
          <w:rFonts w:cs="Arial"/>
        </w:rPr>
        <w:t xml:space="preserve">AM </w:t>
      </w:r>
      <w:r w:rsidRPr="00976F96">
        <w:rPr>
          <w:rFonts w:cs="Arial"/>
        </w:rPr>
        <w:t>standard is to define parameters to be used for sound broadcasting in the AM band.</w:t>
      </w:r>
    </w:p>
    <w:p w14:paraId="21C38890" w14:textId="3511AEBA" w:rsidR="00D97271" w:rsidRPr="00976F96" w:rsidRDefault="00D97271" w:rsidP="00D97271">
      <w:pPr>
        <w:spacing w:line="240" w:lineRule="auto"/>
        <w:outlineLvl w:val="0"/>
        <w:rPr>
          <w:rFonts w:cs="Arial"/>
          <w:b/>
        </w:rPr>
      </w:pPr>
      <w:r w:rsidRPr="00976F96">
        <w:rPr>
          <w:rFonts w:cs="Arial"/>
          <w:b/>
        </w:rPr>
        <w:t>Section 2.5</w:t>
      </w:r>
      <w:r>
        <w:rPr>
          <w:rFonts w:cs="Arial"/>
          <w:b/>
        </w:rPr>
        <w:tab/>
      </w:r>
      <w:r w:rsidRPr="00976F96">
        <w:rPr>
          <w:rFonts w:cs="Arial"/>
          <w:b/>
        </w:rPr>
        <w:t>Emission standard –</w:t>
      </w:r>
      <w:r>
        <w:rPr>
          <w:rFonts w:cs="Arial"/>
          <w:b/>
        </w:rPr>
        <w:t xml:space="preserve"> </w:t>
      </w:r>
      <w:r w:rsidRPr="00976F96">
        <w:rPr>
          <w:rFonts w:cs="Arial"/>
          <w:b/>
        </w:rPr>
        <w:t>FM sound broadcasting service</w:t>
      </w:r>
    </w:p>
    <w:p w14:paraId="655ACA63" w14:textId="3232627B" w:rsidR="00D97271" w:rsidRPr="00976F96" w:rsidRDefault="00D97271" w:rsidP="00D97271">
      <w:pPr>
        <w:spacing w:line="240" w:lineRule="auto"/>
        <w:outlineLvl w:val="0"/>
        <w:rPr>
          <w:rFonts w:cs="Arial"/>
        </w:rPr>
      </w:pPr>
      <w:r w:rsidRPr="00976F96">
        <w:rPr>
          <w:rFonts w:cs="Arial"/>
        </w:rPr>
        <w:t>Section 2.</w:t>
      </w:r>
      <w:r>
        <w:rPr>
          <w:rFonts w:cs="Arial"/>
        </w:rPr>
        <w:t>5</w:t>
      </w:r>
      <w:r w:rsidRPr="00976F96">
        <w:rPr>
          <w:rFonts w:cs="Arial"/>
        </w:rPr>
        <w:t xml:space="preserve"> </w:t>
      </w:r>
      <w:r w:rsidR="001D520E">
        <w:rPr>
          <w:rFonts w:cs="Arial"/>
        </w:rPr>
        <w:t xml:space="preserve">has the effect </w:t>
      </w:r>
      <w:r w:rsidRPr="00976F96">
        <w:rPr>
          <w:rFonts w:cs="Arial"/>
          <w:lang w:val="en-GB"/>
        </w:rPr>
        <w:t>that a licensee operating a broadcasting station in the FM band (87</w:t>
      </w:r>
      <w:r w:rsidRPr="00976F96">
        <w:rPr>
          <w:rFonts w:cs="Arial"/>
        </w:rPr>
        <w:t xml:space="preserve">.5 to 108 MHz) </w:t>
      </w:r>
      <w:r>
        <w:rPr>
          <w:rFonts w:cs="Arial"/>
        </w:rPr>
        <w:t>must</w:t>
      </w:r>
      <w:r w:rsidRPr="00976F96">
        <w:rPr>
          <w:rFonts w:cs="Arial"/>
        </w:rPr>
        <w:t xml:space="preserve"> compl</w:t>
      </w:r>
      <w:r>
        <w:rPr>
          <w:rFonts w:cs="Arial"/>
        </w:rPr>
        <w:t>y</w:t>
      </w:r>
      <w:r w:rsidRPr="00976F96">
        <w:rPr>
          <w:rFonts w:cs="Arial"/>
        </w:rPr>
        <w:t xml:space="preserve"> with the</w:t>
      </w:r>
      <w:r w:rsidRPr="00976F96">
        <w:rPr>
          <w:rFonts w:cs="Arial"/>
          <w:i/>
        </w:rPr>
        <w:t xml:space="preserve"> Emission Standard for the Australia Frequency Modulation Sound Broadcasting Service </w:t>
      </w:r>
      <w:r>
        <w:rPr>
          <w:rFonts w:cs="Arial"/>
        </w:rPr>
        <w:t>(the FM standard)</w:t>
      </w:r>
      <w:r w:rsidRPr="00976F96">
        <w:rPr>
          <w:rFonts w:cs="Arial"/>
          <w:i/>
        </w:rPr>
        <w:t xml:space="preserve"> </w:t>
      </w:r>
      <w:r w:rsidR="001D520E">
        <w:rPr>
          <w:rFonts w:cs="Arial"/>
        </w:rPr>
        <w:t xml:space="preserve">contained </w:t>
      </w:r>
      <w:r w:rsidRPr="00976F96">
        <w:rPr>
          <w:rFonts w:cs="Arial"/>
        </w:rPr>
        <w:t>in Appendix 2 to the TPGs.</w:t>
      </w:r>
      <w:r w:rsidRPr="00976F96">
        <w:rPr>
          <w:rFonts w:cs="Arial"/>
          <w:i/>
        </w:rPr>
        <w:t xml:space="preserve">  </w:t>
      </w:r>
      <w:r w:rsidRPr="00976F96">
        <w:rPr>
          <w:rFonts w:cs="Arial"/>
        </w:rPr>
        <w:t>The purpose of the</w:t>
      </w:r>
      <w:r>
        <w:rPr>
          <w:rFonts w:cs="Arial"/>
        </w:rPr>
        <w:t xml:space="preserve"> FM</w:t>
      </w:r>
      <w:r w:rsidRPr="00976F96">
        <w:rPr>
          <w:rFonts w:cs="Arial"/>
        </w:rPr>
        <w:t xml:space="preserve"> standard is to define parameters to be used for sound broadcasting in the FM band.</w:t>
      </w:r>
    </w:p>
    <w:p w14:paraId="67131C24" w14:textId="77777777" w:rsidR="00D97271" w:rsidRPr="00976F96" w:rsidRDefault="00D97271" w:rsidP="00D97271">
      <w:pPr>
        <w:spacing w:line="240" w:lineRule="auto"/>
        <w:outlineLvl w:val="0"/>
        <w:rPr>
          <w:rFonts w:cs="Arial"/>
          <w:b/>
        </w:rPr>
      </w:pPr>
      <w:r w:rsidRPr="00976F96">
        <w:rPr>
          <w:rFonts w:cs="Arial"/>
          <w:b/>
        </w:rPr>
        <w:t>Section 2.5A</w:t>
      </w:r>
      <w:r>
        <w:rPr>
          <w:rFonts w:cs="Arial"/>
          <w:b/>
        </w:rPr>
        <w:tab/>
      </w:r>
      <w:r w:rsidRPr="00976F96">
        <w:rPr>
          <w:rFonts w:cs="Arial"/>
          <w:b/>
        </w:rPr>
        <w:t>Emission standard – digital television broadcasting</w:t>
      </w:r>
      <w:r>
        <w:rPr>
          <w:rFonts w:cs="Arial"/>
          <w:b/>
        </w:rPr>
        <w:t xml:space="preserve"> service</w:t>
      </w:r>
    </w:p>
    <w:p w14:paraId="632B8BA9" w14:textId="51F8D975" w:rsidR="00D97271" w:rsidRPr="00203496" w:rsidRDefault="00D97271" w:rsidP="00D97271">
      <w:pPr>
        <w:spacing w:line="240" w:lineRule="auto"/>
        <w:outlineLvl w:val="0"/>
        <w:rPr>
          <w:rFonts w:cs="Arial"/>
        </w:rPr>
      </w:pPr>
      <w:r w:rsidRPr="00976F96">
        <w:rPr>
          <w:rFonts w:cs="Arial"/>
        </w:rPr>
        <w:t xml:space="preserve">Section 2.5A </w:t>
      </w:r>
      <w:r w:rsidR="001D520E">
        <w:rPr>
          <w:rFonts w:cs="Arial"/>
        </w:rPr>
        <w:t>has the effect</w:t>
      </w:r>
      <w:r w:rsidRPr="00976F96">
        <w:rPr>
          <w:rFonts w:cs="Arial"/>
        </w:rPr>
        <w:t xml:space="preserve"> that a licensee operating a broadcasting station on a frequency in the TV bands to transmit a television broadcasting service in digital mode </w:t>
      </w:r>
      <w:r>
        <w:rPr>
          <w:rFonts w:cs="Arial"/>
        </w:rPr>
        <w:t>must</w:t>
      </w:r>
      <w:r w:rsidRPr="00976F96">
        <w:rPr>
          <w:rFonts w:cs="Arial"/>
        </w:rPr>
        <w:t xml:space="preserve"> compl</w:t>
      </w:r>
      <w:r>
        <w:rPr>
          <w:rFonts w:cs="Arial"/>
        </w:rPr>
        <w:t>y</w:t>
      </w:r>
      <w:r w:rsidRPr="00976F96">
        <w:rPr>
          <w:rFonts w:cs="Arial"/>
        </w:rPr>
        <w:t xml:space="preserve"> with the </w:t>
      </w:r>
      <w:r w:rsidRPr="00976F96">
        <w:rPr>
          <w:rFonts w:cs="Arial"/>
          <w:i/>
        </w:rPr>
        <w:t>Transmission Standard for the Australian Digital Terrestrial Television Service</w:t>
      </w:r>
      <w:r w:rsidRPr="00976F96">
        <w:rPr>
          <w:rFonts w:cs="Arial"/>
        </w:rPr>
        <w:t xml:space="preserve"> contained in Appendix 4 </w:t>
      </w:r>
      <w:r>
        <w:rPr>
          <w:rFonts w:cs="Arial"/>
        </w:rPr>
        <w:t>to</w:t>
      </w:r>
      <w:r w:rsidRPr="00976F96">
        <w:rPr>
          <w:rFonts w:cs="Arial"/>
        </w:rPr>
        <w:t xml:space="preserve"> the TPGs. </w:t>
      </w:r>
    </w:p>
    <w:p w14:paraId="1899B288" w14:textId="0268EEBE" w:rsidR="00D97271" w:rsidRPr="00203496" w:rsidRDefault="00D97271" w:rsidP="00D97271">
      <w:pPr>
        <w:spacing w:line="240" w:lineRule="auto"/>
        <w:outlineLvl w:val="0"/>
        <w:rPr>
          <w:rFonts w:cs="Arial"/>
          <w:b/>
        </w:rPr>
      </w:pPr>
      <w:r w:rsidRPr="00203496">
        <w:rPr>
          <w:rFonts w:cs="Arial"/>
          <w:b/>
        </w:rPr>
        <w:t>Part 3 – Condition for broadcasting licence (broadcast service)</w:t>
      </w:r>
    </w:p>
    <w:p w14:paraId="5B62C09B" w14:textId="0E9B98FD" w:rsidR="00D97271" w:rsidRPr="00203496" w:rsidRDefault="00D97271" w:rsidP="00D97271">
      <w:pPr>
        <w:spacing w:line="240" w:lineRule="auto"/>
        <w:outlineLvl w:val="0"/>
        <w:rPr>
          <w:rFonts w:cs="Arial"/>
          <w:b/>
        </w:rPr>
      </w:pPr>
      <w:r w:rsidRPr="00203496">
        <w:rPr>
          <w:rFonts w:cs="Arial"/>
          <w:b/>
        </w:rPr>
        <w:t>Section 3.1</w:t>
      </w:r>
      <w:r>
        <w:rPr>
          <w:rFonts w:cs="Arial"/>
          <w:b/>
        </w:rPr>
        <w:tab/>
      </w:r>
      <w:r w:rsidRPr="00203496">
        <w:rPr>
          <w:rFonts w:cs="Arial"/>
          <w:b/>
        </w:rPr>
        <w:t>Condition</w:t>
      </w:r>
    </w:p>
    <w:p w14:paraId="7683D2CC" w14:textId="2FC13118" w:rsidR="00D97271" w:rsidRDefault="00D97271" w:rsidP="00D97271">
      <w:pPr>
        <w:spacing w:line="240" w:lineRule="auto"/>
        <w:outlineLvl w:val="0"/>
        <w:rPr>
          <w:rFonts w:cs="Arial"/>
        </w:rPr>
      </w:pPr>
      <w:r w:rsidRPr="00203496">
        <w:rPr>
          <w:rFonts w:cs="Arial"/>
        </w:rPr>
        <w:t xml:space="preserve">Subsection 3.1(1) provides that every broadcasting licence (broadcast service) is subject to the condition in Part 3 relating to the operation of any broadcasting service stations under the licence. </w:t>
      </w:r>
      <w:r>
        <w:rPr>
          <w:rFonts w:cs="Arial"/>
        </w:rPr>
        <w:t xml:space="preserve"> These licences authorise the use of a </w:t>
      </w:r>
      <w:r w:rsidR="000E12C5">
        <w:rPr>
          <w:rFonts w:cs="Arial"/>
        </w:rPr>
        <w:t xml:space="preserve">broadcast service </w:t>
      </w:r>
      <w:r>
        <w:rPr>
          <w:rFonts w:cs="Arial"/>
        </w:rPr>
        <w:t>station for the purposes of providing a national broadcasting service.</w:t>
      </w:r>
    </w:p>
    <w:p w14:paraId="3A3AC9CE" w14:textId="77777777" w:rsidR="00D97271" w:rsidRPr="00861869" w:rsidRDefault="00D97271" w:rsidP="00D97271">
      <w:pPr>
        <w:spacing w:line="240" w:lineRule="auto"/>
        <w:outlineLvl w:val="0"/>
        <w:rPr>
          <w:rFonts w:cs="Arial"/>
        </w:rPr>
      </w:pPr>
      <w:r w:rsidRPr="00203496">
        <w:rPr>
          <w:rFonts w:cs="Arial"/>
        </w:rPr>
        <w:t xml:space="preserve">Subsection (2) </w:t>
      </w:r>
      <w:r>
        <w:rPr>
          <w:rFonts w:cs="Arial"/>
        </w:rPr>
        <w:t>provides</w:t>
      </w:r>
      <w:r w:rsidRPr="00861869">
        <w:rPr>
          <w:rFonts w:cs="Arial"/>
        </w:rPr>
        <w:t xml:space="preserve"> that the condition i</w:t>
      </w:r>
      <w:r>
        <w:rPr>
          <w:rFonts w:cs="Arial"/>
        </w:rPr>
        <w:t>mposed by</w:t>
      </w:r>
      <w:r w:rsidRPr="00861869">
        <w:rPr>
          <w:rFonts w:cs="Arial"/>
        </w:rPr>
        <w:t xml:space="preserve"> Part 3</w:t>
      </w:r>
      <w:r>
        <w:rPr>
          <w:rFonts w:cs="Arial"/>
        </w:rPr>
        <w:t xml:space="preserve"> on these licences is</w:t>
      </w:r>
      <w:r w:rsidRPr="00861869">
        <w:rPr>
          <w:rFonts w:cs="Arial"/>
        </w:rPr>
        <w:t xml:space="preserve"> in addition to the conditions in Part 2.</w:t>
      </w:r>
    </w:p>
    <w:p w14:paraId="7C5CBAAD" w14:textId="77777777" w:rsidR="00D97271" w:rsidRPr="00861869" w:rsidRDefault="00D97271" w:rsidP="00D97271">
      <w:pPr>
        <w:spacing w:line="240" w:lineRule="auto"/>
        <w:outlineLvl w:val="0"/>
        <w:rPr>
          <w:rFonts w:cs="Arial"/>
          <w:b/>
        </w:rPr>
      </w:pPr>
      <w:r w:rsidRPr="00861869">
        <w:rPr>
          <w:rFonts w:cs="Arial"/>
          <w:b/>
        </w:rPr>
        <w:t>Section 3.2</w:t>
      </w:r>
      <w:r>
        <w:rPr>
          <w:rFonts w:cs="Arial"/>
          <w:b/>
        </w:rPr>
        <w:tab/>
      </w:r>
      <w:r w:rsidRPr="00861869">
        <w:rPr>
          <w:rFonts w:cs="Arial"/>
          <w:b/>
        </w:rPr>
        <w:t xml:space="preserve">National broadcasting services </w:t>
      </w:r>
    </w:p>
    <w:p w14:paraId="0C726CB2" w14:textId="064216A7" w:rsidR="00D97271" w:rsidRPr="007B439F" w:rsidRDefault="00D97271" w:rsidP="00D97271">
      <w:pPr>
        <w:spacing w:line="240" w:lineRule="auto"/>
        <w:outlineLvl w:val="0"/>
        <w:rPr>
          <w:rFonts w:cs="Arial"/>
        </w:rPr>
      </w:pPr>
      <w:r w:rsidRPr="00861869">
        <w:rPr>
          <w:rFonts w:cs="Arial"/>
        </w:rPr>
        <w:t>Section 3.2 provides that a station must only operate to provide a national broadcasting service</w:t>
      </w:r>
      <w:r>
        <w:rPr>
          <w:rFonts w:cs="Arial"/>
        </w:rPr>
        <w:t>,</w:t>
      </w:r>
      <w:r w:rsidRPr="00861869">
        <w:rPr>
          <w:rFonts w:cs="Arial"/>
        </w:rPr>
        <w:t xml:space="preserve"> or for engineering test transmissions.</w:t>
      </w:r>
    </w:p>
    <w:p w14:paraId="1CC0A73B" w14:textId="77777777" w:rsidR="00D97271" w:rsidRPr="00861869" w:rsidRDefault="00D97271" w:rsidP="00D97271">
      <w:pPr>
        <w:keepNext/>
        <w:spacing w:line="240" w:lineRule="auto"/>
        <w:outlineLvl w:val="0"/>
        <w:rPr>
          <w:rFonts w:cs="Arial"/>
          <w:b/>
        </w:rPr>
      </w:pPr>
      <w:r w:rsidRPr="00861869">
        <w:rPr>
          <w:rFonts w:cs="Arial"/>
          <w:b/>
        </w:rPr>
        <w:lastRenderedPageBreak/>
        <w:t>Part 4 – Conditions for broadcasting licence (narrowcasting service</w:t>
      </w:r>
      <w:r>
        <w:rPr>
          <w:rFonts w:cs="Arial"/>
          <w:b/>
        </w:rPr>
        <w:t>)</w:t>
      </w:r>
    </w:p>
    <w:p w14:paraId="25DC4F9D" w14:textId="77777777" w:rsidR="00D97271" w:rsidRPr="00861869" w:rsidRDefault="00D97271" w:rsidP="00D97271">
      <w:pPr>
        <w:keepNext/>
        <w:spacing w:line="240" w:lineRule="auto"/>
        <w:outlineLvl w:val="0"/>
        <w:rPr>
          <w:rFonts w:cs="Arial"/>
          <w:b/>
        </w:rPr>
      </w:pPr>
      <w:r w:rsidRPr="00861869">
        <w:rPr>
          <w:rFonts w:cs="Arial"/>
          <w:b/>
        </w:rPr>
        <w:t>Section 4.1</w:t>
      </w:r>
      <w:r>
        <w:rPr>
          <w:rFonts w:cs="Arial"/>
          <w:b/>
        </w:rPr>
        <w:tab/>
      </w:r>
      <w:r w:rsidRPr="00861869">
        <w:rPr>
          <w:rFonts w:cs="Arial"/>
          <w:b/>
        </w:rPr>
        <w:t>Conditions</w:t>
      </w:r>
    </w:p>
    <w:p w14:paraId="0FE6F0F6" w14:textId="53C460C4" w:rsidR="00D97271" w:rsidRDefault="00D97271" w:rsidP="00D97271">
      <w:pPr>
        <w:spacing w:line="240" w:lineRule="auto"/>
        <w:outlineLvl w:val="0"/>
        <w:rPr>
          <w:rFonts w:cs="Arial"/>
        </w:rPr>
      </w:pPr>
      <w:r w:rsidRPr="00861869">
        <w:rPr>
          <w:rFonts w:cs="Arial"/>
        </w:rPr>
        <w:t xml:space="preserve">Subsection (1) provides that </w:t>
      </w:r>
      <w:r>
        <w:rPr>
          <w:rFonts w:cs="Arial"/>
        </w:rPr>
        <w:t>every</w:t>
      </w:r>
      <w:r w:rsidRPr="00861869">
        <w:rPr>
          <w:rFonts w:cs="Arial"/>
        </w:rPr>
        <w:t xml:space="preserve"> broadcasting licence (narrowcasting service)</w:t>
      </w:r>
      <w:r>
        <w:rPr>
          <w:rFonts w:cs="Arial"/>
        </w:rPr>
        <w:t xml:space="preserve"> is subject to the conditions in Part 4 </w:t>
      </w:r>
      <w:r w:rsidRPr="00861869">
        <w:rPr>
          <w:rFonts w:cs="Arial"/>
        </w:rPr>
        <w:t xml:space="preserve">relating to the operation of any narrowcasting service stations under the licence. </w:t>
      </w:r>
      <w:r>
        <w:rPr>
          <w:rFonts w:cs="Arial"/>
        </w:rPr>
        <w:t xml:space="preserve"> These licences authorise the use of a </w:t>
      </w:r>
      <w:r w:rsidR="000E12C5">
        <w:rPr>
          <w:rFonts w:cs="Arial"/>
        </w:rPr>
        <w:t xml:space="preserve">narrowcasting service </w:t>
      </w:r>
      <w:r>
        <w:rPr>
          <w:rFonts w:cs="Arial"/>
        </w:rPr>
        <w:t>station for the provision of open or subscription narrowcasting services in the BSBs.</w:t>
      </w:r>
    </w:p>
    <w:p w14:paraId="29B6C650" w14:textId="306BB4C6" w:rsidR="00D97271" w:rsidRPr="007B439F" w:rsidRDefault="00D97271" w:rsidP="00D97271">
      <w:pPr>
        <w:spacing w:line="240" w:lineRule="auto"/>
        <w:outlineLvl w:val="0"/>
        <w:rPr>
          <w:rFonts w:cs="Arial"/>
        </w:rPr>
      </w:pPr>
      <w:r w:rsidRPr="00861869">
        <w:rPr>
          <w:rFonts w:cs="Arial"/>
        </w:rPr>
        <w:t xml:space="preserve">Subsection (2) </w:t>
      </w:r>
      <w:r>
        <w:rPr>
          <w:rFonts w:cs="Arial"/>
        </w:rPr>
        <w:t>provides</w:t>
      </w:r>
      <w:r w:rsidRPr="00F23977">
        <w:rPr>
          <w:rFonts w:cs="Arial"/>
        </w:rPr>
        <w:t xml:space="preserve"> that the conditions </w:t>
      </w:r>
      <w:r>
        <w:rPr>
          <w:rFonts w:cs="Arial"/>
        </w:rPr>
        <w:t xml:space="preserve">imposed by </w:t>
      </w:r>
      <w:r w:rsidRPr="00F23977">
        <w:rPr>
          <w:rFonts w:cs="Arial"/>
        </w:rPr>
        <w:t xml:space="preserve">Part 4 </w:t>
      </w:r>
      <w:r>
        <w:rPr>
          <w:rFonts w:cs="Arial"/>
        </w:rPr>
        <w:t xml:space="preserve">on these licences </w:t>
      </w:r>
      <w:r w:rsidRPr="00F23977">
        <w:rPr>
          <w:rFonts w:cs="Arial"/>
        </w:rPr>
        <w:t xml:space="preserve">are in addition to the conditions in Part 2. Subsection (3) </w:t>
      </w:r>
      <w:r>
        <w:rPr>
          <w:rFonts w:cs="Arial"/>
        </w:rPr>
        <w:t>provides</w:t>
      </w:r>
      <w:r w:rsidRPr="00F23977">
        <w:rPr>
          <w:rFonts w:cs="Arial"/>
        </w:rPr>
        <w:t xml:space="preserve"> that sections 4.3, 4.4, 4.5 and 4.6 do not apply to a narrowcasting service station that is operated to provide a</w:t>
      </w:r>
      <w:r>
        <w:rPr>
          <w:rFonts w:cs="Arial"/>
        </w:rPr>
        <w:t xml:space="preserve"> low power open narrowcasting</w:t>
      </w:r>
      <w:r w:rsidRPr="00C252C2">
        <w:rPr>
          <w:rFonts w:cs="Arial"/>
        </w:rPr>
        <w:t xml:space="preserve"> </w:t>
      </w:r>
      <w:r>
        <w:rPr>
          <w:rFonts w:cs="Arial"/>
        </w:rPr>
        <w:t>(</w:t>
      </w:r>
      <w:r w:rsidRPr="00C252C2">
        <w:rPr>
          <w:rFonts w:cs="Arial"/>
        </w:rPr>
        <w:t>LPON</w:t>
      </w:r>
      <w:r>
        <w:rPr>
          <w:rFonts w:cs="Arial"/>
        </w:rPr>
        <w:t>)</w:t>
      </w:r>
      <w:r w:rsidRPr="00C252C2">
        <w:rPr>
          <w:rFonts w:cs="Arial"/>
        </w:rPr>
        <w:t xml:space="preserve"> service</w:t>
      </w:r>
      <w:r>
        <w:rPr>
          <w:rFonts w:cs="Arial"/>
        </w:rPr>
        <w:t xml:space="preserve"> (an open narrowcasting service that is provided using a transmitter that must not be operated above a specified power</w:t>
      </w:r>
      <w:r w:rsidR="000E12C5">
        <w:rPr>
          <w:rFonts w:cs="Arial"/>
        </w:rPr>
        <w:t>, as defined in section 1.4 of the Determination</w:t>
      </w:r>
      <w:r>
        <w:rPr>
          <w:rFonts w:cs="Arial"/>
        </w:rPr>
        <w:t>)</w:t>
      </w:r>
      <w:r w:rsidRPr="00C252C2">
        <w:rPr>
          <w:rFonts w:cs="Arial"/>
        </w:rPr>
        <w:t>.</w:t>
      </w:r>
    </w:p>
    <w:p w14:paraId="63E2C6B3" w14:textId="77777777" w:rsidR="00D97271" w:rsidRPr="00C252C2" w:rsidRDefault="00D97271" w:rsidP="00D97271">
      <w:pPr>
        <w:spacing w:line="240" w:lineRule="auto"/>
        <w:outlineLvl w:val="0"/>
        <w:rPr>
          <w:rFonts w:cs="Arial"/>
          <w:b/>
        </w:rPr>
      </w:pPr>
      <w:r w:rsidRPr="00C252C2">
        <w:rPr>
          <w:rFonts w:cs="Arial"/>
          <w:b/>
        </w:rPr>
        <w:t>Section 4.3</w:t>
      </w:r>
      <w:r>
        <w:rPr>
          <w:rFonts w:cs="Arial"/>
          <w:b/>
        </w:rPr>
        <w:tab/>
      </w:r>
      <w:r w:rsidRPr="00C252C2">
        <w:rPr>
          <w:rFonts w:cs="Arial"/>
          <w:b/>
        </w:rPr>
        <w:t>Operatin</w:t>
      </w:r>
      <w:r>
        <w:rPr>
          <w:rFonts w:cs="Arial"/>
          <w:b/>
        </w:rPr>
        <w:t>g</w:t>
      </w:r>
      <w:r w:rsidRPr="00C252C2">
        <w:rPr>
          <w:rFonts w:cs="Arial"/>
          <w:b/>
        </w:rPr>
        <w:t xml:space="preserve"> requirements – open narrowcasting services</w:t>
      </w:r>
    </w:p>
    <w:p w14:paraId="0DEDA07D" w14:textId="77777777" w:rsidR="00D97271" w:rsidRPr="00C252C2" w:rsidRDefault="00D97271" w:rsidP="00D97271">
      <w:pPr>
        <w:spacing w:line="240" w:lineRule="auto"/>
        <w:outlineLvl w:val="0"/>
        <w:rPr>
          <w:rFonts w:cs="Arial"/>
        </w:rPr>
      </w:pPr>
      <w:r w:rsidRPr="00C252C2">
        <w:rPr>
          <w:rFonts w:cs="Arial"/>
        </w:rPr>
        <w:t>Section 4.3 provides that the licensee</w:t>
      </w:r>
      <w:r>
        <w:rPr>
          <w:rFonts w:cs="Arial"/>
        </w:rPr>
        <w:t>,</w:t>
      </w:r>
      <w:r w:rsidRPr="00C252C2">
        <w:rPr>
          <w:rFonts w:cs="Arial"/>
        </w:rPr>
        <w:t xml:space="preserve"> when operating a narrowcasting service station</w:t>
      </w:r>
      <w:r>
        <w:rPr>
          <w:rFonts w:cs="Arial"/>
        </w:rPr>
        <w:t>, must</w:t>
      </w:r>
      <w:r w:rsidRPr="00C252C2">
        <w:rPr>
          <w:rFonts w:cs="Arial"/>
        </w:rPr>
        <w:t>:</w:t>
      </w:r>
    </w:p>
    <w:p w14:paraId="70329E9E" w14:textId="77777777" w:rsidR="00D97271" w:rsidRPr="00C252C2" w:rsidRDefault="00D97271" w:rsidP="00D97271">
      <w:pPr>
        <w:pStyle w:val="ListParagraph"/>
        <w:numPr>
          <w:ilvl w:val="0"/>
          <w:numId w:val="8"/>
        </w:numPr>
        <w:spacing w:line="240" w:lineRule="auto"/>
        <w:outlineLvl w:val="0"/>
        <w:rPr>
          <w:rFonts w:cs="Arial"/>
        </w:rPr>
      </w:pPr>
      <w:r w:rsidRPr="00C252C2">
        <w:rPr>
          <w:rFonts w:cs="Arial"/>
        </w:rPr>
        <w:t>only provide an open narrowcasting service;</w:t>
      </w:r>
    </w:p>
    <w:p w14:paraId="60FC10FA" w14:textId="2F02DAEF" w:rsidR="00D97271" w:rsidRPr="00C252C2" w:rsidRDefault="00D97271" w:rsidP="00D97271">
      <w:pPr>
        <w:pStyle w:val="ListParagraph"/>
        <w:numPr>
          <w:ilvl w:val="0"/>
          <w:numId w:val="8"/>
        </w:numPr>
        <w:spacing w:line="240" w:lineRule="auto"/>
        <w:outlineLvl w:val="0"/>
        <w:rPr>
          <w:rFonts w:cs="Arial"/>
        </w:rPr>
      </w:pPr>
      <w:r w:rsidRPr="00C252C2">
        <w:rPr>
          <w:rFonts w:cs="Arial"/>
        </w:rPr>
        <w:t xml:space="preserve">commence </w:t>
      </w:r>
      <w:r>
        <w:rPr>
          <w:rFonts w:cs="Arial"/>
        </w:rPr>
        <w:t xml:space="preserve">providing </w:t>
      </w:r>
      <w:r w:rsidRPr="00C252C2">
        <w:rPr>
          <w:rFonts w:cs="Arial"/>
        </w:rPr>
        <w:t xml:space="preserve">a service by the later of </w:t>
      </w:r>
      <w:r>
        <w:rPr>
          <w:rFonts w:cs="Arial"/>
        </w:rPr>
        <w:t xml:space="preserve">the day </w:t>
      </w:r>
      <w:r w:rsidRPr="00C252C2">
        <w:rPr>
          <w:rFonts w:cs="Arial"/>
        </w:rPr>
        <w:t>6 months after the issue of the licence, or the time specified in a written notice by the ACMA;</w:t>
      </w:r>
    </w:p>
    <w:p w14:paraId="41243125" w14:textId="1B95D5D9" w:rsidR="00D97271" w:rsidRPr="00C252C2" w:rsidRDefault="00D97271" w:rsidP="00D97271">
      <w:pPr>
        <w:pStyle w:val="ListParagraph"/>
        <w:numPr>
          <w:ilvl w:val="0"/>
          <w:numId w:val="8"/>
        </w:numPr>
        <w:spacing w:line="240" w:lineRule="auto"/>
        <w:outlineLvl w:val="0"/>
        <w:rPr>
          <w:rFonts w:cs="Arial"/>
        </w:rPr>
      </w:pPr>
      <w:r>
        <w:rPr>
          <w:rFonts w:cs="Arial"/>
        </w:rPr>
        <w:t>comply with the start-up procedure set out</w:t>
      </w:r>
      <w:r w:rsidRPr="00C252C2">
        <w:rPr>
          <w:rFonts w:cs="Arial"/>
        </w:rPr>
        <w:t xml:space="preserve"> in Part 1 of the TPGs. </w:t>
      </w:r>
      <w:r w:rsidRPr="007B439F">
        <w:rPr>
          <w:rFonts w:cs="Arial"/>
        </w:rPr>
        <w:t xml:space="preserve">Part 1 </w:t>
      </w:r>
      <w:r>
        <w:rPr>
          <w:rFonts w:cs="Arial"/>
        </w:rPr>
        <w:t>requires</w:t>
      </w:r>
      <w:r w:rsidRPr="007B439F">
        <w:rPr>
          <w:rFonts w:cs="Arial"/>
        </w:rPr>
        <w:t xml:space="preserve"> licensees to inform affected persons, in the relevant licence</w:t>
      </w:r>
      <w:r>
        <w:rPr>
          <w:rFonts w:cs="Arial"/>
        </w:rPr>
        <w:t xml:space="preserve"> or coverage</w:t>
      </w:r>
      <w:r w:rsidRPr="007B439F">
        <w:rPr>
          <w:rFonts w:cs="Arial"/>
        </w:rPr>
        <w:t xml:space="preserve"> area, about the commencement of test transmissions. </w:t>
      </w:r>
      <w:r>
        <w:rPr>
          <w:rFonts w:cs="Arial"/>
        </w:rPr>
        <w:t>The requirement to follow this procedure is additional to the requirement in section 2.2 of the Determination.</w:t>
      </w:r>
    </w:p>
    <w:p w14:paraId="247E289E" w14:textId="77777777" w:rsidR="00D97271" w:rsidRPr="00C252C2" w:rsidRDefault="00D97271" w:rsidP="00D97271">
      <w:pPr>
        <w:spacing w:line="240" w:lineRule="auto"/>
        <w:outlineLvl w:val="0"/>
        <w:rPr>
          <w:rFonts w:cs="Arial"/>
          <w:b/>
        </w:rPr>
      </w:pPr>
      <w:r w:rsidRPr="00C252C2">
        <w:rPr>
          <w:rFonts w:cs="Arial"/>
          <w:b/>
        </w:rPr>
        <w:t>Section 4.4</w:t>
      </w:r>
      <w:r>
        <w:rPr>
          <w:rFonts w:cs="Arial"/>
          <w:b/>
        </w:rPr>
        <w:tab/>
      </w:r>
      <w:r w:rsidRPr="00C252C2">
        <w:rPr>
          <w:rFonts w:cs="Arial"/>
          <w:b/>
        </w:rPr>
        <w:t>Operating requirements – open narrowcasting services in the AM band</w:t>
      </w:r>
    </w:p>
    <w:p w14:paraId="16E8F684" w14:textId="77777777" w:rsidR="00D97271" w:rsidRPr="00C252C2" w:rsidRDefault="00D97271" w:rsidP="00D97271">
      <w:pPr>
        <w:spacing w:line="240" w:lineRule="auto"/>
        <w:outlineLvl w:val="0"/>
        <w:rPr>
          <w:rFonts w:cs="Arial"/>
        </w:rPr>
      </w:pPr>
      <w:r w:rsidRPr="00C252C2">
        <w:rPr>
          <w:rFonts w:cs="Arial"/>
        </w:rPr>
        <w:t xml:space="preserve">Subsection (1) </w:t>
      </w:r>
      <w:r>
        <w:rPr>
          <w:rFonts w:cs="Arial"/>
        </w:rPr>
        <w:t>provides</w:t>
      </w:r>
      <w:r w:rsidRPr="00C252C2">
        <w:rPr>
          <w:rFonts w:cs="Arial"/>
        </w:rPr>
        <w:t xml:space="preserve"> that section 4.4 applies to licensees who operate a station on a frequency in the AM band to provide an open narrowcasting radio service. </w:t>
      </w:r>
      <w:r>
        <w:rPr>
          <w:rFonts w:cs="Arial"/>
        </w:rPr>
        <w:t>T</w:t>
      </w:r>
      <w:r w:rsidRPr="00C252C2">
        <w:rPr>
          <w:rFonts w:cs="Arial"/>
        </w:rPr>
        <w:t xml:space="preserve">his provision only applies to </w:t>
      </w:r>
      <w:r>
        <w:rPr>
          <w:rFonts w:cs="Arial"/>
        </w:rPr>
        <w:t>‘</w:t>
      </w:r>
      <w:r w:rsidRPr="00C252C2">
        <w:rPr>
          <w:rFonts w:cs="Arial"/>
        </w:rPr>
        <w:t>high power</w:t>
      </w:r>
      <w:r>
        <w:rPr>
          <w:rFonts w:cs="Arial"/>
        </w:rPr>
        <w:t>’</w:t>
      </w:r>
      <w:r w:rsidRPr="00C252C2">
        <w:rPr>
          <w:rFonts w:cs="Arial"/>
        </w:rPr>
        <w:t xml:space="preserve"> open narrowcasting services because of the operation of subsection 4.1(3). Subsection (2) provides that</w:t>
      </w:r>
      <w:r>
        <w:rPr>
          <w:rFonts w:cs="Arial"/>
        </w:rPr>
        <w:t>:</w:t>
      </w:r>
    </w:p>
    <w:p w14:paraId="0245D383" w14:textId="6436AC4C" w:rsidR="00D97271" w:rsidRPr="00C252C2" w:rsidRDefault="00D97271" w:rsidP="00D97271">
      <w:pPr>
        <w:pStyle w:val="ListParagraph"/>
        <w:numPr>
          <w:ilvl w:val="0"/>
          <w:numId w:val="8"/>
        </w:numPr>
        <w:spacing w:line="240" w:lineRule="auto"/>
        <w:outlineLvl w:val="0"/>
        <w:rPr>
          <w:rFonts w:cs="Arial"/>
        </w:rPr>
      </w:pPr>
      <w:r w:rsidRPr="00C252C2">
        <w:rPr>
          <w:rFonts w:cs="Arial"/>
        </w:rPr>
        <w:t>if the open narrowcasting service has been planned in a licence area plan</w:t>
      </w:r>
      <w:r>
        <w:rPr>
          <w:rFonts w:cs="Arial"/>
        </w:rPr>
        <w:t xml:space="preserve"> under section 26 of the </w:t>
      </w:r>
      <w:r>
        <w:rPr>
          <w:rFonts w:cs="Arial"/>
          <w:i/>
        </w:rPr>
        <w:t>Broadcasting Services Act 1992</w:t>
      </w:r>
      <w:r w:rsidRPr="00C252C2">
        <w:rPr>
          <w:rFonts w:cs="Arial"/>
        </w:rPr>
        <w:t xml:space="preserve">, the licensee must operate the station in compliance with </w:t>
      </w:r>
      <w:r w:rsidR="000E12C5">
        <w:rPr>
          <w:rFonts w:cs="Arial"/>
        </w:rPr>
        <w:t xml:space="preserve">the cymomotive force limits mentioned in the </w:t>
      </w:r>
      <w:r w:rsidRPr="00C252C2">
        <w:rPr>
          <w:rFonts w:cs="Arial"/>
        </w:rPr>
        <w:t>technical specifications for the service as included in th</w:t>
      </w:r>
      <w:r>
        <w:rPr>
          <w:rFonts w:cs="Arial"/>
        </w:rPr>
        <w:t>at</w:t>
      </w:r>
      <w:r w:rsidRPr="00C252C2">
        <w:rPr>
          <w:rFonts w:cs="Arial"/>
        </w:rPr>
        <w:t xml:space="preserve"> licence area plan; </w:t>
      </w:r>
    </w:p>
    <w:p w14:paraId="4BD00CD9" w14:textId="77777777" w:rsidR="00D97271" w:rsidRPr="00C252C2" w:rsidRDefault="00D97271" w:rsidP="00D97271">
      <w:pPr>
        <w:pStyle w:val="ListParagraph"/>
        <w:numPr>
          <w:ilvl w:val="0"/>
          <w:numId w:val="8"/>
        </w:numPr>
        <w:spacing w:line="240" w:lineRule="auto"/>
        <w:outlineLvl w:val="0"/>
        <w:rPr>
          <w:rFonts w:cs="Arial"/>
        </w:rPr>
      </w:pPr>
      <w:r w:rsidRPr="00C252C2">
        <w:rPr>
          <w:rFonts w:cs="Arial"/>
        </w:rPr>
        <w:t>the licensee must operate the station in a manner that limits interference caused by the propagation of sky waves to other broadcasting services</w:t>
      </w:r>
      <w:r>
        <w:rPr>
          <w:rFonts w:cs="Arial"/>
        </w:rPr>
        <w:t xml:space="preserve"> in the AM band</w:t>
      </w:r>
      <w:r w:rsidRPr="00C252C2">
        <w:rPr>
          <w:rFonts w:cs="Arial"/>
        </w:rPr>
        <w:t>;</w:t>
      </w:r>
    </w:p>
    <w:p w14:paraId="0789CCE2" w14:textId="3691C9D2" w:rsidR="00D97271" w:rsidRPr="00C252C2" w:rsidRDefault="00D97271" w:rsidP="00D97271">
      <w:pPr>
        <w:pStyle w:val="ListParagraph"/>
        <w:numPr>
          <w:ilvl w:val="0"/>
          <w:numId w:val="8"/>
        </w:numPr>
        <w:spacing w:line="240" w:lineRule="auto"/>
        <w:outlineLvl w:val="0"/>
        <w:rPr>
          <w:rFonts w:cs="Arial"/>
        </w:rPr>
      </w:pPr>
      <w:r w:rsidRPr="00C252C2">
        <w:rPr>
          <w:rFonts w:cs="Arial"/>
        </w:rPr>
        <w:t xml:space="preserve">the licensee </w:t>
      </w:r>
      <w:r>
        <w:rPr>
          <w:rFonts w:cs="Arial"/>
        </w:rPr>
        <w:t>must comply with</w:t>
      </w:r>
      <w:r w:rsidRPr="00C252C2">
        <w:rPr>
          <w:rFonts w:cs="Arial"/>
        </w:rPr>
        <w:t xml:space="preserve"> guidelines 21 to 26 </w:t>
      </w:r>
      <w:r w:rsidR="005D2623">
        <w:rPr>
          <w:rFonts w:cs="Arial"/>
        </w:rPr>
        <w:t xml:space="preserve">in Part 3 </w:t>
      </w:r>
      <w:r w:rsidRPr="00C252C2">
        <w:rPr>
          <w:rFonts w:cs="Arial"/>
        </w:rPr>
        <w:t xml:space="preserve">of the TPGs. </w:t>
      </w:r>
      <w:r>
        <w:rPr>
          <w:rFonts w:cs="Arial"/>
        </w:rPr>
        <w:t xml:space="preserve"> </w:t>
      </w:r>
      <w:r w:rsidRPr="00C252C2">
        <w:rPr>
          <w:rFonts w:cs="Arial"/>
        </w:rPr>
        <w:t>The</w:t>
      </w:r>
      <w:r>
        <w:rPr>
          <w:rFonts w:cs="Arial"/>
        </w:rPr>
        <w:t>se</w:t>
      </w:r>
      <w:r w:rsidRPr="00C252C2">
        <w:rPr>
          <w:rFonts w:cs="Arial"/>
        </w:rPr>
        <w:t xml:space="preserve"> guidelines relat</w:t>
      </w:r>
      <w:r>
        <w:rPr>
          <w:rFonts w:cs="Arial"/>
        </w:rPr>
        <w:t>e</w:t>
      </w:r>
      <w:r w:rsidRPr="0094732F">
        <w:rPr>
          <w:rFonts w:cs="Arial"/>
        </w:rPr>
        <w:t xml:space="preserve"> to minimum levels of service and maximum field strength</w:t>
      </w:r>
      <w:r>
        <w:rPr>
          <w:rFonts w:cs="Arial"/>
        </w:rPr>
        <w:t>s</w:t>
      </w:r>
      <w:r w:rsidRPr="00C252C2">
        <w:rPr>
          <w:rFonts w:cs="Arial"/>
        </w:rPr>
        <w:t xml:space="preserve"> for stations.</w:t>
      </w:r>
    </w:p>
    <w:p w14:paraId="4C85C1BC" w14:textId="52BB3000" w:rsidR="00D97271" w:rsidRPr="00C252C2" w:rsidRDefault="00D97271" w:rsidP="00D97271">
      <w:pPr>
        <w:spacing w:line="240" w:lineRule="auto"/>
        <w:outlineLvl w:val="0"/>
        <w:rPr>
          <w:rFonts w:cs="Arial"/>
          <w:b/>
        </w:rPr>
      </w:pPr>
      <w:r w:rsidRPr="00C252C2">
        <w:rPr>
          <w:rFonts w:cs="Arial"/>
          <w:b/>
        </w:rPr>
        <w:t>Section 4.5</w:t>
      </w:r>
      <w:r>
        <w:rPr>
          <w:rFonts w:cs="Arial"/>
          <w:b/>
        </w:rPr>
        <w:tab/>
      </w:r>
      <w:r w:rsidRPr="00C252C2">
        <w:rPr>
          <w:rFonts w:cs="Arial"/>
          <w:b/>
        </w:rPr>
        <w:t>Operating requirements – open narrowcasting services in the FM band</w:t>
      </w:r>
    </w:p>
    <w:p w14:paraId="426615A6" w14:textId="77777777" w:rsidR="00D97271" w:rsidRDefault="00D97271" w:rsidP="00D97271">
      <w:pPr>
        <w:spacing w:line="240" w:lineRule="auto"/>
        <w:outlineLvl w:val="0"/>
        <w:rPr>
          <w:rFonts w:cs="Arial"/>
        </w:rPr>
      </w:pPr>
      <w:r w:rsidRPr="00C252C2">
        <w:rPr>
          <w:rFonts w:cs="Arial"/>
        </w:rPr>
        <w:t xml:space="preserve">Subsection (1) </w:t>
      </w:r>
      <w:r>
        <w:rPr>
          <w:rFonts w:cs="Arial"/>
        </w:rPr>
        <w:t>provides</w:t>
      </w:r>
      <w:r w:rsidRPr="00927FF1">
        <w:rPr>
          <w:rFonts w:cs="Arial"/>
        </w:rPr>
        <w:t xml:space="preserve"> that section 4.5 applies to licensees who operate </w:t>
      </w:r>
      <w:r>
        <w:rPr>
          <w:rFonts w:cs="Arial"/>
        </w:rPr>
        <w:t xml:space="preserve">a </w:t>
      </w:r>
      <w:r w:rsidRPr="00927FF1">
        <w:rPr>
          <w:rFonts w:cs="Arial"/>
        </w:rPr>
        <w:t xml:space="preserve">station on a frequency in the FM band to provide an open narrowcasting radio service. </w:t>
      </w:r>
      <w:r>
        <w:rPr>
          <w:rFonts w:cs="Arial"/>
        </w:rPr>
        <w:t xml:space="preserve"> T</w:t>
      </w:r>
      <w:r w:rsidRPr="0094732F">
        <w:rPr>
          <w:rFonts w:cs="Arial"/>
        </w:rPr>
        <w:t xml:space="preserve">his </w:t>
      </w:r>
      <w:r>
        <w:rPr>
          <w:rFonts w:cs="Arial"/>
        </w:rPr>
        <w:t xml:space="preserve">provision only </w:t>
      </w:r>
      <w:r w:rsidRPr="0094732F">
        <w:rPr>
          <w:rFonts w:cs="Arial"/>
        </w:rPr>
        <w:t xml:space="preserve">applies to </w:t>
      </w:r>
      <w:r>
        <w:rPr>
          <w:rFonts w:cs="Arial"/>
        </w:rPr>
        <w:t>‘</w:t>
      </w:r>
      <w:r w:rsidRPr="00927FF1">
        <w:rPr>
          <w:rFonts w:cs="Arial"/>
        </w:rPr>
        <w:t>high power</w:t>
      </w:r>
      <w:r>
        <w:rPr>
          <w:rFonts w:cs="Arial"/>
        </w:rPr>
        <w:t>’</w:t>
      </w:r>
      <w:r w:rsidRPr="0094732F">
        <w:rPr>
          <w:rFonts w:cs="Arial"/>
        </w:rPr>
        <w:t xml:space="preserve"> open narrowcasting services </w:t>
      </w:r>
      <w:r>
        <w:rPr>
          <w:rFonts w:cs="Arial"/>
        </w:rPr>
        <w:t>because of the operation of subsection 4.1(3)</w:t>
      </w:r>
      <w:r w:rsidRPr="0094732F">
        <w:rPr>
          <w:rFonts w:cs="Arial"/>
        </w:rPr>
        <w:t>.</w:t>
      </w:r>
    </w:p>
    <w:p w14:paraId="61595EAA" w14:textId="2BFD83D6" w:rsidR="00D97271" w:rsidRPr="0094732F" w:rsidRDefault="00D97271" w:rsidP="00D97271">
      <w:pPr>
        <w:spacing w:line="240" w:lineRule="auto"/>
        <w:outlineLvl w:val="0"/>
        <w:rPr>
          <w:rFonts w:cs="Arial"/>
        </w:rPr>
      </w:pPr>
      <w:r w:rsidRPr="00C252C2">
        <w:rPr>
          <w:rFonts w:cs="Arial"/>
        </w:rPr>
        <w:t xml:space="preserve">Subsection (2) provides that the licensee </w:t>
      </w:r>
      <w:r>
        <w:rPr>
          <w:rFonts w:cs="Arial"/>
        </w:rPr>
        <w:t>must comply with</w:t>
      </w:r>
      <w:r w:rsidRPr="0094732F">
        <w:rPr>
          <w:rFonts w:cs="Arial"/>
        </w:rPr>
        <w:t xml:space="preserve"> guidelines 34</w:t>
      </w:r>
      <w:r w:rsidR="006711D0">
        <w:rPr>
          <w:rFonts w:cs="Arial"/>
        </w:rPr>
        <w:t>, 36</w:t>
      </w:r>
      <w:r w:rsidRPr="0094732F">
        <w:rPr>
          <w:rFonts w:cs="Arial"/>
        </w:rPr>
        <w:t xml:space="preserve"> to 42 and 44 to 47 of the TPGs. The</w:t>
      </w:r>
      <w:r>
        <w:rPr>
          <w:rFonts w:cs="Arial"/>
        </w:rPr>
        <w:t>se</w:t>
      </w:r>
      <w:r w:rsidRPr="0094732F">
        <w:rPr>
          <w:rFonts w:cs="Arial"/>
        </w:rPr>
        <w:t xml:space="preserve"> guidelines relat</w:t>
      </w:r>
      <w:r>
        <w:rPr>
          <w:rFonts w:cs="Arial"/>
        </w:rPr>
        <w:t>e</w:t>
      </w:r>
      <w:r w:rsidRPr="0094732F">
        <w:rPr>
          <w:rFonts w:cs="Arial"/>
        </w:rPr>
        <w:t xml:space="preserve"> to minimum levels of service, power levels and maximum field strength</w:t>
      </w:r>
      <w:r>
        <w:rPr>
          <w:rFonts w:cs="Arial"/>
        </w:rPr>
        <w:t>s for</w:t>
      </w:r>
      <w:r w:rsidRPr="0094732F">
        <w:rPr>
          <w:rFonts w:cs="Arial"/>
        </w:rPr>
        <w:t xml:space="preserve"> stations.</w:t>
      </w:r>
    </w:p>
    <w:p w14:paraId="3C918609" w14:textId="77777777" w:rsidR="00D97271" w:rsidRPr="0094732F" w:rsidRDefault="00D97271" w:rsidP="00D97271">
      <w:pPr>
        <w:spacing w:line="240" w:lineRule="auto"/>
        <w:outlineLvl w:val="0"/>
        <w:rPr>
          <w:rFonts w:cs="Arial"/>
          <w:b/>
        </w:rPr>
      </w:pPr>
      <w:r w:rsidRPr="0094732F">
        <w:rPr>
          <w:rFonts w:cs="Arial"/>
          <w:b/>
        </w:rPr>
        <w:t>Section 4.6</w:t>
      </w:r>
      <w:r>
        <w:rPr>
          <w:rFonts w:cs="Arial"/>
          <w:b/>
        </w:rPr>
        <w:tab/>
      </w:r>
      <w:r w:rsidRPr="0094732F">
        <w:rPr>
          <w:rFonts w:cs="Arial"/>
          <w:b/>
        </w:rPr>
        <w:t>Operating requirements – open narrowcasting services in the TV bands</w:t>
      </w:r>
    </w:p>
    <w:p w14:paraId="35CFDEC9" w14:textId="5E584DE6" w:rsidR="00D97271" w:rsidRDefault="00D97271" w:rsidP="00D97271">
      <w:pPr>
        <w:spacing w:line="240" w:lineRule="auto"/>
        <w:outlineLvl w:val="0"/>
        <w:rPr>
          <w:rFonts w:cs="Arial"/>
        </w:rPr>
      </w:pPr>
      <w:r w:rsidRPr="0094732F">
        <w:rPr>
          <w:rFonts w:cs="Arial"/>
        </w:rPr>
        <w:t xml:space="preserve">Subsection (1) </w:t>
      </w:r>
      <w:r>
        <w:rPr>
          <w:rFonts w:cs="Arial"/>
        </w:rPr>
        <w:t>provides</w:t>
      </w:r>
      <w:r w:rsidRPr="0094732F">
        <w:rPr>
          <w:rFonts w:cs="Arial"/>
        </w:rPr>
        <w:t xml:space="preserve"> that section 4.6 applies to licensees who operate a</w:t>
      </w:r>
      <w:r>
        <w:rPr>
          <w:rFonts w:cs="Arial"/>
        </w:rPr>
        <w:t xml:space="preserve"> </w:t>
      </w:r>
      <w:r w:rsidRPr="0094732F">
        <w:rPr>
          <w:rFonts w:cs="Arial"/>
        </w:rPr>
        <w:t xml:space="preserve">station on a frequency in the TV </w:t>
      </w:r>
      <w:r w:rsidR="006711D0">
        <w:rPr>
          <w:rFonts w:cs="Arial"/>
        </w:rPr>
        <w:t>b</w:t>
      </w:r>
      <w:r w:rsidRPr="0094732F">
        <w:rPr>
          <w:rFonts w:cs="Arial"/>
        </w:rPr>
        <w:t>ands (174</w:t>
      </w:r>
      <w:r w:rsidR="00B52E04">
        <w:rPr>
          <w:rFonts w:cs="Arial"/>
        </w:rPr>
        <w:t xml:space="preserve"> MHz</w:t>
      </w:r>
      <w:r w:rsidRPr="0094732F">
        <w:rPr>
          <w:rFonts w:cs="Arial"/>
        </w:rPr>
        <w:t xml:space="preserve"> to 230 MHz, and 520</w:t>
      </w:r>
      <w:r w:rsidR="00B52E04">
        <w:rPr>
          <w:rFonts w:cs="Arial"/>
        </w:rPr>
        <w:t xml:space="preserve"> MHz</w:t>
      </w:r>
      <w:r w:rsidRPr="0094732F">
        <w:rPr>
          <w:rFonts w:cs="Arial"/>
        </w:rPr>
        <w:t> to 694 MHz) to provide an open narrowcasting</w:t>
      </w:r>
      <w:r>
        <w:rPr>
          <w:rFonts w:cs="Arial"/>
        </w:rPr>
        <w:t xml:space="preserve"> </w:t>
      </w:r>
      <w:r>
        <w:rPr>
          <w:rFonts w:cs="Arial"/>
        </w:rPr>
        <w:lastRenderedPageBreak/>
        <w:t>television</w:t>
      </w:r>
      <w:r w:rsidRPr="0094732F">
        <w:rPr>
          <w:rFonts w:cs="Arial"/>
        </w:rPr>
        <w:t xml:space="preserve"> service. </w:t>
      </w:r>
      <w:r>
        <w:rPr>
          <w:rFonts w:cs="Arial"/>
        </w:rPr>
        <w:t>T</w:t>
      </w:r>
      <w:r w:rsidRPr="0094732F">
        <w:rPr>
          <w:rFonts w:cs="Arial"/>
        </w:rPr>
        <w:t xml:space="preserve">his </w:t>
      </w:r>
      <w:r>
        <w:rPr>
          <w:rFonts w:cs="Arial"/>
        </w:rPr>
        <w:t xml:space="preserve">provision only </w:t>
      </w:r>
      <w:r w:rsidRPr="0094732F">
        <w:rPr>
          <w:rFonts w:cs="Arial"/>
        </w:rPr>
        <w:t xml:space="preserve">applies to </w:t>
      </w:r>
      <w:r>
        <w:rPr>
          <w:rFonts w:cs="Arial"/>
        </w:rPr>
        <w:t>‘</w:t>
      </w:r>
      <w:r w:rsidRPr="0094732F">
        <w:rPr>
          <w:rFonts w:cs="Arial"/>
        </w:rPr>
        <w:t>high power</w:t>
      </w:r>
      <w:r>
        <w:rPr>
          <w:rFonts w:cs="Arial"/>
        </w:rPr>
        <w:t>’</w:t>
      </w:r>
      <w:r w:rsidRPr="0094732F">
        <w:rPr>
          <w:rFonts w:cs="Arial"/>
        </w:rPr>
        <w:t xml:space="preserve"> open narrowcasting services</w:t>
      </w:r>
      <w:r>
        <w:rPr>
          <w:rFonts w:cs="Arial"/>
        </w:rPr>
        <w:t xml:space="preserve"> because of the operation of subsection 4.1(3)</w:t>
      </w:r>
      <w:r w:rsidRPr="0094732F">
        <w:rPr>
          <w:rFonts w:cs="Arial"/>
        </w:rPr>
        <w:t>.</w:t>
      </w:r>
    </w:p>
    <w:p w14:paraId="02A2A4DB" w14:textId="722D4950" w:rsidR="00D97271" w:rsidRDefault="00D97271" w:rsidP="00D97271">
      <w:pPr>
        <w:spacing w:line="240" w:lineRule="auto"/>
        <w:outlineLvl w:val="0"/>
        <w:rPr>
          <w:rFonts w:cs="Arial"/>
        </w:rPr>
      </w:pPr>
      <w:r w:rsidRPr="0094732F">
        <w:rPr>
          <w:rFonts w:cs="Arial"/>
        </w:rPr>
        <w:t xml:space="preserve">Subsection (2) provides that section 4.6 does not apply to a licence that authorises the operation of a station that is subject to a licence condition that the licensee must only provide an open narrowcasting service for community and educational purposes on a not-for-profit basis. </w:t>
      </w:r>
      <w:r w:rsidRPr="009F48D7">
        <w:rPr>
          <w:rFonts w:cs="Arial"/>
        </w:rPr>
        <w:t xml:space="preserve"> </w:t>
      </w:r>
      <w:r>
        <w:rPr>
          <w:rFonts w:cs="Arial"/>
        </w:rPr>
        <w:t>There are t</w:t>
      </w:r>
      <w:r w:rsidRPr="009F48D7">
        <w:rPr>
          <w:rFonts w:cs="Arial"/>
        </w:rPr>
        <w:t xml:space="preserve">wo licences </w:t>
      </w:r>
      <w:r>
        <w:rPr>
          <w:rFonts w:cs="Arial"/>
        </w:rPr>
        <w:t>of this nature</w:t>
      </w:r>
      <w:r w:rsidRPr="009F48D7">
        <w:rPr>
          <w:rFonts w:cs="Arial"/>
        </w:rPr>
        <w:t xml:space="preserve">, </w:t>
      </w:r>
      <w:r>
        <w:rPr>
          <w:rFonts w:cs="Arial"/>
        </w:rPr>
        <w:t xml:space="preserve">one </w:t>
      </w:r>
      <w:r w:rsidRPr="009F48D7">
        <w:rPr>
          <w:rFonts w:cs="Arial"/>
        </w:rPr>
        <w:t>in</w:t>
      </w:r>
      <w:r>
        <w:rPr>
          <w:rFonts w:cs="Arial"/>
        </w:rPr>
        <w:t xml:space="preserve"> each of</w:t>
      </w:r>
      <w:r w:rsidRPr="009F48D7">
        <w:rPr>
          <w:rFonts w:cs="Arial"/>
        </w:rPr>
        <w:t xml:space="preserve"> Perth and Adelaide. </w:t>
      </w:r>
    </w:p>
    <w:p w14:paraId="349B2540" w14:textId="4E626FAF" w:rsidR="00D97271" w:rsidRPr="009F48D7" w:rsidRDefault="00D97271" w:rsidP="00D97271">
      <w:pPr>
        <w:spacing w:line="240" w:lineRule="auto"/>
        <w:outlineLvl w:val="0"/>
        <w:rPr>
          <w:rFonts w:cs="Arial"/>
        </w:rPr>
      </w:pPr>
      <w:r w:rsidRPr="009F48D7">
        <w:rPr>
          <w:rFonts w:cs="Arial"/>
        </w:rPr>
        <w:t xml:space="preserve">Subsection (3) provides that the licensee </w:t>
      </w:r>
      <w:r>
        <w:rPr>
          <w:rFonts w:cs="Arial"/>
        </w:rPr>
        <w:t>must comply with</w:t>
      </w:r>
      <w:r w:rsidRPr="009F48D7">
        <w:rPr>
          <w:rFonts w:cs="Arial"/>
        </w:rPr>
        <w:t xml:space="preserve"> guidelines 81 to 89B of the TPG</w:t>
      </w:r>
      <w:r w:rsidR="001D520E">
        <w:rPr>
          <w:rFonts w:cs="Arial"/>
        </w:rPr>
        <w:t>s</w:t>
      </w:r>
      <w:r w:rsidRPr="009F48D7">
        <w:rPr>
          <w:rFonts w:cs="Arial"/>
        </w:rPr>
        <w:t>. The</w:t>
      </w:r>
      <w:r>
        <w:rPr>
          <w:rFonts w:cs="Arial"/>
        </w:rPr>
        <w:t>se</w:t>
      </w:r>
      <w:r w:rsidRPr="009F48D7">
        <w:rPr>
          <w:rFonts w:cs="Arial"/>
        </w:rPr>
        <w:t xml:space="preserve"> guidelines relat</w:t>
      </w:r>
      <w:r>
        <w:rPr>
          <w:rFonts w:cs="Arial"/>
        </w:rPr>
        <w:t>e</w:t>
      </w:r>
      <w:r w:rsidRPr="009F48D7">
        <w:rPr>
          <w:rFonts w:cs="Arial"/>
        </w:rPr>
        <w:t xml:space="preserve"> to power levels, minimum levels of service and maximum field strength</w:t>
      </w:r>
      <w:r>
        <w:rPr>
          <w:rFonts w:cs="Arial"/>
        </w:rPr>
        <w:t>s</w:t>
      </w:r>
      <w:r w:rsidRPr="009F48D7">
        <w:rPr>
          <w:rFonts w:cs="Arial"/>
        </w:rPr>
        <w:t xml:space="preserve"> for stations.</w:t>
      </w:r>
    </w:p>
    <w:p w14:paraId="3EF0CADD" w14:textId="77777777" w:rsidR="00D97271" w:rsidRPr="009F48D7" w:rsidRDefault="00D97271" w:rsidP="00D97271">
      <w:pPr>
        <w:spacing w:line="240" w:lineRule="auto"/>
        <w:outlineLvl w:val="0"/>
        <w:rPr>
          <w:rFonts w:cs="Arial"/>
          <w:b/>
        </w:rPr>
      </w:pPr>
      <w:r w:rsidRPr="009F48D7">
        <w:rPr>
          <w:rFonts w:cs="Arial"/>
          <w:b/>
        </w:rPr>
        <w:t>Section 4.8</w:t>
      </w:r>
      <w:r>
        <w:rPr>
          <w:rFonts w:cs="Arial"/>
          <w:b/>
        </w:rPr>
        <w:tab/>
      </w:r>
      <w:r w:rsidRPr="009F48D7">
        <w:rPr>
          <w:rFonts w:cs="Arial"/>
          <w:b/>
        </w:rPr>
        <w:t>Low power open narrowcasting services</w:t>
      </w:r>
    </w:p>
    <w:p w14:paraId="36A35D1F" w14:textId="3B318693" w:rsidR="00D97271" w:rsidRPr="009F48D7" w:rsidRDefault="00D97271" w:rsidP="00D97271">
      <w:pPr>
        <w:spacing w:line="240" w:lineRule="auto"/>
        <w:outlineLvl w:val="0"/>
        <w:rPr>
          <w:rFonts w:cs="Arial"/>
        </w:rPr>
      </w:pPr>
      <w:r w:rsidRPr="009F48D7">
        <w:rPr>
          <w:rFonts w:cs="Arial"/>
        </w:rPr>
        <w:t xml:space="preserve">Subsection 4.8(1) provides that a licensee who operates </w:t>
      </w:r>
      <w:r w:rsidR="00ED197E">
        <w:rPr>
          <w:rFonts w:cs="Arial"/>
        </w:rPr>
        <w:t xml:space="preserve">a </w:t>
      </w:r>
      <w:r w:rsidRPr="009F48D7">
        <w:rPr>
          <w:rFonts w:cs="Arial"/>
        </w:rPr>
        <w:t>narrowcasting service station to provide a</w:t>
      </w:r>
      <w:r>
        <w:rPr>
          <w:rFonts w:cs="Arial"/>
        </w:rPr>
        <w:t>n</w:t>
      </w:r>
      <w:r w:rsidRPr="009F48D7">
        <w:rPr>
          <w:rFonts w:cs="Arial"/>
        </w:rPr>
        <w:t xml:space="preserve"> LPON service is subject to the following conditions:</w:t>
      </w:r>
    </w:p>
    <w:p w14:paraId="34384A20" w14:textId="54789525" w:rsidR="00D97271" w:rsidRPr="009F48D7" w:rsidRDefault="00D97271" w:rsidP="00D97271">
      <w:pPr>
        <w:pStyle w:val="ListParagraph"/>
        <w:numPr>
          <w:ilvl w:val="0"/>
          <w:numId w:val="9"/>
        </w:numPr>
        <w:spacing w:line="240" w:lineRule="auto"/>
        <w:outlineLvl w:val="0"/>
        <w:rPr>
          <w:rFonts w:cs="Arial"/>
        </w:rPr>
      </w:pPr>
      <w:r w:rsidRPr="009F48D7">
        <w:rPr>
          <w:rFonts w:cs="Arial"/>
        </w:rPr>
        <w:t>the licensee must only operate the station to provide a</w:t>
      </w:r>
      <w:r w:rsidR="00B52E04">
        <w:rPr>
          <w:rFonts w:cs="Arial"/>
        </w:rPr>
        <w:t xml:space="preserve"> </w:t>
      </w:r>
      <w:r w:rsidR="00205B3C">
        <w:rPr>
          <w:rFonts w:cs="Arial"/>
        </w:rPr>
        <w:t>LPON</w:t>
      </w:r>
      <w:r w:rsidRPr="009F48D7">
        <w:rPr>
          <w:rFonts w:cs="Arial"/>
        </w:rPr>
        <w:t>;</w:t>
      </w:r>
    </w:p>
    <w:p w14:paraId="6E807B9F" w14:textId="77777777" w:rsidR="00D97271" w:rsidRPr="009F48D7" w:rsidRDefault="00D97271" w:rsidP="00D97271">
      <w:pPr>
        <w:pStyle w:val="ListParagraph"/>
        <w:numPr>
          <w:ilvl w:val="0"/>
          <w:numId w:val="9"/>
        </w:numPr>
        <w:spacing w:line="240" w:lineRule="auto"/>
        <w:outlineLvl w:val="0"/>
        <w:rPr>
          <w:rFonts w:cs="Arial"/>
        </w:rPr>
      </w:pPr>
      <w:r w:rsidRPr="009F48D7">
        <w:rPr>
          <w:rFonts w:cs="Arial"/>
        </w:rPr>
        <w:t>the maximum transmitter power of the station must not exceed 1 watt in a residential area; and</w:t>
      </w:r>
    </w:p>
    <w:p w14:paraId="52138656" w14:textId="77777777" w:rsidR="00D97271" w:rsidRPr="009F48D7" w:rsidRDefault="00D97271" w:rsidP="00D97271">
      <w:pPr>
        <w:pStyle w:val="ListParagraph"/>
        <w:numPr>
          <w:ilvl w:val="0"/>
          <w:numId w:val="9"/>
        </w:numPr>
        <w:spacing w:line="240" w:lineRule="auto"/>
        <w:outlineLvl w:val="0"/>
        <w:rPr>
          <w:rFonts w:cs="Arial"/>
        </w:rPr>
      </w:pPr>
      <w:r w:rsidRPr="009F48D7">
        <w:rPr>
          <w:rFonts w:cs="Arial"/>
        </w:rPr>
        <w:t xml:space="preserve">the maximum transmitter power of the station </w:t>
      </w:r>
      <w:r>
        <w:rPr>
          <w:rFonts w:cs="Arial"/>
        </w:rPr>
        <w:t xml:space="preserve">must </w:t>
      </w:r>
      <w:r w:rsidRPr="009F48D7">
        <w:rPr>
          <w:rFonts w:cs="Arial"/>
        </w:rPr>
        <w:t>not exceed 10 watts in a non-residential area.</w:t>
      </w:r>
    </w:p>
    <w:p w14:paraId="52156995" w14:textId="77777777" w:rsidR="00D97271" w:rsidRPr="009F48D7" w:rsidRDefault="00D97271" w:rsidP="00D97271">
      <w:pPr>
        <w:spacing w:line="240" w:lineRule="auto"/>
        <w:outlineLvl w:val="0"/>
        <w:rPr>
          <w:rFonts w:cs="Arial"/>
        </w:rPr>
      </w:pPr>
      <w:r>
        <w:rPr>
          <w:rFonts w:cs="Arial"/>
        </w:rPr>
        <w:t xml:space="preserve">The terms </w:t>
      </w:r>
      <w:r w:rsidRPr="009F48D7">
        <w:rPr>
          <w:rFonts w:cs="Arial"/>
          <w:i/>
        </w:rPr>
        <w:t>residential area</w:t>
      </w:r>
      <w:r w:rsidRPr="009F48D7">
        <w:rPr>
          <w:rFonts w:cs="Arial"/>
        </w:rPr>
        <w:t xml:space="preserve"> and </w:t>
      </w:r>
      <w:r>
        <w:rPr>
          <w:rFonts w:cs="Arial"/>
          <w:i/>
        </w:rPr>
        <w:t>n</w:t>
      </w:r>
      <w:r w:rsidRPr="009F48D7">
        <w:rPr>
          <w:rFonts w:cs="Arial"/>
          <w:i/>
        </w:rPr>
        <w:t>on-residential area</w:t>
      </w:r>
      <w:r w:rsidRPr="009F48D7">
        <w:rPr>
          <w:rFonts w:cs="Arial"/>
        </w:rPr>
        <w:t xml:space="preserve"> are defined in </w:t>
      </w:r>
      <w:r>
        <w:rPr>
          <w:rFonts w:cs="Arial"/>
        </w:rPr>
        <w:t>s</w:t>
      </w:r>
      <w:r w:rsidRPr="009F48D7">
        <w:rPr>
          <w:rFonts w:cs="Arial"/>
        </w:rPr>
        <w:t xml:space="preserve">ection 1.4 of the </w:t>
      </w:r>
      <w:r>
        <w:rPr>
          <w:rFonts w:cs="Arial"/>
        </w:rPr>
        <w:t>Determination</w:t>
      </w:r>
      <w:r w:rsidRPr="009F48D7">
        <w:rPr>
          <w:rFonts w:cs="Arial"/>
        </w:rPr>
        <w:t>.</w:t>
      </w:r>
    </w:p>
    <w:p w14:paraId="1A8058E4" w14:textId="77777777" w:rsidR="00D97271" w:rsidRPr="009F48D7" w:rsidRDefault="00D97271" w:rsidP="00D97271">
      <w:pPr>
        <w:spacing w:line="240" w:lineRule="auto"/>
        <w:outlineLvl w:val="0"/>
        <w:rPr>
          <w:rFonts w:cs="Arial"/>
          <w:b/>
        </w:rPr>
      </w:pPr>
      <w:r>
        <w:rPr>
          <w:rFonts w:cs="Arial"/>
          <w:b/>
        </w:rPr>
        <w:t>Section</w:t>
      </w:r>
      <w:r w:rsidRPr="009F48D7">
        <w:rPr>
          <w:rFonts w:cs="Arial"/>
          <w:b/>
        </w:rPr>
        <w:t xml:space="preserve"> 4.9</w:t>
      </w:r>
      <w:r>
        <w:rPr>
          <w:rFonts w:cs="Arial"/>
          <w:b/>
        </w:rPr>
        <w:tab/>
      </w:r>
      <w:r w:rsidRPr="009F48D7">
        <w:rPr>
          <w:rFonts w:cs="Arial"/>
          <w:b/>
        </w:rPr>
        <w:t>Low power open narrowcasting services – field strength</w:t>
      </w:r>
      <w:r>
        <w:rPr>
          <w:rFonts w:cs="Arial"/>
          <w:b/>
        </w:rPr>
        <w:t xml:space="preserve"> in a residential area</w:t>
      </w:r>
    </w:p>
    <w:p w14:paraId="48DEDB8C" w14:textId="77777777" w:rsidR="00D97271" w:rsidRPr="005A2CF6" w:rsidRDefault="00D97271" w:rsidP="00D97271">
      <w:pPr>
        <w:spacing w:line="240" w:lineRule="auto"/>
        <w:outlineLvl w:val="0"/>
        <w:rPr>
          <w:rFonts w:cs="Arial"/>
        </w:rPr>
      </w:pPr>
      <w:r w:rsidRPr="009F48D7">
        <w:rPr>
          <w:rFonts w:cs="Arial"/>
        </w:rPr>
        <w:t>Section 4.9 imposes a condition that a narrowcasting service station operated to provide a</w:t>
      </w:r>
      <w:r>
        <w:rPr>
          <w:rFonts w:cs="Arial"/>
        </w:rPr>
        <w:t>n</w:t>
      </w:r>
      <w:r w:rsidRPr="005A2CF6">
        <w:rPr>
          <w:rFonts w:cs="Arial"/>
        </w:rPr>
        <w:t xml:space="preserve"> LPON service </w:t>
      </w:r>
      <w:r>
        <w:rPr>
          <w:rFonts w:cs="Arial"/>
        </w:rPr>
        <w:t>must not exceed</w:t>
      </w:r>
      <w:r w:rsidRPr="005A2CF6">
        <w:rPr>
          <w:rFonts w:cs="Arial"/>
        </w:rPr>
        <w:t xml:space="preserve"> a maximum field strength </w:t>
      </w:r>
      <w:r>
        <w:rPr>
          <w:rFonts w:cs="Arial"/>
        </w:rPr>
        <w:t xml:space="preserve">specified </w:t>
      </w:r>
      <w:r w:rsidRPr="005A2CF6">
        <w:rPr>
          <w:rFonts w:cs="Arial"/>
        </w:rPr>
        <w:t xml:space="preserve">for the operation of the station in residential areas. </w:t>
      </w:r>
    </w:p>
    <w:p w14:paraId="289976F5" w14:textId="77777777" w:rsidR="00D97271" w:rsidRPr="005A2CF6" w:rsidRDefault="00D97271" w:rsidP="00D97271">
      <w:pPr>
        <w:spacing w:line="240" w:lineRule="auto"/>
        <w:outlineLvl w:val="0"/>
        <w:rPr>
          <w:rFonts w:cs="Arial"/>
          <w:b/>
        </w:rPr>
      </w:pPr>
      <w:r>
        <w:rPr>
          <w:rFonts w:cs="Arial"/>
          <w:b/>
        </w:rPr>
        <w:t>Section</w:t>
      </w:r>
      <w:r w:rsidRPr="005A2CF6">
        <w:rPr>
          <w:rFonts w:cs="Arial"/>
          <w:b/>
        </w:rPr>
        <w:t xml:space="preserve"> 4.10</w:t>
      </w:r>
      <w:r>
        <w:rPr>
          <w:rFonts w:cs="Arial"/>
          <w:b/>
        </w:rPr>
        <w:tab/>
      </w:r>
      <w:r w:rsidRPr="005A2CF6">
        <w:rPr>
          <w:rFonts w:cs="Arial"/>
          <w:b/>
        </w:rPr>
        <w:t>Low power open narrowcasting services – field strength</w:t>
      </w:r>
      <w:r>
        <w:rPr>
          <w:rFonts w:cs="Arial"/>
          <w:b/>
        </w:rPr>
        <w:t xml:space="preserve"> in a non-residential area</w:t>
      </w:r>
    </w:p>
    <w:p w14:paraId="22755A77" w14:textId="77777777" w:rsidR="00D97271" w:rsidRPr="005A2CF6" w:rsidRDefault="00D97271" w:rsidP="00D97271">
      <w:pPr>
        <w:spacing w:line="240" w:lineRule="auto"/>
        <w:outlineLvl w:val="0"/>
        <w:rPr>
          <w:rFonts w:cs="Arial"/>
        </w:rPr>
      </w:pPr>
      <w:r w:rsidRPr="005A2CF6">
        <w:rPr>
          <w:rFonts w:cs="Arial"/>
        </w:rPr>
        <w:t>Section 4.10 imposes a condition that a narrowcasting service station operated to provide a</w:t>
      </w:r>
      <w:r>
        <w:rPr>
          <w:rFonts w:cs="Arial"/>
        </w:rPr>
        <w:t>n</w:t>
      </w:r>
      <w:r w:rsidRPr="005A2CF6">
        <w:rPr>
          <w:rFonts w:cs="Arial"/>
        </w:rPr>
        <w:t xml:space="preserve"> LPON service</w:t>
      </w:r>
      <w:r>
        <w:rPr>
          <w:rFonts w:cs="Arial"/>
        </w:rPr>
        <w:t xml:space="preserve"> must not exceed</w:t>
      </w:r>
      <w:r w:rsidRPr="005A2CF6">
        <w:rPr>
          <w:rFonts w:cs="Arial"/>
        </w:rPr>
        <w:t xml:space="preserve"> a maximum field strength </w:t>
      </w:r>
      <w:r>
        <w:rPr>
          <w:rFonts w:cs="Arial"/>
        </w:rPr>
        <w:t xml:space="preserve">specified </w:t>
      </w:r>
      <w:r w:rsidRPr="005A2CF6">
        <w:rPr>
          <w:rFonts w:cs="Arial"/>
        </w:rPr>
        <w:t>for the operation of the station in non-residential areas.</w:t>
      </w:r>
    </w:p>
    <w:p w14:paraId="0B1C4952" w14:textId="77777777" w:rsidR="00D97271" w:rsidRPr="005A2CF6" w:rsidRDefault="00D97271" w:rsidP="00D97271">
      <w:pPr>
        <w:spacing w:line="240" w:lineRule="auto"/>
        <w:outlineLvl w:val="0"/>
        <w:rPr>
          <w:rFonts w:cs="Arial"/>
          <w:b/>
        </w:rPr>
      </w:pPr>
      <w:r>
        <w:rPr>
          <w:rFonts w:cs="Arial"/>
          <w:b/>
        </w:rPr>
        <w:t>Section</w:t>
      </w:r>
      <w:r w:rsidRPr="005A2CF6">
        <w:rPr>
          <w:rFonts w:cs="Arial"/>
          <w:b/>
        </w:rPr>
        <w:t xml:space="preserve"> 4.11</w:t>
      </w:r>
      <w:r>
        <w:rPr>
          <w:rFonts w:cs="Arial"/>
          <w:b/>
        </w:rPr>
        <w:tab/>
      </w:r>
      <w:r w:rsidRPr="005A2CF6">
        <w:rPr>
          <w:rFonts w:cs="Arial"/>
          <w:b/>
        </w:rPr>
        <w:t>Certain low power open narrowcasting services – other conditions</w:t>
      </w:r>
    </w:p>
    <w:p w14:paraId="57358A35" w14:textId="77777777" w:rsidR="00D97271" w:rsidRPr="009D38AB" w:rsidRDefault="00D97271" w:rsidP="00D97271">
      <w:pPr>
        <w:spacing w:line="240" w:lineRule="auto"/>
        <w:outlineLvl w:val="0"/>
        <w:rPr>
          <w:rFonts w:eastAsia="Times New Roman" w:cs="Times New Roman"/>
          <w:iCs/>
          <w:lang w:eastAsia="en-AU"/>
        </w:rPr>
      </w:pPr>
      <w:r w:rsidRPr="009D38AB">
        <w:rPr>
          <w:rFonts w:eastAsia="Times New Roman" w:cs="Times New Roman"/>
          <w:iCs/>
          <w:lang w:eastAsia="en-AU"/>
        </w:rPr>
        <w:t xml:space="preserve">The licence conditions set out in section 4.11 for LPON services </w:t>
      </w:r>
      <w:r>
        <w:rPr>
          <w:rFonts w:eastAsia="Times New Roman" w:cs="Times New Roman"/>
          <w:iCs/>
          <w:lang w:eastAsia="en-AU"/>
        </w:rPr>
        <w:t xml:space="preserve">are in accordance with </w:t>
      </w:r>
      <w:r w:rsidRPr="009D38AB">
        <w:rPr>
          <w:rFonts w:eastAsia="Times New Roman" w:cs="Times New Roman"/>
          <w:iCs/>
          <w:lang w:eastAsia="en-AU"/>
        </w:rPr>
        <w:t>the requirements of the Minister’s LPON Direction</w:t>
      </w:r>
      <w:r>
        <w:rPr>
          <w:rFonts w:eastAsia="Times New Roman" w:cs="Times New Roman"/>
          <w:iCs/>
          <w:lang w:eastAsia="en-AU"/>
        </w:rPr>
        <w:t>.</w:t>
      </w:r>
    </w:p>
    <w:p w14:paraId="3C03EEAB" w14:textId="77777777" w:rsidR="00D97271" w:rsidRPr="006754C9" w:rsidRDefault="00D97271" w:rsidP="00D97271">
      <w:pPr>
        <w:spacing w:line="240" w:lineRule="auto"/>
        <w:outlineLvl w:val="0"/>
        <w:rPr>
          <w:rFonts w:cs="Arial"/>
        </w:rPr>
      </w:pPr>
      <w:r w:rsidRPr="005A2CF6">
        <w:rPr>
          <w:rFonts w:cs="Arial"/>
        </w:rPr>
        <w:t xml:space="preserve">Subsection (1) provides that the conditions set out in </w:t>
      </w:r>
      <w:r>
        <w:rPr>
          <w:rFonts w:cs="Arial"/>
        </w:rPr>
        <w:t>s</w:t>
      </w:r>
      <w:r w:rsidRPr="005A2CF6">
        <w:rPr>
          <w:rFonts w:cs="Arial"/>
        </w:rPr>
        <w:t>ection 4.11 apply to licences that authorise the operation of a narrowcasting services station</w:t>
      </w:r>
      <w:r>
        <w:rPr>
          <w:rFonts w:cs="Arial"/>
        </w:rPr>
        <w:t xml:space="preserve"> used to</w:t>
      </w:r>
      <w:r w:rsidRPr="006754C9">
        <w:rPr>
          <w:rFonts w:cs="Arial"/>
        </w:rPr>
        <w:t xml:space="preserve"> provid</w:t>
      </w:r>
      <w:r>
        <w:rPr>
          <w:rFonts w:cs="Arial"/>
        </w:rPr>
        <w:t>e</w:t>
      </w:r>
      <w:r w:rsidRPr="005A2CF6">
        <w:rPr>
          <w:rFonts w:cs="Arial"/>
        </w:rPr>
        <w:t xml:space="preserve"> a</w:t>
      </w:r>
      <w:r>
        <w:rPr>
          <w:rFonts w:cs="Arial"/>
        </w:rPr>
        <w:t>n</w:t>
      </w:r>
      <w:r w:rsidRPr="006754C9">
        <w:rPr>
          <w:rFonts w:cs="Arial"/>
        </w:rPr>
        <w:t xml:space="preserve"> LPON service, operating within the frequency range 87.5 to 88.0 MHz (inclusive).</w:t>
      </w:r>
      <w:r>
        <w:rPr>
          <w:rFonts w:cs="Arial"/>
        </w:rPr>
        <w:t xml:space="preserve"> </w:t>
      </w:r>
      <w:r w:rsidRPr="006754C9">
        <w:rPr>
          <w:rFonts w:cs="Arial"/>
        </w:rPr>
        <w:t xml:space="preserve"> The licensee must</w:t>
      </w:r>
      <w:r>
        <w:rPr>
          <w:rFonts w:cs="Arial"/>
        </w:rPr>
        <w:t>:</w:t>
      </w:r>
    </w:p>
    <w:p w14:paraId="7DE7E0AC" w14:textId="30FE8469" w:rsidR="00D97271" w:rsidRPr="006754C9" w:rsidRDefault="00D97271" w:rsidP="00D97271">
      <w:pPr>
        <w:pStyle w:val="ListParagraph"/>
        <w:numPr>
          <w:ilvl w:val="0"/>
          <w:numId w:val="10"/>
        </w:numPr>
        <w:spacing w:line="240" w:lineRule="auto"/>
        <w:outlineLvl w:val="0"/>
        <w:rPr>
          <w:rFonts w:cs="Arial"/>
        </w:rPr>
      </w:pPr>
      <w:r w:rsidRPr="006754C9">
        <w:rPr>
          <w:rFonts w:cs="Arial"/>
        </w:rPr>
        <w:t>commence the service within 6 months beginning on the day the licence is issued (</w:t>
      </w:r>
      <w:r w:rsidR="00205B3C">
        <w:rPr>
          <w:rFonts w:cs="Arial"/>
        </w:rPr>
        <w:t xml:space="preserve">unless the licence was issued through a </w:t>
      </w:r>
      <w:r w:rsidRPr="006754C9">
        <w:rPr>
          <w:rFonts w:cs="Arial"/>
        </w:rPr>
        <w:t>renewal under section 130 of the Act) unless there is a reasonable excuse for not commencing the service;</w:t>
      </w:r>
    </w:p>
    <w:p w14:paraId="43A31C6C" w14:textId="77777777" w:rsidR="00D97271" w:rsidRPr="006754C9" w:rsidRDefault="00D97271" w:rsidP="00D97271">
      <w:pPr>
        <w:pStyle w:val="ListParagraph"/>
        <w:numPr>
          <w:ilvl w:val="0"/>
          <w:numId w:val="10"/>
        </w:numPr>
        <w:spacing w:line="240" w:lineRule="auto"/>
        <w:outlineLvl w:val="0"/>
        <w:rPr>
          <w:rFonts w:cs="Arial"/>
        </w:rPr>
      </w:pPr>
      <w:r w:rsidRPr="006754C9">
        <w:rPr>
          <w:rFonts w:cs="Arial"/>
        </w:rPr>
        <w:t>once the LPON service has commenced, provide the service with reasonable regularity for the duration of the licence; and</w:t>
      </w:r>
    </w:p>
    <w:p w14:paraId="6386317A" w14:textId="77777777" w:rsidR="00D97271" w:rsidRPr="006754C9" w:rsidRDefault="00D97271" w:rsidP="00D97271">
      <w:pPr>
        <w:pStyle w:val="ListParagraph"/>
        <w:numPr>
          <w:ilvl w:val="0"/>
          <w:numId w:val="10"/>
        </w:numPr>
        <w:spacing w:line="240" w:lineRule="auto"/>
        <w:outlineLvl w:val="0"/>
        <w:rPr>
          <w:rFonts w:cs="Arial"/>
        </w:rPr>
      </w:pPr>
      <w:r w:rsidRPr="006754C9">
        <w:rPr>
          <w:rFonts w:cs="Arial"/>
        </w:rPr>
        <w:t xml:space="preserve">maintain records of the commencement of service, hours of operation and service provision. </w:t>
      </w:r>
    </w:p>
    <w:p w14:paraId="2E24F1C9" w14:textId="77777777" w:rsidR="00D97271" w:rsidRPr="002F7D09" w:rsidRDefault="00D97271" w:rsidP="00D97271">
      <w:pPr>
        <w:keepNext/>
        <w:spacing w:line="240" w:lineRule="auto"/>
        <w:outlineLvl w:val="0"/>
        <w:rPr>
          <w:rFonts w:eastAsia="Times New Roman" w:cs="Times New Roman"/>
          <w:iCs/>
          <w:lang w:eastAsia="en-AU"/>
        </w:rPr>
      </w:pPr>
      <w:r w:rsidRPr="006754C9">
        <w:rPr>
          <w:rFonts w:eastAsia="Times New Roman" w:cs="Times New Roman"/>
          <w:iCs/>
          <w:lang w:eastAsia="en-AU"/>
        </w:rPr>
        <w:t>Subsection (2) provides that the ACMA may extend the 6 month period for commencement of an LPON service if</w:t>
      </w:r>
      <w:r>
        <w:rPr>
          <w:rFonts w:eastAsia="Times New Roman" w:cs="Times New Roman"/>
          <w:iCs/>
          <w:lang w:eastAsia="en-AU"/>
        </w:rPr>
        <w:t>,</w:t>
      </w:r>
      <w:r w:rsidRPr="002F7D09">
        <w:rPr>
          <w:rFonts w:eastAsia="Times New Roman" w:cs="Times New Roman"/>
          <w:iCs/>
          <w:lang w:eastAsia="en-AU"/>
        </w:rPr>
        <w:t xml:space="preserve"> in its opinion, there is a valid reason for delay in the licensee complying with the </w:t>
      </w:r>
      <w:r w:rsidRPr="002F7D09">
        <w:rPr>
          <w:rFonts w:eastAsia="Times New Roman" w:cs="Times New Roman"/>
          <w:iCs/>
          <w:lang w:eastAsia="en-AU"/>
        </w:rPr>
        <w:lastRenderedPageBreak/>
        <w:t>requirement. Subsection (3) sets out following circumstances which do not constitute a valid reason for delay:</w:t>
      </w:r>
    </w:p>
    <w:p w14:paraId="5A5C650A" w14:textId="2F2A6D10" w:rsidR="00D97271" w:rsidRPr="002F7D09" w:rsidRDefault="00D97271" w:rsidP="00D97271">
      <w:pPr>
        <w:pStyle w:val="ListParagraph"/>
        <w:numPr>
          <w:ilvl w:val="0"/>
          <w:numId w:val="11"/>
        </w:numPr>
        <w:spacing w:line="240" w:lineRule="auto"/>
        <w:outlineLvl w:val="0"/>
        <w:rPr>
          <w:rFonts w:eastAsia="Times New Roman" w:cs="Times New Roman"/>
          <w:iCs/>
          <w:lang w:eastAsia="en-AU"/>
        </w:rPr>
      </w:pPr>
      <w:r w:rsidRPr="002F7D09">
        <w:rPr>
          <w:rFonts w:eastAsia="Times New Roman" w:cs="Times New Roman"/>
          <w:iCs/>
          <w:lang w:eastAsia="en-AU"/>
        </w:rPr>
        <w:t xml:space="preserve">the licence was obtained within the 6 month period mentioned in subsection (1) pursuant to a transfer </w:t>
      </w:r>
      <w:r w:rsidR="00205B3C">
        <w:rPr>
          <w:rFonts w:eastAsia="Times New Roman" w:cs="Times New Roman"/>
          <w:iCs/>
          <w:lang w:eastAsia="en-AU"/>
        </w:rPr>
        <w:t xml:space="preserve">from </w:t>
      </w:r>
      <w:r w:rsidRPr="002F7D09">
        <w:rPr>
          <w:rFonts w:eastAsia="Times New Roman" w:cs="Times New Roman"/>
          <w:iCs/>
          <w:lang w:eastAsia="en-AU"/>
        </w:rPr>
        <w:t>a relative or associate</w:t>
      </w:r>
      <w:r w:rsidR="00205B3C">
        <w:rPr>
          <w:rFonts w:eastAsia="Times New Roman" w:cs="Times New Roman"/>
          <w:iCs/>
          <w:lang w:eastAsia="en-AU"/>
        </w:rPr>
        <w:t xml:space="preserve"> of the licensee</w:t>
      </w:r>
      <w:r w:rsidRPr="002F7D09">
        <w:rPr>
          <w:rFonts w:eastAsia="Times New Roman" w:cs="Times New Roman"/>
          <w:iCs/>
          <w:lang w:eastAsia="en-AU"/>
        </w:rPr>
        <w:t>;</w:t>
      </w:r>
    </w:p>
    <w:p w14:paraId="259D133E" w14:textId="77777777" w:rsidR="00D97271" w:rsidRPr="002F7D09" w:rsidRDefault="00D97271" w:rsidP="00D97271">
      <w:pPr>
        <w:pStyle w:val="ListParagraph"/>
        <w:numPr>
          <w:ilvl w:val="0"/>
          <w:numId w:val="11"/>
        </w:numPr>
        <w:spacing w:line="240" w:lineRule="auto"/>
        <w:outlineLvl w:val="0"/>
        <w:rPr>
          <w:rFonts w:eastAsia="Times New Roman" w:cs="Times New Roman"/>
          <w:iCs/>
          <w:lang w:eastAsia="en-AU"/>
        </w:rPr>
      </w:pPr>
      <w:r w:rsidRPr="002F7D09">
        <w:rPr>
          <w:rFonts w:eastAsia="Times New Roman" w:cs="Times New Roman"/>
          <w:iCs/>
          <w:lang w:eastAsia="en-AU"/>
        </w:rPr>
        <w:t>financial reasons;</w:t>
      </w:r>
    </w:p>
    <w:p w14:paraId="15F7E680" w14:textId="77777777" w:rsidR="00D97271" w:rsidRPr="002F7D09" w:rsidRDefault="00D97271" w:rsidP="00D97271">
      <w:pPr>
        <w:pStyle w:val="ListParagraph"/>
        <w:numPr>
          <w:ilvl w:val="0"/>
          <w:numId w:val="11"/>
        </w:numPr>
        <w:spacing w:line="240" w:lineRule="auto"/>
        <w:outlineLvl w:val="0"/>
        <w:rPr>
          <w:rFonts w:eastAsia="Times New Roman" w:cs="Times New Roman"/>
          <w:iCs/>
          <w:lang w:eastAsia="en-AU"/>
        </w:rPr>
      </w:pPr>
      <w:r w:rsidRPr="002F7D09">
        <w:rPr>
          <w:rFonts w:eastAsia="Times New Roman" w:cs="Times New Roman"/>
          <w:iCs/>
          <w:lang w:eastAsia="en-AU"/>
        </w:rPr>
        <w:t>the licence is subject to an arrangement contingent on the disposal of another licence held by the licensee.</w:t>
      </w:r>
    </w:p>
    <w:p w14:paraId="62528015" w14:textId="77777777" w:rsidR="00D97271" w:rsidRPr="002F7D09" w:rsidRDefault="00D97271" w:rsidP="00D97271">
      <w:pPr>
        <w:spacing w:line="240" w:lineRule="auto"/>
        <w:outlineLvl w:val="0"/>
        <w:rPr>
          <w:rFonts w:eastAsia="Times New Roman" w:cs="Times New Roman"/>
          <w:iCs/>
          <w:lang w:eastAsia="en-AU"/>
        </w:rPr>
      </w:pPr>
      <w:r>
        <w:rPr>
          <w:rFonts w:eastAsia="Times New Roman" w:cs="Times New Roman"/>
          <w:iCs/>
          <w:lang w:eastAsia="en-AU"/>
        </w:rPr>
        <w:t>Subsection 8(3) of the LPON Direction provides that this</w:t>
      </w:r>
      <w:r w:rsidRPr="002F7D09">
        <w:rPr>
          <w:rFonts w:eastAsia="Times New Roman" w:cs="Times New Roman"/>
          <w:iCs/>
          <w:lang w:eastAsia="en-AU"/>
        </w:rPr>
        <w:t xml:space="preserve"> list of reasons is not exhaustive and </w:t>
      </w:r>
      <w:r>
        <w:rPr>
          <w:rFonts w:eastAsia="Times New Roman" w:cs="Times New Roman"/>
          <w:iCs/>
          <w:lang w:eastAsia="en-AU"/>
        </w:rPr>
        <w:t xml:space="preserve">that </w:t>
      </w:r>
      <w:r w:rsidRPr="002F7D09">
        <w:rPr>
          <w:rFonts w:eastAsia="Times New Roman" w:cs="Times New Roman"/>
          <w:iCs/>
          <w:lang w:eastAsia="en-AU"/>
        </w:rPr>
        <w:t>there may be other reasons that do not constitute valid reasons for delay.</w:t>
      </w:r>
    </w:p>
    <w:p w14:paraId="12089FB1" w14:textId="79C0727F" w:rsidR="00D97271" w:rsidRDefault="00D97271" w:rsidP="00D97271">
      <w:pPr>
        <w:spacing w:line="240" w:lineRule="auto"/>
        <w:outlineLvl w:val="0"/>
        <w:rPr>
          <w:rFonts w:eastAsia="Times New Roman" w:cs="Times New Roman"/>
          <w:iCs/>
          <w:lang w:eastAsia="en-AU"/>
        </w:rPr>
      </w:pPr>
      <w:r w:rsidRPr="002F7D09">
        <w:rPr>
          <w:rFonts w:eastAsia="Times New Roman" w:cs="Times New Roman"/>
          <w:iCs/>
          <w:lang w:eastAsia="en-AU"/>
        </w:rPr>
        <w:t xml:space="preserve">Subsection (4) defines </w:t>
      </w:r>
      <w:r w:rsidR="001D520E">
        <w:rPr>
          <w:rFonts w:eastAsia="Times New Roman" w:cs="Times New Roman"/>
          <w:iCs/>
          <w:lang w:eastAsia="en-AU"/>
        </w:rPr>
        <w:t xml:space="preserve">the </w:t>
      </w:r>
      <w:r w:rsidRPr="002F7D09">
        <w:rPr>
          <w:rFonts w:eastAsia="Times New Roman" w:cs="Times New Roman"/>
          <w:iCs/>
          <w:lang w:eastAsia="en-AU"/>
        </w:rPr>
        <w:t>terms</w:t>
      </w:r>
      <w:r w:rsidRPr="00EE3408">
        <w:rPr>
          <w:rFonts w:eastAsia="Times New Roman" w:cs="Times New Roman"/>
          <w:iCs/>
          <w:lang w:eastAsia="en-AU"/>
        </w:rPr>
        <w:t xml:space="preserve"> </w:t>
      </w:r>
      <w:r w:rsidRPr="00EE3408">
        <w:rPr>
          <w:rFonts w:eastAsia="Times New Roman" w:cs="Times New Roman"/>
          <w:i/>
          <w:iCs/>
          <w:lang w:eastAsia="en-AU"/>
        </w:rPr>
        <w:t>associate</w:t>
      </w:r>
      <w:r w:rsidRPr="00EE3408">
        <w:rPr>
          <w:rFonts w:eastAsia="Times New Roman" w:cs="Times New Roman"/>
          <w:iCs/>
          <w:lang w:eastAsia="en-AU"/>
        </w:rPr>
        <w:t xml:space="preserve">, </w:t>
      </w:r>
      <w:r w:rsidRPr="00EE3408">
        <w:rPr>
          <w:rFonts w:eastAsia="Times New Roman" w:cs="Times New Roman"/>
          <w:i/>
          <w:iCs/>
          <w:lang w:eastAsia="en-AU"/>
        </w:rPr>
        <w:t>related body corporate</w:t>
      </w:r>
      <w:r w:rsidRPr="002F7D09">
        <w:rPr>
          <w:rFonts w:eastAsia="Times New Roman" w:cs="Times New Roman"/>
          <w:iCs/>
          <w:lang w:eastAsia="en-AU"/>
        </w:rPr>
        <w:t>,</w:t>
      </w:r>
      <w:r w:rsidRPr="00EE3408">
        <w:rPr>
          <w:rFonts w:eastAsia="Times New Roman" w:cs="Times New Roman"/>
          <w:i/>
          <w:iCs/>
          <w:lang w:eastAsia="en-AU"/>
        </w:rPr>
        <w:t xml:space="preserve"> relative</w:t>
      </w:r>
      <w:r w:rsidRPr="002F7D09">
        <w:rPr>
          <w:rFonts w:eastAsia="Times New Roman" w:cs="Times New Roman"/>
          <w:iCs/>
          <w:lang w:eastAsia="en-AU"/>
        </w:rPr>
        <w:t xml:space="preserve"> and</w:t>
      </w:r>
      <w:r w:rsidRPr="00EE3408">
        <w:rPr>
          <w:rFonts w:eastAsia="Times New Roman" w:cs="Times New Roman"/>
          <w:i/>
          <w:iCs/>
          <w:lang w:eastAsia="en-AU"/>
        </w:rPr>
        <w:t xml:space="preserve"> spouse</w:t>
      </w:r>
      <w:r>
        <w:rPr>
          <w:rFonts w:eastAsia="Times New Roman" w:cs="Times New Roman"/>
          <w:i/>
          <w:iCs/>
          <w:lang w:eastAsia="en-AU"/>
        </w:rPr>
        <w:t xml:space="preserve"> </w:t>
      </w:r>
      <w:r w:rsidRPr="002F7D09">
        <w:rPr>
          <w:rFonts w:eastAsia="Times New Roman" w:cs="Times New Roman"/>
          <w:iCs/>
          <w:lang w:eastAsia="en-AU"/>
        </w:rPr>
        <w:t>for the purpose of section 4.</w:t>
      </w:r>
      <w:r w:rsidR="00EA5356">
        <w:rPr>
          <w:rFonts w:eastAsia="Times New Roman" w:cs="Times New Roman"/>
          <w:iCs/>
          <w:lang w:eastAsia="en-AU"/>
        </w:rPr>
        <w:t>1</w:t>
      </w:r>
      <w:r w:rsidRPr="002F7D09">
        <w:rPr>
          <w:rFonts w:eastAsia="Times New Roman" w:cs="Times New Roman"/>
          <w:iCs/>
          <w:lang w:eastAsia="en-AU"/>
        </w:rPr>
        <w:t>1</w:t>
      </w:r>
      <w:r>
        <w:rPr>
          <w:rFonts w:eastAsia="Times New Roman" w:cs="Times New Roman"/>
          <w:iCs/>
          <w:lang w:eastAsia="en-AU"/>
        </w:rPr>
        <w:t>.</w:t>
      </w:r>
    </w:p>
    <w:p w14:paraId="6FE2F8A7" w14:textId="77777777" w:rsidR="00D97271" w:rsidRPr="002F7D09" w:rsidRDefault="00D97271" w:rsidP="00D97271">
      <w:pPr>
        <w:spacing w:line="240" w:lineRule="auto"/>
        <w:outlineLvl w:val="0"/>
        <w:rPr>
          <w:rFonts w:cs="Arial"/>
          <w:b/>
        </w:rPr>
      </w:pPr>
      <w:r w:rsidRPr="002F7D09">
        <w:rPr>
          <w:rFonts w:cs="Arial"/>
          <w:b/>
        </w:rPr>
        <w:t>Part 5 – Conditions for broadcasting licence (narrowband area service)</w:t>
      </w:r>
    </w:p>
    <w:p w14:paraId="716A1713" w14:textId="77777777" w:rsidR="00D97271" w:rsidRPr="002F7D09" w:rsidRDefault="00D97271" w:rsidP="00D97271">
      <w:pPr>
        <w:spacing w:line="240" w:lineRule="auto"/>
        <w:outlineLvl w:val="0"/>
        <w:rPr>
          <w:rFonts w:cs="Arial"/>
          <w:b/>
        </w:rPr>
      </w:pPr>
      <w:r w:rsidRPr="002F7D09">
        <w:rPr>
          <w:rFonts w:cs="Arial"/>
          <w:b/>
        </w:rPr>
        <w:t>Section 5.1</w:t>
      </w:r>
      <w:r>
        <w:rPr>
          <w:rFonts w:cs="Arial"/>
          <w:b/>
        </w:rPr>
        <w:tab/>
      </w:r>
      <w:r w:rsidRPr="002F7D09">
        <w:rPr>
          <w:rFonts w:cs="Arial"/>
          <w:b/>
        </w:rPr>
        <w:t>Conditions</w:t>
      </w:r>
    </w:p>
    <w:p w14:paraId="0E043036" w14:textId="664F41C9" w:rsidR="00D97271" w:rsidRPr="002F7D09" w:rsidRDefault="00D97271" w:rsidP="00D97271">
      <w:pPr>
        <w:spacing w:line="240" w:lineRule="auto"/>
        <w:outlineLvl w:val="0"/>
        <w:rPr>
          <w:rFonts w:cs="Arial"/>
        </w:rPr>
      </w:pPr>
      <w:r w:rsidRPr="002F7D09">
        <w:rPr>
          <w:rFonts w:cs="Arial"/>
        </w:rPr>
        <w:t xml:space="preserve">Subsection (1) provides that every broadcasting licence (narrowband area service) is subject to the conditions in Part 5 relating to the operation of any NAS station under the licence. </w:t>
      </w:r>
      <w:r>
        <w:rPr>
          <w:rFonts w:cs="Arial"/>
        </w:rPr>
        <w:t xml:space="preserve"> These licences authorise the use of a </w:t>
      </w:r>
      <w:r w:rsidR="00205B3C">
        <w:rPr>
          <w:rFonts w:cs="Arial"/>
        </w:rPr>
        <w:t>narrowband are</w:t>
      </w:r>
      <w:r w:rsidR="00DA4B65">
        <w:rPr>
          <w:rFonts w:cs="Arial"/>
        </w:rPr>
        <w:t>a</w:t>
      </w:r>
      <w:r w:rsidR="00205B3C">
        <w:rPr>
          <w:rFonts w:cs="Arial"/>
        </w:rPr>
        <w:t xml:space="preserve"> service </w:t>
      </w:r>
      <w:r>
        <w:rPr>
          <w:rFonts w:cs="Arial"/>
        </w:rPr>
        <w:t xml:space="preserve">station for the provision of a service to at least four narrowband area receivers, outside the broadcasting services bands. </w:t>
      </w:r>
      <w:r w:rsidRPr="002F7D09">
        <w:rPr>
          <w:rFonts w:cs="Arial"/>
        </w:rPr>
        <w:t xml:space="preserve">Subsection (2) provides that the conditions </w:t>
      </w:r>
      <w:r>
        <w:rPr>
          <w:rFonts w:cs="Arial"/>
        </w:rPr>
        <w:t>imposed by</w:t>
      </w:r>
      <w:r w:rsidRPr="002F7D09">
        <w:rPr>
          <w:rFonts w:cs="Arial"/>
        </w:rPr>
        <w:t xml:space="preserve"> Part 5 </w:t>
      </w:r>
      <w:r>
        <w:rPr>
          <w:rFonts w:cs="Arial"/>
        </w:rPr>
        <w:t xml:space="preserve">on these licences </w:t>
      </w:r>
      <w:r w:rsidRPr="002F7D09">
        <w:rPr>
          <w:rFonts w:cs="Arial"/>
        </w:rPr>
        <w:t xml:space="preserve">are in addition to the conditions in Part 2. </w:t>
      </w:r>
    </w:p>
    <w:p w14:paraId="51BA4848" w14:textId="77777777" w:rsidR="00D97271" w:rsidRPr="002F7D09" w:rsidRDefault="00D97271" w:rsidP="00D97271">
      <w:pPr>
        <w:spacing w:line="240" w:lineRule="auto"/>
        <w:outlineLvl w:val="0"/>
        <w:rPr>
          <w:rFonts w:cs="Arial"/>
          <w:b/>
        </w:rPr>
      </w:pPr>
      <w:r w:rsidRPr="002F7D09">
        <w:rPr>
          <w:rFonts w:cs="Arial"/>
          <w:b/>
        </w:rPr>
        <w:t>Section 5.2</w:t>
      </w:r>
      <w:r>
        <w:rPr>
          <w:rFonts w:cs="Arial"/>
          <w:b/>
        </w:rPr>
        <w:tab/>
      </w:r>
      <w:r w:rsidRPr="002F7D09">
        <w:rPr>
          <w:rFonts w:cs="Arial"/>
          <w:b/>
        </w:rPr>
        <w:t>Narrowband area services operating in the frequency band 1606.5 kHz to 1705 kHz</w:t>
      </w:r>
    </w:p>
    <w:p w14:paraId="7273C2A0" w14:textId="77777777" w:rsidR="00D97271" w:rsidRPr="002F7D09" w:rsidRDefault="00D97271" w:rsidP="00D97271">
      <w:pPr>
        <w:spacing w:line="240" w:lineRule="auto"/>
        <w:outlineLvl w:val="0"/>
        <w:rPr>
          <w:rFonts w:cs="Arial"/>
        </w:rPr>
      </w:pPr>
      <w:r w:rsidRPr="002F7D09">
        <w:rPr>
          <w:rFonts w:cs="Arial"/>
        </w:rPr>
        <w:t>Section 5.2 provides that a licensee who operates a NAS</w:t>
      </w:r>
      <w:r>
        <w:rPr>
          <w:rFonts w:cs="Arial"/>
        </w:rPr>
        <w:t xml:space="preserve"> station</w:t>
      </w:r>
      <w:r w:rsidRPr="002F7D09">
        <w:rPr>
          <w:rFonts w:cs="Arial"/>
        </w:rPr>
        <w:t xml:space="preserve"> in the frequency band 1606.5 kHz to 1705 kHz (MF NAS frequency band</w:t>
      </w:r>
      <w:r>
        <w:rPr>
          <w:rFonts w:cs="Arial"/>
        </w:rPr>
        <w:t>)</w:t>
      </w:r>
      <w:r w:rsidRPr="002F7D09">
        <w:rPr>
          <w:rFonts w:cs="Arial"/>
        </w:rPr>
        <w:t xml:space="preserve"> must not cause harmful interference to the reception of broadcasting transmissions in the adjacent AM </w:t>
      </w:r>
      <w:r>
        <w:rPr>
          <w:rFonts w:cs="Arial"/>
        </w:rPr>
        <w:t>b</w:t>
      </w:r>
      <w:r w:rsidRPr="002F7D09">
        <w:rPr>
          <w:rFonts w:cs="Arial"/>
        </w:rPr>
        <w:t>and (526.5 to 1606.5 kHz).</w:t>
      </w:r>
    </w:p>
    <w:p w14:paraId="5DFE7779" w14:textId="77777777" w:rsidR="00D97271" w:rsidRPr="002F7D09" w:rsidRDefault="00D97271" w:rsidP="00D97271">
      <w:pPr>
        <w:spacing w:line="240" w:lineRule="auto"/>
        <w:outlineLvl w:val="0"/>
        <w:rPr>
          <w:rFonts w:cs="Arial"/>
          <w:b/>
        </w:rPr>
      </w:pPr>
      <w:r w:rsidRPr="002F7D09">
        <w:rPr>
          <w:rFonts w:cs="Arial"/>
          <w:b/>
        </w:rPr>
        <w:t>Section 5.3</w:t>
      </w:r>
      <w:r>
        <w:rPr>
          <w:rFonts w:cs="Arial"/>
          <w:b/>
        </w:rPr>
        <w:tab/>
      </w:r>
      <w:r w:rsidRPr="002F7D09">
        <w:rPr>
          <w:rFonts w:cs="Arial"/>
          <w:b/>
        </w:rPr>
        <w:t>Narrowband area services operating in the frequency band 1606.5 kHz to 1705 kHz – commercial broadcasting service</w:t>
      </w:r>
    </w:p>
    <w:p w14:paraId="063A46D6" w14:textId="781D145B" w:rsidR="00D97271" w:rsidRDefault="00D97271" w:rsidP="00D97271">
      <w:pPr>
        <w:spacing w:line="240" w:lineRule="auto"/>
        <w:outlineLvl w:val="0"/>
        <w:rPr>
          <w:rFonts w:cs="Arial"/>
        </w:rPr>
      </w:pPr>
      <w:r>
        <w:rPr>
          <w:rFonts w:cs="Arial"/>
        </w:rPr>
        <w:t>This section contains the conditions that were imposed by the 1998 Determination as a result of the first MF NAS Directio</w:t>
      </w:r>
      <w:r w:rsidR="00640846">
        <w:rPr>
          <w:rFonts w:cs="Arial"/>
        </w:rPr>
        <w:t xml:space="preserve">n. </w:t>
      </w:r>
    </w:p>
    <w:p w14:paraId="04BC261C" w14:textId="0EA2DFFF" w:rsidR="00D97271" w:rsidRPr="00B0102C" w:rsidRDefault="00D97271" w:rsidP="00D97271">
      <w:pPr>
        <w:spacing w:line="240" w:lineRule="auto"/>
        <w:outlineLvl w:val="0"/>
        <w:rPr>
          <w:rFonts w:cs="Arial"/>
        </w:rPr>
      </w:pPr>
      <w:r w:rsidRPr="002F7D09">
        <w:rPr>
          <w:rFonts w:cs="Arial"/>
        </w:rPr>
        <w:t xml:space="preserve">Subsection (1) provides that, subject </w:t>
      </w:r>
      <w:r w:rsidR="000339A6">
        <w:rPr>
          <w:rFonts w:cs="Arial"/>
        </w:rPr>
        <w:t xml:space="preserve">to </w:t>
      </w:r>
      <w:r w:rsidRPr="002F7D09">
        <w:rPr>
          <w:rFonts w:cs="Arial"/>
        </w:rPr>
        <w:t>section 5.4, a licensee that operates a NAS station on a frequency within the MF NAS frequency band must not operate the station to provide a commercial broadcasting service unless</w:t>
      </w:r>
      <w:r>
        <w:rPr>
          <w:rFonts w:cs="Arial"/>
        </w:rPr>
        <w:t>:</w:t>
      </w:r>
    </w:p>
    <w:p w14:paraId="410EB3A6" w14:textId="77777777" w:rsidR="00D97271" w:rsidRPr="00B0102C" w:rsidRDefault="00D97271" w:rsidP="00D97271">
      <w:pPr>
        <w:pStyle w:val="ListParagraph"/>
        <w:numPr>
          <w:ilvl w:val="0"/>
          <w:numId w:val="13"/>
        </w:numPr>
        <w:spacing w:line="240" w:lineRule="auto"/>
        <w:outlineLvl w:val="0"/>
        <w:rPr>
          <w:rFonts w:cs="Arial"/>
        </w:rPr>
      </w:pPr>
      <w:r>
        <w:rPr>
          <w:rFonts w:cs="Arial"/>
        </w:rPr>
        <w:t xml:space="preserve">the licence that authorised the station was </w:t>
      </w:r>
      <w:r w:rsidRPr="00B0102C">
        <w:rPr>
          <w:rFonts w:cs="Arial"/>
        </w:rPr>
        <w:t>issued under section 100 of the Act before 6 November 2002</w:t>
      </w:r>
      <w:r>
        <w:rPr>
          <w:rFonts w:cs="Arial"/>
        </w:rPr>
        <w:t>,</w:t>
      </w:r>
      <w:r w:rsidRPr="00B0102C">
        <w:rPr>
          <w:rFonts w:cs="Arial"/>
        </w:rPr>
        <w:t xml:space="preserve"> or issued </w:t>
      </w:r>
      <w:r>
        <w:rPr>
          <w:rFonts w:cs="Arial"/>
        </w:rPr>
        <w:t xml:space="preserve">as a result of the renewal of such a licence </w:t>
      </w:r>
      <w:r w:rsidRPr="00B0102C">
        <w:rPr>
          <w:rFonts w:cs="Arial"/>
        </w:rPr>
        <w:t>under section 130 of the Act;</w:t>
      </w:r>
    </w:p>
    <w:p w14:paraId="6C0EB8F9" w14:textId="46AF8CB9" w:rsidR="00D97271" w:rsidRPr="00B0102C" w:rsidRDefault="00D97271" w:rsidP="00D97271">
      <w:pPr>
        <w:pStyle w:val="ListParagraph"/>
        <w:numPr>
          <w:ilvl w:val="0"/>
          <w:numId w:val="13"/>
        </w:numPr>
        <w:spacing w:line="240" w:lineRule="auto"/>
        <w:outlineLvl w:val="0"/>
        <w:rPr>
          <w:rFonts w:cs="Arial"/>
        </w:rPr>
      </w:pPr>
      <w:r w:rsidRPr="00B0102C">
        <w:rPr>
          <w:rFonts w:cs="Arial"/>
        </w:rPr>
        <w:t xml:space="preserve">the </w:t>
      </w:r>
      <w:r>
        <w:rPr>
          <w:rFonts w:cs="Arial"/>
        </w:rPr>
        <w:t xml:space="preserve">relevant </w:t>
      </w:r>
      <w:r w:rsidRPr="00B0102C">
        <w:rPr>
          <w:rFonts w:cs="Arial"/>
        </w:rPr>
        <w:t xml:space="preserve">commercial </w:t>
      </w:r>
      <w:r w:rsidR="000339A6">
        <w:rPr>
          <w:rFonts w:cs="Arial"/>
        </w:rPr>
        <w:t xml:space="preserve">radio </w:t>
      </w:r>
      <w:r w:rsidRPr="00B0102C">
        <w:rPr>
          <w:rFonts w:cs="Arial"/>
        </w:rPr>
        <w:t xml:space="preserve">broadcasting licence, </w:t>
      </w:r>
      <w:r w:rsidRPr="00B0102C">
        <w:rPr>
          <w:rFonts w:eastAsia="Times New Roman" w:cs="Arial"/>
          <w:lang w:eastAsia="en-AU"/>
        </w:rPr>
        <w:t>allocated under section 40 of the BSA, was allocated before 6 November 2002;</w:t>
      </w:r>
    </w:p>
    <w:p w14:paraId="0BDB2837" w14:textId="77777777" w:rsidR="00D97271" w:rsidRPr="00B0102C" w:rsidRDefault="00D97271" w:rsidP="00D97271">
      <w:pPr>
        <w:pStyle w:val="ListParagraph"/>
        <w:numPr>
          <w:ilvl w:val="0"/>
          <w:numId w:val="13"/>
        </w:numPr>
        <w:spacing w:line="240" w:lineRule="auto"/>
        <w:outlineLvl w:val="0"/>
        <w:rPr>
          <w:rFonts w:cs="Arial"/>
        </w:rPr>
      </w:pPr>
      <w:r w:rsidRPr="00B0102C">
        <w:rPr>
          <w:rFonts w:eastAsia="Times New Roman" w:cs="Arial"/>
          <w:lang w:eastAsia="en-AU"/>
        </w:rPr>
        <w:t>the commercial broadcasting service commenced before 29 August 200</w:t>
      </w:r>
      <w:r>
        <w:rPr>
          <w:rFonts w:eastAsia="Times New Roman" w:cs="Arial"/>
          <w:lang w:eastAsia="en-AU"/>
        </w:rPr>
        <w:t>4</w:t>
      </w:r>
      <w:r w:rsidRPr="00B0102C">
        <w:rPr>
          <w:rFonts w:eastAsia="Times New Roman" w:cs="Arial"/>
          <w:lang w:eastAsia="en-AU"/>
        </w:rPr>
        <w:t>; and</w:t>
      </w:r>
    </w:p>
    <w:p w14:paraId="71A26DEA" w14:textId="77777777" w:rsidR="00D97271" w:rsidRPr="00B0102C" w:rsidRDefault="00D97271" w:rsidP="00D97271">
      <w:pPr>
        <w:pStyle w:val="ListParagraph"/>
        <w:numPr>
          <w:ilvl w:val="0"/>
          <w:numId w:val="13"/>
        </w:numPr>
        <w:spacing w:line="240" w:lineRule="auto"/>
        <w:outlineLvl w:val="0"/>
        <w:rPr>
          <w:rFonts w:cs="Arial"/>
        </w:rPr>
      </w:pPr>
      <w:r w:rsidRPr="00B0102C">
        <w:rPr>
          <w:rFonts w:eastAsia="Times New Roman" w:cs="Arial"/>
          <w:lang w:eastAsia="en-AU"/>
        </w:rPr>
        <w:t xml:space="preserve">the station is located within 10km of its location on 6 November 2002 (the old location) or at another location that is more than 10km from the old location and specified in a licence issued by the ACMA in accordance with subsection </w:t>
      </w:r>
      <w:r>
        <w:rPr>
          <w:rFonts w:eastAsia="Times New Roman" w:cs="Arial"/>
          <w:lang w:eastAsia="en-AU"/>
        </w:rPr>
        <w:t>(</w:t>
      </w:r>
      <w:r w:rsidRPr="00B0102C">
        <w:rPr>
          <w:rFonts w:eastAsia="Times New Roman" w:cs="Arial"/>
          <w:lang w:eastAsia="en-AU"/>
        </w:rPr>
        <w:t>2A</w:t>
      </w:r>
      <w:r>
        <w:rPr>
          <w:rFonts w:eastAsia="Times New Roman" w:cs="Arial"/>
          <w:lang w:eastAsia="en-AU"/>
        </w:rPr>
        <w:t>)</w:t>
      </w:r>
      <w:r w:rsidRPr="00B0102C">
        <w:rPr>
          <w:rFonts w:eastAsia="Times New Roman" w:cs="Arial"/>
          <w:lang w:eastAsia="en-AU"/>
        </w:rPr>
        <w:t>.</w:t>
      </w:r>
    </w:p>
    <w:p w14:paraId="7F5FA317" w14:textId="77777777" w:rsidR="00D97271" w:rsidRPr="00B0102C" w:rsidRDefault="00D97271" w:rsidP="00D97271">
      <w:pPr>
        <w:spacing w:line="240" w:lineRule="auto"/>
        <w:outlineLvl w:val="0"/>
        <w:rPr>
          <w:rFonts w:cs="Arial"/>
        </w:rPr>
      </w:pPr>
      <w:r w:rsidRPr="00B0102C">
        <w:rPr>
          <w:rFonts w:cs="Arial"/>
        </w:rPr>
        <w:t>Subsection (2) provides that the licensee must provide evidence as required by the ACMA that the commercial broadcasting service commenced before 29 August 200</w:t>
      </w:r>
      <w:r>
        <w:rPr>
          <w:rFonts w:cs="Arial"/>
        </w:rPr>
        <w:t>4</w:t>
      </w:r>
      <w:r w:rsidRPr="00B0102C">
        <w:rPr>
          <w:rFonts w:cs="Arial"/>
        </w:rPr>
        <w:t>.</w:t>
      </w:r>
    </w:p>
    <w:p w14:paraId="13009794" w14:textId="77777777" w:rsidR="00D97271" w:rsidRPr="00B0102C" w:rsidRDefault="00D97271" w:rsidP="00D97271">
      <w:pPr>
        <w:keepNext/>
        <w:spacing w:line="240" w:lineRule="auto"/>
        <w:outlineLvl w:val="0"/>
        <w:rPr>
          <w:rFonts w:cs="Arial"/>
        </w:rPr>
      </w:pPr>
      <w:r w:rsidRPr="00B0102C">
        <w:rPr>
          <w:rFonts w:cs="Arial"/>
        </w:rPr>
        <w:lastRenderedPageBreak/>
        <w:t xml:space="preserve">Subsection </w:t>
      </w:r>
      <w:r>
        <w:rPr>
          <w:rFonts w:cs="Arial"/>
        </w:rPr>
        <w:t>(</w:t>
      </w:r>
      <w:r w:rsidRPr="00B0102C">
        <w:rPr>
          <w:rFonts w:cs="Arial"/>
        </w:rPr>
        <w:t>2A</w:t>
      </w:r>
      <w:r>
        <w:rPr>
          <w:rFonts w:cs="Arial"/>
        </w:rPr>
        <w:t>)</w:t>
      </w:r>
      <w:r w:rsidRPr="00B0102C">
        <w:rPr>
          <w:rFonts w:cs="Arial"/>
        </w:rPr>
        <w:t xml:space="preserve"> provide</w:t>
      </w:r>
      <w:r>
        <w:rPr>
          <w:rFonts w:cs="Arial"/>
        </w:rPr>
        <w:t>s</w:t>
      </w:r>
      <w:r w:rsidRPr="00B0102C">
        <w:rPr>
          <w:rFonts w:cs="Arial"/>
        </w:rPr>
        <w:t xml:space="preserve"> that the ACMA may specify a new location in a licence if the ACMA is satisfied that:</w:t>
      </w:r>
    </w:p>
    <w:p w14:paraId="18C3C3BD" w14:textId="77777777" w:rsidR="00D97271" w:rsidRPr="00B0102C" w:rsidRDefault="00D97271" w:rsidP="00D97271">
      <w:pPr>
        <w:pStyle w:val="ListParagraph"/>
        <w:numPr>
          <w:ilvl w:val="0"/>
          <w:numId w:val="14"/>
        </w:numPr>
        <w:spacing w:line="240" w:lineRule="auto"/>
        <w:outlineLvl w:val="0"/>
        <w:rPr>
          <w:rFonts w:cs="Arial"/>
        </w:rPr>
      </w:pPr>
      <w:r w:rsidRPr="00B0102C">
        <w:rPr>
          <w:rFonts w:cs="Arial"/>
        </w:rPr>
        <w:t>transmissions from the new location would provide a service that would reach substantially the same audience that the service was intended to reach from the old location;</w:t>
      </w:r>
      <w:r>
        <w:rPr>
          <w:rFonts w:cs="Arial"/>
        </w:rPr>
        <w:t xml:space="preserve"> and</w:t>
      </w:r>
    </w:p>
    <w:p w14:paraId="2938DB44" w14:textId="77777777" w:rsidR="00D97271" w:rsidRPr="00B0102C" w:rsidRDefault="00D97271" w:rsidP="00D97271">
      <w:pPr>
        <w:pStyle w:val="ListParagraph"/>
        <w:numPr>
          <w:ilvl w:val="0"/>
          <w:numId w:val="14"/>
        </w:numPr>
        <w:spacing w:line="240" w:lineRule="auto"/>
        <w:outlineLvl w:val="0"/>
        <w:rPr>
          <w:rFonts w:cs="Arial"/>
        </w:rPr>
      </w:pPr>
      <w:r w:rsidRPr="00B0102C">
        <w:rPr>
          <w:rFonts w:cs="Arial"/>
        </w:rPr>
        <w:t xml:space="preserve">transmissions from the new location would not cause significant interference with existing radiocommunications services. </w:t>
      </w:r>
    </w:p>
    <w:p w14:paraId="05407CA0" w14:textId="075062B5" w:rsidR="00D97271" w:rsidRPr="00B0102C" w:rsidRDefault="00D97271" w:rsidP="00D97271">
      <w:pPr>
        <w:spacing w:line="240" w:lineRule="auto"/>
        <w:outlineLvl w:val="0"/>
        <w:rPr>
          <w:rFonts w:cs="Arial"/>
        </w:rPr>
      </w:pPr>
      <w:r w:rsidRPr="00B0102C">
        <w:rPr>
          <w:rFonts w:cs="Arial"/>
        </w:rPr>
        <w:t>S</w:t>
      </w:r>
      <w:r>
        <w:rPr>
          <w:rFonts w:cs="Arial"/>
        </w:rPr>
        <w:t>ubs</w:t>
      </w:r>
      <w:r w:rsidRPr="00B0102C">
        <w:rPr>
          <w:rFonts w:cs="Arial"/>
        </w:rPr>
        <w:t xml:space="preserve">ection </w:t>
      </w:r>
      <w:r>
        <w:rPr>
          <w:rFonts w:cs="Arial"/>
        </w:rPr>
        <w:t>(</w:t>
      </w:r>
      <w:r w:rsidRPr="00B0102C">
        <w:rPr>
          <w:rFonts w:cs="Arial"/>
        </w:rPr>
        <w:t>3</w:t>
      </w:r>
      <w:r>
        <w:rPr>
          <w:rFonts w:cs="Arial"/>
        </w:rPr>
        <w:t>)</w:t>
      </w:r>
      <w:r w:rsidRPr="00B0102C">
        <w:rPr>
          <w:rFonts w:cs="Arial"/>
        </w:rPr>
        <w:t xml:space="preserve"> sets out definitions for </w:t>
      </w:r>
      <w:r w:rsidR="001D520E">
        <w:rPr>
          <w:rFonts w:cs="Arial"/>
        </w:rPr>
        <w:t xml:space="preserve">the terms </w:t>
      </w:r>
      <w:r w:rsidRPr="00B0102C">
        <w:rPr>
          <w:rFonts w:cs="Arial"/>
          <w:i/>
        </w:rPr>
        <w:t xml:space="preserve">commercial licence </w:t>
      </w:r>
      <w:r w:rsidRPr="00B0102C">
        <w:rPr>
          <w:rFonts w:cs="Arial"/>
        </w:rPr>
        <w:t xml:space="preserve">and </w:t>
      </w:r>
      <w:r w:rsidRPr="00B0102C">
        <w:rPr>
          <w:rFonts w:cs="Arial"/>
          <w:i/>
        </w:rPr>
        <w:t xml:space="preserve">location </w:t>
      </w:r>
      <w:r w:rsidRPr="00B0102C">
        <w:rPr>
          <w:rFonts w:cs="Arial"/>
        </w:rPr>
        <w:t>used in section 5.3.</w:t>
      </w:r>
    </w:p>
    <w:p w14:paraId="15F9AD17" w14:textId="77777777" w:rsidR="00D97271" w:rsidRPr="00B0102C" w:rsidRDefault="00D97271" w:rsidP="00D97271">
      <w:pPr>
        <w:spacing w:line="240" w:lineRule="auto"/>
        <w:outlineLvl w:val="0"/>
        <w:rPr>
          <w:rFonts w:cs="Arial"/>
          <w:b/>
        </w:rPr>
      </w:pPr>
      <w:r w:rsidRPr="00B0102C">
        <w:rPr>
          <w:rFonts w:cs="Arial"/>
          <w:b/>
        </w:rPr>
        <w:t>Section 5.4</w:t>
      </w:r>
      <w:r>
        <w:rPr>
          <w:rFonts w:cs="Arial"/>
          <w:b/>
        </w:rPr>
        <w:tab/>
      </w:r>
      <w:r w:rsidRPr="00B0102C">
        <w:rPr>
          <w:rFonts w:cs="Arial"/>
          <w:b/>
        </w:rPr>
        <w:t>Narrowband area services operating in the frequency band 1606.5 kHz to 1705 kHz – commercial broadcasting service under subsequent licence</w:t>
      </w:r>
    </w:p>
    <w:p w14:paraId="26721037" w14:textId="447623D3" w:rsidR="00D97271" w:rsidRDefault="00D97271" w:rsidP="00D97271">
      <w:pPr>
        <w:spacing w:line="240" w:lineRule="auto"/>
        <w:outlineLvl w:val="0"/>
        <w:rPr>
          <w:rFonts w:cs="Arial"/>
        </w:rPr>
      </w:pPr>
      <w:r>
        <w:rPr>
          <w:rFonts w:cs="Arial"/>
        </w:rPr>
        <w:t>This section contains the conditions that were imposed by the 1998 Determination as a result of the second MF NAS Direction.</w:t>
      </w:r>
      <w:r w:rsidR="00640846">
        <w:rPr>
          <w:rFonts w:cs="Arial"/>
        </w:rPr>
        <w:t xml:space="preserve"> </w:t>
      </w:r>
    </w:p>
    <w:p w14:paraId="00E4E50D" w14:textId="77777777" w:rsidR="00D97271" w:rsidRPr="00B0102C" w:rsidRDefault="00D97271" w:rsidP="00D97271">
      <w:pPr>
        <w:spacing w:line="240" w:lineRule="auto"/>
        <w:outlineLvl w:val="0"/>
        <w:rPr>
          <w:rFonts w:cs="Arial"/>
        </w:rPr>
      </w:pPr>
      <w:r w:rsidRPr="00B0102C">
        <w:rPr>
          <w:rFonts w:cs="Arial"/>
        </w:rPr>
        <w:t>Subsection (1) provides that section 5.4 applies to a licensee if all of the following circumstances exist:</w:t>
      </w:r>
    </w:p>
    <w:p w14:paraId="6833D9BE" w14:textId="77777777" w:rsidR="00D97271" w:rsidRPr="00B0102C" w:rsidRDefault="00D97271" w:rsidP="00D97271">
      <w:pPr>
        <w:pStyle w:val="ListParagraph"/>
        <w:numPr>
          <w:ilvl w:val="0"/>
          <w:numId w:val="15"/>
        </w:numPr>
        <w:spacing w:line="240" w:lineRule="auto"/>
        <w:outlineLvl w:val="0"/>
        <w:rPr>
          <w:rFonts w:cs="Arial"/>
        </w:rPr>
      </w:pPr>
      <w:r w:rsidRPr="00B0102C">
        <w:rPr>
          <w:rFonts w:cs="Arial"/>
        </w:rPr>
        <w:t xml:space="preserve">the licensee holds a broadcasting licence (narrowband area service) that was issued by the ACMA under section 100 of the Act, or </w:t>
      </w:r>
      <w:r>
        <w:rPr>
          <w:rFonts w:cs="Arial"/>
        </w:rPr>
        <w:t>as a result of the renewal of such a licence</w:t>
      </w:r>
      <w:r w:rsidRPr="00B0102C">
        <w:rPr>
          <w:rFonts w:cs="Arial"/>
        </w:rPr>
        <w:t xml:space="preserve"> under section 130 of the Act</w:t>
      </w:r>
      <w:r>
        <w:rPr>
          <w:rFonts w:cs="Arial"/>
        </w:rPr>
        <w:t>;</w:t>
      </w:r>
    </w:p>
    <w:p w14:paraId="28354CCE" w14:textId="2BD7AD9E" w:rsidR="00D97271" w:rsidRPr="00B0102C" w:rsidRDefault="00D97271" w:rsidP="00D97271">
      <w:pPr>
        <w:pStyle w:val="ListParagraph"/>
        <w:numPr>
          <w:ilvl w:val="0"/>
          <w:numId w:val="15"/>
        </w:numPr>
        <w:spacing w:line="240" w:lineRule="auto"/>
        <w:outlineLvl w:val="0"/>
        <w:rPr>
          <w:rFonts w:cs="Arial"/>
        </w:rPr>
      </w:pPr>
      <w:r w:rsidRPr="00B0102C">
        <w:rPr>
          <w:rFonts w:cs="Arial"/>
        </w:rPr>
        <w:t>the licensee operated a NAS</w:t>
      </w:r>
      <w:r>
        <w:rPr>
          <w:rFonts w:cs="Arial"/>
        </w:rPr>
        <w:t xml:space="preserve"> station</w:t>
      </w:r>
      <w:r w:rsidRPr="00B0102C">
        <w:rPr>
          <w:rFonts w:cs="Arial"/>
        </w:rPr>
        <w:t xml:space="preserve"> on a frequency in the MF NAS frequency band to provide a commercial broadcasting service in accordance with section 5.3</w:t>
      </w:r>
      <w:r w:rsidR="003216E1">
        <w:rPr>
          <w:rFonts w:cs="Arial"/>
        </w:rPr>
        <w:t xml:space="preserve"> </w:t>
      </w:r>
      <w:r w:rsidR="002449E7">
        <w:rPr>
          <w:rFonts w:cs="Arial"/>
        </w:rPr>
        <w:t xml:space="preserve">of the Determination </w:t>
      </w:r>
      <w:r w:rsidR="003216E1">
        <w:rPr>
          <w:rFonts w:cs="Arial"/>
        </w:rPr>
        <w:t>(or with section 5.3 of the 1998 Determination</w:t>
      </w:r>
      <w:r w:rsidR="002449E7">
        <w:rPr>
          <w:rFonts w:cs="Arial"/>
        </w:rPr>
        <w:t xml:space="preserve"> (the former section)</w:t>
      </w:r>
      <w:r w:rsidR="003216E1">
        <w:rPr>
          <w:rFonts w:cs="Arial"/>
        </w:rPr>
        <w:t>)</w:t>
      </w:r>
      <w:r w:rsidRPr="00B0102C">
        <w:rPr>
          <w:rFonts w:cs="Arial"/>
        </w:rPr>
        <w:t>;</w:t>
      </w:r>
    </w:p>
    <w:p w14:paraId="1FD046AA" w14:textId="49E45388" w:rsidR="00D97271" w:rsidRPr="003D7BD8" w:rsidRDefault="00D97271" w:rsidP="00D97271">
      <w:pPr>
        <w:pStyle w:val="ListParagraph"/>
        <w:numPr>
          <w:ilvl w:val="0"/>
          <w:numId w:val="15"/>
        </w:numPr>
        <w:spacing w:before="240" w:line="240" w:lineRule="auto"/>
        <w:outlineLvl w:val="0"/>
        <w:rPr>
          <w:rFonts w:cs="Arial"/>
        </w:rPr>
      </w:pPr>
      <w:r>
        <w:rPr>
          <w:rFonts w:cs="Arial"/>
        </w:rPr>
        <w:t>t</w:t>
      </w:r>
      <w:r w:rsidRPr="00B0102C">
        <w:rPr>
          <w:rFonts w:cs="Arial"/>
        </w:rPr>
        <w:t>he licence</w:t>
      </w:r>
      <w:r>
        <w:rPr>
          <w:rFonts w:cs="Arial"/>
        </w:rPr>
        <w:t xml:space="preserve"> </w:t>
      </w:r>
      <w:r w:rsidRPr="003D7BD8">
        <w:rPr>
          <w:rFonts w:cs="Arial"/>
        </w:rPr>
        <w:t xml:space="preserve">which </w:t>
      </w:r>
      <w:r>
        <w:rPr>
          <w:rFonts w:cs="Arial"/>
        </w:rPr>
        <w:t xml:space="preserve">was used to provide a service in accordance with </w:t>
      </w:r>
      <w:r w:rsidR="002449E7">
        <w:rPr>
          <w:rFonts w:cs="Arial"/>
        </w:rPr>
        <w:t xml:space="preserve">either </w:t>
      </w:r>
      <w:r w:rsidRPr="003D7BD8">
        <w:rPr>
          <w:rFonts w:cs="Arial"/>
        </w:rPr>
        <w:t xml:space="preserve">section 5.3 </w:t>
      </w:r>
      <w:r w:rsidR="002449E7">
        <w:rPr>
          <w:rFonts w:cs="Arial"/>
        </w:rPr>
        <w:t xml:space="preserve">or the former section </w:t>
      </w:r>
      <w:r>
        <w:rPr>
          <w:rFonts w:cs="Arial"/>
        </w:rPr>
        <w:t xml:space="preserve">(the former licence) </w:t>
      </w:r>
      <w:r w:rsidRPr="003D7BD8">
        <w:rPr>
          <w:rFonts w:cs="Arial"/>
        </w:rPr>
        <w:t>expired</w:t>
      </w:r>
      <w:r>
        <w:rPr>
          <w:rFonts w:cs="Arial"/>
        </w:rPr>
        <w:t>,</w:t>
      </w:r>
      <w:r w:rsidRPr="003D7BD8">
        <w:rPr>
          <w:rFonts w:cs="Arial"/>
        </w:rPr>
        <w:t xml:space="preserve"> and the licensee did not apply for renewal of the former licence</w:t>
      </w:r>
      <w:r>
        <w:rPr>
          <w:rFonts w:cs="Arial"/>
        </w:rPr>
        <w:t>.</w:t>
      </w:r>
    </w:p>
    <w:p w14:paraId="1433BAB5" w14:textId="77777777" w:rsidR="00D97271" w:rsidRPr="003D7BD8" w:rsidRDefault="00D97271" w:rsidP="00D97271">
      <w:pPr>
        <w:spacing w:before="240" w:line="240" w:lineRule="auto"/>
        <w:outlineLvl w:val="0"/>
        <w:rPr>
          <w:rFonts w:cs="Arial"/>
        </w:rPr>
      </w:pPr>
      <w:r w:rsidRPr="003D7BD8">
        <w:rPr>
          <w:rFonts w:cs="Arial"/>
        </w:rPr>
        <w:t xml:space="preserve">Subsection (2) provides that the </w:t>
      </w:r>
      <w:r>
        <w:rPr>
          <w:rFonts w:cs="Arial"/>
        </w:rPr>
        <w:t>licensee</w:t>
      </w:r>
      <w:r w:rsidRPr="003D7BD8">
        <w:rPr>
          <w:rFonts w:cs="Arial"/>
        </w:rPr>
        <w:t xml:space="preserve"> may operate the station</w:t>
      </w:r>
      <w:r>
        <w:rPr>
          <w:rFonts w:cs="Arial"/>
        </w:rPr>
        <w:t>, under a new licence issued to the licensee,</w:t>
      </w:r>
      <w:r w:rsidRPr="003D7BD8">
        <w:rPr>
          <w:rFonts w:cs="Arial"/>
        </w:rPr>
        <w:t xml:space="preserve"> to provide a commercial broadcasting service if the following conditions are met:</w:t>
      </w:r>
    </w:p>
    <w:p w14:paraId="1F8E6827" w14:textId="0C2C47D1" w:rsidR="00D97271" w:rsidRPr="003D7BD8" w:rsidRDefault="00D97271" w:rsidP="00D97271">
      <w:pPr>
        <w:pStyle w:val="ListParagraph"/>
        <w:numPr>
          <w:ilvl w:val="0"/>
          <w:numId w:val="16"/>
        </w:numPr>
        <w:spacing w:before="240" w:line="240" w:lineRule="auto"/>
        <w:outlineLvl w:val="0"/>
        <w:rPr>
          <w:rFonts w:cs="Arial"/>
        </w:rPr>
      </w:pPr>
      <w:r w:rsidRPr="003D7BD8">
        <w:rPr>
          <w:rFonts w:cs="Arial"/>
        </w:rPr>
        <w:t>the operation of the NAS station is only authorised</w:t>
      </w:r>
      <w:r>
        <w:rPr>
          <w:rFonts w:cs="Arial"/>
        </w:rPr>
        <w:t xml:space="preserve"> to operate on</w:t>
      </w:r>
      <w:r w:rsidRPr="003D7BD8">
        <w:rPr>
          <w:rFonts w:cs="Arial"/>
        </w:rPr>
        <w:t>:</w:t>
      </w:r>
    </w:p>
    <w:p w14:paraId="353E7510" w14:textId="77777777" w:rsidR="00D97271" w:rsidRPr="003D7BD8" w:rsidRDefault="00D97271" w:rsidP="00D97271">
      <w:pPr>
        <w:pStyle w:val="ListParagraph"/>
        <w:numPr>
          <w:ilvl w:val="1"/>
          <w:numId w:val="16"/>
        </w:numPr>
        <w:spacing w:before="240" w:line="240" w:lineRule="auto"/>
        <w:outlineLvl w:val="0"/>
        <w:rPr>
          <w:rFonts w:cs="Arial"/>
        </w:rPr>
      </w:pPr>
      <w:r w:rsidRPr="003D7BD8">
        <w:rPr>
          <w:rFonts w:cs="Arial"/>
        </w:rPr>
        <w:t xml:space="preserve">the same frequency in the MF NAS </w:t>
      </w:r>
      <w:r>
        <w:rPr>
          <w:rFonts w:cs="Arial"/>
        </w:rPr>
        <w:t xml:space="preserve">frequency </w:t>
      </w:r>
      <w:r w:rsidRPr="003D7BD8">
        <w:rPr>
          <w:rFonts w:cs="Arial"/>
        </w:rPr>
        <w:t>band as the former licence; or</w:t>
      </w:r>
    </w:p>
    <w:p w14:paraId="381DB8EF" w14:textId="77777777" w:rsidR="00D97271" w:rsidRPr="003D7BD8" w:rsidRDefault="00D97271" w:rsidP="00D97271">
      <w:pPr>
        <w:pStyle w:val="ListParagraph"/>
        <w:numPr>
          <w:ilvl w:val="1"/>
          <w:numId w:val="16"/>
        </w:numPr>
        <w:spacing w:before="240" w:line="240" w:lineRule="auto"/>
        <w:outlineLvl w:val="0"/>
        <w:rPr>
          <w:rFonts w:cs="Arial"/>
        </w:rPr>
      </w:pPr>
      <w:r w:rsidRPr="003D7BD8">
        <w:rPr>
          <w:rFonts w:cs="Arial"/>
        </w:rPr>
        <w:t>a new frequency in the MF NAS band</w:t>
      </w:r>
      <w:r>
        <w:rPr>
          <w:rFonts w:cs="Arial"/>
        </w:rPr>
        <w:t xml:space="preserve"> specified in the licence by the ACMA</w:t>
      </w:r>
      <w:r w:rsidRPr="003D7BD8">
        <w:rPr>
          <w:rFonts w:cs="Arial"/>
        </w:rPr>
        <w:t>;</w:t>
      </w:r>
    </w:p>
    <w:p w14:paraId="674C85A9" w14:textId="0C02604C" w:rsidR="00D97271" w:rsidRPr="003D7BD8" w:rsidRDefault="00D97271" w:rsidP="00D97271">
      <w:pPr>
        <w:pStyle w:val="ListParagraph"/>
        <w:numPr>
          <w:ilvl w:val="0"/>
          <w:numId w:val="16"/>
        </w:numPr>
        <w:spacing w:before="240" w:line="240" w:lineRule="auto"/>
        <w:outlineLvl w:val="0"/>
        <w:rPr>
          <w:rFonts w:cs="Arial"/>
        </w:rPr>
      </w:pPr>
      <w:r w:rsidRPr="003D7BD8">
        <w:rPr>
          <w:rFonts w:cs="Arial"/>
        </w:rPr>
        <w:t xml:space="preserve">the related commercial licence that authorises the commercial broadcasting service was allocated before </w:t>
      </w:r>
      <w:r w:rsidR="002449E7">
        <w:rPr>
          <w:rFonts w:cs="Arial"/>
        </w:rPr>
        <w:t>6</w:t>
      </w:r>
      <w:r w:rsidRPr="003D7BD8">
        <w:rPr>
          <w:rFonts w:cs="Arial"/>
        </w:rPr>
        <w:t xml:space="preserve"> November 2002;</w:t>
      </w:r>
    </w:p>
    <w:p w14:paraId="7DB08041" w14:textId="582FECF3" w:rsidR="00D97271" w:rsidRPr="00950125" w:rsidRDefault="00D97271" w:rsidP="00D97271">
      <w:pPr>
        <w:pStyle w:val="ListParagraph"/>
        <w:numPr>
          <w:ilvl w:val="0"/>
          <w:numId w:val="16"/>
        </w:numPr>
        <w:spacing w:before="240" w:line="240" w:lineRule="auto"/>
        <w:outlineLvl w:val="0"/>
        <w:rPr>
          <w:rFonts w:cs="Arial"/>
        </w:rPr>
      </w:pPr>
      <w:r w:rsidRPr="003D7BD8">
        <w:rPr>
          <w:rFonts w:cs="Arial"/>
        </w:rPr>
        <w:t>the licensee provide</w:t>
      </w:r>
      <w:r>
        <w:rPr>
          <w:rFonts w:cs="Arial"/>
        </w:rPr>
        <w:t>s</w:t>
      </w:r>
      <w:r w:rsidRPr="003D7BD8">
        <w:rPr>
          <w:rFonts w:cs="Arial"/>
        </w:rPr>
        <w:t xml:space="preserve"> any evidence required by the ACMA </w:t>
      </w:r>
      <w:r>
        <w:rPr>
          <w:rFonts w:cs="Arial"/>
        </w:rPr>
        <w:t xml:space="preserve">relating to whether the </w:t>
      </w:r>
      <w:r w:rsidRPr="00950125">
        <w:rPr>
          <w:rFonts w:cs="Arial"/>
        </w:rPr>
        <w:t>circumstances set out in subsection 5</w:t>
      </w:r>
      <w:r>
        <w:rPr>
          <w:rFonts w:cs="Arial"/>
        </w:rPr>
        <w:t>.</w:t>
      </w:r>
      <w:r w:rsidRPr="00950125">
        <w:rPr>
          <w:rFonts w:cs="Arial"/>
        </w:rPr>
        <w:t>4 (1) apply;</w:t>
      </w:r>
    </w:p>
    <w:p w14:paraId="773531F9" w14:textId="5234EC38" w:rsidR="00D97271" w:rsidRPr="00950125" w:rsidRDefault="00D97271" w:rsidP="00D97271">
      <w:pPr>
        <w:pStyle w:val="ListParagraph"/>
        <w:numPr>
          <w:ilvl w:val="0"/>
          <w:numId w:val="16"/>
        </w:numPr>
        <w:spacing w:before="240" w:line="240" w:lineRule="auto"/>
        <w:outlineLvl w:val="0"/>
        <w:rPr>
          <w:rFonts w:cs="Arial"/>
        </w:rPr>
      </w:pPr>
      <w:r w:rsidRPr="00950125">
        <w:rPr>
          <w:rFonts w:cs="Arial"/>
        </w:rPr>
        <w:t>the station is located within 10km of its location on 6 November 2002 (the old location) or at another location specified by the ACMA</w:t>
      </w:r>
      <w:r w:rsidR="002449E7">
        <w:rPr>
          <w:rFonts w:cs="Arial"/>
        </w:rPr>
        <w:t>. The ACMA may specify another location i</w:t>
      </w:r>
      <w:r w:rsidRPr="00950125">
        <w:rPr>
          <w:rFonts w:cs="Arial"/>
        </w:rPr>
        <w:t>f it is satisfied that:</w:t>
      </w:r>
    </w:p>
    <w:p w14:paraId="4ECB211B" w14:textId="77777777" w:rsidR="00D97271" w:rsidRPr="00950125" w:rsidRDefault="00D97271" w:rsidP="00D97271">
      <w:pPr>
        <w:pStyle w:val="ListParagraph"/>
        <w:numPr>
          <w:ilvl w:val="1"/>
          <w:numId w:val="16"/>
        </w:numPr>
        <w:spacing w:line="240" w:lineRule="auto"/>
        <w:outlineLvl w:val="0"/>
        <w:rPr>
          <w:rFonts w:cs="Arial"/>
        </w:rPr>
      </w:pPr>
      <w:r w:rsidRPr="00950125">
        <w:rPr>
          <w:rFonts w:cs="Arial"/>
        </w:rPr>
        <w:t>transmissions from the new location would provide a service that would reach substantially the same audience that the service was intended to reach from the old location;</w:t>
      </w:r>
      <w:r>
        <w:rPr>
          <w:rFonts w:cs="Arial"/>
        </w:rPr>
        <w:t xml:space="preserve"> and</w:t>
      </w:r>
    </w:p>
    <w:p w14:paraId="61C1E831" w14:textId="77777777" w:rsidR="00D97271" w:rsidRPr="00950125" w:rsidRDefault="00D97271" w:rsidP="00D97271">
      <w:pPr>
        <w:pStyle w:val="ListParagraph"/>
        <w:numPr>
          <w:ilvl w:val="1"/>
          <w:numId w:val="16"/>
        </w:numPr>
        <w:spacing w:before="240" w:line="240" w:lineRule="auto"/>
        <w:outlineLvl w:val="0"/>
        <w:rPr>
          <w:rFonts w:cs="Arial"/>
        </w:rPr>
      </w:pPr>
      <w:r w:rsidRPr="00950125">
        <w:rPr>
          <w:rFonts w:cs="Arial"/>
        </w:rPr>
        <w:t>transmissions from the new location would not cause significant interference with existing radiocommunications services</w:t>
      </w:r>
      <w:r>
        <w:rPr>
          <w:rFonts w:cs="Arial"/>
        </w:rPr>
        <w:t>;</w:t>
      </w:r>
    </w:p>
    <w:p w14:paraId="66F58268" w14:textId="159EBC3D" w:rsidR="00D97271" w:rsidRPr="00950125" w:rsidRDefault="00D97271" w:rsidP="00D97271">
      <w:pPr>
        <w:pStyle w:val="ListParagraph"/>
        <w:numPr>
          <w:ilvl w:val="0"/>
          <w:numId w:val="17"/>
        </w:numPr>
        <w:spacing w:line="240" w:lineRule="auto"/>
        <w:outlineLvl w:val="0"/>
        <w:rPr>
          <w:rFonts w:cs="Arial"/>
        </w:rPr>
      </w:pPr>
      <w:r>
        <w:rPr>
          <w:rFonts w:cs="Arial"/>
        </w:rPr>
        <w:t>i</w:t>
      </w:r>
      <w:r w:rsidRPr="00950125">
        <w:rPr>
          <w:rFonts w:cs="Arial"/>
        </w:rPr>
        <w:t xml:space="preserve">f the licensee intends to operate </w:t>
      </w:r>
      <w:r>
        <w:rPr>
          <w:rFonts w:cs="Arial"/>
        </w:rPr>
        <w:t>a</w:t>
      </w:r>
      <w:r w:rsidRPr="00950125">
        <w:rPr>
          <w:rFonts w:cs="Arial"/>
        </w:rPr>
        <w:t xml:space="preserve"> NAS </w:t>
      </w:r>
      <w:r>
        <w:rPr>
          <w:rFonts w:cs="Arial"/>
        </w:rPr>
        <w:t>station to</w:t>
      </w:r>
      <w:r w:rsidRPr="00950125">
        <w:rPr>
          <w:rFonts w:cs="Arial"/>
        </w:rPr>
        <w:t xml:space="preserve"> provide a commercial broadcasting service, the licensee must give notice in writing of that intention to the ACMA at least 14 days before operating the NAS station for that purpose</w:t>
      </w:r>
      <w:r w:rsidR="001D520E">
        <w:rPr>
          <w:rFonts w:cs="Arial"/>
        </w:rPr>
        <w:t>.</w:t>
      </w:r>
    </w:p>
    <w:p w14:paraId="42E987D9" w14:textId="19CBD6FF" w:rsidR="00D97271" w:rsidRPr="00950125" w:rsidRDefault="00D97271" w:rsidP="002449E7">
      <w:pPr>
        <w:spacing w:line="240" w:lineRule="auto"/>
        <w:ind w:left="360"/>
        <w:outlineLvl w:val="0"/>
        <w:rPr>
          <w:rFonts w:cs="Arial"/>
          <w:b/>
        </w:rPr>
      </w:pPr>
      <w:r w:rsidRPr="00950125">
        <w:rPr>
          <w:rFonts w:cs="Arial"/>
        </w:rPr>
        <w:t xml:space="preserve">Subsection (3) sets out definitions </w:t>
      </w:r>
      <w:r w:rsidR="001D520E">
        <w:rPr>
          <w:rFonts w:cs="Arial"/>
        </w:rPr>
        <w:t>of</w:t>
      </w:r>
      <w:r w:rsidRPr="00950125">
        <w:rPr>
          <w:rFonts w:cs="Arial"/>
        </w:rPr>
        <w:t xml:space="preserve"> the terms </w:t>
      </w:r>
      <w:r w:rsidRPr="00950125">
        <w:rPr>
          <w:rFonts w:cs="Arial"/>
          <w:i/>
        </w:rPr>
        <w:t xml:space="preserve">commercial licence </w:t>
      </w:r>
      <w:r w:rsidRPr="00950125">
        <w:rPr>
          <w:rFonts w:cs="Arial"/>
        </w:rPr>
        <w:t xml:space="preserve">and </w:t>
      </w:r>
      <w:r w:rsidRPr="00950125">
        <w:rPr>
          <w:rFonts w:cs="Arial"/>
          <w:i/>
        </w:rPr>
        <w:t>location</w:t>
      </w:r>
      <w:r w:rsidRPr="00950125">
        <w:rPr>
          <w:rFonts w:cs="Arial"/>
        </w:rPr>
        <w:t xml:space="preserve"> for the purpose of section 5.4.</w:t>
      </w:r>
      <w:r w:rsidRPr="00950125">
        <w:rPr>
          <w:rFonts w:cs="Arial"/>
          <w:b/>
        </w:rPr>
        <w:br w:type="page"/>
      </w:r>
    </w:p>
    <w:p w14:paraId="140D63AE" w14:textId="77777777" w:rsidR="00D97271" w:rsidRPr="007B439F" w:rsidRDefault="00D97271" w:rsidP="00D97271">
      <w:pPr>
        <w:spacing w:line="360" w:lineRule="auto"/>
        <w:jc w:val="right"/>
        <w:outlineLvl w:val="0"/>
        <w:rPr>
          <w:rFonts w:cs="Arial"/>
          <w:b/>
        </w:rPr>
      </w:pPr>
      <w:r w:rsidRPr="007B439F">
        <w:rPr>
          <w:rFonts w:cs="Arial"/>
          <w:b/>
        </w:rPr>
        <w:lastRenderedPageBreak/>
        <w:t>ATTACHMENT B</w:t>
      </w:r>
    </w:p>
    <w:p w14:paraId="60B5C780" w14:textId="77777777" w:rsidR="00D97271" w:rsidRPr="007B439F" w:rsidRDefault="00D97271" w:rsidP="00D97271">
      <w:pPr>
        <w:spacing w:line="360" w:lineRule="auto"/>
        <w:jc w:val="center"/>
        <w:outlineLvl w:val="0"/>
        <w:rPr>
          <w:rFonts w:cs="Arial"/>
          <w:b/>
        </w:rPr>
      </w:pPr>
    </w:p>
    <w:p w14:paraId="38B369AB" w14:textId="77777777" w:rsidR="00D97271" w:rsidRPr="00AA5701" w:rsidRDefault="00D97271" w:rsidP="00D97271">
      <w:pPr>
        <w:spacing w:line="360" w:lineRule="auto"/>
        <w:jc w:val="center"/>
        <w:outlineLvl w:val="0"/>
        <w:rPr>
          <w:rFonts w:cs="Arial"/>
          <w:b/>
        </w:rPr>
      </w:pPr>
      <w:r w:rsidRPr="00D90EAA">
        <w:rPr>
          <w:rFonts w:cs="Arial"/>
          <w:b/>
        </w:rPr>
        <w:t>Statement of Compatibility with Human Rights</w:t>
      </w:r>
    </w:p>
    <w:p w14:paraId="55E99BBD" w14:textId="77777777" w:rsidR="00D97271" w:rsidRPr="00950125" w:rsidRDefault="00D97271" w:rsidP="00D97271">
      <w:pPr>
        <w:spacing w:line="360" w:lineRule="auto"/>
        <w:jc w:val="center"/>
        <w:rPr>
          <w:rFonts w:cs="Arial"/>
        </w:rPr>
      </w:pPr>
      <w:r w:rsidRPr="00950125">
        <w:rPr>
          <w:rFonts w:cs="Arial"/>
        </w:rPr>
        <w:t xml:space="preserve">Prepared in accordance with Part 3 of the </w:t>
      </w:r>
      <w:r w:rsidRPr="00950125">
        <w:rPr>
          <w:rFonts w:cs="Arial"/>
          <w:i/>
        </w:rPr>
        <w:t>Human Rights (Parliamentary Scrutiny) Act 2011</w:t>
      </w:r>
    </w:p>
    <w:p w14:paraId="7E087A99" w14:textId="77777777" w:rsidR="00D97271" w:rsidRPr="007B439F" w:rsidRDefault="00D97271" w:rsidP="00D97271">
      <w:pPr>
        <w:spacing w:line="360" w:lineRule="auto"/>
        <w:jc w:val="center"/>
        <w:outlineLvl w:val="0"/>
        <w:rPr>
          <w:rFonts w:cs="Arial"/>
          <w:b/>
        </w:rPr>
      </w:pPr>
    </w:p>
    <w:p w14:paraId="265430BA" w14:textId="77777777" w:rsidR="00D97271" w:rsidRPr="00FB4550" w:rsidRDefault="00D97271" w:rsidP="00D97271">
      <w:pPr>
        <w:spacing w:line="360" w:lineRule="auto"/>
        <w:jc w:val="center"/>
        <w:outlineLvl w:val="0"/>
        <w:rPr>
          <w:rFonts w:cs="Arial"/>
          <w:b/>
        </w:rPr>
      </w:pPr>
      <w:r w:rsidRPr="007B439F">
        <w:rPr>
          <w:rFonts w:cs="Arial"/>
          <w:b/>
        </w:rPr>
        <w:t>Radiocommunications Licence Conditions (Broadcasting Licence</w:t>
      </w:r>
      <w:r w:rsidRPr="00FB4550">
        <w:rPr>
          <w:rFonts w:cs="Arial"/>
          <w:b/>
        </w:rPr>
        <w:t>) Determination 2015</w:t>
      </w:r>
    </w:p>
    <w:p w14:paraId="06DE0DD7" w14:textId="77777777" w:rsidR="00D97271" w:rsidRPr="00D90EAA" w:rsidRDefault="00D97271" w:rsidP="00D97271">
      <w:pPr>
        <w:rPr>
          <w:rFonts w:cs="Arial"/>
          <w:b/>
        </w:rPr>
      </w:pPr>
    </w:p>
    <w:p w14:paraId="0FC5A269" w14:textId="77777777" w:rsidR="00D97271" w:rsidRPr="00950125" w:rsidRDefault="00D97271" w:rsidP="00D97271">
      <w:pPr>
        <w:spacing w:line="360" w:lineRule="auto"/>
        <w:rPr>
          <w:rFonts w:cs="Arial"/>
        </w:rPr>
      </w:pPr>
      <w:r w:rsidRPr="00950125">
        <w:rPr>
          <w:rFonts w:cs="Arial"/>
        </w:rPr>
        <w:t xml:space="preserve">This legislative instrument is compatible with the human rights and freedoms recognised or declared in the international instruments listed in section 3 of the </w:t>
      </w:r>
      <w:r w:rsidRPr="00950125">
        <w:rPr>
          <w:rFonts w:cs="Arial"/>
          <w:i/>
        </w:rPr>
        <w:t>Human Rights (Parliamentary Scrutiny) Act 2011</w:t>
      </w:r>
      <w:r w:rsidRPr="00950125">
        <w:rPr>
          <w:rFonts w:cs="Arial"/>
        </w:rPr>
        <w:t>.</w:t>
      </w:r>
    </w:p>
    <w:p w14:paraId="2BF45D8E" w14:textId="77777777" w:rsidR="00D97271" w:rsidRPr="007B439F" w:rsidRDefault="00D97271" w:rsidP="00D97271">
      <w:pPr>
        <w:spacing w:line="360" w:lineRule="auto"/>
        <w:outlineLvl w:val="0"/>
        <w:rPr>
          <w:rFonts w:cs="Arial"/>
          <w:b/>
        </w:rPr>
      </w:pPr>
      <w:r w:rsidRPr="007B439F">
        <w:rPr>
          <w:rFonts w:cs="Arial"/>
          <w:b/>
        </w:rPr>
        <w:t>Overview of the Legislative Instrument</w:t>
      </w:r>
    </w:p>
    <w:p w14:paraId="58B5C808" w14:textId="77777777" w:rsidR="00D97271" w:rsidRPr="007B439F" w:rsidRDefault="00D97271" w:rsidP="00D97271">
      <w:pPr>
        <w:spacing w:line="360" w:lineRule="auto"/>
        <w:outlineLvl w:val="0"/>
        <w:rPr>
          <w:rFonts w:cs="Arial"/>
        </w:rPr>
      </w:pPr>
      <w:r w:rsidRPr="00383937">
        <w:rPr>
          <w:rFonts w:cs="Arial"/>
        </w:rPr>
        <w:t xml:space="preserve">The </w:t>
      </w:r>
      <w:r w:rsidRPr="00383937">
        <w:rPr>
          <w:rFonts w:cs="Arial"/>
          <w:i/>
        </w:rPr>
        <w:t>Radiocommunications Licence Conditions (Broadcasting Licence) Determination 2015</w:t>
      </w:r>
      <w:r w:rsidRPr="00383937">
        <w:rPr>
          <w:rFonts w:cs="Arial"/>
        </w:rPr>
        <w:t xml:space="preserve"> (the Determination) revokes and replaces the </w:t>
      </w:r>
      <w:r w:rsidRPr="00383937">
        <w:rPr>
          <w:rFonts w:cs="Arial"/>
          <w:i/>
        </w:rPr>
        <w:t xml:space="preserve">Radiocommunications Licence Conditions (Broadcasting Licence) Determination No. 1 of 1998 </w:t>
      </w:r>
      <w:r w:rsidRPr="00383937">
        <w:rPr>
          <w:rFonts w:cs="Arial"/>
        </w:rPr>
        <w:t>without making any significant changes to the regulatory arrangements created by that instrument.</w:t>
      </w:r>
    </w:p>
    <w:p w14:paraId="50C7C4A1" w14:textId="77C49F1F" w:rsidR="00D97271" w:rsidRPr="00757DE4" w:rsidRDefault="00D97271" w:rsidP="00D97271">
      <w:pPr>
        <w:keepNext/>
        <w:spacing w:line="360" w:lineRule="auto"/>
        <w:outlineLvl w:val="0"/>
        <w:rPr>
          <w:rFonts w:cs="Arial"/>
        </w:rPr>
      </w:pPr>
      <w:r w:rsidRPr="00383937">
        <w:rPr>
          <w:rFonts w:cs="Arial"/>
        </w:rPr>
        <w:t xml:space="preserve">The Determination </w:t>
      </w:r>
      <w:r w:rsidRPr="00383937">
        <w:rPr>
          <w:rFonts w:eastAsia="Times New Roman" w:cs="Times New Roman"/>
          <w:lang w:eastAsia="en-AU"/>
        </w:rPr>
        <w:t>is intended to set licence conditions on apparatus licences, issued under section 100 of the Act,</w:t>
      </w:r>
      <w:r>
        <w:rPr>
          <w:rFonts w:eastAsia="Times New Roman" w:cs="Times New Roman"/>
          <w:lang w:eastAsia="en-AU"/>
        </w:rPr>
        <w:t xml:space="preserve"> that authorise</w:t>
      </w:r>
      <w:r w:rsidRPr="00383937">
        <w:rPr>
          <w:rFonts w:eastAsia="Times New Roman" w:cs="Times New Roman"/>
          <w:lang w:eastAsia="en-AU"/>
        </w:rPr>
        <w:t xml:space="preserve"> the operation of certain broadcasting stations. The Determination applies to </w:t>
      </w:r>
      <w:r>
        <w:rPr>
          <w:rFonts w:eastAsia="Times New Roman" w:cs="Times New Roman"/>
          <w:lang w:eastAsia="en-AU"/>
        </w:rPr>
        <w:t>n</w:t>
      </w:r>
      <w:r w:rsidRPr="00383937">
        <w:rPr>
          <w:rFonts w:eastAsia="Times New Roman" w:cs="Times New Roman"/>
          <w:lang w:eastAsia="en-AU"/>
        </w:rPr>
        <w:t xml:space="preserve">ational </w:t>
      </w:r>
      <w:r>
        <w:rPr>
          <w:rFonts w:eastAsia="Times New Roman" w:cs="Times New Roman"/>
          <w:lang w:eastAsia="en-AU"/>
        </w:rPr>
        <w:t>b</w:t>
      </w:r>
      <w:r w:rsidRPr="00383937">
        <w:rPr>
          <w:rFonts w:eastAsia="Times New Roman" w:cs="Times New Roman"/>
          <w:lang w:eastAsia="en-AU"/>
        </w:rPr>
        <w:t xml:space="preserve">roadcasting </w:t>
      </w:r>
      <w:r w:rsidR="00F67FC2">
        <w:rPr>
          <w:rFonts w:eastAsia="Times New Roman" w:cs="Times New Roman"/>
          <w:lang w:eastAsia="en-AU"/>
        </w:rPr>
        <w:t>s</w:t>
      </w:r>
      <w:r w:rsidR="00F67FC2" w:rsidRPr="00383937">
        <w:rPr>
          <w:rFonts w:eastAsia="Times New Roman" w:cs="Times New Roman"/>
          <w:lang w:eastAsia="en-AU"/>
        </w:rPr>
        <w:t>ervices,</w:t>
      </w:r>
      <w:r>
        <w:rPr>
          <w:rFonts w:eastAsia="Times New Roman" w:cs="Times New Roman"/>
          <w:lang w:eastAsia="en-AU"/>
        </w:rPr>
        <w:t xml:space="preserve"> to open and subscription narrowcasting services provided in the broadcasting services bands (BSBs), and to certain services provided outside the BSBs</w:t>
      </w:r>
      <w:r w:rsidRPr="00757DE4">
        <w:rPr>
          <w:rFonts w:eastAsia="Times New Roman" w:cs="Times New Roman"/>
          <w:lang w:eastAsia="en-AU"/>
        </w:rPr>
        <w:t>.</w:t>
      </w:r>
      <w:r>
        <w:rPr>
          <w:rFonts w:eastAsia="Times New Roman" w:cs="Times New Roman"/>
          <w:lang w:eastAsia="en-AU"/>
        </w:rPr>
        <w:t xml:space="preserve">  Conditions relate to such matters as interference mitigation, technical specifications of transmitters, procedures to be followed when commencing services, and </w:t>
      </w:r>
      <w:r w:rsidR="001D520E">
        <w:rPr>
          <w:rFonts w:eastAsia="Times New Roman" w:cs="Times New Roman"/>
          <w:lang w:eastAsia="en-AU"/>
        </w:rPr>
        <w:t xml:space="preserve">conditions about the provision of </w:t>
      </w:r>
      <w:r>
        <w:rPr>
          <w:rFonts w:eastAsia="Times New Roman" w:cs="Times New Roman"/>
          <w:lang w:eastAsia="en-AU"/>
        </w:rPr>
        <w:t>certain services outside of the BSBs.</w:t>
      </w:r>
    </w:p>
    <w:p w14:paraId="1ACF39A5" w14:textId="77777777" w:rsidR="00D97271" w:rsidRPr="007B439F" w:rsidRDefault="00D97271" w:rsidP="00D97271">
      <w:pPr>
        <w:spacing w:line="360" w:lineRule="auto"/>
        <w:outlineLvl w:val="0"/>
        <w:rPr>
          <w:rFonts w:cs="Arial"/>
          <w:b/>
        </w:rPr>
      </w:pPr>
      <w:r w:rsidRPr="007B439F">
        <w:rPr>
          <w:rFonts w:cs="Arial"/>
          <w:b/>
        </w:rPr>
        <w:t>Human Rights Implications</w:t>
      </w:r>
    </w:p>
    <w:p w14:paraId="1AE32AA9" w14:textId="77777777" w:rsidR="00D97271" w:rsidRPr="00757DE4" w:rsidRDefault="00D97271" w:rsidP="00D97271">
      <w:pPr>
        <w:spacing w:line="360" w:lineRule="auto"/>
        <w:outlineLvl w:val="0"/>
        <w:rPr>
          <w:rFonts w:cs="Arial"/>
        </w:rPr>
      </w:pPr>
      <w:r w:rsidRPr="00757DE4">
        <w:rPr>
          <w:rFonts w:cs="Arial"/>
        </w:rPr>
        <w:t>The Determination does not engage any of the applicable rights or freedoms.</w:t>
      </w:r>
    </w:p>
    <w:p w14:paraId="17E86652" w14:textId="77777777" w:rsidR="00D97271" w:rsidRPr="007B439F" w:rsidRDefault="00D97271" w:rsidP="00D97271">
      <w:pPr>
        <w:spacing w:line="360" w:lineRule="auto"/>
        <w:outlineLvl w:val="0"/>
        <w:rPr>
          <w:rFonts w:cs="Arial"/>
          <w:b/>
        </w:rPr>
      </w:pPr>
      <w:r w:rsidRPr="007B439F">
        <w:rPr>
          <w:rFonts w:cs="Arial"/>
          <w:b/>
        </w:rPr>
        <w:t>Conclusion</w:t>
      </w:r>
    </w:p>
    <w:p w14:paraId="49AA11DC" w14:textId="77777777" w:rsidR="00D97271" w:rsidRPr="00757DE4" w:rsidRDefault="00D97271" w:rsidP="00D97271">
      <w:pPr>
        <w:spacing w:line="240" w:lineRule="auto"/>
        <w:outlineLvl w:val="0"/>
        <w:rPr>
          <w:rFonts w:cs="Arial"/>
          <w:b/>
        </w:rPr>
      </w:pPr>
      <w:r w:rsidRPr="00757DE4">
        <w:rPr>
          <w:rFonts w:cs="Arial"/>
        </w:rPr>
        <w:t>The Determination is compatible with human rights as it does not raise any human rights issues.</w:t>
      </w:r>
    </w:p>
    <w:p w14:paraId="1D8ACBFF" w14:textId="74AB853F" w:rsidR="0011198A" w:rsidRPr="00D97271" w:rsidRDefault="0011198A" w:rsidP="00D97271"/>
    <w:sectPr w:rsidR="0011198A" w:rsidRPr="00D972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138F9" w14:textId="77777777" w:rsidR="0084201B" w:rsidRDefault="0084201B" w:rsidP="0084201B">
      <w:pPr>
        <w:spacing w:after="0" w:line="240" w:lineRule="auto"/>
      </w:pPr>
      <w:r>
        <w:separator/>
      </w:r>
    </w:p>
  </w:endnote>
  <w:endnote w:type="continuationSeparator" w:id="0">
    <w:p w14:paraId="5F735FC3" w14:textId="77777777" w:rsidR="0084201B" w:rsidRDefault="0084201B" w:rsidP="0084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407C3" w14:textId="77777777" w:rsidR="0084201B" w:rsidRDefault="0084201B" w:rsidP="0084201B">
      <w:pPr>
        <w:spacing w:after="0" w:line="240" w:lineRule="auto"/>
      </w:pPr>
      <w:r>
        <w:separator/>
      </w:r>
    </w:p>
  </w:footnote>
  <w:footnote w:type="continuationSeparator" w:id="0">
    <w:p w14:paraId="1B336B3E" w14:textId="77777777" w:rsidR="0084201B" w:rsidRDefault="0084201B" w:rsidP="00842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7A07DC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04C23B2"/>
    <w:multiLevelType w:val="hybridMultilevel"/>
    <w:tmpl w:val="2C1C830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nsid w:val="09BC2C2B"/>
    <w:multiLevelType w:val="hybridMultilevel"/>
    <w:tmpl w:val="31D66552"/>
    <w:lvl w:ilvl="0" w:tplc="6BF6493E">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4B092F"/>
    <w:multiLevelType w:val="hybridMultilevel"/>
    <w:tmpl w:val="164483D8"/>
    <w:lvl w:ilvl="0" w:tplc="6BF6493E">
      <w:start w:val="1"/>
      <w:numFmt w:val="bullet"/>
      <w:lvlText w:val="&gt;"/>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FF0AEC"/>
    <w:multiLevelType w:val="hybridMultilevel"/>
    <w:tmpl w:val="667404AE"/>
    <w:lvl w:ilvl="0" w:tplc="6BF6493E">
      <w:start w:val="1"/>
      <w:numFmt w:val="bullet"/>
      <w:lvlText w:val="&gt;"/>
      <w:lvlJc w:val="left"/>
      <w:pPr>
        <w:ind w:left="1495" w:hanging="360"/>
      </w:pPr>
      <w:rPr>
        <w:rFonts w:ascii="Arial" w:hAnsi="Aria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
    <w:nsid w:val="130F66ED"/>
    <w:multiLevelType w:val="hybridMultilevel"/>
    <w:tmpl w:val="77B6DB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96151DE"/>
    <w:multiLevelType w:val="hybridMultilevel"/>
    <w:tmpl w:val="CD967E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1AFC7528"/>
    <w:multiLevelType w:val="hybridMultilevel"/>
    <w:tmpl w:val="C76ADEF0"/>
    <w:lvl w:ilvl="0" w:tplc="6BF6493E">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901DEB"/>
    <w:multiLevelType w:val="hybridMultilevel"/>
    <w:tmpl w:val="F12CE1FC"/>
    <w:lvl w:ilvl="0" w:tplc="6BF6493E">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CA6A77"/>
    <w:multiLevelType w:val="hybridMultilevel"/>
    <w:tmpl w:val="51DE2418"/>
    <w:lvl w:ilvl="0" w:tplc="6BF6493E">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A57DF6"/>
    <w:multiLevelType w:val="hybridMultilevel"/>
    <w:tmpl w:val="383A98E2"/>
    <w:lvl w:ilvl="0" w:tplc="6BF6493E">
      <w:start w:val="1"/>
      <w:numFmt w:val="bullet"/>
      <w:lvlText w:val="&gt;"/>
      <w:lvlJc w:val="left"/>
      <w:pPr>
        <w:ind w:left="774" w:hanging="360"/>
      </w:pPr>
      <w:rPr>
        <w:rFonts w:ascii="Arial" w:hAnsi="Aria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nsid w:val="49D65E3E"/>
    <w:multiLevelType w:val="hybridMultilevel"/>
    <w:tmpl w:val="5EAC7B0C"/>
    <w:lvl w:ilvl="0" w:tplc="6BF6493E">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8AC00DE"/>
    <w:multiLevelType w:val="hybridMultilevel"/>
    <w:tmpl w:val="C80E3A06"/>
    <w:lvl w:ilvl="0" w:tplc="6BF6493E">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A6C358D"/>
    <w:multiLevelType w:val="hybridMultilevel"/>
    <w:tmpl w:val="5554C8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nsid w:val="5CD64FAE"/>
    <w:multiLevelType w:val="hybridMultilevel"/>
    <w:tmpl w:val="BF78F5A2"/>
    <w:lvl w:ilvl="0" w:tplc="A44C943C">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8D46D54"/>
    <w:multiLevelType w:val="hybridMultilevel"/>
    <w:tmpl w:val="1C124116"/>
    <w:lvl w:ilvl="0" w:tplc="6BF6493E">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F141E0A"/>
    <w:multiLevelType w:val="hybridMultilevel"/>
    <w:tmpl w:val="18DE4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4E353C"/>
    <w:multiLevelType w:val="hybridMultilevel"/>
    <w:tmpl w:val="DB4C9B38"/>
    <w:lvl w:ilvl="0" w:tplc="6BF6493E">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942317C"/>
    <w:multiLevelType w:val="hybridMultilevel"/>
    <w:tmpl w:val="EF6825A2"/>
    <w:lvl w:ilvl="0" w:tplc="6BF6493E">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5"/>
  </w:num>
  <w:num w:numId="4">
    <w:abstractNumId w:val="14"/>
  </w:num>
  <w:num w:numId="5">
    <w:abstractNumId w:val="1"/>
  </w:num>
  <w:num w:numId="6">
    <w:abstractNumId w:val="19"/>
  </w:num>
  <w:num w:numId="7">
    <w:abstractNumId w:val="4"/>
  </w:num>
  <w:num w:numId="8">
    <w:abstractNumId w:val="13"/>
  </w:num>
  <w:num w:numId="9">
    <w:abstractNumId w:val="10"/>
  </w:num>
  <w:num w:numId="10">
    <w:abstractNumId w:val="9"/>
  </w:num>
  <w:num w:numId="11">
    <w:abstractNumId w:val="18"/>
  </w:num>
  <w:num w:numId="12">
    <w:abstractNumId w:val="11"/>
  </w:num>
  <w:num w:numId="13">
    <w:abstractNumId w:val="2"/>
  </w:num>
  <w:num w:numId="14">
    <w:abstractNumId w:val="8"/>
  </w:num>
  <w:num w:numId="15">
    <w:abstractNumId w:val="7"/>
  </w:num>
  <w:num w:numId="16">
    <w:abstractNumId w:val="3"/>
  </w:num>
  <w:num w:numId="17">
    <w:abstractNumId w:val="16"/>
  </w:num>
  <w:num w:numId="18">
    <w:abstractNumId w:val="0"/>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B2"/>
    <w:rsid w:val="000105B7"/>
    <w:rsid w:val="00020845"/>
    <w:rsid w:val="000339A6"/>
    <w:rsid w:val="0004355F"/>
    <w:rsid w:val="0005307C"/>
    <w:rsid w:val="00063F9C"/>
    <w:rsid w:val="00067E8C"/>
    <w:rsid w:val="000766DD"/>
    <w:rsid w:val="000B154C"/>
    <w:rsid w:val="000B53A5"/>
    <w:rsid w:val="000E12C5"/>
    <w:rsid w:val="000E6CAD"/>
    <w:rsid w:val="000F0F0D"/>
    <w:rsid w:val="001004CC"/>
    <w:rsid w:val="00110939"/>
    <w:rsid w:val="0011198A"/>
    <w:rsid w:val="001433A6"/>
    <w:rsid w:val="00167678"/>
    <w:rsid w:val="00193A2D"/>
    <w:rsid w:val="001A4905"/>
    <w:rsid w:val="001C5706"/>
    <w:rsid w:val="001D520E"/>
    <w:rsid w:val="001E2931"/>
    <w:rsid w:val="001F1C2D"/>
    <w:rsid w:val="00202C3B"/>
    <w:rsid w:val="002050EA"/>
    <w:rsid w:val="002052A6"/>
    <w:rsid w:val="00205B3C"/>
    <w:rsid w:val="00220E61"/>
    <w:rsid w:val="00230D4B"/>
    <w:rsid w:val="002449E7"/>
    <w:rsid w:val="00251BE5"/>
    <w:rsid w:val="00260128"/>
    <w:rsid w:val="00270AFD"/>
    <w:rsid w:val="00271ED5"/>
    <w:rsid w:val="002734F9"/>
    <w:rsid w:val="0027447C"/>
    <w:rsid w:val="00285D9C"/>
    <w:rsid w:val="00293F29"/>
    <w:rsid w:val="002A6D35"/>
    <w:rsid w:val="002A7BB4"/>
    <w:rsid w:val="002B7FE9"/>
    <w:rsid w:val="002C6ED9"/>
    <w:rsid w:val="002D0586"/>
    <w:rsid w:val="002D2BC7"/>
    <w:rsid w:val="002E2054"/>
    <w:rsid w:val="00306582"/>
    <w:rsid w:val="00315804"/>
    <w:rsid w:val="003216E1"/>
    <w:rsid w:val="00331795"/>
    <w:rsid w:val="003362FD"/>
    <w:rsid w:val="00336919"/>
    <w:rsid w:val="003812A2"/>
    <w:rsid w:val="0038139D"/>
    <w:rsid w:val="003A2267"/>
    <w:rsid w:val="003A7092"/>
    <w:rsid w:val="003B0D84"/>
    <w:rsid w:val="003B18B6"/>
    <w:rsid w:val="003C625A"/>
    <w:rsid w:val="003D144F"/>
    <w:rsid w:val="003E7F96"/>
    <w:rsid w:val="003F4903"/>
    <w:rsid w:val="003F5B24"/>
    <w:rsid w:val="00402D97"/>
    <w:rsid w:val="00410027"/>
    <w:rsid w:val="00411161"/>
    <w:rsid w:val="004303FF"/>
    <w:rsid w:val="00446B28"/>
    <w:rsid w:val="004502C1"/>
    <w:rsid w:val="00455641"/>
    <w:rsid w:val="00456886"/>
    <w:rsid w:val="004573B7"/>
    <w:rsid w:val="00462226"/>
    <w:rsid w:val="004716AD"/>
    <w:rsid w:val="00476DB7"/>
    <w:rsid w:val="004B7CBC"/>
    <w:rsid w:val="004C4140"/>
    <w:rsid w:val="004E6F8A"/>
    <w:rsid w:val="00511959"/>
    <w:rsid w:val="00512DB3"/>
    <w:rsid w:val="00515734"/>
    <w:rsid w:val="00525715"/>
    <w:rsid w:val="00540E7E"/>
    <w:rsid w:val="00551717"/>
    <w:rsid w:val="00575437"/>
    <w:rsid w:val="005A44BD"/>
    <w:rsid w:val="005B4070"/>
    <w:rsid w:val="005B6712"/>
    <w:rsid w:val="005C12EF"/>
    <w:rsid w:val="005C4893"/>
    <w:rsid w:val="005D2623"/>
    <w:rsid w:val="005F6F40"/>
    <w:rsid w:val="00604AA2"/>
    <w:rsid w:val="00621F1D"/>
    <w:rsid w:val="00624044"/>
    <w:rsid w:val="00640846"/>
    <w:rsid w:val="0064539C"/>
    <w:rsid w:val="00662FC6"/>
    <w:rsid w:val="006639AA"/>
    <w:rsid w:val="00666664"/>
    <w:rsid w:val="006711D0"/>
    <w:rsid w:val="006B57C1"/>
    <w:rsid w:val="006C3C69"/>
    <w:rsid w:val="006D2EAE"/>
    <w:rsid w:val="006E3F98"/>
    <w:rsid w:val="006F78FB"/>
    <w:rsid w:val="0070095B"/>
    <w:rsid w:val="00700A30"/>
    <w:rsid w:val="007167E7"/>
    <w:rsid w:val="00721E5F"/>
    <w:rsid w:val="00724961"/>
    <w:rsid w:val="00725B71"/>
    <w:rsid w:val="007262A4"/>
    <w:rsid w:val="00734A54"/>
    <w:rsid w:val="00741875"/>
    <w:rsid w:val="0074641C"/>
    <w:rsid w:val="007502D6"/>
    <w:rsid w:val="00791658"/>
    <w:rsid w:val="007C1796"/>
    <w:rsid w:val="007D1968"/>
    <w:rsid w:val="007D19C5"/>
    <w:rsid w:val="007D64A3"/>
    <w:rsid w:val="007E67F5"/>
    <w:rsid w:val="00815D9B"/>
    <w:rsid w:val="008206A1"/>
    <w:rsid w:val="0082496D"/>
    <w:rsid w:val="00830E98"/>
    <w:rsid w:val="0084201B"/>
    <w:rsid w:val="008570D4"/>
    <w:rsid w:val="00872A59"/>
    <w:rsid w:val="00881925"/>
    <w:rsid w:val="00883452"/>
    <w:rsid w:val="0089441C"/>
    <w:rsid w:val="008B5145"/>
    <w:rsid w:val="008C1689"/>
    <w:rsid w:val="008C3888"/>
    <w:rsid w:val="008D59BE"/>
    <w:rsid w:val="00933881"/>
    <w:rsid w:val="009464F3"/>
    <w:rsid w:val="00952E68"/>
    <w:rsid w:val="00965A5D"/>
    <w:rsid w:val="009774AF"/>
    <w:rsid w:val="009815A3"/>
    <w:rsid w:val="00987806"/>
    <w:rsid w:val="00997304"/>
    <w:rsid w:val="009C3B00"/>
    <w:rsid w:val="009D7AA4"/>
    <w:rsid w:val="00A45254"/>
    <w:rsid w:val="00A62104"/>
    <w:rsid w:val="00A7787F"/>
    <w:rsid w:val="00A80814"/>
    <w:rsid w:val="00A927F3"/>
    <w:rsid w:val="00AB33B4"/>
    <w:rsid w:val="00AB67E8"/>
    <w:rsid w:val="00AC595A"/>
    <w:rsid w:val="00AD0AB2"/>
    <w:rsid w:val="00AE2CCA"/>
    <w:rsid w:val="00B240F9"/>
    <w:rsid w:val="00B411A3"/>
    <w:rsid w:val="00B4522D"/>
    <w:rsid w:val="00B52D9C"/>
    <w:rsid w:val="00B52E04"/>
    <w:rsid w:val="00B5603F"/>
    <w:rsid w:val="00B57DC5"/>
    <w:rsid w:val="00B66A0B"/>
    <w:rsid w:val="00B701E9"/>
    <w:rsid w:val="00B77274"/>
    <w:rsid w:val="00B81939"/>
    <w:rsid w:val="00B85458"/>
    <w:rsid w:val="00B86AD9"/>
    <w:rsid w:val="00B90A83"/>
    <w:rsid w:val="00B9400F"/>
    <w:rsid w:val="00BA2AE9"/>
    <w:rsid w:val="00BC4434"/>
    <w:rsid w:val="00BE4901"/>
    <w:rsid w:val="00BF6232"/>
    <w:rsid w:val="00BF77CE"/>
    <w:rsid w:val="00C400B2"/>
    <w:rsid w:val="00C66C19"/>
    <w:rsid w:val="00C95F95"/>
    <w:rsid w:val="00CA4ACA"/>
    <w:rsid w:val="00CB63BA"/>
    <w:rsid w:val="00CC02B0"/>
    <w:rsid w:val="00CC4AAF"/>
    <w:rsid w:val="00CC60B6"/>
    <w:rsid w:val="00CE51AB"/>
    <w:rsid w:val="00D142FA"/>
    <w:rsid w:val="00D37993"/>
    <w:rsid w:val="00D42A4D"/>
    <w:rsid w:val="00D466F3"/>
    <w:rsid w:val="00D478D8"/>
    <w:rsid w:val="00D60F06"/>
    <w:rsid w:val="00D67539"/>
    <w:rsid w:val="00D72607"/>
    <w:rsid w:val="00D74A44"/>
    <w:rsid w:val="00D95770"/>
    <w:rsid w:val="00D97271"/>
    <w:rsid w:val="00DA4B65"/>
    <w:rsid w:val="00DA6399"/>
    <w:rsid w:val="00DA6F85"/>
    <w:rsid w:val="00DB67B8"/>
    <w:rsid w:val="00DC38AB"/>
    <w:rsid w:val="00DC684C"/>
    <w:rsid w:val="00DC6EFF"/>
    <w:rsid w:val="00DF3DA8"/>
    <w:rsid w:val="00E00C60"/>
    <w:rsid w:val="00E2102A"/>
    <w:rsid w:val="00E3259C"/>
    <w:rsid w:val="00E344C1"/>
    <w:rsid w:val="00E40A56"/>
    <w:rsid w:val="00E45EA8"/>
    <w:rsid w:val="00E5603E"/>
    <w:rsid w:val="00E633FE"/>
    <w:rsid w:val="00E67A62"/>
    <w:rsid w:val="00E8689F"/>
    <w:rsid w:val="00EA5356"/>
    <w:rsid w:val="00EB07BE"/>
    <w:rsid w:val="00EC0EE5"/>
    <w:rsid w:val="00EC64BC"/>
    <w:rsid w:val="00EC67AE"/>
    <w:rsid w:val="00ED197E"/>
    <w:rsid w:val="00EE5493"/>
    <w:rsid w:val="00EF5B1B"/>
    <w:rsid w:val="00F13313"/>
    <w:rsid w:val="00F62508"/>
    <w:rsid w:val="00F67FC2"/>
    <w:rsid w:val="00F716D9"/>
    <w:rsid w:val="00FA0AE8"/>
    <w:rsid w:val="00FB4806"/>
    <w:rsid w:val="00FD3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6A45"/>
  <w15:chartTrackingRefBased/>
  <w15:docId w15:val="{DEB6C2FD-B379-46EB-809B-0686FE9E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1E9"/>
    <w:pPr>
      <w:ind w:left="720"/>
      <w:contextualSpacing/>
    </w:pPr>
  </w:style>
  <w:style w:type="paragraph" w:customStyle="1" w:styleId="ACMABodyText">
    <w:name w:val="ACMA Body Text"/>
    <w:rsid w:val="00AC595A"/>
    <w:pPr>
      <w:suppressAutoHyphens/>
      <w:spacing w:before="80" w:after="120" w:line="280" w:lineRule="atLeast"/>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662FC6"/>
    <w:rPr>
      <w:color w:val="0563C1" w:themeColor="hyperlink"/>
      <w:u w:val="single"/>
    </w:rPr>
  </w:style>
  <w:style w:type="paragraph" w:styleId="FootnoteText">
    <w:name w:val="footnote text"/>
    <w:aliases w:val="ACMA Footnote Text"/>
    <w:basedOn w:val="Normal"/>
    <w:link w:val="FootnoteTextChar"/>
    <w:unhideWhenUsed/>
    <w:rsid w:val="0084201B"/>
    <w:pPr>
      <w:spacing w:after="0" w:line="240" w:lineRule="auto"/>
    </w:pPr>
    <w:rPr>
      <w:sz w:val="20"/>
      <w:szCs w:val="20"/>
    </w:rPr>
  </w:style>
  <w:style w:type="character" w:customStyle="1" w:styleId="FootnoteTextChar">
    <w:name w:val="Footnote Text Char"/>
    <w:aliases w:val="ACMA Footnote Text Char"/>
    <w:basedOn w:val="DefaultParagraphFont"/>
    <w:link w:val="FootnoteText"/>
    <w:rsid w:val="0084201B"/>
    <w:rPr>
      <w:sz w:val="20"/>
      <w:szCs w:val="20"/>
    </w:rPr>
  </w:style>
  <w:style w:type="character" w:styleId="FootnoteReference">
    <w:name w:val="footnote reference"/>
    <w:basedOn w:val="DefaultParagraphFont"/>
    <w:semiHidden/>
    <w:rsid w:val="0084201B"/>
    <w:rPr>
      <w:vertAlign w:val="superscript"/>
    </w:rPr>
  </w:style>
  <w:style w:type="character" w:styleId="CommentReference">
    <w:name w:val="annotation reference"/>
    <w:basedOn w:val="DefaultParagraphFont"/>
    <w:semiHidden/>
    <w:unhideWhenUsed/>
    <w:rsid w:val="002D0586"/>
    <w:rPr>
      <w:sz w:val="16"/>
      <w:szCs w:val="16"/>
    </w:rPr>
  </w:style>
  <w:style w:type="paragraph" w:styleId="CommentText">
    <w:name w:val="annotation text"/>
    <w:basedOn w:val="Normal"/>
    <w:link w:val="CommentTextChar"/>
    <w:semiHidden/>
    <w:unhideWhenUsed/>
    <w:rsid w:val="002D0586"/>
    <w:pPr>
      <w:spacing w:line="240" w:lineRule="auto"/>
    </w:pPr>
    <w:rPr>
      <w:sz w:val="20"/>
      <w:szCs w:val="20"/>
    </w:rPr>
  </w:style>
  <w:style w:type="character" w:customStyle="1" w:styleId="CommentTextChar">
    <w:name w:val="Comment Text Char"/>
    <w:basedOn w:val="DefaultParagraphFont"/>
    <w:link w:val="CommentText"/>
    <w:semiHidden/>
    <w:rsid w:val="002D0586"/>
    <w:rPr>
      <w:sz w:val="20"/>
      <w:szCs w:val="20"/>
    </w:rPr>
  </w:style>
  <w:style w:type="paragraph" w:styleId="CommentSubject">
    <w:name w:val="annotation subject"/>
    <w:basedOn w:val="CommentText"/>
    <w:next w:val="CommentText"/>
    <w:link w:val="CommentSubjectChar"/>
    <w:uiPriority w:val="99"/>
    <w:semiHidden/>
    <w:unhideWhenUsed/>
    <w:rsid w:val="002D0586"/>
    <w:rPr>
      <w:b/>
      <w:bCs/>
    </w:rPr>
  </w:style>
  <w:style w:type="character" w:customStyle="1" w:styleId="CommentSubjectChar">
    <w:name w:val="Comment Subject Char"/>
    <w:basedOn w:val="CommentTextChar"/>
    <w:link w:val="CommentSubject"/>
    <w:uiPriority w:val="99"/>
    <w:semiHidden/>
    <w:rsid w:val="002D0586"/>
    <w:rPr>
      <w:b/>
      <w:bCs/>
      <w:sz w:val="20"/>
      <w:szCs w:val="20"/>
    </w:rPr>
  </w:style>
  <w:style w:type="paragraph" w:styleId="BalloonText">
    <w:name w:val="Balloon Text"/>
    <w:basedOn w:val="Normal"/>
    <w:link w:val="BalloonTextChar"/>
    <w:uiPriority w:val="99"/>
    <w:semiHidden/>
    <w:unhideWhenUsed/>
    <w:rsid w:val="002D0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586"/>
    <w:rPr>
      <w:rFonts w:ascii="Segoe UI" w:hAnsi="Segoe UI" w:cs="Segoe UI"/>
      <w:sz w:val="18"/>
      <w:szCs w:val="18"/>
    </w:rPr>
  </w:style>
  <w:style w:type="paragraph" w:styleId="ListBullet">
    <w:name w:val="List Bullet"/>
    <w:basedOn w:val="Normal"/>
    <w:qFormat/>
    <w:rsid w:val="00B4522D"/>
    <w:pPr>
      <w:numPr>
        <w:numId w:val="18"/>
      </w:numPr>
      <w:spacing w:after="80" w:line="240" w:lineRule="atLeast"/>
    </w:pPr>
    <w:rPr>
      <w:rFonts w:ascii="Arial" w:eastAsia="Times New Roman" w:hAnsi="Arial" w:cs="Times New Roman"/>
      <w:sz w:val="20"/>
      <w:szCs w:val="24"/>
      <w:lang w:eastAsia="en-AU"/>
    </w:rPr>
  </w:style>
  <w:style w:type="paragraph" w:customStyle="1" w:styleId="ListBulletLast">
    <w:name w:val="List Bullet Last"/>
    <w:basedOn w:val="ListBullet"/>
    <w:qFormat/>
    <w:rsid w:val="00B4522D"/>
    <w:pPr>
      <w:spacing w:after="240"/>
    </w:pPr>
    <w:rPr>
      <w:rFonts w:cs="Arial"/>
    </w:rPr>
  </w:style>
  <w:style w:type="paragraph" w:styleId="BodyText">
    <w:name w:val="Body Text"/>
    <w:basedOn w:val="Normal"/>
    <w:link w:val="BodyTextChar"/>
    <w:rsid w:val="00700A30"/>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700A30"/>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7418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4370">
      <w:bodyDiv w:val="1"/>
      <w:marLeft w:val="0"/>
      <w:marRight w:val="0"/>
      <w:marTop w:val="0"/>
      <w:marBottom w:val="0"/>
      <w:divBdr>
        <w:top w:val="none" w:sz="0" w:space="0" w:color="auto"/>
        <w:left w:val="none" w:sz="0" w:space="0" w:color="auto"/>
        <w:bottom w:val="none" w:sz="0" w:space="0" w:color="auto"/>
        <w:right w:val="none" w:sz="0" w:space="0" w:color="auto"/>
      </w:divBdr>
      <w:divsChild>
        <w:div w:id="1786074712">
          <w:marLeft w:val="0"/>
          <w:marRight w:val="0"/>
          <w:marTop w:val="0"/>
          <w:marBottom w:val="0"/>
          <w:divBdr>
            <w:top w:val="none" w:sz="0" w:space="0" w:color="auto"/>
            <w:left w:val="none" w:sz="0" w:space="0" w:color="auto"/>
            <w:bottom w:val="none" w:sz="0" w:space="0" w:color="auto"/>
            <w:right w:val="none" w:sz="0" w:space="0" w:color="auto"/>
          </w:divBdr>
          <w:divsChild>
            <w:div w:id="1272131533">
              <w:marLeft w:val="0"/>
              <w:marRight w:val="0"/>
              <w:marTop w:val="0"/>
              <w:marBottom w:val="0"/>
              <w:divBdr>
                <w:top w:val="none" w:sz="0" w:space="0" w:color="auto"/>
                <w:left w:val="none" w:sz="0" w:space="0" w:color="auto"/>
                <w:bottom w:val="none" w:sz="0" w:space="0" w:color="auto"/>
                <w:right w:val="none" w:sz="0" w:space="0" w:color="auto"/>
              </w:divBdr>
              <w:divsChild>
                <w:div w:id="373039261">
                  <w:marLeft w:val="0"/>
                  <w:marRight w:val="0"/>
                  <w:marTop w:val="0"/>
                  <w:marBottom w:val="0"/>
                  <w:divBdr>
                    <w:top w:val="none" w:sz="0" w:space="0" w:color="auto"/>
                    <w:left w:val="none" w:sz="0" w:space="0" w:color="auto"/>
                    <w:bottom w:val="none" w:sz="0" w:space="0" w:color="auto"/>
                    <w:right w:val="none" w:sz="0" w:space="0" w:color="auto"/>
                  </w:divBdr>
                  <w:divsChild>
                    <w:div w:id="130363880">
                      <w:marLeft w:val="0"/>
                      <w:marRight w:val="0"/>
                      <w:marTop w:val="0"/>
                      <w:marBottom w:val="0"/>
                      <w:divBdr>
                        <w:top w:val="none" w:sz="0" w:space="0" w:color="auto"/>
                        <w:left w:val="none" w:sz="0" w:space="0" w:color="auto"/>
                        <w:bottom w:val="none" w:sz="0" w:space="0" w:color="auto"/>
                        <w:right w:val="none" w:sz="0" w:space="0" w:color="auto"/>
                      </w:divBdr>
                      <w:divsChild>
                        <w:div w:id="1252423715">
                          <w:marLeft w:val="0"/>
                          <w:marRight w:val="0"/>
                          <w:marTop w:val="0"/>
                          <w:marBottom w:val="0"/>
                          <w:divBdr>
                            <w:top w:val="single" w:sz="6" w:space="0" w:color="828282"/>
                            <w:left w:val="single" w:sz="6" w:space="0" w:color="828282"/>
                            <w:bottom w:val="single" w:sz="6" w:space="0" w:color="828282"/>
                            <w:right w:val="single" w:sz="6" w:space="0" w:color="828282"/>
                          </w:divBdr>
                          <w:divsChild>
                            <w:div w:id="1389036172">
                              <w:marLeft w:val="0"/>
                              <w:marRight w:val="0"/>
                              <w:marTop w:val="0"/>
                              <w:marBottom w:val="0"/>
                              <w:divBdr>
                                <w:top w:val="none" w:sz="0" w:space="0" w:color="auto"/>
                                <w:left w:val="none" w:sz="0" w:space="0" w:color="auto"/>
                                <w:bottom w:val="none" w:sz="0" w:space="0" w:color="auto"/>
                                <w:right w:val="none" w:sz="0" w:space="0" w:color="auto"/>
                              </w:divBdr>
                              <w:divsChild>
                                <w:div w:id="1844666440">
                                  <w:marLeft w:val="0"/>
                                  <w:marRight w:val="0"/>
                                  <w:marTop w:val="0"/>
                                  <w:marBottom w:val="0"/>
                                  <w:divBdr>
                                    <w:top w:val="none" w:sz="0" w:space="0" w:color="auto"/>
                                    <w:left w:val="none" w:sz="0" w:space="0" w:color="auto"/>
                                    <w:bottom w:val="none" w:sz="0" w:space="0" w:color="auto"/>
                                    <w:right w:val="none" w:sz="0" w:space="0" w:color="auto"/>
                                  </w:divBdr>
                                  <w:divsChild>
                                    <w:div w:id="1197425514">
                                      <w:marLeft w:val="0"/>
                                      <w:marRight w:val="0"/>
                                      <w:marTop w:val="0"/>
                                      <w:marBottom w:val="0"/>
                                      <w:divBdr>
                                        <w:top w:val="none" w:sz="0" w:space="0" w:color="auto"/>
                                        <w:left w:val="none" w:sz="0" w:space="0" w:color="auto"/>
                                        <w:bottom w:val="none" w:sz="0" w:space="0" w:color="auto"/>
                                        <w:right w:val="none" w:sz="0" w:space="0" w:color="auto"/>
                                      </w:divBdr>
                                      <w:divsChild>
                                        <w:div w:id="1839072842">
                                          <w:marLeft w:val="0"/>
                                          <w:marRight w:val="0"/>
                                          <w:marTop w:val="0"/>
                                          <w:marBottom w:val="0"/>
                                          <w:divBdr>
                                            <w:top w:val="none" w:sz="0" w:space="0" w:color="auto"/>
                                            <w:left w:val="none" w:sz="0" w:space="0" w:color="auto"/>
                                            <w:bottom w:val="none" w:sz="0" w:space="0" w:color="auto"/>
                                            <w:right w:val="none" w:sz="0" w:space="0" w:color="auto"/>
                                          </w:divBdr>
                                          <w:divsChild>
                                            <w:div w:id="1357845788">
                                              <w:marLeft w:val="0"/>
                                              <w:marRight w:val="0"/>
                                              <w:marTop w:val="0"/>
                                              <w:marBottom w:val="0"/>
                                              <w:divBdr>
                                                <w:top w:val="none" w:sz="0" w:space="0" w:color="auto"/>
                                                <w:left w:val="none" w:sz="0" w:space="0" w:color="auto"/>
                                                <w:bottom w:val="none" w:sz="0" w:space="0" w:color="auto"/>
                                                <w:right w:val="none" w:sz="0" w:space="0" w:color="auto"/>
                                              </w:divBdr>
                                              <w:divsChild>
                                                <w:div w:id="11346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799895">
      <w:bodyDiv w:val="1"/>
      <w:marLeft w:val="0"/>
      <w:marRight w:val="0"/>
      <w:marTop w:val="0"/>
      <w:marBottom w:val="0"/>
      <w:divBdr>
        <w:top w:val="none" w:sz="0" w:space="0" w:color="auto"/>
        <w:left w:val="none" w:sz="0" w:space="0" w:color="auto"/>
        <w:bottom w:val="none" w:sz="0" w:space="0" w:color="auto"/>
        <w:right w:val="none" w:sz="0" w:space="0" w:color="auto"/>
      </w:divBdr>
      <w:divsChild>
        <w:div w:id="1394350783">
          <w:marLeft w:val="0"/>
          <w:marRight w:val="0"/>
          <w:marTop w:val="0"/>
          <w:marBottom w:val="0"/>
          <w:divBdr>
            <w:top w:val="none" w:sz="0" w:space="0" w:color="auto"/>
            <w:left w:val="none" w:sz="0" w:space="0" w:color="auto"/>
            <w:bottom w:val="none" w:sz="0" w:space="0" w:color="auto"/>
            <w:right w:val="none" w:sz="0" w:space="0" w:color="auto"/>
          </w:divBdr>
          <w:divsChild>
            <w:div w:id="1855455608">
              <w:marLeft w:val="0"/>
              <w:marRight w:val="0"/>
              <w:marTop w:val="0"/>
              <w:marBottom w:val="0"/>
              <w:divBdr>
                <w:top w:val="none" w:sz="0" w:space="0" w:color="auto"/>
                <w:left w:val="none" w:sz="0" w:space="0" w:color="auto"/>
                <w:bottom w:val="none" w:sz="0" w:space="0" w:color="auto"/>
                <w:right w:val="none" w:sz="0" w:space="0" w:color="auto"/>
              </w:divBdr>
              <w:divsChild>
                <w:div w:id="1639609251">
                  <w:marLeft w:val="0"/>
                  <w:marRight w:val="0"/>
                  <w:marTop w:val="0"/>
                  <w:marBottom w:val="0"/>
                  <w:divBdr>
                    <w:top w:val="none" w:sz="0" w:space="0" w:color="auto"/>
                    <w:left w:val="none" w:sz="0" w:space="0" w:color="auto"/>
                    <w:bottom w:val="none" w:sz="0" w:space="0" w:color="auto"/>
                    <w:right w:val="none" w:sz="0" w:space="0" w:color="auto"/>
                  </w:divBdr>
                  <w:divsChild>
                    <w:div w:id="17435688">
                      <w:marLeft w:val="0"/>
                      <w:marRight w:val="0"/>
                      <w:marTop w:val="0"/>
                      <w:marBottom w:val="0"/>
                      <w:divBdr>
                        <w:top w:val="none" w:sz="0" w:space="0" w:color="auto"/>
                        <w:left w:val="none" w:sz="0" w:space="0" w:color="auto"/>
                        <w:bottom w:val="none" w:sz="0" w:space="0" w:color="auto"/>
                        <w:right w:val="none" w:sz="0" w:space="0" w:color="auto"/>
                      </w:divBdr>
                      <w:divsChild>
                        <w:div w:id="532423032">
                          <w:marLeft w:val="0"/>
                          <w:marRight w:val="0"/>
                          <w:marTop w:val="0"/>
                          <w:marBottom w:val="0"/>
                          <w:divBdr>
                            <w:top w:val="single" w:sz="6" w:space="0" w:color="828282"/>
                            <w:left w:val="single" w:sz="6" w:space="0" w:color="828282"/>
                            <w:bottom w:val="single" w:sz="6" w:space="0" w:color="828282"/>
                            <w:right w:val="single" w:sz="6" w:space="0" w:color="828282"/>
                          </w:divBdr>
                          <w:divsChild>
                            <w:div w:id="1170487004">
                              <w:marLeft w:val="0"/>
                              <w:marRight w:val="0"/>
                              <w:marTop w:val="0"/>
                              <w:marBottom w:val="0"/>
                              <w:divBdr>
                                <w:top w:val="none" w:sz="0" w:space="0" w:color="auto"/>
                                <w:left w:val="none" w:sz="0" w:space="0" w:color="auto"/>
                                <w:bottom w:val="none" w:sz="0" w:space="0" w:color="auto"/>
                                <w:right w:val="none" w:sz="0" w:space="0" w:color="auto"/>
                              </w:divBdr>
                              <w:divsChild>
                                <w:div w:id="839003711">
                                  <w:marLeft w:val="0"/>
                                  <w:marRight w:val="0"/>
                                  <w:marTop w:val="0"/>
                                  <w:marBottom w:val="0"/>
                                  <w:divBdr>
                                    <w:top w:val="none" w:sz="0" w:space="0" w:color="auto"/>
                                    <w:left w:val="none" w:sz="0" w:space="0" w:color="auto"/>
                                    <w:bottom w:val="none" w:sz="0" w:space="0" w:color="auto"/>
                                    <w:right w:val="none" w:sz="0" w:space="0" w:color="auto"/>
                                  </w:divBdr>
                                  <w:divsChild>
                                    <w:div w:id="660544330">
                                      <w:marLeft w:val="0"/>
                                      <w:marRight w:val="0"/>
                                      <w:marTop w:val="0"/>
                                      <w:marBottom w:val="0"/>
                                      <w:divBdr>
                                        <w:top w:val="none" w:sz="0" w:space="0" w:color="auto"/>
                                        <w:left w:val="none" w:sz="0" w:space="0" w:color="auto"/>
                                        <w:bottom w:val="none" w:sz="0" w:space="0" w:color="auto"/>
                                        <w:right w:val="none" w:sz="0" w:space="0" w:color="auto"/>
                                      </w:divBdr>
                                      <w:divsChild>
                                        <w:div w:id="579023523">
                                          <w:marLeft w:val="0"/>
                                          <w:marRight w:val="0"/>
                                          <w:marTop w:val="0"/>
                                          <w:marBottom w:val="0"/>
                                          <w:divBdr>
                                            <w:top w:val="none" w:sz="0" w:space="0" w:color="auto"/>
                                            <w:left w:val="none" w:sz="0" w:space="0" w:color="auto"/>
                                            <w:bottom w:val="none" w:sz="0" w:space="0" w:color="auto"/>
                                            <w:right w:val="none" w:sz="0" w:space="0" w:color="auto"/>
                                          </w:divBdr>
                                          <w:divsChild>
                                            <w:div w:id="1366636412">
                                              <w:marLeft w:val="0"/>
                                              <w:marRight w:val="0"/>
                                              <w:marTop w:val="0"/>
                                              <w:marBottom w:val="0"/>
                                              <w:divBdr>
                                                <w:top w:val="none" w:sz="0" w:space="0" w:color="auto"/>
                                                <w:left w:val="none" w:sz="0" w:space="0" w:color="auto"/>
                                                <w:bottom w:val="none" w:sz="0" w:space="0" w:color="auto"/>
                                                <w:right w:val="none" w:sz="0" w:space="0" w:color="auto"/>
                                              </w:divBdr>
                                              <w:divsChild>
                                                <w:div w:id="7372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490501">
      <w:bodyDiv w:val="1"/>
      <w:marLeft w:val="0"/>
      <w:marRight w:val="0"/>
      <w:marTop w:val="0"/>
      <w:marBottom w:val="0"/>
      <w:divBdr>
        <w:top w:val="none" w:sz="0" w:space="0" w:color="auto"/>
        <w:left w:val="none" w:sz="0" w:space="0" w:color="auto"/>
        <w:bottom w:val="none" w:sz="0" w:space="0" w:color="auto"/>
        <w:right w:val="none" w:sz="0" w:space="0" w:color="auto"/>
      </w:divBdr>
      <w:divsChild>
        <w:div w:id="1641956315">
          <w:marLeft w:val="0"/>
          <w:marRight w:val="0"/>
          <w:marTop w:val="0"/>
          <w:marBottom w:val="0"/>
          <w:divBdr>
            <w:top w:val="none" w:sz="0" w:space="0" w:color="auto"/>
            <w:left w:val="none" w:sz="0" w:space="0" w:color="auto"/>
            <w:bottom w:val="none" w:sz="0" w:space="0" w:color="auto"/>
            <w:right w:val="none" w:sz="0" w:space="0" w:color="auto"/>
          </w:divBdr>
          <w:divsChild>
            <w:div w:id="1224366155">
              <w:marLeft w:val="0"/>
              <w:marRight w:val="0"/>
              <w:marTop w:val="0"/>
              <w:marBottom w:val="0"/>
              <w:divBdr>
                <w:top w:val="none" w:sz="0" w:space="0" w:color="auto"/>
                <w:left w:val="none" w:sz="0" w:space="0" w:color="auto"/>
                <w:bottom w:val="none" w:sz="0" w:space="0" w:color="auto"/>
                <w:right w:val="none" w:sz="0" w:space="0" w:color="auto"/>
              </w:divBdr>
              <w:divsChild>
                <w:div w:id="1777480396">
                  <w:marLeft w:val="0"/>
                  <w:marRight w:val="0"/>
                  <w:marTop w:val="0"/>
                  <w:marBottom w:val="0"/>
                  <w:divBdr>
                    <w:top w:val="none" w:sz="0" w:space="0" w:color="auto"/>
                    <w:left w:val="none" w:sz="0" w:space="0" w:color="auto"/>
                    <w:bottom w:val="none" w:sz="0" w:space="0" w:color="auto"/>
                    <w:right w:val="none" w:sz="0" w:space="0" w:color="auto"/>
                  </w:divBdr>
                  <w:divsChild>
                    <w:div w:id="1226338208">
                      <w:marLeft w:val="0"/>
                      <w:marRight w:val="0"/>
                      <w:marTop w:val="0"/>
                      <w:marBottom w:val="0"/>
                      <w:divBdr>
                        <w:top w:val="none" w:sz="0" w:space="0" w:color="auto"/>
                        <w:left w:val="none" w:sz="0" w:space="0" w:color="auto"/>
                        <w:bottom w:val="none" w:sz="0" w:space="0" w:color="auto"/>
                        <w:right w:val="none" w:sz="0" w:space="0" w:color="auto"/>
                      </w:divBdr>
                      <w:divsChild>
                        <w:div w:id="1162740361">
                          <w:marLeft w:val="0"/>
                          <w:marRight w:val="0"/>
                          <w:marTop w:val="0"/>
                          <w:marBottom w:val="0"/>
                          <w:divBdr>
                            <w:top w:val="single" w:sz="6" w:space="0" w:color="828282"/>
                            <w:left w:val="single" w:sz="6" w:space="0" w:color="828282"/>
                            <w:bottom w:val="single" w:sz="6" w:space="0" w:color="828282"/>
                            <w:right w:val="single" w:sz="6" w:space="0" w:color="828282"/>
                          </w:divBdr>
                          <w:divsChild>
                            <w:div w:id="1909026919">
                              <w:marLeft w:val="0"/>
                              <w:marRight w:val="0"/>
                              <w:marTop w:val="0"/>
                              <w:marBottom w:val="0"/>
                              <w:divBdr>
                                <w:top w:val="none" w:sz="0" w:space="0" w:color="auto"/>
                                <w:left w:val="none" w:sz="0" w:space="0" w:color="auto"/>
                                <w:bottom w:val="none" w:sz="0" w:space="0" w:color="auto"/>
                                <w:right w:val="none" w:sz="0" w:space="0" w:color="auto"/>
                              </w:divBdr>
                              <w:divsChild>
                                <w:div w:id="2101219295">
                                  <w:marLeft w:val="0"/>
                                  <w:marRight w:val="0"/>
                                  <w:marTop w:val="0"/>
                                  <w:marBottom w:val="0"/>
                                  <w:divBdr>
                                    <w:top w:val="none" w:sz="0" w:space="0" w:color="auto"/>
                                    <w:left w:val="none" w:sz="0" w:space="0" w:color="auto"/>
                                    <w:bottom w:val="none" w:sz="0" w:space="0" w:color="auto"/>
                                    <w:right w:val="none" w:sz="0" w:space="0" w:color="auto"/>
                                  </w:divBdr>
                                  <w:divsChild>
                                    <w:div w:id="1220164619">
                                      <w:marLeft w:val="0"/>
                                      <w:marRight w:val="0"/>
                                      <w:marTop w:val="0"/>
                                      <w:marBottom w:val="0"/>
                                      <w:divBdr>
                                        <w:top w:val="none" w:sz="0" w:space="0" w:color="auto"/>
                                        <w:left w:val="none" w:sz="0" w:space="0" w:color="auto"/>
                                        <w:bottom w:val="none" w:sz="0" w:space="0" w:color="auto"/>
                                        <w:right w:val="none" w:sz="0" w:space="0" w:color="auto"/>
                                      </w:divBdr>
                                      <w:divsChild>
                                        <w:div w:id="2004971700">
                                          <w:marLeft w:val="0"/>
                                          <w:marRight w:val="0"/>
                                          <w:marTop w:val="0"/>
                                          <w:marBottom w:val="0"/>
                                          <w:divBdr>
                                            <w:top w:val="none" w:sz="0" w:space="0" w:color="auto"/>
                                            <w:left w:val="none" w:sz="0" w:space="0" w:color="auto"/>
                                            <w:bottom w:val="none" w:sz="0" w:space="0" w:color="auto"/>
                                            <w:right w:val="none" w:sz="0" w:space="0" w:color="auto"/>
                                          </w:divBdr>
                                          <w:divsChild>
                                            <w:div w:id="404498938">
                                              <w:marLeft w:val="0"/>
                                              <w:marRight w:val="0"/>
                                              <w:marTop w:val="0"/>
                                              <w:marBottom w:val="0"/>
                                              <w:divBdr>
                                                <w:top w:val="none" w:sz="0" w:space="0" w:color="auto"/>
                                                <w:left w:val="none" w:sz="0" w:space="0" w:color="auto"/>
                                                <w:bottom w:val="none" w:sz="0" w:space="0" w:color="auto"/>
                                                <w:right w:val="none" w:sz="0" w:space="0" w:color="auto"/>
                                              </w:divBdr>
                                              <w:divsChild>
                                                <w:div w:id="18985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517277">
      <w:bodyDiv w:val="1"/>
      <w:marLeft w:val="0"/>
      <w:marRight w:val="0"/>
      <w:marTop w:val="0"/>
      <w:marBottom w:val="0"/>
      <w:divBdr>
        <w:top w:val="none" w:sz="0" w:space="0" w:color="auto"/>
        <w:left w:val="none" w:sz="0" w:space="0" w:color="auto"/>
        <w:bottom w:val="none" w:sz="0" w:space="0" w:color="auto"/>
        <w:right w:val="none" w:sz="0" w:space="0" w:color="auto"/>
      </w:divBdr>
      <w:divsChild>
        <w:div w:id="746659221">
          <w:marLeft w:val="0"/>
          <w:marRight w:val="0"/>
          <w:marTop w:val="0"/>
          <w:marBottom w:val="0"/>
          <w:divBdr>
            <w:top w:val="none" w:sz="0" w:space="0" w:color="auto"/>
            <w:left w:val="none" w:sz="0" w:space="0" w:color="auto"/>
            <w:bottom w:val="none" w:sz="0" w:space="0" w:color="auto"/>
            <w:right w:val="none" w:sz="0" w:space="0" w:color="auto"/>
          </w:divBdr>
          <w:divsChild>
            <w:div w:id="1349483413">
              <w:marLeft w:val="0"/>
              <w:marRight w:val="0"/>
              <w:marTop w:val="0"/>
              <w:marBottom w:val="0"/>
              <w:divBdr>
                <w:top w:val="none" w:sz="0" w:space="0" w:color="auto"/>
                <w:left w:val="none" w:sz="0" w:space="0" w:color="auto"/>
                <w:bottom w:val="none" w:sz="0" w:space="0" w:color="auto"/>
                <w:right w:val="none" w:sz="0" w:space="0" w:color="auto"/>
              </w:divBdr>
              <w:divsChild>
                <w:div w:id="1892375120">
                  <w:marLeft w:val="0"/>
                  <w:marRight w:val="0"/>
                  <w:marTop w:val="0"/>
                  <w:marBottom w:val="0"/>
                  <w:divBdr>
                    <w:top w:val="none" w:sz="0" w:space="0" w:color="auto"/>
                    <w:left w:val="none" w:sz="0" w:space="0" w:color="auto"/>
                    <w:bottom w:val="none" w:sz="0" w:space="0" w:color="auto"/>
                    <w:right w:val="none" w:sz="0" w:space="0" w:color="auto"/>
                  </w:divBdr>
                  <w:divsChild>
                    <w:div w:id="2001150047">
                      <w:marLeft w:val="0"/>
                      <w:marRight w:val="0"/>
                      <w:marTop w:val="0"/>
                      <w:marBottom w:val="0"/>
                      <w:divBdr>
                        <w:top w:val="none" w:sz="0" w:space="0" w:color="auto"/>
                        <w:left w:val="none" w:sz="0" w:space="0" w:color="auto"/>
                        <w:bottom w:val="none" w:sz="0" w:space="0" w:color="auto"/>
                        <w:right w:val="none" w:sz="0" w:space="0" w:color="auto"/>
                      </w:divBdr>
                      <w:divsChild>
                        <w:div w:id="164129969">
                          <w:marLeft w:val="0"/>
                          <w:marRight w:val="0"/>
                          <w:marTop w:val="0"/>
                          <w:marBottom w:val="0"/>
                          <w:divBdr>
                            <w:top w:val="single" w:sz="6" w:space="0" w:color="828282"/>
                            <w:left w:val="single" w:sz="6" w:space="0" w:color="828282"/>
                            <w:bottom w:val="single" w:sz="6" w:space="0" w:color="828282"/>
                            <w:right w:val="single" w:sz="6" w:space="0" w:color="828282"/>
                          </w:divBdr>
                          <w:divsChild>
                            <w:div w:id="852912966">
                              <w:marLeft w:val="0"/>
                              <w:marRight w:val="0"/>
                              <w:marTop w:val="0"/>
                              <w:marBottom w:val="0"/>
                              <w:divBdr>
                                <w:top w:val="none" w:sz="0" w:space="0" w:color="auto"/>
                                <w:left w:val="none" w:sz="0" w:space="0" w:color="auto"/>
                                <w:bottom w:val="none" w:sz="0" w:space="0" w:color="auto"/>
                                <w:right w:val="none" w:sz="0" w:space="0" w:color="auto"/>
                              </w:divBdr>
                              <w:divsChild>
                                <w:div w:id="1807890143">
                                  <w:marLeft w:val="0"/>
                                  <w:marRight w:val="0"/>
                                  <w:marTop w:val="0"/>
                                  <w:marBottom w:val="0"/>
                                  <w:divBdr>
                                    <w:top w:val="none" w:sz="0" w:space="0" w:color="auto"/>
                                    <w:left w:val="none" w:sz="0" w:space="0" w:color="auto"/>
                                    <w:bottom w:val="none" w:sz="0" w:space="0" w:color="auto"/>
                                    <w:right w:val="none" w:sz="0" w:space="0" w:color="auto"/>
                                  </w:divBdr>
                                  <w:divsChild>
                                    <w:div w:id="1528789605">
                                      <w:marLeft w:val="0"/>
                                      <w:marRight w:val="0"/>
                                      <w:marTop w:val="0"/>
                                      <w:marBottom w:val="0"/>
                                      <w:divBdr>
                                        <w:top w:val="none" w:sz="0" w:space="0" w:color="auto"/>
                                        <w:left w:val="none" w:sz="0" w:space="0" w:color="auto"/>
                                        <w:bottom w:val="none" w:sz="0" w:space="0" w:color="auto"/>
                                        <w:right w:val="none" w:sz="0" w:space="0" w:color="auto"/>
                                      </w:divBdr>
                                      <w:divsChild>
                                        <w:div w:id="2066026543">
                                          <w:marLeft w:val="0"/>
                                          <w:marRight w:val="0"/>
                                          <w:marTop w:val="0"/>
                                          <w:marBottom w:val="0"/>
                                          <w:divBdr>
                                            <w:top w:val="none" w:sz="0" w:space="0" w:color="auto"/>
                                            <w:left w:val="none" w:sz="0" w:space="0" w:color="auto"/>
                                            <w:bottom w:val="none" w:sz="0" w:space="0" w:color="auto"/>
                                            <w:right w:val="none" w:sz="0" w:space="0" w:color="auto"/>
                                          </w:divBdr>
                                          <w:divsChild>
                                            <w:div w:id="532159019">
                                              <w:marLeft w:val="0"/>
                                              <w:marRight w:val="0"/>
                                              <w:marTop w:val="0"/>
                                              <w:marBottom w:val="0"/>
                                              <w:divBdr>
                                                <w:top w:val="none" w:sz="0" w:space="0" w:color="auto"/>
                                                <w:left w:val="none" w:sz="0" w:space="0" w:color="auto"/>
                                                <w:bottom w:val="none" w:sz="0" w:space="0" w:color="auto"/>
                                                <w:right w:val="none" w:sz="0" w:space="0" w:color="auto"/>
                                              </w:divBdr>
                                              <w:divsChild>
                                                <w:div w:id="19786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1314361">
      <w:bodyDiv w:val="1"/>
      <w:marLeft w:val="0"/>
      <w:marRight w:val="0"/>
      <w:marTop w:val="0"/>
      <w:marBottom w:val="0"/>
      <w:divBdr>
        <w:top w:val="none" w:sz="0" w:space="0" w:color="auto"/>
        <w:left w:val="none" w:sz="0" w:space="0" w:color="auto"/>
        <w:bottom w:val="none" w:sz="0" w:space="0" w:color="auto"/>
        <w:right w:val="none" w:sz="0" w:space="0" w:color="auto"/>
      </w:divBdr>
      <w:divsChild>
        <w:div w:id="713623682">
          <w:marLeft w:val="0"/>
          <w:marRight w:val="0"/>
          <w:marTop w:val="0"/>
          <w:marBottom w:val="0"/>
          <w:divBdr>
            <w:top w:val="none" w:sz="0" w:space="0" w:color="auto"/>
            <w:left w:val="none" w:sz="0" w:space="0" w:color="auto"/>
            <w:bottom w:val="none" w:sz="0" w:space="0" w:color="auto"/>
            <w:right w:val="none" w:sz="0" w:space="0" w:color="auto"/>
          </w:divBdr>
          <w:divsChild>
            <w:div w:id="393510578">
              <w:marLeft w:val="0"/>
              <w:marRight w:val="0"/>
              <w:marTop w:val="0"/>
              <w:marBottom w:val="0"/>
              <w:divBdr>
                <w:top w:val="none" w:sz="0" w:space="0" w:color="auto"/>
                <w:left w:val="none" w:sz="0" w:space="0" w:color="auto"/>
                <w:bottom w:val="none" w:sz="0" w:space="0" w:color="auto"/>
                <w:right w:val="none" w:sz="0" w:space="0" w:color="auto"/>
              </w:divBdr>
              <w:divsChild>
                <w:div w:id="936256395">
                  <w:marLeft w:val="0"/>
                  <w:marRight w:val="0"/>
                  <w:marTop w:val="0"/>
                  <w:marBottom w:val="0"/>
                  <w:divBdr>
                    <w:top w:val="none" w:sz="0" w:space="0" w:color="auto"/>
                    <w:left w:val="none" w:sz="0" w:space="0" w:color="auto"/>
                    <w:bottom w:val="none" w:sz="0" w:space="0" w:color="auto"/>
                    <w:right w:val="none" w:sz="0" w:space="0" w:color="auto"/>
                  </w:divBdr>
                  <w:divsChild>
                    <w:div w:id="495805515">
                      <w:marLeft w:val="0"/>
                      <w:marRight w:val="0"/>
                      <w:marTop w:val="0"/>
                      <w:marBottom w:val="0"/>
                      <w:divBdr>
                        <w:top w:val="none" w:sz="0" w:space="0" w:color="auto"/>
                        <w:left w:val="none" w:sz="0" w:space="0" w:color="auto"/>
                        <w:bottom w:val="none" w:sz="0" w:space="0" w:color="auto"/>
                        <w:right w:val="none" w:sz="0" w:space="0" w:color="auto"/>
                      </w:divBdr>
                      <w:divsChild>
                        <w:div w:id="1730495453">
                          <w:marLeft w:val="0"/>
                          <w:marRight w:val="0"/>
                          <w:marTop w:val="0"/>
                          <w:marBottom w:val="0"/>
                          <w:divBdr>
                            <w:top w:val="single" w:sz="6" w:space="0" w:color="828282"/>
                            <w:left w:val="single" w:sz="6" w:space="0" w:color="828282"/>
                            <w:bottom w:val="single" w:sz="6" w:space="0" w:color="828282"/>
                            <w:right w:val="single" w:sz="6" w:space="0" w:color="828282"/>
                          </w:divBdr>
                          <w:divsChild>
                            <w:div w:id="1358774616">
                              <w:marLeft w:val="0"/>
                              <w:marRight w:val="0"/>
                              <w:marTop w:val="0"/>
                              <w:marBottom w:val="0"/>
                              <w:divBdr>
                                <w:top w:val="none" w:sz="0" w:space="0" w:color="auto"/>
                                <w:left w:val="none" w:sz="0" w:space="0" w:color="auto"/>
                                <w:bottom w:val="none" w:sz="0" w:space="0" w:color="auto"/>
                                <w:right w:val="none" w:sz="0" w:space="0" w:color="auto"/>
                              </w:divBdr>
                              <w:divsChild>
                                <w:div w:id="700711154">
                                  <w:marLeft w:val="0"/>
                                  <w:marRight w:val="0"/>
                                  <w:marTop w:val="0"/>
                                  <w:marBottom w:val="0"/>
                                  <w:divBdr>
                                    <w:top w:val="none" w:sz="0" w:space="0" w:color="auto"/>
                                    <w:left w:val="none" w:sz="0" w:space="0" w:color="auto"/>
                                    <w:bottom w:val="none" w:sz="0" w:space="0" w:color="auto"/>
                                    <w:right w:val="none" w:sz="0" w:space="0" w:color="auto"/>
                                  </w:divBdr>
                                  <w:divsChild>
                                    <w:div w:id="686979059">
                                      <w:marLeft w:val="0"/>
                                      <w:marRight w:val="0"/>
                                      <w:marTop w:val="0"/>
                                      <w:marBottom w:val="0"/>
                                      <w:divBdr>
                                        <w:top w:val="none" w:sz="0" w:space="0" w:color="auto"/>
                                        <w:left w:val="none" w:sz="0" w:space="0" w:color="auto"/>
                                        <w:bottom w:val="none" w:sz="0" w:space="0" w:color="auto"/>
                                        <w:right w:val="none" w:sz="0" w:space="0" w:color="auto"/>
                                      </w:divBdr>
                                      <w:divsChild>
                                        <w:div w:id="1683966508">
                                          <w:marLeft w:val="0"/>
                                          <w:marRight w:val="0"/>
                                          <w:marTop w:val="0"/>
                                          <w:marBottom w:val="0"/>
                                          <w:divBdr>
                                            <w:top w:val="none" w:sz="0" w:space="0" w:color="auto"/>
                                            <w:left w:val="none" w:sz="0" w:space="0" w:color="auto"/>
                                            <w:bottom w:val="none" w:sz="0" w:space="0" w:color="auto"/>
                                            <w:right w:val="none" w:sz="0" w:space="0" w:color="auto"/>
                                          </w:divBdr>
                                          <w:divsChild>
                                            <w:div w:id="2099058839">
                                              <w:marLeft w:val="0"/>
                                              <w:marRight w:val="0"/>
                                              <w:marTop w:val="0"/>
                                              <w:marBottom w:val="0"/>
                                              <w:divBdr>
                                                <w:top w:val="none" w:sz="0" w:space="0" w:color="auto"/>
                                                <w:left w:val="none" w:sz="0" w:space="0" w:color="auto"/>
                                                <w:bottom w:val="none" w:sz="0" w:space="0" w:color="auto"/>
                                                <w:right w:val="none" w:sz="0" w:space="0" w:color="auto"/>
                                              </w:divBdr>
                                              <w:divsChild>
                                                <w:div w:id="5564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Details/F2006B001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a.gov.au" TargetMode="External"/><Relationship Id="rId5" Type="http://schemas.openxmlformats.org/officeDocument/2006/relationships/webSettings" Target="webSettings.xml"/><Relationship Id="rId10" Type="http://schemas.openxmlformats.org/officeDocument/2006/relationships/hyperlink" Target="http://www.abs.gov.au" TargetMode="External"/><Relationship Id="rId4" Type="http://schemas.openxmlformats.org/officeDocument/2006/relationships/settings" Target="settings.xml"/><Relationship Id="rId9"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8CE8F-98F1-4CE5-A79A-51F9917F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4022</Words>
  <Characters>22928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Cumming</dc:creator>
  <cp:keywords/>
  <dc:description/>
  <cp:lastModifiedBy>Suzanne Cumming</cp:lastModifiedBy>
  <cp:revision>3</cp:revision>
  <dcterms:created xsi:type="dcterms:W3CDTF">2015-09-11T00:19:00Z</dcterms:created>
  <dcterms:modified xsi:type="dcterms:W3CDTF">2015-09-11T03:18:00Z</dcterms:modified>
</cp:coreProperties>
</file>