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65A3" w14:textId="77777777" w:rsidR="00D1347D" w:rsidRPr="00D360F5" w:rsidRDefault="00834556" w:rsidP="00365E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60F5">
        <w:rPr>
          <w:rFonts w:ascii="Arial" w:hAnsi="Arial" w:cs="Arial"/>
          <w:b/>
          <w:sz w:val="20"/>
          <w:szCs w:val="20"/>
        </w:rPr>
        <w:t>EXPLANATORY STATEMENT</w:t>
      </w:r>
    </w:p>
    <w:p w14:paraId="58501460" w14:textId="77777777" w:rsidR="00D1347D" w:rsidRPr="00D360F5" w:rsidRDefault="00D1347D" w:rsidP="00365EBE">
      <w:pPr>
        <w:jc w:val="center"/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>Issued by the Australian Comm</w:t>
      </w:r>
      <w:r w:rsidR="00834556" w:rsidRPr="00D360F5">
        <w:rPr>
          <w:rFonts w:ascii="Arial" w:hAnsi="Arial" w:cs="Arial"/>
          <w:b/>
          <w:sz w:val="20"/>
          <w:szCs w:val="20"/>
        </w:rPr>
        <w:t>u</w:t>
      </w:r>
      <w:r w:rsidRPr="00D360F5">
        <w:rPr>
          <w:rFonts w:ascii="Arial" w:hAnsi="Arial" w:cs="Arial"/>
          <w:b/>
          <w:sz w:val="20"/>
          <w:szCs w:val="20"/>
        </w:rPr>
        <w:t>nications and Media Authority</w:t>
      </w:r>
    </w:p>
    <w:p w14:paraId="5C1304D5" w14:textId="566B7DFE" w:rsidR="00E57CA1" w:rsidRPr="00D360F5" w:rsidRDefault="00D226C0" w:rsidP="00365EBE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1" w:name="OLE_LINK1"/>
      <w:bookmarkStart w:id="2" w:name="OLE_LINK2"/>
      <w:r w:rsidRPr="00D360F5">
        <w:rPr>
          <w:rFonts w:ascii="Arial" w:hAnsi="Arial" w:cs="Arial"/>
          <w:b/>
          <w:i/>
          <w:sz w:val="20"/>
          <w:szCs w:val="20"/>
        </w:rPr>
        <w:t>Radiocommunications (</w:t>
      </w:r>
      <w:r w:rsidR="001104E9" w:rsidRPr="00D360F5">
        <w:rPr>
          <w:rFonts w:ascii="Arial" w:hAnsi="Arial" w:cs="Arial"/>
          <w:b/>
          <w:i/>
          <w:sz w:val="20"/>
          <w:szCs w:val="20"/>
        </w:rPr>
        <w:t>Radionavigation</w:t>
      </w:r>
      <w:r w:rsidR="00BD376A">
        <w:rPr>
          <w:rFonts w:ascii="Arial" w:hAnsi="Arial" w:cs="Arial"/>
          <w:b/>
          <w:i/>
          <w:sz w:val="20"/>
          <w:szCs w:val="20"/>
        </w:rPr>
        <w:t xml:space="preserve"> - </w:t>
      </w:r>
      <w:r w:rsidR="001104E9" w:rsidRPr="00D360F5">
        <w:rPr>
          <w:rFonts w:ascii="Arial" w:hAnsi="Arial" w:cs="Arial"/>
          <w:b/>
          <w:i/>
          <w:sz w:val="20"/>
          <w:szCs w:val="20"/>
        </w:rPr>
        <w:t>Satellite Service</w:t>
      </w:r>
      <w:r w:rsidRPr="00D360F5">
        <w:rPr>
          <w:rFonts w:ascii="Arial" w:hAnsi="Arial" w:cs="Arial"/>
          <w:b/>
          <w:i/>
          <w:sz w:val="20"/>
          <w:szCs w:val="20"/>
        </w:rPr>
        <w:t xml:space="preserve">) </w:t>
      </w:r>
      <w:r w:rsidR="001104E9" w:rsidRPr="00D360F5">
        <w:rPr>
          <w:rFonts w:ascii="Arial" w:hAnsi="Arial" w:cs="Arial"/>
          <w:b/>
          <w:i/>
          <w:sz w:val="20"/>
          <w:szCs w:val="20"/>
        </w:rPr>
        <w:t>Class Licence</w:t>
      </w:r>
      <w:r w:rsidRPr="00D360F5">
        <w:rPr>
          <w:rFonts w:ascii="Arial" w:hAnsi="Arial" w:cs="Arial"/>
          <w:b/>
          <w:i/>
          <w:sz w:val="20"/>
          <w:szCs w:val="20"/>
        </w:rPr>
        <w:t xml:space="preserve"> 201</w:t>
      </w:r>
      <w:r w:rsidR="001104E9" w:rsidRPr="00D360F5">
        <w:rPr>
          <w:rFonts w:ascii="Arial" w:hAnsi="Arial" w:cs="Arial"/>
          <w:b/>
          <w:i/>
          <w:sz w:val="20"/>
          <w:szCs w:val="20"/>
        </w:rPr>
        <w:t>5</w:t>
      </w:r>
    </w:p>
    <w:p w14:paraId="44FC653C" w14:textId="77777777" w:rsidR="00164A0F" w:rsidRPr="00D360F5" w:rsidRDefault="00834556" w:rsidP="00365EB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360F5">
        <w:rPr>
          <w:rFonts w:ascii="Arial" w:hAnsi="Arial" w:cs="Arial"/>
          <w:b/>
          <w:i/>
          <w:sz w:val="20"/>
          <w:szCs w:val="20"/>
        </w:rPr>
        <w:t>Radiocommunications Act 1992</w:t>
      </w:r>
      <w:bookmarkEnd w:id="1"/>
      <w:bookmarkEnd w:id="2"/>
    </w:p>
    <w:p w14:paraId="0BF5C5D0" w14:textId="21C4886A" w:rsidR="00D1347D" w:rsidRPr="00D360F5" w:rsidRDefault="00D1347D" w:rsidP="00365EBE">
      <w:pPr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>Purpose</w:t>
      </w:r>
      <w:r w:rsidRPr="00D360F5">
        <w:rPr>
          <w:rFonts w:ascii="Arial" w:hAnsi="Arial" w:cs="Arial"/>
          <w:b/>
          <w:sz w:val="20"/>
          <w:szCs w:val="20"/>
        </w:rPr>
        <w:tab/>
      </w:r>
    </w:p>
    <w:p w14:paraId="6EB2841E" w14:textId="779B88A5" w:rsidR="00D1347D" w:rsidRPr="00D360F5" w:rsidRDefault="00733808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>T</w:t>
      </w:r>
      <w:r w:rsidR="00D1347D" w:rsidRPr="00D360F5">
        <w:rPr>
          <w:rFonts w:ascii="Arial" w:hAnsi="Arial" w:cs="Arial"/>
          <w:sz w:val="20"/>
          <w:szCs w:val="20"/>
        </w:rPr>
        <w:t xml:space="preserve">he Australian Communications and Media Authority (the ACMA) </w:t>
      </w:r>
      <w:r w:rsidRPr="00D360F5">
        <w:rPr>
          <w:rFonts w:ascii="Arial" w:hAnsi="Arial" w:cs="Arial"/>
          <w:sz w:val="20"/>
          <w:szCs w:val="20"/>
        </w:rPr>
        <w:t xml:space="preserve">has </w:t>
      </w:r>
      <w:r w:rsidR="00D1347D" w:rsidRPr="00D360F5">
        <w:rPr>
          <w:rFonts w:ascii="Arial" w:hAnsi="Arial" w:cs="Arial"/>
          <w:sz w:val="20"/>
          <w:szCs w:val="20"/>
        </w:rPr>
        <w:t>made the</w:t>
      </w:r>
      <w:r w:rsidR="00E37214" w:rsidRPr="00D360F5">
        <w:rPr>
          <w:rFonts w:ascii="Arial" w:hAnsi="Arial" w:cs="Arial"/>
          <w:sz w:val="20"/>
          <w:szCs w:val="20"/>
        </w:rPr>
        <w:t xml:space="preserve"> </w:t>
      </w:r>
      <w:r w:rsidR="00E37214" w:rsidRPr="00D360F5">
        <w:rPr>
          <w:rFonts w:ascii="Arial" w:hAnsi="Arial" w:cs="Arial"/>
          <w:i/>
          <w:sz w:val="20"/>
          <w:szCs w:val="20"/>
        </w:rPr>
        <w:t xml:space="preserve">Radiocommunications </w:t>
      </w:r>
      <w:r w:rsidR="001104E9" w:rsidRPr="00D360F5">
        <w:rPr>
          <w:rFonts w:ascii="Arial" w:hAnsi="Arial" w:cs="Arial"/>
          <w:i/>
          <w:sz w:val="20"/>
          <w:szCs w:val="20"/>
        </w:rPr>
        <w:t>(Radionavigation-Satellite Service) Class Licence 2015</w:t>
      </w:r>
      <w:r w:rsidR="00E37214" w:rsidRPr="00D360F5">
        <w:rPr>
          <w:rFonts w:ascii="Arial" w:hAnsi="Arial" w:cs="Arial"/>
          <w:b/>
          <w:i/>
          <w:sz w:val="20"/>
          <w:szCs w:val="20"/>
        </w:rPr>
        <w:t xml:space="preserve"> </w:t>
      </w:r>
      <w:r w:rsidR="00E37214" w:rsidRPr="00D360F5">
        <w:rPr>
          <w:rFonts w:ascii="Arial" w:hAnsi="Arial" w:cs="Arial"/>
          <w:sz w:val="20"/>
          <w:szCs w:val="20"/>
        </w:rPr>
        <w:t>(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="00ED4CB5" w:rsidRPr="00D360F5">
        <w:rPr>
          <w:rFonts w:ascii="Arial" w:hAnsi="Arial" w:cs="Arial"/>
          <w:sz w:val="20"/>
          <w:szCs w:val="20"/>
        </w:rPr>
        <w:t>)</w:t>
      </w:r>
      <w:r w:rsidR="00E37214" w:rsidRPr="00D360F5">
        <w:rPr>
          <w:rFonts w:ascii="Arial" w:hAnsi="Arial" w:cs="Arial"/>
          <w:sz w:val="20"/>
          <w:szCs w:val="20"/>
        </w:rPr>
        <w:t xml:space="preserve"> </w:t>
      </w:r>
      <w:r w:rsidR="002A78F0" w:rsidRPr="00D360F5">
        <w:rPr>
          <w:rFonts w:ascii="Arial" w:hAnsi="Arial" w:cs="Arial"/>
          <w:sz w:val="20"/>
          <w:szCs w:val="20"/>
        </w:rPr>
        <w:t xml:space="preserve">to </w:t>
      </w:r>
      <w:r w:rsidR="001104E9" w:rsidRPr="00D360F5">
        <w:rPr>
          <w:rFonts w:ascii="Arial" w:hAnsi="Arial" w:cs="Arial"/>
          <w:sz w:val="20"/>
          <w:szCs w:val="20"/>
        </w:rPr>
        <w:t>maintain regulatory arrangements for the class licensing of radionavigation-satellite service</w:t>
      </w:r>
      <w:r w:rsidR="00921A35" w:rsidRPr="00D360F5">
        <w:rPr>
          <w:rFonts w:ascii="Arial" w:hAnsi="Arial" w:cs="Arial"/>
          <w:sz w:val="20"/>
          <w:szCs w:val="20"/>
        </w:rPr>
        <w:t>s</w:t>
      </w:r>
      <w:r w:rsidR="00057504" w:rsidRPr="00D360F5">
        <w:rPr>
          <w:rFonts w:ascii="Arial" w:hAnsi="Arial" w:cs="Arial"/>
          <w:sz w:val="20"/>
          <w:szCs w:val="20"/>
        </w:rPr>
        <w:t xml:space="preserve"> (RNSS)</w:t>
      </w:r>
      <w:r w:rsidR="00D1347D" w:rsidRPr="00D360F5">
        <w:rPr>
          <w:rFonts w:ascii="Arial" w:hAnsi="Arial" w:cs="Arial"/>
          <w:sz w:val="20"/>
          <w:szCs w:val="20"/>
        </w:rPr>
        <w:t xml:space="preserve">.  </w:t>
      </w:r>
    </w:p>
    <w:p w14:paraId="51835EA5" w14:textId="46952F6E" w:rsidR="00D1347D" w:rsidRPr="00D360F5" w:rsidRDefault="00D1347D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 xml:space="preserve">The ACMA made 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="00CD13D1" w:rsidRPr="00D360F5">
        <w:rPr>
          <w:rFonts w:ascii="Arial" w:hAnsi="Arial" w:cs="Arial"/>
          <w:sz w:val="20"/>
          <w:szCs w:val="20"/>
        </w:rPr>
        <w:t xml:space="preserve"> </w:t>
      </w:r>
      <w:r w:rsidR="001104E9" w:rsidRPr="00D360F5">
        <w:rPr>
          <w:rFonts w:ascii="Arial" w:hAnsi="Arial" w:cs="Arial"/>
          <w:sz w:val="20"/>
          <w:szCs w:val="20"/>
        </w:rPr>
        <w:t xml:space="preserve">following consultation on a proposal to excise the frequencies </w:t>
      </w:r>
      <w:r w:rsidR="00921A35" w:rsidRPr="00D360F5">
        <w:rPr>
          <w:rFonts w:ascii="Arial" w:hAnsi="Arial" w:cs="Arial"/>
          <w:sz w:val="20"/>
          <w:szCs w:val="20"/>
        </w:rPr>
        <w:t xml:space="preserve">used for </w:t>
      </w:r>
      <w:r w:rsidR="00057504" w:rsidRPr="00D360F5">
        <w:rPr>
          <w:rFonts w:ascii="Arial" w:hAnsi="Arial" w:cs="Arial"/>
          <w:sz w:val="20"/>
          <w:szCs w:val="20"/>
        </w:rPr>
        <w:t>RNSS</w:t>
      </w:r>
      <w:r w:rsidR="001104E9" w:rsidRPr="00D360F5">
        <w:rPr>
          <w:rFonts w:ascii="Arial" w:hAnsi="Arial" w:cs="Arial"/>
          <w:sz w:val="20"/>
          <w:szCs w:val="20"/>
        </w:rPr>
        <w:t xml:space="preserve"> from the </w:t>
      </w:r>
      <w:r w:rsidR="001104E9" w:rsidRPr="00D360F5">
        <w:rPr>
          <w:rFonts w:ascii="Arial" w:hAnsi="Arial" w:cs="Arial"/>
          <w:i/>
          <w:sz w:val="20"/>
          <w:szCs w:val="20"/>
        </w:rPr>
        <w:t>Radiocommunications (Communication with Space Object) Class Licence 1998</w:t>
      </w:r>
      <w:r w:rsidRPr="00D360F5">
        <w:rPr>
          <w:rFonts w:ascii="Arial" w:hAnsi="Arial" w:cs="Arial"/>
          <w:sz w:val="20"/>
          <w:szCs w:val="20"/>
        </w:rPr>
        <w:t xml:space="preserve"> </w:t>
      </w:r>
      <w:r w:rsidR="003F1E0B" w:rsidRPr="00D360F5">
        <w:rPr>
          <w:rFonts w:ascii="Arial" w:hAnsi="Arial" w:cs="Arial"/>
          <w:sz w:val="20"/>
          <w:szCs w:val="20"/>
        </w:rPr>
        <w:t>(the space object class licence)</w:t>
      </w:r>
      <w:r w:rsidR="00921A35" w:rsidRPr="00D360F5">
        <w:rPr>
          <w:rFonts w:ascii="Arial" w:hAnsi="Arial" w:cs="Arial"/>
          <w:sz w:val="20"/>
          <w:szCs w:val="20"/>
        </w:rPr>
        <w:t>,</w:t>
      </w:r>
      <w:r w:rsidR="003F1E0B" w:rsidRPr="00D360F5">
        <w:rPr>
          <w:rFonts w:ascii="Arial" w:hAnsi="Arial" w:cs="Arial"/>
          <w:sz w:val="20"/>
          <w:szCs w:val="20"/>
        </w:rPr>
        <w:t xml:space="preserve"> </w:t>
      </w:r>
      <w:r w:rsidRPr="00D360F5">
        <w:rPr>
          <w:rFonts w:ascii="Arial" w:hAnsi="Arial" w:cs="Arial"/>
          <w:sz w:val="20"/>
          <w:szCs w:val="20"/>
        </w:rPr>
        <w:t>due to be aut</w:t>
      </w:r>
      <w:r w:rsidR="0014018A" w:rsidRPr="00D360F5">
        <w:rPr>
          <w:rFonts w:ascii="Arial" w:hAnsi="Arial" w:cs="Arial"/>
          <w:sz w:val="20"/>
          <w:szCs w:val="20"/>
        </w:rPr>
        <w:t>omatically repealed on 1 October</w:t>
      </w:r>
      <w:r w:rsidR="00B04F09" w:rsidRPr="00D360F5">
        <w:rPr>
          <w:rFonts w:ascii="Arial" w:hAnsi="Arial" w:cs="Arial"/>
          <w:sz w:val="20"/>
          <w:szCs w:val="20"/>
        </w:rPr>
        <w:t xml:space="preserve"> </w:t>
      </w:r>
      <w:r w:rsidRPr="00D360F5">
        <w:rPr>
          <w:rFonts w:ascii="Arial" w:hAnsi="Arial" w:cs="Arial"/>
          <w:sz w:val="20"/>
          <w:szCs w:val="20"/>
        </w:rPr>
        <w:t xml:space="preserve">2015, in accordance with Part 6 of the </w:t>
      </w:r>
      <w:r w:rsidRPr="00D360F5">
        <w:rPr>
          <w:rFonts w:ascii="Arial" w:hAnsi="Arial" w:cs="Arial"/>
          <w:i/>
          <w:sz w:val="20"/>
          <w:szCs w:val="20"/>
        </w:rPr>
        <w:t>Legislative Instruments Act 2003</w:t>
      </w:r>
      <w:r w:rsidRPr="00D360F5">
        <w:rPr>
          <w:rFonts w:ascii="Arial" w:hAnsi="Arial" w:cs="Arial"/>
          <w:sz w:val="20"/>
          <w:szCs w:val="20"/>
        </w:rPr>
        <w:t xml:space="preserve"> (the LIA). </w:t>
      </w:r>
      <w:r w:rsidR="00057504" w:rsidRPr="00D360F5">
        <w:rPr>
          <w:rFonts w:ascii="Arial" w:hAnsi="Arial" w:cs="Arial"/>
          <w:sz w:val="20"/>
          <w:szCs w:val="20"/>
        </w:rPr>
        <w:t>Following the consultation, the ACMA decided to remake the space object class licence</w:t>
      </w:r>
      <w:r w:rsidR="003D3628" w:rsidRPr="00D360F5">
        <w:rPr>
          <w:rFonts w:ascii="Arial" w:hAnsi="Arial" w:cs="Arial"/>
          <w:sz w:val="20"/>
          <w:szCs w:val="20"/>
        </w:rPr>
        <w:t xml:space="preserve">, but to excise the frequencies used for RNSS services </w:t>
      </w:r>
      <w:r w:rsidR="00C37E33" w:rsidRPr="00D360F5">
        <w:rPr>
          <w:rFonts w:ascii="Arial" w:hAnsi="Arial" w:cs="Arial"/>
          <w:sz w:val="20"/>
          <w:szCs w:val="20"/>
        </w:rPr>
        <w:t xml:space="preserve">from the space object class licence </w:t>
      </w:r>
      <w:r w:rsidR="003D3628" w:rsidRPr="00D360F5">
        <w:rPr>
          <w:rFonts w:ascii="Arial" w:hAnsi="Arial" w:cs="Arial"/>
          <w:sz w:val="20"/>
          <w:szCs w:val="20"/>
        </w:rPr>
        <w:t>and authorise the provision of RNSS services under a new class licence</w:t>
      </w:r>
      <w:r w:rsidR="00057504" w:rsidRPr="00D360F5">
        <w:rPr>
          <w:rFonts w:ascii="Arial" w:hAnsi="Arial" w:cs="Arial"/>
          <w:sz w:val="20"/>
          <w:szCs w:val="20"/>
        </w:rPr>
        <w:t xml:space="preserve">. </w:t>
      </w:r>
    </w:p>
    <w:p w14:paraId="37D2C193" w14:textId="77777777" w:rsidR="00D1347D" w:rsidRPr="00D360F5" w:rsidRDefault="00D1347D" w:rsidP="00365EBE">
      <w:pPr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t xml:space="preserve">Legislative Provisions </w:t>
      </w:r>
    </w:p>
    <w:p w14:paraId="4268ECB2" w14:textId="56BE2784" w:rsidR="003A48EC" w:rsidRPr="00D360F5" w:rsidRDefault="003A48EC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>Subsection 1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>32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(1) of the </w:t>
      </w:r>
      <w:r w:rsidRPr="00D360F5">
        <w:rPr>
          <w:rFonts w:ascii="Arial" w:hAnsi="Arial" w:cs="Arial"/>
          <w:i/>
          <w:snapToGrid w:val="0"/>
          <w:sz w:val="20"/>
          <w:szCs w:val="20"/>
        </w:rPr>
        <w:t xml:space="preserve">Radiocommunications Act 1992 </w:t>
      </w:r>
      <w:r w:rsidRPr="00D360F5">
        <w:rPr>
          <w:rFonts w:ascii="Arial" w:hAnsi="Arial" w:cs="Arial"/>
          <w:snapToGrid w:val="0"/>
          <w:sz w:val="20"/>
          <w:szCs w:val="20"/>
        </w:rPr>
        <w:t>(the Act)</w:t>
      </w:r>
      <w:r w:rsidR="00E57CA1" w:rsidRPr="00D360F5">
        <w:rPr>
          <w:rFonts w:ascii="Arial" w:hAnsi="Arial" w:cs="Arial"/>
          <w:snapToGrid w:val="0"/>
          <w:sz w:val="20"/>
          <w:szCs w:val="20"/>
        </w:rPr>
        <w:t xml:space="preserve"> </w:t>
      </w:r>
      <w:r w:rsidR="004079A5" w:rsidRPr="00D360F5">
        <w:rPr>
          <w:rFonts w:ascii="Arial" w:hAnsi="Arial" w:cs="Arial"/>
          <w:snapToGrid w:val="0"/>
          <w:sz w:val="20"/>
          <w:szCs w:val="20"/>
        </w:rPr>
        <w:t>authorises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the </w:t>
      </w:r>
      <w:r w:rsidR="00F02777" w:rsidRPr="00D360F5">
        <w:rPr>
          <w:rFonts w:ascii="Arial" w:hAnsi="Arial" w:cs="Arial"/>
          <w:snapToGrid w:val="0"/>
          <w:sz w:val="20"/>
          <w:szCs w:val="20"/>
        </w:rPr>
        <w:t>ACMA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>,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 xml:space="preserve">by notice published in the Gazette, </w:t>
      </w:r>
      <w:r w:rsidR="00BD376A">
        <w:rPr>
          <w:rFonts w:ascii="Arial" w:hAnsi="Arial" w:cs="Arial"/>
          <w:snapToGrid w:val="0"/>
          <w:sz w:val="20"/>
          <w:szCs w:val="20"/>
        </w:rPr>
        <w:t xml:space="preserve">to 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>issue class licences</w:t>
      </w:r>
      <w:r w:rsidR="00586F8D" w:rsidRPr="00D360F5">
        <w:rPr>
          <w:rFonts w:ascii="Arial" w:hAnsi="Arial" w:cs="Arial"/>
          <w:snapToGrid w:val="0"/>
          <w:sz w:val="20"/>
          <w:szCs w:val="20"/>
        </w:rPr>
        <w:t>.</w:t>
      </w:r>
      <w:r w:rsidR="00BD376A">
        <w:rPr>
          <w:rStyle w:val="FootnoteReference"/>
          <w:rFonts w:ascii="Arial" w:hAnsi="Arial" w:cs="Arial"/>
          <w:snapToGrid w:val="0"/>
          <w:sz w:val="20"/>
          <w:szCs w:val="20"/>
        </w:rPr>
        <w:footnoteReference w:id="1"/>
      </w:r>
    </w:p>
    <w:p w14:paraId="2B58F1E1" w14:textId="7524F48B" w:rsidR="00D1347D" w:rsidRPr="00D360F5" w:rsidRDefault="003A48EC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lastRenderedPageBreak/>
        <w:t xml:space="preserve">A 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>class licence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made under 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>subsection 132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(1) of the Act is a </w:t>
      </w:r>
      <w:r w:rsidR="00E57CA1" w:rsidRPr="00D360F5">
        <w:rPr>
          <w:rFonts w:ascii="Arial" w:hAnsi="Arial" w:cs="Arial"/>
          <w:snapToGrid w:val="0"/>
          <w:sz w:val="20"/>
          <w:szCs w:val="20"/>
        </w:rPr>
        <w:t xml:space="preserve">legislative </w:t>
      </w:r>
      <w:r w:rsidRPr="00D360F5">
        <w:rPr>
          <w:rFonts w:ascii="Arial" w:hAnsi="Arial" w:cs="Arial"/>
          <w:snapToGrid w:val="0"/>
          <w:sz w:val="20"/>
          <w:szCs w:val="20"/>
        </w:rPr>
        <w:t>instrument</w:t>
      </w:r>
      <w:r w:rsidR="00734306" w:rsidRPr="00D360F5">
        <w:rPr>
          <w:rFonts w:ascii="Arial" w:hAnsi="Arial" w:cs="Arial"/>
          <w:snapToGrid w:val="0"/>
          <w:sz w:val="20"/>
          <w:szCs w:val="20"/>
        </w:rPr>
        <w:t xml:space="preserve"> (subsection 139 of the Act)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</w:t>
      </w:r>
      <w:r w:rsidR="00E57CA1" w:rsidRPr="00D360F5">
        <w:rPr>
          <w:rFonts w:ascii="Arial" w:hAnsi="Arial" w:cs="Arial"/>
          <w:snapToGrid w:val="0"/>
          <w:sz w:val="20"/>
          <w:szCs w:val="20"/>
        </w:rPr>
        <w:t>and may be subject to disallowance in accordance with section 42 of the LIA.</w:t>
      </w:r>
      <w:r w:rsidR="00D1347D" w:rsidRPr="00D360F5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35C016E" w14:textId="0AEB482F" w:rsidR="00D1347D" w:rsidRPr="00D360F5" w:rsidRDefault="00D1347D" w:rsidP="00365EBE">
      <w:pPr>
        <w:pStyle w:val="ACMABodyText"/>
        <w:spacing w:before="0" w:after="200" w:line="276" w:lineRule="auto"/>
        <w:rPr>
          <w:rFonts w:ascii="Arial" w:eastAsiaTheme="minorHAnsi" w:hAnsi="Arial" w:cs="Arial"/>
          <w:b/>
          <w:snapToGrid/>
          <w:sz w:val="20"/>
        </w:rPr>
      </w:pPr>
      <w:r w:rsidRPr="00D360F5">
        <w:rPr>
          <w:rFonts w:ascii="Arial" w:eastAsiaTheme="minorHAnsi" w:hAnsi="Arial" w:cs="Arial"/>
          <w:b/>
          <w:snapToGrid/>
          <w:sz w:val="20"/>
        </w:rPr>
        <w:t>Background</w:t>
      </w:r>
    </w:p>
    <w:p w14:paraId="11D0AB97" w14:textId="36F0789B" w:rsidR="00586F8D" w:rsidRPr="00D360F5" w:rsidRDefault="00586F8D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 xml:space="preserve">It is a general requirement of the Act that the operation of all radiocommunications devices within Australia be authorised by a radiocommunications licence. </w:t>
      </w:r>
    </w:p>
    <w:p w14:paraId="52356068" w14:textId="0394F61D" w:rsidR="00586F8D" w:rsidRPr="00D360F5" w:rsidRDefault="00586F8D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>A class licence is one type of licence available to authorise the operation of a radiocommunications device. It is an effective and efficient means of spectrum management for services where a limited set of common frequencies is employed, and equipment is operated under a common set of conditions. A class licence sets out the conditions under which any person is permitted to operate any device to which the class licence is applicable</w:t>
      </w:r>
      <w:r w:rsidR="00227684">
        <w:rPr>
          <w:rFonts w:ascii="Arial" w:hAnsi="Arial" w:cs="Arial"/>
          <w:snapToGrid w:val="0"/>
          <w:sz w:val="20"/>
          <w:szCs w:val="20"/>
        </w:rPr>
        <w:t>.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</w:t>
      </w:r>
      <w:r w:rsidR="00227684">
        <w:rPr>
          <w:rFonts w:ascii="Arial" w:hAnsi="Arial" w:cs="Arial"/>
          <w:snapToGrid w:val="0"/>
          <w:sz w:val="20"/>
          <w:szCs w:val="20"/>
        </w:rPr>
        <w:t>I</w:t>
      </w:r>
      <w:r w:rsidRPr="00D360F5">
        <w:rPr>
          <w:rFonts w:ascii="Arial" w:hAnsi="Arial" w:cs="Arial"/>
          <w:snapToGrid w:val="0"/>
          <w:sz w:val="20"/>
          <w:szCs w:val="20"/>
        </w:rPr>
        <w:t>t is not issued to an individual user and does not involve the payment of licence fees.</w:t>
      </w:r>
    </w:p>
    <w:p w14:paraId="3E849242" w14:textId="36604E78" w:rsidR="00586F8D" w:rsidRPr="00D360F5" w:rsidRDefault="00586F8D" w:rsidP="00365EBE">
      <w:pPr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t>Operation</w:t>
      </w:r>
    </w:p>
    <w:p w14:paraId="56011FFA" w14:textId="6DB10461" w:rsidR="00586F8D" w:rsidRPr="00D360F5" w:rsidRDefault="002F7532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>T</w:t>
      </w:r>
      <w:r w:rsidR="003904B7" w:rsidRPr="00D360F5">
        <w:rPr>
          <w:rFonts w:ascii="Arial" w:hAnsi="Arial" w:cs="Arial"/>
          <w:snapToGrid w:val="0"/>
          <w:sz w:val="20"/>
          <w:szCs w:val="20"/>
        </w:rPr>
        <w:t xml:space="preserve">he </w:t>
      </w:r>
      <w:r w:rsidR="00ED4CB5" w:rsidRPr="00D360F5">
        <w:rPr>
          <w:rFonts w:ascii="Arial" w:hAnsi="Arial" w:cs="Arial"/>
          <w:snapToGrid w:val="0"/>
          <w:sz w:val="20"/>
          <w:szCs w:val="20"/>
        </w:rPr>
        <w:t xml:space="preserve">Class Licence 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authorises the operation of </w:t>
      </w:r>
      <w:r w:rsidR="00ED4CB5" w:rsidRPr="00D360F5">
        <w:rPr>
          <w:rFonts w:ascii="Arial" w:hAnsi="Arial" w:cs="Arial"/>
          <w:snapToGrid w:val="0"/>
          <w:sz w:val="20"/>
          <w:szCs w:val="20"/>
        </w:rPr>
        <w:t xml:space="preserve">RNSS receivers for the purpose of receiving RNSS radiocommunications by any person, provided that they comply with the conditions set out in </w:t>
      </w:r>
      <w:r w:rsidR="00CD39F2" w:rsidRPr="00D360F5">
        <w:rPr>
          <w:rFonts w:ascii="Arial" w:hAnsi="Arial" w:cs="Arial"/>
          <w:snapToGrid w:val="0"/>
          <w:sz w:val="20"/>
          <w:szCs w:val="20"/>
        </w:rPr>
        <w:t>the class licence</w:t>
      </w:r>
      <w:r w:rsidR="00ED4CB5" w:rsidRPr="00D360F5">
        <w:rPr>
          <w:rFonts w:ascii="Arial" w:hAnsi="Arial" w:cs="Arial"/>
          <w:snapToGrid w:val="0"/>
          <w:sz w:val="20"/>
          <w:szCs w:val="20"/>
        </w:rPr>
        <w:t>.</w:t>
      </w:r>
    </w:p>
    <w:p w14:paraId="1E56F447" w14:textId="77777777" w:rsidR="004B3255" w:rsidRPr="00D360F5" w:rsidRDefault="004B3255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 xml:space="preserve">RNSS radiocommunications are radiocommunications transmitted at a frequency allocated to RNSS under the </w:t>
      </w:r>
      <w:r w:rsidRPr="00D360F5">
        <w:rPr>
          <w:rFonts w:ascii="Arial" w:hAnsi="Arial" w:cs="Arial"/>
          <w:i/>
          <w:snapToGrid w:val="0"/>
          <w:sz w:val="20"/>
          <w:szCs w:val="20"/>
        </w:rPr>
        <w:t>Australian Radiofrequency Spectrum Plan 2013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, made by the ACMA. </w:t>
      </w:r>
    </w:p>
    <w:p w14:paraId="4643AFBF" w14:textId="6D767F8E" w:rsidR="00586F8D" w:rsidRPr="00D360F5" w:rsidRDefault="00D360F5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 xml:space="preserve">The decision to excise the frequencies of the radionavigation-satellite service from the space object class licence and </w:t>
      </w:r>
      <w:r w:rsidR="00227684">
        <w:rPr>
          <w:rFonts w:ascii="Arial" w:hAnsi="Arial" w:cs="Arial"/>
          <w:snapToGrid w:val="0"/>
          <w:sz w:val="20"/>
          <w:szCs w:val="20"/>
        </w:rPr>
        <w:t xml:space="preserve">to authorise their use under 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a new class licence will ensure compliance with the Act </w:t>
      </w:r>
      <w:r w:rsidRPr="00D360F5">
        <w:rPr>
          <w:rFonts w:ascii="Arial" w:hAnsi="Arial" w:cs="Arial"/>
          <w:snapToGrid w:val="0"/>
          <w:sz w:val="20"/>
          <w:szCs w:val="20"/>
        </w:rPr>
        <w:lastRenderedPageBreak/>
        <w:t xml:space="preserve">and enhance the public benefit of the radionavigation-satellite service </w:t>
      </w:r>
      <w:r w:rsidR="00227684">
        <w:rPr>
          <w:rFonts w:ascii="Arial" w:hAnsi="Arial" w:cs="Arial"/>
          <w:snapToGrid w:val="0"/>
          <w:sz w:val="20"/>
          <w:szCs w:val="20"/>
        </w:rPr>
        <w:t>and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the range of applications these systems support</w:t>
      </w:r>
      <w:r w:rsidR="003904B7" w:rsidRPr="00D360F5">
        <w:rPr>
          <w:rFonts w:ascii="Arial" w:hAnsi="Arial" w:cs="Arial"/>
          <w:snapToGrid w:val="0"/>
          <w:sz w:val="20"/>
          <w:szCs w:val="20"/>
        </w:rPr>
        <w:t>.</w:t>
      </w:r>
    </w:p>
    <w:p w14:paraId="3B52ADC2" w14:textId="76085D00" w:rsidR="004B3255" w:rsidRPr="00D360F5" w:rsidRDefault="004B3255" w:rsidP="00D360F5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 xml:space="preserve">The </w:t>
      </w:r>
      <w:r w:rsidR="00CE1289" w:rsidRPr="00D360F5">
        <w:rPr>
          <w:rFonts w:ascii="Arial" w:hAnsi="Arial" w:cs="Arial"/>
          <w:sz w:val="20"/>
          <w:szCs w:val="20"/>
        </w:rPr>
        <w:t>c</w:t>
      </w:r>
      <w:r w:rsidRPr="00D360F5">
        <w:rPr>
          <w:rFonts w:ascii="Arial" w:hAnsi="Arial" w:cs="Arial"/>
          <w:sz w:val="20"/>
          <w:szCs w:val="20"/>
        </w:rPr>
        <w:t xml:space="preserve">lass </w:t>
      </w:r>
      <w:r w:rsidR="00CE1289" w:rsidRPr="00D360F5">
        <w:rPr>
          <w:rFonts w:ascii="Arial" w:hAnsi="Arial" w:cs="Arial"/>
          <w:sz w:val="20"/>
          <w:szCs w:val="20"/>
        </w:rPr>
        <w:t>l</w:t>
      </w:r>
      <w:r w:rsidRPr="00D360F5">
        <w:rPr>
          <w:rFonts w:ascii="Arial" w:hAnsi="Arial" w:cs="Arial"/>
          <w:sz w:val="20"/>
          <w:szCs w:val="20"/>
        </w:rPr>
        <w:t>icence sets out the conditions under which the RNSS receivers must operate. The conditions include</w:t>
      </w:r>
      <w:r w:rsidR="00D360F5" w:rsidRPr="00D360F5">
        <w:rPr>
          <w:rFonts w:ascii="Arial" w:hAnsi="Arial" w:cs="Arial"/>
          <w:sz w:val="20"/>
          <w:szCs w:val="20"/>
        </w:rPr>
        <w:t xml:space="preserve"> </w:t>
      </w:r>
      <w:r w:rsidR="00227684">
        <w:rPr>
          <w:rFonts w:ascii="Arial" w:hAnsi="Arial" w:cs="Arial"/>
          <w:sz w:val="20"/>
          <w:szCs w:val="20"/>
        </w:rPr>
        <w:t xml:space="preserve">that </w:t>
      </w:r>
      <w:r w:rsidR="00D27BA3" w:rsidRPr="00D360F5">
        <w:rPr>
          <w:rFonts w:ascii="Arial" w:hAnsi="Arial" w:cs="Arial"/>
          <w:sz w:val="20"/>
          <w:szCs w:val="20"/>
        </w:rPr>
        <w:t>the RNSS receiver must comply with any applicable standard</w:t>
      </w:r>
      <w:r w:rsidR="00EE6AD5" w:rsidRPr="00D360F5">
        <w:rPr>
          <w:rFonts w:ascii="Arial" w:hAnsi="Arial" w:cs="Arial"/>
          <w:sz w:val="20"/>
          <w:szCs w:val="20"/>
        </w:rPr>
        <w:t xml:space="preserve"> and</w:t>
      </w:r>
      <w:r w:rsidR="00D360F5" w:rsidRPr="00D360F5">
        <w:rPr>
          <w:rFonts w:ascii="Arial" w:hAnsi="Arial" w:cs="Arial"/>
          <w:sz w:val="20"/>
          <w:szCs w:val="20"/>
        </w:rPr>
        <w:t xml:space="preserve"> </w:t>
      </w:r>
      <w:r w:rsidR="00D27BA3" w:rsidRPr="00D360F5">
        <w:rPr>
          <w:rFonts w:ascii="Arial" w:hAnsi="Arial" w:cs="Arial"/>
          <w:sz w:val="20"/>
          <w:szCs w:val="20"/>
        </w:rPr>
        <w:t xml:space="preserve">the RNSS receiver must operate only in the frequency ranges listed in 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="00D27BA3" w:rsidRPr="00D360F5">
        <w:rPr>
          <w:rFonts w:ascii="Arial" w:hAnsi="Arial" w:cs="Arial"/>
          <w:sz w:val="20"/>
          <w:szCs w:val="20"/>
        </w:rPr>
        <w:t xml:space="preserve">. </w:t>
      </w:r>
    </w:p>
    <w:p w14:paraId="270EC8E4" w14:textId="44249400" w:rsidR="00D1347D" w:rsidRPr="00D360F5" w:rsidRDefault="00D1347D" w:rsidP="00365EBE">
      <w:pPr>
        <w:keepNext/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t xml:space="preserve">Consultation </w:t>
      </w:r>
    </w:p>
    <w:p w14:paraId="3A061083" w14:textId="189F0258" w:rsidR="00D27BA3" w:rsidRPr="00D360F5" w:rsidRDefault="00D27BA3" w:rsidP="00365EBE">
      <w:pPr>
        <w:pStyle w:val="Default"/>
        <w:autoSpaceDE/>
        <w:autoSpaceDN/>
        <w:adjustRightInd/>
        <w:spacing w:after="200" w:line="276" w:lineRule="auto"/>
        <w:rPr>
          <w:snapToGrid w:val="0"/>
          <w:color w:val="auto"/>
          <w:sz w:val="20"/>
          <w:szCs w:val="20"/>
        </w:rPr>
      </w:pPr>
      <w:r w:rsidRPr="00D360F5">
        <w:rPr>
          <w:snapToGrid w:val="0"/>
          <w:color w:val="auto"/>
          <w:sz w:val="20"/>
          <w:szCs w:val="20"/>
        </w:rPr>
        <w:t xml:space="preserve">Subsection 17(1) of the LIA requires that, before the ACMA makes a legislative instrument, it must be satisfied that any consultation that the ACMA considers is appropriate and reasonably practicable to undertake has been undertaken. </w:t>
      </w:r>
    </w:p>
    <w:p w14:paraId="45F603DC" w14:textId="064BACFC" w:rsidR="00D1347D" w:rsidRPr="00D360F5" w:rsidRDefault="00C83067" w:rsidP="00365EBE">
      <w:pPr>
        <w:pStyle w:val="Default"/>
        <w:autoSpaceDE/>
        <w:autoSpaceDN/>
        <w:adjustRightInd/>
        <w:spacing w:after="200" w:line="276" w:lineRule="auto"/>
        <w:rPr>
          <w:snapToGrid w:val="0"/>
          <w:color w:val="auto"/>
          <w:sz w:val="20"/>
          <w:szCs w:val="20"/>
        </w:rPr>
      </w:pPr>
      <w:r w:rsidRPr="00D360F5">
        <w:rPr>
          <w:snapToGrid w:val="0"/>
          <w:color w:val="auto"/>
          <w:sz w:val="20"/>
          <w:szCs w:val="20"/>
        </w:rPr>
        <w:t xml:space="preserve">Between </w:t>
      </w:r>
      <w:r w:rsidR="003F1E0B" w:rsidRPr="00D360F5">
        <w:rPr>
          <w:snapToGrid w:val="0"/>
          <w:color w:val="auto"/>
          <w:sz w:val="20"/>
          <w:szCs w:val="20"/>
        </w:rPr>
        <w:t>21 April 2015 and 29 June 2015</w:t>
      </w:r>
      <w:r w:rsidR="00D1347D" w:rsidRPr="00D360F5">
        <w:rPr>
          <w:snapToGrid w:val="0"/>
          <w:color w:val="auto"/>
          <w:sz w:val="20"/>
          <w:szCs w:val="20"/>
        </w:rPr>
        <w:t xml:space="preserve">, the ACMA conducted a </w:t>
      </w:r>
      <w:r w:rsidR="00545A06" w:rsidRPr="00D360F5">
        <w:rPr>
          <w:snapToGrid w:val="0"/>
          <w:color w:val="auto"/>
          <w:sz w:val="20"/>
          <w:szCs w:val="20"/>
        </w:rPr>
        <w:t xml:space="preserve">formal </w:t>
      </w:r>
      <w:r w:rsidR="00D1347D" w:rsidRPr="00D360F5">
        <w:rPr>
          <w:snapToGrid w:val="0"/>
          <w:color w:val="auto"/>
          <w:sz w:val="20"/>
          <w:szCs w:val="20"/>
        </w:rPr>
        <w:t xml:space="preserve">public consultation process </w:t>
      </w:r>
      <w:r w:rsidR="005A4607" w:rsidRPr="00D360F5">
        <w:rPr>
          <w:snapToGrid w:val="0"/>
          <w:color w:val="auto"/>
          <w:sz w:val="20"/>
          <w:szCs w:val="20"/>
        </w:rPr>
        <w:t xml:space="preserve">in relation to the </w:t>
      </w:r>
      <w:r w:rsidR="00C35CD5" w:rsidRPr="00D360F5">
        <w:rPr>
          <w:snapToGrid w:val="0"/>
          <w:color w:val="auto"/>
          <w:sz w:val="20"/>
          <w:szCs w:val="20"/>
        </w:rPr>
        <w:t xml:space="preserve">making of </w:t>
      </w:r>
      <w:r w:rsidR="00CD39F2" w:rsidRPr="00D360F5">
        <w:rPr>
          <w:snapToGrid w:val="0"/>
          <w:color w:val="auto"/>
          <w:sz w:val="20"/>
          <w:szCs w:val="20"/>
        </w:rPr>
        <w:t>the class licence</w:t>
      </w:r>
      <w:r w:rsidR="00C35CD5" w:rsidRPr="00D360F5">
        <w:rPr>
          <w:snapToGrid w:val="0"/>
          <w:color w:val="auto"/>
          <w:sz w:val="20"/>
          <w:szCs w:val="20"/>
        </w:rPr>
        <w:t xml:space="preserve"> and the remaking of the space object class licence</w:t>
      </w:r>
      <w:r w:rsidR="00A364D4" w:rsidRPr="00D360F5">
        <w:rPr>
          <w:snapToGrid w:val="0"/>
          <w:color w:val="auto"/>
          <w:sz w:val="20"/>
          <w:szCs w:val="20"/>
        </w:rPr>
        <w:t xml:space="preserve">. </w:t>
      </w:r>
      <w:r w:rsidR="00B631DD" w:rsidRPr="00D360F5">
        <w:rPr>
          <w:snapToGrid w:val="0"/>
          <w:color w:val="auto"/>
          <w:sz w:val="20"/>
          <w:szCs w:val="20"/>
        </w:rPr>
        <w:t xml:space="preserve">A </w:t>
      </w:r>
      <w:r w:rsidR="00F931D2" w:rsidRPr="00D360F5">
        <w:rPr>
          <w:snapToGrid w:val="0"/>
          <w:color w:val="auto"/>
          <w:sz w:val="20"/>
          <w:szCs w:val="20"/>
        </w:rPr>
        <w:t>consultation</w:t>
      </w:r>
      <w:r w:rsidR="00B631DD" w:rsidRPr="00D360F5">
        <w:rPr>
          <w:snapToGrid w:val="0"/>
          <w:color w:val="auto"/>
          <w:sz w:val="20"/>
          <w:szCs w:val="20"/>
        </w:rPr>
        <w:t xml:space="preserve"> paper </w:t>
      </w:r>
      <w:r w:rsidR="00A364D4" w:rsidRPr="00D360F5">
        <w:rPr>
          <w:snapToGrid w:val="0"/>
          <w:color w:val="auto"/>
          <w:sz w:val="20"/>
          <w:szCs w:val="20"/>
        </w:rPr>
        <w:t>was</w:t>
      </w:r>
      <w:r w:rsidR="00B631DD" w:rsidRPr="00D360F5">
        <w:rPr>
          <w:snapToGrid w:val="0"/>
          <w:color w:val="auto"/>
          <w:sz w:val="20"/>
          <w:szCs w:val="20"/>
        </w:rPr>
        <w:t xml:space="preserve"> made</w:t>
      </w:r>
      <w:r w:rsidR="00355A2C" w:rsidRPr="00D360F5">
        <w:rPr>
          <w:snapToGrid w:val="0"/>
          <w:color w:val="auto"/>
          <w:sz w:val="20"/>
          <w:szCs w:val="20"/>
        </w:rPr>
        <w:t xml:space="preserve"> </w:t>
      </w:r>
      <w:r w:rsidR="00D1347D" w:rsidRPr="00D360F5">
        <w:rPr>
          <w:snapToGrid w:val="0"/>
          <w:color w:val="auto"/>
          <w:sz w:val="20"/>
          <w:szCs w:val="20"/>
        </w:rPr>
        <w:t xml:space="preserve">available on the ACMA website. </w:t>
      </w:r>
      <w:r w:rsidR="00355A2C" w:rsidRPr="00D360F5">
        <w:rPr>
          <w:snapToGrid w:val="0"/>
          <w:color w:val="auto"/>
          <w:sz w:val="20"/>
          <w:szCs w:val="20"/>
        </w:rPr>
        <w:t>The</w:t>
      </w:r>
      <w:r w:rsidR="00D1347D" w:rsidRPr="00D360F5">
        <w:rPr>
          <w:snapToGrid w:val="0"/>
          <w:color w:val="auto"/>
          <w:sz w:val="20"/>
          <w:szCs w:val="20"/>
        </w:rPr>
        <w:t xml:space="preserve"> </w:t>
      </w:r>
      <w:r w:rsidR="00F931D2" w:rsidRPr="00D360F5">
        <w:rPr>
          <w:snapToGrid w:val="0"/>
          <w:color w:val="auto"/>
          <w:sz w:val="20"/>
          <w:szCs w:val="20"/>
        </w:rPr>
        <w:t>consultation</w:t>
      </w:r>
      <w:r w:rsidR="00D1347D" w:rsidRPr="00D360F5">
        <w:rPr>
          <w:snapToGrid w:val="0"/>
          <w:color w:val="auto"/>
          <w:sz w:val="20"/>
          <w:szCs w:val="20"/>
        </w:rPr>
        <w:t xml:space="preserve"> paper explained the sunsetting </w:t>
      </w:r>
      <w:r w:rsidR="00466CCA" w:rsidRPr="00D360F5">
        <w:rPr>
          <w:snapToGrid w:val="0"/>
          <w:color w:val="auto"/>
          <w:sz w:val="20"/>
          <w:szCs w:val="20"/>
        </w:rPr>
        <w:t xml:space="preserve">(automatic repeal) </w:t>
      </w:r>
      <w:r w:rsidR="00D1347D" w:rsidRPr="00D360F5">
        <w:rPr>
          <w:snapToGrid w:val="0"/>
          <w:color w:val="auto"/>
          <w:sz w:val="20"/>
          <w:szCs w:val="20"/>
        </w:rPr>
        <w:t xml:space="preserve">process </w:t>
      </w:r>
      <w:r w:rsidR="00C35CD5" w:rsidRPr="00D360F5">
        <w:rPr>
          <w:snapToGrid w:val="0"/>
          <w:color w:val="auto"/>
          <w:sz w:val="20"/>
          <w:szCs w:val="20"/>
        </w:rPr>
        <w:t xml:space="preserve">in relation to the space object class licence </w:t>
      </w:r>
      <w:r w:rsidR="00D1347D" w:rsidRPr="00D360F5">
        <w:rPr>
          <w:snapToGrid w:val="0"/>
          <w:color w:val="auto"/>
          <w:sz w:val="20"/>
          <w:szCs w:val="20"/>
        </w:rPr>
        <w:t xml:space="preserve">and the ACMA’s preliminary view that the </w:t>
      </w:r>
      <w:r w:rsidR="003F1E0B" w:rsidRPr="00D360F5">
        <w:rPr>
          <w:snapToGrid w:val="0"/>
          <w:color w:val="auto"/>
          <w:sz w:val="20"/>
          <w:szCs w:val="20"/>
        </w:rPr>
        <w:t xml:space="preserve">regulatory </w:t>
      </w:r>
      <w:r w:rsidR="00D1347D" w:rsidRPr="00D360F5">
        <w:rPr>
          <w:snapToGrid w:val="0"/>
          <w:color w:val="auto"/>
          <w:sz w:val="20"/>
          <w:szCs w:val="20"/>
        </w:rPr>
        <w:t>arrangements</w:t>
      </w:r>
      <w:r w:rsidR="003F1E0B" w:rsidRPr="00D360F5">
        <w:rPr>
          <w:snapToGrid w:val="0"/>
          <w:color w:val="auto"/>
          <w:sz w:val="20"/>
          <w:szCs w:val="20"/>
        </w:rPr>
        <w:t xml:space="preserve"> for the radionavigation-satellite service should </w:t>
      </w:r>
      <w:r w:rsidR="00C35CD5" w:rsidRPr="00D360F5">
        <w:rPr>
          <w:snapToGrid w:val="0"/>
          <w:color w:val="auto"/>
          <w:sz w:val="20"/>
          <w:szCs w:val="20"/>
        </w:rPr>
        <w:t>be moved into a separate class licence</w:t>
      </w:r>
      <w:r w:rsidR="00D1347D" w:rsidRPr="00D360F5">
        <w:rPr>
          <w:snapToGrid w:val="0"/>
          <w:color w:val="auto"/>
          <w:sz w:val="20"/>
          <w:szCs w:val="20"/>
        </w:rPr>
        <w:t>. Interested parties were notified of the release of the</w:t>
      </w:r>
      <w:r w:rsidR="00B631DD" w:rsidRPr="00D360F5">
        <w:rPr>
          <w:snapToGrid w:val="0"/>
          <w:color w:val="auto"/>
          <w:sz w:val="20"/>
          <w:szCs w:val="20"/>
        </w:rPr>
        <w:t xml:space="preserve"> </w:t>
      </w:r>
      <w:r w:rsidR="005A4607" w:rsidRPr="00D360F5">
        <w:rPr>
          <w:snapToGrid w:val="0"/>
          <w:color w:val="auto"/>
          <w:sz w:val="20"/>
          <w:szCs w:val="20"/>
        </w:rPr>
        <w:t xml:space="preserve">consultation </w:t>
      </w:r>
      <w:r w:rsidR="00D1347D" w:rsidRPr="00D360F5">
        <w:rPr>
          <w:snapToGrid w:val="0"/>
          <w:color w:val="auto"/>
          <w:sz w:val="20"/>
          <w:szCs w:val="20"/>
        </w:rPr>
        <w:t xml:space="preserve">paper and invited to comment. </w:t>
      </w:r>
    </w:p>
    <w:p w14:paraId="47D7533C" w14:textId="1F2ACB11" w:rsidR="00922D2F" w:rsidRPr="00D360F5" w:rsidRDefault="00D1347D" w:rsidP="00365EBE">
      <w:pPr>
        <w:pStyle w:val="Default"/>
        <w:autoSpaceDE/>
        <w:autoSpaceDN/>
        <w:adjustRightInd/>
        <w:spacing w:after="200" w:line="276" w:lineRule="auto"/>
        <w:rPr>
          <w:snapToGrid w:val="0"/>
          <w:color w:val="auto"/>
          <w:sz w:val="20"/>
          <w:szCs w:val="20"/>
        </w:rPr>
      </w:pPr>
      <w:r w:rsidRPr="00D360F5">
        <w:rPr>
          <w:snapToGrid w:val="0"/>
          <w:color w:val="auto"/>
          <w:sz w:val="20"/>
          <w:szCs w:val="20"/>
        </w:rPr>
        <w:t xml:space="preserve">The ACMA received </w:t>
      </w:r>
      <w:r w:rsidR="00CB3C29" w:rsidRPr="00D360F5">
        <w:rPr>
          <w:snapToGrid w:val="0"/>
          <w:color w:val="auto"/>
          <w:sz w:val="20"/>
          <w:szCs w:val="20"/>
        </w:rPr>
        <w:t>1</w:t>
      </w:r>
      <w:r w:rsidR="003F1E0B" w:rsidRPr="00D360F5">
        <w:rPr>
          <w:snapToGrid w:val="0"/>
          <w:color w:val="auto"/>
          <w:sz w:val="20"/>
          <w:szCs w:val="20"/>
        </w:rPr>
        <w:t>2</w:t>
      </w:r>
      <w:r w:rsidRPr="00D360F5">
        <w:rPr>
          <w:snapToGrid w:val="0"/>
          <w:color w:val="auto"/>
          <w:sz w:val="20"/>
          <w:szCs w:val="20"/>
        </w:rPr>
        <w:t xml:space="preserve"> </w:t>
      </w:r>
      <w:r w:rsidR="00247C48" w:rsidRPr="00D360F5">
        <w:rPr>
          <w:snapToGrid w:val="0"/>
          <w:color w:val="auto"/>
          <w:sz w:val="20"/>
          <w:szCs w:val="20"/>
        </w:rPr>
        <w:t xml:space="preserve">written </w:t>
      </w:r>
      <w:r w:rsidRPr="00D360F5">
        <w:rPr>
          <w:snapToGrid w:val="0"/>
          <w:color w:val="auto"/>
          <w:sz w:val="20"/>
          <w:szCs w:val="20"/>
        </w:rPr>
        <w:t>submissions</w:t>
      </w:r>
      <w:r w:rsidR="008C24B7" w:rsidRPr="00D360F5">
        <w:rPr>
          <w:snapToGrid w:val="0"/>
          <w:color w:val="auto"/>
          <w:sz w:val="20"/>
          <w:szCs w:val="20"/>
        </w:rPr>
        <w:t xml:space="preserve"> </w:t>
      </w:r>
      <w:r w:rsidRPr="00D360F5">
        <w:rPr>
          <w:snapToGrid w:val="0"/>
          <w:color w:val="auto"/>
          <w:sz w:val="20"/>
          <w:szCs w:val="20"/>
        </w:rPr>
        <w:t xml:space="preserve">in response to the consultation paper and </w:t>
      </w:r>
      <w:r w:rsidR="00B80A91" w:rsidRPr="00D360F5">
        <w:rPr>
          <w:snapToGrid w:val="0"/>
          <w:color w:val="auto"/>
          <w:sz w:val="20"/>
          <w:szCs w:val="20"/>
        </w:rPr>
        <w:t>all submissions</w:t>
      </w:r>
      <w:r w:rsidR="008C246A" w:rsidRPr="00D360F5">
        <w:rPr>
          <w:snapToGrid w:val="0"/>
          <w:color w:val="auto"/>
          <w:sz w:val="20"/>
          <w:szCs w:val="20"/>
        </w:rPr>
        <w:t xml:space="preserve"> </w:t>
      </w:r>
      <w:r w:rsidRPr="00D360F5">
        <w:rPr>
          <w:snapToGrid w:val="0"/>
          <w:color w:val="auto"/>
          <w:sz w:val="20"/>
          <w:szCs w:val="20"/>
        </w:rPr>
        <w:t xml:space="preserve">were considered when making </w:t>
      </w:r>
      <w:r w:rsidR="00CD39F2" w:rsidRPr="00D360F5">
        <w:rPr>
          <w:snapToGrid w:val="0"/>
          <w:color w:val="auto"/>
          <w:sz w:val="20"/>
          <w:szCs w:val="20"/>
        </w:rPr>
        <w:t>the class licence</w:t>
      </w:r>
      <w:r w:rsidRPr="00D360F5">
        <w:rPr>
          <w:snapToGrid w:val="0"/>
          <w:color w:val="auto"/>
          <w:sz w:val="20"/>
          <w:szCs w:val="20"/>
        </w:rPr>
        <w:t xml:space="preserve">. </w:t>
      </w:r>
      <w:r w:rsidR="00CD39F2" w:rsidRPr="00D360F5">
        <w:rPr>
          <w:snapToGrid w:val="0"/>
          <w:color w:val="auto"/>
          <w:sz w:val="20"/>
          <w:szCs w:val="20"/>
        </w:rPr>
        <w:t>All submissions received were supportive of the proposals contained in the consultation paper.</w:t>
      </w:r>
    </w:p>
    <w:p w14:paraId="15B275CE" w14:textId="77777777" w:rsidR="00D1347D" w:rsidRPr="00D360F5" w:rsidRDefault="00D1347D" w:rsidP="00365EBE">
      <w:pPr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t xml:space="preserve">Regulation Impact </w:t>
      </w:r>
    </w:p>
    <w:p w14:paraId="3631E3B1" w14:textId="209AE7DD" w:rsidR="00E9357C" w:rsidRPr="00D360F5" w:rsidRDefault="00D1347D" w:rsidP="00365EBE">
      <w:pPr>
        <w:pStyle w:val="PlainText"/>
        <w:spacing w:after="200" w:line="276" w:lineRule="auto"/>
        <w:rPr>
          <w:rFonts w:ascii="Arial" w:hAnsi="Arial" w:cs="Arial"/>
          <w:snapToGrid w:val="0"/>
          <w:sz w:val="20"/>
          <w:szCs w:val="20"/>
          <w:lang w:eastAsia="en-US"/>
        </w:rPr>
      </w:pPr>
      <w:r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The Office of Best Practice Regulation (OBPR) has considered the matter and formed the opinion that </w:t>
      </w:r>
      <w:r w:rsidR="00545A06"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the </w:t>
      </w:r>
      <w:r w:rsidR="007D4C65" w:rsidRPr="00D360F5">
        <w:rPr>
          <w:rFonts w:ascii="Arial" w:hAnsi="Arial" w:cs="Arial"/>
          <w:snapToGrid w:val="0"/>
          <w:sz w:val="20"/>
          <w:szCs w:val="20"/>
          <w:lang w:eastAsia="en-US"/>
        </w:rPr>
        <w:t>proposal will have a minor impact on the economy and a minor beneficial impact on competition</w:t>
      </w:r>
      <w:r w:rsidR="00545A06" w:rsidRPr="00D360F5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  Accordingly, OBPR advised that </w:t>
      </w:r>
      <w:r w:rsidR="00545A06" w:rsidRPr="00D360F5">
        <w:rPr>
          <w:rFonts w:ascii="Arial" w:hAnsi="Arial" w:cs="Arial"/>
          <w:snapToGrid w:val="0"/>
          <w:sz w:val="20"/>
          <w:szCs w:val="20"/>
          <w:lang w:eastAsia="en-US"/>
        </w:rPr>
        <w:t>a</w:t>
      </w:r>
      <w:r w:rsidR="00C7265F"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Regulation Impact Statement was </w:t>
      </w:r>
      <w:r w:rsidR="00545A06"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not </w:t>
      </w:r>
      <w:r w:rsidRPr="00D360F5">
        <w:rPr>
          <w:rFonts w:ascii="Arial" w:hAnsi="Arial" w:cs="Arial"/>
          <w:snapToGrid w:val="0"/>
          <w:sz w:val="20"/>
          <w:szCs w:val="20"/>
          <w:lang w:eastAsia="en-US"/>
        </w:rPr>
        <w:t>required. The O</w:t>
      </w:r>
      <w:r w:rsidR="00F9774A"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BPR </w:t>
      </w:r>
      <w:r w:rsidR="001D2F8E" w:rsidRPr="00D360F5">
        <w:rPr>
          <w:rFonts w:ascii="Arial" w:hAnsi="Arial" w:cs="Arial"/>
          <w:snapToGrid w:val="0"/>
          <w:sz w:val="20"/>
          <w:szCs w:val="20"/>
          <w:lang w:eastAsia="en-US"/>
        </w:rPr>
        <w:t>reference number</w:t>
      </w:r>
      <w:r w:rsidR="00F9774A"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7D4C65" w:rsidRPr="00D360F5">
        <w:rPr>
          <w:rFonts w:ascii="Arial" w:hAnsi="Arial" w:cs="Arial"/>
          <w:snapToGrid w:val="0"/>
          <w:sz w:val="20"/>
          <w:szCs w:val="20"/>
          <w:lang w:eastAsia="en-US"/>
        </w:rPr>
        <w:t>is</w:t>
      </w:r>
      <w:r w:rsidR="001D2F8E" w:rsidRPr="00D360F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7D4C65" w:rsidRPr="00D360F5">
        <w:rPr>
          <w:rFonts w:ascii="Arial" w:hAnsi="Arial" w:cs="Arial"/>
          <w:snapToGrid w:val="0"/>
          <w:sz w:val="20"/>
          <w:szCs w:val="20"/>
          <w:lang w:eastAsia="en-US"/>
        </w:rPr>
        <w:t>18547</w:t>
      </w:r>
      <w:r w:rsidRPr="00D360F5">
        <w:rPr>
          <w:rFonts w:ascii="Arial" w:hAnsi="Arial" w:cs="Arial"/>
          <w:snapToGrid w:val="0"/>
          <w:sz w:val="20"/>
          <w:szCs w:val="20"/>
          <w:lang w:eastAsia="en-US"/>
        </w:rPr>
        <w:t>.</w:t>
      </w:r>
    </w:p>
    <w:p w14:paraId="433823F3" w14:textId="3BAF99BE" w:rsidR="00E30483" w:rsidRPr="00D360F5" w:rsidRDefault="00352C0C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lastRenderedPageBreak/>
        <w:t xml:space="preserve">Detailed </w:t>
      </w:r>
      <w:r w:rsidR="002B35F1" w:rsidRPr="00D360F5">
        <w:rPr>
          <w:rFonts w:ascii="Arial" w:hAnsi="Arial" w:cs="Arial"/>
          <w:b/>
          <w:snapToGrid w:val="0"/>
          <w:sz w:val="20"/>
          <w:szCs w:val="20"/>
        </w:rPr>
        <w:t xml:space="preserve">description of </w:t>
      </w:r>
      <w:r w:rsidR="00CD39F2" w:rsidRPr="00D360F5">
        <w:rPr>
          <w:rFonts w:ascii="Arial" w:hAnsi="Arial" w:cs="Arial"/>
          <w:b/>
          <w:snapToGrid w:val="0"/>
          <w:sz w:val="20"/>
          <w:szCs w:val="20"/>
        </w:rPr>
        <w:t>the class licence</w:t>
      </w:r>
      <w:r w:rsidR="00C35CD5" w:rsidRPr="00D360F5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32F8C96E" w14:textId="40D2563F" w:rsidR="00E9357C" w:rsidRPr="00D360F5" w:rsidRDefault="003E7728" w:rsidP="00365EBE">
      <w:pPr>
        <w:rPr>
          <w:rFonts w:ascii="Arial" w:hAnsi="Arial" w:cs="Arial"/>
          <w:snapToGrid w:val="0"/>
          <w:sz w:val="20"/>
          <w:szCs w:val="20"/>
        </w:rPr>
      </w:pPr>
      <w:r w:rsidRPr="00D360F5">
        <w:rPr>
          <w:rFonts w:ascii="Arial" w:hAnsi="Arial" w:cs="Arial"/>
          <w:snapToGrid w:val="0"/>
          <w:sz w:val="20"/>
          <w:szCs w:val="20"/>
        </w:rPr>
        <w:t xml:space="preserve">Details of </w:t>
      </w:r>
      <w:r w:rsidR="00CD39F2" w:rsidRPr="00D360F5">
        <w:rPr>
          <w:rFonts w:ascii="Arial" w:hAnsi="Arial" w:cs="Arial"/>
          <w:snapToGrid w:val="0"/>
          <w:sz w:val="20"/>
          <w:szCs w:val="20"/>
        </w:rPr>
        <w:t>the class licence</w:t>
      </w:r>
      <w:r w:rsidR="00C35CD5" w:rsidRPr="00D360F5">
        <w:rPr>
          <w:rFonts w:ascii="Arial" w:hAnsi="Arial" w:cs="Arial"/>
          <w:snapToGrid w:val="0"/>
          <w:sz w:val="20"/>
          <w:szCs w:val="20"/>
        </w:rPr>
        <w:t xml:space="preserve"> </w:t>
      </w:r>
      <w:r w:rsidR="00352C0C" w:rsidRPr="00D360F5">
        <w:rPr>
          <w:rFonts w:ascii="Arial" w:hAnsi="Arial" w:cs="Arial"/>
          <w:snapToGrid w:val="0"/>
          <w:sz w:val="20"/>
          <w:szCs w:val="20"/>
        </w:rPr>
        <w:t>are</w:t>
      </w:r>
      <w:r w:rsidR="00B80A91" w:rsidRPr="00D360F5">
        <w:rPr>
          <w:rFonts w:ascii="Arial" w:hAnsi="Arial" w:cs="Arial"/>
          <w:snapToGrid w:val="0"/>
          <w:sz w:val="20"/>
          <w:szCs w:val="20"/>
        </w:rPr>
        <w:t xml:space="preserve"> set out</w:t>
      </w:r>
      <w:r w:rsidR="00352C0C" w:rsidRPr="00D360F5">
        <w:rPr>
          <w:rFonts w:ascii="Arial" w:hAnsi="Arial" w:cs="Arial"/>
          <w:snapToGrid w:val="0"/>
          <w:sz w:val="20"/>
          <w:szCs w:val="20"/>
        </w:rPr>
        <w:t xml:space="preserve"> in </w:t>
      </w:r>
      <w:r w:rsidR="00352C0C" w:rsidRPr="00D360F5">
        <w:rPr>
          <w:rFonts w:ascii="Arial" w:hAnsi="Arial" w:cs="Arial"/>
          <w:b/>
          <w:snapToGrid w:val="0"/>
          <w:sz w:val="20"/>
          <w:szCs w:val="20"/>
        </w:rPr>
        <w:t>Attachment A.</w:t>
      </w:r>
      <w:r w:rsidR="00352C0C" w:rsidRPr="00D360F5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5A718EF6" w14:textId="39E4B0ED" w:rsidR="00D1347D" w:rsidRPr="00D360F5" w:rsidRDefault="00227684" w:rsidP="00365EBE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Documents </w:t>
      </w:r>
      <w:r w:rsidR="00B27F40" w:rsidRPr="00D360F5">
        <w:rPr>
          <w:rFonts w:ascii="Arial" w:hAnsi="Arial" w:cs="Arial"/>
          <w:b/>
          <w:snapToGrid w:val="0"/>
          <w:sz w:val="20"/>
          <w:szCs w:val="20"/>
        </w:rPr>
        <w:t>I</w:t>
      </w:r>
      <w:r w:rsidR="00D1347D" w:rsidRPr="00D360F5">
        <w:rPr>
          <w:rFonts w:ascii="Arial" w:hAnsi="Arial" w:cs="Arial"/>
          <w:b/>
          <w:snapToGrid w:val="0"/>
          <w:sz w:val="20"/>
          <w:szCs w:val="20"/>
        </w:rPr>
        <w:t xml:space="preserve">ncorporated by </w:t>
      </w:r>
      <w:r>
        <w:rPr>
          <w:rFonts w:ascii="Arial" w:hAnsi="Arial" w:cs="Arial"/>
          <w:b/>
          <w:snapToGrid w:val="0"/>
          <w:sz w:val="20"/>
          <w:szCs w:val="20"/>
        </w:rPr>
        <w:t>R</w:t>
      </w:r>
      <w:r w:rsidR="00CE0E1F" w:rsidRPr="00D360F5">
        <w:rPr>
          <w:rFonts w:ascii="Arial" w:hAnsi="Arial" w:cs="Arial"/>
          <w:b/>
          <w:snapToGrid w:val="0"/>
          <w:sz w:val="20"/>
          <w:szCs w:val="20"/>
        </w:rPr>
        <w:t xml:space="preserve">eference </w:t>
      </w:r>
    </w:p>
    <w:p w14:paraId="51866A81" w14:textId="17E45023" w:rsidR="00EE151C" w:rsidRPr="00D360F5" w:rsidRDefault="00EE151C" w:rsidP="00365EBE">
      <w:pPr>
        <w:pStyle w:val="ACMABodyText"/>
        <w:spacing w:before="0" w:after="200" w:line="276" w:lineRule="auto"/>
        <w:rPr>
          <w:rFonts w:ascii="Arial" w:hAnsi="Arial" w:cs="Arial"/>
          <w:sz w:val="20"/>
          <w:lang w:val="en-US"/>
        </w:rPr>
      </w:pPr>
      <w:r w:rsidRPr="00D360F5">
        <w:rPr>
          <w:rFonts w:ascii="Arial" w:hAnsi="Arial" w:cs="Arial"/>
          <w:sz w:val="20"/>
          <w:lang w:val="en-US"/>
        </w:rPr>
        <w:t xml:space="preserve">The </w:t>
      </w:r>
      <w:r w:rsidR="00CE1289" w:rsidRPr="00D360F5">
        <w:rPr>
          <w:rFonts w:ascii="Arial" w:hAnsi="Arial" w:cs="Arial"/>
          <w:sz w:val="20"/>
          <w:lang w:val="en-US"/>
        </w:rPr>
        <w:t>c</w:t>
      </w:r>
      <w:r w:rsidR="00C35CD5" w:rsidRPr="00D360F5">
        <w:rPr>
          <w:rFonts w:ascii="Arial" w:hAnsi="Arial" w:cs="Arial"/>
          <w:sz w:val="20"/>
          <w:lang w:val="en-US"/>
        </w:rPr>
        <w:t xml:space="preserve">lass </w:t>
      </w:r>
      <w:r w:rsidR="00CE1289" w:rsidRPr="00D360F5">
        <w:rPr>
          <w:rFonts w:ascii="Arial" w:hAnsi="Arial" w:cs="Arial"/>
          <w:sz w:val="20"/>
          <w:lang w:val="en-US"/>
        </w:rPr>
        <w:t>l</w:t>
      </w:r>
      <w:r w:rsidR="00C35CD5" w:rsidRPr="00D360F5">
        <w:rPr>
          <w:rFonts w:ascii="Arial" w:hAnsi="Arial" w:cs="Arial"/>
          <w:sz w:val="20"/>
          <w:lang w:val="en-US"/>
        </w:rPr>
        <w:t xml:space="preserve">icence </w:t>
      </w:r>
      <w:r w:rsidR="00B27F40" w:rsidRPr="00D360F5">
        <w:rPr>
          <w:rFonts w:ascii="Arial" w:hAnsi="Arial" w:cs="Arial"/>
          <w:sz w:val="20"/>
          <w:lang w:val="en-US"/>
        </w:rPr>
        <w:t>refers to the following Acts and legislative instruments as in force from time to time (as permitted by section 314A of the Act):</w:t>
      </w:r>
    </w:p>
    <w:p w14:paraId="416BF1F0" w14:textId="77777777" w:rsidR="00B27F40" w:rsidRPr="00D360F5" w:rsidRDefault="00B27F40" w:rsidP="00B27F40">
      <w:pPr>
        <w:pStyle w:val="ACMABodyText"/>
        <w:numPr>
          <w:ilvl w:val="0"/>
          <w:numId w:val="1"/>
        </w:numPr>
        <w:spacing w:before="0" w:after="200" w:line="276" w:lineRule="auto"/>
        <w:ind w:left="0" w:firstLine="0"/>
        <w:rPr>
          <w:rFonts w:ascii="Arial" w:hAnsi="Arial" w:cs="Arial"/>
          <w:sz w:val="20"/>
        </w:rPr>
      </w:pPr>
      <w:r w:rsidRPr="00D360F5">
        <w:rPr>
          <w:rFonts w:ascii="Arial" w:hAnsi="Arial" w:cs="Arial"/>
          <w:i/>
          <w:sz w:val="20"/>
        </w:rPr>
        <w:t>Australian Radiofrequency Spectrum Plan 2013</w:t>
      </w:r>
    </w:p>
    <w:p w14:paraId="1F92DC27" w14:textId="729AC852" w:rsidR="00B27F40" w:rsidRPr="00D360F5" w:rsidRDefault="00B27F40" w:rsidP="00B27F40">
      <w:pPr>
        <w:pStyle w:val="ACMABodyText"/>
        <w:numPr>
          <w:ilvl w:val="0"/>
          <w:numId w:val="1"/>
        </w:numPr>
        <w:spacing w:before="0" w:after="200" w:line="276" w:lineRule="auto"/>
        <w:ind w:left="0" w:firstLine="0"/>
        <w:rPr>
          <w:rFonts w:ascii="Arial" w:hAnsi="Arial" w:cs="Arial"/>
          <w:sz w:val="20"/>
        </w:rPr>
      </w:pPr>
      <w:r w:rsidRPr="00D360F5">
        <w:rPr>
          <w:rFonts w:ascii="Arial" w:hAnsi="Arial" w:cs="Arial"/>
          <w:i/>
          <w:sz w:val="20"/>
        </w:rPr>
        <w:t>Radiocommunications Act 1992</w:t>
      </w:r>
    </w:p>
    <w:p w14:paraId="105E07BD" w14:textId="15644B8B" w:rsidR="00EE151C" w:rsidRPr="00D360F5" w:rsidRDefault="00422187" w:rsidP="00365EBE">
      <w:pPr>
        <w:pStyle w:val="ACMABodyText"/>
        <w:numPr>
          <w:ilvl w:val="0"/>
          <w:numId w:val="1"/>
        </w:numPr>
        <w:spacing w:before="0" w:after="200" w:line="276" w:lineRule="auto"/>
        <w:ind w:left="0" w:firstLine="0"/>
        <w:rPr>
          <w:rFonts w:ascii="Arial" w:hAnsi="Arial" w:cs="Arial"/>
          <w:sz w:val="20"/>
        </w:rPr>
      </w:pPr>
      <w:r w:rsidRPr="00D360F5">
        <w:rPr>
          <w:rFonts w:ascii="Arial" w:hAnsi="Arial" w:cs="Arial"/>
          <w:i/>
          <w:sz w:val="20"/>
          <w:lang w:val="en-US"/>
        </w:rPr>
        <w:t xml:space="preserve">Radiocommunications (Communication with Space Object) Class Licence </w:t>
      </w:r>
      <w:r w:rsidR="00227684">
        <w:rPr>
          <w:rFonts w:ascii="Arial" w:hAnsi="Arial" w:cs="Arial"/>
          <w:i/>
          <w:sz w:val="20"/>
          <w:lang w:val="en-US"/>
        </w:rPr>
        <w:t>2015</w:t>
      </w:r>
      <w:r w:rsidRPr="00D360F5">
        <w:rPr>
          <w:rFonts w:ascii="Arial" w:hAnsi="Arial" w:cs="Arial"/>
          <w:i/>
          <w:sz w:val="20"/>
          <w:lang w:val="en-US"/>
        </w:rPr>
        <w:t>.</w:t>
      </w:r>
    </w:p>
    <w:p w14:paraId="4F247A61" w14:textId="67CFC3D2" w:rsidR="00B27F40" w:rsidRPr="00D360F5" w:rsidRDefault="00B27F40" w:rsidP="00365EBE">
      <w:pPr>
        <w:pStyle w:val="ACMABodyText"/>
        <w:numPr>
          <w:ilvl w:val="0"/>
          <w:numId w:val="1"/>
        </w:numPr>
        <w:spacing w:before="0" w:after="200" w:line="276" w:lineRule="auto"/>
        <w:ind w:left="0" w:firstLine="0"/>
        <w:rPr>
          <w:rFonts w:ascii="Arial" w:hAnsi="Arial" w:cs="Arial"/>
          <w:sz w:val="20"/>
        </w:rPr>
      </w:pPr>
      <w:r w:rsidRPr="00D360F5">
        <w:rPr>
          <w:rFonts w:ascii="Arial" w:hAnsi="Arial" w:cs="Arial"/>
          <w:i/>
          <w:sz w:val="20"/>
        </w:rPr>
        <w:t xml:space="preserve">Radiocommunications </w:t>
      </w:r>
      <w:r w:rsidR="00D86E5C" w:rsidRPr="00D360F5">
        <w:rPr>
          <w:rFonts w:ascii="Arial" w:hAnsi="Arial" w:cs="Arial"/>
          <w:i/>
          <w:sz w:val="20"/>
        </w:rPr>
        <w:t>(</w:t>
      </w:r>
      <w:r w:rsidRPr="00D360F5">
        <w:rPr>
          <w:rFonts w:ascii="Arial" w:hAnsi="Arial" w:cs="Arial"/>
          <w:i/>
          <w:sz w:val="20"/>
        </w:rPr>
        <w:t>Interpretation</w:t>
      </w:r>
      <w:r w:rsidR="00D86E5C" w:rsidRPr="00D360F5">
        <w:rPr>
          <w:rFonts w:ascii="Arial" w:hAnsi="Arial" w:cs="Arial"/>
          <w:i/>
          <w:sz w:val="20"/>
        </w:rPr>
        <w:t>)</w:t>
      </w:r>
      <w:r w:rsidRPr="00D360F5">
        <w:rPr>
          <w:rFonts w:ascii="Arial" w:hAnsi="Arial" w:cs="Arial"/>
          <w:i/>
          <w:sz w:val="20"/>
        </w:rPr>
        <w:t xml:space="preserve"> Determination 2015</w:t>
      </w:r>
    </w:p>
    <w:p w14:paraId="19B3C1E0" w14:textId="5D3F5290" w:rsidR="00922D2F" w:rsidRPr="00D360F5" w:rsidRDefault="00C35CD5" w:rsidP="00365EBE">
      <w:pPr>
        <w:rPr>
          <w:rFonts w:ascii="Arial" w:hAnsi="Arial" w:cs="Arial"/>
          <w:sz w:val="20"/>
          <w:szCs w:val="20"/>
          <w:lang w:val="en-US"/>
        </w:rPr>
      </w:pPr>
      <w:r w:rsidRPr="00D360F5">
        <w:rPr>
          <w:rFonts w:ascii="Arial" w:hAnsi="Arial" w:cs="Arial"/>
          <w:sz w:val="20"/>
          <w:szCs w:val="20"/>
          <w:lang w:val="en-US"/>
        </w:rPr>
        <w:t xml:space="preserve">Acts and legislative instruments mentioned above can be found on </w:t>
      </w:r>
      <w:r w:rsidR="00B27F40" w:rsidRPr="00D360F5">
        <w:rPr>
          <w:rFonts w:ascii="Arial" w:hAnsi="Arial" w:cs="Arial"/>
          <w:sz w:val="20"/>
          <w:szCs w:val="20"/>
          <w:lang w:val="en-US"/>
        </w:rPr>
        <w:t xml:space="preserve">ComLaw at </w:t>
      </w:r>
      <w:hyperlink r:id="rId13" w:history="1">
        <w:r w:rsidR="00EE6AD5" w:rsidRPr="00D360F5">
          <w:rPr>
            <w:rStyle w:val="Hyperlink"/>
            <w:rFonts w:ascii="Arial" w:hAnsi="Arial" w:cs="Arial"/>
            <w:sz w:val="20"/>
            <w:szCs w:val="20"/>
            <w:lang w:val="en-US"/>
          </w:rPr>
          <w:t>www.comlaw.gov.au</w:t>
        </w:r>
      </w:hyperlink>
      <w:r w:rsidR="00B27F40" w:rsidRPr="00D360F5">
        <w:rPr>
          <w:rFonts w:ascii="Arial" w:hAnsi="Arial" w:cs="Arial"/>
          <w:sz w:val="20"/>
          <w:szCs w:val="20"/>
          <w:lang w:val="en-US"/>
        </w:rPr>
        <w:t>.</w:t>
      </w:r>
    </w:p>
    <w:p w14:paraId="15E635D2" w14:textId="7A218CC4" w:rsidR="00352C0C" w:rsidRPr="00D360F5" w:rsidRDefault="00352C0C" w:rsidP="00365EBE">
      <w:pPr>
        <w:keepNext/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t xml:space="preserve">Statement of </w:t>
      </w:r>
      <w:r w:rsidR="00B80A91" w:rsidRPr="00D360F5">
        <w:rPr>
          <w:rFonts w:ascii="Arial" w:hAnsi="Arial" w:cs="Arial"/>
          <w:b/>
          <w:snapToGrid w:val="0"/>
          <w:sz w:val="20"/>
          <w:szCs w:val="20"/>
        </w:rPr>
        <w:t xml:space="preserve">Compatibility </w:t>
      </w:r>
      <w:r w:rsidRPr="00D360F5">
        <w:rPr>
          <w:rFonts w:ascii="Arial" w:hAnsi="Arial" w:cs="Arial"/>
          <w:b/>
          <w:snapToGrid w:val="0"/>
          <w:sz w:val="20"/>
          <w:szCs w:val="20"/>
        </w:rPr>
        <w:t xml:space="preserve">with </w:t>
      </w:r>
      <w:r w:rsidR="00B80A91" w:rsidRPr="00D360F5">
        <w:rPr>
          <w:rFonts w:ascii="Arial" w:hAnsi="Arial" w:cs="Arial"/>
          <w:b/>
          <w:snapToGrid w:val="0"/>
          <w:sz w:val="20"/>
          <w:szCs w:val="20"/>
        </w:rPr>
        <w:t xml:space="preserve">Human Rights </w:t>
      </w:r>
    </w:p>
    <w:p w14:paraId="4A056C3F" w14:textId="77777777" w:rsidR="000816DC" w:rsidRPr="00D360F5" w:rsidRDefault="000816DC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 xml:space="preserve">As required under the </w:t>
      </w:r>
      <w:r w:rsidRPr="00D360F5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D360F5">
        <w:rPr>
          <w:rFonts w:ascii="Arial" w:hAnsi="Arial" w:cs="Arial"/>
          <w:sz w:val="20"/>
          <w:szCs w:val="20"/>
        </w:rPr>
        <w:t xml:space="preserve">, a Statement of Compatibility with Human Rights has been prepared by the ACMA and is at </w:t>
      </w:r>
      <w:r w:rsidRPr="00D360F5">
        <w:rPr>
          <w:rFonts w:ascii="Arial" w:hAnsi="Arial" w:cs="Arial"/>
          <w:b/>
          <w:sz w:val="20"/>
          <w:szCs w:val="20"/>
        </w:rPr>
        <w:t>Attachment B.</w:t>
      </w:r>
    </w:p>
    <w:p w14:paraId="76CAC1C1" w14:textId="77777777" w:rsidR="000816DC" w:rsidRPr="00D360F5" w:rsidRDefault="000816DC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br w:type="page"/>
      </w:r>
    </w:p>
    <w:p w14:paraId="68106594" w14:textId="77777777" w:rsidR="00352C0C" w:rsidRPr="00D360F5" w:rsidRDefault="00834556" w:rsidP="00365EBE">
      <w:pPr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lastRenderedPageBreak/>
        <w:t>Attachment A</w:t>
      </w:r>
    </w:p>
    <w:p w14:paraId="5815CC76" w14:textId="4856EAE1" w:rsidR="00D1347D" w:rsidRPr="00D360F5" w:rsidRDefault="00834556" w:rsidP="00365EBE">
      <w:pPr>
        <w:rPr>
          <w:rFonts w:ascii="Arial" w:hAnsi="Arial" w:cs="Arial"/>
          <w:b/>
          <w:snapToGrid w:val="0"/>
          <w:sz w:val="20"/>
          <w:szCs w:val="20"/>
        </w:rPr>
      </w:pPr>
      <w:r w:rsidRPr="00D360F5">
        <w:rPr>
          <w:rFonts w:ascii="Arial" w:hAnsi="Arial" w:cs="Arial"/>
          <w:b/>
          <w:snapToGrid w:val="0"/>
          <w:sz w:val="20"/>
          <w:szCs w:val="20"/>
        </w:rPr>
        <w:t>Detailed description of th</w:t>
      </w:r>
      <w:r w:rsidR="00B34E27" w:rsidRPr="00D360F5">
        <w:rPr>
          <w:rFonts w:ascii="Arial" w:hAnsi="Arial" w:cs="Arial"/>
          <w:b/>
          <w:snapToGrid w:val="0"/>
          <w:sz w:val="20"/>
          <w:szCs w:val="20"/>
        </w:rPr>
        <w:t xml:space="preserve">e </w:t>
      </w:r>
      <w:r w:rsidR="002B35F1" w:rsidRPr="00D360F5">
        <w:rPr>
          <w:rFonts w:ascii="Arial" w:eastAsia="Times New Roman" w:hAnsi="Arial" w:cs="Arial"/>
          <w:b/>
          <w:i/>
          <w:sz w:val="20"/>
          <w:szCs w:val="20"/>
          <w:lang w:eastAsia="en-AU"/>
        </w:rPr>
        <w:t>Radiocommunications (Radionavigation-Satellite Service) Class Licence 2015</w:t>
      </w:r>
      <w:r w:rsidRPr="00D360F5">
        <w:rPr>
          <w:rFonts w:ascii="Arial" w:hAnsi="Arial" w:cs="Arial"/>
          <w:b/>
          <w:i/>
          <w:snapToGrid w:val="0"/>
          <w:sz w:val="20"/>
          <w:szCs w:val="20"/>
        </w:rPr>
        <w:t xml:space="preserve"> </w:t>
      </w:r>
    </w:p>
    <w:p w14:paraId="5751A1B5" w14:textId="0AF9F966" w:rsidR="00D1347D" w:rsidRPr="00D360F5" w:rsidRDefault="00B34E27" w:rsidP="00365EBE">
      <w:pPr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>Section 1</w:t>
      </w:r>
      <w:r w:rsidRPr="00D360F5">
        <w:rPr>
          <w:rFonts w:ascii="Arial" w:hAnsi="Arial" w:cs="Arial"/>
          <w:b/>
          <w:sz w:val="20"/>
          <w:szCs w:val="20"/>
        </w:rPr>
        <w:tab/>
        <w:t xml:space="preserve">Name of </w:t>
      </w:r>
      <w:r w:rsidR="00CD1BEF" w:rsidRPr="00D360F5">
        <w:rPr>
          <w:rFonts w:ascii="Arial" w:hAnsi="Arial" w:cs="Arial"/>
          <w:b/>
          <w:sz w:val="20"/>
          <w:szCs w:val="20"/>
        </w:rPr>
        <w:t>class licence</w:t>
      </w:r>
    </w:p>
    <w:p w14:paraId="71B58A99" w14:textId="0242093F" w:rsidR="00D1347D" w:rsidRPr="00D360F5" w:rsidRDefault="00B2389E" w:rsidP="00365EBE">
      <w:pPr>
        <w:rPr>
          <w:rFonts w:ascii="Arial" w:hAnsi="Arial" w:cs="Arial"/>
          <w:i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>Section 1 provides that</w:t>
      </w:r>
      <w:r w:rsidR="004C6EC1" w:rsidRPr="00D360F5">
        <w:rPr>
          <w:rFonts w:ascii="Arial" w:hAnsi="Arial" w:cs="Arial"/>
          <w:sz w:val="20"/>
          <w:szCs w:val="20"/>
        </w:rPr>
        <w:t xml:space="preserve"> the </w:t>
      </w:r>
      <w:r w:rsidR="002836D4" w:rsidRPr="00D360F5">
        <w:rPr>
          <w:rFonts w:ascii="Arial" w:hAnsi="Arial" w:cs="Arial"/>
          <w:sz w:val="20"/>
          <w:szCs w:val="20"/>
        </w:rPr>
        <w:t>class licence</w:t>
      </w:r>
      <w:r w:rsidR="004C6EC1" w:rsidRPr="00D360F5">
        <w:rPr>
          <w:rFonts w:ascii="Arial" w:hAnsi="Arial" w:cs="Arial"/>
          <w:sz w:val="20"/>
          <w:szCs w:val="20"/>
        </w:rPr>
        <w:t xml:space="preserve"> </w:t>
      </w:r>
      <w:r w:rsidRPr="00D360F5">
        <w:rPr>
          <w:rFonts w:ascii="Arial" w:hAnsi="Arial" w:cs="Arial"/>
          <w:sz w:val="20"/>
          <w:szCs w:val="20"/>
        </w:rPr>
        <w:t xml:space="preserve">is </w:t>
      </w:r>
      <w:r w:rsidR="004C6EC1" w:rsidRPr="00D360F5">
        <w:rPr>
          <w:rFonts w:ascii="Arial" w:hAnsi="Arial" w:cs="Arial"/>
          <w:sz w:val="20"/>
          <w:szCs w:val="20"/>
        </w:rPr>
        <w:t xml:space="preserve">the </w:t>
      </w:r>
      <w:r w:rsidR="002B35F1" w:rsidRPr="00D360F5">
        <w:rPr>
          <w:rFonts w:ascii="Arial" w:hAnsi="Arial" w:cs="Arial"/>
          <w:i/>
          <w:sz w:val="20"/>
          <w:szCs w:val="20"/>
        </w:rPr>
        <w:t>Radiocommunications (Radionavigation-Satellite Service) Class Licence 2015</w:t>
      </w:r>
      <w:r w:rsidR="00D1347D" w:rsidRPr="00D360F5">
        <w:rPr>
          <w:rFonts w:ascii="Arial" w:hAnsi="Arial" w:cs="Arial"/>
          <w:i/>
          <w:sz w:val="20"/>
          <w:szCs w:val="20"/>
        </w:rPr>
        <w:t>.</w:t>
      </w:r>
    </w:p>
    <w:p w14:paraId="5C92F45C" w14:textId="77777777" w:rsidR="00D1347D" w:rsidRPr="00D360F5" w:rsidRDefault="00D1347D" w:rsidP="00365EBE">
      <w:pPr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>Section 2</w:t>
      </w:r>
      <w:r w:rsidRPr="00D360F5">
        <w:rPr>
          <w:rFonts w:ascii="Arial" w:hAnsi="Arial" w:cs="Arial"/>
          <w:b/>
          <w:sz w:val="20"/>
          <w:szCs w:val="20"/>
        </w:rPr>
        <w:tab/>
        <w:t xml:space="preserve">Commencement </w:t>
      </w:r>
    </w:p>
    <w:p w14:paraId="0CB5531A" w14:textId="43B2C5FF" w:rsidR="00D1347D" w:rsidRPr="00D360F5" w:rsidRDefault="00B2389E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>Section 2</w:t>
      </w:r>
      <w:r w:rsidR="00D1347D" w:rsidRPr="00D360F5">
        <w:rPr>
          <w:rFonts w:ascii="Arial" w:hAnsi="Arial" w:cs="Arial"/>
          <w:sz w:val="20"/>
          <w:szCs w:val="20"/>
        </w:rPr>
        <w:t xml:space="preserve"> provides that 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="00CA1D17" w:rsidRPr="00D360F5">
        <w:rPr>
          <w:rFonts w:ascii="Arial" w:hAnsi="Arial" w:cs="Arial"/>
          <w:sz w:val="20"/>
          <w:szCs w:val="20"/>
        </w:rPr>
        <w:t xml:space="preserve"> </w:t>
      </w:r>
      <w:r w:rsidR="00D1347D" w:rsidRPr="00D360F5">
        <w:rPr>
          <w:rFonts w:ascii="Arial" w:hAnsi="Arial" w:cs="Arial"/>
          <w:sz w:val="20"/>
          <w:szCs w:val="20"/>
        </w:rPr>
        <w:t xml:space="preserve">commences on the </w:t>
      </w:r>
      <w:r w:rsidR="00B27F40" w:rsidRPr="00D360F5">
        <w:rPr>
          <w:rFonts w:ascii="Arial" w:hAnsi="Arial" w:cs="Arial"/>
          <w:sz w:val="20"/>
          <w:szCs w:val="20"/>
        </w:rPr>
        <w:t>late</w:t>
      </w:r>
      <w:r w:rsidR="00227684">
        <w:rPr>
          <w:rFonts w:ascii="Arial" w:hAnsi="Arial" w:cs="Arial"/>
          <w:sz w:val="20"/>
          <w:szCs w:val="20"/>
        </w:rPr>
        <w:t>st</w:t>
      </w:r>
      <w:r w:rsidR="00B27F40" w:rsidRPr="00D360F5">
        <w:rPr>
          <w:rFonts w:ascii="Arial" w:hAnsi="Arial" w:cs="Arial"/>
          <w:sz w:val="20"/>
          <w:szCs w:val="20"/>
        </w:rPr>
        <w:t xml:space="preserve"> of the </w:t>
      </w:r>
      <w:r w:rsidR="00D1347D" w:rsidRPr="00D360F5">
        <w:rPr>
          <w:rFonts w:ascii="Arial" w:hAnsi="Arial" w:cs="Arial"/>
          <w:sz w:val="20"/>
          <w:szCs w:val="20"/>
        </w:rPr>
        <w:t>day after it is registered on the Federal Register of Legislative Instruments</w:t>
      </w:r>
      <w:r w:rsidR="00B27F40" w:rsidRPr="00D360F5">
        <w:rPr>
          <w:rFonts w:ascii="Arial" w:hAnsi="Arial" w:cs="Arial"/>
          <w:sz w:val="20"/>
          <w:szCs w:val="20"/>
        </w:rPr>
        <w:t xml:space="preserve">, the day on which it is published in the Gazette or the day that the </w:t>
      </w:r>
      <w:r w:rsidR="00B27F40" w:rsidRPr="00D360F5">
        <w:rPr>
          <w:rFonts w:ascii="Arial" w:hAnsi="Arial" w:cs="Arial"/>
          <w:i/>
          <w:sz w:val="20"/>
          <w:szCs w:val="20"/>
        </w:rPr>
        <w:t xml:space="preserve">Radiocommunications (Communication with Space Object) Class Licence 2015 </w:t>
      </w:r>
      <w:r w:rsidR="00B27F40" w:rsidRPr="00D360F5">
        <w:rPr>
          <w:rFonts w:ascii="Arial" w:hAnsi="Arial" w:cs="Arial"/>
          <w:sz w:val="20"/>
          <w:szCs w:val="20"/>
        </w:rPr>
        <w:t xml:space="preserve">commences, Each of these things must occur in order for 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="00B27F40" w:rsidRPr="00D360F5">
        <w:rPr>
          <w:rFonts w:ascii="Arial" w:hAnsi="Arial" w:cs="Arial"/>
          <w:sz w:val="20"/>
          <w:szCs w:val="20"/>
        </w:rPr>
        <w:t xml:space="preserve"> to commence</w:t>
      </w:r>
      <w:r w:rsidR="00D1347D" w:rsidRPr="00D360F5">
        <w:rPr>
          <w:rFonts w:ascii="Arial" w:hAnsi="Arial" w:cs="Arial"/>
          <w:sz w:val="20"/>
          <w:szCs w:val="20"/>
        </w:rPr>
        <w:t xml:space="preserve">.  </w:t>
      </w:r>
      <w:r w:rsidR="00B27F40" w:rsidRPr="00D360F5">
        <w:rPr>
          <w:rFonts w:ascii="Arial" w:hAnsi="Arial" w:cs="Arial"/>
          <w:sz w:val="20"/>
          <w:szCs w:val="20"/>
        </w:rPr>
        <w:t xml:space="preserve">Publication in the Gazette is a requirement under subsection 132(1) of the Act. </w:t>
      </w:r>
    </w:p>
    <w:p w14:paraId="4FE772D1" w14:textId="60D43938" w:rsidR="00B34E27" w:rsidRPr="00D360F5" w:rsidRDefault="00B34E27" w:rsidP="00365EBE">
      <w:pPr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 xml:space="preserve">Section </w:t>
      </w:r>
      <w:r w:rsidR="00757012" w:rsidRPr="00D360F5">
        <w:rPr>
          <w:rFonts w:ascii="Arial" w:hAnsi="Arial" w:cs="Arial"/>
          <w:b/>
          <w:sz w:val="20"/>
          <w:szCs w:val="20"/>
        </w:rPr>
        <w:t>3</w:t>
      </w:r>
      <w:r w:rsidRPr="00D360F5">
        <w:rPr>
          <w:rFonts w:ascii="Arial" w:hAnsi="Arial" w:cs="Arial"/>
          <w:b/>
          <w:sz w:val="20"/>
          <w:szCs w:val="20"/>
        </w:rPr>
        <w:tab/>
      </w:r>
      <w:r w:rsidR="00CD1BEF" w:rsidRPr="00D360F5">
        <w:rPr>
          <w:rFonts w:ascii="Arial" w:hAnsi="Arial" w:cs="Arial"/>
          <w:b/>
          <w:sz w:val="20"/>
          <w:szCs w:val="20"/>
        </w:rPr>
        <w:t>Interpretation</w:t>
      </w:r>
      <w:r w:rsidRPr="00D360F5">
        <w:rPr>
          <w:rFonts w:ascii="Arial" w:hAnsi="Arial" w:cs="Arial"/>
          <w:b/>
          <w:sz w:val="20"/>
          <w:szCs w:val="20"/>
        </w:rPr>
        <w:t xml:space="preserve"> </w:t>
      </w:r>
    </w:p>
    <w:p w14:paraId="44E60239" w14:textId="2E01DEC3" w:rsidR="00B34E27" w:rsidRPr="00D360F5" w:rsidRDefault="00B2389E" w:rsidP="00365EBE">
      <w:pPr>
        <w:rPr>
          <w:rFonts w:ascii="Arial" w:hAnsi="Arial" w:cs="Arial"/>
          <w:i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 xml:space="preserve">Section </w:t>
      </w:r>
      <w:r w:rsidR="00757012" w:rsidRPr="00D360F5">
        <w:rPr>
          <w:rFonts w:ascii="Arial" w:hAnsi="Arial" w:cs="Arial"/>
          <w:sz w:val="20"/>
          <w:szCs w:val="20"/>
        </w:rPr>
        <w:t>3</w:t>
      </w:r>
      <w:r w:rsidR="0077399B" w:rsidRPr="00D360F5">
        <w:rPr>
          <w:rFonts w:ascii="Arial" w:hAnsi="Arial" w:cs="Arial"/>
          <w:sz w:val="20"/>
          <w:szCs w:val="20"/>
        </w:rPr>
        <w:t xml:space="preserve"> defines </w:t>
      </w:r>
      <w:r w:rsidRPr="00D360F5">
        <w:rPr>
          <w:rFonts w:ascii="Arial" w:hAnsi="Arial" w:cs="Arial"/>
          <w:sz w:val="20"/>
          <w:szCs w:val="20"/>
        </w:rPr>
        <w:t xml:space="preserve">various </w:t>
      </w:r>
      <w:r w:rsidR="0077399B" w:rsidRPr="00D360F5">
        <w:rPr>
          <w:rFonts w:ascii="Arial" w:hAnsi="Arial" w:cs="Arial"/>
          <w:sz w:val="20"/>
          <w:szCs w:val="20"/>
        </w:rPr>
        <w:t xml:space="preserve">terms used </w:t>
      </w:r>
      <w:r w:rsidRPr="00D360F5">
        <w:rPr>
          <w:rFonts w:ascii="Arial" w:hAnsi="Arial" w:cs="Arial"/>
          <w:sz w:val="20"/>
          <w:szCs w:val="20"/>
        </w:rPr>
        <w:t>in the</w:t>
      </w:r>
      <w:r w:rsidR="0077399B" w:rsidRPr="00D360F5">
        <w:rPr>
          <w:rFonts w:ascii="Arial" w:hAnsi="Arial" w:cs="Arial"/>
          <w:sz w:val="20"/>
          <w:szCs w:val="20"/>
        </w:rPr>
        <w:t xml:space="preserve"> </w:t>
      </w:r>
      <w:r w:rsidR="00996F05" w:rsidRPr="00D360F5">
        <w:rPr>
          <w:rFonts w:ascii="Arial" w:hAnsi="Arial" w:cs="Arial"/>
          <w:sz w:val="20"/>
          <w:szCs w:val="20"/>
        </w:rPr>
        <w:t>class licence</w:t>
      </w:r>
      <w:r w:rsidRPr="00D360F5">
        <w:rPr>
          <w:rFonts w:ascii="Arial" w:hAnsi="Arial" w:cs="Arial"/>
          <w:sz w:val="20"/>
          <w:szCs w:val="20"/>
        </w:rPr>
        <w:t>.</w:t>
      </w:r>
      <w:r w:rsidR="00B27F40" w:rsidRPr="00D360F5">
        <w:rPr>
          <w:rFonts w:ascii="Arial" w:hAnsi="Arial" w:cs="Arial"/>
          <w:sz w:val="20"/>
          <w:szCs w:val="20"/>
        </w:rPr>
        <w:t xml:space="preserve"> </w:t>
      </w:r>
      <w:r w:rsidR="00D86E5C" w:rsidRPr="00D360F5">
        <w:rPr>
          <w:rFonts w:ascii="Arial" w:hAnsi="Arial" w:cs="Arial"/>
          <w:sz w:val="20"/>
          <w:szCs w:val="20"/>
        </w:rPr>
        <w:t xml:space="preserve">The note at the end of this section </w:t>
      </w:r>
      <w:r w:rsidR="00C37E33" w:rsidRPr="00D360F5">
        <w:rPr>
          <w:rFonts w:ascii="Arial" w:hAnsi="Arial" w:cs="Arial"/>
          <w:sz w:val="20"/>
          <w:szCs w:val="20"/>
        </w:rPr>
        <w:t>provides</w:t>
      </w:r>
      <w:r w:rsidR="00D86E5C" w:rsidRPr="00D360F5">
        <w:rPr>
          <w:rFonts w:ascii="Arial" w:hAnsi="Arial" w:cs="Arial"/>
          <w:sz w:val="20"/>
          <w:szCs w:val="20"/>
        </w:rPr>
        <w:t xml:space="preserve"> that expressions not defined in 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="00D86E5C" w:rsidRPr="00D360F5">
        <w:rPr>
          <w:rFonts w:ascii="Arial" w:hAnsi="Arial" w:cs="Arial"/>
          <w:sz w:val="20"/>
          <w:szCs w:val="20"/>
        </w:rPr>
        <w:t xml:space="preserve"> may be defined in the Act </w:t>
      </w:r>
      <w:r w:rsidR="004760F9" w:rsidRPr="00D360F5">
        <w:rPr>
          <w:rFonts w:ascii="Arial" w:hAnsi="Arial" w:cs="Arial"/>
          <w:sz w:val="20"/>
          <w:szCs w:val="20"/>
        </w:rPr>
        <w:t xml:space="preserve">or </w:t>
      </w:r>
      <w:r w:rsidR="00D86E5C" w:rsidRPr="00D360F5">
        <w:rPr>
          <w:rFonts w:ascii="Arial" w:hAnsi="Arial" w:cs="Arial"/>
          <w:sz w:val="20"/>
          <w:szCs w:val="20"/>
        </w:rPr>
        <w:t xml:space="preserve">the </w:t>
      </w:r>
      <w:r w:rsidR="00D86E5C" w:rsidRPr="00D360F5">
        <w:rPr>
          <w:rFonts w:ascii="Arial" w:hAnsi="Arial" w:cs="Arial"/>
          <w:i/>
          <w:sz w:val="20"/>
          <w:szCs w:val="20"/>
        </w:rPr>
        <w:t>Radiocommunications (Interpretation) Determination 2015.</w:t>
      </w:r>
    </w:p>
    <w:p w14:paraId="2B41CF7C" w14:textId="3C62B1D0" w:rsidR="00B34E27" w:rsidRPr="00D360F5" w:rsidRDefault="00B34E27" w:rsidP="00365EBE">
      <w:pPr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 xml:space="preserve">Section </w:t>
      </w:r>
      <w:r w:rsidR="00757012" w:rsidRPr="00D360F5">
        <w:rPr>
          <w:rFonts w:ascii="Arial" w:hAnsi="Arial" w:cs="Arial"/>
          <w:b/>
          <w:sz w:val="20"/>
          <w:szCs w:val="20"/>
        </w:rPr>
        <w:t>4</w:t>
      </w:r>
      <w:r w:rsidRPr="00D360F5">
        <w:rPr>
          <w:rFonts w:ascii="Arial" w:hAnsi="Arial" w:cs="Arial"/>
          <w:b/>
          <w:sz w:val="20"/>
          <w:szCs w:val="20"/>
        </w:rPr>
        <w:tab/>
      </w:r>
      <w:r w:rsidR="00CD1BEF" w:rsidRPr="00D360F5">
        <w:rPr>
          <w:rFonts w:ascii="Arial" w:hAnsi="Arial" w:cs="Arial"/>
          <w:b/>
          <w:sz w:val="20"/>
          <w:szCs w:val="20"/>
        </w:rPr>
        <w:t xml:space="preserve">Class </w:t>
      </w:r>
      <w:r w:rsidR="00227684">
        <w:rPr>
          <w:rFonts w:ascii="Arial" w:hAnsi="Arial" w:cs="Arial"/>
          <w:b/>
          <w:sz w:val="20"/>
          <w:szCs w:val="20"/>
        </w:rPr>
        <w:t>L</w:t>
      </w:r>
      <w:r w:rsidR="00CD1BEF" w:rsidRPr="00D360F5">
        <w:rPr>
          <w:rFonts w:ascii="Arial" w:hAnsi="Arial" w:cs="Arial"/>
          <w:b/>
          <w:sz w:val="20"/>
          <w:szCs w:val="20"/>
        </w:rPr>
        <w:t>icence</w:t>
      </w:r>
      <w:r w:rsidRPr="00D360F5">
        <w:rPr>
          <w:rFonts w:ascii="Arial" w:hAnsi="Arial" w:cs="Arial"/>
          <w:b/>
          <w:sz w:val="20"/>
          <w:szCs w:val="20"/>
        </w:rPr>
        <w:t xml:space="preserve"> </w:t>
      </w:r>
    </w:p>
    <w:p w14:paraId="1A95E955" w14:textId="547893D4" w:rsidR="00D13C67" w:rsidRPr="00D360F5" w:rsidRDefault="00D86E5C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>Subs</w:t>
      </w:r>
      <w:r w:rsidR="0000663E" w:rsidRPr="00D360F5">
        <w:rPr>
          <w:rFonts w:ascii="Arial" w:hAnsi="Arial" w:cs="Arial"/>
          <w:sz w:val="20"/>
          <w:szCs w:val="20"/>
        </w:rPr>
        <w:t xml:space="preserve">ection </w:t>
      </w:r>
      <w:r w:rsidR="00757012" w:rsidRPr="00D360F5">
        <w:rPr>
          <w:rFonts w:ascii="Arial" w:hAnsi="Arial" w:cs="Arial"/>
          <w:sz w:val="20"/>
          <w:szCs w:val="20"/>
        </w:rPr>
        <w:t>4</w:t>
      </w:r>
      <w:r w:rsidRPr="00D360F5">
        <w:rPr>
          <w:rFonts w:ascii="Arial" w:hAnsi="Arial" w:cs="Arial"/>
          <w:sz w:val="20"/>
          <w:szCs w:val="20"/>
        </w:rPr>
        <w:t>(1)</w:t>
      </w:r>
      <w:r w:rsidR="0077399B" w:rsidRPr="00D360F5">
        <w:rPr>
          <w:rFonts w:ascii="Arial" w:hAnsi="Arial" w:cs="Arial"/>
          <w:sz w:val="20"/>
          <w:szCs w:val="20"/>
        </w:rPr>
        <w:t xml:space="preserve"> </w:t>
      </w:r>
      <w:r w:rsidRPr="00D360F5">
        <w:rPr>
          <w:rFonts w:ascii="Arial" w:hAnsi="Arial" w:cs="Arial"/>
          <w:sz w:val="20"/>
          <w:szCs w:val="20"/>
        </w:rPr>
        <w:t xml:space="preserve">authorises any person to </w:t>
      </w:r>
      <w:r w:rsidR="00EA75DA" w:rsidRPr="00D360F5">
        <w:rPr>
          <w:rFonts w:ascii="Arial" w:hAnsi="Arial" w:cs="Arial"/>
          <w:sz w:val="20"/>
          <w:szCs w:val="20"/>
        </w:rPr>
        <w:t>operate a</w:t>
      </w:r>
      <w:r w:rsidRPr="00D360F5">
        <w:rPr>
          <w:rFonts w:ascii="Arial" w:hAnsi="Arial" w:cs="Arial"/>
          <w:sz w:val="20"/>
          <w:szCs w:val="20"/>
        </w:rPr>
        <w:t xml:space="preserve"> RNSS receiver </w:t>
      </w:r>
      <w:r w:rsidR="00CD1BEF" w:rsidRPr="00D360F5">
        <w:rPr>
          <w:rFonts w:ascii="Arial" w:hAnsi="Arial" w:cs="Arial"/>
          <w:sz w:val="20"/>
          <w:szCs w:val="20"/>
        </w:rPr>
        <w:t>for the purpose of reception of radionavigation-satellite service</w:t>
      </w:r>
      <w:r w:rsidR="00EA75DA" w:rsidRPr="00D360F5">
        <w:rPr>
          <w:rFonts w:ascii="Arial" w:hAnsi="Arial" w:cs="Arial"/>
          <w:sz w:val="20"/>
          <w:szCs w:val="20"/>
        </w:rPr>
        <w:t xml:space="preserve"> radiocommunication</w:t>
      </w:r>
      <w:r w:rsidRPr="00D360F5">
        <w:rPr>
          <w:rFonts w:ascii="Arial" w:hAnsi="Arial" w:cs="Arial"/>
          <w:sz w:val="20"/>
          <w:szCs w:val="20"/>
        </w:rPr>
        <w:t>s</w:t>
      </w:r>
      <w:r w:rsidR="002F365F" w:rsidRPr="00D360F5">
        <w:rPr>
          <w:rFonts w:ascii="Arial" w:hAnsi="Arial" w:cs="Arial"/>
          <w:sz w:val="20"/>
          <w:szCs w:val="20"/>
        </w:rPr>
        <w:t>. Th</w:t>
      </w:r>
      <w:r w:rsidR="00CD1BEF" w:rsidRPr="00D360F5">
        <w:rPr>
          <w:rFonts w:ascii="Arial" w:hAnsi="Arial" w:cs="Arial"/>
          <w:sz w:val="20"/>
          <w:szCs w:val="20"/>
        </w:rPr>
        <w:t>is</w:t>
      </w:r>
      <w:r w:rsidR="002F365F" w:rsidRPr="00D360F5">
        <w:rPr>
          <w:rFonts w:ascii="Arial" w:hAnsi="Arial" w:cs="Arial"/>
          <w:sz w:val="20"/>
          <w:szCs w:val="20"/>
        </w:rPr>
        <w:t xml:space="preserve"> </w:t>
      </w:r>
      <w:r w:rsidRPr="00D360F5">
        <w:rPr>
          <w:rFonts w:ascii="Arial" w:hAnsi="Arial" w:cs="Arial"/>
          <w:sz w:val="20"/>
          <w:szCs w:val="20"/>
        </w:rPr>
        <w:t xml:space="preserve">authorisation </w:t>
      </w:r>
      <w:r w:rsidR="00CD1BEF" w:rsidRPr="00D360F5">
        <w:rPr>
          <w:rFonts w:ascii="Arial" w:hAnsi="Arial" w:cs="Arial"/>
          <w:sz w:val="20"/>
          <w:szCs w:val="20"/>
        </w:rPr>
        <w:t>is subject to the conditions set out in sections 5 and 6</w:t>
      </w:r>
      <w:r w:rsidR="00B53CF8" w:rsidRPr="00D360F5">
        <w:rPr>
          <w:rFonts w:ascii="Arial" w:hAnsi="Arial" w:cs="Arial"/>
          <w:sz w:val="20"/>
          <w:szCs w:val="20"/>
        </w:rPr>
        <w:t>.</w:t>
      </w:r>
      <w:r w:rsidR="00E815B4" w:rsidRPr="00D360F5">
        <w:rPr>
          <w:rFonts w:ascii="Arial" w:hAnsi="Arial" w:cs="Arial"/>
          <w:sz w:val="20"/>
          <w:szCs w:val="20"/>
        </w:rPr>
        <w:t xml:space="preserve"> </w:t>
      </w:r>
    </w:p>
    <w:p w14:paraId="23014D71" w14:textId="30CBFF30" w:rsidR="00B34E27" w:rsidRPr="00D360F5" w:rsidRDefault="00D86E5C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t xml:space="preserve">The authorisation in subsection 4(1) does not apply to RNSS receivers located on a space object or RNSS receivers that are authorised by an apparatus licences to operate for a purpose that is substantially the same as the purpose authorised by </w:t>
      </w:r>
      <w:r w:rsidR="00CD39F2" w:rsidRPr="00D360F5">
        <w:rPr>
          <w:rFonts w:ascii="Arial" w:hAnsi="Arial" w:cs="Arial"/>
          <w:sz w:val="20"/>
          <w:szCs w:val="20"/>
        </w:rPr>
        <w:t>the class licence</w:t>
      </w:r>
      <w:r w:rsidRPr="00D360F5">
        <w:rPr>
          <w:rFonts w:ascii="Arial" w:hAnsi="Arial" w:cs="Arial"/>
          <w:sz w:val="20"/>
          <w:szCs w:val="20"/>
        </w:rPr>
        <w:t xml:space="preserve">. </w:t>
      </w:r>
      <w:r w:rsidR="00E815B4" w:rsidRPr="00D360F5">
        <w:rPr>
          <w:rFonts w:ascii="Arial" w:hAnsi="Arial" w:cs="Arial"/>
          <w:sz w:val="20"/>
          <w:szCs w:val="20"/>
        </w:rPr>
        <w:t>.</w:t>
      </w:r>
    </w:p>
    <w:p w14:paraId="2DE9EFF5" w14:textId="0DCDF4B9" w:rsidR="00B34E27" w:rsidRPr="00D360F5" w:rsidRDefault="00B34E27" w:rsidP="00365EBE">
      <w:pPr>
        <w:rPr>
          <w:rFonts w:ascii="Arial" w:hAnsi="Arial" w:cs="Arial"/>
          <w:b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 xml:space="preserve">Section </w:t>
      </w:r>
      <w:r w:rsidR="00757012" w:rsidRPr="00D360F5">
        <w:rPr>
          <w:rFonts w:ascii="Arial" w:hAnsi="Arial" w:cs="Arial"/>
          <w:b/>
          <w:sz w:val="20"/>
          <w:szCs w:val="20"/>
        </w:rPr>
        <w:t>5</w:t>
      </w:r>
      <w:r w:rsidRPr="00D360F5">
        <w:rPr>
          <w:rFonts w:ascii="Arial" w:hAnsi="Arial" w:cs="Arial"/>
          <w:b/>
          <w:sz w:val="20"/>
          <w:szCs w:val="20"/>
        </w:rPr>
        <w:tab/>
      </w:r>
      <w:r w:rsidR="00E815B4" w:rsidRPr="00D360F5">
        <w:rPr>
          <w:rFonts w:ascii="Arial" w:hAnsi="Arial" w:cs="Arial"/>
          <w:b/>
          <w:sz w:val="20"/>
          <w:szCs w:val="20"/>
        </w:rPr>
        <w:t>Standards</w:t>
      </w:r>
      <w:r w:rsidRPr="00D360F5">
        <w:rPr>
          <w:rFonts w:ascii="Arial" w:hAnsi="Arial" w:cs="Arial"/>
          <w:b/>
          <w:sz w:val="20"/>
          <w:szCs w:val="20"/>
        </w:rPr>
        <w:t xml:space="preserve"> </w:t>
      </w:r>
    </w:p>
    <w:p w14:paraId="02249151" w14:textId="1D099FBE" w:rsidR="00B34E27" w:rsidRPr="00D360F5" w:rsidRDefault="00B97D96" w:rsidP="00365EBE">
      <w:pPr>
        <w:rPr>
          <w:rFonts w:ascii="Arial" w:hAnsi="Arial" w:cs="Arial"/>
          <w:sz w:val="20"/>
          <w:szCs w:val="20"/>
        </w:rPr>
      </w:pPr>
      <w:r w:rsidRPr="00D360F5">
        <w:rPr>
          <w:rFonts w:ascii="Arial" w:hAnsi="Arial" w:cs="Arial"/>
          <w:sz w:val="20"/>
          <w:szCs w:val="20"/>
        </w:rPr>
        <w:lastRenderedPageBreak/>
        <w:t xml:space="preserve">Section </w:t>
      </w:r>
      <w:r w:rsidR="00757012" w:rsidRPr="00D360F5">
        <w:rPr>
          <w:rFonts w:ascii="Arial" w:hAnsi="Arial" w:cs="Arial"/>
          <w:sz w:val="20"/>
          <w:szCs w:val="20"/>
        </w:rPr>
        <w:t>5</w:t>
      </w:r>
      <w:r w:rsidR="00E815B4" w:rsidRPr="00D360F5">
        <w:rPr>
          <w:rFonts w:ascii="Arial" w:hAnsi="Arial" w:cs="Arial"/>
          <w:sz w:val="20"/>
          <w:szCs w:val="20"/>
        </w:rPr>
        <w:t xml:space="preserve"> </w:t>
      </w:r>
      <w:r w:rsidR="00D811E1" w:rsidRPr="00D360F5">
        <w:rPr>
          <w:rFonts w:ascii="Arial" w:hAnsi="Arial" w:cs="Arial"/>
          <w:sz w:val="20"/>
          <w:szCs w:val="20"/>
        </w:rPr>
        <w:t>sets out that the operation of RNSS receivers will not be authorised under th</w:t>
      </w:r>
      <w:r w:rsidR="00227684">
        <w:rPr>
          <w:rFonts w:ascii="Arial" w:hAnsi="Arial" w:cs="Arial"/>
          <w:sz w:val="20"/>
          <w:szCs w:val="20"/>
        </w:rPr>
        <w:t>e</w:t>
      </w:r>
      <w:r w:rsidR="00D811E1" w:rsidRPr="00D360F5">
        <w:rPr>
          <w:rFonts w:ascii="Arial" w:hAnsi="Arial" w:cs="Arial"/>
          <w:sz w:val="20"/>
          <w:szCs w:val="20"/>
        </w:rPr>
        <w:t xml:space="preserve"> class licence unless the RNSS receiver </w:t>
      </w:r>
      <w:r w:rsidR="00E815B4" w:rsidRPr="00D360F5">
        <w:rPr>
          <w:rFonts w:ascii="Arial" w:hAnsi="Arial" w:cs="Arial"/>
          <w:sz w:val="20"/>
          <w:szCs w:val="20"/>
        </w:rPr>
        <w:t>compl</w:t>
      </w:r>
      <w:r w:rsidR="00D811E1" w:rsidRPr="00D360F5">
        <w:rPr>
          <w:rFonts w:ascii="Arial" w:hAnsi="Arial" w:cs="Arial"/>
          <w:sz w:val="20"/>
          <w:szCs w:val="20"/>
        </w:rPr>
        <w:t>ies</w:t>
      </w:r>
      <w:r w:rsidR="00E815B4" w:rsidRPr="00D360F5">
        <w:rPr>
          <w:rFonts w:ascii="Arial" w:hAnsi="Arial" w:cs="Arial"/>
          <w:sz w:val="20"/>
          <w:szCs w:val="20"/>
        </w:rPr>
        <w:t xml:space="preserve"> with any standard applicable</w:t>
      </w:r>
      <w:r w:rsidR="00D811E1" w:rsidRPr="00D360F5">
        <w:rPr>
          <w:rFonts w:ascii="Arial" w:hAnsi="Arial" w:cs="Arial"/>
          <w:sz w:val="20"/>
          <w:szCs w:val="20"/>
        </w:rPr>
        <w:t xml:space="preserve"> to the RNSS Receiver as in force on the day the RNSS receiver was manufactured, imported</w:t>
      </w:r>
      <w:r w:rsidR="00227684">
        <w:rPr>
          <w:rFonts w:ascii="Arial" w:hAnsi="Arial" w:cs="Arial"/>
          <w:sz w:val="20"/>
          <w:szCs w:val="20"/>
        </w:rPr>
        <w:t>,</w:t>
      </w:r>
      <w:r w:rsidR="00D811E1" w:rsidRPr="00D360F5">
        <w:rPr>
          <w:rFonts w:ascii="Arial" w:hAnsi="Arial" w:cs="Arial"/>
          <w:sz w:val="20"/>
          <w:szCs w:val="20"/>
        </w:rPr>
        <w:t xml:space="preserve"> or altered or modified</w:t>
      </w:r>
      <w:r w:rsidR="00E815B4" w:rsidRPr="00D360F5">
        <w:rPr>
          <w:rFonts w:ascii="Arial" w:hAnsi="Arial" w:cs="Arial"/>
          <w:sz w:val="20"/>
          <w:szCs w:val="20"/>
        </w:rPr>
        <w:t>.</w:t>
      </w:r>
      <w:r w:rsidR="00D811E1" w:rsidRPr="00D360F5">
        <w:rPr>
          <w:rFonts w:ascii="Arial" w:hAnsi="Arial" w:cs="Arial"/>
          <w:sz w:val="20"/>
          <w:szCs w:val="20"/>
        </w:rPr>
        <w:t xml:space="preserve"> Standards are made by the ACMA under section 162 of the Act.</w:t>
      </w:r>
    </w:p>
    <w:p w14:paraId="2341D295" w14:textId="11FB8200" w:rsidR="00D1347D" w:rsidRPr="00D360F5" w:rsidRDefault="00B34E27" w:rsidP="00365EBE">
      <w:pPr>
        <w:rPr>
          <w:rFonts w:ascii="Arial" w:hAnsi="Arial" w:cs="Arial"/>
          <w:b/>
          <w:i/>
          <w:sz w:val="20"/>
          <w:szCs w:val="20"/>
        </w:rPr>
      </w:pPr>
      <w:r w:rsidRPr="00D360F5">
        <w:rPr>
          <w:rFonts w:ascii="Arial" w:hAnsi="Arial" w:cs="Arial"/>
          <w:b/>
          <w:sz w:val="20"/>
          <w:szCs w:val="20"/>
        </w:rPr>
        <w:t xml:space="preserve">Section </w:t>
      </w:r>
      <w:r w:rsidR="00757012" w:rsidRPr="00D360F5">
        <w:rPr>
          <w:rFonts w:ascii="Arial" w:hAnsi="Arial" w:cs="Arial"/>
          <w:b/>
          <w:sz w:val="20"/>
          <w:szCs w:val="20"/>
        </w:rPr>
        <w:t>6</w:t>
      </w:r>
      <w:r w:rsidR="00D1347D" w:rsidRPr="00D360F5">
        <w:rPr>
          <w:rFonts w:ascii="Arial" w:hAnsi="Arial" w:cs="Arial"/>
          <w:b/>
          <w:sz w:val="20"/>
          <w:szCs w:val="20"/>
        </w:rPr>
        <w:tab/>
      </w:r>
      <w:r w:rsidR="00E815B4" w:rsidRPr="00D360F5">
        <w:rPr>
          <w:rFonts w:ascii="Arial" w:hAnsi="Arial" w:cs="Arial"/>
          <w:b/>
          <w:sz w:val="20"/>
          <w:szCs w:val="20"/>
        </w:rPr>
        <w:t>Authorised frequencies</w:t>
      </w:r>
      <w:r w:rsidR="00D1347D" w:rsidRPr="00D360F5">
        <w:rPr>
          <w:rFonts w:ascii="Arial" w:hAnsi="Arial" w:cs="Arial"/>
          <w:b/>
          <w:sz w:val="20"/>
          <w:szCs w:val="20"/>
        </w:rPr>
        <w:t xml:space="preserve"> </w:t>
      </w:r>
    </w:p>
    <w:p w14:paraId="32A1D1DC" w14:textId="6B8C8BE7" w:rsidR="00E328E7" w:rsidRPr="00D360F5" w:rsidRDefault="00B97D96" w:rsidP="00365EBE">
      <w:pPr>
        <w:pStyle w:val="paragraph"/>
        <w:spacing w:before="0" w:after="200" w:line="276" w:lineRule="auto"/>
        <w:ind w:left="0" w:firstLine="0"/>
        <w:rPr>
          <w:rFonts w:ascii="Arial" w:hAnsi="Arial" w:cs="Arial"/>
          <w:i/>
          <w:sz w:val="20"/>
        </w:rPr>
      </w:pPr>
      <w:r w:rsidRPr="00D360F5">
        <w:rPr>
          <w:rFonts w:ascii="Arial" w:hAnsi="Arial" w:cs="Arial"/>
          <w:sz w:val="20"/>
        </w:rPr>
        <w:t xml:space="preserve">Section </w:t>
      </w:r>
      <w:r w:rsidR="00757012" w:rsidRPr="00D360F5">
        <w:rPr>
          <w:rFonts w:ascii="Arial" w:hAnsi="Arial" w:cs="Arial"/>
          <w:sz w:val="20"/>
        </w:rPr>
        <w:t>6</w:t>
      </w:r>
      <w:r w:rsidR="004C6EC1" w:rsidRPr="00D360F5">
        <w:rPr>
          <w:rFonts w:ascii="Arial" w:hAnsi="Arial" w:cs="Arial"/>
          <w:sz w:val="20"/>
        </w:rPr>
        <w:t xml:space="preserve"> </w:t>
      </w:r>
      <w:r w:rsidR="00E815B4" w:rsidRPr="00D360F5">
        <w:rPr>
          <w:rFonts w:ascii="Arial" w:hAnsi="Arial" w:cs="Arial"/>
          <w:sz w:val="20"/>
        </w:rPr>
        <w:t xml:space="preserve">lists the frequencies authorised for reception of </w:t>
      </w:r>
      <w:r w:rsidR="00D811E1" w:rsidRPr="00D360F5">
        <w:rPr>
          <w:rFonts w:ascii="Arial" w:hAnsi="Arial" w:cs="Arial"/>
          <w:sz w:val="20"/>
        </w:rPr>
        <w:t xml:space="preserve">RNSS radiocommunications by RNSS receivers </w:t>
      </w:r>
      <w:r w:rsidR="00E328E7" w:rsidRPr="00D360F5">
        <w:rPr>
          <w:rFonts w:ascii="Arial" w:hAnsi="Arial" w:cs="Arial"/>
          <w:sz w:val="20"/>
        </w:rPr>
        <w:t xml:space="preserve">under </w:t>
      </w:r>
      <w:r w:rsidR="00CE1289" w:rsidRPr="00D360F5">
        <w:rPr>
          <w:rFonts w:ascii="Arial" w:hAnsi="Arial" w:cs="Arial"/>
          <w:sz w:val="20"/>
        </w:rPr>
        <w:t>the class licence</w:t>
      </w:r>
      <w:r w:rsidRPr="00D360F5">
        <w:rPr>
          <w:rFonts w:ascii="Arial" w:hAnsi="Arial" w:cs="Arial"/>
          <w:i/>
          <w:sz w:val="20"/>
        </w:rPr>
        <w:t>.</w:t>
      </w:r>
    </w:p>
    <w:p w14:paraId="79CF8D2B" w14:textId="3488DA85" w:rsidR="00873030" w:rsidRPr="00D360F5" w:rsidRDefault="00873030" w:rsidP="00365EBE">
      <w:pPr>
        <w:pStyle w:val="paragraph"/>
        <w:spacing w:before="0" w:after="200" w:line="276" w:lineRule="auto"/>
        <w:ind w:left="0" w:firstLine="0"/>
        <w:rPr>
          <w:rFonts w:ascii="Arial" w:hAnsi="Arial" w:cs="Arial"/>
          <w:i/>
          <w:sz w:val="20"/>
        </w:rPr>
      </w:pPr>
      <w:r w:rsidRPr="00D360F5">
        <w:rPr>
          <w:rFonts w:ascii="Arial" w:hAnsi="Arial" w:cs="Arial"/>
          <w:sz w:val="20"/>
        </w:rPr>
        <w:br w:type="page"/>
      </w:r>
    </w:p>
    <w:p w14:paraId="5B85A0F3" w14:textId="7735F497" w:rsidR="00E328E7" w:rsidRPr="00D360F5" w:rsidRDefault="00873030" w:rsidP="00365EBE">
      <w:pPr>
        <w:rPr>
          <w:rFonts w:ascii="Arial" w:eastAsia="Calibri" w:hAnsi="Arial" w:cs="Arial"/>
          <w:b/>
          <w:sz w:val="20"/>
          <w:szCs w:val="20"/>
        </w:rPr>
      </w:pPr>
      <w:r w:rsidRPr="00D360F5">
        <w:rPr>
          <w:rFonts w:ascii="Arial" w:eastAsia="Calibri" w:hAnsi="Arial" w:cs="Arial"/>
          <w:b/>
          <w:sz w:val="20"/>
          <w:szCs w:val="20"/>
        </w:rPr>
        <w:lastRenderedPageBreak/>
        <w:t>Attachment B</w:t>
      </w:r>
    </w:p>
    <w:p w14:paraId="232A671D" w14:textId="77777777" w:rsidR="00873030" w:rsidRPr="00D360F5" w:rsidRDefault="00873030" w:rsidP="00365EBE">
      <w:pPr>
        <w:ind w:left="720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CC27849" w14:textId="77777777" w:rsidR="00873030" w:rsidRPr="00D360F5" w:rsidRDefault="00873030" w:rsidP="00365EB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D360F5">
        <w:rPr>
          <w:rFonts w:ascii="Arial" w:eastAsia="Calibri" w:hAnsi="Arial" w:cs="Arial"/>
          <w:b/>
          <w:sz w:val="20"/>
          <w:szCs w:val="20"/>
        </w:rPr>
        <w:t>Statement of Compatibility with Human Rights</w:t>
      </w:r>
    </w:p>
    <w:p w14:paraId="3B8D5D90" w14:textId="77777777" w:rsidR="00873030" w:rsidRPr="00D360F5" w:rsidRDefault="00873030" w:rsidP="00365EBE">
      <w:pPr>
        <w:ind w:left="720"/>
        <w:jc w:val="center"/>
        <w:rPr>
          <w:rFonts w:ascii="Arial" w:eastAsia="Times New Roman" w:hAnsi="Arial" w:cs="Arial"/>
          <w:i/>
          <w:sz w:val="20"/>
          <w:szCs w:val="20"/>
          <w:lang w:eastAsia="en-AU"/>
        </w:rPr>
      </w:pPr>
      <w:r w:rsidRPr="00D360F5">
        <w:rPr>
          <w:rFonts w:ascii="Arial" w:eastAsia="Times New Roman" w:hAnsi="Arial" w:cs="Arial"/>
          <w:sz w:val="20"/>
          <w:szCs w:val="20"/>
          <w:lang w:eastAsia="en-AU"/>
        </w:rPr>
        <w:t xml:space="preserve">Prepared in accordance with Part 3 of the </w:t>
      </w:r>
      <w:r w:rsidRPr="00D360F5">
        <w:rPr>
          <w:rFonts w:ascii="Arial" w:eastAsia="Times New Roman" w:hAnsi="Arial" w:cs="Arial"/>
          <w:i/>
          <w:sz w:val="20"/>
          <w:szCs w:val="20"/>
          <w:lang w:eastAsia="en-AU"/>
        </w:rPr>
        <w:t>Human Rights (Parliamentary Scrutiny) Act 2011</w:t>
      </w:r>
    </w:p>
    <w:p w14:paraId="394B3D5F" w14:textId="77777777" w:rsidR="00873030" w:rsidRPr="00D360F5" w:rsidRDefault="00873030" w:rsidP="00365EBE">
      <w:pPr>
        <w:ind w:left="720"/>
        <w:jc w:val="center"/>
        <w:rPr>
          <w:rFonts w:ascii="Arial" w:eastAsia="Times New Roman" w:hAnsi="Arial" w:cs="Arial"/>
          <w:i/>
          <w:sz w:val="20"/>
          <w:szCs w:val="20"/>
          <w:lang w:eastAsia="en-AU"/>
        </w:rPr>
      </w:pPr>
    </w:p>
    <w:p w14:paraId="167E3A1C" w14:textId="303407B2" w:rsidR="00873030" w:rsidRPr="00D360F5" w:rsidRDefault="00873030" w:rsidP="00365EBE">
      <w:pPr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eastAsia="en-AU"/>
        </w:rPr>
      </w:pPr>
      <w:r w:rsidRPr="00D360F5">
        <w:rPr>
          <w:rFonts w:ascii="Arial" w:eastAsia="Times New Roman" w:hAnsi="Arial" w:cs="Arial"/>
          <w:b/>
          <w:i/>
          <w:sz w:val="20"/>
          <w:szCs w:val="20"/>
          <w:lang w:eastAsia="en-AU"/>
        </w:rPr>
        <w:t>Radiocommunications (</w:t>
      </w:r>
      <w:r w:rsidR="002B35F1" w:rsidRPr="00D360F5">
        <w:rPr>
          <w:rFonts w:ascii="Arial" w:eastAsia="Times New Roman" w:hAnsi="Arial" w:cs="Arial"/>
          <w:b/>
          <w:i/>
          <w:sz w:val="20"/>
          <w:szCs w:val="20"/>
          <w:lang w:eastAsia="en-AU"/>
        </w:rPr>
        <w:t>Radionavigation-Satellite Service</w:t>
      </w:r>
      <w:r w:rsidRPr="00D360F5">
        <w:rPr>
          <w:rFonts w:ascii="Arial" w:eastAsia="Times New Roman" w:hAnsi="Arial" w:cs="Arial"/>
          <w:b/>
          <w:i/>
          <w:sz w:val="20"/>
          <w:szCs w:val="20"/>
          <w:lang w:eastAsia="en-AU"/>
        </w:rPr>
        <w:t xml:space="preserve">) </w:t>
      </w:r>
      <w:r w:rsidR="002B35F1" w:rsidRPr="00D360F5">
        <w:rPr>
          <w:rFonts w:ascii="Arial" w:eastAsia="Times New Roman" w:hAnsi="Arial" w:cs="Arial"/>
          <w:b/>
          <w:i/>
          <w:sz w:val="20"/>
          <w:szCs w:val="20"/>
          <w:lang w:eastAsia="en-AU"/>
        </w:rPr>
        <w:t>Class Licence 2015</w:t>
      </w:r>
    </w:p>
    <w:p w14:paraId="0387FA6D" w14:textId="77777777" w:rsidR="00873030" w:rsidRPr="00D360F5" w:rsidRDefault="00873030" w:rsidP="00365EBE">
      <w:pPr>
        <w:rPr>
          <w:rFonts w:ascii="Arial" w:eastAsia="Times New Roman" w:hAnsi="Arial" w:cs="Arial"/>
          <w:sz w:val="20"/>
          <w:szCs w:val="20"/>
          <w:lang w:eastAsia="en-AU"/>
        </w:rPr>
      </w:pPr>
    </w:p>
    <w:p w14:paraId="129EC832" w14:textId="77777777" w:rsidR="00873030" w:rsidRPr="00D360F5" w:rsidRDefault="00873030" w:rsidP="00365EBE">
      <w:pPr>
        <w:rPr>
          <w:rFonts w:ascii="Arial" w:eastAsia="Times New Roman" w:hAnsi="Arial" w:cs="Arial"/>
          <w:i/>
          <w:sz w:val="20"/>
          <w:szCs w:val="20"/>
          <w:lang w:eastAsia="en-AU"/>
        </w:rPr>
      </w:pPr>
      <w:r w:rsidRPr="00D360F5">
        <w:rPr>
          <w:rFonts w:ascii="Arial" w:eastAsia="Times New Roman" w:hAnsi="Arial" w:cs="Arial"/>
          <w:sz w:val="20"/>
          <w:szCs w:val="20"/>
          <w:lang w:eastAsia="en-AU"/>
        </w:rPr>
        <w:t xml:space="preserve">The legislative instrument is compatible with the human rights and freedoms recognised or declared in the international instruments listed in section 3 of the </w:t>
      </w:r>
      <w:r w:rsidRPr="00D360F5">
        <w:rPr>
          <w:rFonts w:ascii="Arial" w:eastAsia="Times New Roman" w:hAnsi="Arial" w:cs="Arial"/>
          <w:i/>
          <w:sz w:val="20"/>
          <w:szCs w:val="20"/>
          <w:lang w:eastAsia="en-AU"/>
        </w:rPr>
        <w:t>Human Rights (Parliamentary Scrutiny) Act 2011.</w:t>
      </w:r>
    </w:p>
    <w:p w14:paraId="7072DA29" w14:textId="77777777" w:rsidR="00873030" w:rsidRPr="00D360F5" w:rsidRDefault="00873030" w:rsidP="00365E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D360F5">
        <w:rPr>
          <w:rFonts w:ascii="Arial" w:eastAsia="Calibri" w:hAnsi="Arial" w:cs="Arial"/>
          <w:b/>
          <w:sz w:val="20"/>
          <w:szCs w:val="20"/>
        </w:rPr>
        <w:t>Overview of the Legislative Instrument</w:t>
      </w:r>
    </w:p>
    <w:p w14:paraId="01285959" w14:textId="7911BCF5" w:rsidR="00873030" w:rsidRPr="00D360F5" w:rsidRDefault="00803918" w:rsidP="00365EBE">
      <w:pPr>
        <w:rPr>
          <w:rFonts w:ascii="Arial" w:eastAsia="Times New Roman" w:hAnsi="Arial" w:cs="Arial"/>
          <w:sz w:val="20"/>
          <w:szCs w:val="20"/>
          <w:highlight w:val="yellow"/>
          <w:lang w:eastAsia="en-AU"/>
        </w:rPr>
      </w:pPr>
      <w:r w:rsidRPr="00D360F5">
        <w:rPr>
          <w:rFonts w:ascii="Arial" w:hAnsi="Arial" w:cs="Arial"/>
          <w:snapToGrid w:val="0"/>
          <w:sz w:val="20"/>
          <w:szCs w:val="20"/>
        </w:rPr>
        <w:t xml:space="preserve">The </w:t>
      </w:r>
      <w:r w:rsidRPr="00D360F5">
        <w:rPr>
          <w:rFonts w:ascii="Arial" w:hAnsi="Arial" w:cs="Arial"/>
          <w:i/>
          <w:snapToGrid w:val="0"/>
          <w:sz w:val="20"/>
          <w:szCs w:val="20"/>
        </w:rPr>
        <w:t>Radiocommunications (Radionavigation-Satellite Service) Class Licence 2015</w:t>
      </w:r>
      <w:r w:rsidRPr="00D360F5">
        <w:rPr>
          <w:rFonts w:ascii="Arial" w:hAnsi="Arial" w:cs="Arial"/>
          <w:snapToGrid w:val="0"/>
          <w:sz w:val="20"/>
          <w:szCs w:val="20"/>
        </w:rPr>
        <w:t xml:space="preserve"> </w:t>
      </w:r>
      <w:r w:rsidR="00227684">
        <w:rPr>
          <w:rFonts w:ascii="Arial" w:hAnsi="Arial" w:cs="Arial"/>
          <w:snapToGrid w:val="0"/>
          <w:sz w:val="20"/>
          <w:szCs w:val="20"/>
        </w:rPr>
        <w:t xml:space="preserve">(the class licence) </w:t>
      </w:r>
      <w:r w:rsidRPr="00D360F5">
        <w:rPr>
          <w:rFonts w:ascii="Arial" w:hAnsi="Arial" w:cs="Arial"/>
          <w:snapToGrid w:val="0"/>
          <w:sz w:val="20"/>
          <w:szCs w:val="20"/>
        </w:rPr>
        <w:t>implements a new regulatory regime for the licensing of ubiquitous radionavigation-satellite service Earth stations</w:t>
      </w:r>
      <w:r w:rsidR="00873030" w:rsidRPr="00D360F5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3F867F4" w14:textId="18C27281" w:rsidR="00873030" w:rsidRPr="00D360F5" w:rsidRDefault="00873030" w:rsidP="00365EBE">
      <w:pPr>
        <w:rPr>
          <w:rFonts w:ascii="Arial" w:eastAsia="Times New Roman" w:hAnsi="Arial" w:cs="Arial"/>
          <w:sz w:val="20"/>
          <w:szCs w:val="20"/>
          <w:lang w:eastAsia="en-AU"/>
        </w:rPr>
      </w:pPr>
      <w:r w:rsidRPr="00D360F5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227684">
        <w:rPr>
          <w:rFonts w:ascii="Arial" w:eastAsia="Times New Roman" w:hAnsi="Arial" w:cs="Arial"/>
          <w:sz w:val="20"/>
          <w:szCs w:val="20"/>
          <w:lang w:eastAsia="en-AU"/>
        </w:rPr>
        <w:t xml:space="preserve">class licence </w:t>
      </w:r>
      <w:r w:rsidR="00803918" w:rsidRPr="00D360F5">
        <w:rPr>
          <w:rFonts w:ascii="Arial" w:hAnsi="Arial" w:cs="Arial"/>
          <w:sz w:val="20"/>
          <w:szCs w:val="20"/>
        </w:rPr>
        <w:t xml:space="preserve">lists the frequencies authorised for reception of radio emissions </w:t>
      </w:r>
      <w:r w:rsidR="00C22AF7" w:rsidRPr="00D360F5">
        <w:rPr>
          <w:rFonts w:ascii="Arial" w:hAnsi="Arial" w:cs="Arial"/>
          <w:sz w:val="20"/>
          <w:szCs w:val="20"/>
        </w:rPr>
        <w:t xml:space="preserve">in the radionavigation-satellite service </w:t>
      </w:r>
      <w:r w:rsidR="00803918" w:rsidRPr="00D360F5">
        <w:rPr>
          <w:rFonts w:ascii="Arial" w:hAnsi="Arial" w:cs="Arial"/>
          <w:sz w:val="20"/>
          <w:szCs w:val="20"/>
        </w:rPr>
        <w:t xml:space="preserve">by a </w:t>
      </w:r>
      <w:r w:rsidR="00E328E7" w:rsidRPr="00D360F5">
        <w:rPr>
          <w:rFonts w:ascii="Arial" w:hAnsi="Arial" w:cs="Arial"/>
          <w:sz w:val="20"/>
          <w:szCs w:val="20"/>
        </w:rPr>
        <w:t xml:space="preserve">RNSS receiver and the conditions applicable to use of </w:t>
      </w:r>
      <w:r w:rsidR="00243CEC" w:rsidRPr="00D360F5">
        <w:rPr>
          <w:rFonts w:ascii="Arial" w:hAnsi="Arial" w:cs="Arial"/>
          <w:sz w:val="20"/>
          <w:szCs w:val="20"/>
        </w:rPr>
        <w:t>a</w:t>
      </w:r>
      <w:r w:rsidR="00E328E7" w:rsidRPr="00D360F5">
        <w:rPr>
          <w:rFonts w:ascii="Arial" w:hAnsi="Arial" w:cs="Arial"/>
          <w:sz w:val="20"/>
          <w:szCs w:val="20"/>
        </w:rPr>
        <w:t xml:space="preserve"> RNSS receiver for this purpose</w:t>
      </w:r>
      <w:r w:rsidR="00F23614" w:rsidRPr="00D360F5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BB8AD18" w14:textId="77777777" w:rsidR="00873030" w:rsidRPr="00D360F5" w:rsidRDefault="00873030" w:rsidP="00365E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D360F5">
        <w:rPr>
          <w:rFonts w:ascii="Arial" w:eastAsia="Calibri" w:hAnsi="Arial" w:cs="Arial"/>
          <w:b/>
          <w:sz w:val="20"/>
          <w:szCs w:val="20"/>
        </w:rPr>
        <w:t>Human Rights Implications</w:t>
      </w:r>
    </w:p>
    <w:p w14:paraId="26D55290" w14:textId="77777777" w:rsidR="00873030" w:rsidRPr="00D360F5" w:rsidRDefault="00873030" w:rsidP="00365EBE">
      <w:pPr>
        <w:rPr>
          <w:rFonts w:ascii="Arial" w:eastAsia="Times New Roman" w:hAnsi="Arial" w:cs="Arial"/>
          <w:sz w:val="20"/>
          <w:szCs w:val="20"/>
          <w:lang w:eastAsia="en-AU"/>
        </w:rPr>
      </w:pPr>
      <w:r w:rsidRPr="00D360F5">
        <w:rPr>
          <w:rFonts w:ascii="Arial" w:eastAsia="Times New Roman" w:hAnsi="Arial" w:cs="Arial"/>
          <w:sz w:val="20"/>
          <w:szCs w:val="20"/>
          <w:lang w:eastAsia="en-AU"/>
        </w:rPr>
        <w:t>The legislative instrument does not engage any of the applicable rights or freedoms.</w:t>
      </w:r>
    </w:p>
    <w:p w14:paraId="60CD14A2" w14:textId="77777777" w:rsidR="00873030" w:rsidRPr="00D360F5" w:rsidRDefault="00873030" w:rsidP="00365E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D360F5">
        <w:rPr>
          <w:rFonts w:ascii="Arial" w:eastAsia="Calibri" w:hAnsi="Arial" w:cs="Arial"/>
          <w:b/>
          <w:sz w:val="20"/>
          <w:szCs w:val="20"/>
        </w:rPr>
        <w:t>Conclusion</w:t>
      </w:r>
    </w:p>
    <w:p w14:paraId="369D7F24" w14:textId="77777777" w:rsidR="00873030" w:rsidRPr="00D360F5" w:rsidRDefault="00873030" w:rsidP="00365EBE">
      <w:pPr>
        <w:rPr>
          <w:rFonts w:ascii="Arial" w:eastAsia="Times New Roman" w:hAnsi="Arial" w:cs="Arial"/>
          <w:sz w:val="20"/>
          <w:szCs w:val="20"/>
          <w:lang w:eastAsia="en-AU"/>
        </w:rPr>
      </w:pPr>
      <w:r w:rsidRPr="00D360F5">
        <w:rPr>
          <w:rFonts w:ascii="Arial" w:eastAsia="Times New Roman" w:hAnsi="Arial" w:cs="Arial"/>
          <w:sz w:val="20"/>
          <w:szCs w:val="20"/>
          <w:lang w:eastAsia="en-AU"/>
        </w:rPr>
        <w:lastRenderedPageBreak/>
        <w:t>The legislative instrument is compatible with human rights as it does not raise any human rights issues.</w:t>
      </w:r>
    </w:p>
    <w:p w14:paraId="53235E52" w14:textId="77777777" w:rsidR="00873030" w:rsidRPr="00D360F5" w:rsidRDefault="00873030" w:rsidP="00365EBE">
      <w:pPr>
        <w:pStyle w:val="paragraph"/>
        <w:spacing w:before="0" w:after="200" w:line="276" w:lineRule="auto"/>
        <w:ind w:left="0" w:firstLine="0"/>
        <w:rPr>
          <w:rFonts w:ascii="Arial" w:hAnsi="Arial" w:cs="Arial"/>
          <w:i/>
          <w:sz w:val="20"/>
        </w:rPr>
      </w:pPr>
    </w:p>
    <w:p w14:paraId="0EE64C41" w14:textId="77777777" w:rsidR="00873030" w:rsidRPr="00D360F5" w:rsidRDefault="00873030" w:rsidP="00365EBE">
      <w:pPr>
        <w:pStyle w:val="paragraph"/>
        <w:spacing w:before="0" w:after="200" w:line="276" w:lineRule="auto"/>
        <w:ind w:left="0" w:firstLine="0"/>
        <w:rPr>
          <w:rFonts w:ascii="Arial" w:hAnsi="Arial" w:cs="Arial"/>
          <w:i/>
          <w:sz w:val="20"/>
        </w:rPr>
      </w:pPr>
    </w:p>
    <w:p w14:paraId="21926E5E" w14:textId="77777777" w:rsidR="00B34E27" w:rsidRPr="00D360F5" w:rsidRDefault="00B34E27" w:rsidP="00365EBE">
      <w:pPr>
        <w:rPr>
          <w:rFonts w:ascii="Arial" w:hAnsi="Arial" w:cs="Arial"/>
          <w:sz w:val="20"/>
          <w:szCs w:val="20"/>
        </w:rPr>
      </w:pPr>
    </w:p>
    <w:sectPr w:rsidR="00B34E27" w:rsidRPr="00D360F5" w:rsidSect="0004553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8C47D" w14:textId="77777777" w:rsidR="0040193C" w:rsidRDefault="0040193C" w:rsidP="000B38DD">
      <w:pPr>
        <w:spacing w:after="0" w:line="240" w:lineRule="auto"/>
      </w:pPr>
      <w:r>
        <w:separator/>
      </w:r>
    </w:p>
  </w:endnote>
  <w:endnote w:type="continuationSeparator" w:id="0">
    <w:p w14:paraId="3A1C751C" w14:textId="77777777" w:rsidR="0040193C" w:rsidRDefault="0040193C" w:rsidP="000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98998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4E1C2" w14:textId="2E9ECF3C" w:rsidR="000B38DD" w:rsidRPr="007C665F" w:rsidRDefault="000B38D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C665F">
          <w:rPr>
            <w:rFonts w:ascii="Arial" w:hAnsi="Arial" w:cs="Arial"/>
            <w:sz w:val="16"/>
            <w:szCs w:val="16"/>
          </w:rPr>
          <w:fldChar w:fldCharType="begin"/>
        </w:r>
        <w:r w:rsidRPr="007C665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C665F">
          <w:rPr>
            <w:rFonts w:ascii="Arial" w:hAnsi="Arial" w:cs="Arial"/>
            <w:sz w:val="16"/>
            <w:szCs w:val="16"/>
          </w:rPr>
          <w:fldChar w:fldCharType="separate"/>
        </w:r>
        <w:r w:rsidR="004702B6">
          <w:rPr>
            <w:rFonts w:ascii="Arial" w:hAnsi="Arial" w:cs="Arial"/>
            <w:noProof/>
            <w:sz w:val="16"/>
            <w:szCs w:val="16"/>
          </w:rPr>
          <w:t>5</w:t>
        </w:r>
        <w:r w:rsidRPr="007C665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88C680B" w14:textId="77777777" w:rsidR="000B38DD" w:rsidRPr="007C665F" w:rsidRDefault="000B38D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9111" w14:textId="77777777" w:rsidR="0040193C" w:rsidRDefault="0040193C" w:rsidP="000B38DD">
      <w:pPr>
        <w:spacing w:after="0" w:line="240" w:lineRule="auto"/>
      </w:pPr>
      <w:r>
        <w:separator/>
      </w:r>
    </w:p>
  </w:footnote>
  <w:footnote w:type="continuationSeparator" w:id="0">
    <w:p w14:paraId="726D4BEA" w14:textId="77777777" w:rsidR="0040193C" w:rsidRDefault="0040193C" w:rsidP="000B38DD">
      <w:pPr>
        <w:spacing w:after="0" w:line="240" w:lineRule="auto"/>
      </w:pPr>
      <w:r>
        <w:continuationSeparator/>
      </w:r>
    </w:p>
  </w:footnote>
  <w:footnote w:id="1">
    <w:p w14:paraId="48D89531" w14:textId="63496286" w:rsidR="00BD376A" w:rsidRDefault="00BD37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The registration of a legislative instrument on FRLI will satisfy any existing requirement in the instrument’s enabling legislation in force before 1 January 2005 to publish the instrument in the </w:t>
      </w:r>
      <w:r>
        <w:rPr>
          <w:rFonts w:ascii="Arial" w:hAnsi="Arial" w:cs="Arial"/>
          <w:i/>
          <w:iCs/>
          <w:sz w:val="18"/>
          <w:szCs w:val="18"/>
        </w:rPr>
        <w:t>Gazette</w:t>
      </w:r>
      <w:r>
        <w:rPr>
          <w:rFonts w:ascii="Arial" w:hAnsi="Arial" w:cs="Arial"/>
          <w:sz w:val="18"/>
          <w:szCs w:val="18"/>
        </w:rPr>
        <w:t xml:space="preserve"> (see subsection 56(1) of the LIA).  However, if the enabling legislation is enacted or amended at any time on or after 1 January 2005 and requires publication of the instrument in the </w:t>
      </w:r>
      <w:r>
        <w:rPr>
          <w:rFonts w:ascii="Arial" w:hAnsi="Arial" w:cs="Arial"/>
          <w:i/>
          <w:iCs/>
          <w:sz w:val="18"/>
          <w:szCs w:val="18"/>
        </w:rPr>
        <w:t>Gazette</w:t>
      </w:r>
      <w:r>
        <w:rPr>
          <w:rFonts w:ascii="Arial" w:hAnsi="Arial" w:cs="Arial"/>
          <w:sz w:val="18"/>
          <w:szCs w:val="18"/>
        </w:rPr>
        <w:t xml:space="preserve">, that requirement is in addition to the requirement to register the instrument (see subsection 56(2) of the LIA).  Subsection 132(1) of the Act was amended on 1 July 2005, and so the requirement to publish the instrument in the </w:t>
      </w:r>
      <w:r>
        <w:rPr>
          <w:rFonts w:ascii="Arial" w:hAnsi="Arial" w:cs="Arial"/>
          <w:i/>
          <w:iCs/>
          <w:sz w:val="18"/>
          <w:szCs w:val="18"/>
        </w:rPr>
        <w:t xml:space="preserve">Gazette </w:t>
      </w:r>
      <w:r>
        <w:rPr>
          <w:rFonts w:ascii="Arial" w:hAnsi="Arial" w:cs="Arial"/>
          <w:sz w:val="18"/>
          <w:szCs w:val="18"/>
        </w:rPr>
        <w:t>is in addition to the requirement to register the instrument.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CE2"/>
    <w:multiLevelType w:val="hybridMultilevel"/>
    <w:tmpl w:val="EFB44A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5C49E3"/>
    <w:multiLevelType w:val="hybridMultilevel"/>
    <w:tmpl w:val="B7A6D91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226751"/>
    <w:multiLevelType w:val="hybridMultilevel"/>
    <w:tmpl w:val="91F0361A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93DA1"/>
    <w:multiLevelType w:val="hybridMultilevel"/>
    <w:tmpl w:val="EE8C20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>
    <w:nsid w:val="36BA29E4"/>
    <w:multiLevelType w:val="hybridMultilevel"/>
    <w:tmpl w:val="B7688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2443"/>
    <w:multiLevelType w:val="hybridMultilevel"/>
    <w:tmpl w:val="AFDAB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D39A6"/>
    <w:multiLevelType w:val="hybridMultilevel"/>
    <w:tmpl w:val="9BD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87F49"/>
    <w:multiLevelType w:val="hybridMultilevel"/>
    <w:tmpl w:val="CF00E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3E08ED"/>
    <w:multiLevelType w:val="hybridMultilevel"/>
    <w:tmpl w:val="37DC4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77374"/>
    <w:multiLevelType w:val="hybridMultilevel"/>
    <w:tmpl w:val="36641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D"/>
    <w:rsid w:val="00000BA8"/>
    <w:rsid w:val="0000663E"/>
    <w:rsid w:val="0001151E"/>
    <w:rsid w:val="00021B31"/>
    <w:rsid w:val="0002650C"/>
    <w:rsid w:val="000430A2"/>
    <w:rsid w:val="00043884"/>
    <w:rsid w:val="0004553A"/>
    <w:rsid w:val="00057504"/>
    <w:rsid w:val="00060FB4"/>
    <w:rsid w:val="00064509"/>
    <w:rsid w:val="00071921"/>
    <w:rsid w:val="00077075"/>
    <w:rsid w:val="000811CD"/>
    <w:rsid w:val="000816DC"/>
    <w:rsid w:val="00084C9E"/>
    <w:rsid w:val="00086375"/>
    <w:rsid w:val="0008642C"/>
    <w:rsid w:val="00097487"/>
    <w:rsid w:val="000A515B"/>
    <w:rsid w:val="000B38DD"/>
    <w:rsid w:val="000B6F8F"/>
    <w:rsid w:val="000C1C00"/>
    <w:rsid w:val="000C3813"/>
    <w:rsid w:val="000C5C97"/>
    <w:rsid w:val="000C6E74"/>
    <w:rsid w:val="000D2383"/>
    <w:rsid w:val="000F2C95"/>
    <w:rsid w:val="001104E9"/>
    <w:rsid w:val="001219A6"/>
    <w:rsid w:val="00124212"/>
    <w:rsid w:val="001277D3"/>
    <w:rsid w:val="0014018A"/>
    <w:rsid w:val="00140C37"/>
    <w:rsid w:val="00154848"/>
    <w:rsid w:val="0015513F"/>
    <w:rsid w:val="00160903"/>
    <w:rsid w:val="00161B2C"/>
    <w:rsid w:val="00164A0F"/>
    <w:rsid w:val="00170B8B"/>
    <w:rsid w:val="00173CCA"/>
    <w:rsid w:val="00176557"/>
    <w:rsid w:val="00184E51"/>
    <w:rsid w:val="00185305"/>
    <w:rsid w:val="001D1895"/>
    <w:rsid w:val="001D2F8E"/>
    <w:rsid w:val="001D6A3D"/>
    <w:rsid w:val="00210373"/>
    <w:rsid w:val="002115B1"/>
    <w:rsid w:val="002204AF"/>
    <w:rsid w:val="00221C7E"/>
    <w:rsid w:val="00227684"/>
    <w:rsid w:val="00231303"/>
    <w:rsid w:val="00235FDA"/>
    <w:rsid w:val="002438D6"/>
    <w:rsid w:val="00243CEC"/>
    <w:rsid w:val="00247C48"/>
    <w:rsid w:val="00257DAE"/>
    <w:rsid w:val="00260A84"/>
    <w:rsid w:val="00260F51"/>
    <w:rsid w:val="00261AF5"/>
    <w:rsid w:val="00263CD3"/>
    <w:rsid w:val="0026515D"/>
    <w:rsid w:val="002813D5"/>
    <w:rsid w:val="00281DA6"/>
    <w:rsid w:val="002836D4"/>
    <w:rsid w:val="00284764"/>
    <w:rsid w:val="00284B20"/>
    <w:rsid w:val="0028560D"/>
    <w:rsid w:val="00285813"/>
    <w:rsid w:val="002A2249"/>
    <w:rsid w:val="002A44E3"/>
    <w:rsid w:val="002A78F0"/>
    <w:rsid w:val="002B1560"/>
    <w:rsid w:val="002B35F1"/>
    <w:rsid w:val="002B5C5B"/>
    <w:rsid w:val="002D3D18"/>
    <w:rsid w:val="002E2C41"/>
    <w:rsid w:val="002E3D5D"/>
    <w:rsid w:val="002E4C55"/>
    <w:rsid w:val="002F365F"/>
    <w:rsid w:val="002F7532"/>
    <w:rsid w:val="003076A7"/>
    <w:rsid w:val="00310D89"/>
    <w:rsid w:val="0031573C"/>
    <w:rsid w:val="0031604B"/>
    <w:rsid w:val="0031639B"/>
    <w:rsid w:val="00322836"/>
    <w:rsid w:val="0032288E"/>
    <w:rsid w:val="0034011F"/>
    <w:rsid w:val="00344FBE"/>
    <w:rsid w:val="00346649"/>
    <w:rsid w:val="00352C0C"/>
    <w:rsid w:val="00353155"/>
    <w:rsid w:val="00355A2C"/>
    <w:rsid w:val="003601F5"/>
    <w:rsid w:val="00360A79"/>
    <w:rsid w:val="00365EBE"/>
    <w:rsid w:val="00372378"/>
    <w:rsid w:val="003741FF"/>
    <w:rsid w:val="003753C0"/>
    <w:rsid w:val="00376C4A"/>
    <w:rsid w:val="00381AEB"/>
    <w:rsid w:val="003904B7"/>
    <w:rsid w:val="003966C3"/>
    <w:rsid w:val="003A11BA"/>
    <w:rsid w:val="003A2121"/>
    <w:rsid w:val="003A48EC"/>
    <w:rsid w:val="003B1F6B"/>
    <w:rsid w:val="003C0269"/>
    <w:rsid w:val="003C20B3"/>
    <w:rsid w:val="003D3628"/>
    <w:rsid w:val="003E6F77"/>
    <w:rsid w:val="003E7728"/>
    <w:rsid w:val="003E7EBB"/>
    <w:rsid w:val="003F1E0B"/>
    <w:rsid w:val="00400CA4"/>
    <w:rsid w:val="0040193C"/>
    <w:rsid w:val="004079A5"/>
    <w:rsid w:val="00410239"/>
    <w:rsid w:val="00421363"/>
    <w:rsid w:val="00422187"/>
    <w:rsid w:val="00422BB1"/>
    <w:rsid w:val="00434BF2"/>
    <w:rsid w:val="00436569"/>
    <w:rsid w:val="0044064C"/>
    <w:rsid w:val="00443358"/>
    <w:rsid w:val="00452E07"/>
    <w:rsid w:val="00456250"/>
    <w:rsid w:val="004568E6"/>
    <w:rsid w:val="004608AA"/>
    <w:rsid w:val="00466CCA"/>
    <w:rsid w:val="004702B6"/>
    <w:rsid w:val="00472062"/>
    <w:rsid w:val="004760F9"/>
    <w:rsid w:val="00485F24"/>
    <w:rsid w:val="004B246D"/>
    <w:rsid w:val="004B3255"/>
    <w:rsid w:val="004B7190"/>
    <w:rsid w:val="004C5255"/>
    <w:rsid w:val="004C6EC1"/>
    <w:rsid w:val="004D0EB6"/>
    <w:rsid w:val="004D5D6C"/>
    <w:rsid w:val="004D7D67"/>
    <w:rsid w:val="004E28DB"/>
    <w:rsid w:val="004F0084"/>
    <w:rsid w:val="004F0540"/>
    <w:rsid w:val="004F1927"/>
    <w:rsid w:val="004F2617"/>
    <w:rsid w:val="004F332E"/>
    <w:rsid w:val="00505519"/>
    <w:rsid w:val="00507B18"/>
    <w:rsid w:val="0051052B"/>
    <w:rsid w:val="00512A66"/>
    <w:rsid w:val="00530407"/>
    <w:rsid w:val="0053142A"/>
    <w:rsid w:val="00536E84"/>
    <w:rsid w:val="00541F13"/>
    <w:rsid w:val="00543229"/>
    <w:rsid w:val="00545A06"/>
    <w:rsid w:val="00551760"/>
    <w:rsid w:val="005552AF"/>
    <w:rsid w:val="005608A1"/>
    <w:rsid w:val="005675A5"/>
    <w:rsid w:val="00572015"/>
    <w:rsid w:val="005723AB"/>
    <w:rsid w:val="00573357"/>
    <w:rsid w:val="00576229"/>
    <w:rsid w:val="00580EFA"/>
    <w:rsid w:val="00586F8D"/>
    <w:rsid w:val="00594E30"/>
    <w:rsid w:val="005A4607"/>
    <w:rsid w:val="005B3E1D"/>
    <w:rsid w:val="005B55E3"/>
    <w:rsid w:val="005C20FC"/>
    <w:rsid w:val="005C3C8C"/>
    <w:rsid w:val="005C3E3D"/>
    <w:rsid w:val="005D3EEE"/>
    <w:rsid w:val="005D4B73"/>
    <w:rsid w:val="005D6C27"/>
    <w:rsid w:val="005D7CEF"/>
    <w:rsid w:val="005E0FF6"/>
    <w:rsid w:val="005E28FD"/>
    <w:rsid w:val="005E79B2"/>
    <w:rsid w:val="005F4BD5"/>
    <w:rsid w:val="005F4E85"/>
    <w:rsid w:val="005F4F56"/>
    <w:rsid w:val="00600A25"/>
    <w:rsid w:val="00607523"/>
    <w:rsid w:val="006255B0"/>
    <w:rsid w:val="00625803"/>
    <w:rsid w:val="006328BA"/>
    <w:rsid w:val="00636F50"/>
    <w:rsid w:val="00641963"/>
    <w:rsid w:val="00643B35"/>
    <w:rsid w:val="00646ECA"/>
    <w:rsid w:val="00647AD9"/>
    <w:rsid w:val="00652316"/>
    <w:rsid w:val="00655463"/>
    <w:rsid w:val="0067027F"/>
    <w:rsid w:val="00670DEB"/>
    <w:rsid w:val="0067485D"/>
    <w:rsid w:val="00675380"/>
    <w:rsid w:val="006822D9"/>
    <w:rsid w:val="00686D36"/>
    <w:rsid w:val="00692E77"/>
    <w:rsid w:val="006931EC"/>
    <w:rsid w:val="006A40E4"/>
    <w:rsid w:val="006A517B"/>
    <w:rsid w:val="006B624A"/>
    <w:rsid w:val="006C3850"/>
    <w:rsid w:val="006C61DA"/>
    <w:rsid w:val="006E5EA2"/>
    <w:rsid w:val="006F3AF6"/>
    <w:rsid w:val="006F3FF7"/>
    <w:rsid w:val="0072018D"/>
    <w:rsid w:val="00726CA4"/>
    <w:rsid w:val="00733808"/>
    <w:rsid w:val="00734306"/>
    <w:rsid w:val="00734750"/>
    <w:rsid w:val="007407BB"/>
    <w:rsid w:val="00743B27"/>
    <w:rsid w:val="007447F3"/>
    <w:rsid w:val="00744C34"/>
    <w:rsid w:val="00756689"/>
    <w:rsid w:val="00757012"/>
    <w:rsid w:val="00772001"/>
    <w:rsid w:val="0077202E"/>
    <w:rsid w:val="0077399B"/>
    <w:rsid w:val="00785622"/>
    <w:rsid w:val="007932C2"/>
    <w:rsid w:val="007A3C1F"/>
    <w:rsid w:val="007B0DC1"/>
    <w:rsid w:val="007B6861"/>
    <w:rsid w:val="007C665F"/>
    <w:rsid w:val="007C71E5"/>
    <w:rsid w:val="007D0EE7"/>
    <w:rsid w:val="007D4C65"/>
    <w:rsid w:val="007D5B3C"/>
    <w:rsid w:val="007D6F35"/>
    <w:rsid w:val="007F1CAA"/>
    <w:rsid w:val="007F2667"/>
    <w:rsid w:val="007F2820"/>
    <w:rsid w:val="00803918"/>
    <w:rsid w:val="00806051"/>
    <w:rsid w:val="008066BB"/>
    <w:rsid w:val="00810693"/>
    <w:rsid w:val="00813FED"/>
    <w:rsid w:val="0081547C"/>
    <w:rsid w:val="008169F5"/>
    <w:rsid w:val="00822B1E"/>
    <w:rsid w:val="008237CD"/>
    <w:rsid w:val="0082636E"/>
    <w:rsid w:val="00827776"/>
    <w:rsid w:val="00834556"/>
    <w:rsid w:val="00834A1B"/>
    <w:rsid w:val="00840361"/>
    <w:rsid w:val="00846514"/>
    <w:rsid w:val="00846F70"/>
    <w:rsid w:val="0085466B"/>
    <w:rsid w:val="008548EB"/>
    <w:rsid w:val="0085699F"/>
    <w:rsid w:val="00867CC9"/>
    <w:rsid w:val="00870610"/>
    <w:rsid w:val="00873030"/>
    <w:rsid w:val="0087460A"/>
    <w:rsid w:val="00877D80"/>
    <w:rsid w:val="0088340D"/>
    <w:rsid w:val="00885322"/>
    <w:rsid w:val="008A21A9"/>
    <w:rsid w:val="008A3571"/>
    <w:rsid w:val="008A6A0B"/>
    <w:rsid w:val="008A6A6A"/>
    <w:rsid w:val="008A7494"/>
    <w:rsid w:val="008B1810"/>
    <w:rsid w:val="008C246A"/>
    <w:rsid w:val="008C24B7"/>
    <w:rsid w:val="008D5CC2"/>
    <w:rsid w:val="008E22D9"/>
    <w:rsid w:val="00905C59"/>
    <w:rsid w:val="00912A3A"/>
    <w:rsid w:val="0091336B"/>
    <w:rsid w:val="00921A35"/>
    <w:rsid w:val="00922D2F"/>
    <w:rsid w:val="00923EC3"/>
    <w:rsid w:val="009247E3"/>
    <w:rsid w:val="00936BA6"/>
    <w:rsid w:val="00950CA4"/>
    <w:rsid w:val="00957B0F"/>
    <w:rsid w:val="00962F4F"/>
    <w:rsid w:val="009676B5"/>
    <w:rsid w:val="00977DE6"/>
    <w:rsid w:val="00991A95"/>
    <w:rsid w:val="00991ABC"/>
    <w:rsid w:val="00992EB4"/>
    <w:rsid w:val="00995085"/>
    <w:rsid w:val="00995C03"/>
    <w:rsid w:val="00996F05"/>
    <w:rsid w:val="009A1664"/>
    <w:rsid w:val="009A21FA"/>
    <w:rsid w:val="009B1F69"/>
    <w:rsid w:val="009D09D5"/>
    <w:rsid w:val="009D421A"/>
    <w:rsid w:val="009E0F46"/>
    <w:rsid w:val="009E7260"/>
    <w:rsid w:val="009F5EC8"/>
    <w:rsid w:val="009F6556"/>
    <w:rsid w:val="00A05322"/>
    <w:rsid w:val="00A06B00"/>
    <w:rsid w:val="00A075A5"/>
    <w:rsid w:val="00A12B5B"/>
    <w:rsid w:val="00A155A5"/>
    <w:rsid w:val="00A26D7D"/>
    <w:rsid w:val="00A30DE5"/>
    <w:rsid w:val="00A364D4"/>
    <w:rsid w:val="00A370A3"/>
    <w:rsid w:val="00A40920"/>
    <w:rsid w:val="00A43795"/>
    <w:rsid w:val="00A532A3"/>
    <w:rsid w:val="00A555AF"/>
    <w:rsid w:val="00A64716"/>
    <w:rsid w:val="00A64E06"/>
    <w:rsid w:val="00A671A6"/>
    <w:rsid w:val="00A742E1"/>
    <w:rsid w:val="00A7511A"/>
    <w:rsid w:val="00A75445"/>
    <w:rsid w:val="00A87229"/>
    <w:rsid w:val="00A90C3D"/>
    <w:rsid w:val="00A92CB0"/>
    <w:rsid w:val="00AA1144"/>
    <w:rsid w:val="00AA5375"/>
    <w:rsid w:val="00AB295A"/>
    <w:rsid w:val="00AB4B83"/>
    <w:rsid w:val="00AB65F9"/>
    <w:rsid w:val="00AC4F5F"/>
    <w:rsid w:val="00AC5B7E"/>
    <w:rsid w:val="00AD7FC6"/>
    <w:rsid w:val="00AE08EF"/>
    <w:rsid w:val="00AE10C7"/>
    <w:rsid w:val="00AE300C"/>
    <w:rsid w:val="00AF4E9C"/>
    <w:rsid w:val="00B04F09"/>
    <w:rsid w:val="00B127F3"/>
    <w:rsid w:val="00B2389E"/>
    <w:rsid w:val="00B27F40"/>
    <w:rsid w:val="00B34E27"/>
    <w:rsid w:val="00B3697F"/>
    <w:rsid w:val="00B42AE4"/>
    <w:rsid w:val="00B42DE5"/>
    <w:rsid w:val="00B443B3"/>
    <w:rsid w:val="00B45E11"/>
    <w:rsid w:val="00B4604C"/>
    <w:rsid w:val="00B47B66"/>
    <w:rsid w:val="00B50AE2"/>
    <w:rsid w:val="00B50DD7"/>
    <w:rsid w:val="00B53CF8"/>
    <w:rsid w:val="00B631DD"/>
    <w:rsid w:val="00B668B3"/>
    <w:rsid w:val="00B70489"/>
    <w:rsid w:val="00B707A2"/>
    <w:rsid w:val="00B72718"/>
    <w:rsid w:val="00B7325E"/>
    <w:rsid w:val="00B776E0"/>
    <w:rsid w:val="00B80A91"/>
    <w:rsid w:val="00B81064"/>
    <w:rsid w:val="00B858A6"/>
    <w:rsid w:val="00B86A28"/>
    <w:rsid w:val="00B9222B"/>
    <w:rsid w:val="00B95385"/>
    <w:rsid w:val="00B97D96"/>
    <w:rsid w:val="00BA7179"/>
    <w:rsid w:val="00BA71E0"/>
    <w:rsid w:val="00BB1028"/>
    <w:rsid w:val="00BB4120"/>
    <w:rsid w:val="00BB555A"/>
    <w:rsid w:val="00BB69B6"/>
    <w:rsid w:val="00BB74E4"/>
    <w:rsid w:val="00BC19B0"/>
    <w:rsid w:val="00BC29E1"/>
    <w:rsid w:val="00BC2D94"/>
    <w:rsid w:val="00BD376A"/>
    <w:rsid w:val="00BD3A4D"/>
    <w:rsid w:val="00BD513B"/>
    <w:rsid w:val="00BD7451"/>
    <w:rsid w:val="00BE336B"/>
    <w:rsid w:val="00BE44C4"/>
    <w:rsid w:val="00BF1F49"/>
    <w:rsid w:val="00C01543"/>
    <w:rsid w:val="00C0359B"/>
    <w:rsid w:val="00C16DD7"/>
    <w:rsid w:val="00C22AF7"/>
    <w:rsid w:val="00C35CD5"/>
    <w:rsid w:val="00C37E33"/>
    <w:rsid w:val="00C4278C"/>
    <w:rsid w:val="00C45791"/>
    <w:rsid w:val="00C46E77"/>
    <w:rsid w:val="00C51096"/>
    <w:rsid w:val="00C639CD"/>
    <w:rsid w:val="00C679B8"/>
    <w:rsid w:val="00C71C2C"/>
    <w:rsid w:val="00C7265F"/>
    <w:rsid w:val="00C76916"/>
    <w:rsid w:val="00C81018"/>
    <w:rsid w:val="00C8149B"/>
    <w:rsid w:val="00C82F88"/>
    <w:rsid w:val="00C83067"/>
    <w:rsid w:val="00C83D45"/>
    <w:rsid w:val="00C84FA5"/>
    <w:rsid w:val="00C9077B"/>
    <w:rsid w:val="00C91F18"/>
    <w:rsid w:val="00C9208B"/>
    <w:rsid w:val="00C92F9C"/>
    <w:rsid w:val="00C932BA"/>
    <w:rsid w:val="00C93772"/>
    <w:rsid w:val="00CA1D17"/>
    <w:rsid w:val="00CB2B0B"/>
    <w:rsid w:val="00CB3C29"/>
    <w:rsid w:val="00CB52D2"/>
    <w:rsid w:val="00CB65F9"/>
    <w:rsid w:val="00CB7041"/>
    <w:rsid w:val="00CB7A07"/>
    <w:rsid w:val="00CC170C"/>
    <w:rsid w:val="00CD13D1"/>
    <w:rsid w:val="00CD1BEF"/>
    <w:rsid w:val="00CD39F2"/>
    <w:rsid w:val="00CD3AFC"/>
    <w:rsid w:val="00CE0E1F"/>
    <w:rsid w:val="00CE1289"/>
    <w:rsid w:val="00CE136B"/>
    <w:rsid w:val="00CE2CB9"/>
    <w:rsid w:val="00CE4D45"/>
    <w:rsid w:val="00CF064E"/>
    <w:rsid w:val="00CF50BC"/>
    <w:rsid w:val="00CF7D1C"/>
    <w:rsid w:val="00CF7F85"/>
    <w:rsid w:val="00D04165"/>
    <w:rsid w:val="00D06271"/>
    <w:rsid w:val="00D06315"/>
    <w:rsid w:val="00D079BC"/>
    <w:rsid w:val="00D07E26"/>
    <w:rsid w:val="00D10419"/>
    <w:rsid w:val="00D13040"/>
    <w:rsid w:val="00D1347D"/>
    <w:rsid w:val="00D13C67"/>
    <w:rsid w:val="00D20002"/>
    <w:rsid w:val="00D20296"/>
    <w:rsid w:val="00D226C0"/>
    <w:rsid w:val="00D22E19"/>
    <w:rsid w:val="00D261FD"/>
    <w:rsid w:val="00D27BA3"/>
    <w:rsid w:val="00D360F5"/>
    <w:rsid w:val="00D4005E"/>
    <w:rsid w:val="00D41502"/>
    <w:rsid w:val="00D436F4"/>
    <w:rsid w:val="00D51A7A"/>
    <w:rsid w:val="00D522EE"/>
    <w:rsid w:val="00D56F0D"/>
    <w:rsid w:val="00D60198"/>
    <w:rsid w:val="00D64983"/>
    <w:rsid w:val="00D7023F"/>
    <w:rsid w:val="00D811E1"/>
    <w:rsid w:val="00D85EC1"/>
    <w:rsid w:val="00D86E5C"/>
    <w:rsid w:val="00DA39E4"/>
    <w:rsid w:val="00DA5D7B"/>
    <w:rsid w:val="00DB215C"/>
    <w:rsid w:val="00DB5A96"/>
    <w:rsid w:val="00DC1B78"/>
    <w:rsid w:val="00DE121E"/>
    <w:rsid w:val="00DF0BE7"/>
    <w:rsid w:val="00DF0FA8"/>
    <w:rsid w:val="00E0772F"/>
    <w:rsid w:val="00E15F03"/>
    <w:rsid w:val="00E210C4"/>
    <w:rsid w:val="00E26E1B"/>
    <w:rsid w:val="00E30483"/>
    <w:rsid w:val="00E3112C"/>
    <w:rsid w:val="00E328E7"/>
    <w:rsid w:val="00E37214"/>
    <w:rsid w:val="00E436BF"/>
    <w:rsid w:val="00E44F24"/>
    <w:rsid w:val="00E45344"/>
    <w:rsid w:val="00E57CA1"/>
    <w:rsid w:val="00E60880"/>
    <w:rsid w:val="00E815B4"/>
    <w:rsid w:val="00E829EE"/>
    <w:rsid w:val="00E83377"/>
    <w:rsid w:val="00E8585C"/>
    <w:rsid w:val="00E866EC"/>
    <w:rsid w:val="00E9357C"/>
    <w:rsid w:val="00E95C22"/>
    <w:rsid w:val="00EA10B2"/>
    <w:rsid w:val="00EA1F59"/>
    <w:rsid w:val="00EA4EA7"/>
    <w:rsid w:val="00EA75DA"/>
    <w:rsid w:val="00EC5540"/>
    <w:rsid w:val="00ED13F0"/>
    <w:rsid w:val="00ED4CB5"/>
    <w:rsid w:val="00EE151C"/>
    <w:rsid w:val="00EE42C6"/>
    <w:rsid w:val="00EE5A34"/>
    <w:rsid w:val="00EE5A9B"/>
    <w:rsid w:val="00EE6AD5"/>
    <w:rsid w:val="00EF0BB3"/>
    <w:rsid w:val="00EF7F7F"/>
    <w:rsid w:val="00F01398"/>
    <w:rsid w:val="00F0203F"/>
    <w:rsid w:val="00F02777"/>
    <w:rsid w:val="00F064E5"/>
    <w:rsid w:val="00F1685E"/>
    <w:rsid w:val="00F2358A"/>
    <w:rsid w:val="00F23614"/>
    <w:rsid w:val="00F31BFA"/>
    <w:rsid w:val="00F33AFD"/>
    <w:rsid w:val="00F33FFA"/>
    <w:rsid w:val="00F3575A"/>
    <w:rsid w:val="00F401C5"/>
    <w:rsid w:val="00F45A21"/>
    <w:rsid w:val="00F5362A"/>
    <w:rsid w:val="00F54BC6"/>
    <w:rsid w:val="00F57547"/>
    <w:rsid w:val="00F6212A"/>
    <w:rsid w:val="00F63DAC"/>
    <w:rsid w:val="00F76718"/>
    <w:rsid w:val="00F84B23"/>
    <w:rsid w:val="00F900A6"/>
    <w:rsid w:val="00F900DE"/>
    <w:rsid w:val="00F90ECC"/>
    <w:rsid w:val="00F92E06"/>
    <w:rsid w:val="00F931D2"/>
    <w:rsid w:val="00F94FD4"/>
    <w:rsid w:val="00F9774A"/>
    <w:rsid w:val="00FA0E38"/>
    <w:rsid w:val="00FA2A63"/>
    <w:rsid w:val="00FA7959"/>
    <w:rsid w:val="00FB1862"/>
    <w:rsid w:val="00FB5F49"/>
    <w:rsid w:val="00FC463C"/>
    <w:rsid w:val="00FC517B"/>
    <w:rsid w:val="00FD2A56"/>
    <w:rsid w:val="00FD557F"/>
    <w:rsid w:val="00FE06C4"/>
    <w:rsid w:val="00FE3EAC"/>
    <w:rsid w:val="00FE3F45"/>
    <w:rsid w:val="00FE5A7D"/>
    <w:rsid w:val="00FF036C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4A639D"/>
  <w15:docId w15:val="{56E30EF0-13CE-48DE-8A39-698E064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47D"/>
    <w:rPr>
      <w:color w:val="0000FF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D1347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1347D"/>
    <w:rPr>
      <w:i/>
      <w:iCs/>
    </w:rPr>
  </w:style>
  <w:style w:type="paragraph" w:styleId="ListParagraph">
    <w:name w:val="List Paragraph"/>
    <w:basedOn w:val="Normal"/>
    <w:uiPriority w:val="34"/>
    <w:qFormat/>
    <w:rsid w:val="00D1347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he-IL"/>
    </w:rPr>
  </w:style>
  <w:style w:type="paragraph" w:customStyle="1" w:styleId="Default">
    <w:name w:val="Default"/>
    <w:rsid w:val="00D13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1347D"/>
    <w:pPr>
      <w:spacing w:after="0" w:line="240" w:lineRule="auto"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347D"/>
    <w:rPr>
      <w:rFonts w:ascii="Consolas" w:hAnsi="Consolas" w:cs="Consolas"/>
      <w:sz w:val="21"/>
      <w:szCs w:val="21"/>
      <w:lang w:eastAsia="en-AU"/>
    </w:rPr>
  </w:style>
  <w:style w:type="character" w:customStyle="1" w:styleId="ACMABodyTextChar1">
    <w:name w:val="ACMA Body Text Char1"/>
    <w:basedOn w:val="DefaultParagraphFont"/>
    <w:link w:val="ACMABodyText"/>
    <w:uiPriority w:val="99"/>
    <w:rsid w:val="00D13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aliases w:val="a"/>
    <w:basedOn w:val="Normal"/>
    <w:rsid w:val="00D1347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4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7B6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A555AF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A555AF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A555AF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A555A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7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DD"/>
  </w:style>
  <w:style w:type="paragraph" w:styleId="Footer">
    <w:name w:val="footer"/>
    <w:basedOn w:val="Normal"/>
    <w:link w:val="Foot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DD"/>
  </w:style>
  <w:style w:type="paragraph" w:styleId="Revision">
    <w:name w:val="Revision"/>
    <w:hidden/>
    <w:uiPriority w:val="99"/>
    <w:semiHidden/>
    <w:rsid w:val="00A90C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omlaw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KNAH4PPFC442-3114-961</_dlc_DocId>
    <_dlc_DocIdUrl xmlns="6db8f3c6-01a1-4322-b043-a3b2a190f7a8">
      <Url>http://collaboration/organisation/Auth/Chair/Auth/_layouts/DocIdRedir.aspx?ID=KNAH4PPFC442-3114-961</Url>
      <Description>KNAH4PPFC442-3114-961</Description>
    </_dlc_DocIdUrl>
    <Record_x0020_Number xmlns="83630db1-6fc2-4dfd-b3fe-d61d34e1440c">ER2015/142256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5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0637-6D23-43B5-8E03-65D83E3B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071DD-8378-422C-A6FD-D0C95476D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403FA-6BA2-4DDD-ACD1-806A24317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CAFA14-B665-4D6F-B2B3-328DD5CAA47D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db8f3c6-01a1-4322-b043-a3b2a190f7a8"/>
    <ds:schemaRef ds:uri="http://schemas.microsoft.com/sharepoint/v4"/>
    <ds:schemaRef ds:uri="http://purl.org/dc/terms/"/>
    <ds:schemaRef ds:uri="5e268b55-9e20-462b-aba6-694451a37717"/>
    <ds:schemaRef ds:uri="http://schemas.microsoft.com/office/2006/documentManagement/types"/>
    <ds:schemaRef ds:uri="83630db1-6fc2-4dfd-b3fe-d61d34e1440c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0B2BA19-6E3A-4CE1-81A6-066410C8F60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8E6107-010C-48E1-B9C1-3808F0E9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RLN ES 2014</vt:lpstr>
    </vt:vector>
  </TitlesOfParts>
  <Company>Australian Communications and Media Authority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RLN ES 2014</dc:title>
  <dc:creator>Australian Communications and Media Authority</dc:creator>
  <cp:lastModifiedBy>Alison Jermey</cp:lastModifiedBy>
  <cp:revision>2</cp:revision>
  <cp:lastPrinted>2014-10-15T04:31:00Z</cp:lastPrinted>
  <dcterms:created xsi:type="dcterms:W3CDTF">2015-09-17T05:47:00Z</dcterms:created>
  <dcterms:modified xsi:type="dcterms:W3CDTF">2015-09-17T05:47:00Z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0x01010070E27D6A746B5B48ADF22C2128054D5500EE817EA22CCD994CB2E127746CF12863</vt:lpwstr>
  </property>
  <property fmtid="{D5CDD505-2E9C-101B-9397-08002B2CF9AE}" pid="3" name="_dlc_DocIdItemGuid">
    <vt:lpwstr>f0b6107d-1edd-4ba6-b189-4d359249fadb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SubmissionCompleted">
    <vt:lpwstr>2015-09-10T09:10:37.9662706+10:00</vt:lpwstr>
  </property>
  <property fmtid="{D5CDD505-2E9C-101B-9397-08002B2CF9AE}" pid="9" name="RecordPoint_ActiveItemMoved">
    <vt:lpwstr/>
  </property>
  <property fmtid="{D5CDD505-2E9C-101B-9397-08002B2CF9AE}" pid="10" name="RecordPoint_ActiveItemUniqueId">
    <vt:lpwstr>{f0b6107d-1edd-4ba6-b189-4d359249fadb}</vt:lpwstr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