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C1" w:rsidRDefault="001F2A16" w:rsidP="00B73DC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r w:rsidRPr="001F2A16">
        <w:rPr>
          <w:rFonts w:ascii="Arial" w:hAnsi="Arial" w:cs="Arial"/>
          <w:sz w:val="34"/>
          <w:szCs w:val="34"/>
        </w:rPr>
        <w:t>Explanatory Statement</w:t>
      </w:r>
      <w:r w:rsidR="00B73DC1">
        <w:rPr>
          <w:rFonts w:ascii="Arial" w:hAnsi="Arial" w:cs="Arial"/>
          <w:sz w:val="34"/>
          <w:szCs w:val="34"/>
        </w:rPr>
        <w:t xml:space="preserve"> </w:t>
      </w:r>
    </w:p>
    <w:p w:rsidR="00B73DC1" w:rsidRDefault="00B73DC1" w:rsidP="00B73DC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99555F" w:rsidRPr="001F2A16" w:rsidRDefault="00B73DC1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B73DC1">
        <w:rPr>
          <w:rFonts w:ascii="Arial" w:hAnsi="Arial" w:cs="Arial"/>
          <w:b/>
          <w:bCs/>
          <w:kern w:val="36"/>
          <w:sz w:val="48"/>
          <w:szCs w:val="48"/>
        </w:rPr>
        <w:t xml:space="preserve">PAYG Withholding Variation: </w:t>
      </w:r>
      <w:r w:rsidRPr="00B73DC1">
        <w:rPr>
          <w:rFonts w:ascii="Arial" w:eastAsiaTheme="minorHAnsi" w:hAnsi="Arial" w:cs="Arial"/>
          <w:b/>
          <w:bCs/>
          <w:color w:val="000000" w:themeColor="text1"/>
          <w:sz w:val="40"/>
          <w:szCs w:val="40"/>
          <w:lang w:eastAsia="en-US"/>
        </w:rPr>
        <w:t>Variation of amount to be withheld from certain payments made by external administrators and trustees of bankrupt estates</w:t>
      </w:r>
    </w:p>
    <w:p w:rsidR="0099555F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:rsidR="001F2A16" w:rsidRPr="001F2A16" w:rsidRDefault="001F2A16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:rsidR="00486653" w:rsidRDefault="00486653" w:rsidP="00486653">
      <w:pPr>
        <w:pStyle w:val="Heading2"/>
        <w:rPr>
          <w:sz w:val="24"/>
          <w:szCs w:val="24"/>
        </w:rPr>
      </w:pPr>
      <w:bookmarkStart w:id="1" w:name="EDisclaimer"/>
      <w:bookmarkStart w:id="2" w:name="HBody"/>
      <w:bookmarkStart w:id="3" w:name="LReferences"/>
      <w:bookmarkStart w:id="4" w:name="NRulingRef"/>
      <w:bookmarkStart w:id="5" w:name="OSubjectRef"/>
      <w:bookmarkStart w:id="6" w:name="PLegrefText"/>
      <w:bookmarkStart w:id="7" w:name="QLegref"/>
      <w:bookmarkStart w:id="8" w:name="RCaseRefText"/>
      <w:bookmarkStart w:id="9" w:name="SCaseRef"/>
      <w:bookmarkStart w:id="10" w:name="VISS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E6CCE">
        <w:rPr>
          <w:sz w:val="24"/>
          <w:szCs w:val="24"/>
        </w:rPr>
        <w:t>General Outline of Instrument</w:t>
      </w:r>
    </w:p>
    <w:p w:rsidR="00486653" w:rsidRPr="00E72FC7" w:rsidRDefault="00486653" w:rsidP="00486653"/>
    <w:p w:rsidR="00486653" w:rsidRPr="00B73DC1" w:rsidRDefault="00486653" w:rsidP="00486653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bookmarkStart w:id="11" w:name="IComments"/>
      <w:r w:rsidRPr="00B73DC1">
        <w:rPr>
          <w:rFonts w:ascii="Arial" w:hAnsi="Arial" w:cs="Arial"/>
          <w:sz w:val="22"/>
          <w:szCs w:val="22"/>
        </w:rPr>
        <w:t>This instrument is made under</w:t>
      </w:r>
      <w:r w:rsidR="00B73DC1" w:rsidRPr="00B73DC1">
        <w:rPr>
          <w:rFonts w:ascii="Arial" w:hAnsi="Arial" w:cs="Arial"/>
          <w:sz w:val="22"/>
          <w:szCs w:val="22"/>
        </w:rPr>
        <w:t xml:space="preserve"> section 15-15 of Schedule 1 to the </w:t>
      </w:r>
      <w:r w:rsidR="00B73DC1" w:rsidRPr="00B73DC1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B73DC1" w:rsidRPr="00B73DC1">
        <w:rPr>
          <w:rFonts w:ascii="Arial" w:hAnsi="Arial" w:cs="Arial"/>
          <w:sz w:val="22"/>
          <w:szCs w:val="22"/>
        </w:rPr>
        <w:t>.</w:t>
      </w:r>
    </w:p>
    <w:p w:rsidR="008C66CC" w:rsidRPr="00B73DC1" w:rsidRDefault="00B73DC1" w:rsidP="00B73DC1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B73DC1">
        <w:rPr>
          <w:rFonts w:ascii="Arial" w:hAnsi="Arial" w:cs="Arial"/>
          <w:sz w:val="22"/>
          <w:szCs w:val="22"/>
        </w:rPr>
        <w:t>This instrument varies the amount of withholding required by a payer under the pay as you go withholding system for payments to employees in certain classes of case</w:t>
      </w:r>
      <w:r w:rsidR="00410867">
        <w:rPr>
          <w:rFonts w:ascii="Arial" w:hAnsi="Arial" w:cs="Arial"/>
          <w:sz w:val="22"/>
          <w:szCs w:val="22"/>
        </w:rPr>
        <w:t>s</w:t>
      </w:r>
      <w:r w:rsidRPr="00B73DC1">
        <w:rPr>
          <w:rFonts w:ascii="Arial" w:hAnsi="Arial" w:cs="Arial"/>
          <w:sz w:val="22"/>
          <w:szCs w:val="22"/>
        </w:rPr>
        <w:t xml:space="preserve">. </w:t>
      </w:r>
    </w:p>
    <w:p w:rsidR="00486653" w:rsidRPr="00E524D9" w:rsidRDefault="00486653" w:rsidP="00486653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instrument is a legislative instrument for the purposes of the </w:t>
      </w:r>
      <w:r>
        <w:rPr>
          <w:rFonts w:ascii="Arial" w:hAnsi="Arial" w:cs="Arial"/>
          <w:i/>
          <w:sz w:val="22"/>
          <w:szCs w:val="22"/>
        </w:rPr>
        <w:t>Legislative Instruments Act 2003</w:t>
      </w:r>
      <w:r>
        <w:rPr>
          <w:rFonts w:ascii="Arial" w:hAnsi="Arial" w:cs="Arial"/>
          <w:sz w:val="22"/>
          <w:szCs w:val="22"/>
        </w:rPr>
        <w:t>.</w:t>
      </w:r>
    </w:p>
    <w:p w:rsidR="00486653" w:rsidRPr="00081FDE" w:rsidRDefault="00486653" w:rsidP="00486653">
      <w:pPr>
        <w:spacing w:after="120"/>
        <w:rPr>
          <w:rFonts w:ascii="Arial" w:hAnsi="Arial" w:cs="Arial"/>
          <w:sz w:val="22"/>
          <w:szCs w:val="22"/>
        </w:rPr>
      </w:pPr>
    </w:p>
    <w:bookmarkEnd w:id="11"/>
    <w:p w:rsidR="00486653" w:rsidRPr="00DC656D" w:rsidRDefault="00486653" w:rsidP="00486653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 xml:space="preserve">Date </w:t>
      </w:r>
      <w:r w:rsidRPr="00DC656D">
        <w:rPr>
          <w:sz w:val="24"/>
          <w:szCs w:val="24"/>
        </w:rPr>
        <w:t>of effect</w:t>
      </w:r>
    </w:p>
    <w:p w:rsidR="00486653" w:rsidRPr="00380CC4" w:rsidRDefault="00486653" w:rsidP="00380CC4">
      <w:pPr>
        <w:spacing w:after="120"/>
        <w:ind w:left="771"/>
        <w:rPr>
          <w:rFonts w:ascii="Arial" w:hAnsi="Arial" w:cs="Arial"/>
          <w:sz w:val="22"/>
          <w:szCs w:val="22"/>
        </w:rPr>
      </w:pPr>
    </w:p>
    <w:p w:rsidR="00380CC4" w:rsidRPr="00795D0C" w:rsidRDefault="00380CC4" w:rsidP="00380CC4">
      <w:pPr>
        <w:numPr>
          <w:ilvl w:val="0"/>
          <w:numId w:val="16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380CC4">
        <w:rPr>
          <w:rFonts w:ascii="Arial" w:hAnsi="Arial" w:cs="Arial"/>
          <w:sz w:val="22"/>
          <w:szCs w:val="22"/>
        </w:rPr>
        <w:t xml:space="preserve">The instrument </w:t>
      </w:r>
      <w:r w:rsidR="007A6D80">
        <w:rPr>
          <w:rFonts w:ascii="Arial" w:hAnsi="Arial" w:cs="Arial"/>
          <w:sz w:val="22"/>
          <w:szCs w:val="22"/>
        </w:rPr>
        <w:t>commences</w:t>
      </w:r>
      <w:r w:rsidRPr="00380CC4">
        <w:rPr>
          <w:rFonts w:ascii="Arial" w:hAnsi="Arial" w:cs="Arial"/>
          <w:sz w:val="22"/>
          <w:szCs w:val="22"/>
        </w:rPr>
        <w:t xml:space="preserve"> on </w:t>
      </w:r>
      <w:r w:rsidR="00871F3D">
        <w:rPr>
          <w:rFonts w:ascii="Arial" w:hAnsi="Arial" w:cs="Arial"/>
          <w:sz w:val="22"/>
          <w:szCs w:val="22"/>
        </w:rPr>
        <w:t>1 October 2015.</w:t>
      </w:r>
    </w:p>
    <w:p w:rsidR="00795D0C" w:rsidRPr="00795D0C" w:rsidRDefault="00795D0C" w:rsidP="00795D0C">
      <w:pPr>
        <w:spacing w:after="120"/>
        <w:ind w:left="360"/>
        <w:rPr>
          <w:rFonts w:ascii="Arial" w:hAnsi="Arial" w:cs="Arial"/>
          <w:color w:val="000000"/>
          <w:sz w:val="22"/>
          <w:szCs w:val="22"/>
        </w:rPr>
      </w:pPr>
    </w:p>
    <w:p w:rsidR="00486653" w:rsidRPr="005E6CCE" w:rsidRDefault="00486653" w:rsidP="00486653">
      <w:pPr>
        <w:pStyle w:val="Heading2"/>
        <w:rPr>
          <w:sz w:val="24"/>
          <w:szCs w:val="24"/>
        </w:rPr>
      </w:pPr>
      <w:r w:rsidRPr="007533B3">
        <w:rPr>
          <w:sz w:val="24"/>
          <w:szCs w:val="24"/>
        </w:rPr>
        <w:t>What is this instrument about</w:t>
      </w:r>
    </w:p>
    <w:p w:rsidR="00486653" w:rsidRPr="005602B4" w:rsidRDefault="00486653" w:rsidP="00486653">
      <w:pPr>
        <w:keepNext/>
        <w:keepLines/>
        <w:rPr>
          <w:rFonts w:ascii="Arial" w:hAnsi="Arial" w:cs="Arial"/>
          <w:sz w:val="22"/>
          <w:szCs w:val="22"/>
        </w:rPr>
      </w:pPr>
    </w:p>
    <w:p w:rsidR="005602B4" w:rsidRPr="00032069" w:rsidRDefault="005602B4" w:rsidP="005602B4">
      <w:pPr>
        <w:keepNext/>
        <w:keepLines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5602B4">
        <w:rPr>
          <w:rFonts w:ascii="Arial" w:hAnsi="Arial" w:cs="Arial"/>
          <w:color w:val="000000"/>
          <w:sz w:val="22"/>
          <w:szCs w:val="22"/>
        </w:rPr>
        <w:t xml:space="preserve">Legislative Instrument No. </w:t>
      </w:r>
      <w:r w:rsidRPr="005602B4">
        <w:rPr>
          <w:rStyle w:val="legsubtitle1"/>
          <w:rFonts w:ascii="Arial" w:hAnsi="Arial" w:cs="Arial"/>
          <w:b w:val="0"/>
          <w:sz w:val="22"/>
          <w:szCs w:val="22"/>
        </w:rPr>
        <w:t>F2005L01215</w:t>
      </w:r>
      <w:r w:rsidRPr="005602B4">
        <w:rPr>
          <w:rFonts w:ascii="Arial" w:hAnsi="Arial" w:cs="Arial"/>
          <w:sz w:val="22"/>
          <w:szCs w:val="22"/>
        </w:rPr>
        <w:t xml:space="preserve"> and Legislative Instrument No F2005L01216</w:t>
      </w:r>
      <w:r w:rsidR="009C203A">
        <w:rPr>
          <w:rFonts w:ascii="Arial" w:hAnsi="Arial" w:cs="Arial"/>
          <w:sz w:val="22"/>
          <w:szCs w:val="22"/>
        </w:rPr>
        <w:t>,</w:t>
      </w:r>
      <w:r w:rsidRPr="005602B4">
        <w:rPr>
          <w:rFonts w:ascii="Arial" w:hAnsi="Arial" w:cs="Arial"/>
          <w:sz w:val="22"/>
          <w:szCs w:val="22"/>
        </w:rPr>
        <w:t xml:space="preserve"> which were </w:t>
      </w:r>
      <w:r w:rsidRPr="005602B4">
        <w:rPr>
          <w:rFonts w:ascii="Arial" w:hAnsi="Arial" w:cs="Arial"/>
          <w:color w:val="000000"/>
          <w:sz w:val="22"/>
          <w:szCs w:val="22"/>
        </w:rPr>
        <w:t>registered on the 24 May 2005</w:t>
      </w:r>
      <w:r w:rsidR="009C203A">
        <w:rPr>
          <w:rFonts w:ascii="Arial" w:hAnsi="Arial" w:cs="Arial"/>
          <w:color w:val="000000"/>
          <w:sz w:val="22"/>
          <w:szCs w:val="22"/>
        </w:rPr>
        <w:t>,</w:t>
      </w:r>
      <w:r w:rsidRPr="005602B4">
        <w:rPr>
          <w:rFonts w:ascii="Arial" w:hAnsi="Arial" w:cs="Arial"/>
          <w:color w:val="000000"/>
          <w:sz w:val="22"/>
          <w:szCs w:val="22"/>
        </w:rPr>
        <w:t xml:space="preserve"> provided a variation to the rate of withholding for certain payments made by external administrators and trustees in bankruptcy, respectively. The variations provided a flat rate of withholding of 31.5% for certain </w:t>
      </w:r>
      <w:r w:rsidR="00960A9B">
        <w:rPr>
          <w:rFonts w:ascii="Arial" w:hAnsi="Arial" w:cs="Arial"/>
          <w:color w:val="000000"/>
          <w:sz w:val="22"/>
          <w:szCs w:val="22"/>
        </w:rPr>
        <w:t xml:space="preserve">types of </w:t>
      </w:r>
      <w:r w:rsidRPr="005602B4">
        <w:rPr>
          <w:rFonts w:ascii="Arial" w:hAnsi="Arial" w:cs="Arial"/>
          <w:color w:val="000000"/>
          <w:sz w:val="22"/>
          <w:szCs w:val="22"/>
        </w:rPr>
        <w:t xml:space="preserve">payments to employees which accrued prior to the administrator or trustee being appointed </w:t>
      </w:r>
      <w:r w:rsidRPr="00032069">
        <w:rPr>
          <w:rFonts w:ascii="Arial" w:hAnsi="Arial" w:cs="Arial"/>
          <w:color w:val="000000"/>
          <w:sz w:val="22"/>
          <w:szCs w:val="22"/>
        </w:rPr>
        <w:t>to that role.</w:t>
      </w:r>
    </w:p>
    <w:p w:rsidR="005602B4" w:rsidRPr="005602B4" w:rsidRDefault="005602B4" w:rsidP="005602B4">
      <w:pPr>
        <w:pStyle w:val="ListParagraph"/>
        <w:numPr>
          <w:ilvl w:val="0"/>
          <w:numId w:val="16"/>
        </w:numPr>
        <w:spacing w:before="100" w:beforeAutospacing="1" w:after="100" w:afterAutospacing="1"/>
        <w:outlineLvl w:val="1"/>
        <w:rPr>
          <w:rFonts w:ascii="Helvetica Neue" w:hAnsi="Helvetica Neue"/>
          <w:b/>
          <w:bCs/>
          <w:sz w:val="36"/>
          <w:szCs w:val="36"/>
        </w:rPr>
      </w:pPr>
      <w:r w:rsidRPr="00032069">
        <w:rPr>
          <w:rFonts w:ascii="Arial" w:hAnsi="Arial" w:cs="Arial"/>
          <w:color w:val="000000" w:themeColor="text1"/>
          <w:szCs w:val="24"/>
        </w:rPr>
        <w:t>Those instruments are due for repeal on 1 October 2015, under the sunsetting provisions contained in Section 50 of the Legislative Instruments Act 2003.This instrument replaces</w:t>
      </w:r>
      <w:r w:rsidRPr="005602B4">
        <w:rPr>
          <w:rFonts w:ascii="Arial" w:hAnsi="Arial" w:cs="Arial"/>
          <w:color w:val="000000" w:themeColor="text1"/>
          <w:szCs w:val="24"/>
        </w:rPr>
        <w:t xml:space="preserve"> those two instruments from that date.</w:t>
      </w:r>
    </w:p>
    <w:p w:rsidR="00D77015" w:rsidRDefault="00D77015" w:rsidP="00D77015">
      <w:pPr>
        <w:keepNext/>
        <w:keepLines/>
        <w:ind w:left="360"/>
        <w:rPr>
          <w:rFonts w:ascii="Arial" w:hAnsi="Arial" w:cs="Arial"/>
          <w:sz w:val="22"/>
          <w:szCs w:val="22"/>
        </w:rPr>
      </w:pPr>
    </w:p>
    <w:p w:rsidR="00486653" w:rsidRPr="000C390A" w:rsidRDefault="00486653" w:rsidP="005602B4">
      <w:pPr>
        <w:pStyle w:val="Heading2"/>
        <w:rPr>
          <w:rFonts w:cs="Arial"/>
          <w:color w:val="000000"/>
        </w:rPr>
      </w:pPr>
      <w:r>
        <w:rPr>
          <w:sz w:val="24"/>
          <w:szCs w:val="24"/>
        </w:rPr>
        <w:t>What is the e</w:t>
      </w:r>
      <w:r w:rsidRPr="005E6CCE">
        <w:rPr>
          <w:sz w:val="24"/>
          <w:szCs w:val="24"/>
        </w:rPr>
        <w:t>ffect of this instrument</w:t>
      </w:r>
    </w:p>
    <w:p w:rsidR="005602B4" w:rsidRPr="005602B4" w:rsidRDefault="005602B4" w:rsidP="005602B4">
      <w:pPr>
        <w:pStyle w:val="ListParagraph"/>
        <w:numPr>
          <w:ilvl w:val="0"/>
          <w:numId w:val="16"/>
        </w:numPr>
        <w:spacing w:before="100" w:beforeAutospacing="1" w:after="120"/>
        <w:rPr>
          <w:rFonts w:ascii="Times New Roman" w:hAnsi="Times New Roman"/>
          <w:szCs w:val="24"/>
        </w:rPr>
      </w:pPr>
      <w:r w:rsidRPr="005602B4">
        <w:rPr>
          <w:rFonts w:ascii="Arial" w:hAnsi="Arial" w:cs="Arial"/>
          <w:color w:val="000000" w:themeColor="text1"/>
          <w:szCs w:val="24"/>
        </w:rPr>
        <w:t xml:space="preserve">The variation provides a simple withholding calculation for external administrators and trustees in bankruptcy, when paying entitlements </w:t>
      </w:r>
      <w:r w:rsidRPr="005602B4">
        <w:rPr>
          <w:rFonts w:ascii="Arial" w:hAnsi="Arial" w:cs="Arial"/>
          <w:szCs w:val="24"/>
        </w:rPr>
        <w:t xml:space="preserve">that accrued prior to their appointment.  This provides a less onerous </w:t>
      </w:r>
      <w:r w:rsidR="00960A9B">
        <w:rPr>
          <w:rFonts w:ascii="Arial" w:hAnsi="Arial" w:cs="Arial"/>
          <w:szCs w:val="24"/>
        </w:rPr>
        <w:t>arrangement</w:t>
      </w:r>
      <w:r w:rsidR="009C203A" w:rsidRPr="005602B4">
        <w:rPr>
          <w:rFonts w:ascii="Arial" w:hAnsi="Arial" w:cs="Arial"/>
          <w:szCs w:val="24"/>
        </w:rPr>
        <w:t xml:space="preserve"> </w:t>
      </w:r>
      <w:r w:rsidRPr="005602B4">
        <w:rPr>
          <w:rFonts w:ascii="Arial" w:hAnsi="Arial" w:cs="Arial"/>
          <w:szCs w:val="24"/>
        </w:rPr>
        <w:lastRenderedPageBreak/>
        <w:t>for these payers in addressing the historical payment obligations of the entity which is under administration or bankruptcy.</w:t>
      </w:r>
    </w:p>
    <w:p w:rsidR="005602B4" w:rsidRPr="005602B4" w:rsidRDefault="005602B4" w:rsidP="005602B4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Cs w:val="24"/>
        </w:rPr>
      </w:pPr>
      <w:r w:rsidRPr="005602B4">
        <w:rPr>
          <w:rFonts w:ascii="Arial" w:hAnsi="Arial" w:cs="Arial"/>
          <w:szCs w:val="24"/>
        </w:rPr>
        <w:t xml:space="preserve">A flat rate of 34.5% will apply to these payments. This is the marginal tax rate which applies to annual incomes between $37,000 and $80,000 for the 2015-16 income year. That </w:t>
      </w:r>
      <w:r w:rsidR="0078472D">
        <w:rPr>
          <w:rFonts w:ascii="Arial" w:hAnsi="Arial" w:cs="Arial"/>
          <w:szCs w:val="24"/>
        </w:rPr>
        <w:t xml:space="preserve">rate </w:t>
      </w:r>
      <w:r w:rsidRPr="005602B4">
        <w:rPr>
          <w:rFonts w:ascii="Arial" w:hAnsi="Arial" w:cs="Arial"/>
          <w:szCs w:val="24"/>
        </w:rPr>
        <w:t xml:space="preserve">is </w:t>
      </w:r>
      <w:r w:rsidR="009C203A">
        <w:rPr>
          <w:rFonts w:ascii="Arial" w:hAnsi="Arial" w:cs="Arial"/>
          <w:szCs w:val="24"/>
        </w:rPr>
        <w:t xml:space="preserve">comparable to </w:t>
      </w:r>
      <w:r w:rsidRPr="005602B4">
        <w:rPr>
          <w:rFonts w:ascii="Arial" w:hAnsi="Arial" w:cs="Arial"/>
          <w:szCs w:val="24"/>
        </w:rPr>
        <w:t>the rate of 31.5% which applied under the existing instruments. When those instruments were made, in the 2004-05 income year, that rate applied to incomes between $21,600 and $</w:t>
      </w:r>
      <w:r w:rsidR="0078472D">
        <w:rPr>
          <w:rFonts w:ascii="Arial" w:hAnsi="Arial" w:cs="Arial"/>
          <w:szCs w:val="24"/>
        </w:rPr>
        <w:t>58</w:t>
      </w:r>
      <w:r w:rsidRPr="005602B4">
        <w:rPr>
          <w:rFonts w:ascii="Arial" w:hAnsi="Arial" w:cs="Arial"/>
          <w:szCs w:val="24"/>
        </w:rPr>
        <w:t xml:space="preserve">,000. </w:t>
      </w:r>
    </w:p>
    <w:p w:rsidR="005602B4" w:rsidRPr="00BE2B79" w:rsidRDefault="005602B4" w:rsidP="005602B4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  <w:szCs w:val="24"/>
        </w:rPr>
      </w:pPr>
      <w:r w:rsidRPr="00BE2B79">
        <w:rPr>
          <w:rFonts w:ascii="Arial" w:hAnsi="Arial" w:cs="Arial"/>
          <w:szCs w:val="24"/>
        </w:rPr>
        <w:t>That rate will be appropriate for most recipients of these payments.</w:t>
      </w:r>
    </w:p>
    <w:p w:rsidR="005602B4" w:rsidRPr="00BE2B79" w:rsidRDefault="00125248" w:rsidP="005602B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BE2B79">
        <w:rPr>
          <w:rFonts w:ascii="Arial" w:hAnsi="Arial" w:cs="Arial"/>
          <w:szCs w:val="24"/>
        </w:rPr>
        <w:t xml:space="preserve">An assessment of the compliance cost </w:t>
      </w:r>
      <w:r w:rsidR="001B7F18">
        <w:rPr>
          <w:rFonts w:ascii="Arial" w:hAnsi="Arial" w:cs="Arial"/>
          <w:szCs w:val="24"/>
        </w:rPr>
        <w:t>indicates that the impact will be minor for both implementation and on-going compliance costs. The new instrument is of a minor or machinery nature.</w:t>
      </w:r>
      <w:r w:rsidR="009C203A">
        <w:rPr>
          <w:rFonts w:ascii="Arial" w:hAnsi="Arial" w:cs="Arial"/>
          <w:szCs w:val="24"/>
        </w:rPr>
        <w:t xml:space="preserve"> </w:t>
      </w:r>
    </w:p>
    <w:p w:rsidR="00486653" w:rsidRDefault="00486653" w:rsidP="00486653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>Background</w:t>
      </w:r>
    </w:p>
    <w:p w:rsidR="00BE2B79" w:rsidRPr="00BE2B79" w:rsidRDefault="00BE2B79" w:rsidP="00BE2B79"/>
    <w:p w:rsidR="00486653" w:rsidRPr="00BE2B79" w:rsidRDefault="00BE2B79" w:rsidP="00486653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BE2B79">
        <w:rPr>
          <w:rFonts w:ascii="Arial" w:hAnsi="Arial" w:cs="Arial"/>
          <w:color w:val="000000" w:themeColor="text1"/>
          <w:szCs w:val="24"/>
        </w:rPr>
        <w:t>The variation is created to lessen the compliance burden on administrators and trustees when paying entitlements to employees of the entity which is under administration or bankruptcy.</w:t>
      </w:r>
    </w:p>
    <w:p w:rsidR="00486653" w:rsidRPr="009F31A4" w:rsidRDefault="00486653" w:rsidP="00486653">
      <w:pPr>
        <w:rPr>
          <w:rFonts w:ascii="Arial" w:hAnsi="Arial" w:cs="Arial"/>
        </w:rPr>
      </w:pPr>
    </w:p>
    <w:p w:rsidR="00486653" w:rsidRPr="005E6CCE" w:rsidRDefault="00486653" w:rsidP="00486653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>Consultation:</w:t>
      </w:r>
    </w:p>
    <w:p w:rsidR="00486653" w:rsidRPr="000C390A" w:rsidRDefault="00486653" w:rsidP="00486653">
      <w:pPr>
        <w:keepNext/>
        <w:keepLines/>
        <w:rPr>
          <w:rFonts w:ascii="Arial" w:hAnsi="Arial" w:cs="Arial"/>
          <w:color w:val="000000"/>
        </w:rPr>
      </w:pPr>
    </w:p>
    <w:p w:rsidR="00D77015" w:rsidRPr="00E87E32" w:rsidRDefault="00486653" w:rsidP="00E87E32">
      <w:pPr>
        <w:numPr>
          <w:ilvl w:val="0"/>
          <w:numId w:val="16"/>
        </w:numPr>
        <w:spacing w:after="120"/>
        <w:rPr>
          <w:rFonts w:ascii="Arial" w:hAnsi="Arial" w:cs="Arial"/>
          <w:color w:val="000000"/>
        </w:rPr>
      </w:pPr>
      <w:r w:rsidRPr="000C390A">
        <w:rPr>
          <w:rFonts w:ascii="Arial" w:hAnsi="Arial" w:cs="Arial"/>
          <w:color w:val="000000"/>
          <w:sz w:val="22"/>
          <w:szCs w:val="22"/>
        </w:rPr>
        <w:t>Th</w:t>
      </w:r>
      <w:r w:rsidR="00125248">
        <w:rPr>
          <w:rFonts w:ascii="Arial" w:hAnsi="Arial" w:cs="Arial"/>
          <w:color w:val="000000"/>
          <w:sz w:val="22"/>
          <w:szCs w:val="22"/>
        </w:rPr>
        <w:t>e existing</w:t>
      </w:r>
      <w:r w:rsidRPr="000C390A">
        <w:rPr>
          <w:rFonts w:ascii="Arial" w:hAnsi="Arial" w:cs="Arial"/>
          <w:color w:val="000000"/>
          <w:sz w:val="22"/>
          <w:szCs w:val="22"/>
        </w:rPr>
        <w:t xml:space="preserve"> instrument</w:t>
      </w:r>
      <w:r w:rsidR="00125248">
        <w:rPr>
          <w:rFonts w:ascii="Arial" w:hAnsi="Arial" w:cs="Arial"/>
          <w:color w:val="000000"/>
          <w:sz w:val="22"/>
          <w:szCs w:val="22"/>
        </w:rPr>
        <w:t>s were</w:t>
      </w:r>
      <w:r w:rsidRPr="000C390A">
        <w:rPr>
          <w:rFonts w:ascii="Arial" w:hAnsi="Arial" w:cs="Arial"/>
          <w:color w:val="000000"/>
          <w:sz w:val="22"/>
          <w:szCs w:val="22"/>
        </w:rPr>
        <w:t xml:space="preserve"> developed in </w:t>
      </w:r>
      <w:r w:rsidR="00125248">
        <w:rPr>
          <w:rFonts w:ascii="Arial" w:hAnsi="Arial" w:cs="Arial"/>
          <w:color w:val="000000"/>
          <w:sz w:val="22"/>
          <w:szCs w:val="22"/>
        </w:rPr>
        <w:t>close consultation with the p</w:t>
      </w:r>
      <w:r w:rsidR="00BE2B79">
        <w:rPr>
          <w:rFonts w:ascii="Arial" w:hAnsi="Arial" w:cs="Arial"/>
          <w:color w:val="000000"/>
          <w:sz w:val="22"/>
          <w:szCs w:val="22"/>
        </w:rPr>
        <w:t>e</w:t>
      </w:r>
      <w:r w:rsidR="00125248">
        <w:rPr>
          <w:rFonts w:ascii="Arial" w:hAnsi="Arial" w:cs="Arial"/>
          <w:color w:val="000000"/>
          <w:sz w:val="22"/>
          <w:szCs w:val="22"/>
        </w:rPr>
        <w:t>ak body representing insolvency practitioners. That body has confirmed that they want the arrangements to continue</w:t>
      </w:r>
      <w:r w:rsidR="00032069">
        <w:rPr>
          <w:rFonts w:ascii="Arial" w:hAnsi="Arial" w:cs="Arial"/>
          <w:color w:val="000000"/>
          <w:sz w:val="22"/>
          <w:szCs w:val="22"/>
        </w:rPr>
        <w:t>.</w:t>
      </w:r>
    </w:p>
    <w:p w:rsidR="00E53399" w:rsidRPr="00E87E32" w:rsidRDefault="00E87E32" w:rsidP="00E87E32">
      <w:pPr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87E32">
        <w:rPr>
          <w:rFonts w:ascii="Arial" w:hAnsi="Arial" w:cs="Arial"/>
          <w:color w:val="000000" w:themeColor="text1"/>
          <w:sz w:val="22"/>
          <w:szCs w:val="22"/>
        </w:rPr>
        <w:t xml:space="preserve">Wider consultation was not considered to be necessary because the instrument merely preserves a concession that would otherwise be removed as a consequence of the impending repeal of the existing instruments. </w:t>
      </w:r>
    </w:p>
    <w:p w:rsidR="00E53399" w:rsidRDefault="00E53399" w:rsidP="00E53399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075B58" w:rsidRDefault="00075B58" w:rsidP="00075B58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</w:p>
    <w:p w:rsidR="00075B58" w:rsidRDefault="00075B58" w:rsidP="00075B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7A6D80" w:rsidRDefault="008948B2" w:rsidP="0048665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bookmarkStart w:id="12" w:name="JSign"/>
      <w:r>
        <w:rPr>
          <w:rFonts w:ascii="Arial" w:hAnsi="Arial" w:cs="Arial"/>
          <w:b/>
          <w:sz w:val="22"/>
          <w:szCs w:val="22"/>
        </w:rPr>
        <w:t xml:space="preserve">Sally </w:t>
      </w:r>
      <w:r w:rsidR="00BC33ED">
        <w:rPr>
          <w:rFonts w:ascii="Arial" w:hAnsi="Arial" w:cs="Arial"/>
          <w:b/>
          <w:sz w:val="22"/>
          <w:szCs w:val="22"/>
        </w:rPr>
        <w:t>Jane</w:t>
      </w:r>
      <w:r w:rsidRPr="00BC33E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Druhan</w:t>
      </w:r>
    </w:p>
    <w:p w:rsidR="00486653" w:rsidRDefault="00486653" w:rsidP="0048665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Deputy</w:t>
      </w:r>
      <w:r w:rsidR="00CB3B6C">
        <w:rPr>
          <w:rFonts w:ascii="Arial" w:hAnsi="Arial" w:cs="Arial"/>
          <w:b/>
          <w:sz w:val="22"/>
          <w:szCs w:val="22"/>
        </w:rPr>
        <w:t xml:space="preserve"> </w:t>
      </w:r>
      <w:r w:rsidRPr="0067541C">
        <w:rPr>
          <w:rFonts w:ascii="Arial" w:hAnsi="Arial" w:cs="Arial"/>
          <w:b/>
          <w:sz w:val="22"/>
          <w:szCs w:val="22"/>
        </w:rPr>
        <w:t>Commissioner of Taxation</w:t>
      </w:r>
      <w:bookmarkEnd w:id="12"/>
    </w:p>
    <w:p w:rsidR="007A6D80" w:rsidRPr="00FC61C7" w:rsidRDefault="007A6D80" w:rsidP="0048665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86653" w:rsidRPr="0067541C" w:rsidRDefault="00D37859" w:rsidP="00486653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D37859">
        <w:rPr>
          <w:rFonts w:ascii="Arial" w:hAnsi="Arial" w:cs="Arial"/>
          <w:color w:val="000000" w:themeColor="text1"/>
          <w:sz w:val="22"/>
          <w:szCs w:val="22"/>
        </w:rPr>
        <w:t>25</w:t>
      </w:r>
      <w:r w:rsidRPr="00D378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8B2">
        <w:rPr>
          <w:rFonts w:ascii="Arial" w:hAnsi="Arial" w:cs="Arial"/>
          <w:sz w:val="22"/>
          <w:szCs w:val="22"/>
        </w:rPr>
        <w:t>September 2015</w:t>
      </w:r>
    </w:p>
    <w:p w:rsidR="00486653" w:rsidRPr="001C6956" w:rsidRDefault="00486653" w:rsidP="00486653">
      <w:pPr>
        <w:ind w:left="1700"/>
        <w:rPr>
          <w:rFonts w:ascii="Arial" w:hAnsi="Arial" w:cs="Arial"/>
          <w:sz w:val="20"/>
        </w:rPr>
      </w:pPr>
    </w:p>
    <w:p w:rsidR="00486653" w:rsidRPr="005F124F" w:rsidRDefault="00486653" w:rsidP="00486653">
      <w:pPr>
        <w:spacing w:after="60"/>
        <w:rPr>
          <w:rFonts w:ascii="Arial" w:hAnsi="Arial" w:cs="Arial"/>
          <w:i/>
          <w:sz w:val="20"/>
        </w:rPr>
      </w:pPr>
      <w:r w:rsidRPr="005F124F">
        <w:rPr>
          <w:rFonts w:ascii="Arial" w:hAnsi="Arial" w:cs="Arial"/>
          <w:i/>
          <w:sz w:val="20"/>
        </w:rPr>
        <w:t>Legislative references:</w:t>
      </w:r>
    </w:p>
    <w:p w:rsidR="00D77015" w:rsidRDefault="00D77015" w:rsidP="00486653">
      <w:pPr>
        <w:spacing w:after="60"/>
        <w:rPr>
          <w:rFonts w:ascii="Arial" w:hAnsi="Arial" w:cs="Arial"/>
          <w:i/>
          <w:color w:val="0000FF"/>
          <w:sz w:val="20"/>
        </w:rPr>
      </w:pPr>
    </w:p>
    <w:p w:rsidR="00486653" w:rsidRPr="00795D0C" w:rsidRDefault="00486653" w:rsidP="00486653">
      <w:pPr>
        <w:spacing w:after="60"/>
        <w:rPr>
          <w:rFonts w:ascii="Arial" w:hAnsi="Arial" w:cs="Arial"/>
          <w:i/>
          <w:color w:val="000000"/>
          <w:sz w:val="20"/>
        </w:rPr>
      </w:pPr>
      <w:r w:rsidRPr="00795D0C">
        <w:rPr>
          <w:rFonts w:ascii="Arial" w:hAnsi="Arial" w:cs="Arial"/>
          <w:i/>
          <w:color w:val="000000"/>
          <w:sz w:val="20"/>
        </w:rPr>
        <w:t>Taxation Administration Act 1953</w:t>
      </w:r>
    </w:p>
    <w:p w:rsidR="00486653" w:rsidRPr="00795D0C" w:rsidRDefault="00486653" w:rsidP="00486653">
      <w:pPr>
        <w:spacing w:after="60"/>
        <w:rPr>
          <w:rFonts w:ascii="Arial" w:hAnsi="Arial" w:cs="Arial"/>
          <w:i/>
          <w:color w:val="000000"/>
          <w:sz w:val="20"/>
        </w:rPr>
      </w:pPr>
      <w:r w:rsidRPr="00795D0C">
        <w:rPr>
          <w:rFonts w:ascii="Arial" w:hAnsi="Arial" w:cs="Arial"/>
          <w:i/>
          <w:color w:val="000000"/>
          <w:sz w:val="20"/>
        </w:rPr>
        <w:t>Legislative Instruments Act 2003</w:t>
      </w:r>
    </w:p>
    <w:p w:rsidR="00BE2B79" w:rsidRDefault="00BE2B79" w:rsidP="00FE17ED">
      <w:pPr>
        <w:pStyle w:val="Heading2"/>
        <w:rPr>
          <w:rFonts w:cs="Arial"/>
        </w:rPr>
      </w:pPr>
      <w:r>
        <w:rPr>
          <w:rFonts w:cs="Arial"/>
        </w:rPr>
        <w:br w:type="page"/>
      </w:r>
      <w:bookmarkStart w:id="13" w:name="_GoBack"/>
      <w:bookmarkEnd w:id="13"/>
    </w:p>
    <w:p w:rsidR="00BE2B79" w:rsidRPr="007C74FD" w:rsidRDefault="00BE2B79" w:rsidP="00BE2B79">
      <w:pPr>
        <w:pStyle w:val="Heading3"/>
        <w:jc w:val="center"/>
        <w:rPr>
          <w:sz w:val="24"/>
          <w:szCs w:val="24"/>
        </w:rPr>
      </w:pPr>
      <w:r w:rsidRPr="007C74FD">
        <w:rPr>
          <w:sz w:val="24"/>
          <w:szCs w:val="24"/>
        </w:rPr>
        <w:lastRenderedPageBreak/>
        <w:t>Statement of Compatibility with Human Rights</w:t>
      </w:r>
    </w:p>
    <w:p w:rsidR="00BE2B79" w:rsidRPr="007C74FD" w:rsidRDefault="00BE2B79" w:rsidP="00BE2B79"/>
    <w:p w:rsidR="00BE2B79" w:rsidRPr="007C74FD" w:rsidRDefault="00BE2B79" w:rsidP="00BE2B79">
      <w:pPr>
        <w:rPr>
          <w:rFonts w:ascii="Arial" w:hAnsi="Arial" w:cs="Arial"/>
        </w:rPr>
      </w:pPr>
      <w:r w:rsidRPr="007C74FD">
        <w:rPr>
          <w:rFonts w:ascii="Arial" w:hAnsi="Arial" w:cs="Arial"/>
        </w:rPr>
        <w:t xml:space="preserve">This Statement is prepared in accordance with Part 3 of the </w:t>
      </w:r>
      <w:r w:rsidRPr="007C74FD">
        <w:rPr>
          <w:rFonts w:ascii="Arial" w:hAnsi="Arial" w:cs="Arial"/>
          <w:i/>
        </w:rPr>
        <w:t>Human Rights (Parliamentary Scrutiny) Act 2011</w:t>
      </w:r>
      <w:r w:rsidRPr="007C74FD">
        <w:rPr>
          <w:rFonts w:ascii="Arial" w:hAnsi="Arial" w:cs="Arial"/>
        </w:rPr>
        <w:t>.</w:t>
      </w:r>
    </w:p>
    <w:p w:rsidR="00BE2B79" w:rsidRPr="007C74FD" w:rsidRDefault="00BE2B79" w:rsidP="00BE2B79"/>
    <w:p w:rsidR="00BE2B79" w:rsidRPr="007C74FD" w:rsidRDefault="00BE2B79" w:rsidP="00BE2B79">
      <w:pPr>
        <w:jc w:val="center"/>
        <w:rPr>
          <w:rFonts w:ascii="Arial" w:hAnsi="Arial" w:cs="Arial"/>
          <w:b/>
          <w:szCs w:val="24"/>
        </w:rPr>
      </w:pPr>
    </w:p>
    <w:p w:rsidR="00BE2B79" w:rsidRPr="007C74FD" w:rsidRDefault="00032069" w:rsidP="00BE2B79">
      <w:pPr>
        <w:jc w:val="center"/>
        <w:rPr>
          <w:rFonts w:ascii="Arial" w:hAnsi="Arial" w:cs="Arial"/>
          <w:b/>
        </w:rPr>
      </w:pPr>
      <w:r w:rsidRPr="00032069">
        <w:rPr>
          <w:rFonts w:ascii="Arial" w:hAnsi="Arial" w:cs="Arial"/>
          <w:b/>
          <w:bCs/>
          <w:kern w:val="36"/>
          <w:szCs w:val="24"/>
        </w:rPr>
        <w:t xml:space="preserve">Withholding Variation: </w:t>
      </w:r>
      <w:r w:rsidRPr="00032069">
        <w:rPr>
          <w:rFonts w:ascii="Arial" w:eastAsiaTheme="minorHAnsi" w:hAnsi="Arial" w:cs="Arial"/>
          <w:b/>
          <w:bCs/>
          <w:color w:val="000000" w:themeColor="text1"/>
          <w:szCs w:val="24"/>
          <w:lang w:eastAsia="en-US"/>
        </w:rPr>
        <w:t>Variation of amount to be withheld from certain payments made by external administrators and trustees of bankrupt estates</w:t>
      </w:r>
    </w:p>
    <w:p w:rsidR="00BE2B79" w:rsidRPr="007C74FD" w:rsidRDefault="00BE2B79" w:rsidP="00BE2B79">
      <w:pPr>
        <w:rPr>
          <w:b/>
        </w:rPr>
      </w:pPr>
    </w:p>
    <w:p w:rsidR="00BE2B79" w:rsidRPr="00BE2B79" w:rsidRDefault="00BE2B79" w:rsidP="00BE2B79">
      <w:pPr>
        <w:rPr>
          <w:rFonts w:ascii="Arial" w:hAnsi="Arial" w:cs="Arial"/>
          <w:sz w:val="22"/>
          <w:szCs w:val="22"/>
        </w:rPr>
      </w:pPr>
      <w:r w:rsidRPr="00BE2B79">
        <w:rPr>
          <w:rFonts w:ascii="Arial" w:hAnsi="Arial" w:cs="Arial"/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BE2B79">
        <w:rPr>
          <w:rFonts w:ascii="Arial" w:hAnsi="Arial" w:cs="Arial"/>
          <w:i/>
          <w:sz w:val="22"/>
          <w:szCs w:val="22"/>
        </w:rPr>
        <w:t>Human Rights (Parliamentary Scrutiny) Act 2011.</w:t>
      </w:r>
    </w:p>
    <w:p w:rsidR="00BE2B79" w:rsidRPr="00BE2B79" w:rsidRDefault="00BE2B79" w:rsidP="00BE2B79">
      <w:pPr>
        <w:pStyle w:val="NumberedList"/>
        <w:numPr>
          <w:ilvl w:val="0"/>
          <w:numId w:val="0"/>
        </w:numPr>
        <w:tabs>
          <w:tab w:val="left" w:pos="720"/>
        </w:tabs>
        <w:ind w:left="40"/>
        <w:jc w:val="both"/>
        <w:rPr>
          <w:rFonts w:ascii="Arial" w:hAnsi="Arial" w:cs="Arial"/>
          <w:sz w:val="22"/>
          <w:szCs w:val="22"/>
        </w:rPr>
      </w:pPr>
    </w:p>
    <w:p w:rsidR="00BE2B79" w:rsidRPr="00BE2B79" w:rsidRDefault="00BE2B79" w:rsidP="00BE2B79">
      <w:pPr>
        <w:rPr>
          <w:rFonts w:ascii="Arial" w:hAnsi="Arial" w:cs="Arial"/>
          <w:sz w:val="22"/>
          <w:szCs w:val="22"/>
        </w:rPr>
      </w:pPr>
      <w:r w:rsidRPr="00BE2B79">
        <w:rPr>
          <w:rFonts w:ascii="Arial" w:hAnsi="Arial" w:cs="Arial"/>
          <w:b/>
          <w:bCs/>
          <w:sz w:val="22"/>
          <w:szCs w:val="22"/>
        </w:rPr>
        <w:t>Overview</w:t>
      </w:r>
    </w:p>
    <w:p w:rsidR="00BE2B79" w:rsidRPr="00BE2B79" w:rsidRDefault="00BE2B79" w:rsidP="00BE2B79">
      <w:pPr>
        <w:pStyle w:val="ListParagraph"/>
        <w:spacing w:before="100" w:beforeAutospacing="1" w:after="120"/>
        <w:ind w:left="0"/>
        <w:rPr>
          <w:rFonts w:ascii="Times New Roman" w:hAnsi="Times New Roman"/>
        </w:rPr>
      </w:pPr>
      <w:r w:rsidRPr="00BE2B79">
        <w:rPr>
          <w:rFonts w:ascii="Arial" w:hAnsi="Arial" w:cs="Arial"/>
          <w:color w:val="000000" w:themeColor="text1"/>
        </w:rPr>
        <w:t xml:space="preserve">The variation provides a simple withholding calculation for external administrators and trustees in bankruptcy, when paying entitlements </w:t>
      </w:r>
      <w:r w:rsidRPr="00BE2B79">
        <w:rPr>
          <w:rFonts w:ascii="Arial" w:hAnsi="Arial" w:cs="Arial"/>
        </w:rPr>
        <w:t xml:space="preserve">that accrued prior to their appointment.  This provides a less onerous </w:t>
      </w:r>
      <w:r w:rsidR="00960A9B">
        <w:rPr>
          <w:rFonts w:ascii="Arial" w:hAnsi="Arial" w:cs="Arial"/>
        </w:rPr>
        <w:t>arrangement</w:t>
      </w:r>
      <w:r w:rsidR="00960A9B" w:rsidRPr="00BE2B79">
        <w:rPr>
          <w:rFonts w:ascii="Arial" w:hAnsi="Arial" w:cs="Arial"/>
        </w:rPr>
        <w:t xml:space="preserve"> </w:t>
      </w:r>
      <w:r w:rsidRPr="00BE2B79">
        <w:rPr>
          <w:rFonts w:ascii="Arial" w:hAnsi="Arial" w:cs="Arial"/>
        </w:rPr>
        <w:t>for these payers in addressing the historical payment obligations of the entity which is under administration or bankruptcy.</w:t>
      </w:r>
    </w:p>
    <w:p w:rsidR="00BE2B79" w:rsidRPr="007C74FD" w:rsidRDefault="00BE2B79" w:rsidP="00BE2B79">
      <w:pPr>
        <w:rPr>
          <w:rFonts w:ascii="Arial" w:hAnsi="Arial" w:cs="Arial"/>
          <w:sz w:val="22"/>
          <w:szCs w:val="22"/>
        </w:rPr>
      </w:pPr>
    </w:p>
    <w:p w:rsidR="00BE2B79" w:rsidRPr="007C74FD" w:rsidRDefault="00BE2B79" w:rsidP="00BE2B79">
      <w:pPr>
        <w:rPr>
          <w:rFonts w:ascii="Arial" w:hAnsi="Arial" w:cs="Arial"/>
          <w:b/>
          <w:bCs/>
          <w:sz w:val="22"/>
          <w:szCs w:val="22"/>
        </w:rPr>
      </w:pPr>
      <w:r w:rsidRPr="007C74FD">
        <w:rPr>
          <w:rFonts w:ascii="Arial" w:hAnsi="Arial" w:cs="Arial"/>
          <w:b/>
          <w:bCs/>
          <w:sz w:val="22"/>
          <w:szCs w:val="22"/>
        </w:rPr>
        <w:t>Human rights implications</w:t>
      </w:r>
    </w:p>
    <w:p w:rsidR="00BE2B79" w:rsidRPr="00BE2B79" w:rsidRDefault="00BE2B79" w:rsidP="00BE2B79">
      <w:pPr>
        <w:rPr>
          <w:rFonts w:ascii="Arial" w:hAnsi="Arial" w:cs="Arial"/>
          <w:sz w:val="22"/>
          <w:szCs w:val="22"/>
        </w:rPr>
      </w:pPr>
    </w:p>
    <w:p w:rsidR="00BE2B79" w:rsidRPr="00BE2B79" w:rsidRDefault="00BE2B79" w:rsidP="00BE2B79">
      <w:pPr>
        <w:keepLines/>
        <w:spacing w:after="120"/>
        <w:rPr>
          <w:rFonts w:ascii="Arial" w:hAnsi="Arial" w:cs="Arial"/>
          <w:sz w:val="22"/>
          <w:szCs w:val="22"/>
        </w:rPr>
      </w:pPr>
      <w:r w:rsidRPr="00BE2B79">
        <w:rPr>
          <w:rFonts w:ascii="Arial" w:hAnsi="Arial" w:cs="Arial"/>
          <w:sz w:val="22"/>
          <w:szCs w:val="22"/>
        </w:rPr>
        <w:t xml:space="preserve">This </w:t>
      </w:r>
      <w:r w:rsidRPr="00BE2B79">
        <w:rPr>
          <w:rFonts w:ascii="Arial" w:hAnsi="Arial" w:cs="Arial"/>
          <w:bCs/>
          <w:sz w:val="22"/>
          <w:szCs w:val="22"/>
        </w:rPr>
        <w:t>legislative instrument</w:t>
      </w:r>
      <w:r w:rsidRPr="00BE2B79">
        <w:rPr>
          <w:rFonts w:ascii="Arial" w:hAnsi="Arial" w:cs="Arial"/>
          <w:sz w:val="22"/>
          <w:szCs w:val="22"/>
        </w:rPr>
        <w:t xml:space="preserve"> does not engage any of the applicable rights or freedoms because the new instrument is of a minor or machinery nature. The </w:t>
      </w:r>
      <w:r>
        <w:rPr>
          <w:rFonts w:ascii="Arial" w:hAnsi="Arial" w:cs="Arial"/>
          <w:sz w:val="22"/>
          <w:szCs w:val="22"/>
        </w:rPr>
        <w:t>variation provides for a flat rate of withholding from certain payments.</w:t>
      </w:r>
    </w:p>
    <w:p w:rsidR="00BE2B79" w:rsidRPr="007C74FD" w:rsidRDefault="00BE2B79" w:rsidP="00BE2B79">
      <w:pPr>
        <w:keepLines/>
        <w:spacing w:after="120"/>
        <w:rPr>
          <w:rFonts w:ascii="Arial" w:hAnsi="Arial" w:cs="Arial"/>
        </w:rPr>
      </w:pPr>
    </w:p>
    <w:p w:rsidR="00BE2B79" w:rsidRPr="00BE2B79" w:rsidRDefault="00BE2B79" w:rsidP="00BE2B79">
      <w:pPr>
        <w:rPr>
          <w:rFonts w:ascii="Arial" w:hAnsi="Arial" w:cs="Arial"/>
          <w:b/>
          <w:bCs/>
          <w:sz w:val="22"/>
          <w:szCs w:val="22"/>
        </w:rPr>
      </w:pPr>
      <w:r w:rsidRPr="00BE2B79">
        <w:rPr>
          <w:rFonts w:ascii="Arial" w:hAnsi="Arial" w:cs="Arial"/>
          <w:b/>
          <w:bCs/>
          <w:sz w:val="22"/>
          <w:szCs w:val="22"/>
        </w:rPr>
        <w:t>Conclusion</w:t>
      </w:r>
    </w:p>
    <w:p w:rsidR="00BE2B79" w:rsidRPr="00BE2B79" w:rsidRDefault="00BE2B79" w:rsidP="00BE2B79">
      <w:pPr>
        <w:rPr>
          <w:rFonts w:ascii="Arial" w:hAnsi="Arial" w:cs="Arial"/>
          <w:sz w:val="22"/>
          <w:szCs w:val="22"/>
        </w:rPr>
      </w:pPr>
    </w:p>
    <w:p w:rsidR="00BE2B79" w:rsidRPr="00BE2B79" w:rsidRDefault="00BE2B79" w:rsidP="00BE2B79">
      <w:pPr>
        <w:rPr>
          <w:rFonts w:ascii="Arial" w:hAnsi="Arial" w:cs="Arial"/>
          <w:sz w:val="22"/>
          <w:szCs w:val="22"/>
        </w:rPr>
      </w:pPr>
      <w:r w:rsidRPr="00BE2B79">
        <w:rPr>
          <w:rFonts w:ascii="Arial" w:hAnsi="Arial" w:cs="Arial"/>
          <w:sz w:val="22"/>
          <w:szCs w:val="22"/>
        </w:rPr>
        <w:t xml:space="preserve">This </w:t>
      </w:r>
      <w:r w:rsidRPr="00BE2B79">
        <w:rPr>
          <w:rFonts w:ascii="Arial" w:hAnsi="Arial" w:cs="Arial"/>
          <w:bCs/>
          <w:sz w:val="22"/>
          <w:szCs w:val="22"/>
        </w:rPr>
        <w:t>legislative instrument</w:t>
      </w:r>
      <w:r w:rsidRPr="00BE2B79">
        <w:rPr>
          <w:rFonts w:ascii="Arial" w:hAnsi="Arial" w:cs="Arial"/>
          <w:sz w:val="22"/>
          <w:szCs w:val="22"/>
        </w:rPr>
        <w:t xml:space="preserve"> does not raise any human rights issues.</w:t>
      </w:r>
    </w:p>
    <w:p w:rsidR="00BE2B79" w:rsidRPr="007C74FD" w:rsidRDefault="00BE2B79" w:rsidP="00BE2B79">
      <w:pPr>
        <w:rPr>
          <w:rFonts w:ascii="Arial" w:hAnsi="Arial" w:cs="Arial"/>
          <w:szCs w:val="24"/>
        </w:rPr>
      </w:pPr>
    </w:p>
    <w:p w:rsidR="00BE2B79" w:rsidRPr="007C74FD" w:rsidRDefault="00BE2B79" w:rsidP="00BE2B79">
      <w:pPr>
        <w:ind w:left="300"/>
        <w:rPr>
          <w:rFonts w:ascii="Arial" w:hAnsi="Arial" w:cs="Arial"/>
          <w:szCs w:val="24"/>
        </w:rPr>
      </w:pPr>
    </w:p>
    <w:p w:rsidR="008540EA" w:rsidRPr="001F28A6" w:rsidRDefault="008540EA" w:rsidP="00960A9B">
      <w:pPr>
        <w:pStyle w:val="Heading2"/>
        <w:rPr>
          <w:rFonts w:cs="Arial"/>
        </w:rPr>
      </w:pPr>
    </w:p>
    <w:sectPr w:rsidR="008540EA" w:rsidRPr="001F28A6" w:rsidSect="00146ED8">
      <w:headerReference w:type="even" r:id="rId8"/>
      <w:headerReference w:type="default" r:id="rId9"/>
      <w:headerReference w:type="first" r:id="rId10"/>
      <w:pgSz w:w="11906" w:h="16838" w:code="9"/>
      <w:pgMar w:top="1440" w:right="1700" w:bottom="1358" w:left="184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97" w:rsidRDefault="00FE4597">
      <w:r>
        <w:separator/>
      </w:r>
    </w:p>
  </w:endnote>
  <w:endnote w:type="continuationSeparator" w:id="0">
    <w:p w:rsidR="00FE4597" w:rsidRDefault="00F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97" w:rsidRDefault="00FE4597">
      <w:r>
        <w:separator/>
      </w:r>
    </w:p>
  </w:footnote>
  <w:footnote w:type="continuationSeparator" w:id="0">
    <w:p w:rsidR="00FE4597" w:rsidRDefault="00FE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  <w:r w:rsidRPr="0067541C">
      <w:rPr>
        <w:rFonts w:ascii="Arial" w:hAnsi="Arial" w:cs="Arial"/>
        <w:sz w:val="52"/>
      </w:rPr>
      <w:fldChar w:fldCharType="begin"/>
    </w:r>
    <w:r w:rsidRPr="0067541C">
      <w:rPr>
        <w:rFonts w:ascii="Arial" w:hAnsi="Arial" w:cs="Arial"/>
        <w:sz w:val="52"/>
      </w:rPr>
      <w:instrText xml:space="preserve"> REF CDocNum </w:instrText>
    </w:r>
    <w:r>
      <w:rPr>
        <w:rFonts w:ascii="Arial" w:hAnsi="Arial" w:cs="Arial"/>
        <w:sz w:val="52"/>
      </w:rPr>
      <w:instrText xml:space="preserve"> \* MERGEFORMAT </w:instrText>
    </w:r>
    <w:r w:rsidRPr="0067541C">
      <w:rPr>
        <w:rFonts w:ascii="Arial" w:hAnsi="Arial" w:cs="Arial"/>
        <w:sz w:val="52"/>
      </w:rPr>
      <w:fldChar w:fldCharType="end"/>
    </w:r>
  </w:p>
  <w:p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4F5EB1">
      <w:rPr>
        <w:rFonts w:ascii="Arial" w:hAnsi="Arial" w:cs="Arial"/>
        <w:noProof/>
        <w:snapToGrid w:val="0"/>
        <w:sz w:val="20"/>
        <w:lang w:eastAsia="en-US"/>
      </w:rPr>
      <w:t>3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D8" w:rsidRPr="00333FE9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14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:rsidR="00146ED8" w:rsidRPr="00146ED8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15" w:name="BPrefix"/>
    <w:bookmarkEnd w:id="14"/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>Inst</w:t>
    </w:r>
    <w:bookmarkStart w:id="16" w:name="CDocnum"/>
    <w:bookmarkEnd w:id="15"/>
    <w:bookmarkEnd w:id="16"/>
    <w:r w:rsidRPr="00146ED8">
      <w:rPr>
        <w:rFonts w:ascii="Arial" w:hAnsi="Arial" w:cs="Arial"/>
        <w:b/>
        <w:sz w:val="28"/>
        <w:szCs w:val="28"/>
      </w:rPr>
      <w:t>rument ID:</w:t>
    </w:r>
    <w:r w:rsidR="00B73DC1">
      <w:rPr>
        <w:rFonts w:ascii="Arial" w:hAnsi="Arial" w:cs="Arial"/>
        <w:b/>
        <w:sz w:val="28"/>
        <w:szCs w:val="28"/>
      </w:rPr>
      <w:t xml:space="preserve"> </w:t>
    </w:r>
    <w:r w:rsidR="00B73DC1" w:rsidRPr="00B73DC1">
      <w:rPr>
        <w:rFonts w:ascii="Arial" w:hAnsi="Arial" w:cs="Arial"/>
        <w:b/>
        <w:bCs/>
        <w:sz w:val="28"/>
        <w:szCs w:val="28"/>
      </w:rPr>
      <w:t>2015/SBIT/0051</w:t>
    </w:r>
  </w:p>
  <w:p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5B57E3F2" wp14:editId="55D096ED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97F4E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9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CC3903"/>
    <w:multiLevelType w:val="hybridMultilevel"/>
    <w:tmpl w:val="A7E206C4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28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F5D3E"/>
    <w:multiLevelType w:val="hybridMultilevel"/>
    <w:tmpl w:val="F3441D88"/>
    <w:lvl w:ilvl="0" w:tplc="0C090001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36"/>
  </w:num>
  <w:num w:numId="5">
    <w:abstractNumId w:val="5"/>
  </w:num>
  <w:num w:numId="6">
    <w:abstractNumId w:val="12"/>
  </w:num>
  <w:num w:numId="7">
    <w:abstractNumId w:val="30"/>
  </w:num>
  <w:num w:numId="8">
    <w:abstractNumId w:val="29"/>
  </w:num>
  <w:num w:numId="9">
    <w:abstractNumId w:val="24"/>
  </w:num>
  <w:num w:numId="10">
    <w:abstractNumId w:val="20"/>
  </w:num>
  <w:num w:numId="11">
    <w:abstractNumId w:val="37"/>
  </w:num>
  <w:num w:numId="12">
    <w:abstractNumId w:val="31"/>
  </w:num>
  <w:num w:numId="13">
    <w:abstractNumId w:val="34"/>
  </w:num>
  <w:num w:numId="14">
    <w:abstractNumId w:val="33"/>
  </w:num>
  <w:num w:numId="15">
    <w:abstractNumId w:val="19"/>
  </w:num>
  <w:num w:numId="16">
    <w:abstractNumId w:val="21"/>
  </w:num>
  <w:num w:numId="17">
    <w:abstractNumId w:val="10"/>
  </w:num>
  <w:num w:numId="18">
    <w:abstractNumId w:val="15"/>
  </w:num>
  <w:num w:numId="19">
    <w:abstractNumId w:val="3"/>
  </w:num>
  <w:num w:numId="20">
    <w:abstractNumId w:val="1"/>
  </w:num>
  <w:num w:numId="21">
    <w:abstractNumId w:val="11"/>
  </w:num>
  <w:num w:numId="22">
    <w:abstractNumId w:val="27"/>
  </w:num>
  <w:num w:numId="23">
    <w:abstractNumId w:val="9"/>
  </w:num>
  <w:num w:numId="24">
    <w:abstractNumId w:val="18"/>
  </w:num>
  <w:num w:numId="25">
    <w:abstractNumId w:val="26"/>
  </w:num>
  <w:num w:numId="26">
    <w:abstractNumId w:val="25"/>
  </w:num>
  <w:num w:numId="27">
    <w:abstractNumId w:val="8"/>
  </w:num>
  <w:num w:numId="28">
    <w:abstractNumId w:val="28"/>
  </w:num>
  <w:num w:numId="29">
    <w:abstractNumId w:val="17"/>
  </w:num>
  <w:num w:numId="30">
    <w:abstractNumId w:val="13"/>
  </w:num>
  <w:num w:numId="31">
    <w:abstractNumId w:val="6"/>
  </w:num>
  <w:num w:numId="32">
    <w:abstractNumId w:val="0"/>
  </w:num>
  <w:num w:numId="33">
    <w:abstractNumId w:val="7"/>
  </w:num>
  <w:num w:numId="34">
    <w:abstractNumId w:val="23"/>
  </w:num>
  <w:num w:numId="35">
    <w:abstractNumId w:val="32"/>
  </w:num>
  <w:num w:numId="36">
    <w:abstractNumId w:val="16"/>
  </w:num>
  <w:num w:numId="37">
    <w:abstractNumId w:val="3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117B2"/>
    <w:rsid w:val="0001796D"/>
    <w:rsid w:val="00017BF0"/>
    <w:rsid w:val="0002568B"/>
    <w:rsid w:val="00032069"/>
    <w:rsid w:val="00043FA7"/>
    <w:rsid w:val="000552E8"/>
    <w:rsid w:val="00056585"/>
    <w:rsid w:val="0005674F"/>
    <w:rsid w:val="00065C6E"/>
    <w:rsid w:val="00073F1B"/>
    <w:rsid w:val="00075B58"/>
    <w:rsid w:val="000B11DD"/>
    <w:rsid w:val="000C390A"/>
    <w:rsid w:val="000C77DD"/>
    <w:rsid w:val="000E295B"/>
    <w:rsid w:val="000E45A0"/>
    <w:rsid w:val="00107460"/>
    <w:rsid w:val="00112415"/>
    <w:rsid w:val="00125248"/>
    <w:rsid w:val="0013678D"/>
    <w:rsid w:val="00140A34"/>
    <w:rsid w:val="00146ED8"/>
    <w:rsid w:val="00167202"/>
    <w:rsid w:val="001828A4"/>
    <w:rsid w:val="001A3BE2"/>
    <w:rsid w:val="001B7F18"/>
    <w:rsid w:val="001C35E7"/>
    <w:rsid w:val="001C4578"/>
    <w:rsid w:val="001F28A6"/>
    <w:rsid w:val="001F2A16"/>
    <w:rsid w:val="001F6921"/>
    <w:rsid w:val="001F7C3E"/>
    <w:rsid w:val="00201969"/>
    <w:rsid w:val="00213FA5"/>
    <w:rsid w:val="00234F70"/>
    <w:rsid w:val="0023733A"/>
    <w:rsid w:val="0024044F"/>
    <w:rsid w:val="00245D00"/>
    <w:rsid w:val="00257F2D"/>
    <w:rsid w:val="00262F9F"/>
    <w:rsid w:val="00266D2D"/>
    <w:rsid w:val="0027331F"/>
    <w:rsid w:val="00285E76"/>
    <w:rsid w:val="002949C3"/>
    <w:rsid w:val="002A10A4"/>
    <w:rsid w:val="002A26FE"/>
    <w:rsid w:val="002B1423"/>
    <w:rsid w:val="002F1257"/>
    <w:rsid w:val="00310C61"/>
    <w:rsid w:val="003171B3"/>
    <w:rsid w:val="0032559D"/>
    <w:rsid w:val="00344575"/>
    <w:rsid w:val="0035113C"/>
    <w:rsid w:val="00354525"/>
    <w:rsid w:val="00380CC4"/>
    <w:rsid w:val="003C0686"/>
    <w:rsid w:val="003D08CF"/>
    <w:rsid w:val="003D0CBA"/>
    <w:rsid w:val="003D0F6A"/>
    <w:rsid w:val="003D4BA8"/>
    <w:rsid w:val="003E5269"/>
    <w:rsid w:val="00405394"/>
    <w:rsid w:val="004066E4"/>
    <w:rsid w:val="0040680B"/>
    <w:rsid w:val="00407361"/>
    <w:rsid w:val="00410867"/>
    <w:rsid w:val="00417C55"/>
    <w:rsid w:val="00424A7B"/>
    <w:rsid w:val="004447C1"/>
    <w:rsid w:val="0046211F"/>
    <w:rsid w:val="0046787B"/>
    <w:rsid w:val="0047518C"/>
    <w:rsid w:val="00486653"/>
    <w:rsid w:val="004A5FDA"/>
    <w:rsid w:val="004D098C"/>
    <w:rsid w:val="004D24A9"/>
    <w:rsid w:val="004E5357"/>
    <w:rsid w:val="004F4A07"/>
    <w:rsid w:val="004F5EB1"/>
    <w:rsid w:val="004F6887"/>
    <w:rsid w:val="005030AD"/>
    <w:rsid w:val="0051249C"/>
    <w:rsid w:val="005176E7"/>
    <w:rsid w:val="00520330"/>
    <w:rsid w:val="00524B6B"/>
    <w:rsid w:val="005413EE"/>
    <w:rsid w:val="005602B4"/>
    <w:rsid w:val="00587443"/>
    <w:rsid w:val="00587C50"/>
    <w:rsid w:val="005917F3"/>
    <w:rsid w:val="005B0ACD"/>
    <w:rsid w:val="005B50A2"/>
    <w:rsid w:val="005C3408"/>
    <w:rsid w:val="005D611B"/>
    <w:rsid w:val="005F1ACE"/>
    <w:rsid w:val="005F256D"/>
    <w:rsid w:val="0060183A"/>
    <w:rsid w:val="00603110"/>
    <w:rsid w:val="00611C8E"/>
    <w:rsid w:val="00631F30"/>
    <w:rsid w:val="00642420"/>
    <w:rsid w:val="00646158"/>
    <w:rsid w:val="0066622C"/>
    <w:rsid w:val="00666487"/>
    <w:rsid w:val="00673B37"/>
    <w:rsid w:val="006945EA"/>
    <w:rsid w:val="006B5470"/>
    <w:rsid w:val="006D0138"/>
    <w:rsid w:val="006D6F52"/>
    <w:rsid w:val="00700B10"/>
    <w:rsid w:val="00701718"/>
    <w:rsid w:val="00710359"/>
    <w:rsid w:val="00712FFF"/>
    <w:rsid w:val="00722DBF"/>
    <w:rsid w:val="00735157"/>
    <w:rsid w:val="00775490"/>
    <w:rsid w:val="0078472D"/>
    <w:rsid w:val="00795D0C"/>
    <w:rsid w:val="007A55BA"/>
    <w:rsid w:val="007A6D80"/>
    <w:rsid w:val="007C1FBD"/>
    <w:rsid w:val="007E22F5"/>
    <w:rsid w:val="007F25F3"/>
    <w:rsid w:val="007F4901"/>
    <w:rsid w:val="00836B02"/>
    <w:rsid w:val="008467D4"/>
    <w:rsid w:val="00850FB0"/>
    <w:rsid w:val="0085238E"/>
    <w:rsid w:val="008540EA"/>
    <w:rsid w:val="00866A00"/>
    <w:rsid w:val="008702A6"/>
    <w:rsid w:val="00871F3D"/>
    <w:rsid w:val="008757CE"/>
    <w:rsid w:val="0088392C"/>
    <w:rsid w:val="008948B2"/>
    <w:rsid w:val="00897C0E"/>
    <w:rsid w:val="00897E31"/>
    <w:rsid w:val="008A046F"/>
    <w:rsid w:val="008A405A"/>
    <w:rsid w:val="008A6A6A"/>
    <w:rsid w:val="008B650A"/>
    <w:rsid w:val="008B787C"/>
    <w:rsid w:val="008C3898"/>
    <w:rsid w:val="008C66CC"/>
    <w:rsid w:val="008F483C"/>
    <w:rsid w:val="00903DF6"/>
    <w:rsid w:val="00912D61"/>
    <w:rsid w:val="009322D7"/>
    <w:rsid w:val="00932BDE"/>
    <w:rsid w:val="00960A9B"/>
    <w:rsid w:val="00967725"/>
    <w:rsid w:val="009902F8"/>
    <w:rsid w:val="00993BB8"/>
    <w:rsid w:val="0099555F"/>
    <w:rsid w:val="009A22A1"/>
    <w:rsid w:val="009B3A1B"/>
    <w:rsid w:val="009B6332"/>
    <w:rsid w:val="009C0912"/>
    <w:rsid w:val="009C203A"/>
    <w:rsid w:val="009D6694"/>
    <w:rsid w:val="009F0300"/>
    <w:rsid w:val="00A167A8"/>
    <w:rsid w:val="00A21F0A"/>
    <w:rsid w:val="00A26011"/>
    <w:rsid w:val="00A506C2"/>
    <w:rsid w:val="00A62886"/>
    <w:rsid w:val="00A74C38"/>
    <w:rsid w:val="00A77D24"/>
    <w:rsid w:val="00A8572F"/>
    <w:rsid w:val="00A93E07"/>
    <w:rsid w:val="00A979CF"/>
    <w:rsid w:val="00AA4DF8"/>
    <w:rsid w:val="00AB780C"/>
    <w:rsid w:val="00AD5ADE"/>
    <w:rsid w:val="00AE7138"/>
    <w:rsid w:val="00AF4CAF"/>
    <w:rsid w:val="00B117BA"/>
    <w:rsid w:val="00B20D87"/>
    <w:rsid w:val="00B578AC"/>
    <w:rsid w:val="00B6433F"/>
    <w:rsid w:val="00B64CF5"/>
    <w:rsid w:val="00B73DC1"/>
    <w:rsid w:val="00B76C9B"/>
    <w:rsid w:val="00B823A1"/>
    <w:rsid w:val="00B8428B"/>
    <w:rsid w:val="00BA41F5"/>
    <w:rsid w:val="00BB3C9C"/>
    <w:rsid w:val="00BC33ED"/>
    <w:rsid w:val="00BE2B79"/>
    <w:rsid w:val="00BF4822"/>
    <w:rsid w:val="00C01D22"/>
    <w:rsid w:val="00C104B6"/>
    <w:rsid w:val="00C10F02"/>
    <w:rsid w:val="00C114F4"/>
    <w:rsid w:val="00C11D03"/>
    <w:rsid w:val="00C253F7"/>
    <w:rsid w:val="00C31967"/>
    <w:rsid w:val="00C371DE"/>
    <w:rsid w:val="00C4050A"/>
    <w:rsid w:val="00C409AE"/>
    <w:rsid w:val="00C42D50"/>
    <w:rsid w:val="00C54DF8"/>
    <w:rsid w:val="00C60B49"/>
    <w:rsid w:val="00C7440A"/>
    <w:rsid w:val="00C865ED"/>
    <w:rsid w:val="00C8775A"/>
    <w:rsid w:val="00CA0877"/>
    <w:rsid w:val="00CA6B59"/>
    <w:rsid w:val="00CB3B6C"/>
    <w:rsid w:val="00CC1833"/>
    <w:rsid w:val="00CC189F"/>
    <w:rsid w:val="00CC3368"/>
    <w:rsid w:val="00CF19C4"/>
    <w:rsid w:val="00D13C04"/>
    <w:rsid w:val="00D20A78"/>
    <w:rsid w:val="00D278BA"/>
    <w:rsid w:val="00D37859"/>
    <w:rsid w:val="00D40454"/>
    <w:rsid w:val="00D4059C"/>
    <w:rsid w:val="00D53D8F"/>
    <w:rsid w:val="00D61C76"/>
    <w:rsid w:val="00D77015"/>
    <w:rsid w:val="00D92B48"/>
    <w:rsid w:val="00DB1693"/>
    <w:rsid w:val="00DD5B07"/>
    <w:rsid w:val="00DE6821"/>
    <w:rsid w:val="00DF2022"/>
    <w:rsid w:val="00DF34BE"/>
    <w:rsid w:val="00DF5D59"/>
    <w:rsid w:val="00E239E4"/>
    <w:rsid w:val="00E36A38"/>
    <w:rsid w:val="00E53399"/>
    <w:rsid w:val="00E77995"/>
    <w:rsid w:val="00E87099"/>
    <w:rsid w:val="00E87E32"/>
    <w:rsid w:val="00EA28E6"/>
    <w:rsid w:val="00EA780C"/>
    <w:rsid w:val="00EE2832"/>
    <w:rsid w:val="00EF78C4"/>
    <w:rsid w:val="00F04CD7"/>
    <w:rsid w:val="00F23E15"/>
    <w:rsid w:val="00F244A2"/>
    <w:rsid w:val="00F35064"/>
    <w:rsid w:val="00F374D8"/>
    <w:rsid w:val="00F5684D"/>
    <w:rsid w:val="00F57AB6"/>
    <w:rsid w:val="00F6480F"/>
    <w:rsid w:val="00F86713"/>
    <w:rsid w:val="00F932E0"/>
    <w:rsid w:val="00FB7701"/>
    <w:rsid w:val="00FC40F0"/>
    <w:rsid w:val="00FC61C7"/>
    <w:rsid w:val="00FC6D3B"/>
    <w:rsid w:val="00FD0129"/>
    <w:rsid w:val="00FE17ED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egsubtitle1">
    <w:name w:val="legsubtitle1"/>
    <w:basedOn w:val="DefaultParagraphFont"/>
    <w:rsid w:val="005602B4"/>
    <w:rPr>
      <w:rFonts w:ascii="Helvetica Neue" w:hAnsi="Helvetica Neue" w:hint="default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2B79"/>
    <w:rPr>
      <w:rFonts w:ascii="Arial" w:hAnsi="Arial" w:cs="Arial"/>
      <w:b/>
      <w:bCs/>
      <w:sz w:val="26"/>
      <w:szCs w:val="26"/>
    </w:rPr>
  </w:style>
  <w:style w:type="paragraph" w:customStyle="1" w:styleId="NumberedList">
    <w:name w:val="Numbered List"/>
    <w:basedOn w:val="Normal"/>
    <w:rsid w:val="00BE2B79"/>
    <w:pPr>
      <w:numPr>
        <w:numId w:val="37"/>
      </w:numPr>
    </w:pPr>
  </w:style>
  <w:style w:type="character" w:styleId="FollowedHyperlink">
    <w:name w:val="FollowedHyperlink"/>
    <w:basedOn w:val="DefaultParagraphFont"/>
    <w:rsid w:val="00960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egsubtitle1">
    <w:name w:val="legsubtitle1"/>
    <w:basedOn w:val="DefaultParagraphFont"/>
    <w:rsid w:val="005602B4"/>
    <w:rPr>
      <w:rFonts w:ascii="Helvetica Neue" w:hAnsi="Helvetica Neue" w:hint="default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2B79"/>
    <w:rPr>
      <w:rFonts w:ascii="Arial" w:hAnsi="Arial" w:cs="Arial"/>
      <w:b/>
      <w:bCs/>
      <w:sz w:val="26"/>
      <w:szCs w:val="26"/>
    </w:rPr>
  </w:style>
  <w:style w:type="paragraph" w:customStyle="1" w:styleId="NumberedList">
    <w:name w:val="Numbered List"/>
    <w:basedOn w:val="Normal"/>
    <w:rsid w:val="00BE2B79"/>
    <w:pPr>
      <w:numPr>
        <w:numId w:val="37"/>
      </w:numPr>
    </w:pPr>
  </w:style>
  <w:style w:type="character" w:styleId="FollowedHyperlink">
    <w:name w:val="FollowedHyperlink"/>
    <w:basedOn w:val="DefaultParagraphFont"/>
    <w:rsid w:val="0096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4328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ubafu</dc:creator>
  <cp:lastModifiedBy>Reason, Ian</cp:lastModifiedBy>
  <cp:revision>2</cp:revision>
  <cp:lastPrinted>2012-05-24T06:32:00Z</cp:lastPrinted>
  <dcterms:created xsi:type="dcterms:W3CDTF">2015-09-24T01:52:00Z</dcterms:created>
  <dcterms:modified xsi:type="dcterms:W3CDTF">2015-09-24T01:52:00Z</dcterms:modified>
</cp:coreProperties>
</file>