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84632F" w:rsidTr="004332D2">
        <w:trPr>
          <w:tblHeader/>
        </w:trPr>
        <w:tc>
          <w:tcPr>
            <w:tcW w:w="4508" w:type="dxa"/>
          </w:tcPr>
          <w:p w:rsidR="0084632F" w:rsidRDefault="0084632F" w:rsidP="00AA52E2">
            <w:pPr>
              <w:pStyle w:val="AASBStandardCover"/>
            </w:pPr>
            <w:r>
              <w:t xml:space="preserve">AASB </w:t>
            </w:r>
            <w:bookmarkStart w:id="0" w:name="DocType"/>
            <w:r w:rsidRPr="00CB4C3F">
              <w:t>Standard</w:t>
            </w:r>
            <w:bookmarkEnd w:id="0"/>
          </w:p>
        </w:tc>
        <w:tc>
          <w:tcPr>
            <w:tcW w:w="4509" w:type="dxa"/>
          </w:tcPr>
          <w:p w:rsidR="0084632F" w:rsidRPr="000B3207" w:rsidRDefault="0084632F" w:rsidP="00AA52E2">
            <w:pPr>
              <w:pStyle w:val="AASBStandardNumber"/>
              <w:rPr>
                <w:rFonts w:ascii="HelveticaNeueLT Std" w:hAnsi="HelveticaNeueLT Std"/>
                <w:b/>
              </w:rPr>
            </w:pPr>
            <w:bookmarkStart w:id="1" w:name="DocTypeAbb"/>
            <w:r w:rsidRPr="000B3207">
              <w:rPr>
                <w:rFonts w:ascii="HelveticaNeueLT Std" w:hAnsi="HelveticaNeueLT Std"/>
                <w:b/>
              </w:rPr>
              <w:t>AASB</w:t>
            </w:r>
            <w:bookmarkEnd w:id="1"/>
            <w:r w:rsidRPr="000B3207">
              <w:rPr>
                <w:rFonts w:ascii="HelveticaNeueLT Std" w:hAnsi="HelveticaNeueLT Std"/>
                <w:b/>
              </w:rPr>
              <w:t xml:space="preserve"> </w:t>
            </w:r>
            <w:bookmarkStart w:id="2" w:name="DocNo"/>
            <w:r w:rsidRPr="000B3207">
              <w:rPr>
                <w:rFonts w:ascii="HelveticaNeueLT Std" w:hAnsi="HelveticaNeueLT Std"/>
                <w:b/>
              </w:rPr>
              <w:t>107</w:t>
            </w:r>
            <w:bookmarkEnd w:id="2"/>
          </w:p>
          <w:p w:rsidR="0084632F" w:rsidRDefault="000369DC" w:rsidP="00AA52E2">
            <w:pPr>
              <w:pStyle w:val="AASBStandardDate"/>
            </w:pPr>
            <w:bookmarkStart w:id="3" w:name="DocDate"/>
            <w:r>
              <w:t>August 2015</w:t>
            </w:r>
            <w:bookmarkEnd w:id="3"/>
          </w:p>
        </w:tc>
      </w:tr>
    </w:tbl>
    <w:p w:rsidR="0084632F" w:rsidRDefault="0084632F" w:rsidP="00AA52E2">
      <w:pPr>
        <w:pStyle w:val="AASBStandardTitle"/>
      </w:pPr>
      <w:bookmarkStart w:id="4" w:name="DocTitle"/>
      <w:r>
        <w:t>Statement of Cash Flows</w:t>
      </w:r>
      <w:bookmarkEnd w:id="4"/>
    </w:p>
    <w:p w:rsidR="0084632F" w:rsidRDefault="0084632F" w:rsidP="00AA52E2">
      <w:pPr>
        <w:pStyle w:val="AASBBase"/>
      </w:pPr>
      <w:r w:rsidRPr="0024411C">
        <w:rPr>
          <w:noProof/>
          <w:lang w:eastAsia="en-AU"/>
        </w:rPr>
        <w:drawing>
          <wp:anchor distT="0" distB="0" distL="114300" distR="114300" simplePos="0" relativeHeight="251659264" behindDoc="0" locked="1" layoutInCell="1" allowOverlap="1" wp14:anchorId="3988ADF3" wp14:editId="4B860930">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32F" w:rsidRDefault="0084632F" w:rsidP="00AA52E2">
      <w:pPr>
        <w:pStyle w:val="AASBBase"/>
        <w:sectPr w:rsidR="0084632F" w:rsidSect="00AA52E2">
          <w:headerReference w:type="default" r:id="rId9"/>
          <w:pgSz w:w="11907" w:h="16839" w:code="9"/>
          <w:pgMar w:top="1440" w:right="1440" w:bottom="1440" w:left="1440" w:header="709" w:footer="709" w:gutter="0"/>
          <w:cols w:space="708"/>
          <w:docGrid w:linePitch="360"/>
        </w:sectPr>
      </w:pPr>
    </w:p>
    <w:p w:rsidR="0084632F" w:rsidRDefault="0084632F" w:rsidP="00AA52E2">
      <w:pPr>
        <w:pStyle w:val="IASBSectionTitle2NonInd"/>
      </w:pPr>
      <w:r>
        <w:lastRenderedPageBreak/>
        <w:t xml:space="preserve">Obtaining a </w:t>
      </w:r>
      <w:r w:rsidR="0065191B">
        <w:t>c</w:t>
      </w:r>
      <w:r>
        <w:t xml:space="preserve">opy of this Accounting </w:t>
      </w:r>
      <w:r w:rsidR="0053141D">
        <w:fldChar w:fldCharType="begin" w:fldLock="1"/>
      </w:r>
      <w:r w:rsidR="0053141D">
        <w:instrText xml:space="preserve"> REF DocType </w:instrText>
      </w:r>
      <w:r w:rsidR="0053141D">
        <w:fldChar w:fldCharType="separate"/>
      </w:r>
      <w:r w:rsidR="000369DC" w:rsidRPr="00CB4C3F">
        <w:t>Standard</w:t>
      </w:r>
      <w:r w:rsidR="0053141D">
        <w:fldChar w:fldCharType="end"/>
      </w:r>
    </w:p>
    <w:p w:rsidR="0084632F" w:rsidRDefault="0084632F" w:rsidP="00AA52E2">
      <w:pPr>
        <w:pStyle w:val="AASBBase"/>
      </w:pPr>
      <w:r>
        <w:t xml:space="preserve">This </w:t>
      </w:r>
      <w:r w:rsidR="0053141D">
        <w:fldChar w:fldCharType="begin" w:fldLock="1"/>
      </w:r>
      <w:r w:rsidR="0053141D">
        <w:instrText xml:space="preserve"> REF DocType </w:instrText>
      </w:r>
      <w:r w:rsidR="0053141D">
        <w:fldChar w:fldCharType="separate"/>
      </w:r>
      <w:r w:rsidR="000369DC" w:rsidRPr="00CB4C3F">
        <w:t>Standard</w:t>
      </w:r>
      <w:r w:rsidR="0053141D">
        <w:fldChar w:fldCharType="end"/>
      </w:r>
      <w:r>
        <w:t xml:space="preserve"> is available on the AASB website: www.aasb.gov.au.</w:t>
      </w:r>
    </w:p>
    <w:p w:rsidR="0084632F" w:rsidRDefault="0084632F" w:rsidP="00AA52E2">
      <w:pPr>
        <w:pStyle w:val="AASBBase"/>
      </w:pPr>
    </w:p>
    <w:p w:rsidR="0084632F" w:rsidRDefault="0084632F" w:rsidP="00AA52E2">
      <w:pPr>
        <w:pStyle w:val="AASBBase"/>
      </w:pPr>
      <w:r>
        <w:t>Australian Accounting Standards Board</w:t>
      </w:r>
    </w:p>
    <w:p w:rsidR="0084632F" w:rsidRDefault="0084632F" w:rsidP="00AA52E2">
      <w:pPr>
        <w:pStyle w:val="AASBBase"/>
      </w:pPr>
      <w:r>
        <w:t>PO Box 204</w:t>
      </w:r>
    </w:p>
    <w:p w:rsidR="0084632F" w:rsidRDefault="0084632F" w:rsidP="00AA52E2">
      <w:pPr>
        <w:pStyle w:val="AASBBase"/>
      </w:pPr>
      <w:r>
        <w:t>Collins Street West</w:t>
      </w:r>
    </w:p>
    <w:p w:rsidR="0084632F" w:rsidRDefault="0084632F" w:rsidP="00AA52E2">
      <w:pPr>
        <w:pStyle w:val="AASBBase"/>
      </w:pPr>
      <w:r>
        <w:t>Victoria   8007</w:t>
      </w:r>
    </w:p>
    <w:p w:rsidR="0084632F" w:rsidRDefault="0084632F" w:rsidP="00B31D03">
      <w:pPr>
        <w:pStyle w:val="AASBPara"/>
        <w:tabs>
          <w:tab w:val="left" w:pos="907"/>
        </w:tabs>
      </w:pPr>
      <w:r>
        <w:t>AUSTRALIA</w:t>
      </w:r>
    </w:p>
    <w:p w:rsidR="0084632F" w:rsidRDefault="0084632F" w:rsidP="00B31D03">
      <w:pPr>
        <w:pStyle w:val="AASBBase"/>
        <w:tabs>
          <w:tab w:val="left" w:pos="907"/>
        </w:tabs>
      </w:pPr>
      <w:r>
        <w:t>Phone:</w:t>
      </w:r>
      <w:r>
        <w:tab/>
        <w:t>(03) 9617 7637</w:t>
      </w:r>
    </w:p>
    <w:p w:rsidR="0084632F" w:rsidRDefault="0084632F" w:rsidP="00B31D03">
      <w:pPr>
        <w:pStyle w:val="AASBBase"/>
        <w:tabs>
          <w:tab w:val="left" w:pos="907"/>
        </w:tabs>
      </w:pPr>
      <w:r>
        <w:t>E-mail:</w:t>
      </w:r>
      <w:r>
        <w:tab/>
        <w:t>publications@aasb.gov.au</w:t>
      </w:r>
    </w:p>
    <w:p w:rsidR="0084632F" w:rsidRDefault="0084632F" w:rsidP="00B31D03">
      <w:pPr>
        <w:pStyle w:val="AASBPara"/>
        <w:tabs>
          <w:tab w:val="left" w:pos="907"/>
        </w:tabs>
      </w:pPr>
      <w:r>
        <w:t>Website:</w:t>
      </w:r>
      <w:r>
        <w:tab/>
        <w:t>www.aasb.gov.au</w:t>
      </w:r>
    </w:p>
    <w:p w:rsidR="0084632F" w:rsidRDefault="0084632F" w:rsidP="00AA52E2">
      <w:pPr>
        <w:pStyle w:val="IASBSectionTitle2NonInd"/>
      </w:pPr>
      <w:r>
        <w:t xml:space="preserve">Other </w:t>
      </w:r>
      <w:r w:rsidR="0065191B">
        <w:t>e</w:t>
      </w:r>
      <w:r>
        <w:t>nquiries</w:t>
      </w:r>
    </w:p>
    <w:p w:rsidR="0084632F" w:rsidRDefault="0084632F" w:rsidP="003235CE">
      <w:pPr>
        <w:pStyle w:val="AASBBase"/>
        <w:tabs>
          <w:tab w:val="left" w:pos="907"/>
        </w:tabs>
      </w:pPr>
      <w:r>
        <w:t>Phone:</w:t>
      </w:r>
      <w:r>
        <w:tab/>
        <w:t>(03) 9617 7600</w:t>
      </w:r>
    </w:p>
    <w:p w:rsidR="0084632F" w:rsidRDefault="0084632F" w:rsidP="003235CE">
      <w:pPr>
        <w:pStyle w:val="AASBBase"/>
        <w:tabs>
          <w:tab w:val="left" w:pos="907"/>
        </w:tabs>
      </w:pPr>
      <w:r>
        <w:t>E-mail:</w:t>
      </w:r>
      <w:r>
        <w:tab/>
        <w:t>standard@aasb.gov.au</w:t>
      </w:r>
    </w:p>
    <w:p w:rsidR="0084632F" w:rsidRDefault="0084632F" w:rsidP="00AA52E2">
      <w:pPr>
        <w:pStyle w:val="AASBPara"/>
        <w:spacing w:before="5520"/>
      </w:pPr>
      <w:r>
        <w:t>COPYRIGHT</w:t>
      </w:r>
    </w:p>
    <w:p w:rsidR="0084632F" w:rsidRDefault="0084632F" w:rsidP="00AA52E2">
      <w:pPr>
        <w:pStyle w:val="AASBPara"/>
      </w:pPr>
      <w:r>
        <w:t xml:space="preserve">© Commonwealth of Australia </w:t>
      </w:r>
      <w:bookmarkStart w:id="5" w:name="Year"/>
      <w:r>
        <w:t>2015</w:t>
      </w:r>
      <w:bookmarkEnd w:id="5"/>
    </w:p>
    <w:p w:rsidR="0084632F" w:rsidRDefault="0084632F" w:rsidP="00AA52E2">
      <w:pPr>
        <w:pStyle w:val="AASBPara"/>
      </w:pPr>
      <w:r>
        <w:t xml:space="preserve">This AASB </w:t>
      </w:r>
      <w:r w:rsidR="0053141D">
        <w:fldChar w:fldCharType="begin" w:fldLock="1"/>
      </w:r>
      <w:r w:rsidR="0053141D">
        <w:instrText xml:space="preserve"> REF DocType </w:instrText>
      </w:r>
      <w:r w:rsidR="0053141D">
        <w:fldChar w:fldCharType="separate"/>
      </w:r>
      <w:r w:rsidR="000369DC" w:rsidRPr="00CB4C3F">
        <w:t>Standard</w:t>
      </w:r>
      <w:r w:rsidR="0053141D">
        <w:fldChar w:fldCharType="end"/>
      </w:r>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84632F" w:rsidRDefault="0084632F" w:rsidP="00AA52E2">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84632F" w:rsidRDefault="0084632F" w:rsidP="00AA52E2">
      <w:pPr>
        <w:pStyle w:val="AASBBase"/>
      </w:pPr>
      <w:r>
        <w:t xml:space="preserve">ISSN </w:t>
      </w:r>
      <w:bookmarkStart w:id="6" w:name="ISSN"/>
      <w:r>
        <w:t>1036-4803</w:t>
      </w:r>
      <w:bookmarkEnd w:id="6"/>
    </w:p>
    <w:p w:rsidR="0084632F" w:rsidRDefault="0084632F" w:rsidP="00AA52E2">
      <w:pPr>
        <w:pStyle w:val="AASBBase"/>
        <w:sectPr w:rsidR="0084632F" w:rsidSect="00E013ED">
          <w:headerReference w:type="even" r:id="rId10"/>
          <w:headerReference w:type="default" r:id="rId11"/>
          <w:footerReference w:type="even" r:id="rId12"/>
          <w:footerReference w:type="default" r:id="rId13"/>
          <w:pgSz w:w="11907" w:h="16839" w:code="9"/>
          <w:pgMar w:top="1440" w:right="1440" w:bottom="1440" w:left="1440" w:header="709" w:footer="709" w:gutter="0"/>
          <w:pgNumType w:start="2"/>
          <w:cols w:space="708"/>
          <w:docGrid w:linePitch="360"/>
        </w:sectPr>
      </w:pPr>
    </w:p>
    <w:p w:rsidR="0084632F" w:rsidRDefault="0084632F" w:rsidP="00AA52E2">
      <w:pPr>
        <w:pStyle w:val="ConvSectionTitle"/>
      </w:pPr>
      <w:r>
        <w:lastRenderedPageBreak/>
        <w:t>Contents</w:t>
      </w:r>
    </w:p>
    <w:p w:rsidR="0084632F" w:rsidRDefault="0084632F" w:rsidP="00B31D03">
      <w:pPr>
        <w:pStyle w:val="AASBPara"/>
        <w:spacing w:before="400"/>
      </w:pPr>
      <w:r>
        <w:t xml:space="preserve">COMPARISON WITH </w:t>
      </w:r>
      <w:bookmarkStart w:id="7" w:name="IntnlType"/>
      <w:r>
        <w:t>IAS</w:t>
      </w:r>
      <w:bookmarkEnd w:id="7"/>
      <w:r>
        <w:t xml:space="preserve"> </w:t>
      </w:r>
      <w:bookmarkStart w:id="8" w:name="IntnlNo"/>
      <w:r>
        <w:t>7</w:t>
      </w:r>
      <w:bookmarkEnd w:id="8"/>
    </w:p>
    <w:p w:rsidR="0084632F" w:rsidRPr="000C31B3" w:rsidRDefault="0084632F" w:rsidP="00AA52E2">
      <w:pPr>
        <w:pStyle w:val="AASBBase"/>
        <w:rPr>
          <w:b/>
        </w:rPr>
      </w:pPr>
      <w:bookmarkStart w:id="9" w:name="TOCTopStandard"/>
      <w:r w:rsidRPr="000C31B3">
        <w:rPr>
          <w:b/>
        </w:rPr>
        <w:t>ACCOUNTING STANDARD</w:t>
      </w:r>
    </w:p>
    <w:p w:rsidR="0084632F" w:rsidRPr="000C31B3" w:rsidRDefault="0084632F" w:rsidP="00AA52E2">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proofErr w:type="gramStart"/>
      <w:r w:rsidR="000369DC" w:rsidRPr="000369DC">
        <w:rPr>
          <w:b/>
        </w:rPr>
        <w:t>107</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0369DC" w:rsidRPr="000369DC">
        <w:rPr>
          <w:b/>
          <w:i/>
        </w:rPr>
        <w:t>STATEMENT</w:t>
      </w:r>
      <w:proofErr w:type="gramEnd"/>
      <w:r w:rsidR="000369DC" w:rsidRPr="000369DC">
        <w:rPr>
          <w:b/>
          <w:i/>
        </w:rPr>
        <w:t xml:space="preserve"> OF CASH FLOWS</w:t>
      </w:r>
      <w:r w:rsidRPr="000C31B3">
        <w:rPr>
          <w:b/>
          <w:i/>
        </w:rPr>
        <w:fldChar w:fldCharType="end"/>
      </w:r>
    </w:p>
    <w:bookmarkEnd w:id="9"/>
    <w:p w:rsidR="0084632F" w:rsidRDefault="0084632F" w:rsidP="00AA52E2">
      <w:pPr>
        <w:pStyle w:val="ContentsHeading"/>
      </w:pPr>
      <w:proofErr w:type="gramStart"/>
      <w:r>
        <w:t>from</w:t>
      </w:r>
      <w:proofErr w:type="gramEnd"/>
      <w:r>
        <w:t xml:space="preserve"> paragraph</w:t>
      </w:r>
    </w:p>
    <w:p w:rsidR="00B31D03" w:rsidRDefault="00B31D03" w:rsidP="00B31D03">
      <w:pPr>
        <w:pStyle w:val="ContentsLevel1"/>
      </w:pPr>
      <w:bookmarkStart w:id="10" w:name="TOCStart"/>
      <w:bookmarkStart w:id="11" w:name="TOCRange"/>
      <w:bookmarkStart w:id="12" w:name="TOCBottomStandard"/>
      <w:bookmarkEnd w:id="10"/>
      <w:r>
        <w:t>Objective</w:t>
      </w:r>
    </w:p>
    <w:p w:rsidR="00B31D03" w:rsidRDefault="00B31D03" w:rsidP="00B31D03">
      <w:pPr>
        <w:pStyle w:val="ContentsLevel1"/>
      </w:pPr>
      <w:r>
        <w:t>Scope</w:t>
      </w:r>
      <w:r>
        <w:tab/>
        <w:t>1</w:t>
      </w:r>
    </w:p>
    <w:p w:rsidR="00B31D03" w:rsidRDefault="00B31D03" w:rsidP="00B31D03">
      <w:pPr>
        <w:pStyle w:val="ContentsLevel1"/>
      </w:pPr>
      <w:r>
        <w:t>Benefits of cash flow information</w:t>
      </w:r>
      <w:r>
        <w:tab/>
        <w:t>4</w:t>
      </w:r>
    </w:p>
    <w:p w:rsidR="00B31D03" w:rsidRDefault="00B31D03" w:rsidP="00B31D03">
      <w:pPr>
        <w:pStyle w:val="ContentsLevel1"/>
      </w:pPr>
      <w:r>
        <w:t>Definitions</w:t>
      </w:r>
      <w:r>
        <w:tab/>
        <w:t>6</w:t>
      </w:r>
    </w:p>
    <w:p w:rsidR="00B31D03" w:rsidRDefault="00B31D03" w:rsidP="00B31D03">
      <w:pPr>
        <w:pStyle w:val="ContentsLevel2"/>
      </w:pPr>
      <w:r>
        <w:t>Cash and cash equivalents</w:t>
      </w:r>
      <w:r>
        <w:tab/>
        <w:t>7</w:t>
      </w:r>
    </w:p>
    <w:p w:rsidR="00B31D03" w:rsidRDefault="00B31D03" w:rsidP="00B31D03">
      <w:pPr>
        <w:pStyle w:val="ContentsLevel1"/>
      </w:pPr>
      <w:r>
        <w:t>Presentation of a statement of cash flows</w:t>
      </w:r>
      <w:r>
        <w:tab/>
        <w:t>10</w:t>
      </w:r>
    </w:p>
    <w:p w:rsidR="00B31D03" w:rsidRDefault="00B31D03" w:rsidP="00B31D03">
      <w:pPr>
        <w:pStyle w:val="ContentsLevel2"/>
      </w:pPr>
      <w:r>
        <w:t>Operating activities</w:t>
      </w:r>
      <w:r>
        <w:tab/>
        <w:t>13</w:t>
      </w:r>
    </w:p>
    <w:p w:rsidR="00B31D03" w:rsidRDefault="00B31D03" w:rsidP="00B31D03">
      <w:pPr>
        <w:pStyle w:val="ContentsLevel2"/>
      </w:pPr>
      <w:r>
        <w:t>Investing activities</w:t>
      </w:r>
      <w:r>
        <w:tab/>
        <w:t>16</w:t>
      </w:r>
    </w:p>
    <w:p w:rsidR="00B31D03" w:rsidRDefault="00B31D03" w:rsidP="00B31D03">
      <w:pPr>
        <w:pStyle w:val="ContentsLevel2"/>
      </w:pPr>
      <w:r>
        <w:t>Financing activities</w:t>
      </w:r>
      <w:r>
        <w:tab/>
        <w:t>17</w:t>
      </w:r>
    </w:p>
    <w:p w:rsidR="00B31D03" w:rsidRDefault="00B31D03" w:rsidP="00B31D03">
      <w:pPr>
        <w:pStyle w:val="ContentsLevel1"/>
      </w:pPr>
      <w:r>
        <w:t>Reporting cash flows from operating activities</w:t>
      </w:r>
      <w:r>
        <w:tab/>
        <w:t>18</w:t>
      </w:r>
    </w:p>
    <w:p w:rsidR="00B31D03" w:rsidRDefault="00B31D03" w:rsidP="00B31D03">
      <w:pPr>
        <w:pStyle w:val="ContentsLevel1"/>
      </w:pPr>
      <w:r>
        <w:t>Reporting cash flows from investing and financing activities</w:t>
      </w:r>
      <w:r>
        <w:tab/>
        <w:t>21</w:t>
      </w:r>
    </w:p>
    <w:p w:rsidR="00B31D03" w:rsidRDefault="00B31D03" w:rsidP="00B31D03">
      <w:pPr>
        <w:pStyle w:val="ContentsLevel1"/>
      </w:pPr>
      <w:r>
        <w:t>Reporting cash flows on a net basis</w:t>
      </w:r>
      <w:r>
        <w:tab/>
        <w:t>22</w:t>
      </w:r>
    </w:p>
    <w:p w:rsidR="00B31D03" w:rsidRDefault="00B31D03" w:rsidP="00B31D03">
      <w:pPr>
        <w:pStyle w:val="ContentsLevel1"/>
      </w:pPr>
      <w:r>
        <w:t>Foreign currency cash flows</w:t>
      </w:r>
      <w:r>
        <w:tab/>
        <w:t>25</w:t>
      </w:r>
    </w:p>
    <w:p w:rsidR="00B31D03" w:rsidRDefault="00B31D03" w:rsidP="00B31D03">
      <w:pPr>
        <w:pStyle w:val="ContentsLevel1"/>
      </w:pPr>
      <w:r>
        <w:t>Interest and dividends</w:t>
      </w:r>
      <w:r>
        <w:tab/>
        <w:t>31</w:t>
      </w:r>
    </w:p>
    <w:p w:rsidR="00B31D03" w:rsidRDefault="00B31D03" w:rsidP="00B31D03">
      <w:pPr>
        <w:pStyle w:val="ContentsLevel1"/>
      </w:pPr>
      <w:r>
        <w:t>Taxes on income</w:t>
      </w:r>
      <w:r>
        <w:tab/>
        <w:t>35</w:t>
      </w:r>
    </w:p>
    <w:p w:rsidR="00B31D03" w:rsidRDefault="00B31D03" w:rsidP="00B31D03">
      <w:pPr>
        <w:pStyle w:val="ContentsLevel1"/>
      </w:pPr>
      <w:r>
        <w:t>Investments in subsidiaries, associates and joint ventures</w:t>
      </w:r>
      <w:r>
        <w:tab/>
        <w:t>37</w:t>
      </w:r>
    </w:p>
    <w:p w:rsidR="00B31D03" w:rsidRDefault="00B31D03" w:rsidP="00B31D03">
      <w:pPr>
        <w:pStyle w:val="ContentsLevel1"/>
      </w:pPr>
      <w:r>
        <w:t>Changes in ownership interests in subsidiaries and other businesses</w:t>
      </w:r>
      <w:r>
        <w:tab/>
        <w:t>39</w:t>
      </w:r>
    </w:p>
    <w:p w:rsidR="00B31D03" w:rsidRDefault="00B31D03" w:rsidP="00B31D03">
      <w:pPr>
        <w:pStyle w:val="ContentsLevel1"/>
      </w:pPr>
      <w:r>
        <w:t>Non-cash transactions</w:t>
      </w:r>
      <w:r>
        <w:tab/>
        <w:t>43</w:t>
      </w:r>
    </w:p>
    <w:p w:rsidR="00B31D03" w:rsidRDefault="00B31D03" w:rsidP="00B31D03">
      <w:pPr>
        <w:pStyle w:val="ContentsLevel1"/>
      </w:pPr>
      <w:r>
        <w:t>Components of cash and cash equivalents</w:t>
      </w:r>
      <w:r>
        <w:tab/>
        <w:t>45</w:t>
      </w:r>
    </w:p>
    <w:p w:rsidR="00B31D03" w:rsidRDefault="00B31D03" w:rsidP="00B31D03">
      <w:pPr>
        <w:pStyle w:val="ContentsLevel1"/>
      </w:pPr>
      <w:r>
        <w:t>Other disclosures</w:t>
      </w:r>
      <w:r>
        <w:tab/>
        <w:t>48</w:t>
      </w:r>
    </w:p>
    <w:p w:rsidR="00B31D03" w:rsidRDefault="00B31D03" w:rsidP="00B31D03">
      <w:pPr>
        <w:pStyle w:val="ContentsLevel1"/>
      </w:pPr>
      <w:r>
        <w:t>Effective date</w:t>
      </w:r>
      <w:r>
        <w:tab/>
        <w:t>53</w:t>
      </w:r>
    </w:p>
    <w:p w:rsidR="00B31D03" w:rsidRDefault="00B31D03" w:rsidP="00B31D03">
      <w:pPr>
        <w:pStyle w:val="ContentsLevel1"/>
      </w:pPr>
      <w:r>
        <w:t>Commencement of the legislative instrument</w:t>
      </w:r>
      <w:r>
        <w:tab/>
      </w:r>
      <w:r w:rsidRPr="00B31D03">
        <w:rPr>
          <w:rFonts w:ascii="Times New Roman Bold" w:hAnsi="Times New Roman Bold"/>
          <w:caps w:val="0"/>
        </w:rPr>
        <w:t>Aus</w:t>
      </w:r>
      <w:r>
        <w:t>58.1</w:t>
      </w:r>
    </w:p>
    <w:p w:rsidR="00B31D03" w:rsidRDefault="00B31D03" w:rsidP="00B31D03">
      <w:pPr>
        <w:pStyle w:val="ContentsLevel1"/>
      </w:pPr>
      <w:r>
        <w:t>Withdrawal of AASB pronouncements</w:t>
      </w:r>
      <w:r>
        <w:tab/>
      </w:r>
      <w:r w:rsidRPr="00B31D03">
        <w:rPr>
          <w:rFonts w:ascii="Times New Roman Bold" w:hAnsi="Times New Roman Bold"/>
          <w:caps w:val="0"/>
        </w:rPr>
        <w:t>Aus5</w:t>
      </w:r>
      <w:r>
        <w:t>8.2</w:t>
      </w:r>
    </w:p>
    <w:p w:rsidR="00B31D03" w:rsidRDefault="00B31D03" w:rsidP="00B31D03">
      <w:pPr>
        <w:pStyle w:val="ContentsLevel1"/>
      </w:pPr>
      <w:r>
        <w:t>AppendiX</w:t>
      </w:r>
    </w:p>
    <w:p w:rsidR="00B31D03" w:rsidRDefault="00B31D03" w:rsidP="00B31D03">
      <w:pPr>
        <w:pStyle w:val="ContentsLevel2"/>
      </w:pPr>
      <w:proofErr w:type="gramStart"/>
      <w:r>
        <w:t>A</w:t>
      </w:r>
      <w:proofErr w:type="gramEnd"/>
      <w:r>
        <w:t xml:space="preserve"> Australian reduced disclosure requirements</w:t>
      </w:r>
    </w:p>
    <w:p w:rsidR="00B31D03" w:rsidRDefault="00B31D03" w:rsidP="00B31D03">
      <w:pPr>
        <w:pStyle w:val="ContentsLevel1"/>
      </w:pPr>
      <w:r>
        <w:t>Illustrative examples</w:t>
      </w:r>
    </w:p>
    <w:p w:rsidR="00ED410C" w:rsidRDefault="00ED410C" w:rsidP="00ED410C">
      <w:pPr>
        <w:pStyle w:val="ContentsLevel2"/>
      </w:pPr>
      <w:r>
        <w:t>A Statement of cash flows for an entity other than a financial institution</w:t>
      </w:r>
    </w:p>
    <w:p w:rsidR="00ED410C" w:rsidRDefault="00ED410C" w:rsidP="00ED410C">
      <w:pPr>
        <w:pStyle w:val="ContentsLevel2"/>
      </w:pPr>
      <w:r>
        <w:t>B Statement of cash flows for a financial institution</w:t>
      </w:r>
    </w:p>
    <w:p w:rsidR="00B31D03" w:rsidRDefault="00B31D03" w:rsidP="00B31D03">
      <w:pPr>
        <w:pStyle w:val="ContentsLevel1"/>
      </w:pPr>
      <w:r>
        <w:t>Deleted IAS 7 text</w:t>
      </w:r>
    </w:p>
    <w:bookmarkEnd w:id="11"/>
    <w:p w:rsidR="0084632F" w:rsidRDefault="0084632F" w:rsidP="00AA52E2">
      <w:pPr>
        <w:pStyle w:val="ContentsLevel1"/>
      </w:pPr>
    </w:p>
    <w:p w:rsidR="00B31D03" w:rsidRDefault="00B31D03" w:rsidP="00AA52E2">
      <w:pPr>
        <w:pStyle w:val="ContentsLevel1"/>
      </w:pPr>
    </w:p>
    <w:p w:rsidR="008655AE" w:rsidRDefault="008655AE" w:rsidP="008655AE">
      <w:pPr>
        <w:pStyle w:val="ContentsLevel1"/>
      </w:pPr>
      <w:r>
        <w:t>available on the AASB website</w:t>
      </w:r>
    </w:p>
    <w:p w:rsidR="008655AE" w:rsidRDefault="008655AE" w:rsidP="008655AE">
      <w:pPr>
        <w:pStyle w:val="ContentsLevel1"/>
      </w:pPr>
      <w:r>
        <w:rPr>
          <w:caps w:val="0"/>
        </w:rPr>
        <w:t>Basis for Conclusions on</w:t>
      </w:r>
      <w:r>
        <w:t xml:space="preserve"> IAS 7</w:t>
      </w:r>
    </w:p>
    <w:p w:rsidR="008655AE" w:rsidRDefault="008655AE" w:rsidP="00AA52E2">
      <w:pPr>
        <w:pStyle w:val="ContentsLevel1"/>
      </w:pPr>
    </w:p>
    <w:p w:rsidR="008655AE" w:rsidRDefault="008655AE" w:rsidP="00AA52E2">
      <w:pPr>
        <w:pStyle w:val="ContentsLevel1"/>
      </w:pPr>
    </w:p>
    <w:p w:rsidR="0084632F" w:rsidRDefault="0084632F" w:rsidP="00AA52E2">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0369DC">
        <w:t>107</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0369DC" w:rsidRPr="000369DC">
        <w:rPr>
          <w:i/>
        </w:rPr>
        <w:t>Statement of Cash Flows</w:t>
      </w:r>
      <w:r w:rsidRPr="00103CE9">
        <w:rPr>
          <w:i/>
        </w:rPr>
        <w:fldChar w:fldCharType="end"/>
      </w:r>
      <w:r>
        <w:t xml:space="preserve"> is set out in paragraphs </w:t>
      </w:r>
      <w:r w:rsidR="009F7484">
        <w:t>1 – Aus58.2 and Appendix</w:t>
      </w:r>
      <w:r>
        <w:t xml:space="preserve"> </w:t>
      </w:r>
      <w:r w:rsidR="009F7484">
        <w:t>A</w:t>
      </w:r>
      <w:r>
        <w:t xml:space="preserve">.  All the paragraphs have equal authority.  Paragraphs in </w:t>
      </w:r>
      <w:r w:rsidRPr="00103CE9">
        <w:rPr>
          <w:b/>
        </w:rPr>
        <w:t>bold type</w:t>
      </w:r>
      <w:r>
        <w:t xml:space="preserve"> state the main principles.  AASB </w:t>
      </w:r>
      <w:r>
        <w:fldChar w:fldCharType="begin" w:fldLock="1"/>
      </w:r>
      <w:r>
        <w:instrText xml:space="preserve"> REF DocNo \* charformat</w:instrText>
      </w:r>
      <w:r>
        <w:fldChar w:fldCharType="separate"/>
      </w:r>
      <w:r w:rsidR="000369DC">
        <w:t>107</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0B3207">
        <w:t xml:space="preserve">, and AASB 1057 </w:t>
      </w:r>
      <w:r w:rsidR="000B3207"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rsidR="0084632F" w:rsidRDefault="0084632F" w:rsidP="00AA52E2">
      <w:pPr>
        <w:pStyle w:val="AASBBase"/>
      </w:pPr>
    </w:p>
    <w:bookmarkEnd w:id="12"/>
    <w:p w:rsidR="0084632F" w:rsidRDefault="0084632F" w:rsidP="00AA52E2">
      <w:pPr>
        <w:pStyle w:val="AASBBase"/>
        <w:sectPr w:rsidR="0084632F" w:rsidSect="00AA52E2">
          <w:headerReference w:type="even" r:id="rId14"/>
          <w:footerReference w:type="even" r:id="rId15"/>
          <w:footerReference w:type="default" r:id="rId16"/>
          <w:pgSz w:w="11907" w:h="16839" w:code="9"/>
          <w:pgMar w:top="1440" w:right="1440" w:bottom="1440" w:left="1440" w:header="709" w:footer="709" w:gutter="0"/>
          <w:cols w:space="708"/>
          <w:docGrid w:linePitch="360"/>
        </w:sectPr>
      </w:pPr>
    </w:p>
    <w:p w:rsidR="0084632F" w:rsidRDefault="0084632F" w:rsidP="00AA52E2">
      <w:pPr>
        <w:pStyle w:val="ConvSectionTitle"/>
      </w:pPr>
      <w:r>
        <w:lastRenderedPageBreak/>
        <w:t xml:space="preserve">Comparison with </w:t>
      </w:r>
      <w:r>
        <w:fldChar w:fldCharType="begin" w:fldLock="1"/>
      </w:r>
      <w:r>
        <w:instrText xml:space="preserve"> REF IntnlType \* charformat</w:instrText>
      </w:r>
      <w:r>
        <w:fldChar w:fldCharType="separate"/>
      </w:r>
      <w:r w:rsidR="000369DC">
        <w:t>IAS</w:t>
      </w:r>
      <w:r>
        <w:fldChar w:fldCharType="end"/>
      </w:r>
      <w:r>
        <w:t xml:space="preserve"> </w:t>
      </w:r>
      <w:r>
        <w:fldChar w:fldCharType="begin" w:fldLock="1"/>
      </w:r>
      <w:r>
        <w:instrText xml:space="preserve"> REF IntnlNo \* charformat</w:instrText>
      </w:r>
      <w:r>
        <w:fldChar w:fldCharType="separate"/>
      </w:r>
      <w:r w:rsidR="000369DC">
        <w:t>7</w:t>
      </w:r>
      <w:r>
        <w:fldChar w:fldCharType="end"/>
      </w:r>
    </w:p>
    <w:p w:rsidR="0084632F" w:rsidRDefault="0084632F" w:rsidP="00AA52E2">
      <w:pPr>
        <w:pStyle w:val="IASBNormal"/>
      </w:pPr>
      <w:r>
        <w:t xml:space="preserve">AASB </w:t>
      </w:r>
      <w:r>
        <w:fldChar w:fldCharType="begin" w:fldLock="1"/>
      </w:r>
      <w:r>
        <w:instrText xml:space="preserve"> REF DocNo \* charformat</w:instrText>
      </w:r>
      <w:r>
        <w:fldChar w:fldCharType="separate"/>
      </w:r>
      <w:r w:rsidR="000369DC">
        <w:t>107</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0369DC" w:rsidRPr="000369DC">
        <w:rPr>
          <w:i/>
        </w:rPr>
        <w:t>Statement of Cash Flows</w:t>
      </w:r>
      <w:r w:rsidRPr="00137A58">
        <w:rPr>
          <w:i/>
        </w:rPr>
        <w:fldChar w:fldCharType="end"/>
      </w:r>
      <w:r>
        <w:t xml:space="preserve"> incorporates </w:t>
      </w:r>
      <w:r>
        <w:fldChar w:fldCharType="begin" w:fldLock="1"/>
      </w:r>
      <w:r>
        <w:instrText xml:space="preserve"> REF IntnlType \* charformat</w:instrText>
      </w:r>
      <w:r>
        <w:fldChar w:fldCharType="separate"/>
      </w:r>
      <w:r w:rsidR="000369DC">
        <w:t>IAS</w:t>
      </w:r>
      <w:r>
        <w:fldChar w:fldCharType="end"/>
      </w:r>
      <w:r>
        <w:t> </w:t>
      </w:r>
      <w:r>
        <w:fldChar w:fldCharType="begin" w:fldLock="1"/>
      </w:r>
      <w:r>
        <w:instrText xml:space="preserve"> REF IntnlNo \* charformat</w:instrText>
      </w:r>
      <w:r>
        <w:fldChar w:fldCharType="separate"/>
      </w:r>
      <w:r w:rsidR="000369DC">
        <w:t>7</w:t>
      </w:r>
      <w:r>
        <w:fldChar w:fldCharType="end"/>
      </w:r>
      <w:r>
        <w:t xml:space="preserve"> </w:t>
      </w:r>
      <w:bookmarkStart w:id="13" w:name="IntnlTitle"/>
      <w:r w:rsidR="000369DC" w:rsidRPr="000369DC">
        <w:rPr>
          <w:i/>
        </w:rPr>
        <w:t>Statement of Cash Flows</w:t>
      </w:r>
      <w:bookmarkEnd w:id="13"/>
      <w:r>
        <w:t xml:space="preserve"> issued 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rsidR="000369DC">
        <w:t>IAS</w:t>
      </w:r>
      <w:r>
        <w:fldChar w:fldCharType="end"/>
      </w:r>
      <w:r>
        <w:t> </w:t>
      </w:r>
      <w:r>
        <w:fldChar w:fldCharType="begin" w:fldLock="1"/>
      </w:r>
      <w:r>
        <w:instrText xml:space="preserve"> REF IntnlNo \* charformat</w:instrText>
      </w:r>
      <w:r>
        <w:fldChar w:fldCharType="separate"/>
      </w:r>
      <w:r w:rsidR="000369DC">
        <w:t>7</w:t>
      </w:r>
      <w:r>
        <w:fldChar w:fldCharType="end"/>
      </w:r>
      <w:r>
        <w:t>) are identified with the prefix “Aus”</w:t>
      </w:r>
      <w:r w:rsidR="008A6F0E">
        <w:t>.</w:t>
      </w:r>
      <w:r>
        <w:t xml:space="preserve"> Paragraphs that apply only to not-for-profit entities begin by identifying their limited applicability.</w:t>
      </w:r>
    </w:p>
    <w:p w:rsidR="0084632F" w:rsidRDefault="0084632F" w:rsidP="00AA52E2">
      <w:pPr>
        <w:pStyle w:val="ConvStandardTitle1"/>
      </w:pPr>
      <w:r w:rsidRPr="008A6F0E">
        <w:t>Tier 1</w:t>
      </w:r>
    </w:p>
    <w:p w:rsidR="0084632F" w:rsidRDefault="0084632F" w:rsidP="00AA52E2">
      <w:pPr>
        <w:pStyle w:val="IASBNormal"/>
      </w:pPr>
      <w:r>
        <w:t xml:space="preserve">For-profit entities complying with AASB </w:t>
      </w:r>
      <w:r>
        <w:fldChar w:fldCharType="begin" w:fldLock="1"/>
      </w:r>
      <w:r>
        <w:instrText xml:space="preserve"> REF DocNo \* charformat</w:instrText>
      </w:r>
      <w:r>
        <w:fldChar w:fldCharType="separate"/>
      </w:r>
      <w:r w:rsidR="000369DC">
        <w:t>107</w:t>
      </w:r>
      <w:r>
        <w:fldChar w:fldCharType="end"/>
      </w:r>
      <w:r>
        <w:t xml:space="preserve"> also comply with </w:t>
      </w:r>
      <w:r>
        <w:fldChar w:fldCharType="begin" w:fldLock="1"/>
      </w:r>
      <w:r>
        <w:instrText xml:space="preserve"> REF IntnlType \* charformat</w:instrText>
      </w:r>
      <w:r>
        <w:fldChar w:fldCharType="separate"/>
      </w:r>
      <w:r w:rsidR="000369DC">
        <w:t>IAS</w:t>
      </w:r>
      <w:r>
        <w:fldChar w:fldCharType="end"/>
      </w:r>
      <w:r>
        <w:t xml:space="preserve"> </w:t>
      </w:r>
      <w:r>
        <w:fldChar w:fldCharType="begin" w:fldLock="1"/>
      </w:r>
      <w:r>
        <w:instrText xml:space="preserve"> REF IntnlNo \* charformat</w:instrText>
      </w:r>
      <w:r>
        <w:fldChar w:fldCharType="separate"/>
      </w:r>
      <w:r w:rsidR="000369DC">
        <w:t>7</w:t>
      </w:r>
      <w:r>
        <w:fldChar w:fldCharType="end"/>
      </w:r>
      <w:r>
        <w:t>.</w:t>
      </w:r>
    </w:p>
    <w:p w:rsidR="0084632F" w:rsidRDefault="0084632F" w:rsidP="00AA52E2">
      <w:pPr>
        <w:pStyle w:val="IASBNormal"/>
      </w:pPr>
      <w:r>
        <w:t xml:space="preserve">Not-for-profit entities’ compliance with </w:t>
      </w:r>
      <w:r>
        <w:fldChar w:fldCharType="begin" w:fldLock="1"/>
      </w:r>
      <w:r>
        <w:instrText xml:space="preserve"> REF IntnlType \* charformat</w:instrText>
      </w:r>
      <w:r>
        <w:fldChar w:fldCharType="separate"/>
      </w:r>
      <w:r w:rsidR="000369DC">
        <w:t>IAS</w:t>
      </w:r>
      <w:r>
        <w:fldChar w:fldCharType="end"/>
      </w:r>
      <w:r>
        <w:t xml:space="preserve"> </w:t>
      </w:r>
      <w:r>
        <w:fldChar w:fldCharType="begin" w:fldLock="1"/>
      </w:r>
      <w:r>
        <w:instrText xml:space="preserve"> REF IntnlNo \* charformat</w:instrText>
      </w:r>
      <w:r>
        <w:fldChar w:fldCharType="separate"/>
      </w:r>
      <w:r w:rsidR="000369DC">
        <w:t>7</w:t>
      </w:r>
      <w:r>
        <w:fldChar w:fldCharType="end"/>
      </w:r>
      <w:r>
        <w:t xml:space="preserve"> will depend on whether any “Aus”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rsidR="000369DC">
        <w:t>IAS</w:t>
      </w:r>
      <w:r>
        <w:fldChar w:fldCharType="end"/>
      </w:r>
      <w:r>
        <w:t> </w:t>
      </w:r>
      <w:r>
        <w:fldChar w:fldCharType="begin" w:fldLock="1"/>
      </w:r>
      <w:r>
        <w:instrText xml:space="preserve"> REF IntnlNo \* charformat</w:instrText>
      </w:r>
      <w:r>
        <w:fldChar w:fldCharType="separate"/>
      </w:r>
      <w:r w:rsidR="000369DC">
        <w:t>7</w:t>
      </w:r>
      <w:r>
        <w:fldChar w:fldCharType="end"/>
      </w:r>
      <w:r>
        <w:t>.</w:t>
      </w:r>
    </w:p>
    <w:p w:rsidR="0084632F" w:rsidRPr="008A6F0E" w:rsidRDefault="0084632F" w:rsidP="00AA52E2">
      <w:pPr>
        <w:pStyle w:val="ConvStandardTitle1"/>
      </w:pPr>
      <w:r w:rsidRPr="008A6F0E">
        <w:t>Tier 2</w:t>
      </w:r>
    </w:p>
    <w:p w:rsidR="0084632F" w:rsidRPr="008A6F0E" w:rsidRDefault="0084632F" w:rsidP="00AA52E2">
      <w:pPr>
        <w:pStyle w:val="IASBNormal"/>
      </w:pPr>
      <w:r w:rsidRPr="008A6F0E">
        <w:t>Entities preparing general purpose financial statements under Australian Accounting Standards – Reduced Disclosure Requirements (Tier 2) will not be in compliance with IFRSs.</w:t>
      </w:r>
    </w:p>
    <w:p w:rsidR="0084632F" w:rsidRPr="00F83914" w:rsidRDefault="0084632F" w:rsidP="00AA52E2">
      <w:pPr>
        <w:pStyle w:val="IASBNormal"/>
      </w:pPr>
      <w:r w:rsidRPr="008A6F0E">
        <w:t xml:space="preserve">AASB 1053 </w:t>
      </w:r>
      <w:r w:rsidRPr="008A6F0E">
        <w:rPr>
          <w:i/>
        </w:rPr>
        <w:t>Application of Tiers of Australian Accounting Standards</w:t>
      </w:r>
      <w:r w:rsidRPr="008A6F0E">
        <w:t xml:space="preserve"> explains the two tiers of reporting requirements.</w:t>
      </w:r>
    </w:p>
    <w:p w:rsidR="0084632F" w:rsidRDefault="0084632F" w:rsidP="00AA52E2">
      <w:pPr>
        <w:pStyle w:val="AASBBase"/>
      </w:pPr>
    </w:p>
    <w:p w:rsidR="0084632F" w:rsidRDefault="0084632F" w:rsidP="00AA52E2">
      <w:pPr>
        <w:pStyle w:val="AASBBase"/>
        <w:sectPr w:rsidR="0084632F" w:rsidSect="00AA52E2">
          <w:headerReference w:type="even" r:id="rId17"/>
          <w:footerReference w:type="even" r:id="rId18"/>
          <w:footerReference w:type="default" r:id="rId19"/>
          <w:pgSz w:w="11907" w:h="16839" w:code="9"/>
          <w:pgMar w:top="1440" w:right="1440" w:bottom="1440" w:left="1440" w:header="709" w:footer="709" w:gutter="0"/>
          <w:cols w:space="708"/>
          <w:docGrid w:linePitch="360"/>
        </w:sectPr>
      </w:pPr>
    </w:p>
    <w:p w:rsidR="0084632F" w:rsidRDefault="0084632F" w:rsidP="00AA52E2">
      <w:pPr>
        <w:pStyle w:val="ConvSectionTitle"/>
      </w:pPr>
      <w:r>
        <w:lastRenderedPageBreak/>
        <w:t xml:space="preserve">Accounting Standard AASB </w:t>
      </w:r>
      <w:r>
        <w:fldChar w:fldCharType="begin" w:fldLock="1"/>
      </w:r>
      <w:r>
        <w:instrText xml:space="preserve"> REF DocNo \* charformat</w:instrText>
      </w:r>
      <w:r>
        <w:fldChar w:fldCharType="separate"/>
      </w:r>
      <w:r w:rsidR="000369DC">
        <w:t>107</w:t>
      </w:r>
      <w:r>
        <w:fldChar w:fldCharType="end"/>
      </w:r>
    </w:p>
    <w:p w:rsidR="0084632F" w:rsidRDefault="0084632F" w:rsidP="00AA52E2">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rsidR="000369DC">
        <w:t>107</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000369DC" w:rsidRPr="000369DC">
        <w:rPr>
          <w:i/>
        </w:rPr>
        <w:t>Statement of Cash Flows</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84632F" w:rsidTr="004332D2">
        <w:trPr>
          <w:tblHeader/>
        </w:trPr>
        <w:tc>
          <w:tcPr>
            <w:tcW w:w="4508" w:type="dxa"/>
          </w:tcPr>
          <w:p w:rsidR="0084632F" w:rsidRDefault="0084632F" w:rsidP="00AA52E2">
            <w:pPr>
              <w:pStyle w:val="AASBBase"/>
            </w:pPr>
          </w:p>
        </w:tc>
        <w:tc>
          <w:tcPr>
            <w:tcW w:w="4509" w:type="dxa"/>
          </w:tcPr>
          <w:p w:rsidR="0084632F" w:rsidRDefault="0084632F" w:rsidP="00AA52E2">
            <w:pPr>
              <w:pStyle w:val="AASBBase"/>
              <w:jc w:val="right"/>
            </w:pPr>
            <w:r>
              <w:t>Kris Peach</w:t>
            </w:r>
          </w:p>
        </w:tc>
      </w:tr>
      <w:tr w:rsidR="0084632F" w:rsidTr="00AA52E2">
        <w:tc>
          <w:tcPr>
            <w:tcW w:w="4508" w:type="dxa"/>
          </w:tcPr>
          <w:p w:rsidR="0084632F" w:rsidRDefault="0084632F" w:rsidP="00AA52E2">
            <w:pPr>
              <w:pStyle w:val="AASBBase"/>
            </w:pPr>
            <w:r>
              <w:t xml:space="preserve">Dated </w:t>
            </w:r>
            <w:bookmarkStart w:id="14" w:name="MakeDate"/>
            <w:r w:rsidR="000369DC">
              <w:t>7 August 2015</w:t>
            </w:r>
            <w:bookmarkEnd w:id="14"/>
          </w:p>
        </w:tc>
        <w:tc>
          <w:tcPr>
            <w:tcW w:w="4509" w:type="dxa"/>
          </w:tcPr>
          <w:p w:rsidR="0084632F" w:rsidRDefault="0084632F" w:rsidP="00AA52E2">
            <w:pPr>
              <w:pStyle w:val="AASBBase"/>
              <w:jc w:val="right"/>
            </w:pPr>
            <w:r>
              <w:t>Chair – AASB</w:t>
            </w:r>
          </w:p>
        </w:tc>
      </w:tr>
    </w:tbl>
    <w:p w:rsidR="0084632F" w:rsidRDefault="0084632F" w:rsidP="00AA52E2">
      <w:pPr>
        <w:pStyle w:val="ConvStandardTitle1"/>
      </w:pPr>
      <w:r>
        <w:t xml:space="preserve">Accounting Standard AASB </w:t>
      </w:r>
      <w:r>
        <w:fldChar w:fldCharType="begin" w:fldLock="1"/>
      </w:r>
      <w:r>
        <w:instrText xml:space="preserve"> REF DocNo \* charformat</w:instrText>
      </w:r>
      <w:r>
        <w:fldChar w:fldCharType="separate"/>
      </w:r>
      <w:r w:rsidR="000369DC">
        <w:t>107</w:t>
      </w:r>
      <w:r>
        <w:fldChar w:fldCharType="end"/>
      </w:r>
    </w:p>
    <w:p w:rsidR="0084632F" w:rsidRPr="00844AB3" w:rsidRDefault="0084632F" w:rsidP="00AA52E2">
      <w:pPr>
        <w:pStyle w:val="ConvStandardTitle2"/>
      </w:pPr>
      <w:r>
        <w:fldChar w:fldCharType="begin" w:fldLock="1"/>
      </w:r>
      <w:r>
        <w:instrText xml:space="preserve"> REF DocTitle \* charformat</w:instrText>
      </w:r>
      <w:r>
        <w:fldChar w:fldCharType="separate"/>
      </w:r>
      <w:r w:rsidR="000369DC">
        <w:t>Statement of Cash Flows</w:t>
      </w:r>
      <w:r>
        <w:fldChar w:fldCharType="end"/>
      </w:r>
    </w:p>
    <w:p w:rsidR="00BE0731" w:rsidRDefault="00BE0731">
      <w:pPr>
        <w:pStyle w:val="IASBSectionTitle1NonInd"/>
      </w:pPr>
      <w:r>
        <w:t>Objective</w:t>
      </w:r>
    </w:p>
    <w:p w:rsidR="00BE0731" w:rsidRDefault="00BE0731">
      <w:pPr>
        <w:pStyle w:val="IASBNormal"/>
      </w:pPr>
      <w:r>
        <w:t>Information about the cash flows of an entity is useful in providing users of financial statements with a basis to assess the ability of the entity to generate cash and cash equivalents and the needs of the entity to utilise those cash flows. The economic decisions that are taken by users require an evaluation of the ability of an entity to generate cash and cash equivalents and the timing and certainty of their generation.</w:t>
      </w:r>
    </w:p>
    <w:p w:rsidR="00BE0731" w:rsidRDefault="00BE0731">
      <w:pPr>
        <w:pStyle w:val="IASBNormal"/>
      </w:pPr>
      <w:r>
        <w:t>The objective of this Standard is to require the provision of information about the historical changes in cash and cash equivalents of an entity by means of a statement of cash flows which classifies cash flows during the period from operating, investing and financing activities.</w:t>
      </w:r>
    </w:p>
    <w:p w:rsidR="00BE0731" w:rsidRDefault="00BE0731">
      <w:pPr>
        <w:pStyle w:val="IASBSectionTitle1NonInd"/>
      </w:pPr>
      <w:r>
        <w:t>Scope</w:t>
      </w:r>
    </w:p>
    <w:p w:rsidR="00BE0731" w:rsidRDefault="00BE0731">
      <w:pPr>
        <w:pStyle w:val="IASBNormalnpara"/>
        <w:rPr>
          <w:b/>
        </w:rPr>
      </w:pPr>
      <w:r>
        <w:rPr>
          <w:b/>
        </w:rPr>
        <w:t>1</w:t>
      </w:r>
      <w:r>
        <w:rPr>
          <w:b/>
        </w:rPr>
        <w:tab/>
        <w:t>An entity shall prepare a statement of cash flows in accordance with the requirements of this Standard and shall present it as an integral part of its financial statements for each period for which financial statements are presented.</w:t>
      </w:r>
    </w:p>
    <w:p w:rsidR="00BE0731" w:rsidRDefault="00BE0731">
      <w:pPr>
        <w:pStyle w:val="IASBNormalnpara"/>
      </w:pPr>
      <w:r>
        <w:t>2</w:t>
      </w:r>
      <w:r>
        <w:tab/>
      </w:r>
      <w:r w:rsidR="0009365F">
        <w:t>[Deleted by the AASB]</w:t>
      </w:r>
    </w:p>
    <w:p w:rsidR="00BE0731" w:rsidRDefault="00BE0731">
      <w:pPr>
        <w:pStyle w:val="IASBNormalnpara"/>
      </w:pPr>
      <w:r>
        <w:t>3</w:t>
      </w:r>
      <w:r>
        <w:tab/>
        <w:t xml:space="preserve">Users of an entity’s financial statements are interested in how the entity generates and uses cash and cash equivalents. This is the case regardless of the nature of the entity’s activities and irrespective of whether cash can be viewed as the product of the entity, as may be the case with a financial institution. Entities need cash for essentially the same reasons however different their principal revenue-producing activities might be. They need cash to conduct their operations, to pay their obligations, and to provide returns to their investors. </w:t>
      </w:r>
    </w:p>
    <w:p w:rsidR="00BE0731" w:rsidRDefault="00BE0731">
      <w:pPr>
        <w:pStyle w:val="IASBSectionTitle1NonInd"/>
      </w:pPr>
      <w:r>
        <w:t>Benefits of cash flow information</w:t>
      </w:r>
    </w:p>
    <w:p w:rsidR="00BE0731" w:rsidRDefault="00BE0731">
      <w:pPr>
        <w:pStyle w:val="IASBNormalnpara"/>
      </w:pPr>
      <w:r>
        <w:t>4</w:t>
      </w:r>
      <w:r>
        <w:tab/>
        <w:t>A statement of cash flows, when used in conjunction with the rest of the financial statements, provides information that enables users to evaluate the changes in net assets of an entity, its financial structure (including its liquidity and solvency) and its ability to affect the amounts and timing of cash flows in order to adapt to changing circumstances and opportunities. Cash flow information is useful in assessing the ability of the entity to generate cash and cash equivalents and enables users to develop models to assess and compare the present value of the future cash flows of different entities. It also enhances the comparability of the reporting of operating performance by different entities because it eliminates the effects of using different accounting treatments for the same transactions and events.</w:t>
      </w:r>
    </w:p>
    <w:p w:rsidR="00BE0731" w:rsidRDefault="00BE0731">
      <w:pPr>
        <w:pStyle w:val="IASBNormalnpara"/>
      </w:pPr>
      <w:r>
        <w:t>5</w:t>
      </w:r>
      <w:r>
        <w:tab/>
        <w:t>Historical cash flow information is often used as an indicator of the amount, timing and certainty of future cash flows. It is also useful in checking the accuracy of past assessments of future cash flows and in examining the relationship between profitability and net cash flow and the impact of changing prices.</w:t>
      </w:r>
    </w:p>
    <w:p w:rsidR="00BE0731" w:rsidRDefault="00BE0731">
      <w:pPr>
        <w:pStyle w:val="IASBSectionTitle1NonInd"/>
      </w:pPr>
      <w:r>
        <w:t>Definitions</w:t>
      </w:r>
    </w:p>
    <w:p w:rsidR="00BE0731" w:rsidRDefault="00BE0731">
      <w:pPr>
        <w:pStyle w:val="IASBNormalnpara"/>
        <w:rPr>
          <w:b/>
        </w:rPr>
      </w:pPr>
      <w:r>
        <w:rPr>
          <w:b/>
        </w:rPr>
        <w:t>6</w:t>
      </w:r>
      <w:r>
        <w:rPr>
          <w:b/>
        </w:rPr>
        <w:tab/>
        <w:t xml:space="preserve">The following terms are used in this Standard with the meanings specified: </w:t>
      </w:r>
    </w:p>
    <w:p w:rsidR="00BE0731" w:rsidRDefault="00BE0731">
      <w:pPr>
        <w:pStyle w:val="IASBNormalnparaP"/>
      </w:pPr>
      <w:r>
        <w:rPr>
          <w:b/>
          <w:i/>
        </w:rPr>
        <w:t>Cash</w:t>
      </w:r>
      <w:r>
        <w:rPr>
          <w:b/>
        </w:rPr>
        <w:t xml:space="preserve"> comprises cash on hand and demand deposits.</w:t>
      </w:r>
    </w:p>
    <w:p w:rsidR="00BE0731" w:rsidRDefault="00BE0731">
      <w:pPr>
        <w:pStyle w:val="IASBNormalnparaP"/>
      </w:pPr>
      <w:r>
        <w:rPr>
          <w:b/>
          <w:i/>
        </w:rPr>
        <w:lastRenderedPageBreak/>
        <w:t>Cash equivalents</w:t>
      </w:r>
      <w:r>
        <w:rPr>
          <w:b/>
        </w:rPr>
        <w:t xml:space="preserve"> are short-term, highly liquid investments that are readily convertible to known amounts of cash and which are subject to an insignificant risk of changes in value.</w:t>
      </w:r>
    </w:p>
    <w:p w:rsidR="00BE0731" w:rsidRDefault="00BE0731">
      <w:pPr>
        <w:pStyle w:val="IASBNormalnparaP"/>
      </w:pPr>
      <w:r>
        <w:rPr>
          <w:b/>
          <w:i/>
        </w:rPr>
        <w:t>Cash flows</w:t>
      </w:r>
      <w:r>
        <w:rPr>
          <w:b/>
        </w:rPr>
        <w:t xml:space="preserve"> are inflows and outflows of cash and cash equivalents.</w:t>
      </w:r>
    </w:p>
    <w:p w:rsidR="00BE0731" w:rsidRDefault="00BE0731">
      <w:pPr>
        <w:pStyle w:val="IASBNormalnparaP"/>
      </w:pPr>
      <w:r>
        <w:rPr>
          <w:b/>
          <w:i/>
        </w:rPr>
        <w:t>Operating activities</w:t>
      </w:r>
      <w:r>
        <w:rPr>
          <w:b/>
        </w:rPr>
        <w:t xml:space="preserve"> are the principal revenue-producing activities of the entity and other activities that are not investing or financing activities.</w:t>
      </w:r>
    </w:p>
    <w:p w:rsidR="00BE0731" w:rsidRDefault="00BE0731">
      <w:pPr>
        <w:pStyle w:val="IASBNormalnparaP"/>
      </w:pPr>
      <w:r>
        <w:rPr>
          <w:b/>
          <w:i/>
        </w:rPr>
        <w:t>Investing activities</w:t>
      </w:r>
      <w:r>
        <w:rPr>
          <w:b/>
        </w:rPr>
        <w:t xml:space="preserve"> are the acquisition and disposal of long-term assets and other investments not included in cash equivalents.</w:t>
      </w:r>
    </w:p>
    <w:p w:rsidR="00BE0731" w:rsidRDefault="00BE0731">
      <w:pPr>
        <w:pStyle w:val="IASBNormalnparaP"/>
      </w:pPr>
      <w:r>
        <w:rPr>
          <w:b/>
          <w:i/>
        </w:rPr>
        <w:t>Financing activities</w:t>
      </w:r>
      <w:r>
        <w:rPr>
          <w:b/>
        </w:rPr>
        <w:t xml:space="preserve"> are activities that result in changes in the size and composition of the contributed equity and borrowings of the entity.</w:t>
      </w:r>
    </w:p>
    <w:p w:rsidR="00BE0731" w:rsidRDefault="00BE0731">
      <w:pPr>
        <w:pStyle w:val="IASBSectionTitle2Ind"/>
      </w:pPr>
      <w:r>
        <w:t>Cash and cash equivalents</w:t>
      </w:r>
    </w:p>
    <w:p w:rsidR="00BE0731" w:rsidRDefault="00BE0731">
      <w:pPr>
        <w:pStyle w:val="IASBNormalnpara"/>
      </w:pPr>
      <w:r>
        <w:t>7</w:t>
      </w:r>
      <w:r>
        <w:tab/>
        <w:t>Cash equivalents are held for the purpose of meeting short-term cash commitments rather than for investment or other purposes. For an investment to qualify as a cash equivalent it must be readily convertible to a known amount of cash and be subject to an insignificant risk of changes in value. Therefore, an investment normally qualifies as a cash equivalent only when it has a short maturity of, say, three months or less from the date of acquisition. Equity investments are excluded from cash equivalents unless they are, in substance, cash equivalents, for example in the case of preferred shares acquired within a short period of their maturity and with a specified redemption date.</w:t>
      </w:r>
    </w:p>
    <w:p w:rsidR="00BE0731" w:rsidRDefault="00BE0731">
      <w:pPr>
        <w:pStyle w:val="IASBNormalnpara"/>
      </w:pPr>
      <w:r>
        <w:t>8</w:t>
      </w:r>
      <w:r>
        <w:tab/>
        <w:t xml:space="preserve">Bank borrowings are generally considered to be financing activities. However, in some countries, bank overdrafts which are repayable on demand form an integral part of an </w:t>
      </w:r>
      <w:r w:rsidR="003F6EA6">
        <w:t xml:space="preserve">entity’s </w:t>
      </w:r>
      <w:r>
        <w:t>cash management. In these circumstances, bank overdrafts are included as a component of cash and cash equivalents. A characteristic of such banking arrangements is that the bank balance often fluctuates from being positive to overdrawn.</w:t>
      </w:r>
    </w:p>
    <w:p w:rsidR="00BE0731" w:rsidRDefault="00BE0731">
      <w:pPr>
        <w:pStyle w:val="IASBNormalnpara"/>
      </w:pPr>
      <w:r>
        <w:t>9</w:t>
      </w:r>
      <w:r>
        <w:tab/>
        <w:t>Cash flows exclude movements between items that constitute cash or cash equivalents because these components are part of the cash management of an entity rather than part of its operating, investing and financing activities. Cash management includes the investment of excess cash in cash equivalents.</w:t>
      </w:r>
    </w:p>
    <w:p w:rsidR="00BE0731" w:rsidRDefault="00BE0731" w:rsidP="00B31D03">
      <w:pPr>
        <w:pStyle w:val="IASBSectionTitle1NonInd"/>
        <w:keepNext w:val="0"/>
        <w:keepLines w:val="0"/>
      </w:pPr>
      <w:r>
        <w:t>Presentation of a statement of cash flows</w:t>
      </w:r>
    </w:p>
    <w:p w:rsidR="00BE0731" w:rsidRDefault="00BE0731">
      <w:pPr>
        <w:pStyle w:val="IASBNormalnpara"/>
        <w:rPr>
          <w:b/>
        </w:rPr>
      </w:pPr>
      <w:r>
        <w:rPr>
          <w:b/>
        </w:rPr>
        <w:t>10</w:t>
      </w:r>
      <w:r>
        <w:rPr>
          <w:b/>
        </w:rPr>
        <w:tab/>
        <w:t>The statement of cash flows shall report cash flows during the period classified by operating, investing and financing activities.</w:t>
      </w:r>
    </w:p>
    <w:p w:rsidR="00BE0731" w:rsidRDefault="00BE0731">
      <w:pPr>
        <w:pStyle w:val="IASBNormalnpara"/>
      </w:pPr>
      <w:r>
        <w:t>11</w:t>
      </w:r>
      <w:r>
        <w:tab/>
        <w:t>An entity presents its cash flows from operating, investing and financing activities in a manner which is most appropriate to its business. Classification by activity provides information that allows users to assess the impact of those activities on the financial position of the entity and the amount of its cash and cash equivalents. This information may also be used to evaluate the relationships among those activities.</w:t>
      </w:r>
    </w:p>
    <w:p w:rsidR="00BE0731" w:rsidRDefault="00BE0731">
      <w:pPr>
        <w:pStyle w:val="IASBNormalnpara"/>
      </w:pPr>
      <w:r>
        <w:t>12</w:t>
      </w:r>
      <w:r>
        <w:tab/>
        <w:t>A single transaction may include cash flows that are classified differently. For example, when the cash repayment of a loan includes both interest and capital, the interest element may be classified as an operating activity and the capital element is classified as a financing activity.</w:t>
      </w:r>
    </w:p>
    <w:p w:rsidR="00BE0731" w:rsidRDefault="00BE0731">
      <w:pPr>
        <w:pStyle w:val="IASBSectionTitle2Ind"/>
      </w:pPr>
      <w:r>
        <w:t>Operating activities</w:t>
      </w:r>
    </w:p>
    <w:p w:rsidR="00BE0731" w:rsidRDefault="00BE0731">
      <w:pPr>
        <w:pStyle w:val="IASBNormalnpara"/>
      </w:pPr>
      <w:r>
        <w:t>13</w:t>
      </w:r>
      <w:r>
        <w:tab/>
        <w:t>The amount of cash flows arising from operating activities is a key indicator of the extent to which the operations of the entity have generated sufficient cash flows to repay loans, maintain the operating capability of the entity, pay dividends and make new investments without recourse to external sources of financing. Information about the specific components of historical operating cash flows is useful, in conjunction with other information, in forecasting future operating cash flows.</w:t>
      </w:r>
    </w:p>
    <w:p w:rsidR="00BE0731" w:rsidRDefault="00BE0731">
      <w:pPr>
        <w:pStyle w:val="IASBNormalnpara"/>
      </w:pPr>
      <w:r>
        <w:t>14</w:t>
      </w:r>
      <w:r>
        <w:tab/>
        <w:t xml:space="preserve">Cash flows from operating activities are primarily derived from the principal revenue-producing activities of the entity. Therefore, they generally result from the transactions and other events that enter into the determination of profit or loss. Examples of cash flows from operating activities are: </w:t>
      </w:r>
    </w:p>
    <w:p w:rsidR="00BE0731" w:rsidRDefault="00BE0731">
      <w:pPr>
        <w:pStyle w:val="IASBNormalnparaL1"/>
      </w:pPr>
      <w:r>
        <w:t>(a)</w:t>
      </w:r>
      <w:r>
        <w:tab/>
      </w:r>
      <w:proofErr w:type="gramStart"/>
      <w:r>
        <w:t>cash</w:t>
      </w:r>
      <w:proofErr w:type="gramEnd"/>
      <w:r>
        <w:t xml:space="preserve"> receipts from the sale of goods and the rendering of services;</w:t>
      </w:r>
    </w:p>
    <w:p w:rsidR="00BE0731" w:rsidRDefault="00BE0731">
      <w:pPr>
        <w:pStyle w:val="IASBNormalnparaL1"/>
      </w:pPr>
      <w:r>
        <w:t>(b)</w:t>
      </w:r>
      <w:r>
        <w:tab/>
      </w:r>
      <w:proofErr w:type="gramStart"/>
      <w:r>
        <w:t>cash</w:t>
      </w:r>
      <w:proofErr w:type="gramEnd"/>
      <w:r>
        <w:t xml:space="preserve"> receipts from royalties, fees, commissions and other revenue;</w:t>
      </w:r>
    </w:p>
    <w:p w:rsidR="00BE0731" w:rsidRDefault="00BE0731">
      <w:pPr>
        <w:pStyle w:val="IASBNormalnparaL1"/>
      </w:pPr>
      <w:r>
        <w:t>(c)</w:t>
      </w:r>
      <w:r>
        <w:tab/>
      </w:r>
      <w:proofErr w:type="gramStart"/>
      <w:r>
        <w:t>cash</w:t>
      </w:r>
      <w:proofErr w:type="gramEnd"/>
      <w:r>
        <w:t xml:space="preserve"> payments to suppliers for goods and services;</w:t>
      </w:r>
    </w:p>
    <w:p w:rsidR="00BE0731" w:rsidRDefault="00BE0731">
      <w:pPr>
        <w:pStyle w:val="IASBNormalnparaL1"/>
      </w:pPr>
      <w:r>
        <w:t>(d)</w:t>
      </w:r>
      <w:r>
        <w:tab/>
      </w:r>
      <w:proofErr w:type="gramStart"/>
      <w:r>
        <w:t>cash</w:t>
      </w:r>
      <w:proofErr w:type="gramEnd"/>
      <w:r>
        <w:t xml:space="preserve"> payments to and on behalf of employees;</w:t>
      </w:r>
    </w:p>
    <w:p w:rsidR="00BE0731" w:rsidRDefault="00BE0731">
      <w:pPr>
        <w:pStyle w:val="IASBNormalnparaL1"/>
      </w:pPr>
      <w:r>
        <w:t>(e)</w:t>
      </w:r>
      <w:r>
        <w:tab/>
      </w:r>
      <w:proofErr w:type="gramStart"/>
      <w:r>
        <w:t>cash</w:t>
      </w:r>
      <w:proofErr w:type="gramEnd"/>
      <w:r>
        <w:t xml:space="preserve"> receipts and cash payments of an insurance entity for premiums and claims, annuities and other policy benefits;</w:t>
      </w:r>
    </w:p>
    <w:p w:rsidR="00BE0731" w:rsidRDefault="00BE0731">
      <w:pPr>
        <w:pStyle w:val="IASBNormalnparaL1"/>
      </w:pPr>
      <w:r>
        <w:lastRenderedPageBreak/>
        <w:t>(f)</w:t>
      </w:r>
      <w:r>
        <w:tab/>
      </w:r>
      <w:proofErr w:type="gramStart"/>
      <w:r>
        <w:t>cash</w:t>
      </w:r>
      <w:proofErr w:type="gramEnd"/>
      <w:r>
        <w:t xml:space="preserve"> payments or refunds of income taxes unless they can be specifically identified with financing and investing activities; and</w:t>
      </w:r>
    </w:p>
    <w:p w:rsidR="00BE0731" w:rsidRDefault="00BE0731">
      <w:pPr>
        <w:pStyle w:val="IASBNormalnparaL1"/>
      </w:pPr>
      <w:r>
        <w:t>(g)</w:t>
      </w:r>
      <w:r>
        <w:tab/>
      </w:r>
      <w:proofErr w:type="gramStart"/>
      <w:r>
        <w:t>cash</w:t>
      </w:r>
      <w:proofErr w:type="gramEnd"/>
      <w:r>
        <w:t xml:space="preserve"> receipts and payments from contracts held for dealing or trading purposes.</w:t>
      </w:r>
    </w:p>
    <w:p w:rsidR="00BE0731" w:rsidRDefault="00BE0731">
      <w:pPr>
        <w:pStyle w:val="IASBNormalnparaP"/>
      </w:pPr>
      <w:r>
        <w:t>Some transactions, such as the sale of an item of plant, may give rise to a gain or loss that is included in recognised profit or loss. The cash flows relating to such transactions are cash flows from investing activities. However, cash payments to manufacture or acquire assets held for rental to others and subsequently held for sale as described in paragraph 68A of</w:t>
      </w:r>
      <w:r w:rsidR="0084632F">
        <w:t xml:space="preserve"> AASB 116</w:t>
      </w:r>
      <w:r>
        <w:t xml:space="preserve"> </w:t>
      </w:r>
      <w:r>
        <w:rPr>
          <w:i/>
        </w:rPr>
        <w:t>Property, Plant and Equipment</w:t>
      </w:r>
      <w:r>
        <w:t xml:space="preserve"> are cash flows from operating activities. The cash receipts from rents and subsequent sales of such assets are also cash flows from operating activities.</w:t>
      </w:r>
    </w:p>
    <w:p w:rsidR="00BE0731" w:rsidRDefault="00BE0731">
      <w:pPr>
        <w:pStyle w:val="IASBNormalnpara"/>
      </w:pPr>
      <w:r>
        <w:t>15</w:t>
      </w:r>
      <w:r>
        <w:tab/>
        <w:t>An entity may hold securities and loans for dealing or trading purposes, in which case they are similar to inventory acquired specifically for resale. Therefore, cash flows arising from the purchase and sale of dealing or trading securities are classified as operating activities. Similarly, cash advances and loans made by financial institutions are usually classified as operating activities since they relate to the main revenue-producing activity of that entity.</w:t>
      </w:r>
    </w:p>
    <w:p w:rsidR="00BE0731" w:rsidRDefault="00BE0731">
      <w:pPr>
        <w:pStyle w:val="IASBSectionTitle2Ind"/>
      </w:pPr>
      <w:r>
        <w:t>Investing activities</w:t>
      </w:r>
    </w:p>
    <w:p w:rsidR="00BE0731" w:rsidRDefault="00BE0731">
      <w:pPr>
        <w:pStyle w:val="IASBNormalnpara"/>
      </w:pPr>
      <w:r>
        <w:t>16</w:t>
      </w:r>
      <w:r>
        <w:tab/>
        <w:t xml:space="preserve">The separate disclosure of cash flows arising from investing activities is important because the cash flows represent the extent to which expenditures have been made for resources intended to generate future income and cash flows. Only expenditures that result in a recognised asset in the statement of financial position are eligible for classification as investing activities. Examples of cash flows arising from investing activities are: </w:t>
      </w:r>
    </w:p>
    <w:p w:rsidR="00BE0731" w:rsidRDefault="00BE0731">
      <w:pPr>
        <w:pStyle w:val="IASBNormalnparaL1"/>
      </w:pPr>
      <w:r>
        <w:t>(a)</w:t>
      </w:r>
      <w:r>
        <w:tab/>
      </w:r>
      <w:proofErr w:type="gramStart"/>
      <w:r>
        <w:t>cash</w:t>
      </w:r>
      <w:proofErr w:type="gramEnd"/>
      <w:r>
        <w:t xml:space="preserve"> payments to acquire property, plant and equipment, intangibles and other long-term assets. These payments include those relating to capitalised development costs and self-constructed property, plant and equipment;</w:t>
      </w:r>
    </w:p>
    <w:p w:rsidR="00BE0731" w:rsidRDefault="00BE0731">
      <w:pPr>
        <w:pStyle w:val="IASBNormalnparaL1"/>
      </w:pPr>
      <w:r>
        <w:t>(b)</w:t>
      </w:r>
      <w:r>
        <w:tab/>
      </w:r>
      <w:proofErr w:type="gramStart"/>
      <w:r>
        <w:t>cash</w:t>
      </w:r>
      <w:proofErr w:type="gramEnd"/>
      <w:r>
        <w:t xml:space="preserve"> receipts from sales of property, plant and equipment, intangibles and other long-term assets;</w:t>
      </w:r>
    </w:p>
    <w:p w:rsidR="00BE0731" w:rsidRDefault="00BE0731">
      <w:pPr>
        <w:pStyle w:val="IASBNormalnparaL1"/>
      </w:pPr>
      <w:r>
        <w:t>(c)</w:t>
      </w:r>
      <w:r>
        <w:tab/>
        <w:t>cash payments to acquire equity or debt instruments of other entities and interests in joint ventures (other than payments for those instruments considered to be cash equivalents or those held for dealing or trading purposes);</w:t>
      </w:r>
    </w:p>
    <w:p w:rsidR="00BE0731" w:rsidRDefault="00BE0731">
      <w:pPr>
        <w:pStyle w:val="IASBNormalnparaL1"/>
      </w:pPr>
      <w:r>
        <w:t>(d)</w:t>
      </w:r>
      <w:r>
        <w:tab/>
        <w:t>cash receipts from sales of equity or debt instruments of other entities and interests in joint ventures (other than receipts for those instruments considered to be cash equivalents and those held for dealing or trading purposes);</w:t>
      </w:r>
    </w:p>
    <w:p w:rsidR="00BE0731" w:rsidRDefault="00BE0731">
      <w:pPr>
        <w:pStyle w:val="IASBNormalnparaL1"/>
      </w:pPr>
      <w:r>
        <w:t>(e)</w:t>
      </w:r>
      <w:r>
        <w:tab/>
      </w:r>
      <w:proofErr w:type="gramStart"/>
      <w:r>
        <w:t>cash</w:t>
      </w:r>
      <w:proofErr w:type="gramEnd"/>
      <w:r>
        <w:t xml:space="preserve"> advances and loans made to other parties (other than advances and loans made by a financial institution);</w:t>
      </w:r>
    </w:p>
    <w:p w:rsidR="00BE0731" w:rsidRDefault="00BE0731">
      <w:pPr>
        <w:pStyle w:val="IASBNormalnparaL1"/>
      </w:pPr>
      <w:r>
        <w:t>(f)</w:t>
      </w:r>
      <w:r>
        <w:tab/>
      </w:r>
      <w:proofErr w:type="gramStart"/>
      <w:r>
        <w:t>cash</w:t>
      </w:r>
      <w:proofErr w:type="gramEnd"/>
      <w:r>
        <w:t xml:space="preserve"> receipts from the repayment of advances and loans made to other parties (other than advances and loans of a financial institution);</w:t>
      </w:r>
    </w:p>
    <w:p w:rsidR="00BE0731" w:rsidRDefault="00BE0731">
      <w:pPr>
        <w:pStyle w:val="IASBNormalnparaL1"/>
      </w:pPr>
      <w:r>
        <w:t>(g)</w:t>
      </w:r>
      <w:r>
        <w:tab/>
        <w:t>cash payments for futures contracts, forward contracts, option contracts and swap contracts except when the contracts are held for dealing or trading purposes, or the payments are classified as financing activities; and</w:t>
      </w:r>
    </w:p>
    <w:p w:rsidR="00BE0731" w:rsidRDefault="00BE0731">
      <w:pPr>
        <w:pStyle w:val="IASBNormalnparaL1"/>
      </w:pPr>
      <w:r>
        <w:t>(h)</w:t>
      </w:r>
      <w:r>
        <w:tab/>
      </w:r>
      <w:proofErr w:type="gramStart"/>
      <w:r>
        <w:t>cash</w:t>
      </w:r>
      <w:proofErr w:type="gramEnd"/>
      <w:r>
        <w:t xml:space="preserve"> receipts from futures contracts, forward contracts, option contracts and swap contracts except when the contracts are held for dealing or trading purposes, or the receipts are classified as financing activities.</w:t>
      </w:r>
    </w:p>
    <w:p w:rsidR="00BE0731" w:rsidRDefault="00BE0731">
      <w:pPr>
        <w:pStyle w:val="IASBNormalnparaP"/>
      </w:pPr>
      <w:r>
        <w:t>When a contract is accounted for as a hedge of an identifiable position the cash flows of the contract are classified in the same manner as the cash flows of the position being hedged.</w:t>
      </w:r>
    </w:p>
    <w:p w:rsidR="00BE0731" w:rsidRDefault="00BE0731">
      <w:pPr>
        <w:pStyle w:val="IASBSectionTitle2Ind"/>
      </w:pPr>
      <w:r>
        <w:t>Financing activities</w:t>
      </w:r>
    </w:p>
    <w:p w:rsidR="00BE0731" w:rsidRDefault="00BE0731">
      <w:pPr>
        <w:pStyle w:val="IASBNormalnpara"/>
      </w:pPr>
      <w:r>
        <w:t>17</w:t>
      </w:r>
      <w:r>
        <w:tab/>
        <w:t xml:space="preserve">The separate disclosure of cash flows arising from financing activities is important because it is useful in predicting claims on future cash flows by providers of capital to the entity. Examples of cash flows arising from financing activities are: </w:t>
      </w:r>
    </w:p>
    <w:p w:rsidR="00BE0731" w:rsidRDefault="00BE0731">
      <w:pPr>
        <w:pStyle w:val="IASBNormalnparaL1"/>
      </w:pPr>
      <w:r>
        <w:t>(a)</w:t>
      </w:r>
      <w:r>
        <w:tab/>
      </w:r>
      <w:proofErr w:type="gramStart"/>
      <w:r>
        <w:t>cash</w:t>
      </w:r>
      <w:proofErr w:type="gramEnd"/>
      <w:r>
        <w:t xml:space="preserve"> proceeds from issuing shares or other equity instruments;</w:t>
      </w:r>
    </w:p>
    <w:p w:rsidR="00BE0731" w:rsidRDefault="00BE0731">
      <w:pPr>
        <w:pStyle w:val="IASBNormalnparaL1"/>
      </w:pPr>
      <w:r>
        <w:t>(b)</w:t>
      </w:r>
      <w:r>
        <w:tab/>
      </w:r>
      <w:proofErr w:type="gramStart"/>
      <w:r>
        <w:t>cash</w:t>
      </w:r>
      <w:proofErr w:type="gramEnd"/>
      <w:r>
        <w:t xml:space="preserve"> payments to owners to acquire or redeem the entity’s shares;</w:t>
      </w:r>
    </w:p>
    <w:p w:rsidR="00BE0731" w:rsidRDefault="00BE0731">
      <w:pPr>
        <w:pStyle w:val="IASBNormalnparaL1"/>
      </w:pPr>
      <w:r>
        <w:t>(c)</w:t>
      </w:r>
      <w:r>
        <w:tab/>
      </w:r>
      <w:proofErr w:type="gramStart"/>
      <w:r>
        <w:t>cash</w:t>
      </w:r>
      <w:proofErr w:type="gramEnd"/>
      <w:r>
        <w:t xml:space="preserve"> proceeds from issuing debentures, loans, notes, bonds, mortgages and other short-term or long-term borrowings;</w:t>
      </w:r>
    </w:p>
    <w:p w:rsidR="00BE0731" w:rsidRDefault="00BE0731">
      <w:pPr>
        <w:pStyle w:val="IASBNormalnparaL1"/>
      </w:pPr>
      <w:r>
        <w:t>(d)</w:t>
      </w:r>
      <w:r>
        <w:tab/>
      </w:r>
      <w:proofErr w:type="gramStart"/>
      <w:r>
        <w:t>cash</w:t>
      </w:r>
      <w:proofErr w:type="gramEnd"/>
      <w:r>
        <w:t xml:space="preserve"> repayments of amounts borrowed; and</w:t>
      </w:r>
    </w:p>
    <w:p w:rsidR="00BE0731" w:rsidRDefault="00BE0731">
      <w:pPr>
        <w:pStyle w:val="IASBNormalnparaL1"/>
      </w:pPr>
      <w:r>
        <w:lastRenderedPageBreak/>
        <w:t>(e)</w:t>
      </w:r>
      <w:r>
        <w:tab/>
      </w:r>
      <w:proofErr w:type="gramStart"/>
      <w:r>
        <w:t>cash</w:t>
      </w:r>
      <w:proofErr w:type="gramEnd"/>
      <w:r>
        <w:t xml:space="preserve"> payments by a lessee for the reduction of the outstanding liability relating to a finance lease.</w:t>
      </w:r>
    </w:p>
    <w:p w:rsidR="00BE0731" w:rsidRDefault="00BE0731">
      <w:pPr>
        <w:pStyle w:val="IASBSectionTitle1NonInd"/>
      </w:pPr>
      <w:r>
        <w:t>Reporting cash flows from operating activities</w:t>
      </w:r>
    </w:p>
    <w:p w:rsidR="00BE0731" w:rsidRDefault="00BE0731">
      <w:pPr>
        <w:pStyle w:val="IASBNormalnpara"/>
        <w:rPr>
          <w:b/>
        </w:rPr>
      </w:pPr>
      <w:r>
        <w:rPr>
          <w:b/>
        </w:rPr>
        <w:t>18</w:t>
      </w:r>
      <w:r>
        <w:rPr>
          <w:b/>
        </w:rPr>
        <w:tab/>
        <w:t xml:space="preserve">An entity shall report cash flows from operating activities using either: </w:t>
      </w:r>
    </w:p>
    <w:p w:rsidR="00BE0731" w:rsidRDefault="00BE0731">
      <w:pPr>
        <w:pStyle w:val="IASBNormalnparaL1"/>
      </w:pPr>
      <w:r>
        <w:rPr>
          <w:b/>
        </w:rPr>
        <w:t>(a)</w:t>
      </w:r>
      <w:r>
        <w:tab/>
      </w:r>
      <w:proofErr w:type="gramStart"/>
      <w:r>
        <w:rPr>
          <w:b/>
        </w:rPr>
        <w:t>the</w:t>
      </w:r>
      <w:proofErr w:type="gramEnd"/>
      <w:r>
        <w:rPr>
          <w:b/>
        </w:rPr>
        <w:t xml:space="preserve"> direct method, whereby major classes of gross cash receipts and gross cash payments are disclosed; or</w:t>
      </w:r>
    </w:p>
    <w:p w:rsidR="00BE0731" w:rsidRDefault="00BE0731">
      <w:pPr>
        <w:pStyle w:val="IASBNormalnparaL1"/>
      </w:pPr>
      <w:r>
        <w:rPr>
          <w:b/>
        </w:rPr>
        <w:t>(b)</w:t>
      </w:r>
      <w:r>
        <w:tab/>
      </w:r>
      <w:r>
        <w:rPr>
          <w:b/>
        </w:rPr>
        <w:t>the indirect method, whereby profit or loss is adjusted for the effects of transactions of a non-cash nature, any deferrals or accruals of past or future operating cash receipts or payments, and items of income or expense associated with investing or financing cash flows.</w:t>
      </w:r>
    </w:p>
    <w:p w:rsidR="00BE0731" w:rsidRDefault="00BE0731">
      <w:pPr>
        <w:pStyle w:val="IASBNormalnpara"/>
      </w:pPr>
      <w:r>
        <w:t>19</w:t>
      </w:r>
      <w:r>
        <w:tab/>
        <w:t xml:space="preserve">Entities are encouraged to report cash flows from operating activities using the direct method. The direct method provides information which may be useful in estimating future cash flows and which is not available under the indirect method. Under the direct method, information about major classes of gross cash receipts and gross cash payments may be obtained either: </w:t>
      </w:r>
    </w:p>
    <w:p w:rsidR="00BE0731" w:rsidRDefault="00BE0731">
      <w:pPr>
        <w:pStyle w:val="IASBNormalnparaL1"/>
      </w:pPr>
      <w:r>
        <w:t>(a)</w:t>
      </w:r>
      <w:r>
        <w:tab/>
      </w:r>
      <w:proofErr w:type="gramStart"/>
      <w:r>
        <w:t>from</w:t>
      </w:r>
      <w:proofErr w:type="gramEnd"/>
      <w:r>
        <w:t xml:space="preserve"> the accounting records of the entity; or</w:t>
      </w:r>
    </w:p>
    <w:p w:rsidR="00BE0731" w:rsidRDefault="00BE0731">
      <w:pPr>
        <w:pStyle w:val="IASBNormalnparaL1"/>
      </w:pPr>
      <w:r>
        <w:t>(b)</w:t>
      </w:r>
      <w:r>
        <w:tab/>
      </w:r>
      <w:proofErr w:type="gramStart"/>
      <w:r>
        <w:t>by</w:t>
      </w:r>
      <w:proofErr w:type="gramEnd"/>
      <w:r>
        <w:t xml:space="preserve"> adjusting sales, cost of sales (interest and similar income and interest expense and similar charges for a financial institution) and other items in the statement of comprehensive income for:</w:t>
      </w:r>
    </w:p>
    <w:p w:rsidR="00BE0731" w:rsidRDefault="00BE0731">
      <w:pPr>
        <w:pStyle w:val="IASBNormalnparaL2"/>
      </w:pPr>
      <w:r>
        <w:t>(</w:t>
      </w:r>
      <w:proofErr w:type="spellStart"/>
      <w:proofErr w:type="gramStart"/>
      <w:r>
        <w:t>i</w:t>
      </w:r>
      <w:proofErr w:type="spellEnd"/>
      <w:proofErr w:type="gramEnd"/>
      <w:r>
        <w:t>)</w:t>
      </w:r>
      <w:r>
        <w:tab/>
        <w:t>changes during the period in inventories and operating receivables and payables;</w:t>
      </w:r>
    </w:p>
    <w:p w:rsidR="00BE0731" w:rsidRDefault="00BE0731">
      <w:pPr>
        <w:pStyle w:val="IASBNormalnparaL2"/>
      </w:pPr>
      <w:r>
        <w:t>(ii)</w:t>
      </w:r>
      <w:r>
        <w:tab/>
      </w:r>
      <w:proofErr w:type="gramStart"/>
      <w:r>
        <w:t>other</w:t>
      </w:r>
      <w:proofErr w:type="gramEnd"/>
      <w:r>
        <w:t xml:space="preserve"> non-cash items; and</w:t>
      </w:r>
    </w:p>
    <w:p w:rsidR="00BE0731" w:rsidRDefault="00BE0731">
      <w:pPr>
        <w:pStyle w:val="IASBNormalnparaL2"/>
      </w:pPr>
      <w:r>
        <w:t>(iii)</w:t>
      </w:r>
      <w:r>
        <w:tab/>
      </w:r>
      <w:proofErr w:type="gramStart"/>
      <w:r>
        <w:t>other</w:t>
      </w:r>
      <w:proofErr w:type="gramEnd"/>
      <w:r>
        <w:t xml:space="preserve"> items for which the cash effects are investing or financing cash flows.</w:t>
      </w:r>
    </w:p>
    <w:p w:rsidR="00BE0731" w:rsidRDefault="00BE0731">
      <w:pPr>
        <w:pStyle w:val="IASBNormalnpara"/>
      </w:pPr>
      <w:r>
        <w:t>20</w:t>
      </w:r>
      <w:r>
        <w:tab/>
        <w:t xml:space="preserve">Under the indirect method, the net cash flow from operating activities is determined by adjusting profit or loss for the effects of: </w:t>
      </w:r>
    </w:p>
    <w:p w:rsidR="00BE0731" w:rsidRDefault="00BE0731">
      <w:pPr>
        <w:pStyle w:val="IASBNormalnparaL1"/>
      </w:pPr>
      <w:r>
        <w:t>(a)</w:t>
      </w:r>
      <w:r>
        <w:tab/>
      </w:r>
      <w:proofErr w:type="gramStart"/>
      <w:r>
        <w:t>changes</w:t>
      </w:r>
      <w:proofErr w:type="gramEnd"/>
      <w:r>
        <w:t xml:space="preserve"> during the period in inventories and operating receivables and payables;</w:t>
      </w:r>
    </w:p>
    <w:p w:rsidR="00BE0731" w:rsidRDefault="00BE0731">
      <w:pPr>
        <w:pStyle w:val="IASBNormalnparaL1"/>
      </w:pPr>
      <w:r>
        <w:t>(b)</w:t>
      </w:r>
      <w:r>
        <w:tab/>
      </w:r>
      <w:proofErr w:type="gramStart"/>
      <w:r>
        <w:t>non-cash</w:t>
      </w:r>
      <w:proofErr w:type="gramEnd"/>
      <w:r>
        <w:t xml:space="preserve"> items such as depreciation, provisions, deferred taxes, unrealised foreign currency gains and losses, and undistributed profits of associates; and</w:t>
      </w:r>
    </w:p>
    <w:p w:rsidR="00BE0731" w:rsidRDefault="00BE0731">
      <w:pPr>
        <w:pStyle w:val="IASBNormalnparaL1"/>
      </w:pPr>
      <w:r>
        <w:t>(c)</w:t>
      </w:r>
      <w:r>
        <w:tab/>
      </w:r>
      <w:proofErr w:type="gramStart"/>
      <w:r>
        <w:t>all</w:t>
      </w:r>
      <w:proofErr w:type="gramEnd"/>
      <w:r>
        <w:t xml:space="preserve"> other items for which the cash effects are investing or financing cash flows.</w:t>
      </w:r>
    </w:p>
    <w:p w:rsidR="00BE0731" w:rsidRDefault="00BE0731">
      <w:pPr>
        <w:pStyle w:val="IASBNormalnparaP"/>
      </w:pPr>
      <w:r>
        <w:t>Alternatively, the net cash flow from operating activities may be presented under the indirect method by showing the revenues and expenses disclosed in the statement of comprehensive income and the changes during the period in inventories and operating receivables and payables.</w:t>
      </w:r>
    </w:p>
    <w:p w:rsidR="00E23D69" w:rsidRDefault="00E23D69" w:rsidP="00E23D69">
      <w:pPr>
        <w:pStyle w:val="AusPlainRDR"/>
        <w:shd w:val="clear" w:color="auto" w:fill="auto"/>
      </w:pPr>
      <w:r>
        <w:t>Aus20.1</w:t>
      </w:r>
      <w:r>
        <w:tab/>
        <w:t>[Deleted by the AASB]</w:t>
      </w:r>
    </w:p>
    <w:p w:rsidR="00B31D03" w:rsidRDefault="00B31D03" w:rsidP="00B31D03">
      <w:pPr>
        <w:pStyle w:val="AusPlainRDR"/>
      </w:pPr>
      <w:r>
        <w:t>Aus20.2</w:t>
      </w:r>
      <w:r>
        <w:tab/>
        <w:t>Not-for-profit entities that use the direct method and that highlight the net cost of services in their statement of comprehensive income for the reporting period shall disclose in the complete set of financial statements a reconciliation of cash flows arising from operating activities to net cost of services as reported in the statement of comprehensive income.</w:t>
      </w:r>
    </w:p>
    <w:p w:rsidR="00BE0731" w:rsidRDefault="00BE0731">
      <w:pPr>
        <w:pStyle w:val="IASBSectionTitle1NonInd"/>
      </w:pPr>
      <w:r>
        <w:t>Reporting cash flows from investing and financing activities</w:t>
      </w:r>
    </w:p>
    <w:p w:rsidR="00BE0731" w:rsidRDefault="00BE0731">
      <w:pPr>
        <w:pStyle w:val="IASBNormalnpara"/>
        <w:rPr>
          <w:b/>
        </w:rPr>
      </w:pPr>
      <w:r>
        <w:rPr>
          <w:b/>
        </w:rPr>
        <w:t>21</w:t>
      </w:r>
      <w:r>
        <w:rPr>
          <w:b/>
        </w:rPr>
        <w:tab/>
        <w:t>An entity shall report separately major classes of gross cash receipts and gross cash payments arising from investing and financing activities, except to the extent that cash flows described in paragraphs 22 and 24 are reported on a net basis.</w:t>
      </w:r>
    </w:p>
    <w:p w:rsidR="00BE0731" w:rsidRDefault="00BE0731">
      <w:pPr>
        <w:pStyle w:val="IASBSectionTitle1NonInd"/>
      </w:pPr>
      <w:r>
        <w:t>Reporting cash flows on a net basis</w:t>
      </w:r>
    </w:p>
    <w:p w:rsidR="00BE0731" w:rsidRDefault="00BE0731">
      <w:pPr>
        <w:pStyle w:val="IASBNormalnpara"/>
        <w:rPr>
          <w:b/>
        </w:rPr>
      </w:pPr>
      <w:r>
        <w:rPr>
          <w:b/>
        </w:rPr>
        <w:t>22</w:t>
      </w:r>
      <w:r>
        <w:rPr>
          <w:b/>
        </w:rPr>
        <w:tab/>
        <w:t xml:space="preserve">Cash flows arising from the following operating, investing or financing activities may be reported on a net basis: </w:t>
      </w:r>
    </w:p>
    <w:p w:rsidR="00BE0731" w:rsidRDefault="00BE0731">
      <w:pPr>
        <w:pStyle w:val="IASBNormalnparaL1"/>
      </w:pPr>
      <w:r>
        <w:rPr>
          <w:b/>
        </w:rPr>
        <w:t>(a)</w:t>
      </w:r>
      <w:r>
        <w:tab/>
      </w:r>
      <w:proofErr w:type="gramStart"/>
      <w:r>
        <w:rPr>
          <w:b/>
        </w:rPr>
        <w:t>cash</w:t>
      </w:r>
      <w:proofErr w:type="gramEnd"/>
      <w:r>
        <w:rPr>
          <w:b/>
        </w:rPr>
        <w:t xml:space="preserve"> receipts and payments on behalf of customers when the cash flows reflect the activities of the customer rather than those of the entity; and</w:t>
      </w:r>
    </w:p>
    <w:p w:rsidR="00BE0731" w:rsidRDefault="00BE0731">
      <w:pPr>
        <w:pStyle w:val="IASBNormalnparaL1"/>
      </w:pPr>
      <w:r>
        <w:rPr>
          <w:b/>
        </w:rPr>
        <w:t>(b)</w:t>
      </w:r>
      <w:r>
        <w:tab/>
      </w:r>
      <w:proofErr w:type="gramStart"/>
      <w:r>
        <w:rPr>
          <w:b/>
        </w:rPr>
        <w:t>cash</w:t>
      </w:r>
      <w:proofErr w:type="gramEnd"/>
      <w:r>
        <w:rPr>
          <w:b/>
        </w:rPr>
        <w:t xml:space="preserve"> receipts and payments for items in which the turnover is quick, the amounts are large, and the maturities are short.</w:t>
      </w:r>
    </w:p>
    <w:p w:rsidR="00BE0731" w:rsidRDefault="00BE0731">
      <w:pPr>
        <w:pStyle w:val="IASBNormalnpara"/>
      </w:pPr>
      <w:r>
        <w:t>23</w:t>
      </w:r>
      <w:r>
        <w:tab/>
        <w:t xml:space="preserve">Examples of cash receipts and payments referred to in paragraph 22(a) are: </w:t>
      </w:r>
    </w:p>
    <w:p w:rsidR="00BE0731" w:rsidRDefault="00BE0731">
      <w:pPr>
        <w:pStyle w:val="IASBNormalnparaL1"/>
      </w:pPr>
      <w:r>
        <w:t>(a)</w:t>
      </w:r>
      <w:r>
        <w:tab/>
      </w:r>
      <w:proofErr w:type="gramStart"/>
      <w:r>
        <w:t>the</w:t>
      </w:r>
      <w:proofErr w:type="gramEnd"/>
      <w:r>
        <w:t xml:space="preserve"> acceptance and repayment of demand deposits of a bank;</w:t>
      </w:r>
    </w:p>
    <w:p w:rsidR="00BE0731" w:rsidRDefault="00BE0731">
      <w:pPr>
        <w:pStyle w:val="IASBNormalnparaL1"/>
      </w:pPr>
      <w:r>
        <w:lastRenderedPageBreak/>
        <w:t>(b)</w:t>
      </w:r>
      <w:r>
        <w:tab/>
      </w:r>
      <w:proofErr w:type="gramStart"/>
      <w:r>
        <w:t>funds</w:t>
      </w:r>
      <w:proofErr w:type="gramEnd"/>
      <w:r>
        <w:t xml:space="preserve"> held for customers by an investment entity; and</w:t>
      </w:r>
    </w:p>
    <w:p w:rsidR="00BE0731" w:rsidRDefault="00BE0731">
      <w:pPr>
        <w:pStyle w:val="IASBNormalnparaL1"/>
      </w:pPr>
      <w:r>
        <w:t>(c)</w:t>
      </w:r>
      <w:r>
        <w:tab/>
      </w:r>
      <w:proofErr w:type="gramStart"/>
      <w:r>
        <w:t>rents</w:t>
      </w:r>
      <w:proofErr w:type="gramEnd"/>
      <w:r>
        <w:t xml:space="preserve"> collected on behalf of, and paid over to, the owners of properties.</w:t>
      </w:r>
    </w:p>
    <w:p w:rsidR="00BE0731" w:rsidRDefault="00BE0731">
      <w:pPr>
        <w:pStyle w:val="IASBNormalnpara"/>
      </w:pPr>
      <w:r>
        <w:t>23A</w:t>
      </w:r>
      <w:r>
        <w:tab/>
        <w:t>Examples of cash receipts and payments referred to in paragraph 22(b) are advances made for, and the repayment of:</w:t>
      </w:r>
    </w:p>
    <w:p w:rsidR="00BE0731" w:rsidRDefault="00BE0731">
      <w:pPr>
        <w:pStyle w:val="IASBNormalnparaL1"/>
      </w:pPr>
      <w:r>
        <w:t>(a)</w:t>
      </w:r>
      <w:r>
        <w:tab/>
      </w:r>
      <w:proofErr w:type="gramStart"/>
      <w:r>
        <w:t>principal</w:t>
      </w:r>
      <w:proofErr w:type="gramEnd"/>
      <w:r>
        <w:t xml:space="preserve"> amounts relating to credit card customers;</w:t>
      </w:r>
    </w:p>
    <w:p w:rsidR="00BE0731" w:rsidRDefault="00BE0731">
      <w:pPr>
        <w:pStyle w:val="IASBNormalnparaL1"/>
      </w:pPr>
      <w:r>
        <w:t>(b)</w:t>
      </w:r>
      <w:r>
        <w:tab/>
      </w:r>
      <w:proofErr w:type="gramStart"/>
      <w:r>
        <w:t>the</w:t>
      </w:r>
      <w:proofErr w:type="gramEnd"/>
      <w:r>
        <w:t xml:space="preserve"> purchase and sale of investments; and</w:t>
      </w:r>
    </w:p>
    <w:p w:rsidR="00BE0731" w:rsidRDefault="00BE0731">
      <w:pPr>
        <w:pStyle w:val="IASBNormalnparaL1"/>
      </w:pPr>
      <w:r>
        <w:t>(c)</w:t>
      </w:r>
      <w:r>
        <w:tab/>
      </w:r>
      <w:proofErr w:type="gramStart"/>
      <w:r>
        <w:t>other</w:t>
      </w:r>
      <w:proofErr w:type="gramEnd"/>
      <w:r>
        <w:t xml:space="preserve"> short-term borrowings, for example, those which have a maturity period of three months or less.</w:t>
      </w:r>
    </w:p>
    <w:p w:rsidR="00BE0731" w:rsidRDefault="00BE0731">
      <w:pPr>
        <w:pStyle w:val="IASBNormalnpara"/>
        <w:rPr>
          <w:b/>
        </w:rPr>
      </w:pPr>
      <w:r>
        <w:rPr>
          <w:b/>
        </w:rPr>
        <w:t>24</w:t>
      </w:r>
      <w:r>
        <w:rPr>
          <w:b/>
        </w:rPr>
        <w:tab/>
        <w:t>Cash flows arising from each of the following activities of a financial institution may be reported on a net basis:</w:t>
      </w:r>
    </w:p>
    <w:p w:rsidR="00BE0731" w:rsidRDefault="00BE0731">
      <w:pPr>
        <w:pStyle w:val="IASBNormalnparaL1"/>
      </w:pPr>
      <w:r>
        <w:rPr>
          <w:b/>
        </w:rPr>
        <w:t>(a)</w:t>
      </w:r>
      <w:r>
        <w:tab/>
      </w:r>
      <w:proofErr w:type="gramStart"/>
      <w:r>
        <w:rPr>
          <w:b/>
        </w:rPr>
        <w:t>cash</w:t>
      </w:r>
      <w:proofErr w:type="gramEnd"/>
      <w:r>
        <w:rPr>
          <w:b/>
        </w:rPr>
        <w:t xml:space="preserve"> receipts and payments for the acceptance and repayment of deposits with a fixed maturity date;</w:t>
      </w:r>
    </w:p>
    <w:p w:rsidR="00BE0731" w:rsidRDefault="00BE0731">
      <w:pPr>
        <w:pStyle w:val="IASBNormalnparaL1"/>
      </w:pPr>
      <w:r>
        <w:rPr>
          <w:b/>
        </w:rPr>
        <w:t>(b)</w:t>
      </w:r>
      <w:r>
        <w:tab/>
      </w:r>
      <w:proofErr w:type="gramStart"/>
      <w:r>
        <w:rPr>
          <w:b/>
        </w:rPr>
        <w:t>the</w:t>
      </w:r>
      <w:proofErr w:type="gramEnd"/>
      <w:r>
        <w:rPr>
          <w:b/>
        </w:rPr>
        <w:t xml:space="preserve"> placement of deposits with and withdrawal of deposits from other financial institutions; and</w:t>
      </w:r>
    </w:p>
    <w:p w:rsidR="00BE0731" w:rsidRDefault="00BE0731">
      <w:pPr>
        <w:pStyle w:val="IASBNormalnparaL1"/>
      </w:pPr>
      <w:r>
        <w:rPr>
          <w:b/>
        </w:rPr>
        <w:t>(c)</w:t>
      </w:r>
      <w:r>
        <w:tab/>
      </w:r>
      <w:proofErr w:type="gramStart"/>
      <w:r>
        <w:rPr>
          <w:b/>
        </w:rPr>
        <w:t>cash</w:t>
      </w:r>
      <w:proofErr w:type="gramEnd"/>
      <w:r>
        <w:rPr>
          <w:b/>
        </w:rPr>
        <w:t xml:space="preserve"> advances and loans made to customers and the repayment of those advances and loans.</w:t>
      </w:r>
    </w:p>
    <w:p w:rsidR="00BE0731" w:rsidRDefault="00BE0731">
      <w:pPr>
        <w:pStyle w:val="IASBSectionTitle1NonInd"/>
      </w:pPr>
      <w:r>
        <w:t>Foreign currency cash flows</w:t>
      </w:r>
    </w:p>
    <w:p w:rsidR="00BE0731" w:rsidRDefault="00BE0731">
      <w:pPr>
        <w:pStyle w:val="IASBNormalnpara"/>
        <w:rPr>
          <w:b/>
        </w:rPr>
      </w:pPr>
      <w:r>
        <w:rPr>
          <w:b/>
        </w:rPr>
        <w:t>25</w:t>
      </w:r>
      <w:r>
        <w:rPr>
          <w:b/>
        </w:rPr>
        <w:tab/>
        <w:t>Cash flows arising from transactions in a foreign currency shall be recorded in an entity’s functional currency by applying to the foreign currency amount the exchange rate between the functional currency and the foreign currency at the date of the cash flow.</w:t>
      </w:r>
    </w:p>
    <w:p w:rsidR="00BE0731" w:rsidRDefault="00BE0731">
      <w:pPr>
        <w:pStyle w:val="IASBNormalnpara"/>
        <w:rPr>
          <w:b/>
        </w:rPr>
      </w:pPr>
      <w:r>
        <w:rPr>
          <w:b/>
        </w:rPr>
        <w:t>26</w:t>
      </w:r>
      <w:r>
        <w:rPr>
          <w:b/>
        </w:rPr>
        <w:tab/>
        <w:t>The cash flows of a foreign subsidiary shall be translated at the exchange rates between the functional currency and the foreign currency at the dates of the cash flows.</w:t>
      </w:r>
    </w:p>
    <w:p w:rsidR="00BE0731" w:rsidRDefault="00BE0731">
      <w:pPr>
        <w:pStyle w:val="IASBNormalnpara"/>
      </w:pPr>
      <w:r>
        <w:t>27</w:t>
      </w:r>
      <w:r>
        <w:tab/>
        <w:t>Cash flows denominated in a foreign currency are reported in a manner consistent with</w:t>
      </w:r>
      <w:r w:rsidR="0084632F">
        <w:t xml:space="preserve"> AASB 121</w:t>
      </w:r>
      <w:r>
        <w:t xml:space="preserve"> </w:t>
      </w:r>
      <w:proofErr w:type="gramStart"/>
      <w:r>
        <w:rPr>
          <w:i/>
        </w:rPr>
        <w:t>The</w:t>
      </w:r>
      <w:proofErr w:type="gramEnd"/>
      <w:r>
        <w:rPr>
          <w:i/>
        </w:rPr>
        <w:t xml:space="preserve"> Effects of Changes in Foreign Exchange Rates</w:t>
      </w:r>
      <w:r>
        <w:t>. This permits the use of an exchange rate that approximates the actual rate. For example, a weighted average exchange rate for a period may be used for recording foreign currency transactions or the translation of the cash flows of a foreign subsidiary. However,</w:t>
      </w:r>
      <w:r w:rsidR="0084632F">
        <w:t xml:space="preserve"> AASB 121</w:t>
      </w:r>
      <w:r>
        <w:t xml:space="preserve"> does not permit use of the exchange rate at the end of the reporting period when translating the cash flows of a foreign subsidiary.</w:t>
      </w:r>
    </w:p>
    <w:p w:rsidR="00BE0731" w:rsidRDefault="00BE0731">
      <w:pPr>
        <w:pStyle w:val="IASBNormalnpara"/>
      </w:pPr>
      <w:r>
        <w:t>28</w:t>
      </w:r>
      <w:r>
        <w:tab/>
        <w:t>Unrealised gains and losses arising from changes in foreign currency exchange rates are not cash flows. However, the effect of exchange rate changes on cash and cash equivalents held or due in a foreign currency is reported in the statement of cash flows in order to reconcile cash and cash equivalents at the beginning and the end of the period. This amount is presented separately from cash flows from operating, investing and financing activities and includes the differences, if any, had those cash flows been reported at end of period exchange rates.</w:t>
      </w:r>
    </w:p>
    <w:p w:rsidR="00BE0731" w:rsidRDefault="00BE0731">
      <w:pPr>
        <w:pStyle w:val="IASBNormalnpara"/>
        <w:rPr>
          <w:b/>
        </w:rPr>
      </w:pPr>
      <w:r w:rsidRPr="00B31D03">
        <w:t>29</w:t>
      </w:r>
      <w:r>
        <w:rPr>
          <w:b/>
        </w:rPr>
        <w:tab/>
      </w:r>
      <w:r>
        <w:t>[Deleted]</w:t>
      </w:r>
    </w:p>
    <w:p w:rsidR="00BE0731" w:rsidRDefault="00BE0731">
      <w:pPr>
        <w:pStyle w:val="IASBNormalnpara"/>
      </w:pPr>
      <w:r>
        <w:t>30</w:t>
      </w:r>
      <w:r>
        <w:tab/>
        <w:t>[Deleted]</w:t>
      </w:r>
    </w:p>
    <w:p w:rsidR="00BE0731" w:rsidRDefault="00BE0731">
      <w:pPr>
        <w:pStyle w:val="IASBSectionTitle1NonInd"/>
      </w:pPr>
      <w:r>
        <w:t>Interest and dividends</w:t>
      </w:r>
    </w:p>
    <w:p w:rsidR="00BE0731" w:rsidRDefault="00BE0731">
      <w:pPr>
        <w:pStyle w:val="IASBNormalnpara"/>
        <w:rPr>
          <w:b/>
        </w:rPr>
      </w:pPr>
      <w:r>
        <w:rPr>
          <w:b/>
        </w:rPr>
        <w:t>31</w:t>
      </w:r>
      <w:r>
        <w:rPr>
          <w:b/>
        </w:rPr>
        <w:tab/>
        <w:t xml:space="preserve">Cash flows from interest and dividends received and paid shall each be disclosed separately. Each shall be classified in a consistent manner from period to period as </w:t>
      </w:r>
      <w:proofErr w:type="gramStart"/>
      <w:r>
        <w:rPr>
          <w:b/>
        </w:rPr>
        <w:t>either operating</w:t>
      </w:r>
      <w:proofErr w:type="gramEnd"/>
      <w:r>
        <w:rPr>
          <w:b/>
        </w:rPr>
        <w:t>, investing or financing activities.</w:t>
      </w:r>
    </w:p>
    <w:p w:rsidR="00BE0731" w:rsidRDefault="00BE0731">
      <w:pPr>
        <w:pStyle w:val="IASBNormalnpara"/>
      </w:pPr>
      <w:r>
        <w:t>32</w:t>
      </w:r>
      <w:r>
        <w:tab/>
        <w:t>The total amount of interest paid during a period is disclosed in the statement of cash flows whether it has been recognised as an expense in profit or loss or capitalised in accordance with</w:t>
      </w:r>
      <w:r w:rsidR="0084632F">
        <w:t xml:space="preserve"> AASB 123</w:t>
      </w:r>
      <w:r>
        <w:t xml:space="preserve"> </w:t>
      </w:r>
      <w:r>
        <w:rPr>
          <w:i/>
        </w:rPr>
        <w:t>Borrowing Costs</w:t>
      </w:r>
      <w:r>
        <w:t>.</w:t>
      </w:r>
    </w:p>
    <w:p w:rsidR="00BE0731" w:rsidRDefault="00BE0731">
      <w:pPr>
        <w:pStyle w:val="IASBNormalnpara"/>
      </w:pPr>
      <w:r>
        <w:t>33</w:t>
      </w:r>
      <w:r>
        <w:tab/>
        <w:t>Interest paid and interest and dividends received are usually classified as operating cash flows for a financial institution. However, there is no consensus on the classification of these cash flows for other entities. Interest paid and interest and dividends received may be classified as operating cash flows because they enter into the determination of profit or loss. Alternatively, interest paid and interest and dividends received may be classified as financing cash flows and investing cash flows respectively, because they are costs of obtaining financial resources or returns on investments.</w:t>
      </w:r>
    </w:p>
    <w:p w:rsidR="00BE0731" w:rsidRDefault="00BE0731">
      <w:pPr>
        <w:pStyle w:val="IASBNormalnpara"/>
      </w:pPr>
      <w:r>
        <w:lastRenderedPageBreak/>
        <w:t>34</w:t>
      </w:r>
      <w:r>
        <w:tab/>
        <w:t>Dividends paid may be classified as a financing cash flow because they are a cost of obtaining financial resources. Alternatively, dividends paid may be classified as a component of cash flows from operating activities in order to assist users to determine the ability of an entity to pay dividends out of operating cash flows.</w:t>
      </w:r>
    </w:p>
    <w:p w:rsidR="00BE0731" w:rsidRDefault="00BE0731">
      <w:pPr>
        <w:pStyle w:val="IASBSectionTitle1NonInd"/>
      </w:pPr>
      <w:r>
        <w:t>Taxes on income</w:t>
      </w:r>
    </w:p>
    <w:p w:rsidR="00BE0731" w:rsidRDefault="00BE0731">
      <w:pPr>
        <w:pStyle w:val="IASBNormalnpara"/>
        <w:rPr>
          <w:b/>
        </w:rPr>
      </w:pPr>
      <w:r>
        <w:rPr>
          <w:b/>
        </w:rPr>
        <w:t>35</w:t>
      </w:r>
      <w:r>
        <w:rPr>
          <w:b/>
        </w:rPr>
        <w:tab/>
        <w:t>Cash flows arising from taxes on income shall be separately disclosed and shall be classified as cash flows from operating activities unless they can be specifically identified with financing and investing activities.</w:t>
      </w:r>
    </w:p>
    <w:p w:rsidR="00BE0731" w:rsidRDefault="00BE0731">
      <w:pPr>
        <w:pStyle w:val="IASBNormalnpara"/>
      </w:pPr>
      <w:r>
        <w:t>36</w:t>
      </w:r>
      <w:r>
        <w:tab/>
        <w:t>Taxes on income arise on transactions that give rise to cash flows that are classified as operating, investing or financing activities in a statement of cash flows. While tax expense may be readily identifiable with investing or financing activities, the related tax cash flows are often impracticable to identify and may arise in a different period from the cash flows of the underlying transaction. Therefore, taxes paid are usually classified as cash flows from operating activities. However, when it is practicable to identify the tax cash flow with an individual transaction that gives rise to cash flows that are classified as investing or financing activities the tax cash flow is classified as an investing or financing activity as appropriate. When tax cash flows are allocated over more than one class of activity, the total amount of taxes paid is disclosed.</w:t>
      </w:r>
    </w:p>
    <w:p w:rsidR="00BE0731" w:rsidRDefault="00BE0731">
      <w:pPr>
        <w:pStyle w:val="IASBSectionTitle1NonInd"/>
      </w:pPr>
      <w:r>
        <w:t>Investments in subsidiaries, associates and joint ventures</w:t>
      </w:r>
    </w:p>
    <w:p w:rsidR="00BE0731" w:rsidRDefault="00BE0731">
      <w:pPr>
        <w:pStyle w:val="IASBNormalnpara"/>
      </w:pPr>
      <w:r>
        <w:t>37</w:t>
      </w:r>
      <w:r>
        <w:tab/>
        <w:t>When accounting for an investment in an associate, a joint venture or a subsidiary accounted for by use of the equity or cost method, an investor restricts its reporting in the statement of cash flows to the cash flows between itself and the investee, for example, to dividends and advances.</w:t>
      </w:r>
    </w:p>
    <w:p w:rsidR="00BE0731" w:rsidRDefault="00BE0731">
      <w:pPr>
        <w:pStyle w:val="IASBNormalnpara"/>
      </w:pPr>
      <w:r>
        <w:t>38</w:t>
      </w:r>
      <w:r>
        <w:tab/>
        <w:t>An entity that reports its interest in an associate or a joint venture using the equity method includes in its statement of cash flows the cash flows in respect of its investments in the associate or joint venture, and distributions and other payments or receipts between it and the associate or joint venture.</w:t>
      </w:r>
    </w:p>
    <w:p w:rsidR="00BE0731" w:rsidRDefault="00BE0731">
      <w:pPr>
        <w:pStyle w:val="IASBSectionTitle1NonInd"/>
      </w:pPr>
      <w:r>
        <w:t>Changes in ownership interests in subsidiaries and other businesses</w:t>
      </w:r>
    </w:p>
    <w:p w:rsidR="00BE0731" w:rsidRDefault="00BE0731">
      <w:pPr>
        <w:pStyle w:val="IASBNormalnpara"/>
        <w:rPr>
          <w:b/>
        </w:rPr>
      </w:pPr>
      <w:r>
        <w:rPr>
          <w:b/>
        </w:rPr>
        <w:t>39</w:t>
      </w:r>
      <w:r>
        <w:rPr>
          <w:b/>
        </w:rPr>
        <w:tab/>
        <w:t>The aggregate cash flows arising from obtaining or losing control of subsidiaries or other businesses shall be presented separately and classified as investing activities.</w:t>
      </w:r>
    </w:p>
    <w:p w:rsidR="00BE0731" w:rsidRPr="00AF3614" w:rsidRDefault="00BE0731" w:rsidP="00AF3614">
      <w:pPr>
        <w:pStyle w:val="RDRM1"/>
        <w:rPr>
          <w:b/>
        </w:rPr>
      </w:pPr>
      <w:r w:rsidRPr="00AF3614">
        <w:rPr>
          <w:b/>
        </w:rPr>
        <w:t>40</w:t>
      </w:r>
      <w:r w:rsidRPr="00AF3614">
        <w:rPr>
          <w:b/>
        </w:rPr>
        <w:tab/>
        <w:t xml:space="preserve">An entity shall disclose, in aggregate, in respect of </w:t>
      </w:r>
      <w:proofErr w:type="gramStart"/>
      <w:r w:rsidRPr="00AF3614">
        <w:rPr>
          <w:b/>
        </w:rPr>
        <w:t>both obtaining and losing control of subsidiaries or</w:t>
      </w:r>
      <w:proofErr w:type="gramEnd"/>
      <w:r w:rsidRPr="00AF3614">
        <w:rPr>
          <w:b/>
        </w:rPr>
        <w:t xml:space="preserve"> other businesses during the period each of the following: </w:t>
      </w:r>
    </w:p>
    <w:p w:rsidR="00BE0731" w:rsidRPr="00AF3614" w:rsidRDefault="00AF3614" w:rsidP="00AF3614">
      <w:pPr>
        <w:pStyle w:val="RDRM2"/>
        <w:rPr>
          <w:b/>
        </w:rPr>
      </w:pPr>
      <w:r>
        <w:rPr>
          <w:b/>
        </w:rPr>
        <w:tab/>
      </w:r>
      <w:r w:rsidR="00BE0731" w:rsidRPr="00AF3614">
        <w:rPr>
          <w:b/>
        </w:rPr>
        <w:t>(a)</w:t>
      </w:r>
      <w:r w:rsidR="00BE0731" w:rsidRPr="00AF3614">
        <w:rPr>
          <w:b/>
        </w:rPr>
        <w:tab/>
      </w:r>
      <w:proofErr w:type="gramStart"/>
      <w:r w:rsidR="00BE0731" w:rsidRPr="00AF3614">
        <w:rPr>
          <w:b/>
        </w:rPr>
        <w:t>the</w:t>
      </w:r>
      <w:proofErr w:type="gramEnd"/>
      <w:r w:rsidR="00BE0731" w:rsidRPr="00AF3614">
        <w:rPr>
          <w:b/>
        </w:rPr>
        <w:t xml:space="preserve"> total consideration paid or received;</w:t>
      </w:r>
    </w:p>
    <w:p w:rsidR="00BE0731" w:rsidRPr="00AF3614" w:rsidRDefault="00AF3614" w:rsidP="00AF3614">
      <w:pPr>
        <w:pStyle w:val="RDRM2"/>
        <w:rPr>
          <w:b/>
        </w:rPr>
      </w:pPr>
      <w:r>
        <w:rPr>
          <w:b/>
        </w:rPr>
        <w:tab/>
      </w:r>
      <w:r w:rsidR="00BE0731" w:rsidRPr="00AF3614">
        <w:rPr>
          <w:b/>
        </w:rPr>
        <w:t>(b)</w:t>
      </w:r>
      <w:r w:rsidR="00BE0731" w:rsidRPr="00AF3614">
        <w:rPr>
          <w:b/>
        </w:rPr>
        <w:tab/>
      </w:r>
      <w:proofErr w:type="gramStart"/>
      <w:r w:rsidR="00BE0731" w:rsidRPr="00AF3614">
        <w:rPr>
          <w:b/>
        </w:rPr>
        <w:t>the</w:t>
      </w:r>
      <w:proofErr w:type="gramEnd"/>
      <w:r w:rsidR="00BE0731" w:rsidRPr="00AF3614">
        <w:rPr>
          <w:b/>
        </w:rPr>
        <w:t xml:space="preserve"> portion of the consideration consisting of cash and cash equivalents;</w:t>
      </w:r>
    </w:p>
    <w:p w:rsidR="00BE0731" w:rsidRPr="00AF3614" w:rsidRDefault="00AF3614" w:rsidP="00AF3614">
      <w:pPr>
        <w:pStyle w:val="RDRM2"/>
        <w:rPr>
          <w:b/>
        </w:rPr>
      </w:pPr>
      <w:r>
        <w:rPr>
          <w:b/>
        </w:rPr>
        <w:tab/>
      </w:r>
      <w:r w:rsidR="00BE0731" w:rsidRPr="00AF3614">
        <w:rPr>
          <w:b/>
        </w:rPr>
        <w:t>(c)</w:t>
      </w:r>
      <w:r w:rsidR="00BE0731" w:rsidRPr="00AF3614">
        <w:rPr>
          <w:b/>
        </w:rPr>
        <w:tab/>
      </w:r>
      <w:proofErr w:type="gramStart"/>
      <w:r w:rsidR="00BE0731" w:rsidRPr="00AF3614">
        <w:rPr>
          <w:b/>
        </w:rPr>
        <w:t>the</w:t>
      </w:r>
      <w:proofErr w:type="gramEnd"/>
      <w:r w:rsidR="00BE0731" w:rsidRPr="00AF3614">
        <w:rPr>
          <w:b/>
        </w:rPr>
        <w:t xml:space="preserve"> amount of cash and cash equivalents in the subsidiaries or other businesses over which control is obtained or lost; and</w:t>
      </w:r>
    </w:p>
    <w:p w:rsidR="00BE0731" w:rsidRPr="00AF3614" w:rsidRDefault="00AF3614" w:rsidP="00AF3614">
      <w:pPr>
        <w:pStyle w:val="RDRM2"/>
        <w:rPr>
          <w:b/>
        </w:rPr>
      </w:pPr>
      <w:r>
        <w:rPr>
          <w:b/>
        </w:rPr>
        <w:tab/>
      </w:r>
      <w:r w:rsidR="00BE0731" w:rsidRPr="00AF3614">
        <w:rPr>
          <w:b/>
        </w:rPr>
        <w:t>(d)</w:t>
      </w:r>
      <w:r w:rsidR="00BE0731" w:rsidRPr="00AF3614">
        <w:rPr>
          <w:b/>
        </w:rPr>
        <w:tab/>
      </w:r>
      <w:proofErr w:type="gramStart"/>
      <w:r w:rsidR="00BE0731" w:rsidRPr="00AF3614">
        <w:rPr>
          <w:b/>
        </w:rPr>
        <w:t>the</w:t>
      </w:r>
      <w:proofErr w:type="gramEnd"/>
      <w:r w:rsidR="00BE0731" w:rsidRPr="00AF3614">
        <w:rPr>
          <w:b/>
        </w:rPr>
        <w:t xml:space="preserve"> amount of the assets and liabilities other than cash or cash equivalents in the subsidiaries or other businesses over which control is obtained or lost, summarised by each major category.</w:t>
      </w:r>
    </w:p>
    <w:p w:rsidR="00BE0731" w:rsidRDefault="00BE0731">
      <w:pPr>
        <w:pStyle w:val="IASBNormalnpara"/>
      </w:pPr>
      <w:r>
        <w:t>40A</w:t>
      </w:r>
      <w:r>
        <w:tab/>
      </w:r>
      <w:proofErr w:type="gramStart"/>
      <w:r>
        <w:t>An</w:t>
      </w:r>
      <w:proofErr w:type="gramEnd"/>
      <w:r>
        <w:t xml:space="preserve"> investment entity, as defined in</w:t>
      </w:r>
      <w:r w:rsidR="0084632F">
        <w:t xml:space="preserve"> AASB 10</w:t>
      </w:r>
      <w:r>
        <w:t xml:space="preserve"> </w:t>
      </w:r>
      <w:r>
        <w:rPr>
          <w:i/>
        </w:rPr>
        <w:t>Consolidated Financial Statements</w:t>
      </w:r>
      <w:r>
        <w:t>, need not apply paragraphs 40(c) or 40(d) to an investment in a subsidiary that is required to be measured at fair value through profit or loss.</w:t>
      </w:r>
    </w:p>
    <w:p w:rsidR="00BE0731" w:rsidRPr="00AF3614" w:rsidRDefault="00BE0731" w:rsidP="00AF3614">
      <w:pPr>
        <w:pStyle w:val="RDRM1"/>
      </w:pPr>
      <w:r w:rsidRPr="00AF3614">
        <w:t>41</w:t>
      </w:r>
      <w:r w:rsidRPr="00AF3614">
        <w:tab/>
        <w:t>The separate presentation of the cash flow effects of obtaining or losing control of subsidiaries or other businesses as single line items, together with the separate disclosure of the amounts of assets and liabilities acquired or disposed of, helps to distinguish those cash flows from the cash flows arising from the other operating, investing and financing activities. The cash flow effects of losing control are not deducted from those of obtaining control.</w:t>
      </w:r>
    </w:p>
    <w:p w:rsidR="00BE0731" w:rsidRDefault="00BE0731">
      <w:pPr>
        <w:pStyle w:val="IASBNormalnpara"/>
      </w:pPr>
      <w:r>
        <w:t>42</w:t>
      </w:r>
      <w:r>
        <w:tab/>
        <w:t>The aggregate amount of the cash paid or received as consideration for obtaining or losing control of subsidiaries or other businesses is reported in the statement of cash flows net of cash and cash equivalents acquired or disposed of as part of such transactions, events or changes in circumstances.</w:t>
      </w:r>
    </w:p>
    <w:p w:rsidR="00BE0731" w:rsidRDefault="00BE0731">
      <w:pPr>
        <w:pStyle w:val="IASBNormalnpara"/>
      </w:pPr>
      <w:r>
        <w:t>42A</w:t>
      </w:r>
      <w:r>
        <w:tab/>
        <w:t>Cash flows arising from changes in ownership interests in a subsidiary that do not result in a loss of control shall be classified as cash flows from financing activities, unless the subsidiary is held by an investment entity, as defined in</w:t>
      </w:r>
      <w:r w:rsidR="0084632F">
        <w:t xml:space="preserve"> AASB 10</w:t>
      </w:r>
      <w:r>
        <w:t>, and is required to be measured at fair value through profit or loss.</w:t>
      </w:r>
    </w:p>
    <w:p w:rsidR="00BE0731" w:rsidRDefault="00BE0731">
      <w:pPr>
        <w:pStyle w:val="IASBNormalnpara"/>
      </w:pPr>
      <w:r>
        <w:lastRenderedPageBreak/>
        <w:t>42B</w:t>
      </w:r>
      <w:r>
        <w:tab/>
        <w:t>Changes in ownership interests in a subsidiary that do not result in a loss of control, such as the subsequent purchase or sale by a parent of a subsidiary’s equity instruments, are accounted for as equity transactions (see</w:t>
      </w:r>
      <w:r w:rsidR="0084632F">
        <w:t xml:space="preserve"> AASB 10</w:t>
      </w:r>
      <w:r>
        <w:t xml:space="preserve">), unless the subsidiary is held by an investment entity and is required to be measured at fair value through profit or loss. Accordingly, the resulting cash flows are classified in the same way as other transactions with owners described in paragraph 17. </w:t>
      </w:r>
    </w:p>
    <w:p w:rsidR="00BE0731" w:rsidRDefault="00BE0731">
      <w:pPr>
        <w:pStyle w:val="IASBSectionTitle1NonInd"/>
      </w:pPr>
      <w:r>
        <w:t>Non-cash transactions</w:t>
      </w:r>
    </w:p>
    <w:p w:rsidR="00BE0731" w:rsidRDefault="00BE0731">
      <w:pPr>
        <w:pStyle w:val="IASBNormalnpara"/>
        <w:rPr>
          <w:b/>
        </w:rPr>
      </w:pPr>
      <w:r>
        <w:rPr>
          <w:b/>
        </w:rPr>
        <w:t>43</w:t>
      </w:r>
      <w:r>
        <w:rPr>
          <w:b/>
        </w:rPr>
        <w:tab/>
        <w:t>Investing and financing transactions that do not require the use of cash or cash equivalents shall be excluded from a statement of cash flows. Such transactions shall be disclosed elsewhere in the financial statements in a way that provides all the relevant information about these investing and financing activities.</w:t>
      </w:r>
    </w:p>
    <w:p w:rsidR="00BE0731" w:rsidRDefault="00BE0731">
      <w:pPr>
        <w:pStyle w:val="IASBNormalnpara"/>
      </w:pPr>
      <w:r>
        <w:t>44</w:t>
      </w:r>
      <w:r>
        <w:tab/>
        <w:t xml:space="preserve">Many investing and financing activities do not have a direct impact on current cash flows although they do affect the capital and asset structure of an entity. The exclusion of non-cash transactions from the statement of cash flows is consistent with the objective of a statement of cash flows as these items do not involve cash flows in the current period. Examples of non-cash transactions are: </w:t>
      </w:r>
    </w:p>
    <w:p w:rsidR="00BE0731" w:rsidRDefault="00BE0731">
      <w:pPr>
        <w:pStyle w:val="IASBNormalnparaL1"/>
      </w:pPr>
      <w:r>
        <w:t>(a)</w:t>
      </w:r>
      <w:r>
        <w:tab/>
      </w:r>
      <w:proofErr w:type="gramStart"/>
      <w:r>
        <w:t>the</w:t>
      </w:r>
      <w:proofErr w:type="gramEnd"/>
      <w:r>
        <w:t xml:space="preserve"> acquisition of assets either by assuming directly related liabilities or by means of a finance lease;</w:t>
      </w:r>
    </w:p>
    <w:p w:rsidR="00BE0731" w:rsidRDefault="00BE0731">
      <w:pPr>
        <w:pStyle w:val="IASBNormalnparaL1"/>
      </w:pPr>
      <w:r>
        <w:t>(b)</w:t>
      </w:r>
      <w:r>
        <w:tab/>
      </w:r>
      <w:proofErr w:type="gramStart"/>
      <w:r>
        <w:t>the</w:t>
      </w:r>
      <w:proofErr w:type="gramEnd"/>
      <w:r>
        <w:t xml:space="preserve"> acquisition of an entity by means of an equity issue; and</w:t>
      </w:r>
    </w:p>
    <w:p w:rsidR="00BE0731" w:rsidRDefault="00BE0731">
      <w:pPr>
        <w:pStyle w:val="IASBNormalnparaL1"/>
      </w:pPr>
      <w:r>
        <w:t>(c)</w:t>
      </w:r>
      <w:r>
        <w:tab/>
      </w:r>
      <w:proofErr w:type="gramStart"/>
      <w:r>
        <w:t>the</w:t>
      </w:r>
      <w:proofErr w:type="gramEnd"/>
      <w:r>
        <w:t xml:space="preserve"> conversion of debt to equity.</w:t>
      </w:r>
    </w:p>
    <w:p w:rsidR="00BE0731" w:rsidRDefault="00BE0731">
      <w:pPr>
        <w:pStyle w:val="IASBSectionTitle1NonInd"/>
      </w:pPr>
      <w:r>
        <w:t>Components of cash and cash equivalents</w:t>
      </w:r>
    </w:p>
    <w:p w:rsidR="00BE0731" w:rsidRDefault="00BE0731">
      <w:pPr>
        <w:pStyle w:val="IASBNormalnpara"/>
        <w:rPr>
          <w:b/>
        </w:rPr>
      </w:pPr>
      <w:r>
        <w:rPr>
          <w:b/>
        </w:rPr>
        <w:t>45</w:t>
      </w:r>
      <w:r>
        <w:rPr>
          <w:b/>
        </w:rPr>
        <w:tab/>
        <w:t>An entity shall disclose the components of cash and cash equivalents and shall present a reconciliation of the amounts in its statement of cash flows with the equivalent items reported in the statement of financial position.</w:t>
      </w:r>
    </w:p>
    <w:p w:rsidR="00BE0731" w:rsidRPr="00AF3614" w:rsidRDefault="00BE0731" w:rsidP="00AF3614">
      <w:pPr>
        <w:pStyle w:val="RDRM1"/>
      </w:pPr>
      <w:r w:rsidRPr="00AF3614">
        <w:t>46</w:t>
      </w:r>
      <w:r w:rsidRPr="00AF3614">
        <w:tab/>
        <w:t>In view of the variety of cash management practices and banking arrangements around the world and in order to comply with</w:t>
      </w:r>
      <w:r w:rsidR="0084632F" w:rsidRPr="00AF3614">
        <w:t xml:space="preserve"> AASB 101</w:t>
      </w:r>
      <w:r w:rsidRPr="00AF3614">
        <w:t xml:space="preserve"> </w:t>
      </w:r>
      <w:r w:rsidRPr="00AF3614">
        <w:rPr>
          <w:i/>
        </w:rPr>
        <w:t>Presentation of Financial Statements</w:t>
      </w:r>
      <w:r w:rsidRPr="00AF3614">
        <w:t>, an entity discloses the policy which it adopts in determining the composition of cash and cash equivalents.</w:t>
      </w:r>
    </w:p>
    <w:p w:rsidR="00BE0731" w:rsidRDefault="00BE0731">
      <w:pPr>
        <w:pStyle w:val="IASBNormalnpara"/>
      </w:pPr>
      <w:r>
        <w:t>47</w:t>
      </w:r>
      <w:r>
        <w:tab/>
        <w:t>The effect of any change in the policy for determining components of cash and cash equivalents, for example, a change in the classification of financial instruments previously considered to be part of an entity’s investment portfolio, is reported in accordance with</w:t>
      </w:r>
      <w:r w:rsidR="0084632F">
        <w:t xml:space="preserve"> AASB 108</w:t>
      </w:r>
      <w:r>
        <w:t xml:space="preserve"> </w:t>
      </w:r>
      <w:r>
        <w:rPr>
          <w:i/>
        </w:rPr>
        <w:t>Accounting Policies, Changes in Accounting Estimates and Errors</w:t>
      </w:r>
      <w:r>
        <w:t>.</w:t>
      </w:r>
    </w:p>
    <w:p w:rsidR="00BE0731" w:rsidRDefault="00BE0731">
      <w:pPr>
        <w:pStyle w:val="IASBSectionTitle1NonInd"/>
      </w:pPr>
      <w:r>
        <w:t>Other disclosures</w:t>
      </w:r>
    </w:p>
    <w:p w:rsidR="00BE0731" w:rsidRDefault="00BE0731">
      <w:pPr>
        <w:pStyle w:val="IASBNormalnpara"/>
        <w:rPr>
          <w:b/>
        </w:rPr>
      </w:pPr>
      <w:r>
        <w:rPr>
          <w:b/>
        </w:rPr>
        <w:t>48</w:t>
      </w:r>
      <w:r>
        <w:rPr>
          <w:b/>
        </w:rPr>
        <w:tab/>
        <w:t>An entity shall disclose, together with a commentary by management, the amount of significant cash and cash equivalent balances held by the entity that are not available for use by the group.</w:t>
      </w:r>
    </w:p>
    <w:p w:rsidR="00BE0731" w:rsidRDefault="00BE0731">
      <w:pPr>
        <w:pStyle w:val="IASBNormalnpara"/>
      </w:pPr>
      <w:r>
        <w:t>49</w:t>
      </w:r>
      <w:r>
        <w:tab/>
        <w:t>There are various circumstances in which cash and cash equivalent balances held by an entity are not available for use by the group. Examples include cash and cash equivalent balances held by a subsidiary that operates in a country where exchange controls or other legal restrictions apply when the balances are not available for general use by the parent or other subsidiaries.</w:t>
      </w:r>
    </w:p>
    <w:p w:rsidR="00BE0731" w:rsidRDefault="00BE0731">
      <w:pPr>
        <w:pStyle w:val="IASBNormalnpara"/>
      </w:pPr>
      <w:r>
        <w:t>50</w:t>
      </w:r>
      <w:r>
        <w:tab/>
        <w:t xml:space="preserve">Additional information may be relevant to users in understanding the financial position and liquidity of an entity. Disclosure of this information, together with a commentary by management, is encouraged and may include: </w:t>
      </w:r>
    </w:p>
    <w:p w:rsidR="00BE0731" w:rsidRDefault="00BE0731">
      <w:pPr>
        <w:pStyle w:val="IASBNormalnparaL1"/>
      </w:pPr>
      <w:r>
        <w:t>(a)</w:t>
      </w:r>
      <w:r>
        <w:tab/>
      </w:r>
      <w:proofErr w:type="gramStart"/>
      <w:r>
        <w:t>the</w:t>
      </w:r>
      <w:proofErr w:type="gramEnd"/>
      <w:r>
        <w:t xml:space="preserve"> amount of undrawn borrowing facilities that may be available for future operating activities and to settle capital commitments, indicating any restrictions on the use of these facilities;</w:t>
      </w:r>
    </w:p>
    <w:p w:rsidR="00BE0731" w:rsidRDefault="00BE0731">
      <w:pPr>
        <w:pStyle w:val="IASBNormalnparaL1"/>
      </w:pPr>
      <w:r>
        <w:t>(b)</w:t>
      </w:r>
      <w:r>
        <w:tab/>
        <w:t>[</w:t>
      </w:r>
      <w:proofErr w:type="gramStart"/>
      <w:r>
        <w:t>deleted</w:t>
      </w:r>
      <w:proofErr w:type="gramEnd"/>
      <w:r>
        <w:t>]</w:t>
      </w:r>
    </w:p>
    <w:p w:rsidR="00BE0731" w:rsidRDefault="00BE0731">
      <w:pPr>
        <w:pStyle w:val="IASBNormalnparaL1"/>
      </w:pPr>
      <w:r>
        <w:t>(c)</w:t>
      </w:r>
      <w:r>
        <w:tab/>
        <w:t>the aggregate amount of cash flows that represent increases in operating capacity separately from those cash flows that are required to maintain operating capacity; and</w:t>
      </w:r>
    </w:p>
    <w:p w:rsidR="00BE0731" w:rsidRPr="00AF3614" w:rsidRDefault="00BE0731" w:rsidP="00AF3614">
      <w:pPr>
        <w:pStyle w:val="RDR11"/>
      </w:pPr>
      <w:r w:rsidRPr="00AF3614">
        <w:t>(d)</w:t>
      </w:r>
      <w:r w:rsidRPr="00AF3614">
        <w:tab/>
      </w:r>
      <w:proofErr w:type="gramStart"/>
      <w:r w:rsidRPr="00AF3614">
        <w:t>the</w:t>
      </w:r>
      <w:proofErr w:type="gramEnd"/>
      <w:r w:rsidRPr="00AF3614">
        <w:t xml:space="preserve"> amount of the cash flows arising from the operating, investing and financing activities of each reportable segment (see</w:t>
      </w:r>
      <w:r w:rsidR="0084632F" w:rsidRPr="00AF3614">
        <w:t xml:space="preserve"> AASB 8</w:t>
      </w:r>
      <w:r w:rsidRPr="00AF3614">
        <w:t xml:space="preserve"> </w:t>
      </w:r>
      <w:r w:rsidRPr="00AF3614">
        <w:rPr>
          <w:i/>
        </w:rPr>
        <w:t>Operating Segments</w:t>
      </w:r>
      <w:r w:rsidRPr="00AF3614">
        <w:t>).</w:t>
      </w:r>
    </w:p>
    <w:p w:rsidR="00BE0731" w:rsidRDefault="00BE0731">
      <w:pPr>
        <w:pStyle w:val="IASBNormalnpara"/>
      </w:pPr>
      <w:r>
        <w:t>51</w:t>
      </w:r>
      <w:r>
        <w:tab/>
        <w:t xml:space="preserve">The separate disclosure of cash flows that represent increases in operating capacity and cash flows that are required to maintain operating capacity is useful in enabling the user to determine whether the entity is </w:t>
      </w:r>
      <w:r>
        <w:lastRenderedPageBreak/>
        <w:t>investing adequately in the maintenance of its operating capacity. An entity that does not invest adequately in the maintenance of its operating capacity may be prejudicing future profitability for the sake of current liquidity and distributions to owners.</w:t>
      </w:r>
    </w:p>
    <w:p w:rsidR="00BE0731" w:rsidRPr="00AF3614" w:rsidRDefault="00BE0731" w:rsidP="00AF3614">
      <w:pPr>
        <w:pStyle w:val="RDRM1"/>
      </w:pPr>
      <w:r w:rsidRPr="00AF3614">
        <w:t>52</w:t>
      </w:r>
      <w:r w:rsidRPr="00AF3614">
        <w:tab/>
        <w:t>The disclosure of segmental cash flows enables users to obtain a better understanding of the relationship between the cash flows of the business as a whole and those of its component parts and the availability and variability of segmental cash flows.</w:t>
      </w:r>
    </w:p>
    <w:p w:rsidR="00BE0731" w:rsidRDefault="00BE0731">
      <w:pPr>
        <w:pStyle w:val="IASBSectionTitle1NonInd"/>
      </w:pPr>
      <w:r>
        <w:t>Effective date</w:t>
      </w:r>
    </w:p>
    <w:p w:rsidR="00BE0731" w:rsidRDefault="00BE0731">
      <w:pPr>
        <w:pStyle w:val="IASBNormalnpara"/>
      </w:pPr>
      <w:r>
        <w:t>53</w:t>
      </w:r>
      <w:r>
        <w:tab/>
        <w:t>This Standard becomes operative for financial statements covering periods beginning on or after 1 January</w:t>
      </w:r>
      <w:r w:rsidR="00B51C72">
        <w:t xml:space="preserve"> 2016</w:t>
      </w:r>
      <w:r>
        <w:t>.</w:t>
      </w:r>
      <w:r w:rsidR="0088663A">
        <w:t xml:space="preserve"> </w:t>
      </w:r>
      <w:r w:rsidR="0088663A" w:rsidRPr="0088663A">
        <w:t>Earl</w:t>
      </w:r>
      <w:r w:rsidR="0043754B">
        <w:t>ier</w:t>
      </w:r>
      <w:r w:rsidR="0088663A" w:rsidRPr="0088663A">
        <w:t xml:space="preserve"> application is permitted for periods beginning </w:t>
      </w:r>
      <w:r w:rsidR="005A65A9">
        <w:t xml:space="preserve">on or </w:t>
      </w:r>
      <w:r w:rsidR="0088663A" w:rsidRPr="0088663A">
        <w:t>after 1 January 2014 but before 1</w:t>
      </w:r>
      <w:r w:rsidR="00A84F59">
        <w:t> </w:t>
      </w:r>
      <w:r w:rsidR="00AD5774">
        <w:t>January 2016</w:t>
      </w:r>
      <w:r w:rsidR="0088663A" w:rsidRPr="0088663A">
        <w:t>.</w:t>
      </w:r>
    </w:p>
    <w:p w:rsidR="00AC1340" w:rsidRDefault="00AC1340" w:rsidP="0053141D">
      <w:pPr>
        <w:pStyle w:val="IASBNormalnpara"/>
        <w:tabs>
          <w:tab w:val="left" w:pos="782"/>
        </w:tabs>
        <w:ind w:left="0" w:firstLine="0"/>
      </w:pPr>
      <w:bookmarkStart w:id="15" w:name="CommenceHeading"/>
      <w:r>
        <w:t>54–</w:t>
      </w:r>
      <w:r>
        <w:br/>
        <w:t>58</w:t>
      </w:r>
      <w:r>
        <w:tab/>
        <w:t>[De</w:t>
      </w:r>
      <w:bookmarkStart w:id="16" w:name="_GoBack"/>
      <w:bookmarkEnd w:id="16"/>
      <w:r>
        <w:t>leted by the AASB]</w:t>
      </w:r>
    </w:p>
    <w:p w:rsidR="006425B9" w:rsidRDefault="006425B9" w:rsidP="006425B9">
      <w:pPr>
        <w:pStyle w:val="IASBSectionTitle1NonInd"/>
      </w:pPr>
      <w:r>
        <w:t>Commencement of the legislative instrument</w:t>
      </w:r>
    </w:p>
    <w:p w:rsidR="0009365F" w:rsidRDefault="0009365F" w:rsidP="0009365F">
      <w:pPr>
        <w:pStyle w:val="AusPlain"/>
      </w:pPr>
      <w:bookmarkStart w:id="17" w:name="SSHeading"/>
      <w:bookmarkEnd w:id="15"/>
      <w:r>
        <w:t>Aus58.1</w:t>
      </w:r>
      <w:r>
        <w:tab/>
      </w:r>
      <w:r w:rsidRPr="00562E7C">
        <w:t>For legal purposes, this legislative instrument commences on</w:t>
      </w:r>
      <w:r>
        <w:t xml:space="preserve"> </w:t>
      </w:r>
      <w:bookmarkStart w:id="18" w:name="CommenceDate"/>
      <w:r w:rsidR="00622B6D">
        <w:t>31 December 2015</w:t>
      </w:r>
      <w:bookmarkEnd w:id="18"/>
      <w:r>
        <w:t>.</w:t>
      </w:r>
    </w:p>
    <w:p w:rsidR="006425B9" w:rsidRDefault="006425B9" w:rsidP="006425B9">
      <w:pPr>
        <w:pStyle w:val="IASBSectionTitle1NonInd"/>
      </w:pPr>
      <w:r>
        <w:t xml:space="preserve">Withdrawal of </w:t>
      </w:r>
      <w:r w:rsidR="00D606D6">
        <w:t>AASB</w:t>
      </w:r>
      <w:r>
        <w:t xml:space="preserve"> pronouncements</w:t>
      </w:r>
    </w:p>
    <w:bookmarkEnd w:id="17"/>
    <w:p w:rsidR="0072330A" w:rsidRDefault="0072330A" w:rsidP="0072330A">
      <w:pPr>
        <w:pStyle w:val="AusPlain"/>
      </w:pPr>
      <w:r>
        <w:t>Aus58.2</w:t>
      </w:r>
      <w:r>
        <w:tab/>
        <w:t xml:space="preserve">This Standard repeals AASB 107 </w:t>
      </w:r>
      <w:bookmarkStart w:id="19" w:name="SSAASBTitle"/>
      <w:r w:rsidRPr="0084632F">
        <w:rPr>
          <w:i/>
        </w:rPr>
        <w:t>Statement of Cash Flows</w:t>
      </w:r>
      <w:bookmarkEnd w:id="19"/>
      <w:r>
        <w:t xml:space="preserve"> issued in </w:t>
      </w:r>
      <w:bookmarkStart w:id="20" w:name="SSAASBDate"/>
      <w:r>
        <w:t>July 2004</w:t>
      </w:r>
      <w:bookmarkEnd w:id="20"/>
      <w:r>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72330A" w:rsidRDefault="0072330A" w:rsidP="0072330A">
      <w:pPr>
        <w:pStyle w:val="IASBNormalnparaL1P"/>
      </w:pPr>
      <w:r>
        <w:t>[Note: When this Standard applies under section 334 of the Corporations Act (either generally or in relation to an individual entity), it supersedes the application of the repealed Standard.]</w:t>
      </w:r>
    </w:p>
    <w:p w:rsidR="0072330A" w:rsidRDefault="0072330A" w:rsidP="0072330A">
      <w:pPr>
        <w:pStyle w:val="IASBNormalnpara"/>
      </w:pPr>
    </w:p>
    <w:p w:rsidR="00A76913" w:rsidRDefault="00A76913" w:rsidP="00A76913">
      <w:pPr>
        <w:widowControl w:val="0"/>
        <w:autoSpaceDE w:val="0"/>
        <w:autoSpaceDN w:val="0"/>
        <w:adjustRightInd w:val="0"/>
        <w:rPr>
          <w:lang w:eastAsia="en-GB"/>
        </w:rPr>
        <w:sectPr w:rsidR="00A76913" w:rsidSect="005B0D36">
          <w:headerReference w:type="even" r:id="rId20"/>
          <w:footerReference w:type="even" r:id="rId21"/>
          <w:footerReference w:type="default" r:id="rId22"/>
          <w:headerReference w:type="first" r:id="rId23"/>
          <w:footerReference w:type="first" r:id="rId24"/>
          <w:pgSz w:w="11907" w:h="16839"/>
          <w:pgMar w:top="1440" w:right="1440" w:bottom="1440" w:left="1440" w:header="720" w:footer="720" w:gutter="0"/>
          <w:cols w:space="708"/>
          <w:docGrid w:linePitch="360"/>
        </w:sectPr>
      </w:pPr>
    </w:p>
    <w:p w:rsidR="001C117C" w:rsidRDefault="001C117C" w:rsidP="001C117C">
      <w:pPr>
        <w:pStyle w:val="ConvSectionTitle"/>
      </w:pPr>
      <w:r>
        <w:lastRenderedPageBreak/>
        <w:t xml:space="preserve">Appendix </w:t>
      </w:r>
      <w:bookmarkStart w:id="21" w:name="AppendixNo"/>
      <w:proofErr w:type="gramStart"/>
      <w:r>
        <w:t>A</w:t>
      </w:r>
      <w:bookmarkEnd w:id="21"/>
      <w:proofErr w:type="gramEnd"/>
      <w:r>
        <w:br/>
        <w:t>Australian reduced disclosure requirements</w:t>
      </w:r>
    </w:p>
    <w:p w:rsidR="001C117C" w:rsidRDefault="001C117C" w:rsidP="001C117C">
      <w:pPr>
        <w:pStyle w:val="IASBNote"/>
      </w:pPr>
      <w:r>
        <w:t xml:space="preserve">This appendix is an integral part of </w:t>
      </w:r>
      <w:r w:rsidR="00545543">
        <w:t>the Standard</w:t>
      </w:r>
      <w:r w:rsidR="00B75B37">
        <w:t xml:space="preserve"> and has the same authority as the other parts of the Standard</w:t>
      </w:r>
      <w:r>
        <w:t>.</w:t>
      </w:r>
    </w:p>
    <w:p w:rsidR="001C117C" w:rsidRPr="00242059" w:rsidRDefault="001C117C" w:rsidP="001C117C">
      <w:pPr>
        <w:pStyle w:val="AusBold"/>
      </w:pPr>
      <w:r>
        <w:t>AusA</w:t>
      </w:r>
      <w:r w:rsidRPr="00242059">
        <w:t>1</w:t>
      </w:r>
      <w:r w:rsidRPr="00242059">
        <w:tab/>
      </w:r>
      <w:r w:rsidRPr="00070764">
        <w:t>Paragraphs Aus20.2, 40, 41, 46, 50(d) and 52 of this Standard do not apply to entities preparing general purpose financial statements under Australian Accounting Standards – Reduced Disclosure Requirements.  Entities applying Australian Accounting Standards – Reduced Disclosure Requirements may elect to comply with some or all of these excluded requirements.</w:t>
      </w:r>
    </w:p>
    <w:p w:rsidR="001C117C" w:rsidRPr="00242059" w:rsidRDefault="001C117C" w:rsidP="001C117C">
      <w:pPr>
        <w:pStyle w:val="AusPlain"/>
      </w:pPr>
      <w:r>
        <w:t>AusA2</w:t>
      </w:r>
      <w:r w:rsidRPr="00242059">
        <w:tab/>
      </w:r>
      <w:r>
        <w:t xml:space="preserve">The requirements that do not apply to entities preparing general </w:t>
      </w:r>
      <w:r w:rsidRPr="00182D25">
        <w:t>purpose</w:t>
      </w:r>
      <w:r>
        <w:t xml:space="preserve"> financial statements under Australian Accounting Standards – Reduced Disclosure Requirements are also identified in this Standard by shading of the relevant text.</w:t>
      </w:r>
    </w:p>
    <w:p w:rsidR="001C117C" w:rsidRDefault="001C117C" w:rsidP="001C117C">
      <w:pPr>
        <w:pStyle w:val="IASBNormal"/>
        <w:sectPr w:rsidR="001C117C" w:rsidSect="00AA52E2">
          <w:footerReference w:type="default" r:id="rId25"/>
          <w:headerReference w:type="first" r:id="rId26"/>
          <w:footerReference w:type="first" r:id="rId27"/>
          <w:pgSz w:w="11907" w:h="16839"/>
          <w:pgMar w:top="1440" w:right="1440" w:bottom="1440" w:left="1440" w:header="709" w:footer="709" w:gutter="0"/>
          <w:cols w:space="708"/>
          <w:docGrid w:linePitch="360"/>
        </w:sectPr>
      </w:pPr>
    </w:p>
    <w:p w:rsidR="00A76913" w:rsidRDefault="00A76913" w:rsidP="0013764C">
      <w:pPr>
        <w:pStyle w:val="ConvSectionTitle"/>
      </w:pPr>
      <w:r>
        <w:lastRenderedPageBreak/>
        <w:t>Illustrative examples</w:t>
      </w:r>
    </w:p>
    <w:p w:rsidR="00A76913" w:rsidRDefault="00A76913" w:rsidP="00A76913">
      <w:pPr>
        <w:pStyle w:val="IASBNote"/>
      </w:pPr>
      <w:r>
        <w:t>These illustrative examples accompany, but are not part of,</w:t>
      </w:r>
      <w:r w:rsidR="0084632F">
        <w:t xml:space="preserve"> AASB 107</w:t>
      </w:r>
      <w:r>
        <w:t>.</w:t>
      </w:r>
    </w:p>
    <w:p w:rsidR="00A76913" w:rsidRDefault="00A76913" w:rsidP="00A76913">
      <w:pPr>
        <w:pStyle w:val="IASBSectionTitle1NonInd"/>
        <w:pBdr>
          <w:bottom w:val="none" w:sz="0" w:space="0" w:color="auto"/>
        </w:pBdr>
      </w:pPr>
      <w:r>
        <w:t>A Statement of cash flows for an entity other than a financial institution</w:t>
      </w:r>
    </w:p>
    <w:p w:rsidR="00A76913" w:rsidRDefault="00A76913" w:rsidP="00A76913">
      <w:pPr>
        <w:pStyle w:val="IASBNormalnpara"/>
      </w:pPr>
      <w:r>
        <w:t>1</w:t>
      </w:r>
      <w:r>
        <w:tab/>
        <w:t>The examples show only current period amounts. Corresponding amounts for the preceding period are required to be presented in accordance with</w:t>
      </w:r>
      <w:r w:rsidR="0084632F">
        <w:t xml:space="preserve"> AASB 101</w:t>
      </w:r>
      <w:r>
        <w:t xml:space="preserve"> </w:t>
      </w:r>
      <w:r>
        <w:rPr>
          <w:i/>
        </w:rPr>
        <w:t>Presentation of Financial Statements</w:t>
      </w:r>
      <w:r>
        <w:t>.</w:t>
      </w:r>
    </w:p>
    <w:p w:rsidR="00A76913" w:rsidRDefault="00A76913" w:rsidP="00A76913">
      <w:pPr>
        <w:pStyle w:val="IASBNormalnpara"/>
      </w:pPr>
      <w:r>
        <w:t>2</w:t>
      </w:r>
      <w:r>
        <w:tab/>
        <w:t>Information from the statement of comprehensive income and statement of financial position is provided to show how the statements of cash flows under the direct method and indirect method have been derived. Neither the statement of comprehensive income nor the statement of financial position is presented in conformity with the disclosure and presentation requirements of other Standards.</w:t>
      </w:r>
    </w:p>
    <w:p w:rsidR="00A76913" w:rsidRDefault="00A76913" w:rsidP="00A76913">
      <w:pPr>
        <w:pStyle w:val="IASBNormalnpara"/>
      </w:pPr>
      <w:r>
        <w:t>3</w:t>
      </w:r>
      <w:r>
        <w:tab/>
        <w:t xml:space="preserve">The following additional information is also relevant for the preparation of the statements of cash flows: </w:t>
      </w:r>
    </w:p>
    <w:p w:rsidR="00A76913" w:rsidRDefault="00A76913" w:rsidP="00A76913">
      <w:pPr>
        <w:pStyle w:val="IASBNormalnparaL1"/>
      </w:pPr>
      <w:r>
        <w:t>•</w:t>
      </w:r>
      <w:r>
        <w:tab/>
      </w:r>
      <w:proofErr w:type="gramStart"/>
      <w:r>
        <w:t>all</w:t>
      </w:r>
      <w:proofErr w:type="gramEnd"/>
      <w:r>
        <w:t xml:space="preserve"> of the shares of a subsidiary were acquired for 590. The fair values of assets acquired and liabilities assumed were as follows:</w:t>
      </w:r>
    </w:p>
    <w:p w:rsidR="00A76913" w:rsidRDefault="00A76913" w:rsidP="00A76913">
      <w:pPr>
        <w:pStyle w:val="IASBNormalnpara"/>
      </w:pPr>
    </w:p>
    <w:tbl>
      <w:tblPr>
        <w:tblW w:w="0" w:type="auto"/>
        <w:tblInd w:w="964" w:type="dxa"/>
        <w:tblLayout w:type="fixed"/>
        <w:tblLook w:val="0000" w:firstRow="0" w:lastRow="0" w:firstColumn="0" w:lastColumn="0" w:noHBand="0" w:noVBand="0"/>
        <w:tblCaption w:val="AASB 107 Table 1"/>
      </w:tblPr>
      <w:tblGrid>
        <w:gridCol w:w="624"/>
        <w:gridCol w:w="6464"/>
        <w:gridCol w:w="910"/>
      </w:tblGrid>
      <w:tr w:rsidR="00A76913" w:rsidTr="00A84F59">
        <w:trPr>
          <w:cantSplit/>
        </w:trPr>
        <w:tc>
          <w:tcPr>
            <w:tcW w:w="624" w:type="dxa"/>
            <w:vAlign w:val="bottom"/>
          </w:tcPr>
          <w:p w:rsidR="00A76913" w:rsidRDefault="00A76913" w:rsidP="006B57F8">
            <w:pPr>
              <w:pStyle w:val="IASBTableArial"/>
            </w:pPr>
          </w:p>
        </w:tc>
        <w:tc>
          <w:tcPr>
            <w:tcW w:w="6464" w:type="dxa"/>
            <w:tcBorders>
              <w:left w:val="nil"/>
            </w:tcBorders>
            <w:vAlign w:val="bottom"/>
          </w:tcPr>
          <w:p w:rsidR="00A76913" w:rsidRDefault="00A76913" w:rsidP="006B57F8">
            <w:pPr>
              <w:pStyle w:val="IASBTableArial"/>
            </w:pPr>
            <w:r>
              <w:t>Inventories</w:t>
            </w:r>
          </w:p>
        </w:tc>
        <w:tc>
          <w:tcPr>
            <w:tcW w:w="910" w:type="dxa"/>
            <w:tcBorders>
              <w:left w:val="nil"/>
            </w:tcBorders>
            <w:vAlign w:val="bottom"/>
          </w:tcPr>
          <w:p w:rsidR="00A76913" w:rsidRDefault="00A76913" w:rsidP="006B57F8">
            <w:pPr>
              <w:pStyle w:val="IASBTableArial"/>
              <w:jc w:val="right"/>
            </w:pPr>
            <w:r>
              <w:t>100</w:t>
            </w:r>
          </w:p>
        </w:tc>
      </w:tr>
      <w:tr w:rsidR="00A76913" w:rsidTr="00A84F59">
        <w:trPr>
          <w:cantSplit/>
        </w:trPr>
        <w:tc>
          <w:tcPr>
            <w:tcW w:w="624" w:type="dxa"/>
            <w:tcBorders>
              <w:top w:val="nil"/>
            </w:tcBorders>
            <w:vAlign w:val="bottom"/>
          </w:tcPr>
          <w:p w:rsidR="00A76913" w:rsidRDefault="00A76913" w:rsidP="006B57F8">
            <w:pPr>
              <w:pStyle w:val="IASBTableArial"/>
            </w:pPr>
          </w:p>
        </w:tc>
        <w:tc>
          <w:tcPr>
            <w:tcW w:w="6464" w:type="dxa"/>
            <w:tcBorders>
              <w:top w:val="nil"/>
              <w:left w:val="nil"/>
            </w:tcBorders>
            <w:vAlign w:val="bottom"/>
          </w:tcPr>
          <w:p w:rsidR="00A76913" w:rsidRDefault="00A76913" w:rsidP="006B57F8">
            <w:pPr>
              <w:pStyle w:val="IASBTableArial"/>
            </w:pPr>
            <w:r>
              <w:t>Accounts receivable</w:t>
            </w:r>
          </w:p>
        </w:tc>
        <w:tc>
          <w:tcPr>
            <w:tcW w:w="910" w:type="dxa"/>
            <w:tcBorders>
              <w:top w:val="nil"/>
              <w:left w:val="nil"/>
            </w:tcBorders>
            <w:vAlign w:val="bottom"/>
          </w:tcPr>
          <w:p w:rsidR="00A76913" w:rsidRDefault="00A76913" w:rsidP="006B57F8">
            <w:pPr>
              <w:pStyle w:val="IASBTableArial"/>
              <w:jc w:val="right"/>
            </w:pPr>
            <w:r>
              <w:t>100</w:t>
            </w:r>
          </w:p>
        </w:tc>
      </w:tr>
      <w:tr w:rsidR="00A76913" w:rsidTr="00A84F59">
        <w:trPr>
          <w:cantSplit/>
        </w:trPr>
        <w:tc>
          <w:tcPr>
            <w:tcW w:w="624" w:type="dxa"/>
            <w:tcBorders>
              <w:top w:val="nil"/>
            </w:tcBorders>
            <w:vAlign w:val="bottom"/>
          </w:tcPr>
          <w:p w:rsidR="00A76913" w:rsidRDefault="00A76913" w:rsidP="006B57F8">
            <w:pPr>
              <w:pStyle w:val="IASBTableArial"/>
            </w:pPr>
          </w:p>
        </w:tc>
        <w:tc>
          <w:tcPr>
            <w:tcW w:w="6464" w:type="dxa"/>
            <w:tcBorders>
              <w:top w:val="nil"/>
              <w:left w:val="nil"/>
            </w:tcBorders>
            <w:vAlign w:val="bottom"/>
          </w:tcPr>
          <w:p w:rsidR="00A76913" w:rsidRDefault="00A76913" w:rsidP="006B57F8">
            <w:pPr>
              <w:pStyle w:val="IASBTableArial"/>
            </w:pPr>
            <w:r>
              <w:t>Cash</w:t>
            </w:r>
          </w:p>
        </w:tc>
        <w:tc>
          <w:tcPr>
            <w:tcW w:w="910" w:type="dxa"/>
            <w:tcBorders>
              <w:top w:val="nil"/>
              <w:left w:val="nil"/>
            </w:tcBorders>
            <w:vAlign w:val="bottom"/>
          </w:tcPr>
          <w:p w:rsidR="00A76913" w:rsidRDefault="00A76913" w:rsidP="006B57F8">
            <w:pPr>
              <w:pStyle w:val="IASBTableArial"/>
              <w:jc w:val="right"/>
            </w:pPr>
            <w:r>
              <w:t>40</w:t>
            </w:r>
          </w:p>
        </w:tc>
      </w:tr>
      <w:tr w:rsidR="00A76913" w:rsidTr="00A84F59">
        <w:trPr>
          <w:cantSplit/>
        </w:trPr>
        <w:tc>
          <w:tcPr>
            <w:tcW w:w="624" w:type="dxa"/>
            <w:tcBorders>
              <w:top w:val="nil"/>
            </w:tcBorders>
            <w:vAlign w:val="bottom"/>
          </w:tcPr>
          <w:p w:rsidR="00A76913" w:rsidRDefault="00A76913" w:rsidP="006B57F8">
            <w:pPr>
              <w:pStyle w:val="IASBTableArial"/>
            </w:pPr>
          </w:p>
        </w:tc>
        <w:tc>
          <w:tcPr>
            <w:tcW w:w="6464" w:type="dxa"/>
            <w:tcBorders>
              <w:top w:val="nil"/>
              <w:left w:val="nil"/>
            </w:tcBorders>
            <w:vAlign w:val="bottom"/>
          </w:tcPr>
          <w:p w:rsidR="00A76913" w:rsidRDefault="00A76913" w:rsidP="006B57F8">
            <w:pPr>
              <w:pStyle w:val="IASBTableArial"/>
            </w:pPr>
            <w:r>
              <w:t>Property, plant and equipment</w:t>
            </w:r>
          </w:p>
        </w:tc>
        <w:tc>
          <w:tcPr>
            <w:tcW w:w="910" w:type="dxa"/>
            <w:tcBorders>
              <w:top w:val="nil"/>
              <w:left w:val="nil"/>
            </w:tcBorders>
            <w:vAlign w:val="bottom"/>
          </w:tcPr>
          <w:p w:rsidR="00A76913" w:rsidRDefault="00A76913" w:rsidP="006B57F8">
            <w:pPr>
              <w:pStyle w:val="IASBTableArial"/>
              <w:jc w:val="right"/>
            </w:pPr>
            <w:r>
              <w:t>650</w:t>
            </w:r>
          </w:p>
        </w:tc>
      </w:tr>
      <w:tr w:rsidR="00A76913" w:rsidTr="00A84F59">
        <w:trPr>
          <w:cantSplit/>
        </w:trPr>
        <w:tc>
          <w:tcPr>
            <w:tcW w:w="624" w:type="dxa"/>
            <w:tcBorders>
              <w:top w:val="nil"/>
            </w:tcBorders>
            <w:vAlign w:val="bottom"/>
          </w:tcPr>
          <w:p w:rsidR="00A76913" w:rsidRDefault="00A76913" w:rsidP="006B57F8">
            <w:pPr>
              <w:pStyle w:val="IASBTableArial"/>
            </w:pPr>
          </w:p>
        </w:tc>
        <w:tc>
          <w:tcPr>
            <w:tcW w:w="6464" w:type="dxa"/>
            <w:tcBorders>
              <w:top w:val="nil"/>
              <w:left w:val="nil"/>
            </w:tcBorders>
            <w:vAlign w:val="bottom"/>
          </w:tcPr>
          <w:p w:rsidR="00A76913" w:rsidRDefault="00A76913" w:rsidP="006B57F8">
            <w:pPr>
              <w:pStyle w:val="IASBTableArial"/>
            </w:pPr>
            <w:r>
              <w:t>Trade payables</w:t>
            </w:r>
          </w:p>
        </w:tc>
        <w:tc>
          <w:tcPr>
            <w:tcW w:w="910" w:type="dxa"/>
            <w:tcBorders>
              <w:top w:val="nil"/>
              <w:left w:val="nil"/>
            </w:tcBorders>
            <w:vAlign w:val="bottom"/>
          </w:tcPr>
          <w:p w:rsidR="00A76913" w:rsidRDefault="00A76913" w:rsidP="006B57F8">
            <w:pPr>
              <w:pStyle w:val="IASBTableArial"/>
              <w:jc w:val="right"/>
            </w:pPr>
            <w:r>
              <w:t>100</w:t>
            </w:r>
          </w:p>
        </w:tc>
      </w:tr>
      <w:tr w:rsidR="00A76913" w:rsidTr="00A84F59">
        <w:trPr>
          <w:cantSplit/>
        </w:trPr>
        <w:tc>
          <w:tcPr>
            <w:tcW w:w="624" w:type="dxa"/>
            <w:tcBorders>
              <w:top w:val="nil"/>
            </w:tcBorders>
            <w:vAlign w:val="bottom"/>
          </w:tcPr>
          <w:p w:rsidR="00A76913" w:rsidRDefault="00A76913" w:rsidP="006B57F8">
            <w:pPr>
              <w:pStyle w:val="IASBTableArial"/>
            </w:pPr>
          </w:p>
        </w:tc>
        <w:tc>
          <w:tcPr>
            <w:tcW w:w="6464" w:type="dxa"/>
            <w:tcBorders>
              <w:top w:val="nil"/>
              <w:left w:val="nil"/>
            </w:tcBorders>
            <w:vAlign w:val="bottom"/>
          </w:tcPr>
          <w:p w:rsidR="00A76913" w:rsidRDefault="00A76913" w:rsidP="006B57F8">
            <w:pPr>
              <w:pStyle w:val="IASBTableArial"/>
            </w:pPr>
            <w:r>
              <w:t>Long-term debt</w:t>
            </w:r>
          </w:p>
        </w:tc>
        <w:tc>
          <w:tcPr>
            <w:tcW w:w="910" w:type="dxa"/>
            <w:tcBorders>
              <w:top w:val="nil"/>
              <w:left w:val="nil"/>
            </w:tcBorders>
            <w:vAlign w:val="bottom"/>
          </w:tcPr>
          <w:p w:rsidR="00A76913" w:rsidRDefault="00A76913" w:rsidP="006B57F8">
            <w:pPr>
              <w:pStyle w:val="IASBTableArial"/>
              <w:jc w:val="right"/>
            </w:pPr>
            <w:r>
              <w:t>200</w:t>
            </w:r>
          </w:p>
        </w:tc>
      </w:tr>
    </w:tbl>
    <w:p w:rsidR="00A76913" w:rsidRDefault="00A76913" w:rsidP="00A76913">
      <w:pPr>
        <w:pStyle w:val="IASBNormalnpara"/>
      </w:pPr>
    </w:p>
    <w:p w:rsidR="00A76913" w:rsidRDefault="00A76913" w:rsidP="00A76913">
      <w:pPr>
        <w:pStyle w:val="IASBNormalnparaL1"/>
      </w:pPr>
      <w:r>
        <w:t>•</w:t>
      </w:r>
      <w:r>
        <w:tab/>
        <w:t xml:space="preserve">250 </w:t>
      </w:r>
      <w:proofErr w:type="gramStart"/>
      <w:r>
        <w:t>was</w:t>
      </w:r>
      <w:proofErr w:type="gramEnd"/>
      <w:r>
        <w:t xml:space="preserve"> raised from the issue of share capital and a further 250 was raised from long-term borrowings.</w:t>
      </w:r>
    </w:p>
    <w:p w:rsidR="00A76913" w:rsidRDefault="00A76913" w:rsidP="00A76913">
      <w:pPr>
        <w:pStyle w:val="IASBNormalnparaL1"/>
      </w:pPr>
      <w:r>
        <w:t>•</w:t>
      </w:r>
      <w:r>
        <w:tab/>
      </w:r>
      <w:proofErr w:type="gramStart"/>
      <w:r>
        <w:t>interest</w:t>
      </w:r>
      <w:proofErr w:type="gramEnd"/>
      <w:r>
        <w:t xml:space="preserve"> expense was 400, of which 170 was paid during the period. Also, 100 relating to interest expense of the prior period </w:t>
      </w:r>
      <w:proofErr w:type="gramStart"/>
      <w:r>
        <w:t>was</w:t>
      </w:r>
      <w:proofErr w:type="gramEnd"/>
      <w:r>
        <w:t xml:space="preserve"> paid during the period.</w:t>
      </w:r>
    </w:p>
    <w:p w:rsidR="00A76913" w:rsidRDefault="00A76913" w:rsidP="00A76913">
      <w:pPr>
        <w:pStyle w:val="IASBNormalnparaL1"/>
      </w:pPr>
      <w:r>
        <w:t>•</w:t>
      </w:r>
      <w:r>
        <w:tab/>
      </w:r>
      <w:proofErr w:type="gramStart"/>
      <w:r>
        <w:t>dividends</w:t>
      </w:r>
      <w:proofErr w:type="gramEnd"/>
      <w:r>
        <w:t xml:space="preserve"> paid were 1,200.</w:t>
      </w:r>
    </w:p>
    <w:p w:rsidR="00A76913" w:rsidRDefault="00A76913" w:rsidP="00A76913">
      <w:pPr>
        <w:pStyle w:val="IASBNormalnparaL1"/>
      </w:pPr>
      <w:r>
        <w:t>•</w:t>
      </w:r>
      <w:r>
        <w:tab/>
      </w:r>
      <w:proofErr w:type="gramStart"/>
      <w:r>
        <w:t>the</w:t>
      </w:r>
      <w:proofErr w:type="gramEnd"/>
      <w:r>
        <w:t xml:space="preserve"> liability for tax at the beginning and end of the period was 1,000 and 400 respectively. During the period, a further 200 tax was provided for. Withholding tax on dividends received amounted to 100.</w:t>
      </w:r>
    </w:p>
    <w:p w:rsidR="00A76913" w:rsidRDefault="00A76913" w:rsidP="00A76913">
      <w:pPr>
        <w:pStyle w:val="IASBNormalnparaL1"/>
      </w:pPr>
      <w:r>
        <w:t>•</w:t>
      </w:r>
      <w:r>
        <w:tab/>
      </w:r>
      <w:proofErr w:type="gramStart"/>
      <w:r>
        <w:t>during</w:t>
      </w:r>
      <w:proofErr w:type="gramEnd"/>
      <w:r>
        <w:t xml:space="preserve"> the period, the group acquired property, plant and equipment with an aggregate cost of 1,250 of which 900 was acquired by means of finance leases. Cash payments of 350 were made to purchase property, plant and equipment.</w:t>
      </w:r>
    </w:p>
    <w:p w:rsidR="00A76913" w:rsidRDefault="00A76913" w:rsidP="00A76913">
      <w:pPr>
        <w:pStyle w:val="IASBNormalnparaL1"/>
      </w:pPr>
      <w:r>
        <w:t>•</w:t>
      </w:r>
      <w:r>
        <w:tab/>
        <w:t>plant with original cost of 80 and accumulated depreciation of 60 was sold for 20.</w:t>
      </w:r>
    </w:p>
    <w:p w:rsidR="00A76913" w:rsidRDefault="00A76913" w:rsidP="00A76913">
      <w:pPr>
        <w:pStyle w:val="IASBNormalnparaL1"/>
      </w:pPr>
      <w:r>
        <w:t>•</w:t>
      </w:r>
      <w:r>
        <w:tab/>
      </w:r>
      <w:proofErr w:type="gramStart"/>
      <w:r>
        <w:t>accounts</w:t>
      </w:r>
      <w:proofErr w:type="gramEnd"/>
      <w:r>
        <w:t xml:space="preserve"> receivable as at the end of 20X2 include 100 of interest receivable.</w:t>
      </w:r>
    </w:p>
    <w:p w:rsidR="00A76913" w:rsidRDefault="00A76913" w:rsidP="00A76913">
      <w:pPr>
        <w:pStyle w:val="IASBNormalnpara"/>
      </w:pPr>
    </w:p>
    <w:tbl>
      <w:tblPr>
        <w:tblW w:w="0" w:type="auto"/>
        <w:tblInd w:w="964" w:type="dxa"/>
        <w:tblLayout w:type="fixed"/>
        <w:tblLook w:val="0000" w:firstRow="0" w:lastRow="0" w:firstColumn="0" w:lastColumn="0" w:noHBand="0" w:noVBand="0"/>
        <w:tblCaption w:val="AASB 107 Table 2"/>
      </w:tblPr>
      <w:tblGrid>
        <w:gridCol w:w="6879"/>
        <w:gridCol w:w="1365"/>
      </w:tblGrid>
      <w:tr w:rsidR="00A76913" w:rsidTr="006B57F8">
        <w:trPr>
          <w:cantSplit/>
          <w:tblHeader/>
        </w:trPr>
        <w:tc>
          <w:tcPr>
            <w:tcW w:w="8244" w:type="dxa"/>
            <w:gridSpan w:val="2"/>
            <w:tcBorders>
              <w:bottom w:val="single" w:sz="4" w:space="0" w:color="auto"/>
            </w:tcBorders>
            <w:vAlign w:val="bottom"/>
          </w:tcPr>
          <w:p w:rsidR="00A76913" w:rsidRDefault="00A76913" w:rsidP="006B57F8">
            <w:pPr>
              <w:pStyle w:val="IASBTableHeaderArial"/>
            </w:pPr>
            <w:r>
              <w:rPr>
                <w:b/>
              </w:rPr>
              <w:t>Consolidated statement of comprehensive income for the period ended 20X2</w:t>
            </w:r>
            <w:r>
              <w:rPr>
                <w:b/>
                <w:vertAlign w:val="superscript"/>
              </w:rPr>
              <w:t>(a)</w:t>
            </w:r>
          </w:p>
        </w:tc>
      </w:tr>
      <w:tr w:rsidR="00A76913" w:rsidTr="006B57F8">
        <w:trPr>
          <w:cantSplit/>
        </w:trPr>
        <w:tc>
          <w:tcPr>
            <w:tcW w:w="6879" w:type="dxa"/>
            <w:tcBorders>
              <w:top w:val="nil"/>
            </w:tcBorders>
            <w:vAlign w:val="bottom"/>
          </w:tcPr>
          <w:p w:rsidR="00A76913" w:rsidRDefault="00A76913" w:rsidP="006B57F8">
            <w:pPr>
              <w:pStyle w:val="IASBTableArial"/>
            </w:pPr>
            <w:r>
              <w:t>Sales</w:t>
            </w:r>
          </w:p>
        </w:tc>
        <w:tc>
          <w:tcPr>
            <w:tcW w:w="1365" w:type="dxa"/>
            <w:tcBorders>
              <w:top w:val="nil"/>
              <w:left w:val="nil"/>
            </w:tcBorders>
            <w:vAlign w:val="bottom"/>
          </w:tcPr>
          <w:p w:rsidR="00A76913" w:rsidRDefault="00A76913" w:rsidP="006B57F8">
            <w:pPr>
              <w:pStyle w:val="IASBTableArial"/>
              <w:jc w:val="right"/>
            </w:pPr>
            <w:r>
              <w:t>30,650</w:t>
            </w:r>
          </w:p>
        </w:tc>
      </w:tr>
      <w:tr w:rsidR="00A76913" w:rsidTr="006B57F8">
        <w:trPr>
          <w:cantSplit/>
        </w:trPr>
        <w:tc>
          <w:tcPr>
            <w:tcW w:w="6879" w:type="dxa"/>
            <w:tcBorders>
              <w:top w:val="nil"/>
            </w:tcBorders>
            <w:vAlign w:val="bottom"/>
          </w:tcPr>
          <w:p w:rsidR="00A76913" w:rsidRDefault="00A76913" w:rsidP="006B57F8">
            <w:pPr>
              <w:pStyle w:val="IASBTableArial"/>
            </w:pPr>
            <w:r>
              <w:t>Cost of sales</w:t>
            </w:r>
          </w:p>
        </w:tc>
        <w:tc>
          <w:tcPr>
            <w:tcW w:w="1365" w:type="dxa"/>
            <w:tcBorders>
              <w:top w:val="nil"/>
              <w:left w:val="nil"/>
              <w:bottom w:val="single" w:sz="4" w:space="0" w:color="auto"/>
            </w:tcBorders>
            <w:vAlign w:val="bottom"/>
          </w:tcPr>
          <w:p w:rsidR="00A76913" w:rsidRDefault="00A76913" w:rsidP="006B57F8">
            <w:pPr>
              <w:pStyle w:val="IASBTableArial"/>
              <w:jc w:val="right"/>
            </w:pPr>
            <w:r>
              <w:t>(26,000)</w:t>
            </w:r>
          </w:p>
        </w:tc>
      </w:tr>
      <w:tr w:rsidR="00A76913" w:rsidTr="006B57F8">
        <w:trPr>
          <w:cantSplit/>
        </w:trPr>
        <w:tc>
          <w:tcPr>
            <w:tcW w:w="6879" w:type="dxa"/>
            <w:tcBorders>
              <w:top w:val="nil"/>
            </w:tcBorders>
            <w:vAlign w:val="bottom"/>
          </w:tcPr>
          <w:p w:rsidR="00A76913" w:rsidRDefault="00A76913" w:rsidP="006B57F8">
            <w:pPr>
              <w:pStyle w:val="IASBTableArial"/>
            </w:pPr>
            <w:r>
              <w:t>Gross profit</w:t>
            </w:r>
          </w:p>
        </w:tc>
        <w:tc>
          <w:tcPr>
            <w:tcW w:w="1365" w:type="dxa"/>
            <w:tcBorders>
              <w:top w:val="nil"/>
              <w:left w:val="nil"/>
            </w:tcBorders>
            <w:vAlign w:val="bottom"/>
          </w:tcPr>
          <w:p w:rsidR="00A76913" w:rsidRDefault="00A76913" w:rsidP="006B57F8">
            <w:pPr>
              <w:pStyle w:val="IASBTableArial"/>
              <w:jc w:val="right"/>
            </w:pPr>
            <w:r>
              <w:t>4,650</w:t>
            </w:r>
          </w:p>
        </w:tc>
      </w:tr>
      <w:tr w:rsidR="00A76913" w:rsidTr="006B57F8">
        <w:trPr>
          <w:cantSplit/>
        </w:trPr>
        <w:tc>
          <w:tcPr>
            <w:tcW w:w="6879" w:type="dxa"/>
            <w:tcBorders>
              <w:top w:val="nil"/>
            </w:tcBorders>
            <w:vAlign w:val="bottom"/>
          </w:tcPr>
          <w:p w:rsidR="00A76913" w:rsidRDefault="00A76913" w:rsidP="006B57F8">
            <w:pPr>
              <w:pStyle w:val="IASBTableArial"/>
            </w:pPr>
            <w:r>
              <w:t>Depreciation</w:t>
            </w:r>
          </w:p>
        </w:tc>
        <w:tc>
          <w:tcPr>
            <w:tcW w:w="1365" w:type="dxa"/>
            <w:tcBorders>
              <w:top w:val="nil"/>
              <w:left w:val="nil"/>
            </w:tcBorders>
            <w:vAlign w:val="bottom"/>
          </w:tcPr>
          <w:p w:rsidR="00A76913" w:rsidRDefault="00A76913" w:rsidP="006B57F8">
            <w:pPr>
              <w:pStyle w:val="IASBTableArial"/>
              <w:jc w:val="right"/>
            </w:pPr>
            <w:r>
              <w:t>(450)</w:t>
            </w:r>
          </w:p>
        </w:tc>
      </w:tr>
      <w:tr w:rsidR="00A76913" w:rsidTr="006B57F8">
        <w:trPr>
          <w:cantSplit/>
        </w:trPr>
        <w:tc>
          <w:tcPr>
            <w:tcW w:w="6879" w:type="dxa"/>
            <w:tcBorders>
              <w:top w:val="nil"/>
            </w:tcBorders>
            <w:vAlign w:val="bottom"/>
          </w:tcPr>
          <w:p w:rsidR="00A76913" w:rsidRDefault="00A76913" w:rsidP="006B57F8">
            <w:pPr>
              <w:pStyle w:val="IASBTableArial"/>
            </w:pPr>
            <w:r>
              <w:t>Administrative and selling expenses</w:t>
            </w:r>
          </w:p>
        </w:tc>
        <w:tc>
          <w:tcPr>
            <w:tcW w:w="1365" w:type="dxa"/>
            <w:tcBorders>
              <w:top w:val="nil"/>
              <w:left w:val="nil"/>
            </w:tcBorders>
            <w:vAlign w:val="bottom"/>
          </w:tcPr>
          <w:p w:rsidR="00A76913" w:rsidRDefault="00A76913" w:rsidP="006B57F8">
            <w:pPr>
              <w:pStyle w:val="IASBTableArial"/>
              <w:jc w:val="right"/>
            </w:pPr>
            <w:r>
              <w:t>(910)</w:t>
            </w:r>
          </w:p>
        </w:tc>
      </w:tr>
      <w:tr w:rsidR="00A76913" w:rsidTr="006B57F8">
        <w:trPr>
          <w:cantSplit/>
        </w:trPr>
        <w:tc>
          <w:tcPr>
            <w:tcW w:w="6879" w:type="dxa"/>
            <w:tcBorders>
              <w:top w:val="nil"/>
            </w:tcBorders>
            <w:vAlign w:val="bottom"/>
          </w:tcPr>
          <w:p w:rsidR="00A76913" w:rsidRDefault="00A76913" w:rsidP="006B57F8">
            <w:pPr>
              <w:pStyle w:val="IASBTableArial"/>
            </w:pPr>
            <w:r>
              <w:t>Interest expense</w:t>
            </w:r>
          </w:p>
        </w:tc>
        <w:tc>
          <w:tcPr>
            <w:tcW w:w="1365" w:type="dxa"/>
            <w:tcBorders>
              <w:top w:val="nil"/>
              <w:left w:val="nil"/>
            </w:tcBorders>
            <w:vAlign w:val="bottom"/>
          </w:tcPr>
          <w:p w:rsidR="00A76913" w:rsidRDefault="00A76913" w:rsidP="006B57F8">
            <w:pPr>
              <w:pStyle w:val="IASBTableArial"/>
              <w:jc w:val="right"/>
            </w:pPr>
            <w:r>
              <w:t>(400)</w:t>
            </w:r>
          </w:p>
        </w:tc>
      </w:tr>
      <w:tr w:rsidR="00A76913" w:rsidTr="006B57F8">
        <w:trPr>
          <w:cantSplit/>
        </w:trPr>
        <w:tc>
          <w:tcPr>
            <w:tcW w:w="6879" w:type="dxa"/>
            <w:tcBorders>
              <w:top w:val="nil"/>
            </w:tcBorders>
            <w:vAlign w:val="bottom"/>
          </w:tcPr>
          <w:p w:rsidR="00A76913" w:rsidRDefault="00A76913" w:rsidP="006B57F8">
            <w:pPr>
              <w:pStyle w:val="IASBTableArial"/>
            </w:pPr>
            <w:r>
              <w:t>Investment income</w:t>
            </w:r>
          </w:p>
        </w:tc>
        <w:tc>
          <w:tcPr>
            <w:tcW w:w="1365" w:type="dxa"/>
            <w:tcBorders>
              <w:top w:val="nil"/>
              <w:left w:val="nil"/>
            </w:tcBorders>
            <w:vAlign w:val="bottom"/>
          </w:tcPr>
          <w:p w:rsidR="00A76913" w:rsidRDefault="00A76913" w:rsidP="006B57F8">
            <w:pPr>
              <w:pStyle w:val="IASBTableArial"/>
              <w:jc w:val="right"/>
            </w:pPr>
            <w:r>
              <w:t>500</w:t>
            </w:r>
          </w:p>
        </w:tc>
      </w:tr>
      <w:tr w:rsidR="00A76913" w:rsidTr="006B57F8">
        <w:trPr>
          <w:cantSplit/>
        </w:trPr>
        <w:tc>
          <w:tcPr>
            <w:tcW w:w="6879" w:type="dxa"/>
            <w:tcBorders>
              <w:top w:val="nil"/>
            </w:tcBorders>
            <w:vAlign w:val="bottom"/>
          </w:tcPr>
          <w:p w:rsidR="00A76913" w:rsidRDefault="00A76913" w:rsidP="006B57F8">
            <w:pPr>
              <w:pStyle w:val="IASBTableArial"/>
            </w:pPr>
            <w:r>
              <w:t>Foreign exchange loss</w:t>
            </w:r>
          </w:p>
        </w:tc>
        <w:tc>
          <w:tcPr>
            <w:tcW w:w="1365" w:type="dxa"/>
            <w:tcBorders>
              <w:top w:val="nil"/>
              <w:left w:val="nil"/>
              <w:bottom w:val="single" w:sz="4" w:space="0" w:color="auto"/>
            </w:tcBorders>
            <w:vAlign w:val="bottom"/>
          </w:tcPr>
          <w:p w:rsidR="00A76913" w:rsidRDefault="00A76913" w:rsidP="006B57F8">
            <w:pPr>
              <w:pStyle w:val="IASBTableArial"/>
              <w:jc w:val="right"/>
            </w:pPr>
            <w:r>
              <w:t>(40)</w:t>
            </w:r>
          </w:p>
        </w:tc>
      </w:tr>
      <w:tr w:rsidR="00A76913" w:rsidTr="006B57F8">
        <w:trPr>
          <w:cantSplit/>
        </w:trPr>
        <w:tc>
          <w:tcPr>
            <w:tcW w:w="6879" w:type="dxa"/>
            <w:tcBorders>
              <w:top w:val="nil"/>
            </w:tcBorders>
            <w:vAlign w:val="bottom"/>
          </w:tcPr>
          <w:p w:rsidR="00A76913" w:rsidRDefault="00A76913" w:rsidP="006B57F8">
            <w:pPr>
              <w:pStyle w:val="IASBTableArial"/>
            </w:pPr>
            <w:r>
              <w:lastRenderedPageBreak/>
              <w:t>Profit before taxation</w:t>
            </w:r>
          </w:p>
        </w:tc>
        <w:tc>
          <w:tcPr>
            <w:tcW w:w="1365" w:type="dxa"/>
            <w:tcBorders>
              <w:top w:val="nil"/>
              <w:left w:val="nil"/>
            </w:tcBorders>
            <w:vAlign w:val="bottom"/>
          </w:tcPr>
          <w:p w:rsidR="00A76913" w:rsidRDefault="00A76913" w:rsidP="006B57F8">
            <w:pPr>
              <w:pStyle w:val="IASBTableArial"/>
              <w:jc w:val="right"/>
            </w:pPr>
            <w:r>
              <w:t>3,350</w:t>
            </w:r>
          </w:p>
        </w:tc>
      </w:tr>
      <w:tr w:rsidR="00A76913" w:rsidTr="006B57F8">
        <w:trPr>
          <w:cantSplit/>
        </w:trPr>
        <w:tc>
          <w:tcPr>
            <w:tcW w:w="6879" w:type="dxa"/>
            <w:tcBorders>
              <w:top w:val="nil"/>
            </w:tcBorders>
            <w:vAlign w:val="bottom"/>
          </w:tcPr>
          <w:p w:rsidR="00A76913" w:rsidRDefault="00A76913" w:rsidP="006B57F8">
            <w:pPr>
              <w:pStyle w:val="IASBTableArial"/>
            </w:pPr>
            <w:r>
              <w:t>Taxes on income</w:t>
            </w:r>
          </w:p>
        </w:tc>
        <w:tc>
          <w:tcPr>
            <w:tcW w:w="1365" w:type="dxa"/>
            <w:tcBorders>
              <w:top w:val="nil"/>
              <w:left w:val="nil"/>
              <w:bottom w:val="single" w:sz="4" w:space="0" w:color="auto"/>
            </w:tcBorders>
            <w:vAlign w:val="bottom"/>
          </w:tcPr>
          <w:p w:rsidR="00A76913" w:rsidRDefault="00A76913" w:rsidP="006B57F8">
            <w:pPr>
              <w:pStyle w:val="IASBTableArial"/>
              <w:jc w:val="right"/>
            </w:pPr>
            <w:r>
              <w:t>(300)</w:t>
            </w:r>
          </w:p>
        </w:tc>
      </w:tr>
      <w:tr w:rsidR="00A76913" w:rsidTr="006B57F8">
        <w:trPr>
          <w:cantSplit/>
        </w:trPr>
        <w:tc>
          <w:tcPr>
            <w:tcW w:w="6879" w:type="dxa"/>
            <w:tcBorders>
              <w:top w:val="nil"/>
            </w:tcBorders>
            <w:vAlign w:val="bottom"/>
          </w:tcPr>
          <w:p w:rsidR="00A76913" w:rsidRDefault="00A76913" w:rsidP="006B57F8">
            <w:pPr>
              <w:pStyle w:val="IASBTableArial"/>
            </w:pPr>
            <w:r>
              <w:t>Profit</w:t>
            </w:r>
          </w:p>
        </w:tc>
        <w:tc>
          <w:tcPr>
            <w:tcW w:w="1365" w:type="dxa"/>
            <w:tcBorders>
              <w:top w:val="nil"/>
              <w:left w:val="nil"/>
              <w:bottom w:val="double" w:sz="4" w:space="0" w:color="auto"/>
            </w:tcBorders>
            <w:vAlign w:val="bottom"/>
          </w:tcPr>
          <w:p w:rsidR="00A76913" w:rsidRDefault="00A76913" w:rsidP="006B57F8">
            <w:pPr>
              <w:pStyle w:val="IASBTableArial"/>
              <w:jc w:val="right"/>
            </w:pPr>
            <w:r>
              <w:t>3,050</w:t>
            </w:r>
          </w:p>
        </w:tc>
      </w:tr>
      <w:tr w:rsidR="00A76913" w:rsidTr="006B57F8">
        <w:trPr>
          <w:cantSplit/>
        </w:trPr>
        <w:tc>
          <w:tcPr>
            <w:tcW w:w="8244" w:type="dxa"/>
            <w:gridSpan w:val="2"/>
            <w:tcBorders>
              <w:top w:val="nil"/>
            </w:tcBorders>
            <w:vAlign w:val="bottom"/>
          </w:tcPr>
          <w:p w:rsidR="00A76913" w:rsidRDefault="00A76913" w:rsidP="006B57F8">
            <w:pPr>
              <w:pStyle w:val="IASBTableTNR"/>
            </w:pPr>
            <w:r>
              <w:rPr>
                <w:rStyle w:val="FootnoteReference"/>
                <w:sz w:val="16"/>
                <w:vertAlign w:val="baseline"/>
              </w:rPr>
              <w:t>(a)</w:t>
            </w:r>
            <w:r>
              <w:rPr>
                <w:rStyle w:val="FootnoteReference"/>
                <w:sz w:val="16"/>
                <w:vertAlign w:val="baseline"/>
              </w:rPr>
              <w:tab/>
              <w:t>The entity did not recognise any components of other comprehensive income in the period ended 20X2</w:t>
            </w:r>
          </w:p>
        </w:tc>
      </w:tr>
    </w:tbl>
    <w:p w:rsidR="00A76913" w:rsidRDefault="00A76913" w:rsidP="00A76913">
      <w:pPr>
        <w:pStyle w:val="IASBNormalnpara"/>
      </w:pPr>
    </w:p>
    <w:tbl>
      <w:tblPr>
        <w:tblW w:w="0" w:type="auto"/>
        <w:tblInd w:w="964" w:type="dxa"/>
        <w:tblLayout w:type="fixed"/>
        <w:tblLook w:val="0000" w:firstRow="0" w:lastRow="0" w:firstColumn="0" w:lastColumn="0" w:noHBand="0" w:noVBand="0"/>
        <w:tblCaption w:val="AASB 107 Table 3"/>
      </w:tblPr>
      <w:tblGrid>
        <w:gridCol w:w="2693"/>
        <w:gridCol w:w="1183"/>
        <w:gridCol w:w="273"/>
        <w:gridCol w:w="1183"/>
        <w:gridCol w:w="273"/>
        <w:gridCol w:w="1183"/>
        <w:gridCol w:w="273"/>
        <w:gridCol w:w="1183"/>
      </w:tblGrid>
      <w:tr w:rsidR="00A76913" w:rsidTr="006B57F8">
        <w:trPr>
          <w:cantSplit/>
          <w:tblHeader/>
        </w:trPr>
        <w:tc>
          <w:tcPr>
            <w:tcW w:w="8244" w:type="dxa"/>
            <w:gridSpan w:val="8"/>
            <w:tcBorders>
              <w:bottom w:val="single" w:sz="4" w:space="0" w:color="auto"/>
            </w:tcBorders>
            <w:vAlign w:val="bottom"/>
          </w:tcPr>
          <w:p w:rsidR="00A76913" w:rsidRDefault="00A76913" w:rsidP="006B57F8">
            <w:pPr>
              <w:pStyle w:val="IASBTableHeaderArial"/>
            </w:pPr>
            <w:r>
              <w:rPr>
                <w:b/>
              </w:rPr>
              <w:t>Consolidated statement of financial position as at end of 20X2</w:t>
            </w:r>
          </w:p>
        </w:tc>
      </w:tr>
      <w:tr w:rsidR="00A76913" w:rsidTr="006B57F8">
        <w:trPr>
          <w:cantSplit/>
          <w:tblHeader/>
        </w:trPr>
        <w:tc>
          <w:tcPr>
            <w:tcW w:w="2693" w:type="dxa"/>
            <w:tcBorders>
              <w:top w:val="nil"/>
            </w:tcBorders>
            <w:vAlign w:val="bottom"/>
          </w:tcPr>
          <w:p w:rsidR="00A76913" w:rsidRDefault="00A76913" w:rsidP="006B57F8">
            <w:pPr>
              <w:pStyle w:val="IASBTableHeaderArial"/>
            </w:pPr>
          </w:p>
        </w:tc>
        <w:tc>
          <w:tcPr>
            <w:tcW w:w="1183" w:type="dxa"/>
            <w:tcBorders>
              <w:top w:val="nil"/>
              <w:left w:val="nil"/>
            </w:tcBorders>
            <w:vAlign w:val="bottom"/>
          </w:tcPr>
          <w:p w:rsidR="00A76913" w:rsidRDefault="00A76913" w:rsidP="006B57F8">
            <w:pPr>
              <w:pStyle w:val="IASBTableHeaderArial"/>
            </w:pPr>
          </w:p>
        </w:tc>
        <w:tc>
          <w:tcPr>
            <w:tcW w:w="273" w:type="dxa"/>
            <w:tcBorders>
              <w:top w:val="nil"/>
              <w:left w:val="nil"/>
            </w:tcBorders>
            <w:vAlign w:val="bottom"/>
          </w:tcPr>
          <w:p w:rsidR="00A76913" w:rsidRDefault="00A76913" w:rsidP="006B57F8">
            <w:pPr>
              <w:pStyle w:val="IASBTableHeaderArial"/>
            </w:pPr>
          </w:p>
        </w:tc>
        <w:tc>
          <w:tcPr>
            <w:tcW w:w="1183" w:type="dxa"/>
            <w:tcBorders>
              <w:top w:val="nil"/>
              <w:left w:val="nil"/>
            </w:tcBorders>
            <w:vAlign w:val="bottom"/>
          </w:tcPr>
          <w:p w:rsidR="00A76913" w:rsidRDefault="00A76913" w:rsidP="006B57F8">
            <w:pPr>
              <w:pStyle w:val="IASBTableHeaderArial"/>
              <w:jc w:val="right"/>
            </w:pPr>
            <w:r>
              <w:rPr>
                <w:b/>
              </w:rPr>
              <w:t>20X2</w:t>
            </w:r>
          </w:p>
        </w:tc>
        <w:tc>
          <w:tcPr>
            <w:tcW w:w="273" w:type="dxa"/>
            <w:tcBorders>
              <w:top w:val="nil"/>
              <w:left w:val="nil"/>
            </w:tcBorders>
            <w:vAlign w:val="bottom"/>
          </w:tcPr>
          <w:p w:rsidR="00A76913" w:rsidRDefault="00A76913" w:rsidP="006B57F8">
            <w:pPr>
              <w:pStyle w:val="IASBTableHeaderArial"/>
            </w:pPr>
          </w:p>
        </w:tc>
        <w:tc>
          <w:tcPr>
            <w:tcW w:w="1183" w:type="dxa"/>
            <w:tcBorders>
              <w:top w:val="nil"/>
              <w:left w:val="nil"/>
            </w:tcBorders>
            <w:vAlign w:val="bottom"/>
          </w:tcPr>
          <w:p w:rsidR="00A76913" w:rsidRDefault="00A76913" w:rsidP="006B57F8">
            <w:pPr>
              <w:pStyle w:val="IASBTableHeaderArial"/>
            </w:pPr>
          </w:p>
        </w:tc>
        <w:tc>
          <w:tcPr>
            <w:tcW w:w="273" w:type="dxa"/>
            <w:tcBorders>
              <w:top w:val="nil"/>
              <w:left w:val="nil"/>
            </w:tcBorders>
            <w:vAlign w:val="bottom"/>
          </w:tcPr>
          <w:p w:rsidR="00A76913" w:rsidRDefault="00A76913" w:rsidP="006B57F8">
            <w:pPr>
              <w:pStyle w:val="IASBTableHeaderArial"/>
            </w:pPr>
          </w:p>
        </w:tc>
        <w:tc>
          <w:tcPr>
            <w:tcW w:w="1183" w:type="dxa"/>
            <w:tcBorders>
              <w:top w:val="nil"/>
              <w:left w:val="nil"/>
            </w:tcBorders>
            <w:vAlign w:val="bottom"/>
          </w:tcPr>
          <w:p w:rsidR="00A76913" w:rsidRDefault="00A76913" w:rsidP="006B57F8">
            <w:pPr>
              <w:pStyle w:val="IASBTableHeaderArial"/>
              <w:jc w:val="right"/>
            </w:pPr>
            <w:r>
              <w:rPr>
                <w:b/>
              </w:rPr>
              <w:t>20X1</w:t>
            </w:r>
          </w:p>
        </w:tc>
      </w:tr>
      <w:tr w:rsidR="00A76913" w:rsidTr="006B57F8">
        <w:trPr>
          <w:cantSplit/>
        </w:trPr>
        <w:tc>
          <w:tcPr>
            <w:tcW w:w="2693" w:type="dxa"/>
            <w:tcBorders>
              <w:top w:val="nil"/>
            </w:tcBorders>
            <w:vAlign w:val="bottom"/>
          </w:tcPr>
          <w:p w:rsidR="00A76913" w:rsidRDefault="00A76913" w:rsidP="006B57F8">
            <w:pPr>
              <w:pStyle w:val="IASBTableArial"/>
            </w:pPr>
            <w:r>
              <w:rPr>
                <w:b/>
              </w:rPr>
              <w:t>Assets</w:t>
            </w: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r>
      <w:tr w:rsidR="00A76913" w:rsidTr="006B57F8">
        <w:trPr>
          <w:cantSplit/>
        </w:trPr>
        <w:tc>
          <w:tcPr>
            <w:tcW w:w="2693" w:type="dxa"/>
            <w:tcBorders>
              <w:top w:val="nil"/>
            </w:tcBorders>
            <w:vAlign w:val="bottom"/>
          </w:tcPr>
          <w:p w:rsidR="00A76913" w:rsidRDefault="00A76913" w:rsidP="006B57F8">
            <w:pPr>
              <w:pStyle w:val="IASBTableArial"/>
            </w:pPr>
            <w:r>
              <w:t>Cash and cash equivalents</w:t>
            </w: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jc w:val="right"/>
            </w:pPr>
            <w:r>
              <w:t>230</w:t>
            </w: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jc w:val="right"/>
            </w:pPr>
            <w:r>
              <w:t>160</w:t>
            </w:r>
          </w:p>
        </w:tc>
      </w:tr>
      <w:tr w:rsidR="00A76913" w:rsidTr="006B57F8">
        <w:trPr>
          <w:cantSplit/>
        </w:trPr>
        <w:tc>
          <w:tcPr>
            <w:tcW w:w="2693" w:type="dxa"/>
            <w:tcBorders>
              <w:top w:val="nil"/>
            </w:tcBorders>
            <w:vAlign w:val="bottom"/>
          </w:tcPr>
          <w:p w:rsidR="00A76913" w:rsidRDefault="00A76913" w:rsidP="006B57F8">
            <w:pPr>
              <w:pStyle w:val="IASBTableArial"/>
            </w:pPr>
            <w:r>
              <w:t>Accounts receivable</w:t>
            </w: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jc w:val="right"/>
            </w:pPr>
            <w:r>
              <w:t>1,900</w:t>
            </w: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jc w:val="right"/>
            </w:pPr>
            <w:r>
              <w:t>1,200</w:t>
            </w:r>
          </w:p>
        </w:tc>
      </w:tr>
      <w:tr w:rsidR="00A76913" w:rsidTr="006B57F8">
        <w:trPr>
          <w:cantSplit/>
        </w:trPr>
        <w:tc>
          <w:tcPr>
            <w:tcW w:w="2693" w:type="dxa"/>
            <w:tcBorders>
              <w:top w:val="nil"/>
            </w:tcBorders>
            <w:vAlign w:val="bottom"/>
          </w:tcPr>
          <w:p w:rsidR="00A76913" w:rsidRDefault="00A76913" w:rsidP="006B57F8">
            <w:pPr>
              <w:pStyle w:val="IASBTableArial"/>
            </w:pPr>
            <w:r>
              <w:t>Inventory</w:t>
            </w: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jc w:val="right"/>
            </w:pPr>
            <w:r>
              <w:t>1,000</w:t>
            </w: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jc w:val="right"/>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jc w:val="right"/>
            </w:pPr>
            <w:r>
              <w:t>1,950</w:t>
            </w:r>
          </w:p>
        </w:tc>
      </w:tr>
      <w:tr w:rsidR="00A76913" w:rsidTr="006B57F8">
        <w:trPr>
          <w:cantSplit/>
        </w:trPr>
        <w:tc>
          <w:tcPr>
            <w:tcW w:w="2693" w:type="dxa"/>
            <w:tcBorders>
              <w:top w:val="nil"/>
            </w:tcBorders>
            <w:vAlign w:val="bottom"/>
          </w:tcPr>
          <w:p w:rsidR="00A76913" w:rsidRDefault="00A76913" w:rsidP="006B57F8">
            <w:pPr>
              <w:pStyle w:val="IASBTableArial"/>
            </w:pPr>
            <w:r>
              <w:t>Portfolio investments</w:t>
            </w: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jc w:val="right"/>
            </w:pPr>
            <w:r>
              <w:t>2,500</w:t>
            </w: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jc w:val="right"/>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jc w:val="right"/>
            </w:pPr>
            <w:r>
              <w:t>2,500</w:t>
            </w:r>
          </w:p>
        </w:tc>
      </w:tr>
      <w:tr w:rsidR="00A76913" w:rsidTr="006B57F8">
        <w:trPr>
          <w:cantSplit/>
        </w:trPr>
        <w:tc>
          <w:tcPr>
            <w:tcW w:w="2693" w:type="dxa"/>
            <w:tcBorders>
              <w:top w:val="nil"/>
            </w:tcBorders>
            <w:vAlign w:val="bottom"/>
          </w:tcPr>
          <w:p w:rsidR="00A76913" w:rsidRDefault="00A76913" w:rsidP="006B57F8">
            <w:pPr>
              <w:pStyle w:val="IASBTableArial"/>
            </w:pPr>
            <w:r>
              <w:t>Property, plant and equipment at cost</w:t>
            </w:r>
          </w:p>
        </w:tc>
        <w:tc>
          <w:tcPr>
            <w:tcW w:w="1183" w:type="dxa"/>
            <w:tcBorders>
              <w:top w:val="nil"/>
              <w:left w:val="nil"/>
            </w:tcBorders>
            <w:vAlign w:val="bottom"/>
          </w:tcPr>
          <w:p w:rsidR="00A76913" w:rsidRDefault="00A76913" w:rsidP="006B57F8">
            <w:pPr>
              <w:pStyle w:val="IASBTableArial"/>
              <w:jc w:val="right"/>
            </w:pPr>
            <w:r>
              <w:t>3,730</w:t>
            </w: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jc w:val="right"/>
            </w:pPr>
            <w:r>
              <w:t>1,910</w:t>
            </w: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r>
      <w:tr w:rsidR="00A76913" w:rsidTr="006B57F8">
        <w:trPr>
          <w:cantSplit/>
        </w:trPr>
        <w:tc>
          <w:tcPr>
            <w:tcW w:w="2693" w:type="dxa"/>
            <w:tcBorders>
              <w:top w:val="nil"/>
            </w:tcBorders>
            <w:vAlign w:val="bottom"/>
          </w:tcPr>
          <w:p w:rsidR="00A76913" w:rsidRDefault="00A76913" w:rsidP="006B57F8">
            <w:pPr>
              <w:pStyle w:val="IASBTableArial"/>
            </w:pPr>
            <w:r>
              <w:t>Accumulated depreciation</w:t>
            </w:r>
          </w:p>
        </w:tc>
        <w:tc>
          <w:tcPr>
            <w:tcW w:w="1183" w:type="dxa"/>
            <w:tcBorders>
              <w:top w:val="nil"/>
              <w:left w:val="nil"/>
              <w:bottom w:val="single" w:sz="4" w:space="0" w:color="auto"/>
            </w:tcBorders>
            <w:vAlign w:val="bottom"/>
          </w:tcPr>
          <w:p w:rsidR="00A76913" w:rsidRDefault="00A76913" w:rsidP="006B57F8">
            <w:pPr>
              <w:pStyle w:val="IASBTableArial"/>
              <w:jc w:val="right"/>
            </w:pPr>
            <w:r>
              <w:t>(1,450)</w:t>
            </w: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bottom w:val="single" w:sz="4" w:space="0" w:color="auto"/>
            </w:tcBorders>
            <w:vAlign w:val="bottom"/>
          </w:tcPr>
          <w:p w:rsidR="00A76913" w:rsidRDefault="00A76913" w:rsidP="006B57F8">
            <w:pPr>
              <w:pStyle w:val="IASBTableArial"/>
              <w:jc w:val="right"/>
            </w:pPr>
            <w:r>
              <w:t>(1,060)</w:t>
            </w: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r>
      <w:tr w:rsidR="00A76913" w:rsidTr="006B57F8">
        <w:trPr>
          <w:cantSplit/>
        </w:trPr>
        <w:tc>
          <w:tcPr>
            <w:tcW w:w="2693" w:type="dxa"/>
            <w:tcBorders>
              <w:top w:val="nil"/>
            </w:tcBorders>
            <w:vAlign w:val="bottom"/>
          </w:tcPr>
          <w:p w:rsidR="00A76913" w:rsidRDefault="00A76913" w:rsidP="006B57F8">
            <w:pPr>
              <w:pStyle w:val="IASBTableArial"/>
            </w:pPr>
            <w:r>
              <w:t>Property, plant and equipment net</w:t>
            </w: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bottom w:val="single" w:sz="4" w:space="0" w:color="auto"/>
            </w:tcBorders>
            <w:vAlign w:val="bottom"/>
          </w:tcPr>
          <w:p w:rsidR="00A76913" w:rsidRDefault="00A76913" w:rsidP="006B57F8">
            <w:pPr>
              <w:pStyle w:val="IASBTableArial"/>
              <w:jc w:val="right"/>
            </w:pPr>
            <w:r>
              <w:t>2,280</w:t>
            </w: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bottom w:val="single" w:sz="4" w:space="0" w:color="auto"/>
            </w:tcBorders>
            <w:vAlign w:val="bottom"/>
          </w:tcPr>
          <w:p w:rsidR="00A76913" w:rsidRDefault="00A76913" w:rsidP="006B57F8">
            <w:pPr>
              <w:pStyle w:val="IASBTableArial"/>
              <w:jc w:val="right"/>
            </w:pPr>
            <w:r>
              <w:t>850</w:t>
            </w:r>
          </w:p>
        </w:tc>
      </w:tr>
      <w:tr w:rsidR="00A76913" w:rsidTr="006B57F8">
        <w:trPr>
          <w:cantSplit/>
        </w:trPr>
        <w:tc>
          <w:tcPr>
            <w:tcW w:w="2693" w:type="dxa"/>
            <w:tcBorders>
              <w:top w:val="nil"/>
            </w:tcBorders>
            <w:vAlign w:val="bottom"/>
          </w:tcPr>
          <w:p w:rsidR="00A76913" w:rsidRDefault="00A76913" w:rsidP="006B57F8">
            <w:pPr>
              <w:pStyle w:val="IASBTableArial"/>
            </w:pPr>
            <w:r>
              <w:t>Total assets</w:t>
            </w: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bottom w:val="double" w:sz="4" w:space="0" w:color="auto"/>
            </w:tcBorders>
            <w:vAlign w:val="bottom"/>
          </w:tcPr>
          <w:p w:rsidR="00A76913" w:rsidRDefault="00A76913" w:rsidP="006B57F8">
            <w:pPr>
              <w:pStyle w:val="IASBTableArial"/>
              <w:jc w:val="right"/>
            </w:pPr>
            <w:r>
              <w:t>7,910</w:t>
            </w: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bottom w:val="double" w:sz="4" w:space="0" w:color="auto"/>
            </w:tcBorders>
            <w:vAlign w:val="bottom"/>
          </w:tcPr>
          <w:p w:rsidR="00A76913" w:rsidRDefault="00A76913" w:rsidP="006B57F8">
            <w:pPr>
              <w:pStyle w:val="IASBTableArial"/>
              <w:jc w:val="right"/>
            </w:pPr>
            <w:r>
              <w:t>6,660</w:t>
            </w:r>
          </w:p>
        </w:tc>
      </w:tr>
      <w:tr w:rsidR="00A76913" w:rsidTr="006B57F8">
        <w:trPr>
          <w:gridAfter w:val="3"/>
          <w:wAfter w:w="2639" w:type="dxa"/>
          <w:cantSplit/>
        </w:trPr>
        <w:tc>
          <w:tcPr>
            <w:tcW w:w="5605" w:type="dxa"/>
            <w:gridSpan w:val="5"/>
            <w:tcBorders>
              <w:top w:val="nil"/>
            </w:tcBorders>
            <w:vAlign w:val="bottom"/>
          </w:tcPr>
          <w:p w:rsidR="00A76913" w:rsidRDefault="00A76913" w:rsidP="006B57F8">
            <w:pPr>
              <w:pStyle w:val="IASBTableArial"/>
            </w:pPr>
          </w:p>
        </w:tc>
      </w:tr>
      <w:tr w:rsidR="00A76913" w:rsidTr="006B57F8">
        <w:trPr>
          <w:cantSplit/>
        </w:trPr>
        <w:tc>
          <w:tcPr>
            <w:tcW w:w="2693" w:type="dxa"/>
            <w:tcBorders>
              <w:top w:val="nil"/>
            </w:tcBorders>
            <w:vAlign w:val="bottom"/>
          </w:tcPr>
          <w:p w:rsidR="00A76913" w:rsidRDefault="00A76913" w:rsidP="006B57F8">
            <w:pPr>
              <w:pStyle w:val="IASBTableArial"/>
            </w:pPr>
            <w:r>
              <w:rPr>
                <w:b/>
              </w:rPr>
              <w:t>Liabilities</w:t>
            </w: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r>
      <w:tr w:rsidR="00A76913" w:rsidTr="006B57F8">
        <w:trPr>
          <w:cantSplit/>
        </w:trPr>
        <w:tc>
          <w:tcPr>
            <w:tcW w:w="2693" w:type="dxa"/>
            <w:tcBorders>
              <w:top w:val="nil"/>
            </w:tcBorders>
            <w:vAlign w:val="bottom"/>
          </w:tcPr>
          <w:p w:rsidR="00A76913" w:rsidRDefault="00A76913" w:rsidP="006B57F8">
            <w:pPr>
              <w:pStyle w:val="IASBTableArial"/>
            </w:pPr>
            <w:r>
              <w:t>Trade payables</w:t>
            </w: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jc w:val="right"/>
            </w:pPr>
            <w:r>
              <w:t>250</w:t>
            </w: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jc w:val="right"/>
            </w:pPr>
            <w:r>
              <w:t>1,890</w:t>
            </w:r>
          </w:p>
        </w:tc>
      </w:tr>
      <w:tr w:rsidR="00A76913" w:rsidTr="006B57F8">
        <w:trPr>
          <w:cantSplit/>
        </w:trPr>
        <w:tc>
          <w:tcPr>
            <w:tcW w:w="2693" w:type="dxa"/>
            <w:tcBorders>
              <w:top w:val="nil"/>
            </w:tcBorders>
            <w:vAlign w:val="bottom"/>
          </w:tcPr>
          <w:p w:rsidR="00A76913" w:rsidRDefault="00A76913" w:rsidP="006B57F8">
            <w:pPr>
              <w:pStyle w:val="IASBTableArial"/>
            </w:pPr>
            <w:r>
              <w:t>Interest payable</w:t>
            </w: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jc w:val="right"/>
            </w:pPr>
            <w:r>
              <w:t>230</w:t>
            </w: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jc w:val="right"/>
            </w:pPr>
            <w:r>
              <w:t>100</w:t>
            </w:r>
          </w:p>
        </w:tc>
      </w:tr>
      <w:tr w:rsidR="00A76913" w:rsidTr="006B57F8">
        <w:trPr>
          <w:cantSplit/>
        </w:trPr>
        <w:tc>
          <w:tcPr>
            <w:tcW w:w="2693" w:type="dxa"/>
            <w:tcBorders>
              <w:top w:val="nil"/>
            </w:tcBorders>
            <w:vAlign w:val="bottom"/>
          </w:tcPr>
          <w:p w:rsidR="00A76913" w:rsidRDefault="00A76913" w:rsidP="006B57F8">
            <w:pPr>
              <w:pStyle w:val="IASBTableArial"/>
            </w:pPr>
            <w:r>
              <w:t>Income taxes payable</w:t>
            </w: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jc w:val="right"/>
            </w:pPr>
            <w:r>
              <w:t>400</w:t>
            </w: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jc w:val="right"/>
            </w:pPr>
            <w:r>
              <w:t>1,000</w:t>
            </w:r>
          </w:p>
        </w:tc>
      </w:tr>
      <w:tr w:rsidR="00A76913" w:rsidTr="006B57F8">
        <w:trPr>
          <w:cantSplit/>
        </w:trPr>
        <w:tc>
          <w:tcPr>
            <w:tcW w:w="2693" w:type="dxa"/>
            <w:tcBorders>
              <w:top w:val="nil"/>
            </w:tcBorders>
            <w:vAlign w:val="bottom"/>
          </w:tcPr>
          <w:p w:rsidR="00A76913" w:rsidRDefault="00A76913" w:rsidP="006B57F8">
            <w:pPr>
              <w:pStyle w:val="IASBTableArial"/>
            </w:pPr>
            <w:r>
              <w:t>Long-term debt</w:t>
            </w: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bottom w:val="single" w:sz="4" w:space="0" w:color="auto"/>
            </w:tcBorders>
            <w:vAlign w:val="bottom"/>
          </w:tcPr>
          <w:p w:rsidR="00A76913" w:rsidRDefault="00A76913" w:rsidP="006B57F8">
            <w:pPr>
              <w:pStyle w:val="IASBTableArial"/>
              <w:jc w:val="right"/>
            </w:pPr>
            <w:r>
              <w:t>2,300</w:t>
            </w: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bottom w:val="single" w:sz="4" w:space="0" w:color="auto"/>
            </w:tcBorders>
            <w:vAlign w:val="bottom"/>
          </w:tcPr>
          <w:p w:rsidR="00A76913" w:rsidRDefault="00A76913" w:rsidP="006B57F8">
            <w:pPr>
              <w:pStyle w:val="IASBTableArial"/>
              <w:jc w:val="right"/>
            </w:pPr>
            <w:r>
              <w:t>1,040</w:t>
            </w:r>
          </w:p>
        </w:tc>
      </w:tr>
      <w:tr w:rsidR="00A76913" w:rsidTr="006B57F8">
        <w:trPr>
          <w:cantSplit/>
        </w:trPr>
        <w:tc>
          <w:tcPr>
            <w:tcW w:w="2693" w:type="dxa"/>
            <w:tcBorders>
              <w:top w:val="nil"/>
            </w:tcBorders>
            <w:vAlign w:val="bottom"/>
          </w:tcPr>
          <w:p w:rsidR="00A76913" w:rsidRDefault="00A76913" w:rsidP="006B57F8">
            <w:pPr>
              <w:pStyle w:val="IASBTableArial"/>
            </w:pPr>
            <w:r>
              <w:t>Total liabilities</w:t>
            </w: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bottom w:val="single" w:sz="4" w:space="0" w:color="auto"/>
            </w:tcBorders>
            <w:vAlign w:val="bottom"/>
          </w:tcPr>
          <w:p w:rsidR="00A76913" w:rsidRDefault="00A76913" w:rsidP="006B57F8">
            <w:pPr>
              <w:pStyle w:val="IASBTableArial"/>
              <w:jc w:val="right"/>
            </w:pPr>
            <w:r>
              <w:t>3,180</w:t>
            </w: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bottom w:val="single" w:sz="4" w:space="0" w:color="auto"/>
            </w:tcBorders>
            <w:vAlign w:val="bottom"/>
          </w:tcPr>
          <w:p w:rsidR="00A76913" w:rsidRDefault="00A76913" w:rsidP="006B57F8">
            <w:pPr>
              <w:pStyle w:val="IASBTableArial"/>
              <w:jc w:val="right"/>
            </w:pPr>
            <w:r>
              <w:t>4,030</w:t>
            </w:r>
          </w:p>
        </w:tc>
      </w:tr>
      <w:tr w:rsidR="00A76913" w:rsidTr="006B57F8">
        <w:trPr>
          <w:cantSplit/>
        </w:trPr>
        <w:tc>
          <w:tcPr>
            <w:tcW w:w="5605" w:type="dxa"/>
            <w:gridSpan w:val="5"/>
            <w:tcBorders>
              <w:top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r>
      <w:tr w:rsidR="00A76913" w:rsidTr="006B57F8">
        <w:trPr>
          <w:cantSplit/>
        </w:trPr>
        <w:tc>
          <w:tcPr>
            <w:tcW w:w="2693" w:type="dxa"/>
            <w:tcBorders>
              <w:top w:val="nil"/>
            </w:tcBorders>
            <w:vAlign w:val="bottom"/>
          </w:tcPr>
          <w:p w:rsidR="00A76913" w:rsidRDefault="00A76913" w:rsidP="006B57F8">
            <w:pPr>
              <w:pStyle w:val="IASBTableArial"/>
            </w:pPr>
            <w:r>
              <w:rPr>
                <w:b/>
              </w:rPr>
              <w:t>Shareholders’ equity</w:t>
            </w: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r>
      <w:tr w:rsidR="00A76913" w:rsidTr="006B57F8">
        <w:trPr>
          <w:cantSplit/>
        </w:trPr>
        <w:tc>
          <w:tcPr>
            <w:tcW w:w="2693" w:type="dxa"/>
            <w:tcBorders>
              <w:top w:val="nil"/>
            </w:tcBorders>
            <w:vAlign w:val="bottom"/>
          </w:tcPr>
          <w:p w:rsidR="00A76913" w:rsidRDefault="00A76913" w:rsidP="006B57F8">
            <w:pPr>
              <w:pStyle w:val="IASBTableArial"/>
            </w:pPr>
            <w:r>
              <w:t>Share capital</w:t>
            </w: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jc w:val="right"/>
            </w:pPr>
            <w:r>
              <w:t>1,500</w:t>
            </w: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jc w:val="right"/>
            </w:pPr>
            <w:r>
              <w:t>1,250</w:t>
            </w:r>
          </w:p>
        </w:tc>
      </w:tr>
      <w:tr w:rsidR="00A76913" w:rsidTr="006B57F8">
        <w:trPr>
          <w:cantSplit/>
        </w:trPr>
        <w:tc>
          <w:tcPr>
            <w:tcW w:w="2693" w:type="dxa"/>
            <w:tcBorders>
              <w:top w:val="nil"/>
            </w:tcBorders>
            <w:vAlign w:val="bottom"/>
          </w:tcPr>
          <w:p w:rsidR="00A76913" w:rsidRDefault="00A76913" w:rsidP="006B57F8">
            <w:pPr>
              <w:pStyle w:val="IASBTableArial"/>
            </w:pPr>
            <w:r>
              <w:t>Retained earnings</w:t>
            </w: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bottom w:val="single" w:sz="4" w:space="0" w:color="auto"/>
            </w:tcBorders>
            <w:vAlign w:val="bottom"/>
          </w:tcPr>
          <w:p w:rsidR="00A76913" w:rsidRDefault="00A76913" w:rsidP="006B57F8">
            <w:pPr>
              <w:pStyle w:val="IASBTableArial"/>
              <w:jc w:val="right"/>
            </w:pPr>
            <w:r>
              <w:t>3,230</w:t>
            </w: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bottom w:val="single" w:sz="4" w:space="0" w:color="auto"/>
            </w:tcBorders>
            <w:vAlign w:val="bottom"/>
          </w:tcPr>
          <w:p w:rsidR="00A76913" w:rsidRDefault="00A76913" w:rsidP="006B57F8">
            <w:pPr>
              <w:pStyle w:val="IASBTableArial"/>
              <w:jc w:val="right"/>
            </w:pPr>
            <w:r>
              <w:t>1,380</w:t>
            </w:r>
          </w:p>
        </w:tc>
      </w:tr>
      <w:tr w:rsidR="00A76913" w:rsidTr="006B57F8">
        <w:trPr>
          <w:cantSplit/>
        </w:trPr>
        <w:tc>
          <w:tcPr>
            <w:tcW w:w="2693" w:type="dxa"/>
            <w:tcBorders>
              <w:top w:val="nil"/>
            </w:tcBorders>
            <w:vAlign w:val="bottom"/>
          </w:tcPr>
          <w:p w:rsidR="00A76913" w:rsidRDefault="00A76913" w:rsidP="006B57F8">
            <w:pPr>
              <w:pStyle w:val="IASBTableArial"/>
            </w:pPr>
            <w:r>
              <w:t>Total shareholders’ equity</w:t>
            </w: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bottom w:val="single" w:sz="4" w:space="0" w:color="auto"/>
            </w:tcBorders>
            <w:vAlign w:val="bottom"/>
          </w:tcPr>
          <w:p w:rsidR="00A76913" w:rsidRDefault="00A76913" w:rsidP="006B57F8">
            <w:pPr>
              <w:pStyle w:val="IASBTableArial"/>
              <w:jc w:val="right"/>
            </w:pPr>
            <w:r>
              <w:t>4,730</w:t>
            </w: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bottom w:val="single" w:sz="4" w:space="0" w:color="auto"/>
            </w:tcBorders>
            <w:vAlign w:val="bottom"/>
          </w:tcPr>
          <w:p w:rsidR="00A76913" w:rsidRDefault="00A76913" w:rsidP="006B57F8">
            <w:pPr>
              <w:pStyle w:val="IASBTableArial"/>
              <w:jc w:val="right"/>
            </w:pPr>
            <w:r>
              <w:t>2,630</w:t>
            </w:r>
          </w:p>
        </w:tc>
      </w:tr>
      <w:tr w:rsidR="00A76913" w:rsidTr="006B57F8">
        <w:trPr>
          <w:cantSplit/>
        </w:trPr>
        <w:tc>
          <w:tcPr>
            <w:tcW w:w="2693" w:type="dxa"/>
            <w:tcBorders>
              <w:top w:val="nil"/>
            </w:tcBorders>
            <w:vAlign w:val="bottom"/>
          </w:tcPr>
          <w:p w:rsidR="00A76913" w:rsidRDefault="00A76913" w:rsidP="006B57F8">
            <w:pPr>
              <w:pStyle w:val="IASBTableArial"/>
            </w:pPr>
            <w:r>
              <w:t>Total liabilities and shareholders’ equity</w:t>
            </w: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bottom w:val="double" w:sz="4" w:space="0" w:color="auto"/>
            </w:tcBorders>
            <w:vAlign w:val="bottom"/>
          </w:tcPr>
          <w:p w:rsidR="00A76913" w:rsidRDefault="00A76913" w:rsidP="006B57F8">
            <w:pPr>
              <w:pStyle w:val="IASBTableArial"/>
              <w:jc w:val="right"/>
            </w:pPr>
            <w:r>
              <w:t>7,910</w:t>
            </w: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183" w:type="dxa"/>
            <w:tcBorders>
              <w:top w:val="nil"/>
              <w:left w:val="nil"/>
              <w:bottom w:val="double" w:sz="4" w:space="0" w:color="auto"/>
            </w:tcBorders>
            <w:vAlign w:val="bottom"/>
          </w:tcPr>
          <w:p w:rsidR="00A76913" w:rsidRDefault="00A76913" w:rsidP="006B57F8">
            <w:pPr>
              <w:pStyle w:val="IASBTableArial"/>
              <w:jc w:val="right"/>
            </w:pPr>
            <w:r>
              <w:t>6,660</w:t>
            </w:r>
          </w:p>
        </w:tc>
      </w:tr>
    </w:tbl>
    <w:p w:rsidR="00A76913" w:rsidRDefault="00A76913" w:rsidP="00A76913">
      <w:pPr>
        <w:pStyle w:val="IASBNormalnpara"/>
      </w:pPr>
    </w:p>
    <w:tbl>
      <w:tblPr>
        <w:tblW w:w="0" w:type="auto"/>
        <w:tblInd w:w="964" w:type="dxa"/>
        <w:tblLayout w:type="fixed"/>
        <w:tblLook w:val="0000" w:firstRow="0" w:lastRow="0" w:firstColumn="0" w:lastColumn="0" w:noHBand="0" w:noVBand="0"/>
        <w:tblCaption w:val="AASB 107 Table 4"/>
      </w:tblPr>
      <w:tblGrid>
        <w:gridCol w:w="5241"/>
        <w:gridCol w:w="1365"/>
        <w:gridCol w:w="273"/>
        <w:gridCol w:w="1365"/>
      </w:tblGrid>
      <w:tr w:rsidR="00A76913" w:rsidTr="006B57F8">
        <w:trPr>
          <w:cantSplit/>
          <w:tblHeader/>
        </w:trPr>
        <w:tc>
          <w:tcPr>
            <w:tcW w:w="8244" w:type="dxa"/>
            <w:gridSpan w:val="4"/>
            <w:tcBorders>
              <w:bottom w:val="single" w:sz="4" w:space="0" w:color="auto"/>
            </w:tcBorders>
            <w:vAlign w:val="bottom"/>
          </w:tcPr>
          <w:p w:rsidR="00A76913" w:rsidRDefault="00A76913" w:rsidP="00A5609E">
            <w:pPr>
              <w:pStyle w:val="IASBTableHeaderArial"/>
            </w:pPr>
            <w:r>
              <w:rPr>
                <w:b/>
              </w:rPr>
              <w:lastRenderedPageBreak/>
              <w:t>Direct method statement of cash flows (paragraph 18(a))</w:t>
            </w:r>
          </w:p>
        </w:tc>
      </w:tr>
      <w:tr w:rsidR="00A76913" w:rsidTr="006B57F8">
        <w:trPr>
          <w:cantSplit/>
          <w:tblHeader/>
        </w:trPr>
        <w:tc>
          <w:tcPr>
            <w:tcW w:w="5241" w:type="dxa"/>
            <w:tcBorders>
              <w:top w:val="nil"/>
            </w:tcBorders>
            <w:vAlign w:val="bottom"/>
          </w:tcPr>
          <w:p w:rsidR="00A76913" w:rsidRDefault="00A76913" w:rsidP="00A5609E">
            <w:pPr>
              <w:pStyle w:val="IASBTableHeaderArial"/>
            </w:pPr>
          </w:p>
        </w:tc>
        <w:tc>
          <w:tcPr>
            <w:tcW w:w="1365" w:type="dxa"/>
            <w:tcBorders>
              <w:top w:val="nil"/>
              <w:left w:val="nil"/>
            </w:tcBorders>
            <w:vAlign w:val="bottom"/>
          </w:tcPr>
          <w:p w:rsidR="00A76913" w:rsidRDefault="00A76913" w:rsidP="006B57F8">
            <w:pPr>
              <w:pStyle w:val="IASBTableHeaderArial"/>
            </w:pPr>
          </w:p>
        </w:tc>
        <w:tc>
          <w:tcPr>
            <w:tcW w:w="273" w:type="dxa"/>
            <w:tcBorders>
              <w:top w:val="nil"/>
              <w:left w:val="nil"/>
            </w:tcBorders>
            <w:vAlign w:val="bottom"/>
          </w:tcPr>
          <w:p w:rsidR="00A76913" w:rsidRDefault="00A76913" w:rsidP="006B57F8">
            <w:pPr>
              <w:pStyle w:val="IASBTableHeaderArial"/>
            </w:pPr>
          </w:p>
        </w:tc>
        <w:tc>
          <w:tcPr>
            <w:tcW w:w="1365" w:type="dxa"/>
            <w:tcBorders>
              <w:top w:val="nil"/>
              <w:left w:val="nil"/>
            </w:tcBorders>
            <w:vAlign w:val="bottom"/>
          </w:tcPr>
          <w:p w:rsidR="00A76913" w:rsidRDefault="00A76913" w:rsidP="006B57F8">
            <w:pPr>
              <w:pStyle w:val="IASBTableHeaderArial"/>
              <w:jc w:val="right"/>
            </w:pPr>
            <w:r>
              <w:rPr>
                <w:b/>
              </w:rPr>
              <w:t>20X2</w:t>
            </w:r>
          </w:p>
        </w:tc>
      </w:tr>
      <w:tr w:rsidR="00A76913" w:rsidTr="006B57F8">
        <w:trPr>
          <w:gridAfter w:val="1"/>
          <w:wAfter w:w="1365" w:type="dxa"/>
          <w:cantSplit/>
        </w:trPr>
        <w:tc>
          <w:tcPr>
            <w:tcW w:w="5241" w:type="dxa"/>
            <w:tcBorders>
              <w:top w:val="nil"/>
            </w:tcBorders>
            <w:vAlign w:val="bottom"/>
          </w:tcPr>
          <w:p w:rsidR="00A76913" w:rsidRDefault="00A76913" w:rsidP="00A5609E">
            <w:pPr>
              <w:pStyle w:val="IASBTableTNR"/>
              <w:keepNext/>
            </w:pPr>
            <w:r>
              <w:rPr>
                <w:b/>
              </w:rPr>
              <w:t>Cash flows from operating activities</w:t>
            </w:r>
          </w:p>
        </w:tc>
        <w:tc>
          <w:tcPr>
            <w:tcW w:w="1365"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r>
      <w:tr w:rsidR="00A76913" w:rsidTr="006B57F8">
        <w:trPr>
          <w:gridAfter w:val="1"/>
          <w:wAfter w:w="1365" w:type="dxa"/>
          <w:cantSplit/>
        </w:trPr>
        <w:tc>
          <w:tcPr>
            <w:tcW w:w="5241" w:type="dxa"/>
            <w:tcBorders>
              <w:top w:val="nil"/>
            </w:tcBorders>
            <w:vAlign w:val="bottom"/>
          </w:tcPr>
          <w:p w:rsidR="00A76913" w:rsidRDefault="00A76913" w:rsidP="00A5609E">
            <w:pPr>
              <w:pStyle w:val="IASBTableTNR"/>
              <w:keepNext/>
            </w:pPr>
            <w:r>
              <w:t>Cash receipts from customers</w:t>
            </w:r>
          </w:p>
        </w:tc>
        <w:tc>
          <w:tcPr>
            <w:tcW w:w="1365" w:type="dxa"/>
            <w:tcBorders>
              <w:top w:val="nil"/>
              <w:left w:val="nil"/>
            </w:tcBorders>
            <w:vAlign w:val="bottom"/>
          </w:tcPr>
          <w:p w:rsidR="00A76913" w:rsidRDefault="00A76913" w:rsidP="006B57F8">
            <w:pPr>
              <w:pStyle w:val="IASBTableArial"/>
              <w:jc w:val="right"/>
            </w:pPr>
            <w:r>
              <w:t>30,150</w:t>
            </w:r>
          </w:p>
        </w:tc>
        <w:tc>
          <w:tcPr>
            <w:tcW w:w="273" w:type="dxa"/>
            <w:tcBorders>
              <w:top w:val="nil"/>
              <w:left w:val="nil"/>
            </w:tcBorders>
            <w:vAlign w:val="bottom"/>
          </w:tcPr>
          <w:p w:rsidR="00A76913" w:rsidRDefault="00A76913" w:rsidP="006B57F8">
            <w:pPr>
              <w:pStyle w:val="IASBTableArial"/>
              <w:jc w:val="right"/>
            </w:pPr>
          </w:p>
        </w:tc>
      </w:tr>
      <w:tr w:rsidR="00A76913" w:rsidTr="006B57F8">
        <w:trPr>
          <w:gridAfter w:val="1"/>
          <w:wAfter w:w="1365" w:type="dxa"/>
          <w:cantSplit/>
        </w:trPr>
        <w:tc>
          <w:tcPr>
            <w:tcW w:w="5241" w:type="dxa"/>
            <w:tcBorders>
              <w:top w:val="nil"/>
            </w:tcBorders>
            <w:vAlign w:val="bottom"/>
          </w:tcPr>
          <w:p w:rsidR="00A76913" w:rsidRDefault="00A76913" w:rsidP="00A5609E">
            <w:pPr>
              <w:pStyle w:val="IASBTableTNR"/>
              <w:keepNext/>
            </w:pPr>
            <w:r>
              <w:t>Cash paid to suppliers and employees</w:t>
            </w:r>
          </w:p>
        </w:tc>
        <w:tc>
          <w:tcPr>
            <w:tcW w:w="1365" w:type="dxa"/>
            <w:tcBorders>
              <w:top w:val="nil"/>
              <w:left w:val="nil"/>
              <w:bottom w:val="single" w:sz="4" w:space="0" w:color="auto"/>
            </w:tcBorders>
            <w:vAlign w:val="bottom"/>
          </w:tcPr>
          <w:p w:rsidR="00A76913" w:rsidRDefault="00A76913" w:rsidP="006B57F8">
            <w:pPr>
              <w:pStyle w:val="IASBTableArial"/>
              <w:jc w:val="right"/>
            </w:pPr>
            <w:r>
              <w:t>(27,600)</w:t>
            </w:r>
          </w:p>
        </w:tc>
        <w:tc>
          <w:tcPr>
            <w:tcW w:w="273" w:type="dxa"/>
            <w:tcBorders>
              <w:top w:val="nil"/>
              <w:left w:val="nil"/>
            </w:tcBorders>
            <w:vAlign w:val="bottom"/>
          </w:tcPr>
          <w:p w:rsidR="00A76913" w:rsidRDefault="00A76913" w:rsidP="006B57F8">
            <w:pPr>
              <w:pStyle w:val="IASBTableArial"/>
            </w:pPr>
          </w:p>
        </w:tc>
      </w:tr>
      <w:tr w:rsidR="00A76913" w:rsidTr="006B57F8">
        <w:trPr>
          <w:gridAfter w:val="1"/>
          <w:wAfter w:w="1365" w:type="dxa"/>
          <w:cantSplit/>
        </w:trPr>
        <w:tc>
          <w:tcPr>
            <w:tcW w:w="5241" w:type="dxa"/>
            <w:tcBorders>
              <w:top w:val="nil"/>
            </w:tcBorders>
          </w:tcPr>
          <w:p w:rsidR="00A76913" w:rsidRDefault="00A76913" w:rsidP="006B57F8">
            <w:pPr>
              <w:pStyle w:val="IASBTableArial"/>
            </w:pPr>
            <w:r>
              <w:t>Cash generated from operations</w:t>
            </w:r>
          </w:p>
        </w:tc>
        <w:tc>
          <w:tcPr>
            <w:tcW w:w="1365" w:type="dxa"/>
            <w:tcBorders>
              <w:top w:val="nil"/>
              <w:left w:val="nil"/>
            </w:tcBorders>
            <w:vAlign w:val="bottom"/>
          </w:tcPr>
          <w:p w:rsidR="00A76913" w:rsidRDefault="00A76913" w:rsidP="006B57F8">
            <w:pPr>
              <w:pStyle w:val="IASBTableArial"/>
              <w:jc w:val="right"/>
            </w:pPr>
            <w:r>
              <w:t>2,550</w:t>
            </w:r>
          </w:p>
        </w:tc>
        <w:tc>
          <w:tcPr>
            <w:tcW w:w="273" w:type="dxa"/>
            <w:tcBorders>
              <w:top w:val="nil"/>
              <w:left w:val="nil"/>
            </w:tcBorders>
            <w:vAlign w:val="bottom"/>
          </w:tcPr>
          <w:p w:rsidR="00A76913" w:rsidRDefault="00A76913" w:rsidP="006B57F8">
            <w:pPr>
              <w:pStyle w:val="IASBTableArial"/>
              <w:jc w:val="right"/>
            </w:pPr>
          </w:p>
        </w:tc>
      </w:tr>
      <w:tr w:rsidR="00A76913" w:rsidTr="006B57F8">
        <w:trPr>
          <w:gridAfter w:val="1"/>
          <w:wAfter w:w="1365" w:type="dxa"/>
          <w:cantSplit/>
        </w:trPr>
        <w:tc>
          <w:tcPr>
            <w:tcW w:w="5241" w:type="dxa"/>
            <w:tcBorders>
              <w:top w:val="nil"/>
            </w:tcBorders>
          </w:tcPr>
          <w:p w:rsidR="00A76913" w:rsidRDefault="00A76913" w:rsidP="006B57F8">
            <w:pPr>
              <w:pStyle w:val="IASBTableTNR"/>
            </w:pPr>
            <w:r>
              <w:t>Interest paid</w:t>
            </w:r>
          </w:p>
        </w:tc>
        <w:tc>
          <w:tcPr>
            <w:tcW w:w="1365" w:type="dxa"/>
            <w:tcBorders>
              <w:top w:val="nil"/>
              <w:left w:val="nil"/>
            </w:tcBorders>
            <w:vAlign w:val="bottom"/>
          </w:tcPr>
          <w:p w:rsidR="00A76913" w:rsidRDefault="00A76913" w:rsidP="006B57F8">
            <w:pPr>
              <w:pStyle w:val="IASBTableArial"/>
              <w:jc w:val="right"/>
            </w:pPr>
            <w:r>
              <w:t>(270)</w:t>
            </w:r>
          </w:p>
        </w:tc>
        <w:tc>
          <w:tcPr>
            <w:tcW w:w="273" w:type="dxa"/>
            <w:tcBorders>
              <w:top w:val="nil"/>
              <w:left w:val="nil"/>
            </w:tcBorders>
            <w:vAlign w:val="bottom"/>
          </w:tcPr>
          <w:p w:rsidR="00A76913" w:rsidRDefault="00A76913" w:rsidP="006B57F8">
            <w:pPr>
              <w:pStyle w:val="IASBTableArial"/>
              <w:jc w:val="right"/>
            </w:pPr>
          </w:p>
        </w:tc>
      </w:tr>
      <w:tr w:rsidR="00A76913" w:rsidTr="006B57F8">
        <w:trPr>
          <w:gridAfter w:val="1"/>
          <w:wAfter w:w="1365" w:type="dxa"/>
          <w:cantSplit/>
        </w:trPr>
        <w:tc>
          <w:tcPr>
            <w:tcW w:w="5241" w:type="dxa"/>
            <w:tcBorders>
              <w:top w:val="nil"/>
            </w:tcBorders>
          </w:tcPr>
          <w:p w:rsidR="00A76913" w:rsidRDefault="00A76913" w:rsidP="006B57F8">
            <w:pPr>
              <w:pStyle w:val="IASBTableTNR"/>
            </w:pPr>
            <w:r>
              <w:t>Income taxes paid</w:t>
            </w:r>
          </w:p>
        </w:tc>
        <w:tc>
          <w:tcPr>
            <w:tcW w:w="1365" w:type="dxa"/>
            <w:tcBorders>
              <w:top w:val="nil"/>
              <w:left w:val="nil"/>
              <w:bottom w:val="single" w:sz="4" w:space="0" w:color="auto"/>
            </w:tcBorders>
            <w:vAlign w:val="bottom"/>
          </w:tcPr>
          <w:p w:rsidR="00A76913" w:rsidRDefault="00A76913" w:rsidP="006B57F8">
            <w:pPr>
              <w:pStyle w:val="IASBTableArial"/>
              <w:jc w:val="right"/>
            </w:pPr>
            <w:r>
              <w:t>(900)</w:t>
            </w:r>
          </w:p>
        </w:tc>
        <w:tc>
          <w:tcPr>
            <w:tcW w:w="273" w:type="dxa"/>
            <w:tcBorders>
              <w:top w:val="nil"/>
              <w:left w:val="nil"/>
            </w:tcBorders>
            <w:vAlign w:val="bottom"/>
          </w:tcPr>
          <w:p w:rsidR="00A76913" w:rsidRDefault="00A76913" w:rsidP="006B57F8">
            <w:pPr>
              <w:pStyle w:val="IASBTableArial"/>
              <w:jc w:val="right"/>
            </w:pPr>
          </w:p>
        </w:tc>
      </w:tr>
      <w:tr w:rsidR="00A76913" w:rsidTr="006B57F8">
        <w:trPr>
          <w:gridAfter w:val="1"/>
          <w:wAfter w:w="1365" w:type="dxa"/>
          <w:cantSplit/>
        </w:trPr>
        <w:tc>
          <w:tcPr>
            <w:tcW w:w="6879" w:type="dxa"/>
            <w:gridSpan w:val="3"/>
            <w:tcBorders>
              <w:top w:val="nil"/>
            </w:tcBorders>
            <w:vAlign w:val="bottom"/>
          </w:tcPr>
          <w:p w:rsidR="00A76913" w:rsidRDefault="00A76913" w:rsidP="006B57F8">
            <w:pPr>
              <w:pStyle w:val="IASBTableArial"/>
            </w:pPr>
          </w:p>
        </w:tc>
      </w:tr>
      <w:tr w:rsidR="00A76913" w:rsidTr="006B57F8">
        <w:trPr>
          <w:cantSplit/>
        </w:trPr>
        <w:tc>
          <w:tcPr>
            <w:tcW w:w="5241" w:type="dxa"/>
            <w:tcBorders>
              <w:top w:val="nil"/>
            </w:tcBorders>
            <w:vAlign w:val="bottom"/>
          </w:tcPr>
          <w:p w:rsidR="00A76913" w:rsidRDefault="00A76913" w:rsidP="006B57F8">
            <w:pPr>
              <w:pStyle w:val="IASBTableArial"/>
            </w:pPr>
            <w:r>
              <w:rPr>
                <w:i/>
              </w:rPr>
              <w:t>Net cash from operating activities</w:t>
            </w:r>
          </w:p>
        </w:tc>
        <w:tc>
          <w:tcPr>
            <w:tcW w:w="1365"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jc w:val="right"/>
            </w:pPr>
            <w:r>
              <w:t>1,380</w:t>
            </w:r>
          </w:p>
        </w:tc>
      </w:tr>
      <w:tr w:rsidR="00A76913" w:rsidTr="006B57F8">
        <w:trPr>
          <w:gridAfter w:val="1"/>
          <w:wAfter w:w="1365" w:type="dxa"/>
          <w:cantSplit/>
        </w:trPr>
        <w:tc>
          <w:tcPr>
            <w:tcW w:w="6879" w:type="dxa"/>
            <w:gridSpan w:val="3"/>
            <w:tcBorders>
              <w:top w:val="nil"/>
            </w:tcBorders>
            <w:vAlign w:val="bottom"/>
          </w:tcPr>
          <w:p w:rsidR="00A76913" w:rsidRDefault="00A76913" w:rsidP="006B57F8">
            <w:pPr>
              <w:pStyle w:val="IASBTableArial"/>
            </w:pPr>
          </w:p>
        </w:tc>
      </w:tr>
      <w:tr w:rsidR="00A76913" w:rsidTr="006B57F8">
        <w:trPr>
          <w:gridAfter w:val="1"/>
          <w:wAfter w:w="1365" w:type="dxa"/>
          <w:cantSplit/>
        </w:trPr>
        <w:tc>
          <w:tcPr>
            <w:tcW w:w="5241" w:type="dxa"/>
            <w:tcBorders>
              <w:top w:val="nil"/>
            </w:tcBorders>
            <w:vAlign w:val="bottom"/>
          </w:tcPr>
          <w:p w:rsidR="00A76913" w:rsidRDefault="00A76913" w:rsidP="006B57F8">
            <w:pPr>
              <w:pStyle w:val="IASBTableTNR"/>
            </w:pPr>
            <w:r>
              <w:rPr>
                <w:b/>
              </w:rPr>
              <w:t>Cash flows from investing activities</w:t>
            </w:r>
          </w:p>
        </w:tc>
        <w:tc>
          <w:tcPr>
            <w:tcW w:w="1365"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r>
      <w:tr w:rsidR="00A76913" w:rsidTr="006B57F8">
        <w:trPr>
          <w:gridAfter w:val="1"/>
          <w:wAfter w:w="1365" w:type="dxa"/>
          <w:cantSplit/>
        </w:trPr>
        <w:tc>
          <w:tcPr>
            <w:tcW w:w="5241" w:type="dxa"/>
            <w:tcBorders>
              <w:top w:val="nil"/>
            </w:tcBorders>
            <w:vAlign w:val="bottom"/>
          </w:tcPr>
          <w:p w:rsidR="00A76913" w:rsidRDefault="00A76913" w:rsidP="006B57F8">
            <w:pPr>
              <w:pStyle w:val="IASBTableTNR"/>
            </w:pPr>
            <w:r>
              <w:t>Acquisition of subsidiary X, net of cash acquired (Note A)</w:t>
            </w:r>
          </w:p>
        </w:tc>
        <w:tc>
          <w:tcPr>
            <w:tcW w:w="1365" w:type="dxa"/>
            <w:tcBorders>
              <w:top w:val="nil"/>
              <w:left w:val="nil"/>
            </w:tcBorders>
            <w:vAlign w:val="bottom"/>
          </w:tcPr>
          <w:p w:rsidR="00A76913" w:rsidRDefault="00A76913" w:rsidP="006B57F8">
            <w:pPr>
              <w:pStyle w:val="IASBTableArial"/>
              <w:jc w:val="right"/>
            </w:pPr>
            <w:r>
              <w:t>(550)</w:t>
            </w:r>
          </w:p>
        </w:tc>
        <w:tc>
          <w:tcPr>
            <w:tcW w:w="273" w:type="dxa"/>
            <w:tcBorders>
              <w:top w:val="nil"/>
              <w:left w:val="nil"/>
            </w:tcBorders>
            <w:vAlign w:val="bottom"/>
          </w:tcPr>
          <w:p w:rsidR="00A76913" w:rsidRDefault="00A76913" w:rsidP="006B57F8">
            <w:pPr>
              <w:pStyle w:val="IASBTableArial"/>
            </w:pPr>
          </w:p>
        </w:tc>
      </w:tr>
      <w:tr w:rsidR="00A76913" w:rsidTr="006B57F8">
        <w:trPr>
          <w:gridAfter w:val="1"/>
          <w:wAfter w:w="1365" w:type="dxa"/>
          <w:cantSplit/>
        </w:trPr>
        <w:tc>
          <w:tcPr>
            <w:tcW w:w="5241" w:type="dxa"/>
            <w:tcBorders>
              <w:top w:val="nil"/>
            </w:tcBorders>
            <w:vAlign w:val="bottom"/>
          </w:tcPr>
          <w:p w:rsidR="00A76913" w:rsidRDefault="00A76913" w:rsidP="006B57F8">
            <w:pPr>
              <w:pStyle w:val="IASBTableTNR"/>
            </w:pPr>
            <w:r>
              <w:t>Purchase of property, plant and equipment (Note B)</w:t>
            </w:r>
          </w:p>
        </w:tc>
        <w:tc>
          <w:tcPr>
            <w:tcW w:w="1365" w:type="dxa"/>
            <w:tcBorders>
              <w:top w:val="nil"/>
              <w:left w:val="nil"/>
            </w:tcBorders>
            <w:vAlign w:val="bottom"/>
          </w:tcPr>
          <w:p w:rsidR="00A76913" w:rsidRDefault="00A76913" w:rsidP="006B57F8">
            <w:pPr>
              <w:pStyle w:val="IASBTableArial"/>
              <w:jc w:val="right"/>
            </w:pPr>
            <w:r>
              <w:t>(350)</w:t>
            </w:r>
          </w:p>
        </w:tc>
        <w:tc>
          <w:tcPr>
            <w:tcW w:w="273" w:type="dxa"/>
            <w:tcBorders>
              <w:top w:val="nil"/>
              <w:left w:val="nil"/>
            </w:tcBorders>
            <w:vAlign w:val="bottom"/>
          </w:tcPr>
          <w:p w:rsidR="00A76913" w:rsidRDefault="00A76913" w:rsidP="006B57F8">
            <w:pPr>
              <w:pStyle w:val="IASBTableArial"/>
            </w:pPr>
          </w:p>
        </w:tc>
      </w:tr>
      <w:tr w:rsidR="00A76913" w:rsidTr="006B57F8">
        <w:trPr>
          <w:gridAfter w:val="1"/>
          <w:wAfter w:w="1365" w:type="dxa"/>
          <w:cantSplit/>
        </w:trPr>
        <w:tc>
          <w:tcPr>
            <w:tcW w:w="5241" w:type="dxa"/>
            <w:tcBorders>
              <w:top w:val="nil"/>
            </w:tcBorders>
            <w:vAlign w:val="bottom"/>
          </w:tcPr>
          <w:p w:rsidR="00A76913" w:rsidRDefault="00A76913" w:rsidP="006B57F8">
            <w:pPr>
              <w:pStyle w:val="IASBTableTNR"/>
            </w:pPr>
            <w:r>
              <w:t>Proceeds from sale of equipment</w:t>
            </w:r>
          </w:p>
        </w:tc>
        <w:tc>
          <w:tcPr>
            <w:tcW w:w="1365" w:type="dxa"/>
            <w:tcBorders>
              <w:top w:val="nil"/>
              <w:left w:val="nil"/>
            </w:tcBorders>
            <w:vAlign w:val="bottom"/>
          </w:tcPr>
          <w:p w:rsidR="00A76913" w:rsidRDefault="00A76913" w:rsidP="006B57F8">
            <w:pPr>
              <w:pStyle w:val="IASBTableArial"/>
              <w:jc w:val="right"/>
            </w:pPr>
            <w:r>
              <w:t>20</w:t>
            </w:r>
          </w:p>
        </w:tc>
        <w:tc>
          <w:tcPr>
            <w:tcW w:w="273" w:type="dxa"/>
            <w:tcBorders>
              <w:top w:val="nil"/>
              <w:left w:val="nil"/>
            </w:tcBorders>
            <w:vAlign w:val="bottom"/>
          </w:tcPr>
          <w:p w:rsidR="00A76913" w:rsidRDefault="00A76913" w:rsidP="006B57F8">
            <w:pPr>
              <w:pStyle w:val="IASBTableArial"/>
            </w:pPr>
          </w:p>
        </w:tc>
      </w:tr>
      <w:tr w:rsidR="00A76913" w:rsidTr="006B57F8">
        <w:trPr>
          <w:gridAfter w:val="1"/>
          <w:wAfter w:w="1365" w:type="dxa"/>
          <w:cantSplit/>
        </w:trPr>
        <w:tc>
          <w:tcPr>
            <w:tcW w:w="5241" w:type="dxa"/>
            <w:tcBorders>
              <w:top w:val="nil"/>
            </w:tcBorders>
          </w:tcPr>
          <w:p w:rsidR="00A76913" w:rsidRDefault="00A76913" w:rsidP="006B57F8">
            <w:pPr>
              <w:pStyle w:val="IASBTableTNR"/>
            </w:pPr>
            <w:r>
              <w:t>Interest received</w:t>
            </w:r>
          </w:p>
        </w:tc>
        <w:tc>
          <w:tcPr>
            <w:tcW w:w="1365" w:type="dxa"/>
            <w:tcBorders>
              <w:top w:val="nil"/>
              <w:left w:val="nil"/>
            </w:tcBorders>
            <w:vAlign w:val="bottom"/>
          </w:tcPr>
          <w:p w:rsidR="00A76913" w:rsidRDefault="00A76913" w:rsidP="006B57F8">
            <w:pPr>
              <w:pStyle w:val="IASBTableArial"/>
              <w:jc w:val="right"/>
            </w:pPr>
            <w:r>
              <w:t>200</w:t>
            </w:r>
          </w:p>
        </w:tc>
        <w:tc>
          <w:tcPr>
            <w:tcW w:w="273" w:type="dxa"/>
            <w:tcBorders>
              <w:top w:val="nil"/>
              <w:left w:val="nil"/>
            </w:tcBorders>
            <w:vAlign w:val="bottom"/>
          </w:tcPr>
          <w:p w:rsidR="00A76913" w:rsidRDefault="00A76913" w:rsidP="006B57F8">
            <w:pPr>
              <w:pStyle w:val="IASBTableArial"/>
            </w:pPr>
          </w:p>
        </w:tc>
      </w:tr>
      <w:tr w:rsidR="00A76913" w:rsidTr="006B57F8">
        <w:trPr>
          <w:gridAfter w:val="1"/>
          <w:wAfter w:w="1365" w:type="dxa"/>
          <w:cantSplit/>
        </w:trPr>
        <w:tc>
          <w:tcPr>
            <w:tcW w:w="5241" w:type="dxa"/>
            <w:tcBorders>
              <w:top w:val="nil"/>
            </w:tcBorders>
            <w:vAlign w:val="bottom"/>
          </w:tcPr>
          <w:p w:rsidR="00A76913" w:rsidRDefault="00A76913" w:rsidP="006B57F8">
            <w:pPr>
              <w:pStyle w:val="IASBTableTNR"/>
            </w:pPr>
            <w:r>
              <w:t>Dividends received</w:t>
            </w:r>
          </w:p>
        </w:tc>
        <w:tc>
          <w:tcPr>
            <w:tcW w:w="1365" w:type="dxa"/>
            <w:tcBorders>
              <w:top w:val="nil"/>
              <w:left w:val="nil"/>
              <w:bottom w:val="single" w:sz="4" w:space="0" w:color="auto"/>
            </w:tcBorders>
            <w:vAlign w:val="bottom"/>
          </w:tcPr>
          <w:p w:rsidR="00A76913" w:rsidRDefault="00A76913" w:rsidP="006B57F8">
            <w:pPr>
              <w:pStyle w:val="IASBTableArial"/>
              <w:jc w:val="right"/>
            </w:pPr>
            <w:r>
              <w:t>200</w:t>
            </w:r>
          </w:p>
        </w:tc>
        <w:tc>
          <w:tcPr>
            <w:tcW w:w="273" w:type="dxa"/>
            <w:tcBorders>
              <w:top w:val="nil"/>
              <w:left w:val="nil"/>
            </w:tcBorders>
            <w:vAlign w:val="bottom"/>
          </w:tcPr>
          <w:p w:rsidR="00A76913" w:rsidRDefault="00A76913" w:rsidP="006B57F8">
            <w:pPr>
              <w:pStyle w:val="IASBTableArial"/>
            </w:pPr>
          </w:p>
        </w:tc>
      </w:tr>
      <w:tr w:rsidR="00A76913" w:rsidTr="006B57F8">
        <w:trPr>
          <w:gridAfter w:val="1"/>
          <w:wAfter w:w="1365" w:type="dxa"/>
          <w:cantSplit/>
        </w:trPr>
        <w:tc>
          <w:tcPr>
            <w:tcW w:w="6879" w:type="dxa"/>
            <w:gridSpan w:val="3"/>
            <w:tcBorders>
              <w:top w:val="nil"/>
            </w:tcBorders>
          </w:tcPr>
          <w:p w:rsidR="00A76913" w:rsidRDefault="00A76913" w:rsidP="006B57F8">
            <w:pPr>
              <w:pStyle w:val="IASBTableArial"/>
            </w:pPr>
          </w:p>
        </w:tc>
      </w:tr>
      <w:tr w:rsidR="00A76913" w:rsidTr="006B57F8">
        <w:trPr>
          <w:cantSplit/>
        </w:trPr>
        <w:tc>
          <w:tcPr>
            <w:tcW w:w="5241" w:type="dxa"/>
            <w:tcBorders>
              <w:top w:val="nil"/>
            </w:tcBorders>
            <w:vAlign w:val="bottom"/>
          </w:tcPr>
          <w:p w:rsidR="00A76913" w:rsidRDefault="00A76913" w:rsidP="006B57F8">
            <w:pPr>
              <w:pStyle w:val="IASBTableArial"/>
            </w:pPr>
            <w:r>
              <w:rPr>
                <w:i/>
              </w:rPr>
              <w:t>Net cash used in investing activities</w:t>
            </w:r>
          </w:p>
        </w:tc>
        <w:tc>
          <w:tcPr>
            <w:tcW w:w="1365"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jc w:val="right"/>
            </w:pPr>
            <w:r>
              <w:t>(480)</w:t>
            </w:r>
          </w:p>
        </w:tc>
      </w:tr>
      <w:tr w:rsidR="00A76913" w:rsidTr="006B57F8">
        <w:trPr>
          <w:gridAfter w:val="1"/>
          <w:wAfter w:w="1365" w:type="dxa"/>
          <w:cantSplit/>
        </w:trPr>
        <w:tc>
          <w:tcPr>
            <w:tcW w:w="6879" w:type="dxa"/>
            <w:gridSpan w:val="3"/>
            <w:tcBorders>
              <w:top w:val="nil"/>
            </w:tcBorders>
            <w:vAlign w:val="bottom"/>
          </w:tcPr>
          <w:p w:rsidR="00A76913" w:rsidRDefault="00A76913" w:rsidP="006B57F8">
            <w:pPr>
              <w:pStyle w:val="IASBTableArial"/>
            </w:pPr>
          </w:p>
        </w:tc>
      </w:tr>
      <w:tr w:rsidR="00A76913" w:rsidTr="006B57F8">
        <w:trPr>
          <w:gridAfter w:val="1"/>
          <w:wAfter w:w="1365" w:type="dxa"/>
          <w:cantSplit/>
        </w:trPr>
        <w:tc>
          <w:tcPr>
            <w:tcW w:w="5241" w:type="dxa"/>
            <w:tcBorders>
              <w:top w:val="nil"/>
            </w:tcBorders>
            <w:vAlign w:val="bottom"/>
          </w:tcPr>
          <w:p w:rsidR="00A76913" w:rsidRDefault="00A76913" w:rsidP="006B57F8">
            <w:pPr>
              <w:pStyle w:val="IASBTableTNR"/>
            </w:pPr>
            <w:r>
              <w:rPr>
                <w:b/>
              </w:rPr>
              <w:t>Cash flows from financing activities</w:t>
            </w:r>
          </w:p>
        </w:tc>
        <w:tc>
          <w:tcPr>
            <w:tcW w:w="1365"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r>
      <w:tr w:rsidR="00A76913" w:rsidTr="006B57F8">
        <w:trPr>
          <w:gridAfter w:val="1"/>
          <w:wAfter w:w="1365" w:type="dxa"/>
          <w:cantSplit/>
        </w:trPr>
        <w:tc>
          <w:tcPr>
            <w:tcW w:w="5241" w:type="dxa"/>
            <w:tcBorders>
              <w:top w:val="nil"/>
            </w:tcBorders>
            <w:vAlign w:val="bottom"/>
          </w:tcPr>
          <w:p w:rsidR="00A76913" w:rsidRDefault="00A76913" w:rsidP="006B57F8">
            <w:pPr>
              <w:pStyle w:val="IASBTableTNR"/>
            </w:pPr>
            <w:r>
              <w:t>Proceeds from issue of share capital</w:t>
            </w:r>
          </w:p>
        </w:tc>
        <w:tc>
          <w:tcPr>
            <w:tcW w:w="1365" w:type="dxa"/>
            <w:tcBorders>
              <w:top w:val="nil"/>
              <w:left w:val="nil"/>
            </w:tcBorders>
            <w:vAlign w:val="bottom"/>
          </w:tcPr>
          <w:p w:rsidR="00A76913" w:rsidRDefault="00A76913" w:rsidP="006B57F8">
            <w:pPr>
              <w:pStyle w:val="IASBTableArial"/>
              <w:jc w:val="right"/>
            </w:pPr>
            <w:r>
              <w:t>250</w:t>
            </w:r>
          </w:p>
        </w:tc>
        <w:tc>
          <w:tcPr>
            <w:tcW w:w="273" w:type="dxa"/>
            <w:tcBorders>
              <w:top w:val="nil"/>
              <w:left w:val="nil"/>
            </w:tcBorders>
            <w:vAlign w:val="bottom"/>
          </w:tcPr>
          <w:p w:rsidR="00A76913" w:rsidRDefault="00A76913" w:rsidP="006B57F8">
            <w:pPr>
              <w:pStyle w:val="IASBTableArial"/>
            </w:pPr>
          </w:p>
        </w:tc>
      </w:tr>
      <w:tr w:rsidR="00A76913" w:rsidTr="006B57F8">
        <w:trPr>
          <w:gridAfter w:val="1"/>
          <w:wAfter w:w="1365" w:type="dxa"/>
          <w:cantSplit/>
        </w:trPr>
        <w:tc>
          <w:tcPr>
            <w:tcW w:w="5241" w:type="dxa"/>
            <w:tcBorders>
              <w:top w:val="nil"/>
            </w:tcBorders>
            <w:vAlign w:val="bottom"/>
          </w:tcPr>
          <w:p w:rsidR="00A76913" w:rsidRDefault="00A76913" w:rsidP="006B57F8">
            <w:pPr>
              <w:pStyle w:val="IASBTableTNR"/>
            </w:pPr>
            <w:r>
              <w:t>Proceeds from long-term borrowings</w:t>
            </w:r>
          </w:p>
        </w:tc>
        <w:tc>
          <w:tcPr>
            <w:tcW w:w="1365" w:type="dxa"/>
            <w:tcBorders>
              <w:top w:val="nil"/>
              <w:left w:val="nil"/>
            </w:tcBorders>
            <w:vAlign w:val="bottom"/>
          </w:tcPr>
          <w:p w:rsidR="00A76913" w:rsidRDefault="00A76913" w:rsidP="006B57F8">
            <w:pPr>
              <w:pStyle w:val="IASBTableArial"/>
              <w:jc w:val="right"/>
            </w:pPr>
            <w:r>
              <w:t>250</w:t>
            </w:r>
          </w:p>
        </w:tc>
        <w:tc>
          <w:tcPr>
            <w:tcW w:w="273" w:type="dxa"/>
            <w:tcBorders>
              <w:top w:val="nil"/>
              <w:left w:val="nil"/>
            </w:tcBorders>
            <w:vAlign w:val="bottom"/>
          </w:tcPr>
          <w:p w:rsidR="00A76913" w:rsidRDefault="00A76913" w:rsidP="006B57F8">
            <w:pPr>
              <w:pStyle w:val="IASBTableArial"/>
            </w:pPr>
          </w:p>
        </w:tc>
      </w:tr>
      <w:tr w:rsidR="00A76913" w:rsidTr="006B57F8">
        <w:trPr>
          <w:gridAfter w:val="1"/>
          <w:wAfter w:w="1365" w:type="dxa"/>
          <w:cantSplit/>
        </w:trPr>
        <w:tc>
          <w:tcPr>
            <w:tcW w:w="5241" w:type="dxa"/>
            <w:tcBorders>
              <w:top w:val="nil"/>
            </w:tcBorders>
            <w:vAlign w:val="bottom"/>
          </w:tcPr>
          <w:p w:rsidR="00A76913" w:rsidRDefault="00A76913" w:rsidP="006B57F8">
            <w:pPr>
              <w:pStyle w:val="IASBTableTNR"/>
            </w:pPr>
            <w:r>
              <w:t>Payment of finance lease liabilities</w:t>
            </w:r>
          </w:p>
        </w:tc>
        <w:tc>
          <w:tcPr>
            <w:tcW w:w="1365" w:type="dxa"/>
            <w:tcBorders>
              <w:top w:val="nil"/>
              <w:left w:val="nil"/>
            </w:tcBorders>
            <w:vAlign w:val="bottom"/>
          </w:tcPr>
          <w:p w:rsidR="00A76913" w:rsidRDefault="00A76913" w:rsidP="006B57F8">
            <w:pPr>
              <w:pStyle w:val="IASBTableArial"/>
              <w:jc w:val="right"/>
            </w:pPr>
            <w:r>
              <w:t>(90)</w:t>
            </w:r>
          </w:p>
        </w:tc>
        <w:tc>
          <w:tcPr>
            <w:tcW w:w="273" w:type="dxa"/>
            <w:tcBorders>
              <w:top w:val="nil"/>
              <w:left w:val="nil"/>
            </w:tcBorders>
            <w:vAlign w:val="bottom"/>
          </w:tcPr>
          <w:p w:rsidR="00A76913" w:rsidRDefault="00A76913" w:rsidP="006B57F8">
            <w:pPr>
              <w:pStyle w:val="IASBTableArial"/>
            </w:pPr>
          </w:p>
        </w:tc>
      </w:tr>
      <w:tr w:rsidR="00A76913" w:rsidTr="006B57F8">
        <w:trPr>
          <w:gridAfter w:val="1"/>
          <w:wAfter w:w="1365" w:type="dxa"/>
          <w:cantSplit/>
        </w:trPr>
        <w:tc>
          <w:tcPr>
            <w:tcW w:w="5241" w:type="dxa"/>
            <w:tcBorders>
              <w:top w:val="nil"/>
            </w:tcBorders>
            <w:vAlign w:val="bottom"/>
          </w:tcPr>
          <w:p w:rsidR="00A76913" w:rsidRDefault="00A76913" w:rsidP="006B57F8">
            <w:pPr>
              <w:pStyle w:val="IASBTableTNR"/>
            </w:pPr>
            <w:r>
              <w:t>Dividends paid</w:t>
            </w:r>
            <w:r>
              <w:rPr>
                <w:vertAlign w:val="superscript"/>
              </w:rPr>
              <w:t>(a)</w:t>
            </w:r>
          </w:p>
        </w:tc>
        <w:tc>
          <w:tcPr>
            <w:tcW w:w="1365" w:type="dxa"/>
            <w:tcBorders>
              <w:top w:val="nil"/>
              <w:left w:val="nil"/>
              <w:bottom w:val="single" w:sz="4" w:space="0" w:color="auto"/>
            </w:tcBorders>
            <w:vAlign w:val="bottom"/>
          </w:tcPr>
          <w:p w:rsidR="00A76913" w:rsidRDefault="00A76913" w:rsidP="006B57F8">
            <w:pPr>
              <w:pStyle w:val="IASBTableArial"/>
              <w:jc w:val="right"/>
            </w:pPr>
            <w:r>
              <w:t>(1,200)</w:t>
            </w:r>
          </w:p>
        </w:tc>
        <w:tc>
          <w:tcPr>
            <w:tcW w:w="273" w:type="dxa"/>
            <w:tcBorders>
              <w:top w:val="nil"/>
              <w:left w:val="nil"/>
            </w:tcBorders>
            <w:vAlign w:val="bottom"/>
          </w:tcPr>
          <w:p w:rsidR="00A76913" w:rsidRDefault="00A76913" w:rsidP="006B57F8">
            <w:pPr>
              <w:pStyle w:val="IASBTableArial"/>
            </w:pPr>
          </w:p>
        </w:tc>
      </w:tr>
      <w:tr w:rsidR="00A76913" w:rsidTr="006B57F8">
        <w:trPr>
          <w:gridAfter w:val="1"/>
          <w:wAfter w:w="1365" w:type="dxa"/>
          <w:cantSplit/>
        </w:trPr>
        <w:tc>
          <w:tcPr>
            <w:tcW w:w="6879" w:type="dxa"/>
            <w:gridSpan w:val="3"/>
            <w:tcBorders>
              <w:top w:val="nil"/>
            </w:tcBorders>
            <w:vAlign w:val="bottom"/>
          </w:tcPr>
          <w:p w:rsidR="00A76913" w:rsidRDefault="00A76913" w:rsidP="006B57F8">
            <w:pPr>
              <w:pStyle w:val="IASBTableArial"/>
            </w:pPr>
          </w:p>
        </w:tc>
      </w:tr>
      <w:tr w:rsidR="00A76913" w:rsidTr="006B57F8">
        <w:trPr>
          <w:cantSplit/>
        </w:trPr>
        <w:tc>
          <w:tcPr>
            <w:tcW w:w="5241" w:type="dxa"/>
            <w:tcBorders>
              <w:top w:val="nil"/>
            </w:tcBorders>
            <w:vAlign w:val="bottom"/>
          </w:tcPr>
          <w:p w:rsidR="00A76913" w:rsidRDefault="00A76913" w:rsidP="006B57F8">
            <w:pPr>
              <w:pStyle w:val="IASBTableArial"/>
            </w:pPr>
            <w:r>
              <w:rPr>
                <w:i/>
              </w:rPr>
              <w:t>Net cash used in financing activities</w:t>
            </w:r>
          </w:p>
        </w:tc>
        <w:tc>
          <w:tcPr>
            <w:tcW w:w="1365"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bottom w:val="single" w:sz="4" w:space="0" w:color="auto"/>
            </w:tcBorders>
            <w:vAlign w:val="bottom"/>
          </w:tcPr>
          <w:p w:rsidR="00A76913" w:rsidRDefault="00A76913" w:rsidP="006B57F8">
            <w:pPr>
              <w:pStyle w:val="IASBTableArial"/>
              <w:jc w:val="right"/>
            </w:pPr>
            <w:r>
              <w:t>(790)</w:t>
            </w:r>
          </w:p>
        </w:tc>
      </w:tr>
      <w:tr w:rsidR="00A76913" w:rsidTr="006B57F8">
        <w:trPr>
          <w:cantSplit/>
        </w:trPr>
        <w:tc>
          <w:tcPr>
            <w:tcW w:w="5241" w:type="dxa"/>
            <w:tcBorders>
              <w:top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r>
              <w:t xml:space="preserve"> </w:t>
            </w: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r>
              <w:t xml:space="preserve"> </w:t>
            </w:r>
          </w:p>
        </w:tc>
      </w:tr>
      <w:tr w:rsidR="00A76913" w:rsidTr="006B57F8">
        <w:trPr>
          <w:cantSplit/>
        </w:trPr>
        <w:tc>
          <w:tcPr>
            <w:tcW w:w="5241" w:type="dxa"/>
            <w:tcBorders>
              <w:top w:val="nil"/>
            </w:tcBorders>
            <w:vAlign w:val="bottom"/>
          </w:tcPr>
          <w:p w:rsidR="00A76913" w:rsidRDefault="00A76913" w:rsidP="006B57F8">
            <w:pPr>
              <w:pStyle w:val="IASBTableArial"/>
            </w:pPr>
            <w:r>
              <w:rPr>
                <w:b/>
              </w:rPr>
              <w:t>Net increase in cash and cash equivalents</w:t>
            </w:r>
          </w:p>
        </w:tc>
        <w:tc>
          <w:tcPr>
            <w:tcW w:w="1365"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jc w:val="right"/>
            </w:pPr>
            <w:r>
              <w:t>110</w:t>
            </w:r>
          </w:p>
        </w:tc>
      </w:tr>
      <w:tr w:rsidR="00A76913" w:rsidTr="006B57F8">
        <w:trPr>
          <w:cantSplit/>
        </w:trPr>
        <w:tc>
          <w:tcPr>
            <w:tcW w:w="5241" w:type="dxa"/>
            <w:tcBorders>
              <w:top w:val="nil"/>
            </w:tcBorders>
            <w:vAlign w:val="bottom"/>
          </w:tcPr>
          <w:p w:rsidR="00A76913" w:rsidRDefault="00A76913" w:rsidP="006B57F8">
            <w:pPr>
              <w:pStyle w:val="IASBTableArial"/>
            </w:pPr>
            <w:r>
              <w:rPr>
                <w:b/>
              </w:rPr>
              <w:t>Cash and cash equivalents at beginning of period (Note C)</w:t>
            </w:r>
          </w:p>
        </w:tc>
        <w:tc>
          <w:tcPr>
            <w:tcW w:w="1365"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bottom w:val="single" w:sz="4" w:space="0" w:color="auto"/>
            </w:tcBorders>
            <w:vAlign w:val="bottom"/>
          </w:tcPr>
          <w:p w:rsidR="00A76913" w:rsidRDefault="00A76913" w:rsidP="006B57F8">
            <w:pPr>
              <w:pStyle w:val="IASBTableArial"/>
              <w:jc w:val="right"/>
            </w:pPr>
            <w:r>
              <w:t>120</w:t>
            </w:r>
          </w:p>
        </w:tc>
      </w:tr>
      <w:tr w:rsidR="00A76913" w:rsidTr="006B57F8">
        <w:trPr>
          <w:cantSplit/>
        </w:trPr>
        <w:tc>
          <w:tcPr>
            <w:tcW w:w="5241" w:type="dxa"/>
            <w:tcBorders>
              <w:top w:val="nil"/>
            </w:tcBorders>
            <w:vAlign w:val="bottom"/>
          </w:tcPr>
          <w:p w:rsidR="00A76913" w:rsidRDefault="00A76913" w:rsidP="006B57F8">
            <w:pPr>
              <w:pStyle w:val="IASBTableArial"/>
            </w:pPr>
            <w:r>
              <w:rPr>
                <w:b/>
              </w:rPr>
              <w:t>Cash and cash equivalents at end of period (Note C)</w:t>
            </w:r>
          </w:p>
        </w:tc>
        <w:tc>
          <w:tcPr>
            <w:tcW w:w="1365"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bottom w:val="double" w:sz="4" w:space="0" w:color="auto"/>
            </w:tcBorders>
            <w:vAlign w:val="bottom"/>
          </w:tcPr>
          <w:p w:rsidR="00A76913" w:rsidRDefault="00A76913" w:rsidP="006B57F8">
            <w:pPr>
              <w:pStyle w:val="IASBTableArial"/>
              <w:jc w:val="right"/>
            </w:pPr>
            <w:r>
              <w:t>230</w:t>
            </w:r>
          </w:p>
        </w:tc>
      </w:tr>
      <w:tr w:rsidR="00A76913" w:rsidTr="006B57F8">
        <w:trPr>
          <w:cantSplit/>
        </w:trPr>
        <w:tc>
          <w:tcPr>
            <w:tcW w:w="8244" w:type="dxa"/>
            <w:gridSpan w:val="4"/>
            <w:tcBorders>
              <w:top w:val="nil"/>
            </w:tcBorders>
            <w:vAlign w:val="bottom"/>
          </w:tcPr>
          <w:p w:rsidR="00A76913" w:rsidRDefault="00A76913" w:rsidP="006B57F8">
            <w:pPr>
              <w:pStyle w:val="IASBTableTNR"/>
            </w:pPr>
            <w:r>
              <w:rPr>
                <w:rStyle w:val="FootnoteReference"/>
                <w:sz w:val="16"/>
                <w:vertAlign w:val="baseline"/>
              </w:rPr>
              <w:t xml:space="preserve"> (a)</w:t>
            </w:r>
            <w:r>
              <w:rPr>
                <w:rStyle w:val="FootnoteReference"/>
                <w:sz w:val="16"/>
                <w:vertAlign w:val="baseline"/>
              </w:rPr>
              <w:tab/>
              <w:t>This could also be shown as an operating cash flow.</w:t>
            </w:r>
          </w:p>
        </w:tc>
      </w:tr>
    </w:tbl>
    <w:p w:rsidR="00A76913" w:rsidRDefault="00A76913" w:rsidP="00A76913">
      <w:pPr>
        <w:pStyle w:val="IASBNormalnpara"/>
      </w:pPr>
    </w:p>
    <w:tbl>
      <w:tblPr>
        <w:tblW w:w="0" w:type="auto"/>
        <w:tblInd w:w="964" w:type="dxa"/>
        <w:tblLayout w:type="fixed"/>
        <w:tblLook w:val="0000" w:firstRow="0" w:lastRow="0" w:firstColumn="0" w:lastColumn="0" w:noHBand="0" w:noVBand="0"/>
        <w:tblCaption w:val="AASB 107 Table 5"/>
      </w:tblPr>
      <w:tblGrid>
        <w:gridCol w:w="236"/>
        <w:gridCol w:w="5025"/>
        <w:gridCol w:w="1365"/>
        <w:gridCol w:w="273"/>
        <w:gridCol w:w="1365"/>
      </w:tblGrid>
      <w:tr w:rsidR="00A76913" w:rsidTr="006B57F8">
        <w:trPr>
          <w:cantSplit/>
          <w:tblHeader/>
        </w:trPr>
        <w:tc>
          <w:tcPr>
            <w:tcW w:w="8244" w:type="dxa"/>
            <w:gridSpan w:val="5"/>
            <w:tcBorders>
              <w:bottom w:val="single" w:sz="4" w:space="0" w:color="auto"/>
            </w:tcBorders>
            <w:vAlign w:val="bottom"/>
          </w:tcPr>
          <w:p w:rsidR="00A76913" w:rsidRDefault="00A76913" w:rsidP="00A5609E">
            <w:pPr>
              <w:pStyle w:val="IASBTableHeaderArial"/>
            </w:pPr>
            <w:r>
              <w:rPr>
                <w:b/>
              </w:rPr>
              <w:lastRenderedPageBreak/>
              <w:t>Indirect method statement of cash flows (paragraph 18(b))</w:t>
            </w:r>
          </w:p>
        </w:tc>
      </w:tr>
      <w:tr w:rsidR="00A76913" w:rsidTr="006B57F8">
        <w:trPr>
          <w:cantSplit/>
          <w:tblHeader/>
        </w:trPr>
        <w:tc>
          <w:tcPr>
            <w:tcW w:w="216" w:type="dxa"/>
            <w:tcBorders>
              <w:top w:val="nil"/>
            </w:tcBorders>
            <w:vAlign w:val="bottom"/>
          </w:tcPr>
          <w:p w:rsidR="00A76913" w:rsidRDefault="00A76913" w:rsidP="00A5609E">
            <w:pPr>
              <w:pStyle w:val="IASBTableHeaderArial"/>
            </w:pPr>
          </w:p>
        </w:tc>
        <w:tc>
          <w:tcPr>
            <w:tcW w:w="5025" w:type="dxa"/>
            <w:tcBorders>
              <w:top w:val="nil"/>
              <w:left w:val="nil"/>
            </w:tcBorders>
            <w:vAlign w:val="bottom"/>
          </w:tcPr>
          <w:p w:rsidR="00A76913" w:rsidRDefault="00A76913" w:rsidP="00A5609E">
            <w:pPr>
              <w:pStyle w:val="IASBTableHeaderArial"/>
            </w:pPr>
          </w:p>
        </w:tc>
        <w:tc>
          <w:tcPr>
            <w:tcW w:w="1365" w:type="dxa"/>
            <w:tcBorders>
              <w:top w:val="nil"/>
              <w:left w:val="nil"/>
            </w:tcBorders>
            <w:vAlign w:val="bottom"/>
          </w:tcPr>
          <w:p w:rsidR="00A76913" w:rsidRDefault="00A76913" w:rsidP="00A5609E">
            <w:pPr>
              <w:pStyle w:val="IASBTableHeaderArial"/>
            </w:pPr>
          </w:p>
        </w:tc>
        <w:tc>
          <w:tcPr>
            <w:tcW w:w="273" w:type="dxa"/>
            <w:tcBorders>
              <w:top w:val="nil"/>
              <w:left w:val="nil"/>
            </w:tcBorders>
            <w:vAlign w:val="bottom"/>
          </w:tcPr>
          <w:p w:rsidR="00A76913" w:rsidRDefault="00A76913" w:rsidP="00A5609E">
            <w:pPr>
              <w:pStyle w:val="IASBTableHeaderArial"/>
            </w:pPr>
          </w:p>
        </w:tc>
        <w:tc>
          <w:tcPr>
            <w:tcW w:w="1365" w:type="dxa"/>
            <w:tcBorders>
              <w:top w:val="nil"/>
              <w:left w:val="nil"/>
            </w:tcBorders>
            <w:vAlign w:val="bottom"/>
          </w:tcPr>
          <w:p w:rsidR="00A76913" w:rsidRDefault="00A76913" w:rsidP="00A5609E">
            <w:pPr>
              <w:pStyle w:val="IASBTableHeaderArial"/>
              <w:jc w:val="right"/>
            </w:pPr>
            <w:r>
              <w:rPr>
                <w:b/>
              </w:rPr>
              <w:t>20X2</w:t>
            </w:r>
          </w:p>
        </w:tc>
      </w:tr>
      <w:tr w:rsidR="00A76913" w:rsidTr="006B57F8">
        <w:trPr>
          <w:cantSplit/>
        </w:trPr>
        <w:tc>
          <w:tcPr>
            <w:tcW w:w="5241" w:type="dxa"/>
            <w:gridSpan w:val="2"/>
            <w:tcBorders>
              <w:top w:val="nil"/>
            </w:tcBorders>
            <w:vAlign w:val="bottom"/>
          </w:tcPr>
          <w:p w:rsidR="00A76913" w:rsidRDefault="00A76913" w:rsidP="00A5609E">
            <w:pPr>
              <w:pStyle w:val="IASBTableTNR"/>
              <w:keepNext/>
            </w:pPr>
            <w:r>
              <w:rPr>
                <w:b/>
              </w:rPr>
              <w:t>Cash flows from operating activities</w:t>
            </w:r>
          </w:p>
        </w:tc>
        <w:tc>
          <w:tcPr>
            <w:tcW w:w="1365" w:type="dxa"/>
            <w:tcBorders>
              <w:top w:val="nil"/>
              <w:left w:val="nil"/>
            </w:tcBorders>
            <w:vAlign w:val="bottom"/>
          </w:tcPr>
          <w:p w:rsidR="00A76913" w:rsidRDefault="00A76913" w:rsidP="00A5609E">
            <w:pPr>
              <w:pStyle w:val="IASBTableArial"/>
              <w:keepNext/>
            </w:pPr>
          </w:p>
        </w:tc>
        <w:tc>
          <w:tcPr>
            <w:tcW w:w="273" w:type="dxa"/>
            <w:tcBorders>
              <w:top w:val="nil"/>
              <w:left w:val="nil"/>
            </w:tcBorders>
            <w:vAlign w:val="bottom"/>
          </w:tcPr>
          <w:p w:rsidR="00A76913" w:rsidRDefault="00A76913" w:rsidP="00A5609E">
            <w:pPr>
              <w:pStyle w:val="IASBTableArial"/>
              <w:keepNext/>
            </w:pPr>
          </w:p>
        </w:tc>
        <w:tc>
          <w:tcPr>
            <w:tcW w:w="1365" w:type="dxa"/>
            <w:tcBorders>
              <w:top w:val="nil"/>
              <w:left w:val="nil"/>
            </w:tcBorders>
            <w:vAlign w:val="bottom"/>
          </w:tcPr>
          <w:p w:rsidR="00A76913" w:rsidRDefault="00A76913" w:rsidP="00A5609E">
            <w:pPr>
              <w:pStyle w:val="IASBTableArial"/>
              <w:keepNext/>
            </w:pPr>
          </w:p>
        </w:tc>
      </w:tr>
      <w:tr w:rsidR="00A76913" w:rsidTr="006B57F8">
        <w:trPr>
          <w:cantSplit/>
        </w:trPr>
        <w:tc>
          <w:tcPr>
            <w:tcW w:w="5241" w:type="dxa"/>
            <w:gridSpan w:val="2"/>
            <w:tcBorders>
              <w:top w:val="nil"/>
            </w:tcBorders>
            <w:vAlign w:val="bottom"/>
          </w:tcPr>
          <w:p w:rsidR="00A76913" w:rsidRDefault="00A76913" w:rsidP="00A5609E">
            <w:pPr>
              <w:pStyle w:val="IASBTableTNR"/>
              <w:keepNext/>
            </w:pPr>
            <w:r>
              <w:t>Profit before taxation</w:t>
            </w:r>
          </w:p>
        </w:tc>
        <w:tc>
          <w:tcPr>
            <w:tcW w:w="1365" w:type="dxa"/>
            <w:tcBorders>
              <w:top w:val="nil"/>
              <w:left w:val="nil"/>
            </w:tcBorders>
            <w:vAlign w:val="bottom"/>
          </w:tcPr>
          <w:p w:rsidR="00A76913" w:rsidRDefault="00A76913" w:rsidP="00A5609E">
            <w:pPr>
              <w:pStyle w:val="IASBTableArial"/>
              <w:keepNext/>
              <w:jc w:val="right"/>
            </w:pPr>
            <w:r>
              <w:t>3,350</w:t>
            </w:r>
          </w:p>
        </w:tc>
        <w:tc>
          <w:tcPr>
            <w:tcW w:w="273" w:type="dxa"/>
            <w:tcBorders>
              <w:top w:val="nil"/>
              <w:left w:val="nil"/>
            </w:tcBorders>
            <w:vAlign w:val="bottom"/>
          </w:tcPr>
          <w:p w:rsidR="00A76913" w:rsidRDefault="00A76913" w:rsidP="00A5609E">
            <w:pPr>
              <w:pStyle w:val="IASBTableArial"/>
              <w:keepNext/>
            </w:pPr>
          </w:p>
        </w:tc>
        <w:tc>
          <w:tcPr>
            <w:tcW w:w="1365" w:type="dxa"/>
            <w:tcBorders>
              <w:top w:val="nil"/>
              <w:left w:val="nil"/>
            </w:tcBorders>
            <w:vAlign w:val="bottom"/>
          </w:tcPr>
          <w:p w:rsidR="00A76913" w:rsidRDefault="00A76913" w:rsidP="00A5609E">
            <w:pPr>
              <w:pStyle w:val="IASBTableArial"/>
              <w:keepNext/>
            </w:pPr>
          </w:p>
        </w:tc>
      </w:tr>
      <w:tr w:rsidR="00A76913" w:rsidTr="006B57F8">
        <w:trPr>
          <w:cantSplit/>
        </w:trPr>
        <w:tc>
          <w:tcPr>
            <w:tcW w:w="5241" w:type="dxa"/>
            <w:gridSpan w:val="2"/>
            <w:tcBorders>
              <w:top w:val="nil"/>
            </w:tcBorders>
            <w:vAlign w:val="bottom"/>
          </w:tcPr>
          <w:p w:rsidR="00A76913" w:rsidRDefault="00A76913" w:rsidP="00020F7B">
            <w:pPr>
              <w:pStyle w:val="IASBTableTNR"/>
              <w:keepNext/>
            </w:pPr>
            <w:r>
              <w:t>Adjustments for:</w:t>
            </w:r>
          </w:p>
        </w:tc>
        <w:tc>
          <w:tcPr>
            <w:tcW w:w="1365" w:type="dxa"/>
            <w:tcBorders>
              <w:top w:val="nil"/>
              <w:left w:val="nil"/>
            </w:tcBorders>
            <w:vAlign w:val="bottom"/>
          </w:tcPr>
          <w:p w:rsidR="00A76913" w:rsidRDefault="00A76913" w:rsidP="00A5609E">
            <w:pPr>
              <w:pStyle w:val="IASBTableArial"/>
              <w:keepNext/>
            </w:pPr>
          </w:p>
        </w:tc>
        <w:tc>
          <w:tcPr>
            <w:tcW w:w="273" w:type="dxa"/>
            <w:tcBorders>
              <w:top w:val="nil"/>
              <w:left w:val="nil"/>
            </w:tcBorders>
            <w:vAlign w:val="bottom"/>
          </w:tcPr>
          <w:p w:rsidR="00A76913" w:rsidRDefault="00A76913" w:rsidP="00A5609E">
            <w:pPr>
              <w:pStyle w:val="IASBTableArial"/>
              <w:keepNext/>
            </w:pPr>
          </w:p>
        </w:tc>
        <w:tc>
          <w:tcPr>
            <w:tcW w:w="1365" w:type="dxa"/>
            <w:tcBorders>
              <w:top w:val="nil"/>
              <w:left w:val="nil"/>
            </w:tcBorders>
            <w:vAlign w:val="bottom"/>
          </w:tcPr>
          <w:p w:rsidR="00A76913" w:rsidRDefault="00A76913" w:rsidP="00A5609E">
            <w:pPr>
              <w:pStyle w:val="IASBTableArial"/>
              <w:keepNext/>
            </w:pPr>
          </w:p>
        </w:tc>
      </w:tr>
      <w:tr w:rsidR="00A76913" w:rsidTr="006B57F8">
        <w:trPr>
          <w:cantSplit/>
        </w:trPr>
        <w:tc>
          <w:tcPr>
            <w:tcW w:w="216" w:type="dxa"/>
            <w:tcBorders>
              <w:top w:val="nil"/>
            </w:tcBorders>
            <w:vAlign w:val="bottom"/>
          </w:tcPr>
          <w:p w:rsidR="00A76913" w:rsidRDefault="00A76913" w:rsidP="006B57F8">
            <w:pPr>
              <w:pStyle w:val="IASBTableArial"/>
            </w:pPr>
          </w:p>
        </w:tc>
        <w:tc>
          <w:tcPr>
            <w:tcW w:w="5025" w:type="dxa"/>
            <w:tcBorders>
              <w:top w:val="nil"/>
              <w:left w:val="nil"/>
            </w:tcBorders>
            <w:vAlign w:val="bottom"/>
          </w:tcPr>
          <w:p w:rsidR="00A76913" w:rsidRDefault="00A76913" w:rsidP="006B57F8">
            <w:pPr>
              <w:pStyle w:val="IASBTableTNR"/>
            </w:pPr>
            <w:r>
              <w:t>Depreciation</w:t>
            </w:r>
          </w:p>
        </w:tc>
        <w:tc>
          <w:tcPr>
            <w:tcW w:w="1365" w:type="dxa"/>
            <w:tcBorders>
              <w:top w:val="nil"/>
              <w:left w:val="nil"/>
            </w:tcBorders>
            <w:vAlign w:val="bottom"/>
          </w:tcPr>
          <w:p w:rsidR="00A76913" w:rsidRDefault="00A76913" w:rsidP="006B57F8">
            <w:pPr>
              <w:pStyle w:val="IASBTableArial"/>
              <w:jc w:val="right"/>
            </w:pPr>
            <w:r>
              <w:t>450</w:t>
            </w: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216" w:type="dxa"/>
            <w:tcBorders>
              <w:top w:val="nil"/>
            </w:tcBorders>
            <w:vAlign w:val="bottom"/>
          </w:tcPr>
          <w:p w:rsidR="00A76913" w:rsidRDefault="00A76913" w:rsidP="006B57F8">
            <w:pPr>
              <w:pStyle w:val="IASBTableArial"/>
            </w:pPr>
          </w:p>
        </w:tc>
        <w:tc>
          <w:tcPr>
            <w:tcW w:w="5025" w:type="dxa"/>
            <w:tcBorders>
              <w:top w:val="nil"/>
              <w:left w:val="nil"/>
            </w:tcBorders>
            <w:vAlign w:val="bottom"/>
          </w:tcPr>
          <w:p w:rsidR="00A76913" w:rsidRDefault="00A76913" w:rsidP="006B57F8">
            <w:pPr>
              <w:pStyle w:val="IASBTableTNR"/>
            </w:pPr>
            <w:r>
              <w:t>Foreign exchange loss</w:t>
            </w:r>
          </w:p>
        </w:tc>
        <w:tc>
          <w:tcPr>
            <w:tcW w:w="1365" w:type="dxa"/>
            <w:tcBorders>
              <w:top w:val="nil"/>
              <w:left w:val="nil"/>
            </w:tcBorders>
            <w:vAlign w:val="bottom"/>
          </w:tcPr>
          <w:p w:rsidR="00A76913" w:rsidRDefault="00A76913" w:rsidP="006B57F8">
            <w:pPr>
              <w:pStyle w:val="IASBTableArial"/>
              <w:jc w:val="right"/>
            </w:pPr>
            <w:r>
              <w:t>40</w:t>
            </w: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216" w:type="dxa"/>
            <w:tcBorders>
              <w:top w:val="nil"/>
            </w:tcBorders>
            <w:vAlign w:val="bottom"/>
          </w:tcPr>
          <w:p w:rsidR="00A76913" w:rsidRDefault="00A76913" w:rsidP="006B57F8">
            <w:pPr>
              <w:pStyle w:val="IASBTableArial"/>
            </w:pPr>
          </w:p>
        </w:tc>
        <w:tc>
          <w:tcPr>
            <w:tcW w:w="5025" w:type="dxa"/>
            <w:tcBorders>
              <w:top w:val="nil"/>
              <w:left w:val="nil"/>
            </w:tcBorders>
            <w:vAlign w:val="bottom"/>
          </w:tcPr>
          <w:p w:rsidR="00A76913" w:rsidRDefault="00A76913" w:rsidP="006B57F8">
            <w:pPr>
              <w:pStyle w:val="IASBTableTNR"/>
            </w:pPr>
            <w:r>
              <w:t>Investment income</w:t>
            </w:r>
          </w:p>
        </w:tc>
        <w:tc>
          <w:tcPr>
            <w:tcW w:w="1365" w:type="dxa"/>
            <w:tcBorders>
              <w:top w:val="nil"/>
              <w:left w:val="nil"/>
            </w:tcBorders>
            <w:vAlign w:val="bottom"/>
          </w:tcPr>
          <w:p w:rsidR="00A76913" w:rsidRDefault="00A76913" w:rsidP="006B57F8">
            <w:pPr>
              <w:pStyle w:val="IASBTableArial"/>
              <w:jc w:val="right"/>
            </w:pPr>
            <w:r>
              <w:t>(500)</w:t>
            </w: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216" w:type="dxa"/>
            <w:tcBorders>
              <w:top w:val="nil"/>
            </w:tcBorders>
            <w:vAlign w:val="bottom"/>
          </w:tcPr>
          <w:p w:rsidR="00A76913" w:rsidRDefault="00A76913" w:rsidP="006B57F8">
            <w:pPr>
              <w:pStyle w:val="IASBTableArial"/>
            </w:pPr>
          </w:p>
        </w:tc>
        <w:tc>
          <w:tcPr>
            <w:tcW w:w="5025" w:type="dxa"/>
            <w:tcBorders>
              <w:top w:val="nil"/>
              <w:left w:val="nil"/>
            </w:tcBorders>
            <w:vAlign w:val="bottom"/>
          </w:tcPr>
          <w:p w:rsidR="00A76913" w:rsidRPr="00020F7B" w:rsidRDefault="00A76913" w:rsidP="006B57F8">
            <w:pPr>
              <w:pStyle w:val="IASBTableArial"/>
              <w:rPr>
                <w:rFonts w:ascii="Times New Roman" w:hAnsi="Times New Roman"/>
                <w:sz w:val="19"/>
              </w:rPr>
            </w:pPr>
            <w:r w:rsidRPr="00020F7B">
              <w:rPr>
                <w:rFonts w:ascii="Times New Roman" w:hAnsi="Times New Roman"/>
                <w:sz w:val="19"/>
              </w:rPr>
              <w:t>Interest expense</w:t>
            </w:r>
          </w:p>
        </w:tc>
        <w:tc>
          <w:tcPr>
            <w:tcW w:w="1365" w:type="dxa"/>
            <w:tcBorders>
              <w:top w:val="nil"/>
              <w:left w:val="nil"/>
              <w:bottom w:val="single" w:sz="4" w:space="0" w:color="auto"/>
            </w:tcBorders>
            <w:vAlign w:val="bottom"/>
          </w:tcPr>
          <w:p w:rsidR="00A76913" w:rsidRDefault="00A76913" w:rsidP="006B57F8">
            <w:pPr>
              <w:pStyle w:val="IASBTableArial"/>
              <w:jc w:val="right"/>
            </w:pPr>
            <w:r>
              <w:t>400</w:t>
            </w: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216" w:type="dxa"/>
            <w:tcBorders>
              <w:top w:val="nil"/>
            </w:tcBorders>
            <w:vAlign w:val="bottom"/>
          </w:tcPr>
          <w:p w:rsidR="00A76913" w:rsidRDefault="00A76913" w:rsidP="006B57F8">
            <w:pPr>
              <w:pStyle w:val="IASBTableArial"/>
            </w:pPr>
          </w:p>
        </w:tc>
        <w:tc>
          <w:tcPr>
            <w:tcW w:w="5025"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jc w:val="right"/>
            </w:pPr>
            <w:r>
              <w:t>3,740</w:t>
            </w: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216" w:type="dxa"/>
            <w:tcBorders>
              <w:top w:val="nil"/>
            </w:tcBorders>
            <w:vAlign w:val="bottom"/>
          </w:tcPr>
          <w:p w:rsidR="00A76913" w:rsidRDefault="00A76913" w:rsidP="006B57F8">
            <w:pPr>
              <w:pStyle w:val="IASBTableArial"/>
            </w:pPr>
          </w:p>
        </w:tc>
        <w:tc>
          <w:tcPr>
            <w:tcW w:w="5025" w:type="dxa"/>
            <w:tcBorders>
              <w:top w:val="nil"/>
              <w:left w:val="nil"/>
            </w:tcBorders>
            <w:vAlign w:val="bottom"/>
          </w:tcPr>
          <w:p w:rsidR="00A76913" w:rsidRDefault="00A76913" w:rsidP="006B57F8">
            <w:pPr>
              <w:pStyle w:val="IASBTableTNR"/>
            </w:pPr>
            <w:r>
              <w:t>Increase in trade and other receivables</w:t>
            </w:r>
          </w:p>
        </w:tc>
        <w:tc>
          <w:tcPr>
            <w:tcW w:w="1365" w:type="dxa"/>
            <w:tcBorders>
              <w:top w:val="nil"/>
              <w:left w:val="nil"/>
            </w:tcBorders>
            <w:vAlign w:val="bottom"/>
          </w:tcPr>
          <w:p w:rsidR="00A76913" w:rsidRDefault="00A76913" w:rsidP="006B57F8">
            <w:pPr>
              <w:pStyle w:val="IASBTableArial"/>
              <w:jc w:val="right"/>
            </w:pPr>
            <w:r>
              <w:t>(500)</w:t>
            </w: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216" w:type="dxa"/>
            <w:tcBorders>
              <w:top w:val="nil"/>
            </w:tcBorders>
            <w:vAlign w:val="bottom"/>
          </w:tcPr>
          <w:p w:rsidR="00A76913" w:rsidRDefault="00A76913" w:rsidP="006B57F8">
            <w:pPr>
              <w:pStyle w:val="IASBTableArial"/>
            </w:pPr>
          </w:p>
        </w:tc>
        <w:tc>
          <w:tcPr>
            <w:tcW w:w="5025" w:type="dxa"/>
            <w:tcBorders>
              <w:top w:val="nil"/>
              <w:left w:val="nil"/>
            </w:tcBorders>
            <w:vAlign w:val="bottom"/>
          </w:tcPr>
          <w:p w:rsidR="00A76913" w:rsidRDefault="00A76913" w:rsidP="006B57F8">
            <w:pPr>
              <w:pStyle w:val="IASBTableTNR"/>
            </w:pPr>
            <w:r>
              <w:t>Decrease in inventories</w:t>
            </w:r>
          </w:p>
        </w:tc>
        <w:tc>
          <w:tcPr>
            <w:tcW w:w="1365" w:type="dxa"/>
            <w:tcBorders>
              <w:top w:val="nil"/>
              <w:left w:val="nil"/>
            </w:tcBorders>
            <w:vAlign w:val="bottom"/>
          </w:tcPr>
          <w:p w:rsidR="00A76913" w:rsidRDefault="00A76913" w:rsidP="006B57F8">
            <w:pPr>
              <w:pStyle w:val="IASBTableArial"/>
              <w:jc w:val="right"/>
            </w:pPr>
            <w:r>
              <w:t>1,050</w:t>
            </w: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216" w:type="dxa"/>
            <w:tcBorders>
              <w:top w:val="nil"/>
            </w:tcBorders>
            <w:vAlign w:val="bottom"/>
          </w:tcPr>
          <w:p w:rsidR="00A76913" w:rsidRDefault="00A76913" w:rsidP="006B57F8">
            <w:pPr>
              <w:pStyle w:val="IASBTableArial"/>
            </w:pPr>
          </w:p>
        </w:tc>
        <w:tc>
          <w:tcPr>
            <w:tcW w:w="5025" w:type="dxa"/>
            <w:tcBorders>
              <w:top w:val="nil"/>
              <w:left w:val="nil"/>
            </w:tcBorders>
            <w:vAlign w:val="bottom"/>
          </w:tcPr>
          <w:p w:rsidR="00A76913" w:rsidRDefault="00A76913" w:rsidP="006B57F8">
            <w:pPr>
              <w:pStyle w:val="IASBTableTNR"/>
            </w:pPr>
            <w:r>
              <w:t>Decrease in trade payables</w:t>
            </w:r>
          </w:p>
        </w:tc>
        <w:tc>
          <w:tcPr>
            <w:tcW w:w="1365" w:type="dxa"/>
            <w:tcBorders>
              <w:top w:val="nil"/>
              <w:left w:val="nil"/>
              <w:bottom w:val="single" w:sz="4" w:space="0" w:color="auto"/>
            </w:tcBorders>
            <w:vAlign w:val="bottom"/>
          </w:tcPr>
          <w:p w:rsidR="00A76913" w:rsidRDefault="00A76913" w:rsidP="006B57F8">
            <w:pPr>
              <w:pStyle w:val="IASBTableArial"/>
              <w:jc w:val="right"/>
            </w:pPr>
            <w:r>
              <w:t>(1,740)</w:t>
            </w: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5241" w:type="dxa"/>
            <w:gridSpan w:val="2"/>
            <w:tcBorders>
              <w:top w:val="nil"/>
            </w:tcBorders>
            <w:vAlign w:val="bottom"/>
          </w:tcPr>
          <w:p w:rsidR="00A76913" w:rsidRDefault="00A76913" w:rsidP="006B57F8">
            <w:pPr>
              <w:pStyle w:val="IASBTableTNR"/>
            </w:pPr>
            <w:r>
              <w:t>Cash generated from operations</w:t>
            </w:r>
          </w:p>
        </w:tc>
        <w:tc>
          <w:tcPr>
            <w:tcW w:w="1365" w:type="dxa"/>
            <w:tcBorders>
              <w:top w:val="nil"/>
              <w:left w:val="nil"/>
            </w:tcBorders>
            <w:vAlign w:val="bottom"/>
          </w:tcPr>
          <w:p w:rsidR="00A76913" w:rsidRDefault="00A76913" w:rsidP="006B57F8">
            <w:pPr>
              <w:pStyle w:val="IASBTableArial"/>
              <w:jc w:val="right"/>
            </w:pPr>
            <w:r>
              <w:t>2,550</w:t>
            </w: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5241" w:type="dxa"/>
            <w:gridSpan w:val="2"/>
            <w:tcBorders>
              <w:top w:val="nil"/>
            </w:tcBorders>
            <w:vAlign w:val="bottom"/>
          </w:tcPr>
          <w:p w:rsidR="00A76913" w:rsidRDefault="00A76913" w:rsidP="006B57F8">
            <w:pPr>
              <w:pStyle w:val="IASBTableTNR"/>
            </w:pPr>
            <w:r>
              <w:t>Interest paid</w:t>
            </w:r>
          </w:p>
        </w:tc>
        <w:tc>
          <w:tcPr>
            <w:tcW w:w="1365" w:type="dxa"/>
            <w:tcBorders>
              <w:top w:val="nil"/>
              <w:left w:val="nil"/>
            </w:tcBorders>
            <w:vAlign w:val="bottom"/>
          </w:tcPr>
          <w:p w:rsidR="00A76913" w:rsidRDefault="00A76913" w:rsidP="006B57F8">
            <w:pPr>
              <w:pStyle w:val="IASBTableArial"/>
              <w:jc w:val="right"/>
            </w:pPr>
            <w:r>
              <w:t>(270)</w:t>
            </w: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5241" w:type="dxa"/>
            <w:gridSpan w:val="2"/>
            <w:tcBorders>
              <w:top w:val="nil"/>
            </w:tcBorders>
            <w:vAlign w:val="bottom"/>
          </w:tcPr>
          <w:p w:rsidR="00A76913" w:rsidRDefault="00A76913" w:rsidP="006B57F8">
            <w:pPr>
              <w:pStyle w:val="IASBTableTNR"/>
            </w:pPr>
            <w:r>
              <w:t>Income taxes paid</w:t>
            </w:r>
          </w:p>
        </w:tc>
        <w:tc>
          <w:tcPr>
            <w:tcW w:w="1365" w:type="dxa"/>
            <w:tcBorders>
              <w:top w:val="nil"/>
              <w:left w:val="nil"/>
              <w:bottom w:val="single" w:sz="4" w:space="0" w:color="auto"/>
            </w:tcBorders>
            <w:vAlign w:val="bottom"/>
          </w:tcPr>
          <w:p w:rsidR="00A76913" w:rsidRDefault="00A76913" w:rsidP="006B57F8">
            <w:pPr>
              <w:pStyle w:val="IASBTableArial"/>
              <w:jc w:val="right"/>
            </w:pPr>
            <w:r>
              <w:t>(900)</w:t>
            </w: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5241" w:type="dxa"/>
            <w:gridSpan w:val="2"/>
            <w:tcBorders>
              <w:top w:val="nil"/>
            </w:tcBorders>
            <w:vAlign w:val="bottom"/>
          </w:tcPr>
          <w:p w:rsidR="00A76913" w:rsidRDefault="00A76913" w:rsidP="006B57F8">
            <w:pPr>
              <w:pStyle w:val="IASBTableArial"/>
            </w:pPr>
            <w:r>
              <w:rPr>
                <w:i/>
              </w:rPr>
              <w:t>Net cash from operating activities</w:t>
            </w:r>
          </w:p>
        </w:tc>
        <w:tc>
          <w:tcPr>
            <w:tcW w:w="1365"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jc w:val="right"/>
            </w:pPr>
            <w:r>
              <w:t>1,380</w:t>
            </w:r>
          </w:p>
        </w:tc>
      </w:tr>
      <w:tr w:rsidR="00A76913" w:rsidTr="006B57F8">
        <w:trPr>
          <w:gridAfter w:val="1"/>
          <w:wAfter w:w="1365" w:type="dxa"/>
          <w:cantSplit/>
        </w:trPr>
        <w:tc>
          <w:tcPr>
            <w:tcW w:w="6879" w:type="dxa"/>
            <w:gridSpan w:val="4"/>
            <w:tcBorders>
              <w:top w:val="nil"/>
            </w:tcBorders>
            <w:vAlign w:val="bottom"/>
          </w:tcPr>
          <w:p w:rsidR="00A76913" w:rsidRDefault="00A76913" w:rsidP="006B57F8">
            <w:pPr>
              <w:pStyle w:val="IASBTableArial"/>
            </w:pPr>
          </w:p>
        </w:tc>
      </w:tr>
      <w:tr w:rsidR="00A76913" w:rsidTr="006B57F8">
        <w:trPr>
          <w:cantSplit/>
        </w:trPr>
        <w:tc>
          <w:tcPr>
            <w:tcW w:w="5241" w:type="dxa"/>
            <w:gridSpan w:val="2"/>
            <w:tcBorders>
              <w:top w:val="nil"/>
            </w:tcBorders>
            <w:vAlign w:val="bottom"/>
          </w:tcPr>
          <w:p w:rsidR="00A76913" w:rsidRDefault="00A76913" w:rsidP="006B57F8">
            <w:pPr>
              <w:pStyle w:val="IASBTableTNR"/>
            </w:pPr>
            <w:r>
              <w:rPr>
                <w:b/>
              </w:rPr>
              <w:t>Cash flows from investing activities</w:t>
            </w:r>
          </w:p>
        </w:tc>
        <w:tc>
          <w:tcPr>
            <w:tcW w:w="1365"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5241" w:type="dxa"/>
            <w:gridSpan w:val="2"/>
            <w:tcBorders>
              <w:top w:val="nil"/>
            </w:tcBorders>
            <w:vAlign w:val="bottom"/>
          </w:tcPr>
          <w:p w:rsidR="00A76913" w:rsidRDefault="00A76913" w:rsidP="006B57F8">
            <w:pPr>
              <w:pStyle w:val="IASBTableTNR"/>
            </w:pPr>
            <w:r>
              <w:t>Acquisition of subsidiary X net of cash acquired (Note A)</w:t>
            </w:r>
          </w:p>
        </w:tc>
        <w:tc>
          <w:tcPr>
            <w:tcW w:w="1365" w:type="dxa"/>
            <w:tcBorders>
              <w:top w:val="nil"/>
              <w:left w:val="nil"/>
            </w:tcBorders>
            <w:vAlign w:val="bottom"/>
          </w:tcPr>
          <w:p w:rsidR="00A76913" w:rsidRDefault="00A76913" w:rsidP="006B57F8">
            <w:pPr>
              <w:pStyle w:val="IASBTableArial"/>
              <w:jc w:val="right"/>
            </w:pPr>
            <w:r>
              <w:t>(550)</w:t>
            </w: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5241" w:type="dxa"/>
            <w:gridSpan w:val="2"/>
            <w:tcBorders>
              <w:top w:val="nil"/>
            </w:tcBorders>
            <w:vAlign w:val="bottom"/>
          </w:tcPr>
          <w:p w:rsidR="00A76913" w:rsidRDefault="00A76913" w:rsidP="006B57F8">
            <w:pPr>
              <w:pStyle w:val="IASBTableTNR"/>
            </w:pPr>
            <w:r>
              <w:t>Purchase of property, plant and equipment (Note B)</w:t>
            </w:r>
          </w:p>
        </w:tc>
        <w:tc>
          <w:tcPr>
            <w:tcW w:w="1365" w:type="dxa"/>
            <w:tcBorders>
              <w:top w:val="nil"/>
              <w:left w:val="nil"/>
            </w:tcBorders>
            <w:vAlign w:val="bottom"/>
          </w:tcPr>
          <w:p w:rsidR="00A76913" w:rsidRDefault="00A76913" w:rsidP="006B57F8">
            <w:pPr>
              <w:pStyle w:val="IASBTableArial"/>
              <w:jc w:val="right"/>
            </w:pPr>
            <w:r>
              <w:t>(350)</w:t>
            </w: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5241" w:type="dxa"/>
            <w:gridSpan w:val="2"/>
            <w:tcBorders>
              <w:top w:val="nil"/>
            </w:tcBorders>
            <w:vAlign w:val="bottom"/>
          </w:tcPr>
          <w:p w:rsidR="00A76913" w:rsidRDefault="00A76913" w:rsidP="006B57F8">
            <w:pPr>
              <w:pStyle w:val="IASBTableTNR"/>
            </w:pPr>
            <w:r>
              <w:t>Proceeds from sale of equipment</w:t>
            </w:r>
          </w:p>
        </w:tc>
        <w:tc>
          <w:tcPr>
            <w:tcW w:w="1365" w:type="dxa"/>
            <w:tcBorders>
              <w:top w:val="nil"/>
              <w:left w:val="nil"/>
            </w:tcBorders>
            <w:vAlign w:val="bottom"/>
          </w:tcPr>
          <w:p w:rsidR="00A76913" w:rsidRDefault="00A76913" w:rsidP="006B57F8">
            <w:pPr>
              <w:pStyle w:val="IASBTableArial"/>
              <w:jc w:val="right"/>
            </w:pPr>
            <w:r>
              <w:t>20</w:t>
            </w: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5241" w:type="dxa"/>
            <w:gridSpan w:val="2"/>
            <w:tcBorders>
              <w:top w:val="nil"/>
            </w:tcBorders>
            <w:vAlign w:val="bottom"/>
          </w:tcPr>
          <w:p w:rsidR="00A76913" w:rsidRDefault="00A76913" w:rsidP="006B57F8">
            <w:pPr>
              <w:pStyle w:val="IASBTableTNR"/>
            </w:pPr>
            <w:r>
              <w:t>Interest received</w:t>
            </w:r>
          </w:p>
        </w:tc>
        <w:tc>
          <w:tcPr>
            <w:tcW w:w="1365" w:type="dxa"/>
            <w:tcBorders>
              <w:top w:val="nil"/>
              <w:left w:val="nil"/>
            </w:tcBorders>
            <w:vAlign w:val="bottom"/>
          </w:tcPr>
          <w:p w:rsidR="00A76913" w:rsidRDefault="00A76913" w:rsidP="006B57F8">
            <w:pPr>
              <w:pStyle w:val="IASBTableArial"/>
              <w:jc w:val="right"/>
            </w:pPr>
            <w:r>
              <w:t>200</w:t>
            </w: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5241" w:type="dxa"/>
            <w:gridSpan w:val="2"/>
            <w:tcBorders>
              <w:top w:val="nil"/>
            </w:tcBorders>
            <w:vAlign w:val="bottom"/>
          </w:tcPr>
          <w:p w:rsidR="00A76913" w:rsidRDefault="00A76913" w:rsidP="006B57F8">
            <w:pPr>
              <w:pStyle w:val="IASBTableTNR"/>
            </w:pPr>
            <w:r>
              <w:t>Dividends received</w:t>
            </w:r>
          </w:p>
        </w:tc>
        <w:tc>
          <w:tcPr>
            <w:tcW w:w="1365" w:type="dxa"/>
            <w:tcBorders>
              <w:top w:val="nil"/>
              <w:left w:val="nil"/>
              <w:bottom w:val="single" w:sz="4" w:space="0" w:color="auto"/>
            </w:tcBorders>
            <w:vAlign w:val="bottom"/>
          </w:tcPr>
          <w:p w:rsidR="00A76913" w:rsidRDefault="00A76913" w:rsidP="006B57F8">
            <w:pPr>
              <w:pStyle w:val="IASBTableArial"/>
              <w:jc w:val="right"/>
            </w:pPr>
            <w:r>
              <w:t>200</w:t>
            </w: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5241" w:type="dxa"/>
            <w:gridSpan w:val="2"/>
            <w:tcBorders>
              <w:top w:val="nil"/>
            </w:tcBorders>
            <w:vAlign w:val="bottom"/>
          </w:tcPr>
          <w:p w:rsidR="00A76913" w:rsidRDefault="00A76913" w:rsidP="006B57F8">
            <w:pPr>
              <w:pStyle w:val="IASBTableArial"/>
            </w:pPr>
            <w:r>
              <w:rPr>
                <w:i/>
              </w:rPr>
              <w:t>Net cash used in investing activities</w:t>
            </w:r>
          </w:p>
        </w:tc>
        <w:tc>
          <w:tcPr>
            <w:tcW w:w="1365"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jc w:val="right"/>
            </w:pPr>
            <w:r>
              <w:t>(480)</w:t>
            </w:r>
          </w:p>
        </w:tc>
      </w:tr>
      <w:tr w:rsidR="00A76913" w:rsidTr="006B57F8">
        <w:trPr>
          <w:cantSplit/>
        </w:trPr>
        <w:tc>
          <w:tcPr>
            <w:tcW w:w="6879" w:type="dxa"/>
            <w:gridSpan w:val="4"/>
            <w:tcBorders>
              <w:top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5241" w:type="dxa"/>
            <w:gridSpan w:val="2"/>
            <w:tcBorders>
              <w:top w:val="nil"/>
            </w:tcBorders>
            <w:vAlign w:val="bottom"/>
          </w:tcPr>
          <w:p w:rsidR="00A76913" w:rsidRDefault="00A76913" w:rsidP="006B57F8">
            <w:pPr>
              <w:pStyle w:val="IASBTableTNR"/>
            </w:pPr>
            <w:r>
              <w:rPr>
                <w:b/>
              </w:rPr>
              <w:t>Cash flows from financing activities</w:t>
            </w:r>
          </w:p>
        </w:tc>
        <w:tc>
          <w:tcPr>
            <w:tcW w:w="1365"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5241" w:type="dxa"/>
            <w:gridSpan w:val="2"/>
            <w:tcBorders>
              <w:top w:val="nil"/>
            </w:tcBorders>
            <w:vAlign w:val="bottom"/>
          </w:tcPr>
          <w:p w:rsidR="00A76913" w:rsidRDefault="00A76913" w:rsidP="006B57F8">
            <w:pPr>
              <w:pStyle w:val="IASBTableTNR"/>
            </w:pPr>
            <w:r>
              <w:t>Proceeds from issue of share capital</w:t>
            </w:r>
          </w:p>
        </w:tc>
        <w:tc>
          <w:tcPr>
            <w:tcW w:w="1365" w:type="dxa"/>
            <w:tcBorders>
              <w:top w:val="nil"/>
              <w:left w:val="nil"/>
            </w:tcBorders>
            <w:vAlign w:val="bottom"/>
          </w:tcPr>
          <w:p w:rsidR="00A76913" w:rsidRDefault="00A76913" w:rsidP="006B57F8">
            <w:pPr>
              <w:pStyle w:val="IASBTableArial"/>
              <w:jc w:val="right"/>
            </w:pPr>
            <w:r>
              <w:t>250</w:t>
            </w: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5241" w:type="dxa"/>
            <w:gridSpan w:val="2"/>
            <w:tcBorders>
              <w:top w:val="nil"/>
            </w:tcBorders>
            <w:vAlign w:val="bottom"/>
          </w:tcPr>
          <w:p w:rsidR="00A76913" w:rsidRDefault="00A76913" w:rsidP="006B57F8">
            <w:pPr>
              <w:pStyle w:val="IASBTableTNR"/>
            </w:pPr>
            <w:r>
              <w:t>Proceeds from long-term borrowings</w:t>
            </w:r>
          </w:p>
        </w:tc>
        <w:tc>
          <w:tcPr>
            <w:tcW w:w="1365" w:type="dxa"/>
            <w:tcBorders>
              <w:top w:val="nil"/>
              <w:left w:val="nil"/>
            </w:tcBorders>
            <w:vAlign w:val="bottom"/>
          </w:tcPr>
          <w:p w:rsidR="00A76913" w:rsidRDefault="00A76913" w:rsidP="006B57F8">
            <w:pPr>
              <w:pStyle w:val="IASBTableArial"/>
              <w:jc w:val="right"/>
            </w:pPr>
            <w:r>
              <w:t>250</w:t>
            </w: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5241" w:type="dxa"/>
            <w:gridSpan w:val="2"/>
            <w:tcBorders>
              <w:top w:val="nil"/>
            </w:tcBorders>
            <w:vAlign w:val="bottom"/>
          </w:tcPr>
          <w:p w:rsidR="00A76913" w:rsidRDefault="00A76913" w:rsidP="006B57F8">
            <w:pPr>
              <w:pStyle w:val="IASBTableTNR"/>
            </w:pPr>
            <w:r>
              <w:t>Payment of finance lease liabilities</w:t>
            </w:r>
          </w:p>
        </w:tc>
        <w:tc>
          <w:tcPr>
            <w:tcW w:w="1365" w:type="dxa"/>
            <w:tcBorders>
              <w:top w:val="nil"/>
              <w:left w:val="nil"/>
            </w:tcBorders>
            <w:vAlign w:val="bottom"/>
          </w:tcPr>
          <w:p w:rsidR="00A76913" w:rsidRDefault="00A76913" w:rsidP="006B57F8">
            <w:pPr>
              <w:pStyle w:val="IASBTableArial"/>
              <w:jc w:val="right"/>
            </w:pPr>
            <w:r>
              <w:t>(90)</w:t>
            </w: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5241" w:type="dxa"/>
            <w:gridSpan w:val="2"/>
            <w:tcBorders>
              <w:top w:val="nil"/>
            </w:tcBorders>
            <w:vAlign w:val="bottom"/>
          </w:tcPr>
          <w:p w:rsidR="00A76913" w:rsidRDefault="00A76913" w:rsidP="006B57F8">
            <w:pPr>
              <w:pStyle w:val="IASBTableTNR"/>
            </w:pPr>
            <w:r>
              <w:t>Dividends paid</w:t>
            </w:r>
            <w:r>
              <w:rPr>
                <w:vertAlign w:val="superscript"/>
              </w:rPr>
              <w:t>(a)</w:t>
            </w:r>
          </w:p>
        </w:tc>
        <w:tc>
          <w:tcPr>
            <w:tcW w:w="1365" w:type="dxa"/>
            <w:tcBorders>
              <w:top w:val="nil"/>
              <w:left w:val="nil"/>
              <w:bottom w:val="single" w:sz="4" w:space="0" w:color="auto"/>
            </w:tcBorders>
            <w:vAlign w:val="bottom"/>
          </w:tcPr>
          <w:p w:rsidR="00A76913" w:rsidRDefault="00A76913" w:rsidP="006B57F8">
            <w:pPr>
              <w:pStyle w:val="IASBTableArial"/>
              <w:jc w:val="right"/>
            </w:pPr>
            <w:r>
              <w:t>(1,200)</w:t>
            </w: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5241" w:type="dxa"/>
            <w:gridSpan w:val="2"/>
            <w:tcBorders>
              <w:top w:val="nil"/>
            </w:tcBorders>
            <w:vAlign w:val="bottom"/>
          </w:tcPr>
          <w:p w:rsidR="00A76913" w:rsidRDefault="00A76913" w:rsidP="006B57F8">
            <w:pPr>
              <w:pStyle w:val="IASBTableArial"/>
            </w:pPr>
            <w:r>
              <w:rPr>
                <w:i/>
              </w:rPr>
              <w:t>Net cash used in financing activities</w:t>
            </w:r>
          </w:p>
        </w:tc>
        <w:tc>
          <w:tcPr>
            <w:tcW w:w="1365"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bottom w:val="single" w:sz="4" w:space="0" w:color="auto"/>
            </w:tcBorders>
            <w:vAlign w:val="bottom"/>
          </w:tcPr>
          <w:p w:rsidR="00A76913" w:rsidRDefault="00A76913" w:rsidP="006B57F8">
            <w:pPr>
              <w:pStyle w:val="IASBTableArial"/>
              <w:jc w:val="right"/>
            </w:pPr>
            <w:r>
              <w:t>(790)</w:t>
            </w:r>
          </w:p>
        </w:tc>
      </w:tr>
      <w:tr w:rsidR="00A76913" w:rsidTr="006B57F8">
        <w:trPr>
          <w:cantSplit/>
        </w:trPr>
        <w:tc>
          <w:tcPr>
            <w:tcW w:w="6879" w:type="dxa"/>
            <w:gridSpan w:val="4"/>
            <w:tcBorders>
              <w:top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5241" w:type="dxa"/>
            <w:gridSpan w:val="2"/>
            <w:tcBorders>
              <w:top w:val="nil"/>
            </w:tcBorders>
            <w:vAlign w:val="bottom"/>
          </w:tcPr>
          <w:p w:rsidR="00A76913" w:rsidRDefault="00A76913" w:rsidP="006B57F8">
            <w:pPr>
              <w:pStyle w:val="IASBTableArial"/>
            </w:pPr>
            <w:r>
              <w:rPr>
                <w:b/>
              </w:rPr>
              <w:t>Net increase in cash and cash equivalents</w:t>
            </w:r>
          </w:p>
        </w:tc>
        <w:tc>
          <w:tcPr>
            <w:tcW w:w="1365"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jc w:val="right"/>
            </w:pPr>
            <w:r>
              <w:t>110</w:t>
            </w:r>
          </w:p>
        </w:tc>
      </w:tr>
      <w:tr w:rsidR="00A76913" w:rsidTr="006B57F8">
        <w:trPr>
          <w:cantSplit/>
        </w:trPr>
        <w:tc>
          <w:tcPr>
            <w:tcW w:w="5241" w:type="dxa"/>
            <w:gridSpan w:val="2"/>
            <w:tcBorders>
              <w:top w:val="nil"/>
            </w:tcBorders>
            <w:vAlign w:val="bottom"/>
          </w:tcPr>
          <w:p w:rsidR="00A76913" w:rsidRDefault="00A76913" w:rsidP="006B57F8">
            <w:pPr>
              <w:pStyle w:val="IASBTableArial"/>
            </w:pPr>
            <w:r>
              <w:rPr>
                <w:b/>
              </w:rPr>
              <w:t>Cash and cash equivalents at beginning of period (Note C)</w:t>
            </w:r>
          </w:p>
        </w:tc>
        <w:tc>
          <w:tcPr>
            <w:tcW w:w="1365"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bottom w:val="single" w:sz="4" w:space="0" w:color="auto"/>
            </w:tcBorders>
            <w:vAlign w:val="bottom"/>
          </w:tcPr>
          <w:p w:rsidR="00A76913" w:rsidRDefault="00A76913" w:rsidP="006B57F8">
            <w:pPr>
              <w:pStyle w:val="IASBTableArial"/>
              <w:jc w:val="right"/>
            </w:pPr>
            <w:r>
              <w:t>120</w:t>
            </w:r>
          </w:p>
        </w:tc>
      </w:tr>
      <w:tr w:rsidR="00A76913" w:rsidTr="006B57F8">
        <w:trPr>
          <w:cantSplit/>
        </w:trPr>
        <w:tc>
          <w:tcPr>
            <w:tcW w:w="5241" w:type="dxa"/>
            <w:gridSpan w:val="2"/>
            <w:tcBorders>
              <w:top w:val="nil"/>
            </w:tcBorders>
            <w:vAlign w:val="bottom"/>
          </w:tcPr>
          <w:p w:rsidR="00A76913" w:rsidRDefault="00A76913" w:rsidP="006B57F8">
            <w:pPr>
              <w:pStyle w:val="IASBTableArial"/>
            </w:pPr>
            <w:r>
              <w:rPr>
                <w:b/>
              </w:rPr>
              <w:t>Cash and cash equivalents at end of period (Note C)</w:t>
            </w:r>
          </w:p>
        </w:tc>
        <w:tc>
          <w:tcPr>
            <w:tcW w:w="1365"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bottom w:val="double" w:sz="4" w:space="0" w:color="auto"/>
            </w:tcBorders>
            <w:vAlign w:val="bottom"/>
          </w:tcPr>
          <w:p w:rsidR="00A76913" w:rsidRDefault="00A76913" w:rsidP="006B57F8">
            <w:pPr>
              <w:pStyle w:val="IASBTableArial"/>
              <w:jc w:val="right"/>
            </w:pPr>
            <w:r>
              <w:t>230</w:t>
            </w:r>
          </w:p>
        </w:tc>
      </w:tr>
      <w:tr w:rsidR="00A76913" w:rsidTr="006B57F8">
        <w:trPr>
          <w:cantSplit/>
        </w:trPr>
        <w:tc>
          <w:tcPr>
            <w:tcW w:w="8244" w:type="dxa"/>
            <w:gridSpan w:val="5"/>
            <w:tcBorders>
              <w:top w:val="nil"/>
            </w:tcBorders>
            <w:vAlign w:val="bottom"/>
          </w:tcPr>
          <w:p w:rsidR="00A76913" w:rsidRDefault="00A76913" w:rsidP="006B57F8">
            <w:pPr>
              <w:pStyle w:val="IASBTableTNR"/>
            </w:pPr>
            <w:r>
              <w:rPr>
                <w:rStyle w:val="FootnoteReference"/>
                <w:sz w:val="16"/>
                <w:vertAlign w:val="baseline"/>
              </w:rPr>
              <w:t>(a)</w:t>
            </w:r>
            <w:r>
              <w:rPr>
                <w:rStyle w:val="FootnoteReference"/>
                <w:sz w:val="16"/>
                <w:vertAlign w:val="baseline"/>
              </w:rPr>
              <w:tab/>
              <w:t>This could also be shown as an operating cash flow.</w:t>
            </w:r>
          </w:p>
        </w:tc>
      </w:tr>
    </w:tbl>
    <w:p w:rsidR="00A76913" w:rsidRDefault="00A76913" w:rsidP="00A76913">
      <w:pPr>
        <w:pStyle w:val="IASBSectionTitle1NonInd"/>
      </w:pPr>
      <w:r>
        <w:lastRenderedPageBreak/>
        <w:t>Notes to the statement of cash flows (direct method and indirect method)</w:t>
      </w:r>
    </w:p>
    <w:p w:rsidR="00A76913" w:rsidRDefault="00A76913" w:rsidP="00A76913">
      <w:pPr>
        <w:pStyle w:val="IASBSectionTitle1NonInd"/>
        <w:pBdr>
          <w:bottom w:val="none" w:sz="0" w:space="0" w:color="auto"/>
        </w:pBdr>
      </w:pPr>
      <w:proofErr w:type="gramStart"/>
      <w:r>
        <w:t>A.</w:t>
      </w:r>
      <w:proofErr w:type="gramEnd"/>
      <w:r>
        <w:t> </w:t>
      </w:r>
      <w:r>
        <w:t>Obtaining control of subsidiary</w:t>
      </w:r>
    </w:p>
    <w:p w:rsidR="00A76913" w:rsidRDefault="00A76913" w:rsidP="00A76913">
      <w:pPr>
        <w:pStyle w:val="IASBNormal"/>
      </w:pPr>
      <w:r>
        <w:t>During the period the Group obtained control of subsidiary X. The fair values of assets acquired and liabilities assumed were as follows:</w:t>
      </w:r>
    </w:p>
    <w:p w:rsidR="00A76913" w:rsidRDefault="00A76913" w:rsidP="00A76913">
      <w:pPr>
        <w:pStyle w:val="IASBNormalnpara"/>
      </w:pPr>
    </w:p>
    <w:tbl>
      <w:tblPr>
        <w:tblW w:w="0" w:type="auto"/>
        <w:tblLayout w:type="fixed"/>
        <w:tblLook w:val="0000" w:firstRow="0" w:lastRow="0" w:firstColumn="0" w:lastColumn="0" w:noHBand="0" w:noVBand="0"/>
        <w:tblCaption w:val="AASB 107 Table 6"/>
      </w:tblPr>
      <w:tblGrid>
        <w:gridCol w:w="8298"/>
        <w:gridCol w:w="910"/>
      </w:tblGrid>
      <w:tr w:rsidR="00A76913" w:rsidTr="006B57F8">
        <w:trPr>
          <w:cantSplit/>
        </w:trPr>
        <w:tc>
          <w:tcPr>
            <w:tcW w:w="8298" w:type="dxa"/>
            <w:vAlign w:val="bottom"/>
          </w:tcPr>
          <w:p w:rsidR="00A76913" w:rsidRDefault="00A76913" w:rsidP="00A5609E">
            <w:pPr>
              <w:pStyle w:val="IASBTableArial"/>
              <w:keepNext/>
            </w:pPr>
            <w:r>
              <w:t>Cash</w:t>
            </w:r>
          </w:p>
        </w:tc>
        <w:tc>
          <w:tcPr>
            <w:tcW w:w="910" w:type="dxa"/>
            <w:tcBorders>
              <w:left w:val="nil"/>
            </w:tcBorders>
            <w:vAlign w:val="bottom"/>
          </w:tcPr>
          <w:p w:rsidR="00A76913" w:rsidRDefault="00A76913" w:rsidP="00A5609E">
            <w:pPr>
              <w:pStyle w:val="IASBTableArial"/>
              <w:keepNext/>
              <w:jc w:val="right"/>
            </w:pPr>
            <w:r>
              <w:t>40</w:t>
            </w:r>
          </w:p>
        </w:tc>
      </w:tr>
      <w:tr w:rsidR="00A76913" w:rsidTr="006B57F8">
        <w:trPr>
          <w:cantSplit/>
        </w:trPr>
        <w:tc>
          <w:tcPr>
            <w:tcW w:w="8298" w:type="dxa"/>
            <w:tcBorders>
              <w:top w:val="nil"/>
            </w:tcBorders>
            <w:vAlign w:val="bottom"/>
          </w:tcPr>
          <w:p w:rsidR="00A76913" w:rsidRDefault="00A76913" w:rsidP="006B57F8">
            <w:pPr>
              <w:pStyle w:val="IASBTableArial"/>
            </w:pPr>
            <w:r>
              <w:t>Inventories</w:t>
            </w:r>
          </w:p>
        </w:tc>
        <w:tc>
          <w:tcPr>
            <w:tcW w:w="910" w:type="dxa"/>
            <w:tcBorders>
              <w:top w:val="nil"/>
              <w:left w:val="nil"/>
            </w:tcBorders>
            <w:vAlign w:val="bottom"/>
          </w:tcPr>
          <w:p w:rsidR="00A76913" w:rsidRDefault="00A76913" w:rsidP="006B57F8">
            <w:pPr>
              <w:pStyle w:val="IASBTableArial"/>
              <w:jc w:val="right"/>
            </w:pPr>
            <w:r>
              <w:t>100</w:t>
            </w:r>
          </w:p>
        </w:tc>
      </w:tr>
      <w:tr w:rsidR="00A76913" w:rsidTr="006B57F8">
        <w:trPr>
          <w:cantSplit/>
        </w:trPr>
        <w:tc>
          <w:tcPr>
            <w:tcW w:w="8298" w:type="dxa"/>
            <w:tcBorders>
              <w:top w:val="nil"/>
            </w:tcBorders>
            <w:vAlign w:val="bottom"/>
          </w:tcPr>
          <w:p w:rsidR="00A76913" w:rsidRDefault="00A76913" w:rsidP="006B57F8">
            <w:pPr>
              <w:pStyle w:val="IASBTableArial"/>
            </w:pPr>
            <w:r>
              <w:t>Accounts receivable</w:t>
            </w:r>
          </w:p>
        </w:tc>
        <w:tc>
          <w:tcPr>
            <w:tcW w:w="910" w:type="dxa"/>
            <w:tcBorders>
              <w:top w:val="nil"/>
              <w:left w:val="nil"/>
            </w:tcBorders>
            <w:vAlign w:val="bottom"/>
          </w:tcPr>
          <w:p w:rsidR="00A76913" w:rsidRDefault="00A76913" w:rsidP="006B57F8">
            <w:pPr>
              <w:pStyle w:val="IASBTableArial"/>
              <w:jc w:val="right"/>
            </w:pPr>
            <w:r>
              <w:t>100</w:t>
            </w:r>
          </w:p>
        </w:tc>
      </w:tr>
      <w:tr w:rsidR="00A76913" w:rsidTr="006B57F8">
        <w:trPr>
          <w:cantSplit/>
        </w:trPr>
        <w:tc>
          <w:tcPr>
            <w:tcW w:w="8298" w:type="dxa"/>
            <w:tcBorders>
              <w:top w:val="nil"/>
            </w:tcBorders>
            <w:vAlign w:val="bottom"/>
          </w:tcPr>
          <w:p w:rsidR="00A76913" w:rsidRDefault="00A76913" w:rsidP="006B57F8">
            <w:pPr>
              <w:pStyle w:val="IASBTableArial"/>
            </w:pPr>
            <w:r>
              <w:t>Property, plant and equipment</w:t>
            </w:r>
          </w:p>
        </w:tc>
        <w:tc>
          <w:tcPr>
            <w:tcW w:w="910" w:type="dxa"/>
            <w:tcBorders>
              <w:top w:val="nil"/>
              <w:left w:val="nil"/>
            </w:tcBorders>
            <w:vAlign w:val="bottom"/>
          </w:tcPr>
          <w:p w:rsidR="00A76913" w:rsidRDefault="00A76913" w:rsidP="006B57F8">
            <w:pPr>
              <w:pStyle w:val="IASBTableArial"/>
              <w:jc w:val="right"/>
            </w:pPr>
            <w:r>
              <w:t>650</w:t>
            </w:r>
          </w:p>
        </w:tc>
      </w:tr>
      <w:tr w:rsidR="00A76913" w:rsidTr="006B57F8">
        <w:trPr>
          <w:cantSplit/>
        </w:trPr>
        <w:tc>
          <w:tcPr>
            <w:tcW w:w="8298" w:type="dxa"/>
            <w:tcBorders>
              <w:top w:val="nil"/>
            </w:tcBorders>
            <w:vAlign w:val="bottom"/>
          </w:tcPr>
          <w:p w:rsidR="00A76913" w:rsidRDefault="00A76913" w:rsidP="006B57F8">
            <w:pPr>
              <w:pStyle w:val="IASBTableArial"/>
            </w:pPr>
            <w:r>
              <w:t>Trade payables</w:t>
            </w:r>
          </w:p>
        </w:tc>
        <w:tc>
          <w:tcPr>
            <w:tcW w:w="910" w:type="dxa"/>
            <w:tcBorders>
              <w:top w:val="nil"/>
              <w:left w:val="nil"/>
            </w:tcBorders>
            <w:vAlign w:val="bottom"/>
          </w:tcPr>
          <w:p w:rsidR="00A76913" w:rsidRDefault="00A76913" w:rsidP="006B57F8">
            <w:pPr>
              <w:pStyle w:val="IASBTableArial"/>
              <w:jc w:val="right"/>
            </w:pPr>
            <w:r>
              <w:t>(100)</w:t>
            </w:r>
          </w:p>
        </w:tc>
      </w:tr>
      <w:tr w:rsidR="00A76913" w:rsidTr="006B57F8">
        <w:trPr>
          <w:cantSplit/>
        </w:trPr>
        <w:tc>
          <w:tcPr>
            <w:tcW w:w="8298" w:type="dxa"/>
            <w:tcBorders>
              <w:top w:val="nil"/>
            </w:tcBorders>
            <w:vAlign w:val="bottom"/>
          </w:tcPr>
          <w:p w:rsidR="00A76913" w:rsidRDefault="00A76913" w:rsidP="006B57F8">
            <w:pPr>
              <w:pStyle w:val="IASBTableArial"/>
            </w:pPr>
            <w:r>
              <w:t>Long-term debt</w:t>
            </w:r>
          </w:p>
        </w:tc>
        <w:tc>
          <w:tcPr>
            <w:tcW w:w="910" w:type="dxa"/>
            <w:tcBorders>
              <w:top w:val="nil"/>
              <w:left w:val="nil"/>
              <w:bottom w:val="single" w:sz="4" w:space="0" w:color="auto"/>
            </w:tcBorders>
            <w:vAlign w:val="bottom"/>
          </w:tcPr>
          <w:p w:rsidR="00A76913" w:rsidRDefault="00A76913" w:rsidP="006B57F8">
            <w:pPr>
              <w:pStyle w:val="IASBTableArial"/>
              <w:jc w:val="right"/>
            </w:pPr>
            <w:r>
              <w:t>(200)</w:t>
            </w:r>
          </w:p>
        </w:tc>
      </w:tr>
      <w:tr w:rsidR="00A76913" w:rsidTr="006B57F8">
        <w:trPr>
          <w:cantSplit/>
        </w:trPr>
        <w:tc>
          <w:tcPr>
            <w:tcW w:w="8298" w:type="dxa"/>
            <w:tcBorders>
              <w:top w:val="nil"/>
            </w:tcBorders>
            <w:vAlign w:val="bottom"/>
          </w:tcPr>
          <w:p w:rsidR="00A76913" w:rsidRDefault="00A76913" w:rsidP="006B57F8">
            <w:pPr>
              <w:pStyle w:val="IASBTableArial"/>
            </w:pPr>
            <w:r>
              <w:t>Total purchase price paid in cash</w:t>
            </w:r>
          </w:p>
        </w:tc>
        <w:tc>
          <w:tcPr>
            <w:tcW w:w="910" w:type="dxa"/>
            <w:tcBorders>
              <w:top w:val="nil"/>
              <w:left w:val="nil"/>
            </w:tcBorders>
            <w:vAlign w:val="bottom"/>
          </w:tcPr>
          <w:p w:rsidR="00A76913" w:rsidRDefault="00A76913" w:rsidP="006B57F8">
            <w:pPr>
              <w:pStyle w:val="IASBTableArial"/>
              <w:jc w:val="right"/>
            </w:pPr>
            <w:r>
              <w:t>590</w:t>
            </w:r>
          </w:p>
        </w:tc>
      </w:tr>
      <w:tr w:rsidR="00A76913" w:rsidTr="006B57F8">
        <w:trPr>
          <w:cantSplit/>
        </w:trPr>
        <w:tc>
          <w:tcPr>
            <w:tcW w:w="8298" w:type="dxa"/>
            <w:tcBorders>
              <w:top w:val="nil"/>
            </w:tcBorders>
            <w:vAlign w:val="bottom"/>
          </w:tcPr>
          <w:p w:rsidR="00A76913" w:rsidRDefault="00A76913" w:rsidP="006B57F8">
            <w:pPr>
              <w:pStyle w:val="IASBTableArial"/>
            </w:pPr>
            <w:r>
              <w:t>Less: Cash of subsidiary X acquired</w:t>
            </w:r>
          </w:p>
        </w:tc>
        <w:tc>
          <w:tcPr>
            <w:tcW w:w="910" w:type="dxa"/>
            <w:tcBorders>
              <w:top w:val="nil"/>
              <w:left w:val="nil"/>
              <w:bottom w:val="single" w:sz="4" w:space="0" w:color="auto"/>
            </w:tcBorders>
            <w:vAlign w:val="bottom"/>
          </w:tcPr>
          <w:p w:rsidR="00A76913" w:rsidRDefault="00A76913" w:rsidP="006B57F8">
            <w:pPr>
              <w:pStyle w:val="IASBTableArial"/>
              <w:jc w:val="right"/>
            </w:pPr>
            <w:r>
              <w:t>(40)</w:t>
            </w:r>
          </w:p>
        </w:tc>
      </w:tr>
      <w:tr w:rsidR="00A76913" w:rsidTr="006B57F8">
        <w:trPr>
          <w:cantSplit/>
        </w:trPr>
        <w:tc>
          <w:tcPr>
            <w:tcW w:w="8298" w:type="dxa"/>
            <w:tcBorders>
              <w:top w:val="nil"/>
            </w:tcBorders>
            <w:vAlign w:val="bottom"/>
          </w:tcPr>
          <w:p w:rsidR="00A76913" w:rsidRDefault="00A76913" w:rsidP="006B57F8">
            <w:pPr>
              <w:pStyle w:val="IASBTableArial"/>
            </w:pPr>
            <w:r>
              <w:t>Cash paid to obtain control net of cash acquired</w:t>
            </w:r>
          </w:p>
        </w:tc>
        <w:tc>
          <w:tcPr>
            <w:tcW w:w="910" w:type="dxa"/>
            <w:tcBorders>
              <w:top w:val="nil"/>
              <w:left w:val="nil"/>
              <w:bottom w:val="double" w:sz="4" w:space="0" w:color="auto"/>
            </w:tcBorders>
            <w:vAlign w:val="bottom"/>
          </w:tcPr>
          <w:p w:rsidR="00A76913" w:rsidRDefault="00A76913" w:rsidP="006B57F8">
            <w:pPr>
              <w:pStyle w:val="IASBTableArial"/>
              <w:jc w:val="right"/>
            </w:pPr>
            <w:r>
              <w:t>550</w:t>
            </w:r>
          </w:p>
        </w:tc>
      </w:tr>
    </w:tbl>
    <w:p w:rsidR="00A76913" w:rsidRDefault="00A76913" w:rsidP="00A76913">
      <w:pPr>
        <w:pStyle w:val="IASBSectionTitle1NonInd"/>
        <w:pBdr>
          <w:bottom w:val="none" w:sz="0" w:space="0" w:color="auto"/>
        </w:pBdr>
      </w:pPr>
      <w:proofErr w:type="gramStart"/>
      <w:r>
        <w:t>B.</w:t>
      </w:r>
      <w:proofErr w:type="gramEnd"/>
      <w:r>
        <w:t> </w:t>
      </w:r>
      <w:r>
        <w:t>Property, plant and equipment</w:t>
      </w:r>
    </w:p>
    <w:p w:rsidR="00A76913" w:rsidRDefault="00A76913" w:rsidP="00A76913">
      <w:pPr>
        <w:pStyle w:val="IASBNormal"/>
      </w:pPr>
      <w:r>
        <w:t>During the period, the Group acquired property, plant and equipment with an aggregate cost of 1,250 of which 900 was acquired by means of finance leases. Cash payments of 350 were made to purchase property, plant and equipment.</w:t>
      </w:r>
    </w:p>
    <w:p w:rsidR="00A76913" w:rsidRDefault="00A76913" w:rsidP="00A76913">
      <w:pPr>
        <w:pStyle w:val="IASBSectionTitle1NonInd"/>
        <w:pBdr>
          <w:bottom w:val="none" w:sz="0" w:space="0" w:color="auto"/>
        </w:pBdr>
      </w:pPr>
      <w:proofErr w:type="gramStart"/>
      <w:r>
        <w:t>C.</w:t>
      </w:r>
      <w:proofErr w:type="gramEnd"/>
      <w:r>
        <w:t> </w:t>
      </w:r>
      <w:r>
        <w:t>Cash and cash equivalents</w:t>
      </w:r>
    </w:p>
    <w:p w:rsidR="00A76913" w:rsidRDefault="00A76913" w:rsidP="00A76913">
      <w:pPr>
        <w:pStyle w:val="IASBNormal"/>
      </w:pPr>
      <w:r>
        <w:t xml:space="preserve">Cash and cash equivalents consist of cash on hand and </w:t>
      </w:r>
      <w:proofErr w:type="gramStart"/>
      <w:r>
        <w:t>balances</w:t>
      </w:r>
      <w:proofErr w:type="gramEnd"/>
      <w:r>
        <w:t xml:space="preserve"> with banks, and investments in money market instruments. Cash and cash equivalents included in the statement of cash flows comprise the following amounts in the statement of financial position:</w:t>
      </w:r>
    </w:p>
    <w:p w:rsidR="00A76913" w:rsidRDefault="00A76913" w:rsidP="00A76913">
      <w:pPr>
        <w:pStyle w:val="IASBNormalnpara"/>
      </w:pPr>
    </w:p>
    <w:tbl>
      <w:tblPr>
        <w:tblW w:w="0" w:type="auto"/>
        <w:tblLayout w:type="fixed"/>
        <w:tblLook w:val="0000" w:firstRow="0" w:lastRow="0" w:firstColumn="0" w:lastColumn="0" w:noHBand="0" w:noVBand="0"/>
        <w:tblCaption w:val="AASB 107 Table 7"/>
      </w:tblPr>
      <w:tblGrid>
        <w:gridCol w:w="6933"/>
        <w:gridCol w:w="910"/>
        <w:gridCol w:w="455"/>
        <w:gridCol w:w="910"/>
      </w:tblGrid>
      <w:tr w:rsidR="00A76913" w:rsidTr="006B57F8">
        <w:trPr>
          <w:cantSplit/>
          <w:tblHeader/>
        </w:trPr>
        <w:tc>
          <w:tcPr>
            <w:tcW w:w="6933" w:type="dxa"/>
            <w:vAlign w:val="bottom"/>
          </w:tcPr>
          <w:p w:rsidR="00A76913" w:rsidRDefault="00A76913" w:rsidP="006B57F8">
            <w:pPr>
              <w:pStyle w:val="IASBTableHeaderArial"/>
            </w:pPr>
          </w:p>
        </w:tc>
        <w:tc>
          <w:tcPr>
            <w:tcW w:w="910" w:type="dxa"/>
            <w:tcBorders>
              <w:left w:val="nil"/>
            </w:tcBorders>
            <w:vAlign w:val="bottom"/>
          </w:tcPr>
          <w:p w:rsidR="00A76913" w:rsidRDefault="00A76913" w:rsidP="006B57F8">
            <w:pPr>
              <w:pStyle w:val="IASBTableHeaderArial"/>
              <w:jc w:val="right"/>
            </w:pPr>
            <w:r>
              <w:rPr>
                <w:b/>
              </w:rPr>
              <w:t>20X2</w:t>
            </w:r>
          </w:p>
        </w:tc>
        <w:tc>
          <w:tcPr>
            <w:tcW w:w="455" w:type="dxa"/>
            <w:tcBorders>
              <w:left w:val="nil"/>
            </w:tcBorders>
            <w:vAlign w:val="bottom"/>
          </w:tcPr>
          <w:p w:rsidR="00A76913" w:rsidRDefault="00A76913" w:rsidP="006B57F8">
            <w:pPr>
              <w:pStyle w:val="IASBTableHeaderArial"/>
            </w:pPr>
          </w:p>
        </w:tc>
        <w:tc>
          <w:tcPr>
            <w:tcW w:w="910" w:type="dxa"/>
            <w:tcBorders>
              <w:left w:val="nil"/>
            </w:tcBorders>
            <w:vAlign w:val="bottom"/>
          </w:tcPr>
          <w:p w:rsidR="00A76913" w:rsidRDefault="00A76913" w:rsidP="006B57F8">
            <w:pPr>
              <w:pStyle w:val="IASBTableHeaderArial"/>
              <w:jc w:val="right"/>
            </w:pPr>
            <w:r>
              <w:rPr>
                <w:b/>
              </w:rPr>
              <w:t>20X1</w:t>
            </w:r>
          </w:p>
        </w:tc>
      </w:tr>
      <w:tr w:rsidR="00A76913" w:rsidTr="006B57F8">
        <w:trPr>
          <w:cantSplit/>
        </w:trPr>
        <w:tc>
          <w:tcPr>
            <w:tcW w:w="6933" w:type="dxa"/>
            <w:tcBorders>
              <w:top w:val="nil"/>
            </w:tcBorders>
            <w:vAlign w:val="bottom"/>
          </w:tcPr>
          <w:p w:rsidR="00A76913" w:rsidRDefault="00A76913" w:rsidP="006B57F8">
            <w:pPr>
              <w:pStyle w:val="IASBTableArial"/>
            </w:pPr>
            <w:r>
              <w:t>Cash on hand and balances with banks</w:t>
            </w:r>
          </w:p>
        </w:tc>
        <w:tc>
          <w:tcPr>
            <w:tcW w:w="910" w:type="dxa"/>
            <w:tcBorders>
              <w:top w:val="nil"/>
              <w:left w:val="nil"/>
            </w:tcBorders>
            <w:vAlign w:val="bottom"/>
          </w:tcPr>
          <w:p w:rsidR="00A76913" w:rsidRDefault="00A76913" w:rsidP="006B57F8">
            <w:pPr>
              <w:pStyle w:val="IASBTableArial"/>
              <w:jc w:val="right"/>
            </w:pPr>
            <w:r>
              <w:t>40</w:t>
            </w:r>
          </w:p>
        </w:tc>
        <w:tc>
          <w:tcPr>
            <w:tcW w:w="455" w:type="dxa"/>
            <w:tcBorders>
              <w:top w:val="nil"/>
              <w:left w:val="nil"/>
            </w:tcBorders>
            <w:vAlign w:val="bottom"/>
          </w:tcPr>
          <w:p w:rsidR="00A76913" w:rsidRDefault="00A76913" w:rsidP="006B57F8">
            <w:pPr>
              <w:pStyle w:val="IASBTableArial"/>
            </w:pPr>
          </w:p>
        </w:tc>
        <w:tc>
          <w:tcPr>
            <w:tcW w:w="910" w:type="dxa"/>
            <w:tcBorders>
              <w:top w:val="nil"/>
              <w:left w:val="nil"/>
            </w:tcBorders>
            <w:vAlign w:val="bottom"/>
          </w:tcPr>
          <w:p w:rsidR="00A76913" w:rsidRDefault="00A76913" w:rsidP="006B57F8">
            <w:pPr>
              <w:pStyle w:val="IASBTableArial"/>
              <w:jc w:val="right"/>
            </w:pPr>
            <w:r>
              <w:t>25</w:t>
            </w:r>
          </w:p>
        </w:tc>
      </w:tr>
      <w:tr w:rsidR="00A76913" w:rsidTr="006B57F8">
        <w:trPr>
          <w:cantSplit/>
        </w:trPr>
        <w:tc>
          <w:tcPr>
            <w:tcW w:w="6933" w:type="dxa"/>
            <w:tcBorders>
              <w:top w:val="nil"/>
            </w:tcBorders>
            <w:vAlign w:val="bottom"/>
          </w:tcPr>
          <w:p w:rsidR="00A76913" w:rsidRDefault="00A76913" w:rsidP="006B57F8">
            <w:pPr>
              <w:pStyle w:val="IASBTableArial"/>
            </w:pPr>
            <w:r>
              <w:t>Short-term investments</w:t>
            </w:r>
          </w:p>
        </w:tc>
        <w:tc>
          <w:tcPr>
            <w:tcW w:w="910" w:type="dxa"/>
            <w:tcBorders>
              <w:top w:val="nil"/>
              <w:left w:val="nil"/>
              <w:bottom w:val="single" w:sz="4" w:space="0" w:color="auto"/>
            </w:tcBorders>
            <w:vAlign w:val="bottom"/>
          </w:tcPr>
          <w:p w:rsidR="00A76913" w:rsidRDefault="00A76913" w:rsidP="006B57F8">
            <w:pPr>
              <w:pStyle w:val="IASBTableArial"/>
              <w:jc w:val="right"/>
            </w:pPr>
            <w:r>
              <w:t>190</w:t>
            </w:r>
          </w:p>
        </w:tc>
        <w:tc>
          <w:tcPr>
            <w:tcW w:w="455" w:type="dxa"/>
            <w:tcBorders>
              <w:top w:val="nil"/>
              <w:left w:val="nil"/>
            </w:tcBorders>
            <w:vAlign w:val="bottom"/>
          </w:tcPr>
          <w:p w:rsidR="00A76913" w:rsidRDefault="00A76913" w:rsidP="006B57F8">
            <w:pPr>
              <w:pStyle w:val="IASBTableArial"/>
            </w:pPr>
          </w:p>
        </w:tc>
        <w:tc>
          <w:tcPr>
            <w:tcW w:w="910" w:type="dxa"/>
            <w:tcBorders>
              <w:top w:val="nil"/>
              <w:left w:val="nil"/>
              <w:bottom w:val="single" w:sz="4" w:space="0" w:color="auto"/>
            </w:tcBorders>
            <w:vAlign w:val="bottom"/>
          </w:tcPr>
          <w:p w:rsidR="00A76913" w:rsidRDefault="00A76913" w:rsidP="006B57F8">
            <w:pPr>
              <w:pStyle w:val="IASBTableArial"/>
              <w:jc w:val="right"/>
            </w:pPr>
            <w:r>
              <w:t>135</w:t>
            </w:r>
          </w:p>
        </w:tc>
      </w:tr>
      <w:tr w:rsidR="00A76913" w:rsidTr="006B57F8">
        <w:trPr>
          <w:cantSplit/>
        </w:trPr>
        <w:tc>
          <w:tcPr>
            <w:tcW w:w="6933" w:type="dxa"/>
            <w:tcBorders>
              <w:top w:val="nil"/>
            </w:tcBorders>
            <w:vAlign w:val="bottom"/>
          </w:tcPr>
          <w:p w:rsidR="00A76913" w:rsidRDefault="00A76913" w:rsidP="006B57F8">
            <w:pPr>
              <w:pStyle w:val="IASBTableArial"/>
            </w:pPr>
            <w:r>
              <w:t>Cash and cash equivalents as previously reported</w:t>
            </w:r>
          </w:p>
        </w:tc>
        <w:tc>
          <w:tcPr>
            <w:tcW w:w="910" w:type="dxa"/>
            <w:tcBorders>
              <w:top w:val="nil"/>
              <w:left w:val="nil"/>
            </w:tcBorders>
            <w:vAlign w:val="bottom"/>
          </w:tcPr>
          <w:p w:rsidR="00A76913" w:rsidRDefault="00A76913" w:rsidP="006B57F8">
            <w:pPr>
              <w:pStyle w:val="IASBTableArial"/>
              <w:jc w:val="right"/>
            </w:pPr>
            <w:r>
              <w:t>230</w:t>
            </w:r>
          </w:p>
        </w:tc>
        <w:tc>
          <w:tcPr>
            <w:tcW w:w="455" w:type="dxa"/>
            <w:tcBorders>
              <w:top w:val="nil"/>
              <w:left w:val="nil"/>
            </w:tcBorders>
            <w:vAlign w:val="bottom"/>
          </w:tcPr>
          <w:p w:rsidR="00A76913" w:rsidRDefault="00A76913" w:rsidP="006B57F8">
            <w:pPr>
              <w:pStyle w:val="IASBTableArial"/>
            </w:pPr>
          </w:p>
        </w:tc>
        <w:tc>
          <w:tcPr>
            <w:tcW w:w="910" w:type="dxa"/>
            <w:tcBorders>
              <w:top w:val="nil"/>
              <w:left w:val="nil"/>
            </w:tcBorders>
            <w:vAlign w:val="bottom"/>
          </w:tcPr>
          <w:p w:rsidR="00A76913" w:rsidRDefault="00A76913" w:rsidP="006B57F8">
            <w:pPr>
              <w:pStyle w:val="IASBTableArial"/>
              <w:jc w:val="right"/>
            </w:pPr>
            <w:r>
              <w:t>160</w:t>
            </w:r>
          </w:p>
        </w:tc>
      </w:tr>
      <w:tr w:rsidR="00A76913" w:rsidTr="006B57F8">
        <w:trPr>
          <w:cantSplit/>
        </w:trPr>
        <w:tc>
          <w:tcPr>
            <w:tcW w:w="6933" w:type="dxa"/>
            <w:tcBorders>
              <w:top w:val="nil"/>
            </w:tcBorders>
            <w:vAlign w:val="bottom"/>
          </w:tcPr>
          <w:p w:rsidR="00A76913" w:rsidRDefault="00A76913" w:rsidP="006B57F8">
            <w:pPr>
              <w:pStyle w:val="IASBTableArial"/>
            </w:pPr>
            <w:r>
              <w:t>Effect of exchange rate changes</w:t>
            </w:r>
          </w:p>
        </w:tc>
        <w:tc>
          <w:tcPr>
            <w:tcW w:w="910" w:type="dxa"/>
            <w:tcBorders>
              <w:top w:val="nil"/>
              <w:left w:val="nil"/>
              <w:bottom w:val="single" w:sz="4" w:space="0" w:color="auto"/>
            </w:tcBorders>
            <w:vAlign w:val="bottom"/>
          </w:tcPr>
          <w:p w:rsidR="00A76913" w:rsidRDefault="00A76913" w:rsidP="006B57F8">
            <w:pPr>
              <w:pStyle w:val="IASBTableArial"/>
              <w:jc w:val="right"/>
            </w:pPr>
            <w:r>
              <w:t>–</w:t>
            </w:r>
          </w:p>
        </w:tc>
        <w:tc>
          <w:tcPr>
            <w:tcW w:w="455" w:type="dxa"/>
            <w:tcBorders>
              <w:top w:val="nil"/>
              <w:left w:val="nil"/>
            </w:tcBorders>
            <w:vAlign w:val="bottom"/>
          </w:tcPr>
          <w:p w:rsidR="00A76913" w:rsidRDefault="00A76913" w:rsidP="006B57F8">
            <w:pPr>
              <w:pStyle w:val="IASBTableArial"/>
            </w:pPr>
          </w:p>
        </w:tc>
        <w:tc>
          <w:tcPr>
            <w:tcW w:w="910" w:type="dxa"/>
            <w:tcBorders>
              <w:top w:val="nil"/>
              <w:left w:val="nil"/>
              <w:bottom w:val="single" w:sz="4" w:space="0" w:color="auto"/>
            </w:tcBorders>
            <w:vAlign w:val="bottom"/>
          </w:tcPr>
          <w:p w:rsidR="00A76913" w:rsidRDefault="00A76913" w:rsidP="006B57F8">
            <w:pPr>
              <w:pStyle w:val="IASBTableArial"/>
              <w:jc w:val="right"/>
            </w:pPr>
            <w:r>
              <w:t>(40)</w:t>
            </w:r>
          </w:p>
        </w:tc>
      </w:tr>
      <w:tr w:rsidR="00A76913" w:rsidTr="006B57F8">
        <w:trPr>
          <w:cantSplit/>
        </w:trPr>
        <w:tc>
          <w:tcPr>
            <w:tcW w:w="6933" w:type="dxa"/>
            <w:tcBorders>
              <w:top w:val="nil"/>
            </w:tcBorders>
            <w:vAlign w:val="bottom"/>
          </w:tcPr>
          <w:p w:rsidR="00A76913" w:rsidRDefault="00A76913" w:rsidP="006B57F8">
            <w:pPr>
              <w:pStyle w:val="IASBTableArial"/>
            </w:pPr>
            <w:r>
              <w:t>Cash and cash equivalents as restated</w:t>
            </w:r>
          </w:p>
        </w:tc>
        <w:tc>
          <w:tcPr>
            <w:tcW w:w="910" w:type="dxa"/>
            <w:tcBorders>
              <w:top w:val="nil"/>
              <w:left w:val="nil"/>
              <w:bottom w:val="double" w:sz="4" w:space="0" w:color="auto"/>
            </w:tcBorders>
            <w:vAlign w:val="bottom"/>
          </w:tcPr>
          <w:p w:rsidR="00A76913" w:rsidRDefault="00A76913" w:rsidP="006B57F8">
            <w:pPr>
              <w:pStyle w:val="IASBTableArial"/>
              <w:jc w:val="right"/>
            </w:pPr>
            <w:r>
              <w:t>230</w:t>
            </w:r>
          </w:p>
        </w:tc>
        <w:tc>
          <w:tcPr>
            <w:tcW w:w="455" w:type="dxa"/>
            <w:tcBorders>
              <w:top w:val="nil"/>
              <w:left w:val="nil"/>
            </w:tcBorders>
            <w:vAlign w:val="bottom"/>
          </w:tcPr>
          <w:p w:rsidR="00A76913" w:rsidRDefault="00A76913" w:rsidP="006B57F8">
            <w:pPr>
              <w:pStyle w:val="IASBTableArial"/>
            </w:pPr>
          </w:p>
        </w:tc>
        <w:tc>
          <w:tcPr>
            <w:tcW w:w="910" w:type="dxa"/>
            <w:tcBorders>
              <w:top w:val="nil"/>
              <w:left w:val="nil"/>
              <w:bottom w:val="double" w:sz="4" w:space="0" w:color="auto"/>
            </w:tcBorders>
            <w:vAlign w:val="bottom"/>
          </w:tcPr>
          <w:p w:rsidR="00A76913" w:rsidRDefault="00A76913" w:rsidP="006B57F8">
            <w:pPr>
              <w:pStyle w:val="IASBTableArial"/>
              <w:jc w:val="right"/>
            </w:pPr>
            <w:r>
              <w:t>120</w:t>
            </w:r>
          </w:p>
        </w:tc>
      </w:tr>
    </w:tbl>
    <w:p w:rsidR="00A76913" w:rsidRDefault="00A76913" w:rsidP="00A76913">
      <w:pPr>
        <w:pStyle w:val="IASBNormalnpara"/>
      </w:pPr>
    </w:p>
    <w:p w:rsidR="00A76913" w:rsidRDefault="00A76913" w:rsidP="00A76913">
      <w:pPr>
        <w:pStyle w:val="IASBNormal"/>
      </w:pPr>
      <w:r>
        <w:t>Cash and cash equivalents at the end of the period include deposits with banks of 100 held by a subsidiary which are not freely remissible to the holding company because of currency exchange restrictions.</w:t>
      </w:r>
    </w:p>
    <w:p w:rsidR="00A76913" w:rsidRDefault="00A76913" w:rsidP="00A76913">
      <w:pPr>
        <w:pStyle w:val="IASBNormal"/>
      </w:pPr>
      <w:r>
        <w:t>The Group has undrawn borrowing facilities of 2,000 of which 700 may be used only for future expansion.</w:t>
      </w:r>
    </w:p>
    <w:p w:rsidR="00A76913" w:rsidRDefault="00A76913" w:rsidP="00A5609E">
      <w:pPr>
        <w:pStyle w:val="IASBSectionTitle1NonInd"/>
        <w:pBdr>
          <w:bottom w:val="none" w:sz="0" w:space="0" w:color="auto"/>
        </w:pBdr>
      </w:pPr>
      <w:proofErr w:type="gramStart"/>
      <w:r>
        <w:lastRenderedPageBreak/>
        <w:t>D.</w:t>
      </w:r>
      <w:proofErr w:type="gramEnd"/>
      <w:r>
        <w:t> </w:t>
      </w:r>
      <w:r>
        <w:t>Segment information</w:t>
      </w:r>
    </w:p>
    <w:tbl>
      <w:tblPr>
        <w:tblW w:w="0" w:type="auto"/>
        <w:tblLayout w:type="fixed"/>
        <w:tblLook w:val="0000" w:firstRow="0" w:lastRow="0" w:firstColumn="0" w:lastColumn="0" w:noHBand="0" w:noVBand="0"/>
        <w:tblCaption w:val="AASB 107 Table 8"/>
      </w:tblPr>
      <w:tblGrid>
        <w:gridCol w:w="563"/>
        <w:gridCol w:w="4550"/>
        <w:gridCol w:w="455"/>
        <w:gridCol w:w="910"/>
        <w:gridCol w:w="455"/>
        <w:gridCol w:w="910"/>
        <w:gridCol w:w="455"/>
        <w:gridCol w:w="910"/>
      </w:tblGrid>
      <w:tr w:rsidR="00A76913" w:rsidTr="006B57F8">
        <w:trPr>
          <w:cantSplit/>
          <w:tblHeader/>
        </w:trPr>
        <w:tc>
          <w:tcPr>
            <w:tcW w:w="563" w:type="dxa"/>
            <w:vAlign w:val="bottom"/>
          </w:tcPr>
          <w:p w:rsidR="00A76913" w:rsidRDefault="00A76913" w:rsidP="00A5609E">
            <w:pPr>
              <w:pStyle w:val="IASBTableHeaderArial"/>
            </w:pPr>
          </w:p>
        </w:tc>
        <w:tc>
          <w:tcPr>
            <w:tcW w:w="4550" w:type="dxa"/>
            <w:tcBorders>
              <w:left w:val="nil"/>
            </w:tcBorders>
            <w:vAlign w:val="bottom"/>
          </w:tcPr>
          <w:p w:rsidR="00A76913" w:rsidRDefault="00A76913" w:rsidP="00A5609E">
            <w:pPr>
              <w:pStyle w:val="IASBTableHeaderArial"/>
            </w:pPr>
          </w:p>
        </w:tc>
        <w:tc>
          <w:tcPr>
            <w:tcW w:w="1365" w:type="dxa"/>
            <w:gridSpan w:val="2"/>
            <w:tcBorders>
              <w:left w:val="nil"/>
            </w:tcBorders>
          </w:tcPr>
          <w:p w:rsidR="00A76913" w:rsidRDefault="00A76913" w:rsidP="00A5609E">
            <w:pPr>
              <w:pStyle w:val="IASBTableHeaderArial"/>
              <w:jc w:val="right"/>
            </w:pPr>
            <w:r>
              <w:rPr>
                <w:b/>
              </w:rPr>
              <w:t>Segment A</w:t>
            </w:r>
          </w:p>
        </w:tc>
        <w:tc>
          <w:tcPr>
            <w:tcW w:w="1365" w:type="dxa"/>
            <w:gridSpan w:val="2"/>
            <w:tcBorders>
              <w:left w:val="nil"/>
            </w:tcBorders>
          </w:tcPr>
          <w:p w:rsidR="00A76913" w:rsidRDefault="00A76913" w:rsidP="00A5609E">
            <w:pPr>
              <w:pStyle w:val="IASBTableHeaderArial"/>
              <w:jc w:val="right"/>
            </w:pPr>
            <w:r>
              <w:rPr>
                <w:b/>
              </w:rPr>
              <w:t>Segment B</w:t>
            </w:r>
          </w:p>
        </w:tc>
        <w:tc>
          <w:tcPr>
            <w:tcW w:w="1365" w:type="dxa"/>
            <w:gridSpan w:val="2"/>
            <w:tcBorders>
              <w:left w:val="nil"/>
            </w:tcBorders>
          </w:tcPr>
          <w:p w:rsidR="00A76913" w:rsidRDefault="00A76913" w:rsidP="00A5609E">
            <w:pPr>
              <w:pStyle w:val="IASBTableHeaderArial"/>
              <w:jc w:val="right"/>
            </w:pPr>
            <w:r>
              <w:rPr>
                <w:b/>
              </w:rPr>
              <w:t>Total</w:t>
            </w:r>
          </w:p>
        </w:tc>
      </w:tr>
      <w:tr w:rsidR="00A76913" w:rsidTr="006B57F8">
        <w:trPr>
          <w:cantSplit/>
        </w:trPr>
        <w:tc>
          <w:tcPr>
            <w:tcW w:w="5113" w:type="dxa"/>
            <w:gridSpan w:val="2"/>
            <w:tcBorders>
              <w:top w:val="nil"/>
            </w:tcBorders>
            <w:vAlign w:val="bottom"/>
          </w:tcPr>
          <w:p w:rsidR="00A76913" w:rsidRDefault="00A76913" w:rsidP="00A5609E">
            <w:pPr>
              <w:pStyle w:val="IASBTableArial"/>
              <w:keepNext/>
            </w:pPr>
            <w:r>
              <w:t>Cash flows from:</w:t>
            </w:r>
          </w:p>
        </w:tc>
        <w:tc>
          <w:tcPr>
            <w:tcW w:w="455" w:type="dxa"/>
            <w:tcBorders>
              <w:top w:val="nil"/>
              <w:left w:val="nil"/>
            </w:tcBorders>
            <w:vAlign w:val="bottom"/>
          </w:tcPr>
          <w:p w:rsidR="00A76913" w:rsidRDefault="00A76913" w:rsidP="00A5609E">
            <w:pPr>
              <w:pStyle w:val="IASBTableArial"/>
              <w:keepNext/>
            </w:pPr>
          </w:p>
        </w:tc>
        <w:tc>
          <w:tcPr>
            <w:tcW w:w="910" w:type="dxa"/>
            <w:tcBorders>
              <w:top w:val="nil"/>
              <w:left w:val="nil"/>
            </w:tcBorders>
            <w:vAlign w:val="bottom"/>
          </w:tcPr>
          <w:p w:rsidR="00A76913" w:rsidRDefault="00A76913" w:rsidP="00A5609E">
            <w:pPr>
              <w:pStyle w:val="IASBTableArial"/>
              <w:keepNext/>
            </w:pPr>
          </w:p>
        </w:tc>
        <w:tc>
          <w:tcPr>
            <w:tcW w:w="455" w:type="dxa"/>
            <w:tcBorders>
              <w:top w:val="nil"/>
              <w:left w:val="nil"/>
            </w:tcBorders>
            <w:vAlign w:val="bottom"/>
          </w:tcPr>
          <w:p w:rsidR="00A76913" w:rsidRDefault="00A76913" w:rsidP="00A5609E">
            <w:pPr>
              <w:pStyle w:val="IASBTableArial"/>
              <w:keepNext/>
            </w:pPr>
          </w:p>
        </w:tc>
        <w:tc>
          <w:tcPr>
            <w:tcW w:w="910" w:type="dxa"/>
            <w:tcBorders>
              <w:top w:val="nil"/>
              <w:left w:val="nil"/>
            </w:tcBorders>
            <w:vAlign w:val="bottom"/>
          </w:tcPr>
          <w:p w:rsidR="00A76913" w:rsidRDefault="00A76913" w:rsidP="00A5609E">
            <w:pPr>
              <w:pStyle w:val="IASBTableArial"/>
              <w:keepNext/>
            </w:pPr>
          </w:p>
        </w:tc>
        <w:tc>
          <w:tcPr>
            <w:tcW w:w="455" w:type="dxa"/>
            <w:tcBorders>
              <w:top w:val="nil"/>
              <w:left w:val="nil"/>
            </w:tcBorders>
            <w:vAlign w:val="bottom"/>
          </w:tcPr>
          <w:p w:rsidR="00A76913" w:rsidRDefault="00A76913" w:rsidP="00A5609E">
            <w:pPr>
              <w:pStyle w:val="IASBTableArial"/>
              <w:keepNext/>
            </w:pPr>
          </w:p>
        </w:tc>
        <w:tc>
          <w:tcPr>
            <w:tcW w:w="910" w:type="dxa"/>
            <w:tcBorders>
              <w:top w:val="nil"/>
              <w:left w:val="nil"/>
            </w:tcBorders>
            <w:vAlign w:val="bottom"/>
          </w:tcPr>
          <w:p w:rsidR="00A76913" w:rsidRDefault="00A76913" w:rsidP="00A5609E">
            <w:pPr>
              <w:pStyle w:val="IASBTableArial"/>
              <w:keepNext/>
            </w:pPr>
          </w:p>
        </w:tc>
      </w:tr>
      <w:tr w:rsidR="00A76913" w:rsidTr="006B57F8">
        <w:trPr>
          <w:cantSplit/>
        </w:trPr>
        <w:tc>
          <w:tcPr>
            <w:tcW w:w="563" w:type="dxa"/>
            <w:tcBorders>
              <w:top w:val="nil"/>
            </w:tcBorders>
            <w:vAlign w:val="bottom"/>
          </w:tcPr>
          <w:p w:rsidR="00A76913" w:rsidRDefault="00A76913" w:rsidP="006B57F8">
            <w:pPr>
              <w:pStyle w:val="IASBTableArial"/>
            </w:pPr>
          </w:p>
        </w:tc>
        <w:tc>
          <w:tcPr>
            <w:tcW w:w="4550" w:type="dxa"/>
            <w:tcBorders>
              <w:top w:val="nil"/>
              <w:left w:val="nil"/>
            </w:tcBorders>
            <w:vAlign w:val="bottom"/>
          </w:tcPr>
          <w:p w:rsidR="00A76913" w:rsidRDefault="00A76913" w:rsidP="006B57F8">
            <w:pPr>
              <w:pStyle w:val="IASBTableArial"/>
            </w:pPr>
            <w:r>
              <w:t>Operating activities</w:t>
            </w:r>
          </w:p>
        </w:tc>
        <w:tc>
          <w:tcPr>
            <w:tcW w:w="455" w:type="dxa"/>
            <w:tcBorders>
              <w:top w:val="nil"/>
              <w:left w:val="nil"/>
            </w:tcBorders>
            <w:vAlign w:val="bottom"/>
          </w:tcPr>
          <w:p w:rsidR="00A76913" w:rsidRDefault="00A76913" w:rsidP="006B57F8">
            <w:pPr>
              <w:pStyle w:val="IASBTableArial"/>
              <w:jc w:val="right"/>
            </w:pPr>
          </w:p>
        </w:tc>
        <w:tc>
          <w:tcPr>
            <w:tcW w:w="910" w:type="dxa"/>
            <w:tcBorders>
              <w:top w:val="nil"/>
              <w:left w:val="nil"/>
            </w:tcBorders>
            <w:vAlign w:val="bottom"/>
          </w:tcPr>
          <w:p w:rsidR="00A76913" w:rsidRDefault="00A76913" w:rsidP="006B57F8">
            <w:pPr>
              <w:pStyle w:val="IASBTableArial"/>
              <w:jc w:val="right"/>
            </w:pPr>
            <w:r>
              <w:t>1,520</w:t>
            </w:r>
          </w:p>
        </w:tc>
        <w:tc>
          <w:tcPr>
            <w:tcW w:w="455" w:type="dxa"/>
            <w:tcBorders>
              <w:top w:val="nil"/>
              <w:left w:val="nil"/>
            </w:tcBorders>
            <w:vAlign w:val="bottom"/>
          </w:tcPr>
          <w:p w:rsidR="00A76913" w:rsidRDefault="00A76913" w:rsidP="006B57F8">
            <w:pPr>
              <w:pStyle w:val="IASBTableArial"/>
              <w:jc w:val="right"/>
            </w:pPr>
          </w:p>
        </w:tc>
        <w:tc>
          <w:tcPr>
            <w:tcW w:w="910" w:type="dxa"/>
            <w:tcBorders>
              <w:top w:val="nil"/>
              <w:left w:val="nil"/>
            </w:tcBorders>
            <w:vAlign w:val="bottom"/>
          </w:tcPr>
          <w:p w:rsidR="00A76913" w:rsidRDefault="00A76913" w:rsidP="006B57F8">
            <w:pPr>
              <w:pStyle w:val="IASBTableArial"/>
              <w:jc w:val="right"/>
            </w:pPr>
            <w:r>
              <w:t>(140)</w:t>
            </w:r>
          </w:p>
        </w:tc>
        <w:tc>
          <w:tcPr>
            <w:tcW w:w="455" w:type="dxa"/>
            <w:tcBorders>
              <w:top w:val="nil"/>
              <w:left w:val="nil"/>
            </w:tcBorders>
            <w:vAlign w:val="bottom"/>
          </w:tcPr>
          <w:p w:rsidR="00A76913" w:rsidRDefault="00A76913" w:rsidP="006B57F8">
            <w:pPr>
              <w:pStyle w:val="IASBTableArial"/>
              <w:jc w:val="right"/>
            </w:pPr>
          </w:p>
        </w:tc>
        <w:tc>
          <w:tcPr>
            <w:tcW w:w="910" w:type="dxa"/>
            <w:tcBorders>
              <w:top w:val="nil"/>
              <w:left w:val="nil"/>
            </w:tcBorders>
            <w:vAlign w:val="bottom"/>
          </w:tcPr>
          <w:p w:rsidR="00A76913" w:rsidRDefault="00A76913" w:rsidP="006B57F8">
            <w:pPr>
              <w:pStyle w:val="IASBTableArial"/>
              <w:jc w:val="right"/>
            </w:pPr>
            <w:r>
              <w:t>1,380</w:t>
            </w:r>
          </w:p>
        </w:tc>
      </w:tr>
      <w:tr w:rsidR="00A76913" w:rsidTr="006B57F8">
        <w:trPr>
          <w:cantSplit/>
        </w:trPr>
        <w:tc>
          <w:tcPr>
            <w:tcW w:w="563" w:type="dxa"/>
            <w:tcBorders>
              <w:top w:val="nil"/>
            </w:tcBorders>
            <w:vAlign w:val="bottom"/>
          </w:tcPr>
          <w:p w:rsidR="00A76913" w:rsidRDefault="00A76913" w:rsidP="006B57F8">
            <w:pPr>
              <w:pStyle w:val="IASBTableArial"/>
            </w:pPr>
          </w:p>
        </w:tc>
        <w:tc>
          <w:tcPr>
            <w:tcW w:w="4550" w:type="dxa"/>
            <w:tcBorders>
              <w:top w:val="nil"/>
              <w:left w:val="nil"/>
            </w:tcBorders>
            <w:vAlign w:val="bottom"/>
          </w:tcPr>
          <w:p w:rsidR="00A76913" w:rsidRDefault="00A76913" w:rsidP="006B57F8">
            <w:pPr>
              <w:pStyle w:val="IASBTableArial"/>
            </w:pPr>
            <w:r>
              <w:t>Investing activities</w:t>
            </w:r>
          </w:p>
        </w:tc>
        <w:tc>
          <w:tcPr>
            <w:tcW w:w="455" w:type="dxa"/>
            <w:tcBorders>
              <w:top w:val="nil"/>
              <w:left w:val="nil"/>
            </w:tcBorders>
            <w:vAlign w:val="bottom"/>
          </w:tcPr>
          <w:p w:rsidR="00A76913" w:rsidRDefault="00A76913" w:rsidP="006B57F8">
            <w:pPr>
              <w:pStyle w:val="IASBTableArial"/>
              <w:jc w:val="right"/>
            </w:pPr>
          </w:p>
        </w:tc>
        <w:tc>
          <w:tcPr>
            <w:tcW w:w="910" w:type="dxa"/>
            <w:tcBorders>
              <w:top w:val="nil"/>
              <w:left w:val="nil"/>
            </w:tcBorders>
            <w:vAlign w:val="bottom"/>
          </w:tcPr>
          <w:p w:rsidR="00A76913" w:rsidRDefault="00A76913" w:rsidP="006B57F8">
            <w:pPr>
              <w:pStyle w:val="IASBTableArial"/>
              <w:jc w:val="right"/>
            </w:pPr>
            <w:r>
              <w:t>(640)</w:t>
            </w:r>
          </w:p>
        </w:tc>
        <w:tc>
          <w:tcPr>
            <w:tcW w:w="455" w:type="dxa"/>
            <w:tcBorders>
              <w:top w:val="nil"/>
              <w:left w:val="nil"/>
            </w:tcBorders>
            <w:vAlign w:val="bottom"/>
          </w:tcPr>
          <w:p w:rsidR="00A76913" w:rsidRDefault="00A76913" w:rsidP="006B57F8">
            <w:pPr>
              <w:pStyle w:val="IASBTableArial"/>
              <w:jc w:val="right"/>
            </w:pPr>
          </w:p>
        </w:tc>
        <w:tc>
          <w:tcPr>
            <w:tcW w:w="910" w:type="dxa"/>
            <w:tcBorders>
              <w:top w:val="nil"/>
              <w:left w:val="nil"/>
            </w:tcBorders>
            <w:vAlign w:val="bottom"/>
          </w:tcPr>
          <w:p w:rsidR="00A76913" w:rsidRDefault="00A76913" w:rsidP="006B57F8">
            <w:pPr>
              <w:pStyle w:val="IASBTableArial"/>
              <w:jc w:val="right"/>
            </w:pPr>
            <w:r>
              <w:t>160</w:t>
            </w:r>
          </w:p>
        </w:tc>
        <w:tc>
          <w:tcPr>
            <w:tcW w:w="455" w:type="dxa"/>
            <w:tcBorders>
              <w:top w:val="nil"/>
              <w:left w:val="nil"/>
            </w:tcBorders>
            <w:vAlign w:val="bottom"/>
          </w:tcPr>
          <w:p w:rsidR="00A76913" w:rsidRDefault="00A76913" w:rsidP="006B57F8">
            <w:pPr>
              <w:pStyle w:val="IASBTableArial"/>
              <w:jc w:val="right"/>
            </w:pPr>
          </w:p>
        </w:tc>
        <w:tc>
          <w:tcPr>
            <w:tcW w:w="910" w:type="dxa"/>
            <w:tcBorders>
              <w:top w:val="nil"/>
              <w:left w:val="nil"/>
            </w:tcBorders>
            <w:vAlign w:val="bottom"/>
          </w:tcPr>
          <w:p w:rsidR="00A76913" w:rsidRDefault="00A76913" w:rsidP="006B57F8">
            <w:pPr>
              <w:pStyle w:val="IASBTableArial"/>
              <w:jc w:val="right"/>
            </w:pPr>
            <w:r>
              <w:t>(480)</w:t>
            </w:r>
          </w:p>
        </w:tc>
      </w:tr>
      <w:tr w:rsidR="00A76913" w:rsidTr="006B57F8">
        <w:trPr>
          <w:cantSplit/>
        </w:trPr>
        <w:tc>
          <w:tcPr>
            <w:tcW w:w="563" w:type="dxa"/>
            <w:tcBorders>
              <w:top w:val="nil"/>
            </w:tcBorders>
            <w:vAlign w:val="bottom"/>
          </w:tcPr>
          <w:p w:rsidR="00A76913" w:rsidRDefault="00A76913" w:rsidP="006B57F8">
            <w:pPr>
              <w:pStyle w:val="IASBTableArial"/>
            </w:pPr>
          </w:p>
        </w:tc>
        <w:tc>
          <w:tcPr>
            <w:tcW w:w="4550" w:type="dxa"/>
            <w:tcBorders>
              <w:top w:val="nil"/>
              <w:left w:val="nil"/>
            </w:tcBorders>
            <w:vAlign w:val="bottom"/>
          </w:tcPr>
          <w:p w:rsidR="00A76913" w:rsidRDefault="00A76913" w:rsidP="006B57F8">
            <w:pPr>
              <w:pStyle w:val="IASBTableArial"/>
            </w:pPr>
            <w:r>
              <w:t>Financing activities</w:t>
            </w:r>
          </w:p>
        </w:tc>
        <w:tc>
          <w:tcPr>
            <w:tcW w:w="455" w:type="dxa"/>
            <w:tcBorders>
              <w:top w:val="nil"/>
              <w:left w:val="nil"/>
            </w:tcBorders>
            <w:vAlign w:val="bottom"/>
          </w:tcPr>
          <w:p w:rsidR="00A76913" w:rsidRDefault="00A76913" w:rsidP="006B57F8">
            <w:pPr>
              <w:pStyle w:val="IASBTableArial"/>
              <w:jc w:val="right"/>
            </w:pPr>
          </w:p>
        </w:tc>
        <w:tc>
          <w:tcPr>
            <w:tcW w:w="910" w:type="dxa"/>
            <w:tcBorders>
              <w:top w:val="nil"/>
              <w:left w:val="nil"/>
              <w:bottom w:val="single" w:sz="4" w:space="0" w:color="auto"/>
            </w:tcBorders>
            <w:vAlign w:val="bottom"/>
          </w:tcPr>
          <w:p w:rsidR="00A76913" w:rsidRDefault="00A76913" w:rsidP="006B57F8">
            <w:pPr>
              <w:pStyle w:val="IASBTableArial"/>
              <w:jc w:val="right"/>
            </w:pPr>
            <w:r>
              <w:t>(570)</w:t>
            </w:r>
          </w:p>
        </w:tc>
        <w:tc>
          <w:tcPr>
            <w:tcW w:w="455" w:type="dxa"/>
            <w:tcBorders>
              <w:top w:val="nil"/>
              <w:left w:val="nil"/>
            </w:tcBorders>
            <w:vAlign w:val="bottom"/>
          </w:tcPr>
          <w:p w:rsidR="00A76913" w:rsidRDefault="00A76913" w:rsidP="006B57F8">
            <w:pPr>
              <w:pStyle w:val="IASBTableArial"/>
              <w:jc w:val="right"/>
            </w:pPr>
          </w:p>
        </w:tc>
        <w:tc>
          <w:tcPr>
            <w:tcW w:w="910" w:type="dxa"/>
            <w:tcBorders>
              <w:top w:val="nil"/>
              <w:left w:val="nil"/>
              <w:bottom w:val="single" w:sz="4" w:space="0" w:color="auto"/>
            </w:tcBorders>
            <w:vAlign w:val="bottom"/>
          </w:tcPr>
          <w:p w:rsidR="00A76913" w:rsidRDefault="00A76913" w:rsidP="006B57F8">
            <w:pPr>
              <w:pStyle w:val="IASBTableArial"/>
              <w:jc w:val="right"/>
            </w:pPr>
            <w:r>
              <w:t>(220)</w:t>
            </w:r>
          </w:p>
        </w:tc>
        <w:tc>
          <w:tcPr>
            <w:tcW w:w="455" w:type="dxa"/>
            <w:tcBorders>
              <w:top w:val="nil"/>
              <w:left w:val="nil"/>
            </w:tcBorders>
            <w:vAlign w:val="bottom"/>
          </w:tcPr>
          <w:p w:rsidR="00A76913" w:rsidRDefault="00A76913" w:rsidP="006B57F8">
            <w:pPr>
              <w:pStyle w:val="IASBTableArial"/>
              <w:jc w:val="right"/>
            </w:pPr>
          </w:p>
        </w:tc>
        <w:tc>
          <w:tcPr>
            <w:tcW w:w="910" w:type="dxa"/>
            <w:tcBorders>
              <w:top w:val="nil"/>
              <w:left w:val="nil"/>
              <w:bottom w:val="single" w:sz="4" w:space="0" w:color="auto"/>
            </w:tcBorders>
            <w:vAlign w:val="bottom"/>
          </w:tcPr>
          <w:p w:rsidR="00A76913" w:rsidRDefault="00A76913" w:rsidP="006B57F8">
            <w:pPr>
              <w:pStyle w:val="IASBTableArial"/>
              <w:jc w:val="right"/>
            </w:pPr>
            <w:r>
              <w:t>(790)</w:t>
            </w:r>
          </w:p>
        </w:tc>
      </w:tr>
      <w:tr w:rsidR="00A76913" w:rsidTr="006B57F8">
        <w:trPr>
          <w:cantSplit/>
        </w:trPr>
        <w:tc>
          <w:tcPr>
            <w:tcW w:w="563" w:type="dxa"/>
            <w:tcBorders>
              <w:top w:val="nil"/>
            </w:tcBorders>
            <w:vAlign w:val="bottom"/>
          </w:tcPr>
          <w:p w:rsidR="00A76913" w:rsidRDefault="00A76913" w:rsidP="006B57F8">
            <w:pPr>
              <w:pStyle w:val="IASBTableArial"/>
            </w:pPr>
          </w:p>
        </w:tc>
        <w:tc>
          <w:tcPr>
            <w:tcW w:w="4550" w:type="dxa"/>
            <w:tcBorders>
              <w:top w:val="nil"/>
              <w:left w:val="nil"/>
            </w:tcBorders>
            <w:vAlign w:val="bottom"/>
          </w:tcPr>
          <w:p w:rsidR="00A76913" w:rsidRDefault="00A76913" w:rsidP="006B57F8">
            <w:pPr>
              <w:pStyle w:val="IASBTableArial"/>
            </w:pPr>
          </w:p>
        </w:tc>
        <w:tc>
          <w:tcPr>
            <w:tcW w:w="455" w:type="dxa"/>
            <w:tcBorders>
              <w:top w:val="nil"/>
              <w:left w:val="nil"/>
            </w:tcBorders>
            <w:vAlign w:val="bottom"/>
          </w:tcPr>
          <w:p w:rsidR="00A76913" w:rsidRDefault="00A76913" w:rsidP="006B57F8">
            <w:pPr>
              <w:pStyle w:val="IASBTableArial"/>
              <w:jc w:val="right"/>
            </w:pPr>
          </w:p>
        </w:tc>
        <w:tc>
          <w:tcPr>
            <w:tcW w:w="910" w:type="dxa"/>
            <w:tcBorders>
              <w:top w:val="nil"/>
              <w:left w:val="nil"/>
              <w:bottom w:val="double" w:sz="4" w:space="0" w:color="auto"/>
            </w:tcBorders>
            <w:vAlign w:val="bottom"/>
          </w:tcPr>
          <w:p w:rsidR="00A76913" w:rsidRDefault="00A76913" w:rsidP="006B57F8">
            <w:pPr>
              <w:pStyle w:val="IASBTableArial"/>
              <w:jc w:val="right"/>
            </w:pPr>
            <w:r>
              <w:t>310</w:t>
            </w:r>
          </w:p>
        </w:tc>
        <w:tc>
          <w:tcPr>
            <w:tcW w:w="455" w:type="dxa"/>
            <w:tcBorders>
              <w:top w:val="nil"/>
              <w:left w:val="nil"/>
            </w:tcBorders>
            <w:vAlign w:val="bottom"/>
          </w:tcPr>
          <w:p w:rsidR="00A76913" w:rsidRDefault="00A76913" w:rsidP="006B57F8">
            <w:pPr>
              <w:pStyle w:val="IASBTableArial"/>
              <w:jc w:val="right"/>
            </w:pPr>
          </w:p>
        </w:tc>
        <w:tc>
          <w:tcPr>
            <w:tcW w:w="910" w:type="dxa"/>
            <w:tcBorders>
              <w:top w:val="nil"/>
              <w:left w:val="nil"/>
              <w:bottom w:val="double" w:sz="4" w:space="0" w:color="auto"/>
            </w:tcBorders>
            <w:vAlign w:val="bottom"/>
          </w:tcPr>
          <w:p w:rsidR="00A76913" w:rsidRDefault="00A76913" w:rsidP="006B57F8">
            <w:pPr>
              <w:pStyle w:val="IASBTableArial"/>
              <w:jc w:val="right"/>
            </w:pPr>
            <w:r>
              <w:t>(200)</w:t>
            </w:r>
          </w:p>
        </w:tc>
        <w:tc>
          <w:tcPr>
            <w:tcW w:w="455" w:type="dxa"/>
            <w:tcBorders>
              <w:top w:val="nil"/>
              <w:left w:val="nil"/>
            </w:tcBorders>
            <w:vAlign w:val="bottom"/>
          </w:tcPr>
          <w:p w:rsidR="00A76913" w:rsidRDefault="00A76913" w:rsidP="006B57F8">
            <w:pPr>
              <w:pStyle w:val="IASBTableArial"/>
              <w:jc w:val="right"/>
            </w:pPr>
          </w:p>
        </w:tc>
        <w:tc>
          <w:tcPr>
            <w:tcW w:w="910" w:type="dxa"/>
            <w:tcBorders>
              <w:top w:val="nil"/>
              <w:left w:val="nil"/>
              <w:bottom w:val="double" w:sz="4" w:space="0" w:color="auto"/>
            </w:tcBorders>
            <w:vAlign w:val="bottom"/>
          </w:tcPr>
          <w:p w:rsidR="00A76913" w:rsidRDefault="00A76913" w:rsidP="006B57F8">
            <w:pPr>
              <w:pStyle w:val="IASBTableArial"/>
              <w:jc w:val="right"/>
            </w:pPr>
            <w:r>
              <w:t>110</w:t>
            </w:r>
          </w:p>
        </w:tc>
      </w:tr>
    </w:tbl>
    <w:p w:rsidR="00A76913" w:rsidRDefault="00A76913" w:rsidP="00A76913">
      <w:pPr>
        <w:pStyle w:val="IASBSectionTitle1NonInd"/>
        <w:pBdr>
          <w:bottom w:val="none" w:sz="0" w:space="0" w:color="auto"/>
        </w:pBdr>
      </w:pPr>
      <w:r>
        <w:t>Alternative presentation (indirect method)</w:t>
      </w:r>
    </w:p>
    <w:p w:rsidR="00A76913" w:rsidRDefault="00A76913" w:rsidP="00A76913">
      <w:pPr>
        <w:pStyle w:val="IASBNormal"/>
      </w:pPr>
      <w:r>
        <w:t>As an alternative, in an indirect method statement of cash flows, operating profit before working capital changes is sometimes presented as follows:</w:t>
      </w:r>
    </w:p>
    <w:p w:rsidR="00A76913" w:rsidRDefault="00A76913" w:rsidP="00A76913">
      <w:pPr>
        <w:pStyle w:val="IASBNormalnpara"/>
      </w:pPr>
    </w:p>
    <w:tbl>
      <w:tblPr>
        <w:tblW w:w="0" w:type="auto"/>
        <w:tblLayout w:type="fixed"/>
        <w:tblLook w:val="0000" w:firstRow="0" w:lastRow="0" w:firstColumn="0" w:lastColumn="0" w:noHBand="0" w:noVBand="0"/>
        <w:tblCaption w:val="AASB 107 Table 9"/>
      </w:tblPr>
      <w:tblGrid>
        <w:gridCol w:w="6205"/>
        <w:gridCol w:w="1365"/>
        <w:gridCol w:w="273"/>
        <w:gridCol w:w="1365"/>
      </w:tblGrid>
      <w:tr w:rsidR="00A76913" w:rsidTr="006B57F8">
        <w:trPr>
          <w:gridAfter w:val="1"/>
          <w:wAfter w:w="1365" w:type="dxa"/>
          <w:cantSplit/>
        </w:trPr>
        <w:tc>
          <w:tcPr>
            <w:tcW w:w="6205" w:type="dxa"/>
            <w:vAlign w:val="bottom"/>
          </w:tcPr>
          <w:p w:rsidR="00A76913" w:rsidRDefault="00A76913" w:rsidP="006B57F8">
            <w:pPr>
              <w:pStyle w:val="IASBTableArial"/>
            </w:pPr>
            <w:r>
              <w:t>Revenues excluding investment income</w:t>
            </w:r>
          </w:p>
        </w:tc>
        <w:tc>
          <w:tcPr>
            <w:tcW w:w="1365" w:type="dxa"/>
            <w:tcBorders>
              <w:left w:val="nil"/>
            </w:tcBorders>
            <w:vAlign w:val="bottom"/>
          </w:tcPr>
          <w:p w:rsidR="00A76913" w:rsidRDefault="00A76913" w:rsidP="006B57F8">
            <w:pPr>
              <w:pStyle w:val="IASBTableArial"/>
              <w:jc w:val="right"/>
            </w:pPr>
            <w:r>
              <w:t>30,650</w:t>
            </w:r>
          </w:p>
        </w:tc>
        <w:tc>
          <w:tcPr>
            <w:tcW w:w="273" w:type="dxa"/>
            <w:tcBorders>
              <w:left w:val="nil"/>
            </w:tcBorders>
            <w:vAlign w:val="bottom"/>
          </w:tcPr>
          <w:p w:rsidR="00A76913" w:rsidRDefault="00A76913" w:rsidP="006B57F8">
            <w:pPr>
              <w:pStyle w:val="IASBTableArial"/>
            </w:pPr>
          </w:p>
        </w:tc>
      </w:tr>
      <w:tr w:rsidR="00A76913" w:rsidTr="006B57F8">
        <w:trPr>
          <w:cantSplit/>
        </w:trPr>
        <w:tc>
          <w:tcPr>
            <w:tcW w:w="6205" w:type="dxa"/>
            <w:tcBorders>
              <w:top w:val="nil"/>
            </w:tcBorders>
            <w:vAlign w:val="bottom"/>
          </w:tcPr>
          <w:p w:rsidR="00A76913" w:rsidRDefault="00A76913" w:rsidP="006B57F8">
            <w:pPr>
              <w:pStyle w:val="IASBTableArial"/>
            </w:pPr>
            <w:r>
              <w:t>Operating expense excluding depreciation</w:t>
            </w:r>
          </w:p>
        </w:tc>
        <w:tc>
          <w:tcPr>
            <w:tcW w:w="1365" w:type="dxa"/>
            <w:tcBorders>
              <w:top w:val="nil"/>
              <w:left w:val="nil"/>
              <w:bottom w:val="single" w:sz="4" w:space="0" w:color="auto"/>
            </w:tcBorders>
            <w:vAlign w:val="bottom"/>
          </w:tcPr>
          <w:p w:rsidR="00A76913" w:rsidRDefault="00A76913" w:rsidP="006B57F8">
            <w:pPr>
              <w:pStyle w:val="IASBTableArial"/>
              <w:jc w:val="right"/>
            </w:pPr>
            <w:r>
              <w:t>(26,910)</w:t>
            </w: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6205" w:type="dxa"/>
            <w:tcBorders>
              <w:top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tcBorders>
            <w:vAlign w:val="bottom"/>
          </w:tcPr>
          <w:p w:rsidR="00A76913" w:rsidRDefault="00A76913" w:rsidP="006B57F8">
            <w:pPr>
              <w:pStyle w:val="IASBTableArial"/>
            </w:pPr>
          </w:p>
        </w:tc>
      </w:tr>
      <w:tr w:rsidR="00A76913" w:rsidTr="006B57F8">
        <w:trPr>
          <w:cantSplit/>
        </w:trPr>
        <w:tc>
          <w:tcPr>
            <w:tcW w:w="6205" w:type="dxa"/>
            <w:tcBorders>
              <w:top w:val="nil"/>
            </w:tcBorders>
            <w:vAlign w:val="bottom"/>
          </w:tcPr>
          <w:p w:rsidR="00A76913" w:rsidRDefault="00A76913" w:rsidP="006B57F8">
            <w:pPr>
              <w:pStyle w:val="IASBTableArial"/>
            </w:pPr>
            <w:r>
              <w:t>Operating profit before working capital changes</w:t>
            </w:r>
          </w:p>
        </w:tc>
        <w:tc>
          <w:tcPr>
            <w:tcW w:w="1365" w:type="dxa"/>
            <w:tcBorders>
              <w:top w:val="nil"/>
              <w:left w:val="nil"/>
            </w:tcBorders>
            <w:vAlign w:val="bottom"/>
          </w:tcPr>
          <w:p w:rsidR="00A76913" w:rsidRDefault="00A76913" w:rsidP="006B57F8">
            <w:pPr>
              <w:pStyle w:val="IASBTableArial"/>
              <w:jc w:val="right"/>
            </w:pPr>
          </w:p>
        </w:tc>
        <w:tc>
          <w:tcPr>
            <w:tcW w:w="273" w:type="dxa"/>
            <w:tcBorders>
              <w:top w:val="nil"/>
              <w:left w:val="nil"/>
            </w:tcBorders>
            <w:vAlign w:val="bottom"/>
          </w:tcPr>
          <w:p w:rsidR="00A76913" w:rsidRDefault="00A76913" w:rsidP="006B57F8">
            <w:pPr>
              <w:pStyle w:val="IASBTableArial"/>
            </w:pPr>
          </w:p>
        </w:tc>
        <w:tc>
          <w:tcPr>
            <w:tcW w:w="1365" w:type="dxa"/>
            <w:tcBorders>
              <w:top w:val="nil"/>
              <w:left w:val="nil"/>
              <w:bottom w:val="double" w:sz="4" w:space="0" w:color="auto"/>
            </w:tcBorders>
            <w:vAlign w:val="bottom"/>
          </w:tcPr>
          <w:p w:rsidR="00A76913" w:rsidRDefault="00A76913" w:rsidP="006B57F8">
            <w:pPr>
              <w:pStyle w:val="IASBTableArial"/>
              <w:jc w:val="right"/>
            </w:pPr>
            <w:r>
              <w:t>3,740</w:t>
            </w:r>
          </w:p>
        </w:tc>
      </w:tr>
    </w:tbl>
    <w:p w:rsidR="00A76913" w:rsidDel="003F6EA6" w:rsidRDefault="00A76913" w:rsidP="00A84F59">
      <w:pPr>
        <w:pStyle w:val="IASBSectionTitle1NonInd"/>
        <w:pBdr>
          <w:bottom w:val="none" w:sz="0" w:space="0" w:color="auto"/>
        </w:pBdr>
        <w:spacing w:before="840"/>
      </w:pPr>
      <w:r w:rsidDel="003F6EA6">
        <w:t>B Statement of cash flows for a financial institution</w:t>
      </w:r>
    </w:p>
    <w:p w:rsidR="00A76913" w:rsidDel="003F6EA6" w:rsidRDefault="00A76913" w:rsidP="00A76913">
      <w:pPr>
        <w:pStyle w:val="IASBNormalnpara"/>
      </w:pPr>
      <w:r w:rsidDel="003F6EA6">
        <w:t>1</w:t>
      </w:r>
      <w:r w:rsidDel="003F6EA6">
        <w:tab/>
        <w:t>The example shows only current period amounts. Comparative amounts for the preceding period are required to be presented in accordance with</w:t>
      </w:r>
      <w:r w:rsidR="0084632F" w:rsidDel="003F6EA6">
        <w:t xml:space="preserve"> AASB 101</w:t>
      </w:r>
      <w:r w:rsidDel="003F6EA6">
        <w:t xml:space="preserve"> </w:t>
      </w:r>
      <w:r w:rsidDel="003F6EA6">
        <w:rPr>
          <w:i/>
        </w:rPr>
        <w:t>Presentation of Financial Statements</w:t>
      </w:r>
      <w:r w:rsidDel="003F6EA6">
        <w:t>.</w:t>
      </w:r>
    </w:p>
    <w:p w:rsidR="00A76913" w:rsidDel="003F6EA6" w:rsidRDefault="00A76913" w:rsidP="00A76913">
      <w:pPr>
        <w:pStyle w:val="IASBNormalnpara"/>
      </w:pPr>
      <w:r w:rsidDel="003F6EA6">
        <w:t>2</w:t>
      </w:r>
      <w:r w:rsidDel="003F6EA6">
        <w:tab/>
        <w:t xml:space="preserve">The example is presented using the direct method. </w:t>
      </w:r>
    </w:p>
    <w:p w:rsidR="00A76913" w:rsidDel="003F6EA6" w:rsidRDefault="00A76913" w:rsidP="00A76913">
      <w:pPr>
        <w:pStyle w:val="IASBNormalnpara"/>
      </w:pPr>
    </w:p>
    <w:tbl>
      <w:tblPr>
        <w:tblW w:w="0" w:type="auto"/>
        <w:tblInd w:w="964" w:type="dxa"/>
        <w:tblLayout w:type="fixed"/>
        <w:tblLook w:val="0000" w:firstRow="0" w:lastRow="0" w:firstColumn="0" w:lastColumn="0" w:noHBand="0" w:noVBand="0"/>
        <w:tblCaption w:val="AASB 107 Table 10"/>
      </w:tblPr>
      <w:tblGrid>
        <w:gridCol w:w="5241"/>
        <w:gridCol w:w="1365"/>
        <w:gridCol w:w="273"/>
        <w:gridCol w:w="1365"/>
      </w:tblGrid>
      <w:tr w:rsidR="00A76913" w:rsidDel="003F6EA6" w:rsidTr="006B57F8">
        <w:trPr>
          <w:cantSplit/>
          <w:tblHeader/>
        </w:trPr>
        <w:tc>
          <w:tcPr>
            <w:tcW w:w="5241" w:type="dxa"/>
            <w:vAlign w:val="bottom"/>
          </w:tcPr>
          <w:p w:rsidR="00A76913" w:rsidDel="003F6EA6" w:rsidRDefault="00A76913" w:rsidP="006B57F8">
            <w:pPr>
              <w:pStyle w:val="IASBTableHeaderArial"/>
            </w:pPr>
          </w:p>
        </w:tc>
        <w:tc>
          <w:tcPr>
            <w:tcW w:w="1365" w:type="dxa"/>
            <w:tcBorders>
              <w:left w:val="nil"/>
            </w:tcBorders>
            <w:vAlign w:val="bottom"/>
          </w:tcPr>
          <w:p w:rsidR="00A76913" w:rsidDel="003F6EA6" w:rsidRDefault="00A76913" w:rsidP="006B57F8">
            <w:pPr>
              <w:pStyle w:val="IASBTableHeaderArial"/>
            </w:pPr>
          </w:p>
        </w:tc>
        <w:tc>
          <w:tcPr>
            <w:tcW w:w="273" w:type="dxa"/>
            <w:tcBorders>
              <w:left w:val="nil"/>
            </w:tcBorders>
            <w:vAlign w:val="bottom"/>
          </w:tcPr>
          <w:p w:rsidR="00A76913" w:rsidDel="003F6EA6" w:rsidRDefault="00A76913" w:rsidP="006B57F8">
            <w:pPr>
              <w:pStyle w:val="IASBTableHeaderArial"/>
            </w:pPr>
          </w:p>
        </w:tc>
        <w:tc>
          <w:tcPr>
            <w:tcW w:w="1365" w:type="dxa"/>
            <w:tcBorders>
              <w:left w:val="nil"/>
            </w:tcBorders>
            <w:vAlign w:val="bottom"/>
          </w:tcPr>
          <w:p w:rsidR="00A76913" w:rsidDel="003F6EA6" w:rsidRDefault="00A76913" w:rsidP="006B57F8">
            <w:pPr>
              <w:pStyle w:val="IASBTableHeaderArial"/>
              <w:jc w:val="right"/>
            </w:pPr>
            <w:r w:rsidDel="003F6EA6">
              <w:rPr>
                <w:b/>
              </w:rPr>
              <w:t>20X2</w:t>
            </w:r>
          </w:p>
        </w:tc>
      </w:tr>
      <w:tr w:rsidR="00A76913" w:rsidDel="003F6EA6" w:rsidTr="006B57F8">
        <w:trPr>
          <w:gridAfter w:val="1"/>
          <w:wAfter w:w="1365" w:type="dxa"/>
          <w:cantSplit/>
        </w:trPr>
        <w:tc>
          <w:tcPr>
            <w:tcW w:w="5241" w:type="dxa"/>
            <w:tcBorders>
              <w:top w:val="nil"/>
            </w:tcBorders>
            <w:vAlign w:val="bottom"/>
          </w:tcPr>
          <w:p w:rsidR="00A76913" w:rsidDel="003F6EA6" w:rsidRDefault="00A76913" w:rsidP="006B57F8">
            <w:pPr>
              <w:pStyle w:val="IASBTableTNR"/>
            </w:pPr>
            <w:r w:rsidDel="003F6EA6">
              <w:rPr>
                <w:b/>
              </w:rPr>
              <w:t>Cash flows from operating activities</w:t>
            </w:r>
          </w:p>
        </w:tc>
        <w:tc>
          <w:tcPr>
            <w:tcW w:w="1365" w:type="dxa"/>
            <w:tcBorders>
              <w:top w:val="nil"/>
              <w:left w:val="nil"/>
            </w:tcBorders>
            <w:vAlign w:val="bottom"/>
          </w:tcPr>
          <w:p w:rsidR="00A76913" w:rsidDel="003F6EA6" w:rsidRDefault="00A76913" w:rsidP="006B57F8">
            <w:pPr>
              <w:pStyle w:val="IASBTableArial"/>
            </w:pPr>
          </w:p>
        </w:tc>
        <w:tc>
          <w:tcPr>
            <w:tcW w:w="273" w:type="dxa"/>
            <w:tcBorders>
              <w:top w:val="nil"/>
              <w:left w:val="nil"/>
            </w:tcBorders>
            <w:vAlign w:val="bottom"/>
          </w:tcPr>
          <w:p w:rsidR="00A76913" w:rsidDel="003F6EA6" w:rsidRDefault="00A76913" w:rsidP="006B57F8">
            <w:pPr>
              <w:pStyle w:val="IASBTableArial"/>
            </w:pPr>
          </w:p>
        </w:tc>
      </w:tr>
      <w:tr w:rsidR="00A76913" w:rsidDel="003F6EA6" w:rsidTr="006B57F8">
        <w:trPr>
          <w:gridAfter w:val="1"/>
          <w:wAfter w:w="1365" w:type="dxa"/>
          <w:cantSplit/>
        </w:trPr>
        <w:tc>
          <w:tcPr>
            <w:tcW w:w="5241" w:type="dxa"/>
            <w:tcBorders>
              <w:top w:val="nil"/>
            </w:tcBorders>
            <w:vAlign w:val="bottom"/>
          </w:tcPr>
          <w:p w:rsidR="00A76913" w:rsidDel="003F6EA6" w:rsidRDefault="00A76913" w:rsidP="006B57F8">
            <w:pPr>
              <w:pStyle w:val="IASBTableTNR"/>
            </w:pPr>
            <w:r w:rsidDel="003F6EA6">
              <w:t>Interest and commission receipts</w:t>
            </w:r>
          </w:p>
        </w:tc>
        <w:tc>
          <w:tcPr>
            <w:tcW w:w="1365" w:type="dxa"/>
            <w:tcBorders>
              <w:top w:val="nil"/>
              <w:left w:val="nil"/>
            </w:tcBorders>
            <w:vAlign w:val="bottom"/>
          </w:tcPr>
          <w:p w:rsidR="00A76913" w:rsidDel="003F6EA6" w:rsidRDefault="00A76913" w:rsidP="006B57F8">
            <w:pPr>
              <w:pStyle w:val="IASBTableArial"/>
              <w:jc w:val="right"/>
            </w:pPr>
            <w:r w:rsidDel="003F6EA6">
              <w:t>28,447</w:t>
            </w:r>
          </w:p>
        </w:tc>
        <w:tc>
          <w:tcPr>
            <w:tcW w:w="273" w:type="dxa"/>
            <w:tcBorders>
              <w:top w:val="nil"/>
              <w:left w:val="nil"/>
            </w:tcBorders>
            <w:vAlign w:val="bottom"/>
          </w:tcPr>
          <w:p w:rsidR="00A76913" w:rsidDel="003F6EA6" w:rsidRDefault="00A76913" w:rsidP="006B57F8">
            <w:pPr>
              <w:pStyle w:val="IASBTableArial"/>
            </w:pPr>
          </w:p>
        </w:tc>
      </w:tr>
      <w:tr w:rsidR="00A76913" w:rsidDel="003F6EA6" w:rsidTr="006B57F8">
        <w:trPr>
          <w:gridAfter w:val="1"/>
          <w:wAfter w:w="1365" w:type="dxa"/>
          <w:cantSplit/>
        </w:trPr>
        <w:tc>
          <w:tcPr>
            <w:tcW w:w="5241" w:type="dxa"/>
            <w:tcBorders>
              <w:top w:val="nil"/>
            </w:tcBorders>
            <w:vAlign w:val="bottom"/>
          </w:tcPr>
          <w:p w:rsidR="00A76913" w:rsidDel="003F6EA6" w:rsidRDefault="00A76913" w:rsidP="006B57F8">
            <w:pPr>
              <w:pStyle w:val="IASBTableTNR"/>
            </w:pPr>
            <w:r w:rsidDel="003F6EA6">
              <w:t>Interest payments</w:t>
            </w:r>
          </w:p>
        </w:tc>
        <w:tc>
          <w:tcPr>
            <w:tcW w:w="1365" w:type="dxa"/>
            <w:tcBorders>
              <w:top w:val="nil"/>
              <w:left w:val="nil"/>
            </w:tcBorders>
            <w:vAlign w:val="bottom"/>
          </w:tcPr>
          <w:p w:rsidR="00A76913" w:rsidDel="003F6EA6" w:rsidRDefault="00A76913" w:rsidP="006B57F8">
            <w:pPr>
              <w:pStyle w:val="IASBTableArial"/>
              <w:jc w:val="right"/>
            </w:pPr>
            <w:r w:rsidDel="003F6EA6">
              <w:t>(23,463)</w:t>
            </w:r>
          </w:p>
        </w:tc>
        <w:tc>
          <w:tcPr>
            <w:tcW w:w="273" w:type="dxa"/>
            <w:tcBorders>
              <w:top w:val="nil"/>
              <w:left w:val="nil"/>
            </w:tcBorders>
            <w:vAlign w:val="bottom"/>
          </w:tcPr>
          <w:p w:rsidR="00A76913" w:rsidDel="003F6EA6" w:rsidRDefault="00A76913" w:rsidP="006B57F8">
            <w:pPr>
              <w:pStyle w:val="IASBTableArial"/>
            </w:pPr>
          </w:p>
        </w:tc>
      </w:tr>
      <w:tr w:rsidR="00A76913" w:rsidDel="003F6EA6" w:rsidTr="006B57F8">
        <w:trPr>
          <w:gridAfter w:val="1"/>
          <w:wAfter w:w="1365" w:type="dxa"/>
          <w:cantSplit/>
        </w:trPr>
        <w:tc>
          <w:tcPr>
            <w:tcW w:w="5241" w:type="dxa"/>
            <w:tcBorders>
              <w:top w:val="nil"/>
            </w:tcBorders>
            <w:vAlign w:val="bottom"/>
          </w:tcPr>
          <w:p w:rsidR="00A76913" w:rsidDel="003F6EA6" w:rsidRDefault="00A76913" w:rsidP="006B57F8">
            <w:pPr>
              <w:pStyle w:val="IASBTableTNR"/>
            </w:pPr>
            <w:r w:rsidDel="003F6EA6">
              <w:t>Recoveries on loans previously written off</w:t>
            </w:r>
          </w:p>
        </w:tc>
        <w:tc>
          <w:tcPr>
            <w:tcW w:w="1365" w:type="dxa"/>
            <w:tcBorders>
              <w:top w:val="nil"/>
              <w:left w:val="nil"/>
            </w:tcBorders>
            <w:vAlign w:val="bottom"/>
          </w:tcPr>
          <w:p w:rsidR="00A76913" w:rsidDel="003F6EA6" w:rsidRDefault="00A76913" w:rsidP="006B57F8">
            <w:pPr>
              <w:pStyle w:val="IASBTableArial"/>
              <w:jc w:val="right"/>
            </w:pPr>
            <w:r w:rsidDel="003F6EA6">
              <w:t>237</w:t>
            </w:r>
          </w:p>
        </w:tc>
        <w:tc>
          <w:tcPr>
            <w:tcW w:w="273" w:type="dxa"/>
            <w:tcBorders>
              <w:top w:val="nil"/>
              <w:left w:val="nil"/>
            </w:tcBorders>
            <w:vAlign w:val="bottom"/>
          </w:tcPr>
          <w:p w:rsidR="00A76913" w:rsidDel="003F6EA6" w:rsidRDefault="00A76913" w:rsidP="006B57F8">
            <w:pPr>
              <w:pStyle w:val="IASBTableArial"/>
            </w:pPr>
          </w:p>
        </w:tc>
      </w:tr>
      <w:tr w:rsidR="00A76913" w:rsidDel="003F6EA6" w:rsidTr="006B57F8">
        <w:trPr>
          <w:gridAfter w:val="1"/>
          <w:wAfter w:w="1365" w:type="dxa"/>
          <w:cantSplit/>
        </w:trPr>
        <w:tc>
          <w:tcPr>
            <w:tcW w:w="5241" w:type="dxa"/>
            <w:tcBorders>
              <w:top w:val="nil"/>
            </w:tcBorders>
            <w:vAlign w:val="bottom"/>
          </w:tcPr>
          <w:p w:rsidR="00A76913" w:rsidDel="003F6EA6" w:rsidRDefault="00A76913" w:rsidP="006B57F8">
            <w:pPr>
              <w:pStyle w:val="IASBTableTNR"/>
            </w:pPr>
            <w:r w:rsidDel="003F6EA6">
              <w:t>Cash payments to employees and suppliers</w:t>
            </w:r>
          </w:p>
        </w:tc>
        <w:tc>
          <w:tcPr>
            <w:tcW w:w="1365" w:type="dxa"/>
            <w:tcBorders>
              <w:top w:val="nil"/>
              <w:left w:val="nil"/>
              <w:bottom w:val="single" w:sz="4" w:space="0" w:color="auto"/>
            </w:tcBorders>
            <w:vAlign w:val="bottom"/>
          </w:tcPr>
          <w:p w:rsidR="00A76913" w:rsidDel="003F6EA6" w:rsidRDefault="00A76913" w:rsidP="006B57F8">
            <w:pPr>
              <w:pStyle w:val="IASBTableArial"/>
              <w:jc w:val="right"/>
            </w:pPr>
            <w:r w:rsidDel="003F6EA6">
              <w:t>(997)</w:t>
            </w:r>
          </w:p>
        </w:tc>
        <w:tc>
          <w:tcPr>
            <w:tcW w:w="273" w:type="dxa"/>
            <w:tcBorders>
              <w:top w:val="nil"/>
              <w:left w:val="nil"/>
            </w:tcBorders>
            <w:vAlign w:val="bottom"/>
          </w:tcPr>
          <w:p w:rsidR="00A76913" w:rsidDel="003F6EA6" w:rsidRDefault="00A76913" w:rsidP="006B57F8">
            <w:pPr>
              <w:pStyle w:val="IASBTableArial"/>
            </w:pPr>
          </w:p>
        </w:tc>
      </w:tr>
      <w:tr w:rsidR="00A76913" w:rsidDel="003F6EA6" w:rsidTr="006B57F8">
        <w:trPr>
          <w:gridAfter w:val="1"/>
          <w:wAfter w:w="1365" w:type="dxa"/>
          <w:cantSplit/>
        </w:trPr>
        <w:tc>
          <w:tcPr>
            <w:tcW w:w="5241" w:type="dxa"/>
            <w:tcBorders>
              <w:top w:val="nil"/>
            </w:tcBorders>
            <w:vAlign w:val="bottom"/>
          </w:tcPr>
          <w:p w:rsidR="00A76913" w:rsidDel="003F6EA6" w:rsidRDefault="00A76913" w:rsidP="006B57F8">
            <w:pPr>
              <w:pStyle w:val="IASBTableArial"/>
            </w:pPr>
          </w:p>
        </w:tc>
        <w:tc>
          <w:tcPr>
            <w:tcW w:w="1365" w:type="dxa"/>
            <w:tcBorders>
              <w:top w:val="nil"/>
              <w:left w:val="nil"/>
            </w:tcBorders>
            <w:vAlign w:val="bottom"/>
          </w:tcPr>
          <w:p w:rsidR="00A76913" w:rsidDel="003F6EA6" w:rsidRDefault="00A76913" w:rsidP="006B57F8">
            <w:pPr>
              <w:pStyle w:val="IASBTableArial"/>
              <w:jc w:val="right"/>
            </w:pPr>
            <w:r w:rsidDel="003F6EA6">
              <w:t>4,224</w:t>
            </w:r>
          </w:p>
        </w:tc>
        <w:tc>
          <w:tcPr>
            <w:tcW w:w="273" w:type="dxa"/>
            <w:tcBorders>
              <w:top w:val="nil"/>
              <w:left w:val="nil"/>
            </w:tcBorders>
            <w:vAlign w:val="bottom"/>
          </w:tcPr>
          <w:p w:rsidR="00A76913" w:rsidDel="003F6EA6" w:rsidRDefault="00A76913" w:rsidP="006B57F8">
            <w:pPr>
              <w:pStyle w:val="IASBTableArial"/>
            </w:pPr>
          </w:p>
        </w:tc>
      </w:tr>
      <w:tr w:rsidR="00A76913" w:rsidDel="003F6EA6" w:rsidTr="006B57F8">
        <w:trPr>
          <w:gridAfter w:val="1"/>
          <w:wAfter w:w="1365" w:type="dxa"/>
          <w:cantSplit/>
        </w:trPr>
        <w:tc>
          <w:tcPr>
            <w:tcW w:w="6879" w:type="dxa"/>
            <w:gridSpan w:val="3"/>
            <w:tcBorders>
              <w:top w:val="nil"/>
            </w:tcBorders>
            <w:vAlign w:val="bottom"/>
          </w:tcPr>
          <w:p w:rsidR="00A76913" w:rsidDel="003F6EA6" w:rsidRDefault="00A76913" w:rsidP="006B57F8">
            <w:pPr>
              <w:pStyle w:val="IASBTableArial"/>
            </w:pPr>
          </w:p>
        </w:tc>
      </w:tr>
      <w:tr w:rsidR="00A76913" w:rsidDel="003F6EA6" w:rsidTr="006B57F8">
        <w:trPr>
          <w:gridAfter w:val="1"/>
          <w:wAfter w:w="1365" w:type="dxa"/>
          <w:cantSplit/>
        </w:trPr>
        <w:tc>
          <w:tcPr>
            <w:tcW w:w="5241" w:type="dxa"/>
            <w:tcBorders>
              <w:top w:val="nil"/>
            </w:tcBorders>
            <w:vAlign w:val="bottom"/>
          </w:tcPr>
          <w:p w:rsidR="00A76913" w:rsidDel="003F6EA6" w:rsidRDefault="00A76913" w:rsidP="006B57F8">
            <w:pPr>
              <w:pStyle w:val="IASBTableArial"/>
            </w:pPr>
            <w:r w:rsidDel="003F6EA6">
              <w:rPr>
                <w:i/>
              </w:rPr>
              <w:t>(Increase) decrease in operating assets:</w:t>
            </w:r>
          </w:p>
        </w:tc>
        <w:tc>
          <w:tcPr>
            <w:tcW w:w="1365" w:type="dxa"/>
            <w:tcBorders>
              <w:top w:val="nil"/>
              <w:left w:val="nil"/>
            </w:tcBorders>
            <w:vAlign w:val="bottom"/>
          </w:tcPr>
          <w:p w:rsidR="00A76913" w:rsidDel="003F6EA6" w:rsidRDefault="00A76913" w:rsidP="006B57F8">
            <w:pPr>
              <w:pStyle w:val="IASBTableArial"/>
            </w:pPr>
          </w:p>
        </w:tc>
        <w:tc>
          <w:tcPr>
            <w:tcW w:w="273" w:type="dxa"/>
            <w:tcBorders>
              <w:top w:val="nil"/>
              <w:left w:val="nil"/>
            </w:tcBorders>
            <w:vAlign w:val="bottom"/>
          </w:tcPr>
          <w:p w:rsidR="00A76913" w:rsidDel="003F6EA6" w:rsidRDefault="00A76913" w:rsidP="006B57F8">
            <w:pPr>
              <w:pStyle w:val="IASBTableArial"/>
            </w:pPr>
          </w:p>
        </w:tc>
      </w:tr>
      <w:tr w:rsidR="00A76913" w:rsidDel="003F6EA6" w:rsidTr="006B57F8">
        <w:trPr>
          <w:gridAfter w:val="1"/>
          <w:wAfter w:w="1365" w:type="dxa"/>
          <w:cantSplit/>
        </w:trPr>
        <w:tc>
          <w:tcPr>
            <w:tcW w:w="5241" w:type="dxa"/>
            <w:tcBorders>
              <w:top w:val="nil"/>
            </w:tcBorders>
            <w:vAlign w:val="bottom"/>
          </w:tcPr>
          <w:p w:rsidR="00A76913" w:rsidDel="003F6EA6" w:rsidRDefault="00A76913" w:rsidP="006B57F8">
            <w:pPr>
              <w:pStyle w:val="IASBTableTNR"/>
            </w:pPr>
            <w:r w:rsidDel="003F6EA6">
              <w:t>Short-term funds</w:t>
            </w:r>
          </w:p>
        </w:tc>
        <w:tc>
          <w:tcPr>
            <w:tcW w:w="1365" w:type="dxa"/>
            <w:tcBorders>
              <w:top w:val="nil"/>
              <w:left w:val="nil"/>
            </w:tcBorders>
            <w:vAlign w:val="bottom"/>
          </w:tcPr>
          <w:p w:rsidR="00A76913" w:rsidDel="003F6EA6" w:rsidRDefault="00A76913" w:rsidP="006B57F8">
            <w:pPr>
              <w:pStyle w:val="IASBTableArial"/>
              <w:jc w:val="right"/>
            </w:pPr>
            <w:r w:rsidDel="003F6EA6">
              <w:t>(650)</w:t>
            </w:r>
          </w:p>
        </w:tc>
        <w:tc>
          <w:tcPr>
            <w:tcW w:w="273" w:type="dxa"/>
            <w:tcBorders>
              <w:top w:val="nil"/>
              <w:left w:val="nil"/>
            </w:tcBorders>
            <w:vAlign w:val="bottom"/>
          </w:tcPr>
          <w:p w:rsidR="00A76913" w:rsidDel="003F6EA6" w:rsidRDefault="00A76913" w:rsidP="006B57F8">
            <w:pPr>
              <w:pStyle w:val="IASBTableArial"/>
            </w:pPr>
          </w:p>
        </w:tc>
      </w:tr>
      <w:tr w:rsidR="00A76913" w:rsidDel="003F6EA6" w:rsidTr="006B57F8">
        <w:trPr>
          <w:gridAfter w:val="1"/>
          <w:wAfter w:w="1365" w:type="dxa"/>
          <w:cantSplit/>
        </w:trPr>
        <w:tc>
          <w:tcPr>
            <w:tcW w:w="5241" w:type="dxa"/>
            <w:tcBorders>
              <w:top w:val="nil"/>
            </w:tcBorders>
            <w:vAlign w:val="bottom"/>
          </w:tcPr>
          <w:p w:rsidR="00A76913" w:rsidDel="003F6EA6" w:rsidRDefault="00A76913" w:rsidP="006B57F8">
            <w:pPr>
              <w:pStyle w:val="IASBTableTNR"/>
            </w:pPr>
            <w:r w:rsidDel="003F6EA6">
              <w:t>Deposits held for regulatory or monetary control purposes</w:t>
            </w:r>
          </w:p>
        </w:tc>
        <w:tc>
          <w:tcPr>
            <w:tcW w:w="1365" w:type="dxa"/>
            <w:tcBorders>
              <w:top w:val="nil"/>
              <w:left w:val="nil"/>
            </w:tcBorders>
            <w:vAlign w:val="bottom"/>
          </w:tcPr>
          <w:p w:rsidR="00A76913" w:rsidDel="003F6EA6" w:rsidRDefault="00A76913" w:rsidP="006B57F8">
            <w:pPr>
              <w:pStyle w:val="IASBTableArial"/>
              <w:jc w:val="right"/>
            </w:pPr>
            <w:r w:rsidDel="003F6EA6">
              <w:t>234</w:t>
            </w:r>
          </w:p>
        </w:tc>
        <w:tc>
          <w:tcPr>
            <w:tcW w:w="273" w:type="dxa"/>
            <w:tcBorders>
              <w:top w:val="nil"/>
              <w:left w:val="nil"/>
            </w:tcBorders>
            <w:vAlign w:val="bottom"/>
          </w:tcPr>
          <w:p w:rsidR="00A76913" w:rsidDel="003F6EA6" w:rsidRDefault="00A76913" w:rsidP="006B57F8">
            <w:pPr>
              <w:pStyle w:val="IASBTableArial"/>
            </w:pPr>
          </w:p>
        </w:tc>
      </w:tr>
      <w:tr w:rsidR="00A76913" w:rsidDel="003F6EA6" w:rsidTr="006B57F8">
        <w:trPr>
          <w:gridAfter w:val="1"/>
          <w:wAfter w:w="1365" w:type="dxa"/>
          <w:cantSplit/>
        </w:trPr>
        <w:tc>
          <w:tcPr>
            <w:tcW w:w="5241" w:type="dxa"/>
            <w:tcBorders>
              <w:top w:val="nil"/>
            </w:tcBorders>
            <w:vAlign w:val="bottom"/>
          </w:tcPr>
          <w:p w:rsidR="00A76913" w:rsidDel="003F6EA6" w:rsidRDefault="00A76913" w:rsidP="006B57F8">
            <w:pPr>
              <w:pStyle w:val="IASBTableTNR"/>
            </w:pPr>
            <w:r w:rsidDel="003F6EA6">
              <w:t>Funds advanced to customers</w:t>
            </w:r>
          </w:p>
        </w:tc>
        <w:tc>
          <w:tcPr>
            <w:tcW w:w="1365" w:type="dxa"/>
            <w:tcBorders>
              <w:top w:val="nil"/>
              <w:left w:val="nil"/>
            </w:tcBorders>
            <w:vAlign w:val="bottom"/>
          </w:tcPr>
          <w:p w:rsidR="00A76913" w:rsidDel="003F6EA6" w:rsidRDefault="00A76913" w:rsidP="006B57F8">
            <w:pPr>
              <w:pStyle w:val="IASBTableArial"/>
              <w:jc w:val="right"/>
            </w:pPr>
            <w:r w:rsidDel="003F6EA6">
              <w:t>(288)</w:t>
            </w:r>
          </w:p>
        </w:tc>
        <w:tc>
          <w:tcPr>
            <w:tcW w:w="273" w:type="dxa"/>
            <w:tcBorders>
              <w:top w:val="nil"/>
              <w:left w:val="nil"/>
            </w:tcBorders>
            <w:vAlign w:val="bottom"/>
          </w:tcPr>
          <w:p w:rsidR="00A76913" w:rsidDel="003F6EA6" w:rsidRDefault="00A76913" w:rsidP="006B57F8">
            <w:pPr>
              <w:pStyle w:val="IASBTableArial"/>
            </w:pPr>
          </w:p>
        </w:tc>
      </w:tr>
      <w:tr w:rsidR="00A76913" w:rsidDel="003F6EA6" w:rsidTr="006B57F8">
        <w:trPr>
          <w:gridAfter w:val="1"/>
          <w:wAfter w:w="1365" w:type="dxa"/>
          <w:cantSplit/>
        </w:trPr>
        <w:tc>
          <w:tcPr>
            <w:tcW w:w="5241" w:type="dxa"/>
            <w:tcBorders>
              <w:top w:val="nil"/>
            </w:tcBorders>
            <w:vAlign w:val="bottom"/>
          </w:tcPr>
          <w:p w:rsidR="00A76913" w:rsidDel="003F6EA6" w:rsidRDefault="00A76913" w:rsidP="006B57F8">
            <w:pPr>
              <w:pStyle w:val="IASBTableTNR"/>
            </w:pPr>
            <w:r w:rsidDel="003F6EA6">
              <w:t>Net increase in credit card receivables</w:t>
            </w:r>
          </w:p>
        </w:tc>
        <w:tc>
          <w:tcPr>
            <w:tcW w:w="1365" w:type="dxa"/>
            <w:tcBorders>
              <w:top w:val="nil"/>
              <w:left w:val="nil"/>
            </w:tcBorders>
            <w:vAlign w:val="bottom"/>
          </w:tcPr>
          <w:p w:rsidR="00A76913" w:rsidDel="003F6EA6" w:rsidRDefault="00A76913" w:rsidP="006B57F8">
            <w:pPr>
              <w:pStyle w:val="IASBTableArial"/>
              <w:jc w:val="right"/>
            </w:pPr>
            <w:r w:rsidDel="003F6EA6">
              <w:t>(360)</w:t>
            </w:r>
          </w:p>
        </w:tc>
        <w:tc>
          <w:tcPr>
            <w:tcW w:w="273" w:type="dxa"/>
            <w:tcBorders>
              <w:top w:val="nil"/>
              <w:left w:val="nil"/>
            </w:tcBorders>
            <w:vAlign w:val="bottom"/>
          </w:tcPr>
          <w:p w:rsidR="00A76913" w:rsidDel="003F6EA6" w:rsidRDefault="00A76913" w:rsidP="006B57F8">
            <w:pPr>
              <w:pStyle w:val="IASBTableArial"/>
            </w:pPr>
          </w:p>
        </w:tc>
      </w:tr>
      <w:tr w:rsidR="00A76913" w:rsidDel="003F6EA6" w:rsidTr="006B57F8">
        <w:trPr>
          <w:gridAfter w:val="1"/>
          <w:wAfter w:w="1365" w:type="dxa"/>
          <w:cantSplit/>
        </w:trPr>
        <w:tc>
          <w:tcPr>
            <w:tcW w:w="5241" w:type="dxa"/>
            <w:tcBorders>
              <w:top w:val="nil"/>
            </w:tcBorders>
            <w:vAlign w:val="bottom"/>
          </w:tcPr>
          <w:p w:rsidR="00A76913" w:rsidDel="003F6EA6" w:rsidRDefault="00A76913" w:rsidP="006B57F8">
            <w:pPr>
              <w:pStyle w:val="IASBTableTNR"/>
            </w:pPr>
            <w:r w:rsidDel="003F6EA6">
              <w:t>Other short-term negotiable securities</w:t>
            </w:r>
          </w:p>
        </w:tc>
        <w:tc>
          <w:tcPr>
            <w:tcW w:w="1365" w:type="dxa"/>
            <w:tcBorders>
              <w:top w:val="nil"/>
              <w:left w:val="nil"/>
            </w:tcBorders>
            <w:vAlign w:val="bottom"/>
          </w:tcPr>
          <w:p w:rsidR="00A76913" w:rsidDel="003F6EA6" w:rsidRDefault="00A76913" w:rsidP="006B57F8">
            <w:pPr>
              <w:pStyle w:val="IASBTableArial"/>
              <w:jc w:val="right"/>
            </w:pPr>
            <w:r w:rsidDel="003F6EA6">
              <w:t>(120)</w:t>
            </w:r>
          </w:p>
        </w:tc>
        <w:tc>
          <w:tcPr>
            <w:tcW w:w="273" w:type="dxa"/>
            <w:tcBorders>
              <w:top w:val="nil"/>
              <w:left w:val="nil"/>
            </w:tcBorders>
            <w:vAlign w:val="bottom"/>
          </w:tcPr>
          <w:p w:rsidR="00A76913" w:rsidDel="003F6EA6" w:rsidRDefault="00A76913" w:rsidP="006B57F8">
            <w:pPr>
              <w:pStyle w:val="IASBTableArial"/>
            </w:pPr>
          </w:p>
        </w:tc>
      </w:tr>
      <w:tr w:rsidR="00A76913" w:rsidDel="003F6EA6" w:rsidTr="006B57F8">
        <w:trPr>
          <w:gridAfter w:val="1"/>
          <w:wAfter w:w="1365" w:type="dxa"/>
          <w:cantSplit/>
        </w:trPr>
        <w:tc>
          <w:tcPr>
            <w:tcW w:w="6879" w:type="dxa"/>
            <w:gridSpan w:val="3"/>
            <w:tcBorders>
              <w:top w:val="nil"/>
            </w:tcBorders>
            <w:vAlign w:val="bottom"/>
          </w:tcPr>
          <w:p w:rsidR="00A76913" w:rsidDel="003F6EA6" w:rsidRDefault="00A76913" w:rsidP="006B57F8">
            <w:pPr>
              <w:pStyle w:val="IASBTableArial"/>
            </w:pPr>
          </w:p>
        </w:tc>
      </w:tr>
      <w:tr w:rsidR="00A76913" w:rsidDel="003F6EA6" w:rsidTr="006B57F8">
        <w:trPr>
          <w:gridAfter w:val="1"/>
          <w:wAfter w:w="1365" w:type="dxa"/>
          <w:cantSplit/>
        </w:trPr>
        <w:tc>
          <w:tcPr>
            <w:tcW w:w="5241" w:type="dxa"/>
            <w:tcBorders>
              <w:top w:val="nil"/>
            </w:tcBorders>
            <w:vAlign w:val="bottom"/>
          </w:tcPr>
          <w:p w:rsidR="00A76913" w:rsidDel="003F6EA6" w:rsidRDefault="00A76913" w:rsidP="00A5609E">
            <w:pPr>
              <w:pStyle w:val="IASBTableArial"/>
              <w:keepNext/>
            </w:pPr>
            <w:r w:rsidDel="003F6EA6">
              <w:rPr>
                <w:i/>
              </w:rPr>
              <w:lastRenderedPageBreak/>
              <w:t>Increase (decrease) in operating liabilities:</w:t>
            </w:r>
          </w:p>
        </w:tc>
        <w:tc>
          <w:tcPr>
            <w:tcW w:w="1365" w:type="dxa"/>
            <w:tcBorders>
              <w:top w:val="nil"/>
              <w:left w:val="nil"/>
            </w:tcBorders>
            <w:vAlign w:val="bottom"/>
          </w:tcPr>
          <w:p w:rsidR="00A76913" w:rsidDel="003F6EA6" w:rsidRDefault="00A76913" w:rsidP="00A5609E">
            <w:pPr>
              <w:pStyle w:val="IASBTableArial"/>
              <w:keepNext/>
            </w:pPr>
          </w:p>
        </w:tc>
        <w:tc>
          <w:tcPr>
            <w:tcW w:w="273" w:type="dxa"/>
            <w:tcBorders>
              <w:top w:val="nil"/>
              <w:left w:val="nil"/>
            </w:tcBorders>
            <w:vAlign w:val="bottom"/>
          </w:tcPr>
          <w:p w:rsidR="00A76913" w:rsidDel="003F6EA6" w:rsidRDefault="00A76913" w:rsidP="00A5609E">
            <w:pPr>
              <w:pStyle w:val="IASBTableArial"/>
              <w:keepNext/>
            </w:pPr>
          </w:p>
        </w:tc>
      </w:tr>
      <w:tr w:rsidR="00A76913" w:rsidDel="003F6EA6" w:rsidTr="006B57F8">
        <w:trPr>
          <w:cantSplit/>
        </w:trPr>
        <w:tc>
          <w:tcPr>
            <w:tcW w:w="5241" w:type="dxa"/>
            <w:tcBorders>
              <w:top w:val="nil"/>
            </w:tcBorders>
            <w:vAlign w:val="bottom"/>
          </w:tcPr>
          <w:p w:rsidR="00A76913" w:rsidDel="003F6EA6" w:rsidRDefault="00A76913" w:rsidP="00A5609E">
            <w:pPr>
              <w:pStyle w:val="IASBTableTNR"/>
              <w:keepNext/>
            </w:pPr>
            <w:r w:rsidDel="003F6EA6">
              <w:t>Deposits from customers</w:t>
            </w:r>
          </w:p>
        </w:tc>
        <w:tc>
          <w:tcPr>
            <w:tcW w:w="1365" w:type="dxa"/>
            <w:tcBorders>
              <w:top w:val="nil"/>
              <w:left w:val="nil"/>
            </w:tcBorders>
            <w:vAlign w:val="bottom"/>
          </w:tcPr>
          <w:p w:rsidR="00A76913" w:rsidDel="003F6EA6" w:rsidRDefault="00A76913" w:rsidP="00A5609E">
            <w:pPr>
              <w:pStyle w:val="IASBTableArial"/>
              <w:keepNext/>
              <w:jc w:val="right"/>
            </w:pPr>
            <w:r w:rsidDel="003F6EA6">
              <w:t>600</w:t>
            </w:r>
          </w:p>
        </w:tc>
        <w:tc>
          <w:tcPr>
            <w:tcW w:w="273" w:type="dxa"/>
            <w:tcBorders>
              <w:top w:val="nil"/>
              <w:left w:val="nil"/>
            </w:tcBorders>
            <w:vAlign w:val="bottom"/>
          </w:tcPr>
          <w:p w:rsidR="00A76913" w:rsidDel="003F6EA6" w:rsidRDefault="00A76913" w:rsidP="00A5609E">
            <w:pPr>
              <w:pStyle w:val="IASBTableArial"/>
              <w:keepNext/>
            </w:pPr>
          </w:p>
        </w:tc>
        <w:tc>
          <w:tcPr>
            <w:tcW w:w="1365" w:type="dxa"/>
            <w:tcBorders>
              <w:top w:val="nil"/>
              <w:left w:val="nil"/>
            </w:tcBorders>
            <w:vAlign w:val="bottom"/>
          </w:tcPr>
          <w:p w:rsidR="00A76913" w:rsidDel="003F6EA6" w:rsidRDefault="00A76913" w:rsidP="00A5609E">
            <w:pPr>
              <w:pStyle w:val="IASBTableArial"/>
              <w:keepNext/>
            </w:pPr>
          </w:p>
        </w:tc>
      </w:tr>
      <w:tr w:rsidR="00A76913" w:rsidDel="003F6EA6" w:rsidTr="006B57F8">
        <w:trPr>
          <w:cantSplit/>
        </w:trPr>
        <w:tc>
          <w:tcPr>
            <w:tcW w:w="5241" w:type="dxa"/>
            <w:tcBorders>
              <w:top w:val="nil"/>
            </w:tcBorders>
            <w:vAlign w:val="bottom"/>
          </w:tcPr>
          <w:p w:rsidR="00A76913" w:rsidDel="003F6EA6" w:rsidRDefault="00A76913" w:rsidP="006B57F8">
            <w:pPr>
              <w:pStyle w:val="IASBTableTNR"/>
            </w:pPr>
            <w:r w:rsidDel="003F6EA6">
              <w:t>Negotiable certificates of deposit</w:t>
            </w:r>
          </w:p>
        </w:tc>
        <w:tc>
          <w:tcPr>
            <w:tcW w:w="1365" w:type="dxa"/>
            <w:tcBorders>
              <w:top w:val="nil"/>
              <w:left w:val="nil"/>
            </w:tcBorders>
            <w:vAlign w:val="bottom"/>
          </w:tcPr>
          <w:p w:rsidR="00A76913" w:rsidDel="003F6EA6" w:rsidRDefault="00A76913" w:rsidP="006B57F8">
            <w:pPr>
              <w:pStyle w:val="IASBTableArial"/>
              <w:jc w:val="right"/>
            </w:pPr>
            <w:r w:rsidDel="003F6EA6">
              <w:t>(200)</w:t>
            </w:r>
          </w:p>
        </w:tc>
        <w:tc>
          <w:tcPr>
            <w:tcW w:w="273" w:type="dxa"/>
            <w:tcBorders>
              <w:top w:val="nil"/>
              <w:left w:val="nil"/>
            </w:tcBorders>
            <w:vAlign w:val="bottom"/>
          </w:tcPr>
          <w:p w:rsidR="00A76913" w:rsidDel="003F6EA6" w:rsidRDefault="00A76913" w:rsidP="006B57F8">
            <w:pPr>
              <w:pStyle w:val="IASBTableArial"/>
            </w:pPr>
          </w:p>
        </w:tc>
        <w:tc>
          <w:tcPr>
            <w:tcW w:w="1365" w:type="dxa"/>
            <w:tcBorders>
              <w:top w:val="nil"/>
              <w:left w:val="nil"/>
            </w:tcBorders>
            <w:vAlign w:val="bottom"/>
          </w:tcPr>
          <w:p w:rsidR="00A76913" w:rsidDel="003F6EA6" w:rsidRDefault="00A76913" w:rsidP="006B57F8">
            <w:pPr>
              <w:pStyle w:val="IASBTableArial"/>
            </w:pPr>
          </w:p>
        </w:tc>
      </w:tr>
      <w:tr w:rsidR="00A76913" w:rsidDel="003F6EA6" w:rsidTr="006B57F8">
        <w:trPr>
          <w:cantSplit/>
        </w:trPr>
        <w:tc>
          <w:tcPr>
            <w:tcW w:w="5241" w:type="dxa"/>
            <w:tcBorders>
              <w:top w:val="nil"/>
            </w:tcBorders>
            <w:vAlign w:val="bottom"/>
          </w:tcPr>
          <w:p w:rsidR="00A76913" w:rsidDel="003F6EA6" w:rsidRDefault="00A76913" w:rsidP="006B57F8">
            <w:pPr>
              <w:pStyle w:val="IASBTableArial"/>
            </w:pPr>
            <w:r w:rsidDel="003F6EA6">
              <w:t>Net cash from operating activities before income tax</w:t>
            </w:r>
          </w:p>
        </w:tc>
        <w:tc>
          <w:tcPr>
            <w:tcW w:w="1365" w:type="dxa"/>
            <w:tcBorders>
              <w:top w:val="nil"/>
              <w:left w:val="nil"/>
            </w:tcBorders>
            <w:vAlign w:val="bottom"/>
          </w:tcPr>
          <w:p w:rsidR="00A76913" w:rsidDel="003F6EA6" w:rsidRDefault="00A76913" w:rsidP="006B57F8">
            <w:pPr>
              <w:pStyle w:val="IASBTableArial"/>
              <w:jc w:val="right"/>
            </w:pPr>
            <w:r w:rsidDel="003F6EA6">
              <w:t>3,440</w:t>
            </w:r>
          </w:p>
        </w:tc>
        <w:tc>
          <w:tcPr>
            <w:tcW w:w="273" w:type="dxa"/>
            <w:tcBorders>
              <w:top w:val="nil"/>
              <w:left w:val="nil"/>
            </w:tcBorders>
            <w:vAlign w:val="bottom"/>
          </w:tcPr>
          <w:p w:rsidR="00A76913" w:rsidDel="003F6EA6" w:rsidRDefault="00A76913" w:rsidP="006B57F8">
            <w:pPr>
              <w:pStyle w:val="IASBTableArial"/>
            </w:pPr>
          </w:p>
        </w:tc>
        <w:tc>
          <w:tcPr>
            <w:tcW w:w="1365" w:type="dxa"/>
            <w:tcBorders>
              <w:top w:val="nil"/>
              <w:left w:val="nil"/>
            </w:tcBorders>
            <w:vAlign w:val="bottom"/>
          </w:tcPr>
          <w:p w:rsidR="00A76913" w:rsidDel="003F6EA6" w:rsidRDefault="00A76913" w:rsidP="006B57F8">
            <w:pPr>
              <w:pStyle w:val="IASBTableArial"/>
            </w:pPr>
          </w:p>
        </w:tc>
      </w:tr>
      <w:tr w:rsidR="00A76913" w:rsidDel="003F6EA6" w:rsidTr="006B57F8">
        <w:trPr>
          <w:cantSplit/>
        </w:trPr>
        <w:tc>
          <w:tcPr>
            <w:tcW w:w="5241" w:type="dxa"/>
            <w:tcBorders>
              <w:top w:val="nil"/>
            </w:tcBorders>
            <w:vAlign w:val="bottom"/>
          </w:tcPr>
          <w:p w:rsidR="00A76913" w:rsidDel="003F6EA6" w:rsidRDefault="00A76913" w:rsidP="006B57F8">
            <w:pPr>
              <w:pStyle w:val="IASBTableTNR"/>
            </w:pPr>
            <w:r w:rsidDel="003F6EA6">
              <w:t>Income taxes paid</w:t>
            </w:r>
          </w:p>
        </w:tc>
        <w:tc>
          <w:tcPr>
            <w:tcW w:w="1365" w:type="dxa"/>
            <w:tcBorders>
              <w:top w:val="nil"/>
              <w:left w:val="nil"/>
              <w:bottom w:val="single" w:sz="4" w:space="0" w:color="auto"/>
            </w:tcBorders>
            <w:vAlign w:val="bottom"/>
          </w:tcPr>
          <w:p w:rsidR="00A76913" w:rsidDel="003F6EA6" w:rsidRDefault="00A76913" w:rsidP="006B57F8">
            <w:pPr>
              <w:pStyle w:val="IASBTableArial"/>
              <w:jc w:val="right"/>
            </w:pPr>
            <w:r w:rsidDel="003F6EA6">
              <w:t>(100)</w:t>
            </w:r>
          </w:p>
        </w:tc>
        <w:tc>
          <w:tcPr>
            <w:tcW w:w="273" w:type="dxa"/>
            <w:tcBorders>
              <w:top w:val="nil"/>
              <w:left w:val="nil"/>
            </w:tcBorders>
            <w:vAlign w:val="bottom"/>
          </w:tcPr>
          <w:p w:rsidR="00A76913" w:rsidDel="003F6EA6" w:rsidRDefault="00A76913" w:rsidP="006B57F8">
            <w:pPr>
              <w:pStyle w:val="IASBTableArial"/>
            </w:pPr>
          </w:p>
        </w:tc>
        <w:tc>
          <w:tcPr>
            <w:tcW w:w="1365" w:type="dxa"/>
            <w:tcBorders>
              <w:top w:val="nil"/>
              <w:left w:val="nil"/>
            </w:tcBorders>
            <w:vAlign w:val="bottom"/>
          </w:tcPr>
          <w:p w:rsidR="00A76913" w:rsidDel="003F6EA6" w:rsidRDefault="00A76913" w:rsidP="006B57F8">
            <w:pPr>
              <w:pStyle w:val="IASBTableArial"/>
            </w:pPr>
          </w:p>
        </w:tc>
      </w:tr>
      <w:tr w:rsidR="00A76913" w:rsidDel="003F6EA6" w:rsidTr="006B57F8">
        <w:trPr>
          <w:cantSplit/>
        </w:trPr>
        <w:tc>
          <w:tcPr>
            <w:tcW w:w="5241" w:type="dxa"/>
            <w:tcBorders>
              <w:top w:val="nil"/>
            </w:tcBorders>
            <w:vAlign w:val="bottom"/>
          </w:tcPr>
          <w:p w:rsidR="00A76913" w:rsidDel="003F6EA6" w:rsidRDefault="00A76913" w:rsidP="006B57F8">
            <w:pPr>
              <w:pStyle w:val="IASBTableArial"/>
            </w:pPr>
            <w:r w:rsidDel="003F6EA6">
              <w:rPr>
                <w:i/>
              </w:rPr>
              <w:t>Net cash from operating activities</w:t>
            </w:r>
          </w:p>
        </w:tc>
        <w:tc>
          <w:tcPr>
            <w:tcW w:w="1365" w:type="dxa"/>
            <w:tcBorders>
              <w:top w:val="nil"/>
              <w:left w:val="nil"/>
            </w:tcBorders>
            <w:vAlign w:val="bottom"/>
          </w:tcPr>
          <w:p w:rsidR="00A76913" w:rsidDel="003F6EA6" w:rsidRDefault="00A76913" w:rsidP="006B57F8">
            <w:pPr>
              <w:pStyle w:val="IASBTableArial"/>
            </w:pPr>
          </w:p>
        </w:tc>
        <w:tc>
          <w:tcPr>
            <w:tcW w:w="273" w:type="dxa"/>
            <w:tcBorders>
              <w:top w:val="nil"/>
              <w:left w:val="nil"/>
            </w:tcBorders>
            <w:vAlign w:val="bottom"/>
          </w:tcPr>
          <w:p w:rsidR="00A76913" w:rsidDel="003F6EA6" w:rsidRDefault="00A76913" w:rsidP="006B57F8">
            <w:pPr>
              <w:pStyle w:val="IASBTableArial"/>
            </w:pPr>
          </w:p>
        </w:tc>
        <w:tc>
          <w:tcPr>
            <w:tcW w:w="1365" w:type="dxa"/>
            <w:tcBorders>
              <w:top w:val="nil"/>
              <w:left w:val="nil"/>
            </w:tcBorders>
            <w:vAlign w:val="bottom"/>
          </w:tcPr>
          <w:p w:rsidR="00A76913" w:rsidDel="003F6EA6" w:rsidRDefault="00A76913" w:rsidP="006B57F8">
            <w:pPr>
              <w:pStyle w:val="IASBTableArial"/>
              <w:jc w:val="right"/>
            </w:pPr>
            <w:r w:rsidDel="003F6EA6">
              <w:t>3,340</w:t>
            </w:r>
          </w:p>
        </w:tc>
      </w:tr>
      <w:tr w:rsidR="00A76913" w:rsidDel="003F6EA6" w:rsidTr="006B57F8">
        <w:trPr>
          <w:cantSplit/>
        </w:trPr>
        <w:tc>
          <w:tcPr>
            <w:tcW w:w="6879" w:type="dxa"/>
            <w:gridSpan w:val="3"/>
            <w:tcBorders>
              <w:top w:val="nil"/>
            </w:tcBorders>
            <w:vAlign w:val="bottom"/>
          </w:tcPr>
          <w:p w:rsidR="00A76913" w:rsidDel="003F6EA6" w:rsidRDefault="00A76913" w:rsidP="006B57F8">
            <w:pPr>
              <w:pStyle w:val="IASBTableArial"/>
            </w:pPr>
          </w:p>
        </w:tc>
        <w:tc>
          <w:tcPr>
            <w:tcW w:w="1365" w:type="dxa"/>
            <w:tcBorders>
              <w:top w:val="nil"/>
              <w:left w:val="nil"/>
            </w:tcBorders>
            <w:vAlign w:val="bottom"/>
          </w:tcPr>
          <w:p w:rsidR="00A76913" w:rsidDel="003F6EA6" w:rsidRDefault="00A76913" w:rsidP="006B57F8">
            <w:pPr>
              <w:pStyle w:val="IASBTableArial"/>
            </w:pPr>
          </w:p>
        </w:tc>
      </w:tr>
      <w:tr w:rsidR="00A76913" w:rsidDel="003F6EA6" w:rsidTr="006B57F8">
        <w:trPr>
          <w:cantSplit/>
        </w:trPr>
        <w:tc>
          <w:tcPr>
            <w:tcW w:w="5241" w:type="dxa"/>
            <w:tcBorders>
              <w:top w:val="nil"/>
            </w:tcBorders>
            <w:vAlign w:val="bottom"/>
          </w:tcPr>
          <w:p w:rsidR="00A76913" w:rsidDel="003F6EA6" w:rsidRDefault="00A76913" w:rsidP="006B57F8">
            <w:pPr>
              <w:pStyle w:val="IASBTableTNR"/>
            </w:pPr>
            <w:r w:rsidDel="003F6EA6">
              <w:rPr>
                <w:b/>
              </w:rPr>
              <w:t>Cash flows from investing activities</w:t>
            </w:r>
          </w:p>
        </w:tc>
        <w:tc>
          <w:tcPr>
            <w:tcW w:w="1365" w:type="dxa"/>
            <w:tcBorders>
              <w:top w:val="nil"/>
              <w:left w:val="nil"/>
            </w:tcBorders>
            <w:vAlign w:val="bottom"/>
          </w:tcPr>
          <w:p w:rsidR="00A76913" w:rsidDel="003F6EA6" w:rsidRDefault="00A76913" w:rsidP="006B57F8">
            <w:pPr>
              <w:pStyle w:val="IASBTableArial"/>
            </w:pPr>
          </w:p>
        </w:tc>
        <w:tc>
          <w:tcPr>
            <w:tcW w:w="273" w:type="dxa"/>
            <w:tcBorders>
              <w:top w:val="nil"/>
              <w:left w:val="nil"/>
            </w:tcBorders>
            <w:vAlign w:val="bottom"/>
          </w:tcPr>
          <w:p w:rsidR="00A76913" w:rsidDel="003F6EA6" w:rsidRDefault="00A76913" w:rsidP="006B57F8">
            <w:pPr>
              <w:pStyle w:val="IASBTableArial"/>
            </w:pPr>
          </w:p>
        </w:tc>
        <w:tc>
          <w:tcPr>
            <w:tcW w:w="1365" w:type="dxa"/>
            <w:tcBorders>
              <w:top w:val="nil"/>
              <w:left w:val="nil"/>
            </w:tcBorders>
            <w:vAlign w:val="bottom"/>
          </w:tcPr>
          <w:p w:rsidR="00A76913" w:rsidDel="003F6EA6" w:rsidRDefault="00A76913" w:rsidP="006B57F8">
            <w:pPr>
              <w:pStyle w:val="IASBTableArial"/>
            </w:pPr>
          </w:p>
        </w:tc>
      </w:tr>
      <w:tr w:rsidR="00A76913" w:rsidDel="003F6EA6" w:rsidTr="006B57F8">
        <w:trPr>
          <w:cantSplit/>
        </w:trPr>
        <w:tc>
          <w:tcPr>
            <w:tcW w:w="5241" w:type="dxa"/>
            <w:tcBorders>
              <w:top w:val="nil"/>
            </w:tcBorders>
            <w:vAlign w:val="bottom"/>
          </w:tcPr>
          <w:p w:rsidR="00A76913" w:rsidDel="003F6EA6" w:rsidRDefault="00A76913" w:rsidP="006B57F8">
            <w:pPr>
              <w:pStyle w:val="IASBTableTNR"/>
            </w:pPr>
            <w:r w:rsidDel="003F6EA6">
              <w:t>Disposal of subsidiary Y</w:t>
            </w:r>
          </w:p>
        </w:tc>
        <w:tc>
          <w:tcPr>
            <w:tcW w:w="1365" w:type="dxa"/>
            <w:tcBorders>
              <w:top w:val="nil"/>
              <w:left w:val="nil"/>
            </w:tcBorders>
            <w:vAlign w:val="bottom"/>
          </w:tcPr>
          <w:p w:rsidR="00A76913" w:rsidDel="003F6EA6" w:rsidRDefault="00A76913" w:rsidP="006B57F8">
            <w:pPr>
              <w:pStyle w:val="IASBTableArial"/>
              <w:jc w:val="right"/>
            </w:pPr>
            <w:r w:rsidDel="003F6EA6">
              <w:t>50</w:t>
            </w:r>
          </w:p>
        </w:tc>
        <w:tc>
          <w:tcPr>
            <w:tcW w:w="273" w:type="dxa"/>
            <w:tcBorders>
              <w:top w:val="nil"/>
              <w:left w:val="nil"/>
            </w:tcBorders>
            <w:vAlign w:val="bottom"/>
          </w:tcPr>
          <w:p w:rsidR="00A76913" w:rsidDel="003F6EA6" w:rsidRDefault="00A76913" w:rsidP="006B57F8">
            <w:pPr>
              <w:pStyle w:val="IASBTableArial"/>
            </w:pPr>
          </w:p>
        </w:tc>
        <w:tc>
          <w:tcPr>
            <w:tcW w:w="1365" w:type="dxa"/>
            <w:tcBorders>
              <w:top w:val="nil"/>
              <w:left w:val="nil"/>
            </w:tcBorders>
            <w:vAlign w:val="bottom"/>
          </w:tcPr>
          <w:p w:rsidR="00A76913" w:rsidDel="003F6EA6" w:rsidRDefault="00A76913" w:rsidP="006B57F8">
            <w:pPr>
              <w:pStyle w:val="IASBTableArial"/>
            </w:pPr>
          </w:p>
        </w:tc>
      </w:tr>
      <w:tr w:rsidR="00A76913" w:rsidDel="003F6EA6" w:rsidTr="006B57F8">
        <w:trPr>
          <w:cantSplit/>
        </w:trPr>
        <w:tc>
          <w:tcPr>
            <w:tcW w:w="5241" w:type="dxa"/>
            <w:tcBorders>
              <w:top w:val="nil"/>
            </w:tcBorders>
            <w:vAlign w:val="bottom"/>
          </w:tcPr>
          <w:p w:rsidR="00A76913" w:rsidDel="003F6EA6" w:rsidRDefault="00A76913" w:rsidP="006B57F8">
            <w:pPr>
              <w:pStyle w:val="IASBTableTNR"/>
            </w:pPr>
            <w:r w:rsidDel="003F6EA6">
              <w:t>Dividends received</w:t>
            </w:r>
          </w:p>
        </w:tc>
        <w:tc>
          <w:tcPr>
            <w:tcW w:w="1365" w:type="dxa"/>
            <w:tcBorders>
              <w:top w:val="nil"/>
              <w:left w:val="nil"/>
            </w:tcBorders>
            <w:vAlign w:val="bottom"/>
          </w:tcPr>
          <w:p w:rsidR="00A76913" w:rsidDel="003F6EA6" w:rsidRDefault="00A76913" w:rsidP="006B57F8">
            <w:pPr>
              <w:pStyle w:val="IASBTableArial"/>
              <w:jc w:val="right"/>
            </w:pPr>
            <w:r w:rsidDel="003F6EA6">
              <w:t>200</w:t>
            </w:r>
          </w:p>
        </w:tc>
        <w:tc>
          <w:tcPr>
            <w:tcW w:w="273" w:type="dxa"/>
            <w:tcBorders>
              <w:top w:val="nil"/>
              <w:left w:val="nil"/>
            </w:tcBorders>
            <w:vAlign w:val="bottom"/>
          </w:tcPr>
          <w:p w:rsidR="00A76913" w:rsidDel="003F6EA6" w:rsidRDefault="00A76913" w:rsidP="006B57F8">
            <w:pPr>
              <w:pStyle w:val="IASBTableArial"/>
            </w:pPr>
          </w:p>
        </w:tc>
        <w:tc>
          <w:tcPr>
            <w:tcW w:w="1365" w:type="dxa"/>
            <w:tcBorders>
              <w:top w:val="nil"/>
              <w:left w:val="nil"/>
            </w:tcBorders>
            <w:vAlign w:val="bottom"/>
          </w:tcPr>
          <w:p w:rsidR="00A76913" w:rsidDel="003F6EA6" w:rsidRDefault="00A76913" w:rsidP="006B57F8">
            <w:pPr>
              <w:pStyle w:val="IASBTableArial"/>
            </w:pPr>
          </w:p>
        </w:tc>
      </w:tr>
      <w:tr w:rsidR="00A76913" w:rsidDel="003F6EA6" w:rsidTr="006B57F8">
        <w:trPr>
          <w:cantSplit/>
        </w:trPr>
        <w:tc>
          <w:tcPr>
            <w:tcW w:w="5241" w:type="dxa"/>
            <w:tcBorders>
              <w:top w:val="nil"/>
            </w:tcBorders>
            <w:vAlign w:val="bottom"/>
          </w:tcPr>
          <w:p w:rsidR="00A76913" w:rsidDel="003F6EA6" w:rsidRDefault="00A76913" w:rsidP="006B57F8">
            <w:pPr>
              <w:pStyle w:val="IASBTableTNR"/>
            </w:pPr>
            <w:r w:rsidDel="003F6EA6">
              <w:t>Interest received</w:t>
            </w:r>
          </w:p>
        </w:tc>
        <w:tc>
          <w:tcPr>
            <w:tcW w:w="1365" w:type="dxa"/>
            <w:tcBorders>
              <w:top w:val="nil"/>
              <w:left w:val="nil"/>
            </w:tcBorders>
            <w:vAlign w:val="bottom"/>
          </w:tcPr>
          <w:p w:rsidR="00A76913" w:rsidDel="003F6EA6" w:rsidRDefault="00A76913" w:rsidP="006B57F8">
            <w:pPr>
              <w:pStyle w:val="IASBTableArial"/>
              <w:jc w:val="right"/>
            </w:pPr>
            <w:r w:rsidDel="003F6EA6">
              <w:t>300</w:t>
            </w:r>
          </w:p>
        </w:tc>
        <w:tc>
          <w:tcPr>
            <w:tcW w:w="273" w:type="dxa"/>
            <w:tcBorders>
              <w:top w:val="nil"/>
              <w:left w:val="nil"/>
            </w:tcBorders>
            <w:vAlign w:val="bottom"/>
          </w:tcPr>
          <w:p w:rsidR="00A76913" w:rsidDel="003F6EA6" w:rsidRDefault="00A76913" w:rsidP="006B57F8">
            <w:pPr>
              <w:pStyle w:val="IASBTableArial"/>
            </w:pPr>
          </w:p>
        </w:tc>
        <w:tc>
          <w:tcPr>
            <w:tcW w:w="1365" w:type="dxa"/>
            <w:tcBorders>
              <w:top w:val="nil"/>
              <w:left w:val="nil"/>
            </w:tcBorders>
            <w:vAlign w:val="bottom"/>
          </w:tcPr>
          <w:p w:rsidR="00A76913" w:rsidDel="003F6EA6" w:rsidRDefault="00A76913" w:rsidP="006B57F8">
            <w:pPr>
              <w:pStyle w:val="IASBTableArial"/>
            </w:pPr>
          </w:p>
        </w:tc>
      </w:tr>
      <w:tr w:rsidR="00A76913" w:rsidDel="003F6EA6" w:rsidTr="006B57F8">
        <w:trPr>
          <w:cantSplit/>
        </w:trPr>
        <w:tc>
          <w:tcPr>
            <w:tcW w:w="5241" w:type="dxa"/>
            <w:tcBorders>
              <w:top w:val="nil"/>
            </w:tcBorders>
            <w:vAlign w:val="bottom"/>
          </w:tcPr>
          <w:p w:rsidR="00A76913" w:rsidDel="003F6EA6" w:rsidRDefault="00A76913" w:rsidP="006B57F8">
            <w:pPr>
              <w:pStyle w:val="IASBTableTNR"/>
            </w:pPr>
            <w:r w:rsidDel="003F6EA6">
              <w:t>Proceeds from sales of non-dealing securities</w:t>
            </w:r>
          </w:p>
        </w:tc>
        <w:tc>
          <w:tcPr>
            <w:tcW w:w="1365" w:type="dxa"/>
            <w:tcBorders>
              <w:top w:val="nil"/>
              <w:left w:val="nil"/>
            </w:tcBorders>
            <w:vAlign w:val="bottom"/>
          </w:tcPr>
          <w:p w:rsidR="00A76913" w:rsidDel="003F6EA6" w:rsidRDefault="00A76913" w:rsidP="006B57F8">
            <w:pPr>
              <w:pStyle w:val="IASBTableArial"/>
              <w:jc w:val="right"/>
            </w:pPr>
            <w:r w:rsidDel="003F6EA6">
              <w:t>1,200</w:t>
            </w:r>
          </w:p>
        </w:tc>
        <w:tc>
          <w:tcPr>
            <w:tcW w:w="273" w:type="dxa"/>
            <w:tcBorders>
              <w:top w:val="nil"/>
              <w:left w:val="nil"/>
            </w:tcBorders>
            <w:vAlign w:val="bottom"/>
          </w:tcPr>
          <w:p w:rsidR="00A76913" w:rsidDel="003F6EA6" w:rsidRDefault="00A76913" w:rsidP="006B57F8">
            <w:pPr>
              <w:pStyle w:val="IASBTableArial"/>
            </w:pPr>
          </w:p>
        </w:tc>
        <w:tc>
          <w:tcPr>
            <w:tcW w:w="1365" w:type="dxa"/>
            <w:tcBorders>
              <w:top w:val="nil"/>
              <w:left w:val="nil"/>
            </w:tcBorders>
            <w:vAlign w:val="bottom"/>
          </w:tcPr>
          <w:p w:rsidR="00A76913" w:rsidDel="003F6EA6" w:rsidRDefault="00A76913" w:rsidP="006B57F8">
            <w:pPr>
              <w:pStyle w:val="IASBTableArial"/>
            </w:pPr>
          </w:p>
        </w:tc>
      </w:tr>
      <w:tr w:rsidR="00A76913" w:rsidDel="003F6EA6" w:rsidTr="006B57F8">
        <w:trPr>
          <w:cantSplit/>
        </w:trPr>
        <w:tc>
          <w:tcPr>
            <w:tcW w:w="5241" w:type="dxa"/>
            <w:tcBorders>
              <w:top w:val="nil"/>
            </w:tcBorders>
            <w:vAlign w:val="bottom"/>
          </w:tcPr>
          <w:p w:rsidR="00A76913" w:rsidDel="003F6EA6" w:rsidRDefault="00A76913" w:rsidP="006B57F8">
            <w:pPr>
              <w:pStyle w:val="IASBTableTNR"/>
            </w:pPr>
            <w:r w:rsidDel="003F6EA6">
              <w:t>Purchase of non-dealing securities</w:t>
            </w:r>
          </w:p>
        </w:tc>
        <w:tc>
          <w:tcPr>
            <w:tcW w:w="1365" w:type="dxa"/>
            <w:tcBorders>
              <w:top w:val="nil"/>
              <w:left w:val="nil"/>
            </w:tcBorders>
            <w:vAlign w:val="bottom"/>
          </w:tcPr>
          <w:p w:rsidR="00A76913" w:rsidDel="003F6EA6" w:rsidRDefault="00A76913" w:rsidP="006B57F8">
            <w:pPr>
              <w:pStyle w:val="IASBTableArial"/>
              <w:jc w:val="right"/>
            </w:pPr>
            <w:r w:rsidDel="003F6EA6">
              <w:t>(600)</w:t>
            </w:r>
          </w:p>
        </w:tc>
        <w:tc>
          <w:tcPr>
            <w:tcW w:w="273" w:type="dxa"/>
            <w:tcBorders>
              <w:top w:val="nil"/>
              <w:left w:val="nil"/>
            </w:tcBorders>
            <w:vAlign w:val="bottom"/>
          </w:tcPr>
          <w:p w:rsidR="00A76913" w:rsidDel="003F6EA6" w:rsidRDefault="00A76913" w:rsidP="006B57F8">
            <w:pPr>
              <w:pStyle w:val="IASBTableArial"/>
            </w:pPr>
          </w:p>
        </w:tc>
        <w:tc>
          <w:tcPr>
            <w:tcW w:w="1365" w:type="dxa"/>
            <w:tcBorders>
              <w:top w:val="nil"/>
              <w:left w:val="nil"/>
            </w:tcBorders>
            <w:vAlign w:val="bottom"/>
          </w:tcPr>
          <w:p w:rsidR="00A76913" w:rsidDel="003F6EA6" w:rsidRDefault="00A76913" w:rsidP="006B57F8">
            <w:pPr>
              <w:pStyle w:val="IASBTableArial"/>
            </w:pPr>
          </w:p>
        </w:tc>
      </w:tr>
      <w:tr w:rsidR="00A76913" w:rsidDel="003F6EA6" w:rsidTr="006B57F8">
        <w:trPr>
          <w:cantSplit/>
        </w:trPr>
        <w:tc>
          <w:tcPr>
            <w:tcW w:w="5241" w:type="dxa"/>
            <w:tcBorders>
              <w:top w:val="nil"/>
            </w:tcBorders>
            <w:vAlign w:val="bottom"/>
          </w:tcPr>
          <w:p w:rsidR="00A76913" w:rsidDel="003F6EA6" w:rsidRDefault="00A76913" w:rsidP="006B57F8">
            <w:pPr>
              <w:pStyle w:val="IASBTableTNR"/>
            </w:pPr>
            <w:r w:rsidDel="003F6EA6">
              <w:t>Purchase of property, plant and equipment</w:t>
            </w:r>
          </w:p>
        </w:tc>
        <w:tc>
          <w:tcPr>
            <w:tcW w:w="1365" w:type="dxa"/>
            <w:tcBorders>
              <w:top w:val="nil"/>
              <w:left w:val="nil"/>
              <w:bottom w:val="single" w:sz="4" w:space="0" w:color="auto"/>
            </w:tcBorders>
            <w:vAlign w:val="bottom"/>
          </w:tcPr>
          <w:p w:rsidR="00A76913" w:rsidDel="003F6EA6" w:rsidRDefault="00A76913" w:rsidP="006B57F8">
            <w:pPr>
              <w:pStyle w:val="IASBTableArial"/>
              <w:jc w:val="right"/>
            </w:pPr>
            <w:r w:rsidDel="003F6EA6">
              <w:t>(500)</w:t>
            </w:r>
          </w:p>
        </w:tc>
        <w:tc>
          <w:tcPr>
            <w:tcW w:w="273" w:type="dxa"/>
            <w:tcBorders>
              <w:top w:val="nil"/>
              <w:left w:val="nil"/>
            </w:tcBorders>
            <w:vAlign w:val="bottom"/>
          </w:tcPr>
          <w:p w:rsidR="00A76913" w:rsidDel="003F6EA6" w:rsidRDefault="00A76913" w:rsidP="006B57F8">
            <w:pPr>
              <w:pStyle w:val="IASBTableArial"/>
            </w:pPr>
          </w:p>
        </w:tc>
        <w:tc>
          <w:tcPr>
            <w:tcW w:w="1365" w:type="dxa"/>
            <w:tcBorders>
              <w:top w:val="nil"/>
              <w:left w:val="nil"/>
            </w:tcBorders>
            <w:vAlign w:val="bottom"/>
          </w:tcPr>
          <w:p w:rsidR="00A76913" w:rsidDel="003F6EA6" w:rsidRDefault="00A76913" w:rsidP="006B57F8">
            <w:pPr>
              <w:pStyle w:val="IASBTableArial"/>
            </w:pPr>
          </w:p>
        </w:tc>
      </w:tr>
      <w:tr w:rsidR="00A76913" w:rsidDel="003F6EA6" w:rsidTr="006B57F8">
        <w:trPr>
          <w:cantSplit/>
        </w:trPr>
        <w:tc>
          <w:tcPr>
            <w:tcW w:w="5241" w:type="dxa"/>
            <w:tcBorders>
              <w:top w:val="nil"/>
            </w:tcBorders>
            <w:vAlign w:val="bottom"/>
          </w:tcPr>
          <w:p w:rsidR="00A76913" w:rsidDel="003F6EA6" w:rsidRDefault="00A76913" w:rsidP="006B57F8">
            <w:pPr>
              <w:pStyle w:val="IASBTableArial"/>
            </w:pPr>
            <w:r w:rsidDel="003F6EA6">
              <w:rPr>
                <w:i/>
              </w:rPr>
              <w:t>Net cash from investing activities</w:t>
            </w:r>
          </w:p>
        </w:tc>
        <w:tc>
          <w:tcPr>
            <w:tcW w:w="1365" w:type="dxa"/>
            <w:tcBorders>
              <w:top w:val="nil"/>
              <w:left w:val="nil"/>
            </w:tcBorders>
            <w:vAlign w:val="bottom"/>
          </w:tcPr>
          <w:p w:rsidR="00A76913" w:rsidDel="003F6EA6" w:rsidRDefault="00A76913" w:rsidP="006B57F8">
            <w:pPr>
              <w:pStyle w:val="IASBTableArial"/>
            </w:pPr>
          </w:p>
        </w:tc>
        <w:tc>
          <w:tcPr>
            <w:tcW w:w="273" w:type="dxa"/>
            <w:tcBorders>
              <w:top w:val="nil"/>
              <w:left w:val="nil"/>
            </w:tcBorders>
            <w:vAlign w:val="bottom"/>
          </w:tcPr>
          <w:p w:rsidR="00A76913" w:rsidDel="003F6EA6" w:rsidRDefault="00A76913" w:rsidP="006B57F8">
            <w:pPr>
              <w:pStyle w:val="IASBTableArial"/>
            </w:pPr>
          </w:p>
        </w:tc>
        <w:tc>
          <w:tcPr>
            <w:tcW w:w="1365" w:type="dxa"/>
            <w:tcBorders>
              <w:top w:val="nil"/>
              <w:left w:val="nil"/>
            </w:tcBorders>
            <w:vAlign w:val="bottom"/>
          </w:tcPr>
          <w:p w:rsidR="00A76913" w:rsidDel="003F6EA6" w:rsidRDefault="00A76913" w:rsidP="006B57F8">
            <w:pPr>
              <w:pStyle w:val="IASBTableArial"/>
              <w:jc w:val="right"/>
            </w:pPr>
            <w:r w:rsidDel="003F6EA6">
              <w:t>650</w:t>
            </w:r>
          </w:p>
        </w:tc>
      </w:tr>
      <w:tr w:rsidR="00A76913" w:rsidDel="003F6EA6" w:rsidTr="006B57F8">
        <w:trPr>
          <w:gridAfter w:val="1"/>
          <w:wAfter w:w="1365" w:type="dxa"/>
          <w:cantSplit/>
        </w:trPr>
        <w:tc>
          <w:tcPr>
            <w:tcW w:w="6879" w:type="dxa"/>
            <w:gridSpan w:val="3"/>
            <w:tcBorders>
              <w:top w:val="nil"/>
            </w:tcBorders>
            <w:vAlign w:val="bottom"/>
          </w:tcPr>
          <w:p w:rsidR="00A76913" w:rsidDel="003F6EA6" w:rsidRDefault="00A76913" w:rsidP="006B57F8">
            <w:pPr>
              <w:pStyle w:val="IASBTableArial"/>
            </w:pPr>
          </w:p>
        </w:tc>
      </w:tr>
      <w:tr w:rsidR="00A76913" w:rsidDel="003F6EA6" w:rsidTr="006B57F8">
        <w:trPr>
          <w:gridAfter w:val="1"/>
          <w:wAfter w:w="1365" w:type="dxa"/>
          <w:cantSplit/>
        </w:trPr>
        <w:tc>
          <w:tcPr>
            <w:tcW w:w="5241" w:type="dxa"/>
            <w:tcBorders>
              <w:top w:val="nil"/>
            </w:tcBorders>
            <w:vAlign w:val="bottom"/>
          </w:tcPr>
          <w:p w:rsidR="00A76913" w:rsidDel="003F6EA6" w:rsidRDefault="00A76913" w:rsidP="006B57F8">
            <w:pPr>
              <w:pStyle w:val="IASBTableTNR"/>
            </w:pPr>
            <w:r w:rsidDel="003F6EA6">
              <w:rPr>
                <w:b/>
              </w:rPr>
              <w:t>Cash flows from financing activities</w:t>
            </w:r>
          </w:p>
        </w:tc>
        <w:tc>
          <w:tcPr>
            <w:tcW w:w="1365" w:type="dxa"/>
            <w:tcBorders>
              <w:top w:val="nil"/>
              <w:left w:val="nil"/>
            </w:tcBorders>
            <w:vAlign w:val="bottom"/>
          </w:tcPr>
          <w:p w:rsidR="00A76913" w:rsidDel="003F6EA6" w:rsidRDefault="00A76913" w:rsidP="006B57F8">
            <w:pPr>
              <w:pStyle w:val="IASBTableArial"/>
            </w:pPr>
          </w:p>
        </w:tc>
        <w:tc>
          <w:tcPr>
            <w:tcW w:w="273" w:type="dxa"/>
            <w:tcBorders>
              <w:top w:val="nil"/>
              <w:left w:val="nil"/>
            </w:tcBorders>
            <w:vAlign w:val="bottom"/>
          </w:tcPr>
          <w:p w:rsidR="00A76913" w:rsidDel="003F6EA6" w:rsidRDefault="00A76913" w:rsidP="006B57F8">
            <w:pPr>
              <w:pStyle w:val="IASBTableArial"/>
            </w:pPr>
          </w:p>
        </w:tc>
      </w:tr>
      <w:tr w:rsidR="00A76913" w:rsidDel="003F6EA6" w:rsidTr="006B57F8">
        <w:trPr>
          <w:gridAfter w:val="1"/>
          <w:wAfter w:w="1365" w:type="dxa"/>
          <w:cantSplit/>
        </w:trPr>
        <w:tc>
          <w:tcPr>
            <w:tcW w:w="5241" w:type="dxa"/>
            <w:tcBorders>
              <w:top w:val="nil"/>
            </w:tcBorders>
            <w:vAlign w:val="bottom"/>
          </w:tcPr>
          <w:p w:rsidR="00A76913" w:rsidDel="003F6EA6" w:rsidRDefault="00A76913" w:rsidP="006B57F8">
            <w:pPr>
              <w:pStyle w:val="IASBTableTNR"/>
            </w:pPr>
            <w:r w:rsidDel="003F6EA6">
              <w:t>Issue of loan capital</w:t>
            </w:r>
          </w:p>
        </w:tc>
        <w:tc>
          <w:tcPr>
            <w:tcW w:w="1365" w:type="dxa"/>
            <w:tcBorders>
              <w:top w:val="nil"/>
              <w:left w:val="nil"/>
            </w:tcBorders>
            <w:vAlign w:val="bottom"/>
          </w:tcPr>
          <w:p w:rsidR="00A76913" w:rsidDel="003F6EA6" w:rsidRDefault="00A76913" w:rsidP="006B57F8">
            <w:pPr>
              <w:pStyle w:val="IASBTableArial"/>
              <w:jc w:val="right"/>
            </w:pPr>
            <w:r w:rsidDel="003F6EA6">
              <w:t>1,000</w:t>
            </w:r>
          </w:p>
        </w:tc>
        <w:tc>
          <w:tcPr>
            <w:tcW w:w="273" w:type="dxa"/>
            <w:tcBorders>
              <w:top w:val="nil"/>
              <w:left w:val="nil"/>
            </w:tcBorders>
            <w:vAlign w:val="bottom"/>
          </w:tcPr>
          <w:p w:rsidR="00A76913" w:rsidDel="003F6EA6" w:rsidRDefault="00A76913" w:rsidP="006B57F8">
            <w:pPr>
              <w:pStyle w:val="IASBTableArial"/>
            </w:pPr>
          </w:p>
        </w:tc>
      </w:tr>
      <w:tr w:rsidR="00A76913" w:rsidDel="003F6EA6" w:rsidTr="006B57F8">
        <w:trPr>
          <w:gridAfter w:val="1"/>
          <w:wAfter w:w="1365" w:type="dxa"/>
          <w:cantSplit/>
        </w:trPr>
        <w:tc>
          <w:tcPr>
            <w:tcW w:w="5241" w:type="dxa"/>
            <w:tcBorders>
              <w:top w:val="nil"/>
            </w:tcBorders>
            <w:vAlign w:val="bottom"/>
          </w:tcPr>
          <w:p w:rsidR="00A76913" w:rsidDel="003F6EA6" w:rsidRDefault="00A76913" w:rsidP="006B57F8">
            <w:pPr>
              <w:pStyle w:val="IASBTableTNR"/>
            </w:pPr>
            <w:r w:rsidDel="003F6EA6">
              <w:t>Issue of preference shares by subsidiary undertaking</w:t>
            </w:r>
          </w:p>
        </w:tc>
        <w:tc>
          <w:tcPr>
            <w:tcW w:w="1365" w:type="dxa"/>
            <w:tcBorders>
              <w:top w:val="nil"/>
              <w:left w:val="nil"/>
            </w:tcBorders>
            <w:vAlign w:val="bottom"/>
          </w:tcPr>
          <w:p w:rsidR="00A76913" w:rsidDel="003F6EA6" w:rsidRDefault="00A76913" w:rsidP="006B57F8">
            <w:pPr>
              <w:pStyle w:val="IASBTableArial"/>
              <w:jc w:val="right"/>
            </w:pPr>
            <w:r w:rsidDel="003F6EA6">
              <w:t>800</w:t>
            </w:r>
          </w:p>
        </w:tc>
        <w:tc>
          <w:tcPr>
            <w:tcW w:w="273" w:type="dxa"/>
            <w:tcBorders>
              <w:top w:val="nil"/>
              <w:left w:val="nil"/>
            </w:tcBorders>
            <w:vAlign w:val="bottom"/>
          </w:tcPr>
          <w:p w:rsidR="00A76913" w:rsidDel="003F6EA6" w:rsidRDefault="00A76913" w:rsidP="006B57F8">
            <w:pPr>
              <w:pStyle w:val="IASBTableArial"/>
            </w:pPr>
          </w:p>
        </w:tc>
      </w:tr>
      <w:tr w:rsidR="00A76913" w:rsidDel="003F6EA6" w:rsidTr="006B57F8">
        <w:trPr>
          <w:gridAfter w:val="1"/>
          <w:wAfter w:w="1365" w:type="dxa"/>
          <w:cantSplit/>
        </w:trPr>
        <w:tc>
          <w:tcPr>
            <w:tcW w:w="5241" w:type="dxa"/>
            <w:tcBorders>
              <w:top w:val="nil"/>
            </w:tcBorders>
            <w:vAlign w:val="bottom"/>
          </w:tcPr>
          <w:p w:rsidR="00A76913" w:rsidDel="003F6EA6" w:rsidRDefault="00A76913" w:rsidP="006B57F8">
            <w:pPr>
              <w:pStyle w:val="IASBTableTNR"/>
            </w:pPr>
            <w:r w:rsidDel="003F6EA6">
              <w:t>Repayment of long-term borrowings</w:t>
            </w:r>
          </w:p>
        </w:tc>
        <w:tc>
          <w:tcPr>
            <w:tcW w:w="1365" w:type="dxa"/>
            <w:tcBorders>
              <w:top w:val="nil"/>
              <w:left w:val="nil"/>
            </w:tcBorders>
            <w:vAlign w:val="bottom"/>
          </w:tcPr>
          <w:p w:rsidR="00A76913" w:rsidDel="003F6EA6" w:rsidRDefault="00A76913" w:rsidP="006B57F8">
            <w:pPr>
              <w:pStyle w:val="IASBTableArial"/>
              <w:jc w:val="right"/>
            </w:pPr>
            <w:r w:rsidDel="003F6EA6">
              <w:t>(200)</w:t>
            </w:r>
          </w:p>
        </w:tc>
        <w:tc>
          <w:tcPr>
            <w:tcW w:w="273" w:type="dxa"/>
            <w:tcBorders>
              <w:top w:val="nil"/>
              <w:left w:val="nil"/>
            </w:tcBorders>
            <w:vAlign w:val="bottom"/>
          </w:tcPr>
          <w:p w:rsidR="00A76913" w:rsidDel="003F6EA6" w:rsidRDefault="00A76913" w:rsidP="006B57F8">
            <w:pPr>
              <w:pStyle w:val="IASBTableArial"/>
            </w:pPr>
          </w:p>
        </w:tc>
      </w:tr>
      <w:tr w:rsidR="00A76913" w:rsidDel="003F6EA6" w:rsidTr="006B57F8">
        <w:trPr>
          <w:gridAfter w:val="1"/>
          <w:wAfter w:w="1365" w:type="dxa"/>
          <w:cantSplit/>
        </w:trPr>
        <w:tc>
          <w:tcPr>
            <w:tcW w:w="5241" w:type="dxa"/>
            <w:tcBorders>
              <w:top w:val="nil"/>
            </w:tcBorders>
            <w:vAlign w:val="bottom"/>
          </w:tcPr>
          <w:p w:rsidR="00A76913" w:rsidDel="003F6EA6" w:rsidRDefault="00A76913" w:rsidP="006B57F8">
            <w:pPr>
              <w:pStyle w:val="IASBTableTNR"/>
            </w:pPr>
            <w:r w:rsidDel="003F6EA6">
              <w:t>Net decrease in other borrowings</w:t>
            </w:r>
          </w:p>
        </w:tc>
        <w:tc>
          <w:tcPr>
            <w:tcW w:w="1365" w:type="dxa"/>
            <w:tcBorders>
              <w:top w:val="nil"/>
              <w:left w:val="nil"/>
            </w:tcBorders>
            <w:vAlign w:val="bottom"/>
          </w:tcPr>
          <w:p w:rsidR="00A76913" w:rsidDel="003F6EA6" w:rsidRDefault="00A76913" w:rsidP="006B57F8">
            <w:pPr>
              <w:pStyle w:val="IASBTableArial"/>
              <w:jc w:val="right"/>
            </w:pPr>
            <w:r w:rsidDel="003F6EA6">
              <w:t>(1,000)</w:t>
            </w:r>
          </w:p>
        </w:tc>
        <w:tc>
          <w:tcPr>
            <w:tcW w:w="273" w:type="dxa"/>
            <w:tcBorders>
              <w:top w:val="nil"/>
              <w:left w:val="nil"/>
            </w:tcBorders>
            <w:vAlign w:val="bottom"/>
          </w:tcPr>
          <w:p w:rsidR="00A76913" w:rsidDel="003F6EA6" w:rsidRDefault="00A76913" w:rsidP="006B57F8">
            <w:pPr>
              <w:pStyle w:val="IASBTableArial"/>
            </w:pPr>
          </w:p>
        </w:tc>
      </w:tr>
      <w:tr w:rsidR="00A76913" w:rsidDel="003F6EA6" w:rsidTr="006B57F8">
        <w:trPr>
          <w:gridAfter w:val="1"/>
          <w:wAfter w:w="1365" w:type="dxa"/>
          <w:cantSplit/>
        </w:trPr>
        <w:tc>
          <w:tcPr>
            <w:tcW w:w="5241" w:type="dxa"/>
            <w:tcBorders>
              <w:top w:val="nil"/>
            </w:tcBorders>
            <w:vAlign w:val="bottom"/>
          </w:tcPr>
          <w:p w:rsidR="00A76913" w:rsidDel="003F6EA6" w:rsidRDefault="00A76913" w:rsidP="006B57F8">
            <w:pPr>
              <w:pStyle w:val="IASBTableTNR"/>
            </w:pPr>
            <w:r w:rsidDel="003F6EA6">
              <w:t>Dividends paid</w:t>
            </w:r>
          </w:p>
        </w:tc>
        <w:tc>
          <w:tcPr>
            <w:tcW w:w="1365" w:type="dxa"/>
            <w:tcBorders>
              <w:top w:val="nil"/>
              <w:left w:val="nil"/>
              <w:bottom w:val="single" w:sz="4" w:space="0" w:color="auto"/>
            </w:tcBorders>
            <w:vAlign w:val="bottom"/>
          </w:tcPr>
          <w:p w:rsidR="00A76913" w:rsidDel="003F6EA6" w:rsidRDefault="00A76913" w:rsidP="006B57F8">
            <w:pPr>
              <w:pStyle w:val="IASBTableArial"/>
              <w:jc w:val="right"/>
            </w:pPr>
            <w:r w:rsidDel="003F6EA6">
              <w:t>(400)</w:t>
            </w:r>
          </w:p>
        </w:tc>
        <w:tc>
          <w:tcPr>
            <w:tcW w:w="273" w:type="dxa"/>
            <w:tcBorders>
              <w:top w:val="nil"/>
              <w:left w:val="nil"/>
            </w:tcBorders>
            <w:vAlign w:val="bottom"/>
          </w:tcPr>
          <w:p w:rsidR="00A76913" w:rsidDel="003F6EA6" w:rsidRDefault="00A76913" w:rsidP="006B57F8">
            <w:pPr>
              <w:pStyle w:val="IASBTableArial"/>
            </w:pPr>
          </w:p>
        </w:tc>
      </w:tr>
      <w:tr w:rsidR="00A76913" w:rsidDel="003F6EA6" w:rsidTr="006B57F8">
        <w:trPr>
          <w:cantSplit/>
        </w:trPr>
        <w:tc>
          <w:tcPr>
            <w:tcW w:w="5241" w:type="dxa"/>
            <w:tcBorders>
              <w:top w:val="nil"/>
            </w:tcBorders>
            <w:vAlign w:val="bottom"/>
          </w:tcPr>
          <w:p w:rsidR="00A76913" w:rsidDel="003F6EA6" w:rsidRDefault="00A76913" w:rsidP="006B57F8">
            <w:pPr>
              <w:pStyle w:val="IASBTableArial"/>
            </w:pPr>
            <w:r w:rsidDel="003F6EA6">
              <w:rPr>
                <w:i/>
              </w:rPr>
              <w:t>Net cash from financing activities</w:t>
            </w:r>
          </w:p>
        </w:tc>
        <w:tc>
          <w:tcPr>
            <w:tcW w:w="1365" w:type="dxa"/>
            <w:tcBorders>
              <w:top w:val="nil"/>
              <w:left w:val="nil"/>
            </w:tcBorders>
            <w:vAlign w:val="bottom"/>
          </w:tcPr>
          <w:p w:rsidR="00A76913" w:rsidDel="003F6EA6" w:rsidRDefault="00A76913" w:rsidP="006B57F8">
            <w:pPr>
              <w:pStyle w:val="IASBTableArial"/>
            </w:pPr>
          </w:p>
        </w:tc>
        <w:tc>
          <w:tcPr>
            <w:tcW w:w="273" w:type="dxa"/>
            <w:tcBorders>
              <w:top w:val="nil"/>
              <w:left w:val="nil"/>
            </w:tcBorders>
            <w:vAlign w:val="bottom"/>
          </w:tcPr>
          <w:p w:rsidR="00A76913" w:rsidDel="003F6EA6" w:rsidRDefault="00A76913" w:rsidP="006B57F8">
            <w:pPr>
              <w:pStyle w:val="IASBTableArial"/>
            </w:pPr>
          </w:p>
        </w:tc>
        <w:tc>
          <w:tcPr>
            <w:tcW w:w="1365" w:type="dxa"/>
            <w:tcBorders>
              <w:top w:val="nil"/>
              <w:left w:val="nil"/>
            </w:tcBorders>
            <w:vAlign w:val="bottom"/>
          </w:tcPr>
          <w:p w:rsidR="00A76913" w:rsidDel="003F6EA6" w:rsidRDefault="00A76913" w:rsidP="006B57F8">
            <w:pPr>
              <w:pStyle w:val="IASBTableArial"/>
              <w:jc w:val="right"/>
            </w:pPr>
            <w:r w:rsidDel="003F6EA6">
              <w:t>200</w:t>
            </w:r>
          </w:p>
        </w:tc>
      </w:tr>
      <w:tr w:rsidR="00A76913" w:rsidDel="003F6EA6" w:rsidTr="006B57F8">
        <w:trPr>
          <w:cantSplit/>
        </w:trPr>
        <w:tc>
          <w:tcPr>
            <w:tcW w:w="5241" w:type="dxa"/>
            <w:tcBorders>
              <w:top w:val="nil"/>
            </w:tcBorders>
            <w:vAlign w:val="bottom"/>
          </w:tcPr>
          <w:p w:rsidR="00A76913" w:rsidDel="003F6EA6" w:rsidRDefault="00A76913" w:rsidP="006B57F8">
            <w:pPr>
              <w:pStyle w:val="IASBTableTNR"/>
            </w:pPr>
            <w:r w:rsidDel="003F6EA6">
              <w:t>Effects of exchange rate changes on cash and cash equivalents</w:t>
            </w:r>
          </w:p>
        </w:tc>
        <w:tc>
          <w:tcPr>
            <w:tcW w:w="1365" w:type="dxa"/>
            <w:tcBorders>
              <w:top w:val="nil"/>
              <w:left w:val="nil"/>
            </w:tcBorders>
            <w:vAlign w:val="bottom"/>
          </w:tcPr>
          <w:p w:rsidR="00A76913" w:rsidDel="003F6EA6" w:rsidRDefault="00A76913" w:rsidP="006B57F8">
            <w:pPr>
              <w:pStyle w:val="IASBTableArial"/>
            </w:pPr>
          </w:p>
        </w:tc>
        <w:tc>
          <w:tcPr>
            <w:tcW w:w="273" w:type="dxa"/>
            <w:tcBorders>
              <w:top w:val="nil"/>
              <w:left w:val="nil"/>
            </w:tcBorders>
            <w:vAlign w:val="bottom"/>
          </w:tcPr>
          <w:p w:rsidR="00A76913" w:rsidDel="003F6EA6" w:rsidRDefault="00A76913" w:rsidP="006B57F8">
            <w:pPr>
              <w:pStyle w:val="IASBTableArial"/>
            </w:pPr>
          </w:p>
        </w:tc>
        <w:tc>
          <w:tcPr>
            <w:tcW w:w="1365" w:type="dxa"/>
            <w:tcBorders>
              <w:top w:val="nil"/>
              <w:left w:val="nil"/>
              <w:bottom w:val="single" w:sz="4" w:space="0" w:color="auto"/>
            </w:tcBorders>
            <w:vAlign w:val="bottom"/>
          </w:tcPr>
          <w:p w:rsidR="00A76913" w:rsidDel="003F6EA6" w:rsidRDefault="00A76913" w:rsidP="006B57F8">
            <w:pPr>
              <w:pStyle w:val="IASBTableArial"/>
              <w:jc w:val="right"/>
            </w:pPr>
            <w:r w:rsidDel="003F6EA6">
              <w:t>600</w:t>
            </w:r>
          </w:p>
        </w:tc>
      </w:tr>
      <w:tr w:rsidR="00A76913" w:rsidDel="003F6EA6" w:rsidTr="006B57F8">
        <w:trPr>
          <w:cantSplit/>
        </w:trPr>
        <w:tc>
          <w:tcPr>
            <w:tcW w:w="5241" w:type="dxa"/>
            <w:tcBorders>
              <w:top w:val="nil"/>
            </w:tcBorders>
            <w:vAlign w:val="bottom"/>
          </w:tcPr>
          <w:p w:rsidR="00A76913" w:rsidDel="003F6EA6" w:rsidRDefault="00A76913" w:rsidP="006B57F8">
            <w:pPr>
              <w:pStyle w:val="IASBTableArial"/>
            </w:pPr>
            <w:r w:rsidDel="003F6EA6">
              <w:rPr>
                <w:b/>
              </w:rPr>
              <w:t>Net increase in cash and cash equivalents</w:t>
            </w:r>
          </w:p>
        </w:tc>
        <w:tc>
          <w:tcPr>
            <w:tcW w:w="1365" w:type="dxa"/>
            <w:tcBorders>
              <w:top w:val="nil"/>
              <w:left w:val="nil"/>
            </w:tcBorders>
            <w:vAlign w:val="bottom"/>
          </w:tcPr>
          <w:p w:rsidR="00A76913" w:rsidDel="003F6EA6" w:rsidRDefault="00A76913" w:rsidP="006B57F8">
            <w:pPr>
              <w:pStyle w:val="IASBTableArial"/>
            </w:pPr>
          </w:p>
        </w:tc>
        <w:tc>
          <w:tcPr>
            <w:tcW w:w="273" w:type="dxa"/>
            <w:tcBorders>
              <w:top w:val="nil"/>
              <w:left w:val="nil"/>
            </w:tcBorders>
            <w:vAlign w:val="bottom"/>
          </w:tcPr>
          <w:p w:rsidR="00A76913" w:rsidDel="003F6EA6" w:rsidRDefault="00A76913" w:rsidP="006B57F8">
            <w:pPr>
              <w:pStyle w:val="IASBTableArial"/>
            </w:pPr>
          </w:p>
        </w:tc>
        <w:tc>
          <w:tcPr>
            <w:tcW w:w="1365" w:type="dxa"/>
            <w:tcBorders>
              <w:top w:val="nil"/>
              <w:left w:val="nil"/>
            </w:tcBorders>
            <w:vAlign w:val="bottom"/>
          </w:tcPr>
          <w:p w:rsidR="00A76913" w:rsidDel="003F6EA6" w:rsidRDefault="00A76913" w:rsidP="006B57F8">
            <w:pPr>
              <w:pStyle w:val="IASBTableArial"/>
              <w:jc w:val="right"/>
            </w:pPr>
            <w:r w:rsidDel="003F6EA6">
              <w:t>4,790</w:t>
            </w:r>
          </w:p>
        </w:tc>
      </w:tr>
      <w:tr w:rsidR="00A76913" w:rsidDel="003F6EA6" w:rsidTr="006B57F8">
        <w:trPr>
          <w:cantSplit/>
        </w:trPr>
        <w:tc>
          <w:tcPr>
            <w:tcW w:w="5241" w:type="dxa"/>
            <w:tcBorders>
              <w:top w:val="nil"/>
            </w:tcBorders>
            <w:vAlign w:val="bottom"/>
          </w:tcPr>
          <w:p w:rsidR="00A76913" w:rsidDel="003F6EA6" w:rsidRDefault="00A76913" w:rsidP="006B57F8">
            <w:pPr>
              <w:pStyle w:val="IASBTableArial"/>
            </w:pPr>
            <w:r w:rsidDel="003F6EA6">
              <w:rPr>
                <w:b/>
              </w:rPr>
              <w:t>Cash and cash equivalents at beginning of period</w:t>
            </w:r>
          </w:p>
        </w:tc>
        <w:tc>
          <w:tcPr>
            <w:tcW w:w="1365" w:type="dxa"/>
            <w:tcBorders>
              <w:top w:val="nil"/>
              <w:left w:val="nil"/>
            </w:tcBorders>
            <w:vAlign w:val="bottom"/>
          </w:tcPr>
          <w:p w:rsidR="00A76913" w:rsidDel="003F6EA6" w:rsidRDefault="00A76913" w:rsidP="006B57F8">
            <w:pPr>
              <w:pStyle w:val="IASBTableArial"/>
            </w:pPr>
          </w:p>
        </w:tc>
        <w:tc>
          <w:tcPr>
            <w:tcW w:w="273" w:type="dxa"/>
            <w:tcBorders>
              <w:top w:val="nil"/>
              <w:left w:val="nil"/>
            </w:tcBorders>
            <w:vAlign w:val="bottom"/>
          </w:tcPr>
          <w:p w:rsidR="00A76913" w:rsidDel="003F6EA6" w:rsidRDefault="00A76913" w:rsidP="006B57F8">
            <w:pPr>
              <w:pStyle w:val="IASBTableArial"/>
            </w:pPr>
          </w:p>
        </w:tc>
        <w:tc>
          <w:tcPr>
            <w:tcW w:w="1365" w:type="dxa"/>
            <w:tcBorders>
              <w:top w:val="nil"/>
              <w:left w:val="nil"/>
              <w:bottom w:val="single" w:sz="4" w:space="0" w:color="auto"/>
            </w:tcBorders>
            <w:vAlign w:val="bottom"/>
          </w:tcPr>
          <w:p w:rsidR="00A76913" w:rsidDel="003F6EA6" w:rsidRDefault="00A76913" w:rsidP="006B57F8">
            <w:pPr>
              <w:pStyle w:val="IASBTableArial"/>
              <w:jc w:val="right"/>
            </w:pPr>
            <w:r w:rsidDel="003F6EA6">
              <w:t>4,050</w:t>
            </w:r>
          </w:p>
        </w:tc>
      </w:tr>
      <w:tr w:rsidR="00A76913" w:rsidDel="003F6EA6" w:rsidTr="006B57F8">
        <w:trPr>
          <w:cantSplit/>
        </w:trPr>
        <w:tc>
          <w:tcPr>
            <w:tcW w:w="5241" w:type="dxa"/>
            <w:tcBorders>
              <w:top w:val="nil"/>
            </w:tcBorders>
            <w:vAlign w:val="bottom"/>
          </w:tcPr>
          <w:p w:rsidR="00A76913" w:rsidDel="003F6EA6" w:rsidRDefault="00A76913" w:rsidP="006B57F8">
            <w:pPr>
              <w:pStyle w:val="IASBTableArial"/>
            </w:pPr>
            <w:r w:rsidDel="003F6EA6">
              <w:rPr>
                <w:b/>
              </w:rPr>
              <w:t>Cash and cash equivalents at end of period</w:t>
            </w:r>
          </w:p>
        </w:tc>
        <w:tc>
          <w:tcPr>
            <w:tcW w:w="1365" w:type="dxa"/>
            <w:tcBorders>
              <w:top w:val="nil"/>
              <w:left w:val="nil"/>
            </w:tcBorders>
            <w:vAlign w:val="bottom"/>
          </w:tcPr>
          <w:p w:rsidR="00A76913" w:rsidDel="003F6EA6" w:rsidRDefault="00A76913" w:rsidP="006B57F8">
            <w:pPr>
              <w:pStyle w:val="IASBTableArial"/>
            </w:pPr>
          </w:p>
        </w:tc>
        <w:tc>
          <w:tcPr>
            <w:tcW w:w="273" w:type="dxa"/>
            <w:tcBorders>
              <w:top w:val="nil"/>
              <w:left w:val="nil"/>
            </w:tcBorders>
            <w:vAlign w:val="bottom"/>
          </w:tcPr>
          <w:p w:rsidR="00A76913" w:rsidDel="003F6EA6" w:rsidRDefault="00A76913" w:rsidP="006B57F8">
            <w:pPr>
              <w:pStyle w:val="IASBTableArial"/>
            </w:pPr>
          </w:p>
        </w:tc>
        <w:tc>
          <w:tcPr>
            <w:tcW w:w="1365" w:type="dxa"/>
            <w:tcBorders>
              <w:top w:val="nil"/>
              <w:left w:val="nil"/>
              <w:bottom w:val="double" w:sz="4" w:space="0" w:color="auto"/>
            </w:tcBorders>
            <w:vAlign w:val="bottom"/>
          </w:tcPr>
          <w:p w:rsidR="00A76913" w:rsidDel="003F6EA6" w:rsidRDefault="00A76913" w:rsidP="006B57F8">
            <w:pPr>
              <w:pStyle w:val="IASBTableArial"/>
              <w:jc w:val="right"/>
            </w:pPr>
            <w:r w:rsidDel="003F6EA6">
              <w:t>8,840</w:t>
            </w:r>
          </w:p>
        </w:tc>
      </w:tr>
    </w:tbl>
    <w:p w:rsidR="0084632F" w:rsidDel="003F6EA6" w:rsidRDefault="0084632F" w:rsidP="002C387D">
      <w:pPr>
        <w:pStyle w:val="IASBNormalnpara"/>
      </w:pPr>
    </w:p>
    <w:p w:rsidR="0084632F" w:rsidDel="003F6EA6" w:rsidRDefault="0084632F" w:rsidP="0084632F">
      <w:pPr>
        <w:sectPr w:rsidR="0084632F" w:rsidDel="003F6EA6" w:rsidSect="005B0D36">
          <w:headerReference w:type="even" r:id="rId28"/>
          <w:footerReference w:type="even" r:id="rId29"/>
          <w:footerReference w:type="default" r:id="rId30"/>
          <w:headerReference w:type="first" r:id="rId31"/>
          <w:footerReference w:type="first" r:id="rId32"/>
          <w:pgSz w:w="11907" w:h="16839"/>
          <w:pgMar w:top="1440" w:right="1440" w:bottom="1440" w:left="1440" w:header="720" w:footer="720" w:gutter="0"/>
          <w:cols w:space="708"/>
          <w:docGrid w:linePitch="360"/>
        </w:sectPr>
      </w:pPr>
    </w:p>
    <w:p w:rsidR="0084632F" w:rsidRDefault="0084632F" w:rsidP="00AA52E2">
      <w:pPr>
        <w:pStyle w:val="ConvSectionTitle"/>
      </w:pPr>
      <w:r>
        <w:lastRenderedPageBreak/>
        <w:t xml:space="preserve">Deleted </w:t>
      </w:r>
      <w:r>
        <w:fldChar w:fldCharType="begin" w:fldLock="1"/>
      </w:r>
      <w:r>
        <w:instrText xml:space="preserve"> REF IntnlType \* charformat</w:instrText>
      </w:r>
      <w:r>
        <w:fldChar w:fldCharType="separate"/>
      </w:r>
      <w:r w:rsidR="000369DC">
        <w:t>IAS</w:t>
      </w:r>
      <w:r>
        <w:fldChar w:fldCharType="end"/>
      </w:r>
      <w:r>
        <w:t xml:space="preserve"> </w:t>
      </w:r>
      <w:r>
        <w:fldChar w:fldCharType="begin" w:fldLock="1"/>
      </w:r>
      <w:r>
        <w:instrText xml:space="preserve"> REF IntnlNo \* charformat</w:instrText>
      </w:r>
      <w:r>
        <w:fldChar w:fldCharType="separate"/>
      </w:r>
      <w:r w:rsidR="000369DC">
        <w:t>7</w:t>
      </w:r>
      <w:r>
        <w:fldChar w:fldCharType="end"/>
      </w:r>
      <w:r w:rsidR="001C117C">
        <w:t xml:space="preserve"> t</w:t>
      </w:r>
      <w:r>
        <w:t>ext</w:t>
      </w:r>
    </w:p>
    <w:p w:rsidR="0084632F" w:rsidRDefault="0084632F" w:rsidP="00AA52E2">
      <w:pPr>
        <w:pStyle w:val="IASBNote"/>
      </w:pPr>
      <w:r>
        <w:t xml:space="preserve">Deleted </w:t>
      </w:r>
      <w:r>
        <w:fldChar w:fldCharType="begin" w:fldLock="1"/>
      </w:r>
      <w:r>
        <w:instrText xml:space="preserve"> REF IntnlType \* charformat</w:instrText>
      </w:r>
      <w:r>
        <w:fldChar w:fldCharType="separate"/>
      </w:r>
      <w:r w:rsidR="000369DC">
        <w:t>IAS</w:t>
      </w:r>
      <w:r>
        <w:fldChar w:fldCharType="end"/>
      </w:r>
      <w:r>
        <w:t xml:space="preserve"> </w:t>
      </w:r>
      <w:r>
        <w:fldChar w:fldCharType="begin" w:fldLock="1"/>
      </w:r>
      <w:r>
        <w:instrText xml:space="preserve"> REF IntnlNo \* charformat</w:instrText>
      </w:r>
      <w:r>
        <w:fldChar w:fldCharType="separate"/>
      </w:r>
      <w:r w:rsidR="000369DC">
        <w:t>7</w:t>
      </w:r>
      <w:r>
        <w:fldChar w:fldCharType="end"/>
      </w:r>
      <w:r>
        <w:t xml:space="preserve"> text is not part of </w:t>
      </w:r>
      <w:r>
        <w:fldChar w:fldCharType="begin" w:fldLock="1"/>
      </w:r>
      <w:r>
        <w:instrText xml:space="preserve"> REF DocTypeAbb \* charformat</w:instrText>
      </w:r>
      <w:r>
        <w:fldChar w:fldCharType="separate"/>
      </w:r>
      <w:r w:rsidR="000369DC">
        <w:t>AASB</w:t>
      </w:r>
      <w:r>
        <w:fldChar w:fldCharType="end"/>
      </w:r>
      <w:r>
        <w:t xml:space="preserve"> </w:t>
      </w:r>
      <w:r>
        <w:fldChar w:fldCharType="begin" w:fldLock="1"/>
      </w:r>
      <w:r>
        <w:instrText xml:space="preserve"> REF DocNo \* charformat</w:instrText>
      </w:r>
      <w:r>
        <w:fldChar w:fldCharType="separate"/>
      </w:r>
      <w:r w:rsidR="000369DC">
        <w:t>107</w:t>
      </w:r>
      <w:r>
        <w:fldChar w:fldCharType="end"/>
      </w:r>
      <w:r>
        <w:t>.</w:t>
      </w:r>
    </w:p>
    <w:p w:rsidR="0009365F" w:rsidRDefault="0009365F" w:rsidP="0009365F">
      <w:pPr>
        <w:pStyle w:val="IASBNormalnpara"/>
      </w:pPr>
      <w:r>
        <w:t>2</w:t>
      </w:r>
      <w:r>
        <w:tab/>
        <w:t xml:space="preserve">This Standard supersedes </w:t>
      </w:r>
      <w:r w:rsidR="00622B6D">
        <w:t xml:space="preserve">IAS 7 </w:t>
      </w:r>
      <w:r>
        <w:rPr>
          <w:i/>
        </w:rPr>
        <w:t>Statement of Changes in Financial Position</w:t>
      </w:r>
      <w:r>
        <w:t>, approved in July 1977.</w:t>
      </w:r>
    </w:p>
    <w:p w:rsidR="003F6EA6" w:rsidRDefault="003F6EA6" w:rsidP="00C36466">
      <w:pPr>
        <w:pStyle w:val="IASBNormalnpara"/>
      </w:pPr>
      <w:r>
        <w:t>3</w:t>
      </w:r>
      <w:r>
        <w:tab/>
      </w:r>
      <w:r w:rsidR="00C36466">
        <w:t>…</w:t>
      </w:r>
      <w:r w:rsidR="00C8539F">
        <w:t xml:space="preserve"> </w:t>
      </w:r>
      <w:r w:rsidR="00C36466">
        <w:t xml:space="preserve">Accordingly, this Standard requires all entities to present a statement of cash flows. </w:t>
      </w:r>
      <w:r w:rsidR="00A84F59">
        <w:br/>
      </w:r>
      <w:r w:rsidR="00C36466">
        <w:t>[</w:t>
      </w:r>
      <w:proofErr w:type="gramStart"/>
      <w:r w:rsidR="00C8539F">
        <w:t>the</w:t>
      </w:r>
      <w:proofErr w:type="gramEnd"/>
      <w:r w:rsidR="00C8539F">
        <w:t xml:space="preserve"> </w:t>
      </w:r>
      <w:r>
        <w:t>last sentence of the</w:t>
      </w:r>
      <w:r w:rsidR="00C36466">
        <w:t xml:space="preserve"> paragraph] </w:t>
      </w:r>
    </w:p>
    <w:p w:rsidR="0009365F" w:rsidRDefault="0009365F" w:rsidP="0009365F">
      <w:pPr>
        <w:pStyle w:val="IASBNormalnpara"/>
      </w:pPr>
      <w:r>
        <w:t>54</w:t>
      </w:r>
      <w:r>
        <w:tab/>
        <w:t>IAS 27 (as amended in 2008) amended paragraphs 39–42 and added paragraphs 42A and 42B. An entity shall apply those amendments for annual periods beginning on or after 1 July 2009. If an entity applies IAS</w:t>
      </w:r>
      <w:r w:rsidR="00C8539F">
        <w:t> </w:t>
      </w:r>
      <w:r>
        <w:t>27 (amended 2008) for an earlier period, the amendments shall be applied for that earlier period. The amendments shall be applied retrospectively.</w:t>
      </w:r>
    </w:p>
    <w:p w:rsidR="0009365F" w:rsidRDefault="0009365F" w:rsidP="0009365F">
      <w:pPr>
        <w:pStyle w:val="IASBNormalnpara"/>
      </w:pPr>
      <w:r>
        <w:t>55</w:t>
      </w:r>
      <w:r>
        <w:tab/>
        <w:t xml:space="preserve">Paragraph 14 was amended by </w:t>
      </w:r>
      <w:r>
        <w:rPr>
          <w:i/>
        </w:rPr>
        <w:t>Improvements to IFRSs</w:t>
      </w:r>
      <w:r>
        <w:t xml:space="preserve"> issued in May 2008. An entity shall apply that amendment for annual periods beginning on or after 1 January 2009. Earlier application is permitted. If an entity applies the amendment for an earlier period it shall disclose that fact and apply paragraph 68A of IAS</w:t>
      </w:r>
      <w:r w:rsidR="00C8539F">
        <w:t> </w:t>
      </w:r>
      <w:r>
        <w:t>16.</w:t>
      </w:r>
    </w:p>
    <w:p w:rsidR="0009365F" w:rsidRDefault="0009365F" w:rsidP="0009365F">
      <w:pPr>
        <w:pStyle w:val="IASBNormalnpara"/>
      </w:pPr>
      <w:r>
        <w:t>56</w:t>
      </w:r>
      <w:r>
        <w:tab/>
        <w:t xml:space="preserve">Paragraph 16 was amended by </w:t>
      </w:r>
      <w:r>
        <w:rPr>
          <w:i/>
        </w:rPr>
        <w:t>Improvements to IFRSs</w:t>
      </w:r>
      <w:r>
        <w:t xml:space="preserve"> issued in April 2009. An entity shall apply that amendment for annual periods beginning on or after 1 January 2010. Earlier application is permitted. If an entity applies the amendment for an earlier period it shall disclose that fact.</w:t>
      </w:r>
    </w:p>
    <w:p w:rsidR="0009365F" w:rsidRDefault="0009365F" w:rsidP="0009365F">
      <w:pPr>
        <w:pStyle w:val="IASBNormalnpara"/>
      </w:pPr>
      <w:r>
        <w:t>57</w:t>
      </w:r>
      <w:r>
        <w:tab/>
        <w:t xml:space="preserve">IFRS 10 and IFRS 11 </w:t>
      </w:r>
      <w:r>
        <w:rPr>
          <w:i/>
        </w:rPr>
        <w:t>Joint Arrangements</w:t>
      </w:r>
      <w:r>
        <w:t>, issued in May 2011, amended paragraphs 37, 38 and 42B and deleted paragraph 50(b). An entity shall apply those amendments when it applies IFRS 10 and IFRS 11.</w:t>
      </w:r>
    </w:p>
    <w:p w:rsidR="0084632F" w:rsidRDefault="00622B6D" w:rsidP="0013764C">
      <w:pPr>
        <w:pStyle w:val="IASBNormalnpara"/>
      </w:pPr>
      <w:r>
        <w:t>58</w:t>
      </w:r>
      <w:r>
        <w:tab/>
      </w:r>
      <w:r w:rsidRPr="00622B6D">
        <w:rPr>
          <w:i/>
        </w:rPr>
        <w:t xml:space="preserve">Investment Entities </w:t>
      </w:r>
      <w:r w:rsidRPr="00622B6D">
        <w:t xml:space="preserve">(Amendments to IFRS 10, IFRS 12 and IAS 27), issued in October 2012, amended paragraphs 42A and 42B and added paragraph 40A. An entity shall apply those amendments for annual periods beginning on or after 1 January 2014. Earlier application of </w:t>
      </w:r>
      <w:r w:rsidRPr="00622B6D">
        <w:rPr>
          <w:i/>
        </w:rPr>
        <w:t>Investment Entities</w:t>
      </w:r>
      <w:r w:rsidRPr="00622B6D">
        <w:t xml:space="preserve"> is permitted. If an entity applies those amendments earlier it shall also apply all amendments included in </w:t>
      </w:r>
      <w:r w:rsidRPr="00622B6D">
        <w:rPr>
          <w:i/>
        </w:rPr>
        <w:t>Investment Entities</w:t>
      </w:r>
      <w:r w:rsidRPr="00622B6D">
        <w:t xml:space="preserve"> at the same tim</w:t>
      </w:r>
      <w:r>
        <w:t>e.</w:t>
      </w:r>
    </w:p>
    <w:p w:rsidR="00622B6D" w:rsidRDefault="00622B6D" w:rsidP="0013764C">
      <w:pPr>
        <w:pStyle w:val="IASBNormalnpara"/>
      </w:pPr>
    </w:p>
    <w:sectPr w:rsidR="00622B6D" w:rsidSect="00AA52E2">
      <w:headerReference w:type="default" r:id="rId33"/>
      <w:footerReference w:type="default" r:id="rId34"/>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207" w:rsidRDefault="000B3207">
      <w:r>
        <w:separator/>
      </w:r>
    </w:p>
  </w:endnote>
  <w:endnote w:type="continuationSeparator" w:id="0">
    <w:p w:rsidR="000B3207" w:rsidRDefault="000B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Default="000B320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Default="000B3207" w:rsidP="00AA52E2">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0369D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0369DC">
      <w:rPr>
        <w:b/>
      </w:rPr>
      <w:t>107</w:t>
    </w:r>
    <w:r w:rsidRPr="00705552">
      <w:rPr>
        <w:b/>
      </w:rPr>
      <w:fldChar w:fldCharType="end"/>
    </w:r>
    <w:r>
      <w:tab/>
    </w:r>
    <w:r>
      <w:fldChar w:fldCharType="begin"/>
    </w:r>
    <w:r>
      <w:instrText xml:space="preserve"> page </w:instrText>
    </w:r>
    <w:r>
      <w:fldChar w:fldCharType="separate"/>
    </w:r>
    <w:r w:rsidR="0053141D">
      <w:rPr>
        <w:noProof/>
      </w:rPr>
      <w:t>13</w:t>
    </w:r>
    <w:r>
      <w:fldChar w:fldCharType="end"/>
    </w:r>
    <w:r>
      <w:tab/>
    </w:r>
    <w:r>
      <w:rPr>
        <w:b/>
      </w:rPr>
      <w:t>APPENDIX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Pr="0084632F" w:rsidRDefault="000B3207" w:rsidP="0084632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Pr="0084632F" w:rsidRDefault="000B3207" w:rsidP="0084632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Pr="0084632F" w:rsidRDefault="000B3207" w:rsidP="0084632F">
    <w:pPr>
      <w:pStyle w:val="Footer"/>
      <w:rPr>
        <w:b/>
      </w:rPr>
    </w:pPr>
    <w:r>
      <w:rPr>
        <w:b/>
      </w:rPr>
      <w:fldChar w:fldCharType="begin" w:fldLock="1"/>
    </w:r>
    <w:r>
      <w:rPr>
        <w:b/>
      </w:rPr>
      <w:instrText xml:space="preserve"> REF DocTypeAbb \* charformat </w:instrText>
    </w:r>
    <w:r>
      <w:rPr>
        <w:b/>
      </w:rPr>
      <w:fldChar w:fldCharType="separate"/>
    </w:r>
    <w:r w:rsidRPr="000369DC">
      <w:rPr>
        <w:b/>
      </w:rPr>
      <w:t>AASB</w:t>
    </w:r>
    <w:r>
      <w:rPr>
        <w:b/>
      </w:rPr>
      <w:fldChar w:fldCharType="end"/>
    </w:r>
    <w:r w:rsidRPr="0084632F">
      <w:rPr>
        <w:b/>
      </w:rPr>
      <w:t xml:space="preserve"> </w:t>
    </w:r>
    <w:r>
      <w:rPr>
        <w:b/>
      </w:rPr>
      <w:fldChar w:fldCharType="begin" w:fldLock="1"/>
    </w:r>
    <w:r>
      <w:rPr>
        <w:b/>
      </w:rPr>
      <w:instrText xml:space="preserve"> REF DocNo \* charformat </w:instrText>
    </w:r>
    <w:r>
      <w:rPr>
        <w:b/>
      </w:rPr>
      <w:fldChar w:fldCharType="separate"/>
    </w:r>
    <w:r w:rsidRPr="000369DC">
      <w:rPr>
        <w:b/>
      </w:rPr>
      <w:t>107</w:t>
    </w:r>
    <w:r>
      <w:rPr>
        <w:b/>
      </w:rPr>
      <w:fldChar w:fldCharType="end"/>
    </w:r>
    <w:r w:rsidRPr="0084632F">
      <w:rPr>
        <w:b/>
      </w:rPr>
      <w:tab/>
    </w:r>
    <w:r>
      <w:fldChar w:fldCharType="begin"/>
    </w:r>
    <w:r>
      <w:instrText xml:space="preserve"> PAGE </w:instrText>
    </w:r>
    <w:r>
      <w:fldChar w:fldCharType="separate"/>
    </w:r>
    <w:r w:rsidR="0053141D">
      <w:rPr>
        <w:noProof/>
      </w:rPr>
      <w:t>14</w:t>
    </w:r>
    <w:r>
      <w:fldChar w:fldCharType="end"/>
    </w:r>
    <w:r w:rsidRPr="0084632F">
      <w:rPr>
        <w:b/>
      </w:rPr>
      <w:tab/>
    </w:r>
    <w:r>
      <w:rPr>
        <w:b/>
      </w:rPr>
      <w:t>EXAMPLES</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Pr="0084632F" w:rsidRDefault="000B3207" w:rsidP="0084632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Default="000B3207" w:rsidP="00AA52E2">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0369D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0369DC">
      <w:rPr>
        <w:b/>
      </w:rPr>
      <w:t>107</w:t>
    </w:r>
    <w:r w:rsidRPr="00705552">
      <w:rPr>
        <w:b/>
      </w:rPr>
      <w:fldChar w:fldCharType="end"/>
    </w:r>
    <w:r>
      <w:tab/>
    </w:r>
    <w:r>
      <w:fldChar w:fldCharType="begin"/>
    </w:r>
    <w:r>
      <w:instrText xml:space="preserve"> page </w:instrText>
    </w:r>
    <w:r>
      <w:fldChar w:fldCharType="separate"/>
    </w:r>
    <w:r w:rsidR="0053141D">
      <w:rPr>
        <w:noProof/>
      </w:rPr>
      <w:t>21</w:t>
    </w:r>
    <w:r>
      <w:fldChar w:fldCharType="end"/>
    </w:r>
    <w:r>
      <w:tab/>
    </w:r>
    <w:r>
      <w:rPr>
        <w:b/>
      </w:rPr>
      <w:t>DELETED IAS 7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Default="000B3207">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0369D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0369DC">
      <w:rPr>
        <w:b/>
      </w:rPr>
      <w:t>107</w:t>
    </w:r>
    <w:r w:rsidRPr="00705552">
      <w:rPr>
        <w:b/>
      </w:rPr>
      <w:fldChar w:fldCharType="end"/>
    </w:r>
    <w:r>
      <w:tab/>
    </w:r>
    <w:r>
      <w:fldChar w:fldCharType="begin"/>
    </w:r>
    <w:r>
      <w:instrText xml:space="preserve"> page </w:instrText>
    </w:r>
    <w:r>
      <w:fldChar w:fldCharType="separate"/>
    </w:r>
    <w:r w:rsidR="0053141D">
      <w:rPr>
        <w:noProof/>
      </w:rPr>
      <w:t>2</w:t>
    </w:r>
    <w:r>
      <w:fldChar w:fldCharType="end"/>
    </w:r>
    <w:r>
      <w:tab/>
    </w:r>
    <w:r w:rsidRPr="00705552">
      <w:rPr>
        <w:b/>
      </w:rPr>
      <w:t>COPYRIGHT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Default="000B32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Pr="00705552" w:rsidRDefault="000B3207" w:rsidP="00AA52E2">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0369D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0369DC">
      <w:rPr>
        <w:b/>
      </w:rPr>
      <w:t>107</w:t>
    </w:r>
    <w:r w:rsidRPr="00705552">
      <w:rPr>
        <w:b/>
      </w:rPr>
      <w:fldChar w:fldCharType="end"/>
    </w:r>
    <w:r>
      <w:tab/>
    </w:r>
    <w:r>
      <w:fldChar w:fldCharType="begin"/>
    </w:r>
    <w:r>
      <w:instrText xml:space="preserve"> page </w:instrText>
    </w:r>
    <w:r>
      <w:fldChar w:fldCharType="separate"/>
    </w:r>
    <w:r w:rsidR="0053141D">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Default="000B320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Default="000B3207" w:rsidP="00AA52E2">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0369DC">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0369DC">
      <w:rPr>
        <w:b/>
      </w:rPr>
      <w:t>107</w:t>
    </w:r>
    <w:r w:rsidRPr="00705552">
      <w:rPr>
        <w:b/>
      </w:rPr>
      <w:fldChar w:fldCharType="end"/>
    </w:r>
    <w:r>
      <w:tab/>
    </w:r>
    <w:r>
      <w:fldChar w:fldCharType="begin"/>
    </w:r>
    <w:r>
      <w:instrText xml:space="preserve"> page </w:instrText>
    </w:r>
    <w:r>
      <w:fldChar w:fldCharType="separate"/>
    </w:r>
    <w:r w:rsidR="0053141D">
      <w:rPr>
        <w:noProof/>
      </w:rPr>
      <w:t>4</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Pr="0084632F" w:rsidRDefault="000B3207" w:rsidP="0084632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Pr="0084632F" w:rsidRDefault="000B3207" w:rsidP="0084632F">
    <w:pPr>
      <w:pStyle w:val="Footer"/>
      <w:rPr>
        <w:b/>
      </w:rPr>
    </w:pPr>
    <w:r>
      <w:rPr>
        <w:b/>
      </w:rPr>
      <w:fldChar w:fldCharType="begin" w:fldLock="1"/>
    </w:r>
    <w:r>
      <w:rPr>
        <w:b/>
      </w:rPr>
      <w:instrText xml:space="preserve"> REF DocTypeAbb \* charformat </w:instrText>
    </w:r>
    <w:r>
      <w:rPr>
        <w:b/>
      </w:rPr>
      <w:fldChar w:fldCharType="separate"/>
    </w:r>
    <w:r w:rsidRPr="000369DC">
      <w:rPr>
        <w:b/>
      </w:rPr>
      <w:t>AASB</w:t>
    </w:r>
    <w:r>
      <w:rPr>
        <w:b/>
      </w:rPr>
      <w:fldChar w:fldCharType="end"/>
    </w:r>
    <w:r w:rsidRPr="0084632F">
      <w:rPr>
        <w:b/>
      </w:rPr>
      <w:t xml:space="preserve"> </w:t>
    </w:r>
    <w:r>
      <w:rPr>
        <w:b/>
      </w:rPr>
      <w:fldChar w:fldCharType="begin" w:fldLock="1"/>
    </w:r>
    <w:r>
      <w:rPr>
        <w:b/>
      </w:rPr>
      <w:instrText xml:space="preserve"> REF DocNo \* charformat </w:instrText>
    </w:r>
    <w:r>
      <w:rPr>
        <w:b/>
      </w:rPr>
      <w:fldChar w:fldCharType="separate"/>
    </w:r>
    <w:r w:rsidRPr="000369DC">
      <w:rPr>
        <w:b/>
      </w:rPr>
      <w:t>107</w:t>
    </w:r>
    <w:r>
      <w:rPr>
        <w:b/>
      </w:rPr>
      <w:fldChar w:fldCharType="end"/>
    </w:r>
    <w:r w:rsidRPr="0084632F">
      <w:rPr>
        <w:b/>
      </w:rPr>
      <w:tab/>
    </w:r>
    <w:r>
      <w:fldChar w:fldCharType="begin"/>
    </w:r>
    <w:r>
      <w:instrText xml:space="preserve"> PAGE </w:instrText>
    </w:r>
    <w:r>
      <w:fldChar w:fldCharType="separate"/>
    </w:r>
    <w:r w:rsidR="0053141D">
      <w:rPr>
        <w:noProof/>
      </w:rPr>
      <w:t>12</w:t>
    </w:r>
    <w:r>
      <w:fldChar w:fldCharType="end"/>
    </w:r>
    <w:r w:rsidRPr="0084632F">
      <w:rPr>
        <w:b/>
      </w:rPr>
      <w:tab/>
    </w:r>
    <w:r>
      <w:rPr>
        <w:b/>
      </w:rPr>
      <w:t>STANDARD</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Pr="0084632F" w:rsidRDefault="000B3207" w:rsidP="00846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207" w:rsidRDefault="000B3207">
      <w:r>
        <w:separator/>
      </w:r>
    </w:p>
  </w:footnote>
  <w:footnote w:type="continuationSeparator" w:id="0">
    <w:p w:rsidR="000B3207" w:rsidRDefault="000B3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Default="000B3207">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Pr="0084632F" w:rsidRDefault="000B3207" w:rsidP="0084632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Pr="0065191B" w:rsidRDefault="000B3207" w:rsidP="006519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Default="000B32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Default="000B32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Default="000B320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Default="000B32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Pr="0084632F" w:rsidRDefault="000B3207" w:rsidP="0084632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Pr="0084632F" w:rsidRDefault="000B3207" w:rsidP="0084632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Pr="0084632F" w:rsidRDefault="000B3207" w:rsidP="0084632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07" w:rsidRPr="0084632F" w:rsidRDefault="000B3207" w:rsidP="008463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21D"/>
    <w:rsid w:val="00020F7B"/>
    <w:rsid w:val="000369DC"/>
    <w:rsid w:val="00074ECF"/>
    <w:rsid w:val="0009365F"/>
    <w:rsid w:val="000A5E79"/>
    <w:rsid w:val="000B3207"/>
    <w:rsid w:val="000B4EC8"/>
    <w:rsid w:val="0013764C"/>
    <w:rsid w:val="00144D9D"/>
    <w:rsid w:val="0017489F"/>
    <w:rsid w:val="0017762A"/>
    <w:rsid w:val="001C117C"/>
    <w:rsid w:val="001E600B"/>
    <w:rsid w:val="00203599"/>
    <w:rsid w:val="00225403"/>
    <w:rsid w:val="002433FA"/>
    <w:rsid w:val="0027513D"/>
    <w:rsid w:val="002C387D"/>
    <w:rsid w:val="003235CE"/>
    <w:rsid w:val="00381206"/>
    <w:rsid w:val="003A31FE"/>
    <w:rsid w:val="003B5FC5"/>
    <w:rsid w:val="003B7F0B"/>
    <w:rsid w:val="003F6EA6"/>
    <w:rsid w:val="004332D2"/>
    <w:rsid w:val="0043754B"/>
    <w:rsid w:val="004E6FD5"/>
    <w:rsid w:val="004E7AD7"/>
    <w:rsid w:val="0053141D"/>
    <w:rsid w:val="00545543"/>
    <w:rsid w:val="005457DD"/>
    <w:rsid w:val="005A65A9"/>
    <w:rsid w:val="005B0D36"/>
    <w:rsid w:val="005B5D80"/>
    <w:rsid w:val="005F7281"/>
    <w:rsid w:val="006056C3"/>
    <w:rsid w:val="00622B6D"/>
    <w:rsid w:val="006425B9"/>
    <w:rsid w:val="0065191B"/>
    <w:rsid w:val="00655B7F"/>
    <w:rsid w:val="0069046E"/>
    <w:rsid w:val="006B57F8"/>
    <w:rsid w:val="007067FD"/>
    <w:rsid w:val="00716EC9"/>
    <w:rsid w:val="0072330A"/>
    <w:rsid w:val="00736422"/>
    <w:rsid w:val="007A57E8"/>
    <w:rsid w:val="007F0969"/>
    <w:rsid w:val="0084632F"/>
    <w:rsid w:val="008655AE"/>
    <w:rsid w:val="0088663A"/>
    <w:rsid w:val="008A6F0E"/>
    <w:rsid w:val="00905DB7"/>
    <w:rsid w:val="009A1455"/>
    <w:rsid w:val="009A51CC"/>
    <w:rsid w:val="009C769F"/>
    <w:rsid w:val="009F7484"/>
    <w:rsid w:val="00A5609E"/>
    <w:rsid w:val="00A76913"/>
    <w:rsid w:val="00A83375"/>
    <w:rsid w:val="00A84F59"/>
    <w:rsid w:val="00AA52E2"/>
    <w:rsid w:val="00AC1340"/>
    <w:rsid w:val="00AD5774"/>
    <w:rsid w:val="00AF3614"/>
    <w:rsid w:val="00B238A6"/>
    <w:rsid w:val="00B31D03"/>
    <w:rsid w:val="00B51C72"/>
    <w:rsid w:val="00B75B37"/>
    <w:rsid w:val="00BA4AF4"/>
    <w:rsid w:val="00BB0280"/>
    <w:rsid w:val="00BE0731"/>
    <w:rsid w:val="00C00A75"/>
    <w:rsid w:val="00C077D7"/>
    <w:rsid w:val="00C36466"/>
    <w:rsid w:val="00C8539F"/>
    <w:rsid w:val="00D606D6"/>
    <w:rsid w:val="00D73C61"/>
    <w:rsid w:val="00DD2330"/>
    <w:rsid w:val="00E013ED"/>
    <w:rsid w:val="00E23D69"/>
    <w:rsid w:val="00E5421D"/>
    <w:rsid w:val="00E54619"/>
    <w:rsid w:val="00E57FF1"/>
    <w:rsid w:val="00E9668F"/>
    <w:rsid w:val="00ED410C"/>
    <w:rsid w:val="00F0683A"/>
    <w:rsid w:val="00F845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annotation reference"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4E6FD5"/>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4E6FD5"/>
    <w:pPr>
      <w:tabs>
        <w:tab w:val="left" w:pos="4253"/>
      </w:tabs>
      <w:spacing w:before="100" w:after="100"/>
      <w:jc w:val="both"/>
    </w:pPr>
    <w:rPr>
      <w:sz w:val="19"/>
      <w:lang w:eastAsia="en-US"/>
    </w:rPr>
  </w:style>
  <w:style w:type="paragraph" w:customStyle="1" w:styleId="IASBNormalnpara">
    <w:name w:val="IASB Normal npara"/>
    <w:basedOn w:val="IASBNormal"/>
    <w:uiPriority w:val="8"/>
    <w:rsid w:val="004E6FD5"/>
    <w:pPr>
      <w:tabs>
        <w:tab w:val="clear" w:pos="4253"/>
      </w:tabs>
      <w:spacing w:after="0"/>
      <w:ind w:left="782" w:hanging="782"/>
    </w:pPr>
  </w:style>
  <w:style w:type="paragraph" w:customStyle="1" w:styleId="IASBSectionTitle1Ind">
    <w:name w:val="IASB Section Title 1 Ind"/>
    <w:basedOn w:val="Normal"/>
    <w:uiPriority w:val="8"/>
    <w:rsid w:val="004E6FD5"/>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4E6FD5"/>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4E6FD5"/>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4E6FD5"/>
    <w:pPr>
      <w:spacing w:before="240"/>
      <w:ind w:left="782"/>
    </w:pPr>
  </w:style>
  <w:style w:type="paragraph" w:customStyle="1" w:styleId="IASBSectionTitle3NonInd">
    <w:name w:val="IASB Section Title 3 NonInd"/>
    <w:basedOn w:val="Normal"/>
    <w:uiPriority w:val="8"/>
    <w:rsid w:val="004E6FD5"/>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4E6FD5"/>
    <w:pPr>
      <w:spacing w:before="240"/>
      <w:ind w:left="782"/>
    </w:pPr>
  </w:style>
  <w:style w:type="paragraph" w:customStyle="1" w:styleId="IASBSectionTitle4NonInd">
    <w:name w:val="IASB Section Title 4 NonInd"/>
    <w:basedOn w:val="Normal"/>
    <w:uiPriority w:val="8"/>
    <w:rsid w:val="004E6FD5"/>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4E6FD5"/>
    <w:pPr>
      <w:ind w:left="782"/>
    </w:pPr>
  </w:style>
  <w:style w:type="paragraph" w:customStyle="1" w:styleId="IASBSectionTitle5NonInd">
    <w:name w:val="IASB Section Title 5 NonInd"/>
    <w:basedOn w:val="Normal"/>
    <w:uiPriority w:val="8"/>
    <w:rsid w:val="004E6FD5"/>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4E6FD5"/>
    <w:pPr>
      <w:ind w:left="782"/>
    </w:pPr>
  </w:style>
  <w:style w:type="paragraph" w:customStyle="1" w:styleId="IASBSectionTitle6NonInd">
    <w:name w:val="IASB Section Title 6 NonInd"/>
    <w:basedOn w:val="IASBSectionTitle5NonInd"/>
    <w:uiPriority w:val="8"/>
    <w:rsid w:val="004E6FD5"/>
    <w:pPr>
      <w:outlineLvl w:val="5"/>
    </w:pPr>
    <w:rPr>
      <w:b w:val="0"/>
      <w:i/>
    </w:rPr>
  </w:style>
  <w:style w:type="paragraph" w:customStyle="1" w:styleId="IASBSectionTitle6Ind">
    <w:name w:val="IASB Section Title 6 Ind"/>
    <w:basedOn w:val="IASBSectionTitle6NonInd"/>
    <w:uiPriority w:val="8"/>
    <w:rsid w:val="004E6FD5"/>
    <w:pPr>
      <w:ind w:left="782"/>
    </w:pPr>
  </w:style>
  <w:style w:type="paragraph" w:customStyle="1" w:styleId="IASBTitle">
    <w:name w:val="IASB Title"/>
    <w:uiPriority w:val="8"/>
    <w:rsid w:val="004E6FD5"/>
    <w:pPr>
      <w:keepNext/>
      <w:keepLines/>
      <w:spacing w:before="300" w:after="400"/>
    </w:pPr>
    <w:rPr>
      <w:rFonts w:cs="Arial"/>
      <w:sz w:val="36"/>
      <w:lang w:eastAsia="en-US"/>
    </w:rPr>
  </w:style>
  <w:style w:type="paragraph" w:customStyle="1" w:styleId="IASBNormalnparaL1">
    <w:name w:val="IASB Normal nparaL1"/>
    <w:basedOn w:val="IASBNormalnpara"/>
    <w:uiPriority w:val="8"/>
    <w:rsid w:val="004E6FD5"/>
    <w:pPr>
      <w:ind w:left="1564"/>
    </w:pPr>
  </w:style>
  <w:style w:type="paragraph" w:customStyle="1" w:styleId="IASBNormalnparaP">
    <w:name w:val="IASB Normal nparaP"/>
    <w:basedOn w:val="IASBNormal"/>
    <w:uiPriority w:val="8"/>
    <w:rsid w:val="004E6FD5"/>
    <w:pPr>
      <w:ind w:left="782"/>
    </w:pPr>
  </w:style>
  <w:style w:type="paragraph" w:customStyle="1" w:styleId="IASBIdentifier">
    <w:name w:val="IASB Identifier"/>
    <w:basedOn w:val="IASBTitle"/>
    <w:uiPriority w:val="8"/>
    <w:rsid w:val="004E6FD5"/>
    <w:pPr>
      <w:spacing w:after="200"/>
    </w:pPr>
    <w:rPr>
      <w:rFonts w:ascii="Arial" w:hAnsi="Arial"/>
      <w:b/>
      <w:sz w:val="23"/>
    </w:rPr>
  </w:style>
  <w:style w:type="paragraph" w:customStyle="1" w:styleId="IASBTOCPrimary">
    <w:name w:val="IASB TOC Primary"/>
    <w:basedOn w:val="Normal"/>
    <w:uiPriority w:val="8"/>
    <w:rsid w:val="004E6FD5"/>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4E6FD5"/>
    <w:pPr>
      <w:spacing w:before="30" w:after="30"/>
    </w:pPr>
    <w:rPr>
      <w:rFonts w:ascii="Arial" w:hAnsi="Arial" w:cs="Arial"/>
      <w:i/>
      <w:sz w:val="18"/>
      <w:szCs w:val="20"/>
    </w:rPr>
  </w:style>
  <w:style w:type="paragraph" w:customStyle="1" w:styleId="IASBTOCSecondary">
    <w:name w:val="IASB TOC Secondary"/>
    <w:basedOn w:val="Normal"/>
    <w:uiPriority w:val="8"/>
    <w:rsid w:val="004E6FD5"/>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4E6FD5"/>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4E6FD5"/>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4E6FD5"/>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4E6FD5"/>
    <w:rPr>
      <w:i/>
    </w:rPr>
  </w:style>
  <w:style w:type="paragraph" w:customStyle="1" w:styleId="IASBBlockquote">
    <w:name w:val="IASB Blockquote"/>
    <w:basedOn w:val="IASBNormal"/>
    <w:uiPriority w:val="8"/>
    <w:rsid w:val="004E6FD5"/>
    <w:pPr>
      <w:ind w:left="1565"/>
    </w:pPr>
    <w:rPr>
      <w:sz w:val="16"/>
    </w:rPr>
  </w:style>
  <w:style w:type="character" w:customStyle="1" w:styleId="IASBEduinsert">
    <w:name w:val="IASB Edu insert"/>
    <w:uiPriority w:val="8"/>
    <w:qFormat/>
    <w:rsid w:val="004E6FD5"/>
  </w:style>
  <w:style w:type="character" w:styleId="FootnoteReference">
    <w:name w:val="footnote reference"/>
    <w:uiPriority w:val="99"/>
    <w:semiHidden/>
    <w:unhideWhenUsed/>
    <w:rsid w:val="004E6FD5"/>
    <w:rPr>
      <w:vertAlign w:val="superscript"/>
    </w:rPr>
  </w:style>
  <w:style w:type="paragraph" w:styleId="FootnoteText">
    <w:name w:val="footnote text"/>
    <w:basedOn w:val="IASBSectionTitle2Ind"/>
    <w:next w:val="IASBBlockquote"/>
    <w:link w:val="FootnoteTextChar"/>
    <w:uiPriority w:val="99"/>
    <w:semiHidden/>
    <w:rsid w:val="004E6FD5"/>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4E6FD5"/>
    <w:rPr>
      <w:sz w:val="16"/>
      <w:shd w:val="clear" w:color="auto" w:fill="99CCFF"/>
      <w:lang w:eastAsia="en-US"/>
    </w:rPr>
  </w:style>
  <w:style w:type="paragraph" w:customStyle="1" w:styleId="IASBNormalL1">
    <w:name w:val="IASB Normal L1"/>
    <w:basedOn w:val="IASBNormalnpara"/>
    <w:uiPriority w:val="8"/>
    <w:rsid w:val="004E6FD5"/>
  </w:style>
  <w:style w:type="paragraph" w:styleId="Header">
    <w:name w:val="header"/>
    <w:basedOn w:val="Normal"/>
    <w:link w:val="HeaderChar"/>
    <w:uiPriority w:val="99"/>
    <w:rsid w:val="004E6FD5"/>
    <w:pPr>
      <w:tabs>
        <w:tab w:val="center" w:pos="4536"/>
        <w:tab w:val="right" w:pos="9072"/>
      </w:tabs>
    </w:pPr>
    <w:rPr>
      <w:sz w:val="20"/>
    </w:rPr>
  </w:style>
  <w:style w:type="character" w:customStyle="1" w:styleId="HeaderChar">
    <w:name w:val="Header Char"/>
    <w:link w:val="Header"/>
    <w:uiPriority w:val="99"/>
    <w:rsid w:val="004E6FD5"/>
    <w:rPr>
      <w:szCs w:val="24"/>
      <w:lang w:eastAsia="en-US"/>
    </w:rPr>
  </w:style>
  <w:style w:type="paragraph" w:styleId="Footer">
    <w:name w:val="footer"/>
    <w:basedOn w:val="Normal"/>
    <w:link w:val="FooterChar"/>
    <w:uiPriority w:val="99"/>
    <w:rsid w:val="004E6FD5"/>
    <w:pPr>
      <w:tabs>
        <w:tab w:val="center" w:pos="4536"/>
        <w:tab w:val="right" w:pos="9072"/>
      </w:tabs>
    </w:pPr>
  </w:style>
  <w:style w:type="character" w:customStyle="1" w:styleId="FooterChar">
    <w:name w:val="Footer Char"/>
    <w:link w:val="Footer"/>
    <w:uiPriority w:val="99"/>
    <w:rsid w:val="004E6FD5"/>
    <w:rPr>
      <w:sz w:val="19"/>
      <w:szCs w:val="24"/>
      <w:lang w:eastAsia="en-US"/>
    </w:rPr>
  </w:style>
  <w:style w:type="paragraph" w:customStyle="1" w:styleId="IASBRubricL1">
    <w:name w:val="IASB RubricL1"/>
    <w:basedOn w:val="IASBRubric"/>
    <w:uiPriority w:val="8"/>
    <w:rsid w:val="004E6FD5"/>
    <w:pPr>
      <w:ind w:left="782" w:hanging="782"/>
      <w:jc w:val="left"/>
    </w:pPr>
    <w:rPr>
      <w:lang w:eastAsia="en-GB"/>
    </w:rPr>
  </w:style>
  <w:style w:type="paragraph" w:customStyle="1" w:styleId="IASBRubricL2">
    <w:name w:val="IASB RubricL2"/>
    <w:basedOn w:val="IASBRubricL1"/>
    <w:uiPriority w:val="8"/>
    <w:rsid w:val="004E6FD5"/>
    <w:pPr>
      <w:tabs>
        <w:tab w:val="left" w:pos="782"/>
      </w:tabs>
      <w:ind w:left="1565" w:hanging="1565"/>
    </w:pPr>
  </w:style>
  <w:style w:type="paragraph" w:customStyle="1" w:styleId="IASBRubricL3">
    <w:name w:val="IASB RubricL3"/>
    <w:basedOn w:val="IASBRubricL2"/>
    <w:uiPriority w:val="8"/>
    <w:rsid w:val="004E6FD5"/>
    <w:pPr>
      <w:tabs>
        <w:tab w:val="clear" w:pos="782"/>
        <w:tab w:val="left" w:pos="1565"/>
      </w:tabs>
      <w:ind w:left="2347" w:hanging="2347"/>
    </w:pPr>
  </w:style>
  <w:style w:type="paragraph" w:customStyle="1" w:styleId="IASBNormalnparaL2">
    <w:name w:val="IASB Normal nparaL2"/>
    <w:basedOn w:val="IASBNormalnparaL1"/>
    <w:uiPriority w:val="8"/>
    <w:rsid w:val="004E6FD5"/>
    <w:pPr>
      <w:ind w:left="2347"/>
    </w:pPr>
  </w:style>
  <w:style w:type="paragraph" w:customStyle="1" w:styleId="IASBNormalnparaL3">
    <w:name w:val="IASB Normal nparaL3"/>
    <w:basedOn w:val="IASBNormalnparaL2"/>
    <w:uiPriority w:val="8"/>
    <w:rsid w:val="004E6FD5"/>
    <w:pPr>
      <w:ind w:left="3129"/>
    </w:pPr>
  </w:style>
  <w:style w:type="paragraph" w:customStyle="1" w:styleId="IASBNormalnparaL4">
    <w:name w:val="IASB Normal nparaL4"/>
    <w:basedOn w:val="IASBNormalnparaL3"/>
    <w:uiPriority w:val="8"/>
    <w:rsid w:val="004E6FD5"/>
    <w:pPr>
      <w:ind w:left="3912"/>
    </w:pPr>
  </w:style>
  <w:style w:type="paragraph" w:customStyle="1" w:styleId="IASBNormalnparaL5">
    <w:name w:val="IASB Normal nparaL5"/>
    <w:basedOn w:val="IASBNormalnparaL4"/>
    <w:uiPriority w:val="8"/>
    <w:rsid w:val="004E6FD5"/>
    <w:pPr>
      <w:ind w:left="4694"/>
    </w:pPr>
  </w:style>
  <w:style w:type="paragraph" w:customStyle="1" w:styleId="IASBNormalnparaL1P">
    <w:name w:val="IASB Normal nparaL1P"/>
    <w:basedOn w:val="IASBNormalnparaL2"/>
    <w:uiPriority w:val="8"/>
    <w:rsid w:val="004E6FD5"/>
    <w:pPr>
      <w:ind w:left="1565" w:firstLine="0"/>
    </w:pPr>
  </w:style>
  <w:style w:type="paragraph" w:customStyle="1" w:styleId="IASBNormalnparaL2P">
    <w:name w:val="IASB Normal nparaL2P"/>
    <w:basedOn w:val="IASBNormalnparaL1P"/>
    <w:uiPriority w:val="8"/>
    <w:rsid w:val="004E6FD5"/>
    <w:pPr>
      <w:ind w:left="2347"/>
    </w:pPr>
  </w:style>
  <w:style w:type="paragraph" w:customStyle="1" w:styleId="IASBNormalnparaL3P">
    <w:name w:val="IASB Normal nparaL3P"/>
    <w:basedOn w:val="IASBNormalnparaL2P"/>
    <w:uiPriority w:val="8"/>
    <w:rsid w:val="004E6FD5"/>
    <w:pPr>
      <w:ind w:left="3130"/>
    </w:pPr>
  </w:style>
  <w:style w:type="paragraph" w:customStyle="1" w:styleId="IASBNormalnparaL4P">
    <w:name w:val="IASB Normal nparaL4P"/>
    <w:basedOn w:val="IASBNormalnparaL3P"/>
    <w:uiPriority w:val="8"/>
    <w:rsid w:val="004E6FD5"/>
    <w:pPr>
      <w:ind w:left="3912"/>
    </w:pPr>
  </w:style>
  <w:style w:type="paragraph" w:customStyle="1" w:styleId="IASBNormalnparaL5P">
    <w:name w:val="IASB Normal nparaL5P"/>
    <w:basedOn w:val="IASBNormalnparaL4P"/>
    <w:uiPriority w:val="8"/>
    <w:rsid w:val="004E6FD5"/>
    <w:pPr>
      <w:ind w:left="4751"/>
    </w:pPr>
  </w:style>
  <w:style w:type="paragraph" w:customStyle="1" w:styleId="IASBBlockquoteL1">
    <w:name w:val="IASB BlockquoteL1"/>
    <w:basedOn w:val="IASBBlockquote"/>
    <w:uiPriority w:val="8"/>
    <w:rsid w:val="004E6FD5"/>
    <w:pPr>
      <w:ind w:left="2347" w:hanging="782"/>
    </w:pPr>
  </w:style>
  <w:style w:type="paragraph" w:customStyle="1" w:styleId="IASBBlockquoteL2">
    <w:name w:val="IASB BlockquoteL2"/>
    <w:basedOn w:val="IASBBlockquoteL1"/>
    <w:uiPriority w:val="8"/>
    <w:rsid w:val="004E6FD5"/>
    <w:pPr>
      <w:ind w:left="3129"/>
    </w:pPr>
  </w:style>
  <w:style w:type="paragraph" w:customStyle="1" w:styleId="IASBNormalL2">
    <w:name w:val="IASB Normal L2"/>
    <w:basedOn w:val="IASBNormalL1"/>
    <w:uiPriority w:val="8"/>
    <w:rsid w:val="004E6FD5"/>
    <w:pPr>
      <w:ind w:left="1564"/>
    </w:pPr>
  </w:style>
  <w:style w:type="paragraph" w:customStyle="1" w:styleId="IASBTOCQuartery">
    <w:name w:val="IASB TOC Quartery"/>
    <w:basedOn w:val="IASBTOCTertiary"/>
    <w:uiPriority w:val="8"/>
    <w:rsid w:val="004E6FD5"/>
    <w:pPr>
      <w:ind w:left="851"/>
    </w:pPr>
  </w:style>
  <w:style w:type="paragraph" w:customStyle="1" w:styleId="IASBNoteTitle">
    <w:name w:val="IASB Note Title"/>
    <w:basedOn w:val="IASBTOCPrimary"/>
    <w:uiPriority w:val="8"/>
    <w:rsid w:val="004E6FD5"/>
    <w:pPr>
      <w:jc w:val="center"/>
    </w:pPr>
    <w:rPr>
      <w:b w:val="0"/>
      <w:caps w:val="0"/>
      <w:sz w:val="24"/>
    </w:rPr>
  </w:style>
  <w:style w:type="paragraph" w:customStyle="1" w:styleId="IASBNormalL1P">
    <w:name w:val="IASB Normal L1P"/>
    <w:basedOn w:val="IASBNormalL1"/>
    <w:uiPriority w:val="8"/>
    <w:qFormat/>
    <w:rsid w:val="004E6FD5"/>
    <w:pPr>
      <w:ind w:firstLine="0"/>
    </w:pPr>
  </w:style>
  <w:style w:type="paragraph" w:customStyle="1" w:styleId="IASBNormalL2P">
    <w:name w:val="IASB Normal L2P"/>
    <w:basedOn w:val="IASBNormalL1P"/>
    <w:uiPriority w:val="8"/>
    <w:qFormat/>
    <w:rsid w:val="004E6FD5"/>
    <w:pPr>
      <w:ind w:left="1565"/>
    </w:pPr>
  </w:style>
  <w:style w:type="paragraph" w:customStyle="1" w:styleId="IASBNormalnparaC">
    <w:name w:val="IASB Normal nparaC"/>
    <w:basedOn w:val="IASBNormalnpara"/>
    <w:uiPriority w:val="8"/>
    <w:qFormat/>
    <w:rsid w:val="004E6FD5"/>
    <w:pPr>
      <w:spacing w:before="0"/>
    </w:pPr>
  </w:style>
  <w:style w:type="paragraph" w:customStyle="1" w:styleId="IASBEdupara">
    <w:name w:val="IASB Edu para"/>
    <w:basedOn w:val="IASBNormal"/>
    <w:uiPriority w:val="8"/>
    <w:qFormat/>
    <w:rsid w:val="004E6FD5"/>
  </w:style>
  <w:style w:type="paragraph" w:customStyle="1" w:styleId="IASBTableBoldTNR">
    <w:name w:val="IASB Table Bold TNR"/>
    <w:basedOn w:val="Normal"/>
    <w:uiPriority w:val="8"/>
    <w:qFormat/>
    <w:rsid w:val="004E6FD5"/>
    <w:pPr>
      <w:spacing w:before="120"/>
    </w:pPr>
    <w:rPr>
      <w:b/>
      <w:szCs w:val="20"/>
      <w:lang w:eastAsia="en-GB"/>
    </w:rPr>
  </w:style>
  <w:style w:type="paragraph" w:customStyle="1" w:styleId="IASBTableHeaderTNR">
    <w:name w:val="IASB Table Header TNR"/>
    <w:basedOn w:val="Normal"/>
    <w:uiPriority w:val="8"/>
    <w:qFormat/>
    <w:rsid w:val="004E6FD5"/>
    <w:pPr>
      <w:keepNext/>
      <w:spacing w:before="120" w:after="200" w:line="276" w:lineRule="auto"/>
    </w:pPr>
    <w:rPr>
      <w:szCs w:val="20"/>
      <w:lang w:eastAsia="en-GB"/>
    </w:rPr>
  </w:style>
  <w:style w:type="paragraph" w:customStyle="1" w:styleId="IASBTableTNR">
    <w:name w:val="IASB Table TNR"/>
    <w:basedOn w:val="Normal"/>
    <w:uiPriority w:val="8"/>
    <w:qFormat/>
    <w:rsid w:val="004E6FD5"/>
    <w:pPr>
      <w:spacing w:before="120"/>
    </w:pPr>
    <w:rPr>
      <w:szCs w:val="20"/>
      <w:lang w:eastAsia="en-GB"/>
    </w:rPr>
  </w:style>
  <w:style w:type="paragraph" w:customStyle="1" w:styleId="IASBTableArial">
    <w:name w:val="IASB Table Arial"/>
    <w:basedOn w:val="Normal"/>
    <w:uiPriority w:val="8"/>
    <w:rsid w:val="004E6FD5"/>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4E6FD5"/>
    <w:rPr>
      <w:b/>
    </w:rPr>
  </w:style>
  <w:style w:type="paragraph" w:customStyle="1" w:styleId="IASBTableHeaderArial">
    <w:name w:val="IASB Table Header Arial"/>
    <w:basedOn w:val="IASBTableArial"/>
    <w:uiPriority w:val="8"/>
    <w:qFormat/>
    <w:rsid w:val="004E6FD5"/>
    <w:pPr>
      <w:keepNext/>
      <w:spacing w:after="200" w:line="276" w:lineRule="auto"/>
    </w:pPr>
  </w:style>
  <w:style w:type="character" w:styleId="EndnoteReference">
    <w:name w:val="endnote reference"/>
    <w:uiPriority w:val="99"/>
    <w:semiHidden/>
    <w:unhideWhenUsed/>
    <w:rsid w:val="004E6FD5"/>
    <w:rPr>
      <w:vertAlign w:val="superscript"/>
    </w:rPr>
  </w:style>
  <w:style w:type="paragraph" w:customStyle="1" w:styleId="ConvSectionTitle">
    <w:name w:val="Conv Section Title"/>
    <w:basedOn w:val="IASBSectionTitle1NonInd"/>
    <w:uiPriority w:val="9"/>
    <w:qFormat/>
    <w:rsid w:val="004E6FD5"/>
    <w:pPr>
      <w:pBdr>
        <w:bottom w:val="none" w:sz="0" w:space="0" w:color="auto"/>
      </w:pBdr>
    </w:pPr>
  </w:style>
  <w:style w:type="paragraph" w:customStyle="1" w:styleId="ConvStandardTitle1">
    <w:name w:val="Conv Standard Title 1"/>
    <w:basedOn w:val="Normal"/>
    <w:next w:val="ConvStandardTitle2"/>
    <w:uiPriority w:val="9"/>
    <w:qFormat/>
    <w:rsid w:val="004E6FD5"/>
    <w:pPr>
      <w:spacing w:before="300"/>
    </w:pPr>
    <w:rPr>
      <w:rFonts w:ascii="Arial" w:hAnsi="Arial"/>
      <w:b/>
      <w:sz w:val="26"/>
    </w:rPr>
  </w:style>
  <w:style w:type="paragraph" w:customStyle="1" w:styleId="ConvStandardTitle2">
    <w:name w:val="Conv Standard Title2"/>
    <w:basedOn w:val="ConvStandardTitle1"/>
    <w:uiPriority w:val="9"/>
    <w:qFormat/>
    <w:rsid w:val="004E6FD5"/>
    <w:pPr>
      <w:spacing w:before="0" w:after="200"/>
    </w:pPr>
    <w:rPr>
      <w:i/>
    </w:rPr>
  </w:style>
  <w:style w:type="paragraph" w:customStyle="1" w:styleId="AASBBase">
    <w:name w:val="AASB Base"/>
    <w:qFormat/>
    <w:rsid w:val="004E6FD5"/>
    <w:pPr>
      <w:jc w:val="both"/>
    </w:pPr>
    <w:rPr>
      <w:sz w:val="19"/>
      <w:lang w:eastAsia="en-US"/>
    </w:rPr>
  </w:style>
  <w:style w:type="paragraph" w:customStyle="1" w:styleId="AASBPara">
    <w:name w:val="AASB Para"/>
    <w:basedOn w:val="AASBBase"/>
    <w:qFormat/>
    <w:rsid w:val="004E6FD5"/>
    <w:pPr>
      <w:spacing w:after="200"/>
    </w:pPr>
  </w:style>
  <w:style w:type="paragraph" w:customStyle="1" w:styleId="AASBStandardCover">
    <w:name w:val="AASB Standard Cover"/>
    <w:semiHidden/>
    <w:qFormat/>
    <w:rsid w:val="004E6FD5"/>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4E6FD5"/>
    <w:pPr>
      <w:jc w:val="right"/>
    </w:pPr>
    <w:rPr>
      <w:b w:val="0"/>
      <w:sz w:val="24"/>
    </w:rPr>
  </w:style>
  <w:style w:type="paragraph" w:customStyle="1" w:styleId="AASBStandardNumber">
    <w:name w:val="AASB Standard Number"/>
    <w:basedOn w:val="AASBStandardCover"/>
    <w:semiHidden/>
    <w:qFormat/>
    <w:rsid w:val="004E6FD5"/>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4E6FD5"/>
    <w:pPr>
      <w:spacing w:before="800"/>
    </w:pPr>
    <w:rPr>
      <w:b w:val="0"/>
      <w:sz w:val="50"/>
    </w:rPr>
  </w:style>
  <w:style w:type="paragraph" w:customStyle="1" w:styleId="AASBInterpretationCover">
    <w:name w:val="AASB Interpretation Cover"/>
    <w:basedOn w:val="AASBStandardCover"/>
    <w:semiHidden/>
    <w:qFormat/>
    <w:rsid w:val="004E6FD5"/>
    <w:rPr>
      <w:color w:val="41AD49"/>
    </w:rPr>
  </w:style>
  <w:style w:type="paragraph" w:customStyle="1" w:styleId="AASBInterpretationDate">
    <w:name w:val="AASB Interpretation Date"/>
    <w:basedOn w:val="AASBStandardDate"/>
    <w:semiHidden/>
    <w:qFormat/>
    <w:rsid w:val="004E6FD5"/>
    <w:rPr>
      <w:color w:val="41AD49"/>
    </w:rPr>
  </w:style>
  <w:style w:type="paragraph" w:customStyle="1" w:styleId="AASBInterpretationNumber">
    <w:name w:val="AASB Interpretation Number"/>
    <w:basedOn w:val="AASBStandardNumber"/>
    <w:semiHidden/>
    <w:qFormat/>
    <w:rsid w:val="004E6FD5"/>
    <w:rPr>
      <w:color w:val="41AD49"/>
    </w:rPr>
  </w:style>
  <w:style w:type="paragraph" w:customStyle="1" w:styleId="AASBInterpretationTitle">
    <w:name w:val="AASB Interpretation Title"/>
    <w:basedOn w:val="AASBStandardTitle"/>
    <w:semiHidden/>
    <w:qFormat/>
    <w:rsid w:val="004E6FD5"/>
    <w:rPr>
      <w:color w:val="41AD49"/>
    </w:rPr>
  </w:style>
  <w:style w:type="table" w:styleId="TableGrid">
    <w:name w:val="Table Grid"/>
    <w:basedOn w:val="TableNormal"/>
    <w:uiPriority w:val="59"/>
    <w:rsid w:val="004E6FD5"/>
    <w:tblPr/>
  </w:style>
  <w:style w:type="paragraph" w:customStyle="1" w:styleId="ContentsHeading">
    <w:name w:val="Contents Heading"/>
    <w:basedOn w:val="AASBBase"/>
    <w:next w:val="ContentsLevel1"/>
    <w:qFormat/>
    <w:rsid w:val="004E6FD5"/>
    <w:pPr>
      <w:spacing w:after="60"/>
      <w:jc w:val="right"/>
    </w:pPr>
    <w:rPr>
      <w:i/>
    </w:rPr>
  </w:style>
  <w:style w:type="paragraph" w:customStyle="1" w:styleId="ContentsLevel1">
    <w:name w:val="Contents Level1"/>
    <w:basedOn w:val="AASBBase"/>
    <w:qFormat/>
    <w:rsid w:val="004E6FD5"/>
    <w:pPr>
      <w:tabs>
        <w:tab w:val="right" w:pos="9027"/>
      </w:tabs>
      <w:spacing w:after="60"/>
      <w:ind w:right="1134"/>
    </w:pPr>
    <w:rPr>
      <w:b/>
      <w:caps/>
    </w:rPr>
  </w:style>
  <w:style w:type="paragraph" w:customStyle="1" w:styleId="ContentsLevel2">
    <w:name w:val="Contents Level2"/>
    <w:basedOn w:val="ContentsLevel1"/>
    <w:uiPriority w:val="7"/>
    <w:qFormat/>
    <w:rsid w:val="004E6FD5"/>
    <w:rPr>
      <w:caps w:val="0"/>
    </w:rPr>
  </w:style>
  <w:style w:type="paragraph" w:customStyle="1" w:styleId="ContentsLevel3">
    <w:name w:val="Contents Level3"/>
    <w:basedOn w:val="ContentsLevel2"/>
    <w:uiPriority w:val="7"/>
    <w:qFormat/>
    <w:rsid w:val="004E6FD5"/>
    <w:pPr>
      <w:ind w:left="510"/>
    </w:pPr>
    <w:rPr>
      <w:b w:val="0"/>
    </w:rPr>
  </w:style>
  <w:style w:type="paragraph" w:customStyle="1" w:styleId="ContentsLevel4">
    <w:name w:val="Contents Level4"/>
    <w:basedOn w:val="ContentsLevel3"/>
    <w:uiPriority w:val="7"/>
    <w:qFormat/>
    <w:rsid w:val="004E6FD5"/>
    <w:pPr>
      <w:ind w:left="850"/>
    </w:pPr>
  </w:style>
  <w:style w:type="paragraph" w:styleId="BalloonText">
    <w:name w:val="Balloon Text"/>
    <w:basedOn w:val="Normal"/>
    <w:link w:val="BalloonTextChar"/>
    <w:uiPriority w:val="99"/>
    <w:semiHidden/>
    <w:unhideWhenUsed/>
    <w:rsid w:val="004E6F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FD5"/>
    <w:rPr>
      <w:rFonts w:ascii="Segoe UI" w:hAnsi="Segoe UI" w:cs="Segoe UI"/>
      <w:sz w:val="18"/>
      <w:szCs w:val="18"/>
      <w:lang w:eastAsia="en-US"/>
    </w:rPr>
  </w:style>
  <w:style w:type="paragraph" w:customStyle="1" w:styleId="RDRM1">
    <w:name w:val="RDRM1"/>
    <w:basedOn w:val="IASBNormalnpara"/>
    <w:uiPriority w:val="5"/>
    <w:qFormat/>
    <w:rsid w:val="004E6FD5"/>
    <w:pPr>
      <w:shd w:val="pct15" w:color="auto" w:fill="auto"/>
    </w:pPr>
  </w:style>
  <w:style w:type="paragraph" w:customStyle="1" w:styleId="RDRM2">
    <w:name w:val="RDRM2"/>
    <w:basedOn w:val="RDRM1"/>
    <w:uiPriority w:val="5"/>
    <w:qFormat/>
    <w:rsid w:val="004E6FD5"/>
    <w:pPr>
      <w:tabs>
        <w:tab w:val="left" w:pos="782"/>
      </w:tabs>
      <w:ind w:left="1565" w:hanging="1565"/>
    </w:pPr>
  </w:style>
  <w:style w:type="paragraph" w:customStyle="1" w:styleId="RDRM3">
    <w:name w:val="RDRM3"/>
    <w:basedOn w:val="RDRM2"/>
    <w:uiPriority w:val="5"/>
    <w:qFormat/>
    <w:rsid w:val="004E6FD5"/>
    <w:pPr>
      <w:tabs>
        <w:tab w:val="clear" w:pos="782"/>
        <w:tab w:val="left" w:pos="1565"/>
      </w:tabs>
      <w:ind w:left="2347" w:hanging="2347"/>
    </w:pPr>
  </w:style>
  <w:style w:type="paragraph" w:customStyle="1" w:styleId="RDRM4">
    <w:name w:val="RDRM4"/>
    <w:basedOn w:val="RDRM3"/>
    <w:uiPriority w:val="5"/>
    <w:qFormat/>
    <w:rsid w:val="004E6FD5"/>
    <w:pPr>
      <w:tabs>
        <w:tab w:val="clear" w:pos="1565"/>
        <w:tab w:val="left" w:pos="2347"/>
      </w:tabs>
      <w:ind w:left="3130" w:hanging="3130"/>
    </w:pPr>
  </w:style>
  <w:style w:type="paragraph" w:customStyle="1" w:styleId="AusPlain">
    <w:name w:val="Aus Plain"/>
    <w:basedOn w:val="IASBNormalnpara"/>
    <w:uiPriority w:val="1"/>
    <w:qFormat/>
    <w:rsid w:val="004E6FD5"/>
    <w:pPr>
      <w:ind w:left="1565" w:hanging="1565"/>
    </w:pPr>
  </w:style>
  <w:style w:type="paragraph" w:customStyle="1" w:styleId="AusBold">
    <w:name w:val="Aus Bold"/>
    <w:basedOn w:val="AusPlain"/>
    <w:uiPriority w:val="2"/>
    <w:qFormat/>
    <w:rsid w:val="004E6FD5"/>
    <w:rPr>
      <w:b/>
    </w:rPr>
  </w:style>
  <w:style w:type="paragraph" w:customStyle="1" w:styleId="AusPlainRDR">
    <w:name w:val="Aus Plain RDR"/>
    <w:basedOn w:val="AusPlain"/>
    <w:uiPriority w:val="3"/>
    <w:qFormat/>
    <w:rsid w:val="004E6FD5"/>
    <w:pPr>
      <w:shd w:val="pct15" w:color="auto" w:fill="auto"/>
    </w:pPr>
  </w:style>
  <w:style w:type="paragraph" w:customStyle="1" w:styleId="AusBoldRDR">
    <w:name w:val="Aus Bold RDR"/>
    <w:basedOn w:val="AusBold"/>
    <w:uiPriority w:val="4"/>
    <w:qFormat/>
    <w:rsid w:val="004E6FD5"/>
    <w:pPr>
      <w:shd w:val="pct15" w:color="auto" w:fill="auto"/>
    </w:pPr>
  </w:style>
  <w:style w:type="paragraph" w:customStyle="1" w:styleId="RDR11">
    <w:name w:val="RDR11"/>
    <w:basedOn w:val="IASBNormalnparaL1"/>
    <w:uiPriority w:val="6"/>
    <w:qFormat/>
    <w:rsid w:val="004E6FD5"/>
    <w:pPr>
      <w:shd w:val="pct15" w:color="auto" w:fill="auto"/>
    </w:pPr>
  </w:style>
  <w:style w:type="paragraph" w:customStyle="1" w:styleId="RDR12">
    <w:name w:val="RDR12"/>
    <w:basedOn w:val="RDR11"/>
    <w:uiPriority w:val="6"/>
    <w:qFormat/>
    <w:rsid w:val="004E6FD5"/>
    <w:pPr>
      <w:tabs>
        <w:tab w:val="left" w:pos="1565"/>
      </w:tabs>
      <w:ind w:left="2347" w:hanging="1565"/>
    </w:pPr>
  </w:style>
  <w:style w:type="paragraph" w:customStyle="1" w:styleId="RDR13">
    <w:name w:val="RDR13"/>
    <w:basedOn w:val="RDR12"/>
    <w:uiPriority w:val="6"/>
    <w:qFormat/>
    <w:rsid w:val="004E6FD5"/>
    <w:pPr>
      <w:tabs>
        <w:tab w:val="clear" w:pos="1565"/>
        <w:tab w:val="left" w:pos="2347"/>
      </w:tabs>
      <w:ind w:left="3129" w:hanging="2347"/>
    </w:pPr>
  </w:style>
  <w:style w:type="paragraph" w:customStyle="1" w:styleId="RDR21">
    <w:name w:val="RDR21"/>
    <w:basedOn w:val="IASBNormalnparaL2"/>
    <w:uiPriority w:val="6"/>
    <w:qFormat/>
    <w:rsid w:val="004E6FD5"/>
    <w:pPr>
      <w:shd w:val="pct15" w:color="auto" w:fill="auto"/>
    </w:pPr>
  </w:style>
  <w:style w:type="paragraph" w:customStyle="1" w:styleId="RDR22">
    <w:name w:val="RDR22"/>
    <w:basedOn w:val="RDR21"/>
    <w:uiPriority w:val="6"/>
    <w:qFormat/>
    <w:rsid w:val="004E6FD5"/>
    <w:pPr>
      <w:tabs>
        <w:tab w:val="left" w:pos="2347"/>
      </w:tabs>
      <w:ind w:left="3130" w:hanging="1565"/>
    </w:pPr>
  </w:style>
  <w:style w:type="table" w:styleId="TableGrid1">
    <w:name w:val="Table Grid 1"/>
    <w:basedOn w:val="TableNormal"/>
    <w:uiPriority w:val="99"/>
    <w:semiHidden/>
    <w:unhideWhenUsed/>
    <w:rsid w:val="004E6FD5"/>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nhideWhenUsed/>
    <w:rsid w:val="0009365F"/>
    <w:rPr>
      <w:sz w:val="16"/>
      <w:szCs w:val="16"/>
    </w:rPr>
  </w:style>
  <w:style w:type="paragraph" w:styleId="CommentText">
    <w:name w:val="annotation text"/>
    <w:basedOn w:val="Normal"/>
    <w:link w:val="CommentTextChar"/>
    <w:unhideWhenUsed/>
    <w:rsid w:val="0009365F"/>
    <w:rPr>
      <w:sz w:val="20"/>
      <w:szCs w:val="20"/>
    </w:rPr>
  </w:style>
  <w:style w:type="character" w:customStyle="1" w:styleId="CommentTextChar">
    <w:name w:val="Comment Text Char"/>
    <w:basedOn w:val="DefaultParagraphFont"/>
    <w:link w:val="CommentText"/>
    <w:rsid w:val="0009365F"/>
    <w:rPr>
      <w:lang w:eastAsia="en-US"/>
    </w:rPr>
  </w:style>
  <w:style w:type="paragraph" w:styleId="CommentSubject">
    <w:name w:val="annotation subject"/>
    <w:basedOn w:val="CommentText"/>
    <w:next w:val="CommentText"/>
    <w:link w:val="CommentSubjectChar"/>
    <w:uiPriority w:val="99"/>
    <w:semiHidden/>
    <w:unhideWhenUsed/>
    <w:rsid w:val="0069046E"/>
    <w:rPr>
      <w:b/>
      <w:bCs/>
    </w:rPr>
  </w:style>
  <w:style w:type="character" w:customStyle="1" w:styleId="CommentSubjectChar">
    <w:name w:val="Comment Subject Char"/>
    <w:basedOn w:val="CommentTextChar"/>
    <w:link w:val="CommentSubject"/>
    <w:uiPriority w:val="99"/>
    <w:semiHidden/>
    <w:rsid w:val="0069046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annotation reference"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4E6FD5"/>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4E6FD5"/>
    <w:pPr>
      <w:tabs>
        <w:tab w:val="left" w:pos="4253"/>
      </w:tabs>
      <w:spacing w:before="100" w:after="100"/>
      <w:jc w:val="both"/>
    </w:pPr>
    <w:rPr>
      <w:sz w:val="19"/>
      <w:lang w:eastAsia="en-US"/>
    </w:rPr>
  </w:style>
  <w:style w:type="paragraph" w:customStyle="1" w:styleId="IASBNormalnpara">
    <w:name w:val="IASB Normal npara"/>
    <w:basedOn w:val="IASBNormal"/>
    <w:uiPriority w:val="8"/>
    <w:rsid w:val="004E6FD5"/>
    <w:pPr>
      <w:tabs>
        <w:tab w:val="clear" w:pos="4253"/>
      </w:tabs>
      <w:spacing w:after="0"/>
      <w:ind w:left="782" w:hanging="782"/>
    </w:pPr>
  </w:style>
  <w:style w:type="paragraph" w:customStyle="1" w:styleId="IASBSectionTitle1Ind">
    <w:name w:val="IASB Section Title 1 Ind"/>
    <w:basedOn w:val="Normal"/>
    <w:uiPriority w:val="8"/>
    <w:rsid w:val="004E6FD5"/>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4E6FD5"/>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4E6FD5"/>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4E6FD5"/>
    <w:pPr>
      <w:spacing w:before="240"/>
      <w:ind w:left="782"/>
    </w:pPr>
  </w:style>
  <w:style w:type="paragraph" w:customStyle="1" w:styleId="IASBSectionTitle3NonInd">
    <w:name w:val="IASB Section Title 3 NonInd"/>
    <w:basedOn w:val="Normal"/>
    <w:uiPriority w:val="8"/>
    <w:rsid w:val="004E6FD5"/>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4E6FD5"/>
    <w:pPr>
      <w:spacing w:before="240"/>
      <w:ind w:left="782"/>
    </w:pPr>
  </w:style>
  <w:style w:type="paragraph" w:customStyle="1" w:styleId="IASBSectionTitle4NonInd">
    <w:name w:val="IASB Section Title 4 NonInd"/>
    <w:basedOn w:val="Normal"/>
    <w:uiPriority w:val="8"/>
    <w:rsid w:val="004E6FD5"/>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4E6FD5"/>
    <w:pPr>
      <w:ind w:left="782"/>
    </w:pPr>
  </w:style>
  <w:style w:type="paragraph" w:customStyle="1" w:styleId="IASBSectionTitle5NonInd">
    <w:name w:val="IASB Section Title 5 NonInd"/>
    <w:basedOn w:val="Normal"/>
    <w:uiPriority w:val="8"/>
    <w:rsid w:val="004E6FD5"/>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4E6FD5"/>
    <w:pPr>
      <w:ind w:left="782"/>
    </w:pPr>
  </w:style>
  <w:style w:type="paragraph" w:customStyle="1" w:styleId="IASBSectionTitle6NonInd">
    <w:name w:val="IASB Section Title 6 NonInd"/>
    <w:basedOn w:val="IASBSectionTitle5NonInd"/>
    <w:uiPriority w:val="8"/>
    <w:rsid w:val="004E6FD5"/>
    <w:pPr>
      <w:outlineLvl w:val="5"/>
    </w:pPr>
    <w:rPr>
      <w:b w:val="0"/>
      <w:i/>
    </w:rPr>
  </w:style>
  <w:style w:type="paragraph" w:customStyle="1" w:styleId="IASBSectionTitle6Ind">
    <w:name w:val="IASB Section Title 6 Ind"/>
    <w:basedOn w:val="IASBSectionTitle6NonInd"/>
    <w:uiPriority w:val="8"/>
    <w:rsid w:val="004E6FD5"/>
    <w:pPr>
      <w:ind w:left="782"/>
    </w:pPr>
  </w:style>
  <w:style w:type="paragraph" w:customStyle="1" w:styleId="IASBTitle">
    <w:name w:val="IASB Title"/>
    <w:uiPriority w:val="8"/>
    <w:rsid w:val="004E6FD5"/>
    <w:pPr>
      <w:keepNext/>
      <w:keepLines/>
      <w:spacing w:before="300" w:after="400"/>
    </w:pPr>
    <w:rPr>
      <w:rFonts w:cs="Arial"/>
      <w:sz w:val="36"/>
      <w:lang w:eastAsia="en-US"/>
    </w:rPr>
  </w:style>
  <w:style w:type="paragraph" w:customStyle="1" w:styleId="IASBNormalnparaL1">
    <w:name w:val="IASB Normal nparaL1"/>
    <w:basedOn w:val="IASBNormalnpara"/>
    <w:uiPriority w:val="8"/>
    <w:rsid w:val="004E6FD5"/>
    <w:pPr>
      <w:ind w:left="1564"/>
    </w:pPr>
  </w:style>
  <w:style w:type="paragraph" w:customStyle="1" w:styleId="IASBNormalnparaP">
    <w:name w:val="IASB Normal nparaP"/>
    <w:basedOn w:val="IASBNormal"/>
    <w:uiPriority w:val="8"/>
    <w:rsid w:val="004E6FD5"/>
    <w:pPr>
      <w:ind w:left="782"/>
    </w:pPr>
  </w:style>
  <w:style w:type="paragraph" w:customStyle="1" w:styleId="IASBIdentifier">
    <w:name w:val="IASB Identifier"/>
    <w:basedOn w:val="IASBTitle"/>
    <w:uiPriority w:val="8"/>
    <w:rsid w:val="004E6FD5"/>
    <w:pPr>
      <w:spacing w:after="200"/>
    </w:pPr>
    <w:rPr>
      <w:rFonts w:ascii="Arial" w:hAnsi="Arial"/>
      <w:b/>
      <w:sz w:val="23"/>
    </w:rPr>
  </w:style>
  <w:style w:type="paragraph" w:customStyle="1" w:styleId="IASBTOCPrimary">
    <w:name w:val="IASB TOC Primary"/>
    <w:basedOn w:val="Normal"/>
    <w:uiPriority w:val="8"/>
    <w:rsid w:val="004E6FD5"/>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4E6FD5"/>
    <w:pPr>
      <w:spacing w:before="30" w:after="30"/>
    </w:pPr>
    <w:rPr>
      <w:rFonts w:ascii="Arial" w:hAnsi="Arial" w:cs="Arial"/>
      <w:i/>
      <w:sz w:val="18"/>
      <w:szCs w:val="20"/>
    </w:rPr>
  </w:style>
  <w:style w:type="paragraph" w:customStyle="1" w:styleId="IASBTOCSecondary">
    <w:name w:val="IASB TOC Secondary"/>
    <w:basedOn w:val="Normal"/>
    <w:uiPriority w:val="8"/>
    <w:rsid w:val="004E6FD5"/>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4E6FD5"/>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4E6FD5"/>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4E6FD5"/>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4E6FD5"/>
    <w:rPr>
      <w:i/>
    </w:rPr>
  </w:style>
  <w:style w:type="paragraph" w:customStyle="1" w:styleId="IASBBlockquote">
    <w:name w:val="IASB Blockquote"/>
    <w:basedOn w:val="IASBNormal"/>
    <w:uiPriority w:val="8"/>
    <w:rsid w:val="004E6FD5"/>
    <w:pPr>
      <w:ind w:left="1565"/>
    </w:pPr>
    <w:rPr>
      <w:sz w:val="16"/>
    </w:rPr>
  </w:style>
  <w:style w:type="character" w:customStyle="1" w:styleId="IASBEduinsert">
    <w:name w:val="IASB Edu insert"/>
    <w:uiPriority w:val="8"/>
    <w:qFormat/>
    <w:rsid w:val="004E6FD5"/>
  </w:style>
  <w:style w:type="character" w:styleId="FootnoteReference">
    <w:name w:val="footnote reference"/>
    <w:uiPriority w:val="99"/>
    <w:semiHidden/>
    <w:unhideWhenUsed/>
    <w:rsid w:val="004E6FD5"/>
    <w:rPr>
      <w:vertAlign w:val="superscript"/>
    </w:rPr>
  </w:style>
  <w:style w:type="paragraph" w:styleId="FootnoteText">
    <w:name w:val="footnote text"/>
    <w:basedOn w:val="IASBSectionTitle2Ind"/>
    <w:next w:val="IASBBlockquote"/>
    <w:link w:val="FootnoteTextChar"/>
    <w:uiPriority w:val="99"/>
    <w:semiHidden/>
    <w:rsid w:val="004E6FD5"/>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4E6FD5"/>
    <w:rPr>
      <w:sz w:val="16"/>
      <w:shd w:val="clear" w:color="auto" w:fill="99CCFF"/>
      <w:lang w:eastAsia="en-US"/>
    </w:rPr>
  </w:style>
  <w:style w:type="paragraph" w:customStyle="1" w:styleId="IASBNormalL1">
    <w:name w:val="IASB Normal L1"/>
    <w:basedOn w:val="IASBNormalnpara"/>
    <w:uiPriority w:val="8"/>
    <w:rsid w:val="004E6FD5"/>
  </w:style>
  <w:style w:type="paragraph" w:styleId="Header">
    <w:name w:val="header"/>
    <w:basedOn w:val="Normal"/>
    <w:link w:val="HeaderChar"/>
    <w:uiPriority w:val="99"/>
    <w:rsid w:val="004E6FD5"/>
    <w:pPr>
      <w:tabs>
        <w:tab w:val="center" w:pos="4536"/>
        <w:tab w:val="right" w:pos="9072"/>
      </w:tabs>
    </w:pPr>
    <w:rPr>
      <w:sz w:val="20"/>
    </w:rPr>
  </w:style>
  <w:style w:type="character" w:customStyle="1" w:styleId="HeaderChar">
    <w:name w:val="Header Char"/>
    <w:link w:val="Header"/>
    <w:uiPriority w:val="99"/>
    <w:rsid w:val="004E6FD5"/>
    <w:rPr>
      <w:szCs w:val="24"/>
      <w:lang w:eastAsia="en-US"/>
    </w:rPr>
  </w:style>
  <w:style w:type="paragraph" w:styleId="Footer">
    <w:name w:val="footer"/>
    <w:basedOn w:val="Normal"/>
    <w:link w:val="FooterChar"/>
    <w:uiPriority w:val="99"/>
    <w:rsid w:val="004E6FD5"/>
    <w:pPr>
      <w:tabs>
        <w:tab w:val="center" w:pos="4536"/>
        <w:tab w:val="right" w:pos="9072"/>
      </w:tabs>
    </w:pPr>
  </w:style>
  <w:style w:type="character" w:customStyle="1" w:styleId="FooterChar">
    <w:name w:val="Footer Char"/>
    <w:link w:val="Footer"/>
    <w:uiPriority w:val="99"/>
    <w:rsid w:val="004E6FD5"/>
    <w:rPr>
      <w:sz w:val="19"/>
      <w:szCs w:val="24"/>
      <w:lang w:eastAsia="en-US"/>
    </w:rPr>
  </w:style>
  <w:style w:type="paragraph" w:customStyle="1" w:styleId="IASBRubricL1">
    <w:name w:val="IASB RubricL1"/>
    <w:basedOn w:val="IASBRubric"/>
    <w:uiPriority w:val="8"/>
    <w:rsid w:val="004E6FD5"/>
    <w:pPr>
      <w:ind w:left="782" w:hanging="782"/>
      <w:jc w:val="left"/>
    </w:pPr>
    <w:rPr>
      <w:lang w:eastAsia="en-GB"/>
    </w:rPr>
  </w:style>
  <w:style w:type="paragraph" w:customStyle="1" w:styleId="IASBRubricL2">
    <w:name w:val="IASB RubricL2"/>
    <w:basedOn w:val="IASBRubricL1"/>
    <w:uiPriority w:val="8"/>
    <w:rsid w:val="004E6FD5"/>
    <w:pPr>
      <w:tabs>
        <w:tab w:val="left" w:pos="782"/>
      </w:tabs>
      <w:ind w:left="1565" w:hanging="1565"/>
    </w:pPr>
  </w:style>
  <w:style w:type="paragraph" w:customStyle="1" w:styleId="IASBRubricL3">
    <w:name w:val="IASB RubricL3"/>
    <w:basedOn w:val="IASBRubricL2"/>
    <w:uiPriority w:val="8"/>
    <w:rsid w:val="004E6FD5"/>
    <w:pPr>
      <w:tabs>
        <w:tab w:val="clear" w:pos="782"/>
        <w:tab w:val="left" w:pos="1565"/>
      </w:tabs>
      <w:ind w:left="2347" w:hanging="2347"/>
    </w:pPr>
  </w:style>
  <w:style w:type="paragraph" w:customStyle="1" w:styleId="IASBNormalnparaL2">
    <w:name w:val="IASB Normal nparaL2"/>
    <w:basedOn w:val="IASBNormalnparaL1"/>
    <w:uiPriority w:val="8"/>
    <w:rsid w:val="004E6FD5"/>
    <w:pPr>
      <w:ind w:left="2347"/>
    </w:pPr>
  </w:style>
  <w:style w:type="paragraph" w:customStyle="1" w:styleId="IASBNormalnparaL3">
    <w:name w:val="IASB Normal nparaL3"/>
    <w:basedOn w:val="IASBNormalnparaL2"/>
    <w:uiPriority w:val="8"/>
    <w:rsid w:val="004E6FD5"/>
    <w:pPr>
      <w:ind w:left="3129"/>
    </w:pPr>
  </w:style>
  <w:style w:type="paragraph" w:customStyle="1" w:styleId="IASBNormalnparaL4">
    <w:name w:val="IASB Normal nparaL4"/>
    <w:basedOn w:val="IASBNormalnparaL3"/>
    <w:uiPriority w:val="8"/>
    <w:rsid w:val="004E6FD5"/>
    <w:pPr>
      <w:ind w:left="3912"/>
    </w:pPr>
  </w:style>
  <w:style w:type="paragraph" w:customStyle="1" w:styleId="IASBNormalnparaL5">
    <w:name w:val="IASB Normal nparaL5"/>
    <w:basedOn w:val="IASBNormalnparaL4"/>
    <w:uiPriority w:val="8"/>
    <w:rsid w:val="004E6FD5"/>
    <w:pPr>
      <w:ind w:left="4694"/>
    </w:pPr>
  </w:style>
  <w:style w:type="paragraph" w:customStyle="1" w:styleId="IASBNormalnparaL1P">
    <w:name w:val="IASB Normal nparaL1P"/>
    <w:basedOn w:val="IASBNormalnparaL2"/>
    <w:uiPriority w:val="8"/>
    <w:rsid w:val="004E6FD5"/>
    <w:pPr>
      <w:ind w:left="1565" w:firstLine="0"/>
    </w:pPr>
  </w:style>
  <w:style w:type="paragraph" w:customStyle="1" w:styleId="IASBNormalnparaL2P">
    <w:name w:val="IASB Normal nparaL2P"/>
    <w:basedOn w:val="IASBNormalnparaL1P"/>
    <w:uiPriority w:val="8"/>
    <w:rsid w:val="004E6FD5"/>
    <w:pPr>
      <w:ind w:left="2347"/>
    </w:pPr>
  </w:style>
  <w:style w:type="paragraph" w:customStyle="1" w:styleId="IASBNormalnparaL3P">
    <w:name w:val="IASB Normal nparaL3P"/>
    <w:basedOn w:val="IASBNormalnparaL2P"/>
    <w:uiPriority w:val="8"/>
    <w:rsid w:val="004E6FD5"/>
    <w:pPr>
      <w:ind w:left="3130"/>
    </w:pPr>
  </w:style>
  <w:style w:type="paragraph" w:customStyle="1" w:styleId="IASBNormalnparaL4P">
    <w:name w:val="IASB Normal nparaL4P"/>
    <w:basedOn w:val="IASBNormalnparaL3P"/>
    <w:uiPriority w:val="8"/>
    <w:rsid w:val="004E6FD5"/>
    <w:pPr>
      <w:ind w:left="3912"/>
    </w:pPr>
  </w:style>
  <w:style w:type="paragraph" w:customStyle="1" w:styleId="IASBNormalnparaL5P">
    <w:name w:val="IASB Normal nparaL5P"/>
    <w:basedOn w:val="IASBNormalnparaL4P"/>
    <w:uiPriority w:val="8"/>
    <w:rsid w:val="004E6FD5"/>
    <w:pPr>
      <w:ind w:left="4751"/>
    </w:pPr>
  </w:style>
  <w:style w:type="paragraph" w:customStyle="1" w:styleId="IASBBlockquoteL1">
    <w:name w:val="IASB BlockquoteL1"/>
    <w:basedOn w:val="IASBBlockquote"/>
    <w:uiPriority w:val="8"/>
    <w:rsid w:val="004E6FD5"/>
    <w:pPr>
      <w:ind w:left="2347" w:hanging="782"/>
    </w:pPr>
  </w:style>
  <w:style w:type="paragraph" w:customStyle="1" w:styleId="IASBBlockquoteL2">
    <w:name w:val="IASB BlockquoteL2"/>
    <w:basedOn w:val="IASBBlockquoteL1"/>
    <w:uiPriority w:val="8"/>
    <w:rsid w:val="004E6FD5"/>
    <w:pPr>
      <w:ind w:left="3129"/>
    </w:pPr>
  </w:style>
  <w:style w:type="paragraph" w:customStyle="1" w:styleId="IASBNormalL2">
    <w:name w:val="IASB Normal L2"/>
    <w:basedOn w:val="IASBNormalL1"/>
    <w:uiPriority w:val="8"/>
    <w:rsid w:val="004E6FD5"/>
    <w:pPr>
      <w:ind w:left="1564"/>
    </w:pPr>
  </w:style>
  <w:style w:type="paragraph" w:customStyle="1" w:styleId="IASBTOCQuartery">
    <w:name w:val="IASB TOC Quartery"/>
    <w:basedOn w:val="IASBTOCTertiary"/>
    <w:uiPriority w:val="8"/>
    <w:rsid w:val="004E6FD5"/>
    <w:pPr>
      <w:ind w:left="851"/>
    </w:pPr>
  </w:style>
  <w:style w:type="paragraph" w:customStyle="1" w:styleId="IASBNoteTitle">
    <w:name w:val="IASB Note Title"/>
    <w:basedOn w:val="IASBTOCPrimary"/>
    <w:uiPriority w:val="8"/>
    <w:rsid w:val="004E6FD5"/>
    <w:pPr>
      <w:jc w:val="center"/>
    </w:pPr>
    <w:rPr>
      <w:b w:val="0"/>
      <w:caps w:val="0"/>
      <w:sz w:val="24"/>
    </w:rPr>
  </w:style>
  <w:style w:type="paragraph" w:customStyle="1" w:styleId="IASBNormalL1P">
    <w:name w:val="IASB Normal L1P"/>
    <w:basedOn w:val="IASBNormalL1"/>
    <w:uiPriority w:val="8"/>
    <w:qFormat/>
    <w:rsid w:val="004E6FD5"/>
    <w:pPr>
      <w:ind w:firstLine="0"/>
    </w:pPr>
  </w:style>
  <w:style w:type="paragraph" w:customStyle="1" w:styleId="IASBNormalL2P">
    <w:name w:val="IASB Normal L2P"/>
    <w:basedOn w:val="IASBNormalL1P"/>
    <w:uiPriority w:val="8"/>
    <w:qFormat/>
    <w:rsid w:val="004E6FD5"/>
    <w:pPr>
      <w:ind w:left="1565"/>
    </w:pPr>
  </w:style>
  <w:style w:type="paragraph" w:customStyle="1" w:styleId="IASBNormalnparaC">
    <w:name w:val="IASB Normal nparaC"/>
    <w:basedOn w:val="IASBNormalnpara"/>
    <w:uiPriority w:val="8"/>
    <w:qFormat/>
    <w:rsid w:val="004E6FD5"/>
    <w:pPr>
      <w:spacing w:before="0"/>
    </w:pPr>
  </w:style>
  <w:style w:type="paragraph" w:customStyle="1" w:styleId="IASBEdupara">
    <w:name w:val="IASB Edu para"/>
    <w:basedOn w:val="IASBNormal"/>
    <w:uiPriority w:val="8"/>
    <w:qFormat/>
    <w:rsid w:val="004E6FD5"/>
  </w:style>
  <w:style w:type="paragraph" w:customStyle="1" w:styleId="IASBTableBoldTNR">
    <w:name w:val="IASB Table Bold TNR"/>
    <w:basedOn w:val="Normal"/>
    <w:uiPriority w:val="8"/>
    <w:qFormat/>
    <w:rsid w:val="004E6FD5"/>
    <w:pPr>
      <w:spacing w:before="120"/>
    </w:pPr>
    <w:rPr>
      <w:b/>
      <w:szCs w:val="20"/>
      <w:lang w:eastAsia="en-GB"/>
    </w:rPr>
  </w:style>
  <w:style w:type="paragraph" w:customStyle="1" w:styleId="IASBTableHeaderTNR">
    <w:name w:val="IASB Table Header TNR"/>
    <w:basedOn w:val="Normal"/>
    <w:uiPriority w:val="8"/>
    <w:qFormat/>
    <w:rsid w:val="004E6FD5"/>
    <w:pPr>
      <w:keepNext/>
      <w:spacing w:before="120" w:after="200" w:line="276" w:lineRule="auto"/>
    </w:pPr>
    <w:rPr>
      <w:szCs w:val="20"/>
      <w:lang w:eastAsia="en-GB"/>
    </w:rPr>
  </w:style>
  <w:style w:type="paragraph" w:customStyle="1" w:styleId="IASBTableTNR">
    <w:name w:val="IASB Table TNR"/>
    <w:basedOn w:val="Normal"/>
    <w:uiPriority w:val="8"/>
    <w:qFormat/>
    <w:rsid w:val="004E6FD5"/>
    <w:pPr>
      <w:spacing w:before="120"/>
    </w:pPr>
    <w:rPr>
      <w:szCs w:val="20"/>
      <w:lang w:eastAsia="en-GB"/>
    </w:rPr>
  </w:style>
  <w:style w:type="paragraph" w:customStyle="1" w:styleId="IASBTableArial">
    <w:name w:val="IASB Table Arial"/>
    <w:basedOn w:val="Normal"/>
    <w:uiPriority w:val="8"/>
    <w:rsid w:val="004E6FD5"/>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4E6FD5"/>
    <w:rPr>
      <w:b/>
    </w:rPr>
  </w:style>
  <w:style w:type="paragraph" w:customStyle="1" w:styleId="IASBTableHeaderArial">
    <w:name w:val="IASB Table Header Arial"/>
    <w:basedOn w:val="IASBTableArial"/>
    <w:uiPriority w:val="8"/>
    <w:qFormat/>
    <w:rsid w:val="004E6FD5"/>
    <w:pPr>
      <w:keepNext/>
      <w:spacing w:after="200" w:line="276" w:lineRule="auto"/>
    </w:pPr>
  </w:style>
  <w:style w:type="character" w:styleId="EndnoteReference">
    <w:name w:val="endnote reference"/>
    <w:uiPriority w:val="99"/>
    <w:semiHidden/>
    <w:unhideWhenUsed/>
    <w:rsid w:val="004E6FD5"/>
    <w:rPr>
      <w:vertAlign w:val="superscript"/>
    </w:rPr>
  </w:style>
  <w:style w:type="paragraph" w:customStyle="1" w:styleId="ConvSectionTitle">
    <w:name w:val="Conv Section Title"/>
    <w:basedOn w:val="IASBSectionTitle1NonInd"/>
    <w:uiPriority w:val="9"/>
    <w:qFormat/>
    <w:rsid w:val="004E6FD5"/>
    <w:pPr>
      <w:pBdr>
        <w:bottom w:val="none" w:sz="0" w:space="0" w:color="auto"/>
      </w:pBdr>
    </w:pPr>
  </w:style>
  <w:style w:type="paragraph" w:customStyle="1" w:styleId="ConvStandardTitle1">
    <w:name w:val="Conv Standard Title 1"/>
    <w:basedOn w:val="Normal"/>
    <w:next w:val="ConvStandardTitle2"/>
    <w:uiPriority w:val="9"/>
    <w:qFormat/>
    <w:rsid w:val="004E6FD5"/>
    <w:pPr>
      <w:spacing w:before="300"/>
    </w:pPr>
    <w:rPr>
      <w:rFonts w:ascii="Arial" w:hAnsi="Arial"/>
      <w:b/>
      <w:sz w:val="26"/>
    </w:rPr>
  </w:style>
  <w:style w:type="paragraph" w:customStyle="1" w:styleId="ConvStandardTitle2">
    <w:name w:val="Conv Standard Title2"/>
    <w:basedOn w:val="ConvStandardTitle1"/>
    <w:uiPriority w:val="9"/>
    <w:qFormat/>
    <w:rsid w:val="004E6FD5"/>
    <w:pPr>
      <w:spacing w:before="0" w:after="200"/>
    </w:pPr>
    <w:rPr>
      <w:i/>
    </w:rPr>
  </w:style>
  <w:style w:type="paragraph" w:customStyle="1" w:styleId="AASBBase">
    <w:name w:val="AASB Base"/>
    <w:qFormat/>
    <w:rsid w:val="004E6FD5"/>
    <w:pPr>
      <w:jc w:val="both"/>
    </w:pPr>
    <w:rPr>
      <w:sz w:val="19"/>
      <w:lang w:eastAsia="en-US"/>
    </w:rPr>
  </w:style>
  <w:style w:type="paragraph" w:customStyle="1" w:styleId="AASBPara">
    <w:name w:val="AASB Para"/>
    <w:basedOn w:val="AASBBase"/>
    <w:qFormat/>
    <w:rsid w:val="004E6FD5"/>
    <w:pPr>
      <w:spacing w:after="200"/>
    </w:pPr>
  </w:style>
  <w:style w:type="paragraph" w:customStyle="1" w:styleId="AASBStandardCover">
    <w:name w:val="AASB Standard Cover"/>
    <w:semiHidden/>
    <w:qFormat/>
    <w:rsid w:val="004E6FD5"/>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4E6FD5"/>
    <w:pPr>
      <w:jc w:val="right"/>
    </w:pPr>
    <w:rPr>
      <w:b w:val="0"/>
      <w:sz w:val="24"/>
    </w:rPr>
  </w:style>
  <w:style w:type="paragraph" w:customStyle="1" w:styleId="AASBStandardNumber">
    <w:name w:val="AASB Standard Number"/>
    <w:basedOn w:val="AASBStandardCover"/>
    <w:semiHidden/>
    <w:qFormat/>
    <w:rsid w:val="004E6FD5"/>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4E6FD5"/>
    <w:pPr>
      <w:spacing w:before="800"/>
    </w:pPr>
    <w:rPr>
      <w:b w:val="0"/>
      <w:sz w:val="50"/>
    </w:rPr>
  </w:style>
  <w:style w:type="paragraph" w:customStyle="1" w:styleId="AASBInterpretationCover">
    <w:name w:val="AASB Interpretation Cover"/>
    <w:basedOn w:val="AASBStandardCover"/>
    <w:semiHidden/>
    <w:qFormat/>
    <w:rsid w:val="004E6FD5"/>
    <w:rPr>
      <w:color w:val="41AD49"/>
    </w:rPr>
  </w:style>
  <w:style w:type="paragraph" w:customStyle="1" w:styleId="AASBInterpretationDate">
    <w:name w:val="AASB Interpretation Date"/>
    <w:basedOn w:val="AASBStandardDate"/>
    <w:semiHidden/>
    <w:qFormat/>
    <w:rsid w:val="004E6FD5"/>
    <w:rPr>
      <w:color w:val="41AD49"/>
    </w:rPr>
  </w:style>
  <w:style w:type="paragraph" w:customStyle="1" w:styleId="AASBInterpretationNumber">
    <w:name w:val="AASB Interpretation Number"/>
    <w:basedOn w:val="AASBStandardNumber"/>
    <w:semiHidden/>
    <w:qFormat/>
    <w:rsid w:val="004E6FD5"/>
    <w:rPr>
      <w:color w:val="41AD49"/>
    </w:rPr>
  </w:style>
  <w:style w:type="paragraph" w:customStyle="1" w:styleId="AASBInterpretationTitle">
    <w:name w:val="AASB Interpretation Title"/>
    <w:basedOn w:val="AASBStandardTitle"/>
    <w:semiHidden/>
    <w:qFormat/>
    <w:rsid w:val="004E6FD5"/>
    <w:rPr>
      <w:color w:val="41AD49"/>
    </w:rPr>
  </w:style>
  <w:style w:type="table" w:styleId="TableGrid">
    <w:name w:val="Table Grid"/>
    <w:basedOn w:val="TableNormal"/>
    <w:uiPriority w:val="59"/>
    <w:rsid w:val="004E6FD5"/>
    <w:tblPr/>
  </w:style>
  <w:style w:type="paragraph" w:customStyle="1" w:styleId="ContentsHeading">
    <w:name w:val="Contents Heading"/>
    <w:basedOn w:val="AASBBase"/>
    <w:next w:val="ContentsLevel1"/>
    <w:qFormat/>
    <w:rsid w:val="004E6FD5"/>
    <w:pPr>
      <w:spacing w:after="60"/>
      <w:jc w:val="right"/>
    </w:pPr>
    <w:rPr>
      <w:i/>
    </w:rPr>
  </w:style>
  <w:style w:type="paragraph" w:customStyle="1" w:styleId="ContentsLevel1">
    <w:name w:val="Contents Level1"/>
    <w:basedOn w:val="AASBBase"/>
    <w:qFormat/>
    <w:rsid w:val="004E6FD5"/>
    <w:pPr>
      <w:tabs>
        <w:tab w:val="right" w:pos="9027"/>
      </w:tabs>
      <w:spacing w:after="60"/>
      <w:ind w:right="1134"/>
    </w:pPr>
    <w:rPr>
      <w:b/>
      <w:caps/>
    </w:rPr>
  </w:style>
  <w:style w:type="paragraph" w:customStyle="1" w:styleId="ContentsLevel2">
    <w:name w:val="Contents Level2"/>
    <w:basedOn w:val="ContentsLevel1"/>
    <w:uiPriority w:val="7"/>
    <w:qFormat/>
    <w:rsid w:val="004E6FD5"/>
    <w:rPr>
      <w:caps w:val="0"/>
    </w:rPr>
  </w:style>
  <w:style w:type="paragraph" w:customStyle="1" w:styleId="ContentsLevel3">
    <w:name w:val="Contents Level3"/>
    <w:basedOn w:val="ContentsLevel2"/>
    <w:uiPriority w:val="7"/>
    <w:qFormat/>
    <w:rsid w:val="004E6FD5"/>
    <w:pPr>
      <w:ind w:left="510"/>
    </w:pPr>
    <w:rPr>
      <w:b w:val="0"/>
    </w:rPr>
  </w:style>
  <w:style w:type="paragraph" w:customStyle="1" w:styleId="ContentsLevel4">
    <w:name w:val="Contents Level4"/>
    <w:basedOn w:val="ContentsLevel3"/>
    <w:uiPriority w:val="7"/>
    <w:qFormat/>
    <w:rsid w:val="004E6FD5"/>
    <w:pPr>
      <w:ind w:left="850"/>
    </w:pPr>
  </w:style>
  <w:style w:type="paragraph" w:styleId="BalloonText">
    <w:name w:val="Balloon Text"/>
    <w:basedOn w:val="Normal"/>
    <w:link w:val="BalloonTextChar"/>
    <w:uiPriority w:val="99"/>
    <w:semiHidden/>
    <w:unhideWhenUsed/>
    <w:rsid w:val="004E6F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FD5"/>
    <w:rPr>
      <w:rFonts w:ascii="Segoe UI" w:hAnsi="Segoe UI" w:cs="Segoe UI"/>
      <w:sz w:val="18"/>
      <w:szCs w:val="18"/>
      <w:lang w:eastAsia="en-US"/>
    </w:rPr>
  </w:style>
  <w:style w:type="paragraph" w:customStyle="1" w:styleId="RDRM1">
    <w:name w:val="RDRM1"/>
    <w:basedOn w:val="IASBNormalnpara"/>
    <w:uiPriority w:val="5"/>
    <w:qFormat/>
    <w:rsid w:val="004E6FD5"/>
    <w:pPr>
      <w:shd w:val="pct15" w:color="auto" w:fill="auto"/>
    </w:pPr>
  </w:style>
  <w:style w:type="paragraph" w:customStyle="1" w:styleId="RDRM2">
    <w:name w:val="RDRM2"/>
    <w:basedOn w:val="RDRM1"/>
    <w:uiPriority w:val="5"/>
    <w:qFormat/>
    <w:rsid w:val="004E6FD5"/>
    <w:pPr>
      <w:tabs>
        <w:tab w:val="left" w:pos="782"/>
      </w:tabs>
      <w:ind w:left="1565" w:hanging="1565"/>
    </w:pPr>
  </w:style>
  <w:style w:type="paragraph" w:customStyle="1" w:styleId="RDRM3">
    <w:name w:val="RDRM3"/>
    <w:basedOn w:val="RDRM2"/>
    <w:uiPriority w:val="5"/>
    <w:qFormat/>
    <w:rsid w:val="004E6FD5"/>
    <w:pPr>
      <w:tabs>
        <w:tab w:val="clear" w:pos="782"/>
        <w:tab w:val="left" w:pos="1565"/>
      </w:tabs>
      <w:ind w:left="2347" w:hanging="2347"/>
    </w:pPr>
  </w:style>
  <w:style w:type="paragraph" w:customStyle="1" w:styleId="RDRM4">
    <w:name w:val="RDRM4"/>
    <w:basedOn w:val="RDRM3"/>
    <w:uiPriority w:val="5"/>
    <w:qFormat/>
    <w:rsid w:val="004E6FD5"/>
    <w:pPr>
      <w:tabs>
        <w:tab w:val="clear" w:pos="1565"/>
        <w:tab w:val="left" w:pos="2347"/>
      </w:tabs>
      <w:ind w:left="3130" w:hanging="3130"/>
    </w:pPr>
  </w:style>
  <w:style w:type="paragraph" w:customStyle="1" w:styleId="AusPlain">
    <w:name w:val="Aus Plain"/>
    <w:basedOn w:val="IASBNormalnpara"/>
    <w:uiPriority w:val="1"/>
    <w:qFormat/>
    <w:rsid w:val="004E6FD5"/>
    <w:pPr>
      <w:ind w:left="1565" w:hanging="1565"/>
    </w:pPr>
  </w:style>
  <w:style w:type="paragraph" w:customStyle="1" w:styleId="AusBold">
    <w:name w:val="Aus Bold"/>
    <w:basedOn w:val="AusPlain"/>
    <w:uiPriority w:val="2"/>
    <w:qFormat/>
    <w:rsid w:val="004E6FD5"/>
    <w:rPr>
      <w:b/>
    </w:rPr>
  </w:style>
  <w:style w:type="paragraph" w:customStyle="1" w:styleId="AusPlainRDR">
    <w:name w:val="Aus Plain RDR"/>
    <w:basedOn w:val="AusPlain"/>
    <w:uiPriority w:val="3"/>
    <w:qFormat/>
    <w:rsid w:val="004E6FD5"/>
    <w:pPr>
      <w:shd w:val="pct15" w:color="auto" w:fill="auto"/>
    </w:pPr>
  </w:style>
  <w:style w:type="paragraph" w:customStyle="1" w:styleId="AusBoldRDR">
    <w:name w:val="Aus Bold RDR"/>
    <w:basedOn w:val="AusBold"/>
    <w:uiPriority w:val="4"/>
    <w:qFormat/>
    <w:rsid w:val="004E6FD5"/>
    <w:pPr>
      <w:shd w:val="pct15" w:color="auto" w:fill="auto"/>
    </w:pPr>
  </w:style>
  <w:style w:type="paragraph" w:customStyle="1" w:styleId="RDR11">
    <w:name w:val="RDR11"/>
    <w:basedOn w:val="IASBNormalnparaL1"/>
    <w:uiPriority w:val="6"/>
    <w:qFormat/>
    <w:rsid w:val="004E6FD5"/>
    <w:pPr>
      <w:shd w:val="pct15" w:color="auto" w:fill="auto"/>
    </w:pPr>
  </w:style>
  <w:style w:type="paragraph" w:customStyle="1" w:styleId="RDR12">
    <w:name w:val="RDR12"/>
    <w:basedOn w:val="RDR11"/>
    <w:uiPriority w:val="6"/>
    <w:qFormat/>
    <w:rsid w:val="004E6FD5"/>
    <w:pPr>
      <w:tabs>
        <w:tab w:val="left" w:pos="1565"/>
      </w:tabs>
      <w:ind w:left="2347" w:hanging="1565"/>
    </w:pPr>
  </w:style>
  <w:style w:type="paragraph" w:customStyle="1" w:styleId="RDR13">
    <w:name w:val="RDR13"/>
    <w:basedOn w:val="RDR12"/>
    <w:uiPriority w:val="6"/>
    <w:qFormat/>
    <w:rsid w:val="004E6FD5"/>
    <w:pPr>
      <w:tabs>
        <w:tab w:val="clear" w:pos="1565"/>
        <w:tab w:val="left" w:pos="2347"/>
      </w:tabs>
      <w:ind w:left="3129" w:hanging="2347"/>
    </w:pPr>
  </w:style>
  <w:style w:type="paragraph" w:customStyle="1" w:styleId="RDR21">
    <w:name w:val="RDR21"/>
    <w:basedOn w:val="IASBNormalnparaL2"/>
    <w:uiPriority w:val="6"/>
    <w:qFormat/>
    <w:rsid w:val="004E6FD5"/>
    <w:pPr>
      <w:shd w:val="pct15" w:color="auto" w:fill="auto"/>
    </w:pPr>
  </w:style>
  <w:style w:type="paragraph" w:customStyle="1" w:styleId="RDR22">
    <w:name w:val="RDR22"/>
    <w:basedOn w:val="RDR21"/>
    <w:uiPriority w:val="6"/>
    <w:qFormat/>
    <w:rsid w:val="004E6FD5"/>
    <w:pPr>
      <w:tabs>
        <w:tab w:val="left" w:pos="2347"/>
      </w:tabs>
      <w:ind w:left="3130" w:hanging="1565"/>
    </w:pPr>
  </w:style>
  <w:style w:type="table" w:styleId="TableGrid1">
    <w:name w:val="Table Grid 1"/>
    <w:basedOn w:val="TableNormal"/>
    <w:uiPriority w:val="99"/>
    <w:semiHidden/>
    <w:unhideWhenUsed/>
    <w:rsid w:val="004E6FD5"/>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nhideWhenUsed/>
    <w:rsid w:val="0009365F"/>
    <w:rPr>
      <w:sz w:val="16"/>
      <w:szCs w:val="16"/>
    </w:rPr>
  </w:style>
  <w:style w:type="paragraph" w:styleId="CommentText">
    <w:name w:val="annotation text"/>
    <w:basedOn w:val="Normal"/>
    <w:link w:val="CommentTextChar"/>
    <w:unhideWhenUsed/>
    <w:rsid w:val="0009365F"/>
    <w:rPr>
      <w:sz w:val="20"/>
      <w:szCs w:val="20"/>
    </w:rPr>
  </w:style>
  <w:style w:type="character" w:customStyle="1" w:styleId="CommentTextChar">
    <w:name w:val="Comment Text Char"/>
    <w:basedOn w:val="DefaultParagraphFont"/>
    <w:link w:val="CommentText"/>
    <w:rsid w:val="0009365F"/>
    <w:rPr>
      <w:lang w:eastAsia="en-US"/>
    </w:rPr>
  </w:style>
  <w:style w:type="paragraph" w:styleId="CommentSubject">
    <w:name w:val="annotation subject"/>
    <w:basedOn w:val="CommentText"/>
    <w:next w:val="CommentText"/>
    <w:link w:val="CommentSubjectChar"/>
    <w:uiPriority w:val="99"/>
    <w:semiHidden/>
    <w:unhideWhenUsed/>
    <w:rsid w:val="0069046E"/>
    <w:rPr>
      <w:b/>
      <w:bCs/>
    </w:rPr>
  </w:style>
  <w:style w:type="character" w:customStyle="1" w:styleId="CommentSubjectChar">
    <w:name w:val="Comment Subject Char"/>
    <w:basedOn w:val="CommentTextChar"/>
    <w:link w:val="CommentSubject"/>
    <w:uiPriority w:val="99"/>
    <w:semiHidden/>
    <w:rsid w:val="0069046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10.xml"/><Relationship Id="rId33"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FCCCD-33B2-496E-9EBF-861F4FAE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Template>
  <TotalTime>182</TotalTime>
  <Pages>21</Pages>
  <Words>6876</Words>
  <Characters>38720</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45505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John Hamilton</cp:lastModifiedBy>
  <cp:revision>27</cp:revision>
  <dcterms:created xsi:type="dcterms:W3CDTF">2015-07-20T23:37:00Z</dcterms:created>
  <dcterms:modified xsi:type="dcterms:W3CDTF">2015-08-19T04:41:00Z</dcterms:modified>
</cp:coreProperties>
</file>