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2A" w:rsidRPr="000C5DAC" w:rsidRDefault="00B2192A" w:rsidP="00B2192A">
      <w:pPr>
        <w:spacing w:before="0" w:after="120"/>
        <w:ind w:right="91"/>
        <w:jc w:val="center"/>
        <w:rPr>
          <w:rFonts w:ascii="Arial" w:hAnsi="Arial" w:cs="Arial"/>
          <w:b/>
          <w:szCs w:val="24"/>
          <w:u w:val="single"/>
        </w:rPr>
      </w:pPr>
      <w:bookmarkStart w:id="0" w:name="_GoBack"/>
      <w:bookmarkEnd w:id="0"/>
      <w:r w:rsidRPr="000C5DAC">
        <w:rPr>
          <w:rFonts w:ascii="Arial" w:hAnsi="Arial" w:cs="Arial"/>
          <w:b/>
          <w:szCs w:val="24"/>
          <w:u w:val="single"/>
        </w:rPr>
        <w:t xml:space="preserve">EXPLANATORY STATEMENT </w:t>
      </w:r>
    </w:p>
    <w:p w:rsidR="00B2192A" w:rsidRPr="000C5DAC" w:rsidRDefault="00B2192A" w:rsidP="00B2192A">
      <w:pPr>
        <w:spacing w:before="0"/>
        <w:ind w:right="91"/>
        <w:jc w:val="center"/>
        <w:rPr>
          <w:rFonts w:ascii="Arial" w:hAnsi="Arial" w:cs="Arial"/>
          <w:b/>
          <w:szCs w:val="24"/>
          <w:u w:val="single"/>
        </w:rPr>
      </w:pPr>
    </w:p>
    <w:p w:rsidR="00B2192A" w:rsidRPr="000C5DAC" w:rsidRDefault="00B2192A" w:rsidP="00B2192A">
      <w:pPr>
        <w:spacing w:before="0"/>
        <w:ind w:right="91"/>
        <w:jc w:val="center"/>
        <w:rPr>
          <w:rFonts w:ascii="Arial" w:hAnsi="Arial" w:cs="Arial"/>
          <w:szCs w:val="24"/>
        </w:rPr>
      </w:pPr>
      <w:r w:rsidRPr="000C5DAC">
        <w:rPr>
          <w:rFonts w:ascii="Arial" w:hAnsi="Arial" w:cs="Arial"/>
          <w:szCs w:val="24"/>
        </w:rPr>
        <w:t xml:space="preserve">Issued by the authority of the Minister for Social Services </w:t>
      </w:r>
    </w:p>
    <w:p w:rsidR="00B2192A" w:rsidRPr="000C5DAC" w:rsidRDefault="00B2192A" w:rsidP="00B2192A">
      <w:pPr>
        <w:autoSpaceDE w:val="0"/>
        <w:autoSpaceDN w:val="0"/>
        <w:adjustRightInd w:val="0"/>
        <w:jc w:val="center"/>
        <w:rPr>
          <w:rFonts w:ascii="Arial" w:hAnsi="Arial" w:cs="Arial"/>
          <w:b/>
          <w:bCs/>
          <w:szCs w:val="24"/>
        </w:rPr>
      </w:pPr>
      <w:r w:rsidRPr="000C5DAC">
        <w:rPr>
          <w:rFonts w:ascii="Arial" w:hAnsi="Arial" w:cs="Arial"/>
          <w:bCs/>
          <w:i/>
          <w:szCs w:val="24"/>
        </w:rPr>
        <w:t>Social Security Act 1991</w:t>
      </w:r>
    </w:p>
    <w:p w:rsidR="00B2192A" w:rsidRPr="000C5DAC" w:rsidRDefault="00B2192A" w:rsidP="00B2192A">
      <w:pPr>
        <w:autoSpaceDE w:val="0"/>
        <w:autoSpaceDN w:val="0"/>
        <w:adjustRightInd w:val="0"/>
        <w:jc w:val="center"/>
        <w:rPr>
          <w:rFonts w:ascii="Arial" w:hAnsi="Arial" w:cs="Arial"/>
          <w:bCs/>
          <w:i/>
          <w:szCs w:val="24"/>
        </w:rPr>
      </w:pPr>
      <w:r w:rsidRPr="000C5DAC">
        <w:rPr>
          <w:rFonts w:ascii="Arial" w:hAnsi="Arial" w:cs="Arial"/>
          <w:bCs/>
          <w:i/>
          <w:szCs w:val="24"/>
        </w:rPr>
        <w:t xml:space="preserve">Social Security (Class of Visas – </w:t>
      </w:r>
      <w:r>
        <w:rPr>
          <w:rFonts w:ascii="Arial" w:hAnsi="Arial" w:cs="Arial"/>
          <w:bCs/>
          <w:i/>
          <w:szCs w:val="24"/>
        </w:rPr>
        <w:t>Newly Arrived Resident’s Waiting Period for Special Benefit</w:t>
      </w:r>
      <w:r w:rsidRPr="000C5DAC">
        <w:rPr>
          <w:rFonts w:ascii="Arial" w:hAnsi="Arial" w:cs="Arial"/>
          <w:bCs/>
          <w:i/>
          <w:szCs w:val="24"/>
        </w:rPr>
        <w:t>) Determination 2015 (No. 2)</w:t>
      </w:r>
    </w:p>
    <w:p w:rsidR="00B2192A" w:rsidRPr="000C5DAC" w:rsidRDefault="00B2192A" w:rsidP="00B2192A">
      <w:pPr>
        <w:spacing w:before="0"/>
        <w:ind w:right="91"/>
        <w:jc w:val="center"/>
        <w:rPr>
          <w:rFonts w:ascii="Arial" w:hAnsi="Arial" w:cs="Arial"/>
          <w:i/>
          <w:szCs w:val="24"/>
        </w:rPr>
      </w:pPr>
    </w:p>
    <w:p w:rsidR="00B2192A" w:rsidRPr="000C5DAC" w:rsidRDefault="00B2192A" w:rsidP="00B2192A">
      <w:pPr>
        <w:spacing w:before="0"/>
        <w:ind w:right="91"/>
        <w:rPr>
          <w:rFonts w:ascii="Arial" w:hAnsi="Arial" w:cs="Arial"/>
          <w:b/>
          <w:szCs w:val="24"/>
        </w:rPr>
      </w:pPr>
      <w:r w:rsidRPr="000C5DAC">
        <w:rPr>
          <w:rFonts w:ascii="Arial" w:hAnsi="Arial" w:cs="Arial"/>
          <w:b/>
          <w:szCs w:val="24"/>
        </w:rPr>
        <w:t>Purpose</w:t>
      </w:r>
    </w:p>
    <w:p w:rsidR="007B0256" w:rsidRDefault="00B2192A" w:rsidP="00B2192A">
      <w:pPr>
        <w:rPr>
          <w:rFonts w:ascii="Arial" w:hAnsi="Arial" w:cs="Arial"/>
          <w:bCs/>
          <w:szCs w:val="24"/>
        </w:rPr>
      </w:pPr>
      <w:r w:rsidRPr="000C5DAC">
        <w:rPr>
          <w:rStyle w:val="BookTitle"/>
          <w:rFonts w:ascii="Arial" w:hAnsi="Arial" w:cs="Arial"/>
          <w:i w:val="0"/>
          <w:iCs w:val="0"/>
          <w:smallCaps w:val="0"/>
          <w:spacing w:val="0"/>
          <w:szCs w:val="24"/>
        </w:rPr>
        <w:t xml:space="preserve">The purpose of this Determination is to consolidate </w:t>
      </w:r>
      <w:r w:rsidR="009B189F">
        <w:rPr>
          <w:rStyle w:val="BookTitle"/>
          <w:rFonts w:ascii="Arial" w:hAnsi="Arial" w:cs="Arial"/>
          <w:i w:val="0"/>
          <w:iCs w:val="0"/>
          <w:smallCaps w:val="0"/>
          <w:spacing w:val="0"/>
          <w:szCs w:val="24"/>
        </w:rPr>
        <w:t xml:space="preserve">and remove redundant elements </w:t>
      </w:r>
      <w:r w:rsidR="002F7208">
        <w:rPr>
          <w:rStyle w:val="BookTitle"/>
          <w:rFonts w:ascii="Arial" w:hAnsi="Arial" w:cs="Arial"/>
          <w:i w:val="0"/>
          <w:iCs w:val="0"/>
          <w:smallCaps w:val="0"/>
          <w:spacing w:val="0"/>
          <w:szCs w:val="24"/>
        </w:rPr>
        <w:t>of</w:t>
      </w:r>
      <w:r w:rsidR="009B189F">
        <w:rPr>
          <w:rStyle w:val="BookTitle"/>
          <w:rFonts w:ascii="Arial" w:hAnsi="Arial" w:cs="Arial"/>
          <w:i w:val="0"/>
          <w:iCs w:val="0"/>
          <w:smallCaps w:val="0"/>
          <w:spacing w:val="0"/>
          <w:szCs w:val="24"/>
        </w:rPr>
        <w:t xml:space="preserve"> </w:t>
      </w:r>
      <w:r w:rsidRPr="000C5DAC">
        <w:rPr>
          <w:rStyle w:val="BookTitle"/>
          <w:rFonts w:ascii="Arial" w:hAnsi="Arial" w:cs="Arial"/>
          <w:i w:val="0"/>
          <w:iCs w:val="0"/>
          <w:smallCaps w:val="0"/>
          <w:spacing w:val="0"/>
          <w:szCs w:val="24"/>
        </w:rPr>
        <w:t xml:space="preserve">a number of determinations made under </w:t>
      </w:r>
      <w:r>
        <w:rPr>
          <w:rFonts w:ascii="Arial" w:hAnsi="Arial" w:cs="Arial"/>
          <w:color w:val="000000" w:themeColor="text1"/>
          <w:szCs w:val="24"/>
        </w:rPr>
        <w:t xml:space="preserve">paragraph </w:t>
      </w:r>
      <w:proofErr w:type="gramStart"/>
      <w:r>
        <w:rPr>
          <w:rFonts w:ascii="Arial" w:hAnsi="Arial" w:cs="Arial"/>
          <w:color w:val="000000" w:themeColor="text1"/>
          <w:szCs w:val="24"/>
        </w:rPr>
        <w:t>739A(</w:t>
      </w:r>
      <w:proofErr w:type="gramEnd"/>
      <w:r>
        <w:rPr>
          <w:rFonts w:ascii="Arial" w:hAnsi="Arial" w:cs="Arial"/>
          <w:color w:val="000000" w:themeColor="text1"/>
          <w:szCs w:val="24"/>
        </w:rPr>
        <w:t xml:space="preserve">3)(b), </w:t>
      </w:r>
      <w:r w:rsidRPr="005B6253">
        <w:rPr>
          <w:rFonts w:ascii="Arial" w:hAnsi="Arial" w:cs="Arial"/>
          <w:color w:val="000000" w:themeColor="text1"/>
          <w:szCs w:val="24"/>
        </w:rPr>
        <w:t>subsection 739A(6)</w:t>
      </w:r>
      <w:r>
        <w:rPr>
          <w:rFonts w:ascii="Arial" w:hAnsi="Arial" w:cs="Arial"/>
          <w:color w:val="000000" w:themeColor="text1"/>
          <w:szCs w:val="24"/>
        </w:rPr>
        <w:t xml:space="preserve"> and paragraph 739A(8)(c)</w:t>
      </w:r>
      <w:r w:rsidRPr="005B6253">
        <w:rPr>
          <w:rFonts w:ascii="Arial" w:hAnsi="Arial" w:cs="Arial"/>
          <w:color w:val="000000" w:themeColor="text1"/>
          <w:szCs w:val="24"/>
        </w:rPr>
        <w:t xml:space="preserve"> of the </w:t>
      </w:r>
      <w:r w:rsidRPr="005B6253">
        <w:rPr>
          <w:rFonts w:ascii="Arial" w:hAnsi="Arial" w:cs="Arial"/>
          <w:i/>
          <w:color w:val="000000" w:themeColor="text1"/>
          <w:szCs w:val="24"/>
        </w:rPr>
        <w:t>Social Security Act 1991</w:t>
      </w:r>
      <w:r w:rsidRPr="000C5DAC">
        <w:rPr>
          <w:rFonts w:ascii="Arial" w:hAnsi="Arial" w:cs="Arial"/>
          <w:bCs/>
          <w:szCs w:val="24"/>
        </w:rPr>
        <w:t xml:space="preserve"> (the</w:t>
      </w:r>
      <w:r w:rsidR="00295495">
        <w:rPr>
          <w:rFonts w:ascii="Arial" w:hAnsi="Arial" w:cs="Arial"/>
          <w:bCs/>
          <w:szCs w:val="24"/>
        </w:rPr>
        <w:t xml:space="preserve"> Social Security</w:t>
      </w:r>
      <w:r w:rsidRPr="000C5DAC">
        <w:rPr>
          <w:rFonts w:ascii="Arial" w:hAnsi="Arial" w:cs="Arial"/>
          <w:bCs/>
          <w:szCs w:val="24"/>
        </w:rPr>
        <w:t xml:space="preserve"> Act).</w:t>
      </w:r>
    </w:p>
    <w:p w:rsidR="00A74AFA" w:rsidRPr="002635EA" w:rsidRDefault="00A74AFA" w:rsidP="00A74AFA">
      <w:pPr>
        <w:rPr>
          <w:rFonts w:ascii="Arial" w:hAnsi="Arial" w:cs="Arial"/>
          <w:b/>
          <w:szCs w:val="24"/>
        </w:rPr>
      </w:pPr>
      <w:r w:rsidRPr="002635EA">
        <w:rPr>
          <w:rFonts w:ascii="Arial" w:hAnsi="Arial" w:cs="Arial"/>
          <w:b/>
          <w:szCs w:val="24"/>
        </w:rPr>
        <w:t>Background</w:t>
      </w:r>
    </w:p>
    <w:p w:rsidR="00A20531" w:rsidRPr="00A20531" w:rsidRDefault="00A20531" w:rsidP="00A74AFA">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Qualification for special benefit and the newly arrived resident’s waiting period</w:t>
      </w:r>
    </w:p>
    <w:p w:rsidR="00A74AFA" w:rsidRDefault="00A74AFA" w:rsidP="00A74AFA">
      <w:pPr>
        <w:rPr>
          <w:rStyle w:val="BookTitle"/>
          <w:rFonts w:ascii="Arial" w:hAnsi="Arial" w:cs="Arial"/>
          <w:i w:val="0"/>
          <w:iCs w:val="0"/>
          <w:smallCaps w:val="0"/>
          <w:spacing w:val="0"/>
          <w:szCs w:val="24"/>
        </w:rPr>
      </w:pPr>
      <w:r w:rsidRPr="00A74AFA">
        <w:rPr>
          <w:rStyle w:val="BookTitle"/>
          <w:rFonts w:ascii="Arial" w:hAnsi="Arial" w:cs="Arial"/>
          <w:i w:val="0"/>
          <w:iCs w:val="0"/>
          <w:smallCaps w:val="0"/>
          <w:spacing w:val="0"/>
          <w:szCs w:val="24"/>
        </w:rPr>
        <w:t>A person may be qualified for special benefit if, among other things, they are an Australian resident or the holder of a visa that is in a class of visas determined by the Minister for the purpose</w:t>
      </w:r>
      <w:r w:rsidR="00C5655C">
        <w:rPr>
          <w:rStyle w:val="BookTitle"/>
          <w:rFonts w:ascii="Arial" w:hAnsi="Arial" w:cs="Arial"/>
          <w:i w:val="0"/>
          <w:iCs w:val="0"/>
          <w:smallCaps w:val="0"/>
          <w:spacing w:val="0"/>
          <w:szCs w:val="24"/>
        </w:rPr>
        <w:t>s</w:t>
      </w:r>
      <w:r w:rsidRPr="00A74AFA">
        <w:rPr>
          <w:rStyle w:val="BookTitle"/>
          <w:rFonts w:ascii="Arial" w:hAnsi="Arial" w:cs="Arial"/>
          <w:i w:val="0"/>
          <w:iCs w:val="0"/>
          <w:smallCaps w:val="0"/>
          <w:spacing w:val="0"/>
          <w:szCs w:val="24"/>
        </w:rPr>
        <w:t xml:space="preserve"> of subparagraph 729(2)(f)(v) of the</w:t>
      </w:r>
      <w:r w:rsidR="00295495">
        <w:rPr>
          <w:rStyle w:val="BookTitle"/>
          <w:rFonts w:ascii="Arial" w:hAnsi="Arial" w:cs="Arial"/>
          <w:i w:val="0"/>
          <w:iCs w:val="0"/>
          <w:smallCaps w:val="0"/>
          <w:spacing w:val="0"/>
          <w:szCs w:val="24"/>
        </w:rPr>
        <w:t xml:space="preserve"> Social Security Act</w:t>
      </w:r>
      <w:r w:rsidRPr="00A74AFA">
        <w:rPr>
          <w:rStyle w:val="BookTitle"/>
          <w:rFonts w:ascii="Arial" w:hAnsi="Arial" w:cs="Arial"/>
          <w:i w:val="0"/>
          <w:iCs w:val="0"/>
          <w:smallCaps w:val="0"/>
          <w:spacing w:val="0"/>
          <w:szCs w:val="24"/>
        </w:rPr>
        <w:t xml:space="preserve">. The </w:t>
      </w:r>
      <w:r w:rsidRPr="00A74AFA">
        <w:rPr>
          <w:rStyle w:val="BookTitle"/>
          <w:rFonts w:ascii="Arial" w:hAnsi="Arial" w:cs="Arial"/>
          <w:iCs w:val="0"/>
          <w:smallCaps w:val="0"/>
          <w:spacing w:val="0"/>
          <w:szCs w:val="24"/>
        </w:rPr>
        <w:t>Social Security (Class of Visas – Qualification for Special Benefit) Determination 2015</w:t>
      </w:r>
      <w:r w:rsidRPr="00A74AFA">
        <w:rPr>
          <w:rStyle w:val="BookTitle"/>
          <w:rFonts w:ascii="Arial" w:hAnsi="Arial" w:cs="Arial"/>
          <w:i w:val="0"/>
          <w:iCs w:val="0"/>
          <w:smallCaps w:val="0"/>
          <w:spacing w:val="0"/>
          <w:szCs w:val="24"/>
        </w:rPr>
        <w:t xml:space="preserve"> </w:t>
      </w:r>
      <w:r w:rsidRPr="005017BE">
        <w:rPr>
          <w:rStyle w:val="BookTitle"/>
          <w:rFonts w:ascii="Arial" w:hAnsi="Arial" w:cs="Arial"/>
          <w:iCs w:val="0"/>
          <w:smallCaps w:val="0"/>
          <w:spacing w:val="0"/>
          <w:szCs w:val="24"/>
        </w:rPr>
        <w:t>(No. 2)</w:t>
      </w:r>
      <w:r>
        <w:rPr>
          <w:rStyle w:val="BookTitle"/>
          <w:rFonts w:ascii="Arial" w:hAnsi="Arial" w:cs="Arial"/>
          <w:i w:val="0"/>
          <w:iCs w:val="0"/>
          <w:smallCaps w:val="0"/>
          <w:spacing w:val="0"/>
          <w:szCs w:val="24"/>
        </w:rPr>
        <w:t xml:space="preserve"> </w:t>
      </w:r>
      <w:r w:rsidRPr="00A74AFA">
        <w:rPr>
          <w:rStyle w:val="BookTitle"/>
          <w:rFonts w:ascii="Arial" w:hAnsi="Arial" w:cs="Arial"/>
          <w:i w:val="0"/>
          <w:iCs w:val="0"/>
          <w:smallCaps w:val="0"/>
          <w:spacing w:val="0"/>
          <w:szCs w:val="24"/>
        </w:rPr>
        <w:t xml:space="preserve">determines a </w:t>
      </w:r>
      <w:r>
        <w:rPr>
          <w:rStyle w:val="BookTitle"/>
          <w:rFonts w:ascii="Arial" w:hAnsi="Arial" w:cs="Arial"/>
          <w:i w:val="0"/>
          <w:iCs w:val="0"/>
          <w:smallCaps w:val="0"/>
          <w:spacing w:val="0"/>
          <w:szCs w:val="24"/>
        </w:rPr>
        <w:t xml:space="preserve">number of </w:t>
      </w:r>
      <w:r w:rsidRPr="00A74AFA">
        <w:rPr>
          <w:rStyle w:val="BookTitle"/>
          <w:rFonts w:ascii="Arial" w:hAnsi="Arial" w:cs="Arial"/>
          <w:i w:val="0"/>
          <w:iCs w:val="0"/>
          <w:smallCaps w:val="0"/>
          <w:spacing w:val="0"/>
          <w:szCs w:val="24"/>
        </w:rPr>
        <w:t>class</w:t>
      </w:r>
      <w:r>
        <w:rPr>
          <w:rStyle w:val="BookTitle"/>
          <w:rFonts w:ascii="Arial" w:hAnsi="Arial" w:cs="Arial"/>
          <w:i w:val="0"/>
          <w:iCs w:val="0"/>
          <w:smallCaps w:val="0"/>
          <w:spacing w:val="0"/>
          <w:szCs w:val="24"/>
        </w:rPr>
        <w:t>es</w:t>
      </w:r>
      <w:r w:rsidRPr="00A74AFA">
        <w:rPr>
          <w:rStyle w:val="BookTitle"/>
          <w:rFonts w:ascii="Arial" w:hAnsi="Arial" w:cs="Arial"/>
          <w:i w:val="0"/>
          <w:iCs w:val="0"/>
          <w:smallCaps w:val="0"/>
          <w:spacing w:val="0"/>
          <w:szCs w:val="24"/>
        </w:rPr>
        <w:t xml:space="preserve"> of visas for the purpose</w:t>
      </w:r>
      <w:r w:rsidR="00C5655C">
        <w:rPr>
          <w:rStyle w:val="BookTitle"/>
          <w:rFonts w:ascii="Arial" w:hAnsi="Arial" w:cs="Arial"/>
          <w:i w:val="0"/>
          <w:iCs w:val="0"/>
          <w:smallCaps w:val="0"/>
          <w:spacing w:val="0"/>
          <w:szCs w:val="24"/>
        </w:rPr>
        <w:t>s</w:t>
      </w:r>
      <w:r w:rsidRPr="00A74AFA">
        <w:rPr>
          <w:rStyle w:val="BookTitle"/>
          <w:rFonts w:ascii="Arial" w:hAnsi="Arial" w:cs="Arial"/>
          <w:i w:val="0"/>
          <w:iCs w:val="0"/>
          <w:smallCaps w:val="0"/>
          <w:spacing w:val="0"/>
          <w:szCs w:val="24"/>
        </w:rPr>
        <w:t xml:space="preserve"> of subparagraph 729(2)(f)(v)</w:t>
      </w:r>
      <w:r>
        <w:rPr>
          <w:rStyle w:val="BookTitle"/>
          <w:rFonts w:ascii="Arial" w:hAnsi="Arial" w:cs="Arial"/>
          <w:i w:val="0"/>
          <w:iCs w:val="0"/>
          <w:smallCaps w:val="0"/>
          <w:spacing w:val="0"/>
          <w:szCs w:val="24"/>
        </w:rPr>
        <w:t>.</w:t>
      </w:r>
    </w:p>
    <w:p w:rsidR="00A74AFA" w:rsidRDefault="00A74AFA" w:rsidP="00A74AFA">
      <w:pPr>
        <w:rPr>
          <w:rStyle w:val="BookTitle"/>
          <w:rFonts w:ascii="Arial" w:hAnsi="Arial" w:cs="Arial"/>
          <w:i w:val="0"/>
          <w:iCs w:val="0"/>
          <w:smallCaps w:val="0"/>
          <w:spacing w:val="0"/>
          <w:szCs w:val="24"/>
        </w:rPr>
      </w:pPr>
      <w:r w:rsidRPr="00A74AFA">
        <w:rPr>
          <w:rStyle w:val="BookTitle"/>
          <w:rFonts w:ascii="Arial" w:hAnsi="Arial" w:cs="Arial"/>
          <w:i w:val="0"/>
          <w:iCs w:val="0"/>
          <w:smallCaps w:val="0"/>
          <w:spacing w:val="0"/>
          <w:szCs w:val="24"/>
        </w:rPr>
        <w:t xml:space="preserve">Subsection 739A(1) of the </w:t>
      </w:r>
      <w:r w:rsidR="00295495">
        <w:rPr>
          <w:rStyle w:val="BookTitle"/>
          <w:rFonts w:ascii="Arial" w:hAnsi="Arial" w:cs="Arial"/>
          <w:i w:val="0"/>
          <w:iCs w:val="0"/>
          <w:smallCaps w:val="0"/>
          <w:spacing w:val="0"/>
          <w:szCs w:val="24"/>
        </w:rPr>
        <w:t xml:space="preserve">Social Security </w:t>
      </w:r>
      <w:r w:rsidRPr="00A74AFA">
        <w:rPr>
          <w:rStyle w:val="BookTitle"/>
          <w:rFonts w:ascii="Arial" w:hAnsi="Arial" w:cs="Arial"/>
          <w:i w:val="0"/>
          <w:iCs w:val="0"/>
          <w:smallCaps w:val="0"/>
          <w:spacing w:val="0"/>
          <w:szCs w:val="24"/>
        </w:rPr>
        <w:t>Act provides that subject to some exceptions, certain persons are subject to a newly arrived resident’s waiting period</w:t>
      </w:r>
      <w:r w:rsidR="00A20531">
        <w:rPr>
          <w:rStyle w:val="BookTitle"/>
          <w:rFonts w:ascii="Arial" w:hAnsi="Arial" w:cs="Arial"/>
          <w:i w:val="0"/>
          <w:iCs w:val="0"/>
          <w:smallCaps w:val="0"/>
          <w:spacing w:val="0"/>
          <w:szCs w:val="24"/>
        </w:rPr>
        <w:t xml:space="preserve"> (NARWP)</w:t>
      </w:r>
      <w:r w:rsidRPr="00A74AFA">
        <w:rPr>
          <w:rStyle w:val="BookTitle"/>
          <w:rFonts w:ascii="Arial" w:hAnsi="Arial" w:cs="Arial"/>
          <w:i w:val="0"/>
          <w:iCs w:val="0"/>
          <w:smallCaps w:val="0"/>
          <w:spacing w:val="0"/>
          <w:szCs w:val="24"/>
        </w:rPr>
        <w:t xml:space="preserve">. This includes a person who enters Australia (paragraph 739A(1)(a)). </w:t>
      </w:r>
    </w:p>
    <w:p w:rsidR="00A20531" w:rsidRPr="00A20531" w:rsidRDefault="00A20531" w:rsidP="00A74AFA">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NARWP for a person who holds a visa determined for purposes of paragraph 739A(3)(b) of the Social Security Act</w:t>
      </w:r>
    </w:p>
    <w:p w:rsidR="00E804B2" w:rsidRDefault="003B213E" w:rsidP="00A74AF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Subsection 739A(3) of the </w:t>
      </w:r>
      <w:r w:rsidR="00295495">
        <w:rPr>
          <w:rStyle w:val="BookTitle"/>
          <w:rFonts w:ascii="Arial" w:hAnsi="Arial" w:cs="Arial"/>
          <w:i w:val="0"/>
          <w:iCs w:val="0"/>
          <w:smallCaps w:val="0"/>
          <w:spacing w:val="0"/>
          <w:szCs w:val="24"/>
        </w:rPr>
        <w:t xml:space="preserve">Social Security </w:t>
      </w:r>
      <w:r>
        <w:rPr>
          <w:rStyle w:val="BookTitle"/>
          <w:rFonts w:ascii="Arial" w:hAnsi="Arial" w:cs="Arial"/>
          <w:i w:val="0"/>
          <w:iCs w:val="0"/>
          <w:smallCaps w:val="0"/>
          <w:spacing w:val="0"/>
          <w:szCs w:val="24"/>
        </w:rPr>
        <w:t>Act provides that if</w:t>
      </w:r>
      <w:r w:rsidR="00E804B2">
        <w:rPr>
          <w:rStyle w:val="BookTitle"/>
          <w:rFonts w:ascii="Arial" w:hAnsi="Arial" w:cs="Arial"/>
          <w:i w:val="0"/>
          <w:iCs w:val="0"/>
          <w:smallCaps w:val="0"/>
          <w:spacing w:val="0"/>
          <w:szCs w:val="24"/>
        </w:rPr>
        <w:t>:</w:t>
      </w:r>
    </w:p>
    <w:p w:rsidR="00E804B2" w:rsidRPr="00E804B2" w:rsidRDefault="003B213E" w:rsidP="00E804B2">
      <w:pPr>
        <w:pStyle w:val="ListParagraph"/>
        <w:numPr>
          <w:ilvl w:val="0"/>
          <w:numId w:val="2"/>
        </w:numPr>
        <w:spacing w:before="240"/>
        <w:ind w:left="714" w:hanging="357"/>
        <w:rPr>
          <w:rStyle w:val="BookTitle"/>
          <w:rFonts w:cs="Arial"/>
          <w:i w:val="0"/>
          <w:iCs w:val="0"/>
          <w:smallCaps w:val="0"/>
          <w:spacing w:val="0"/>
          <w:sz w:val="24"/>
          <w:szCs w:val="24"/>
        </w:rPr>
      </w:pPr>
      <w:r w:rsidRPr="00E804B2">
        <w:rPr>
          <w:rStyle w:val="BookTitle"/>
          <w:rFonts w:cs="Arial"/>
          <w:i w:val="0"/>
          <w:iCs w:val="0"/>
          <w:smallCaps w:val="0"/>
          <w:spacing w:val="0"/>
          <w:sz w:val="24"/>
          <w:szCs w:val="24"/>
        </w:rPr>
        <w:t xml:space="preserve">a person is subject to a </w:t>
      </w:r>
      <w:r w:rsidR="00A20531" w:rsidRPr="00E804B2">
        <w:rPr>
          <w:rStyle w:val="BookTitle"/>
          <w:rFonts w:cs="Arial"/>
          <w:i w:val="0"/>
          <w:iCs w:val="0"/>
          <w:smallCaps w:val="0"/>
          <w:spacing w:val="0"/>
          <w:sz w:val="24"/>
          <w:szCs w:val="24"/>
        </w:rPr>
        <w:t>NARWP</w:t>
      </w:r>
      <w:r w:rsidR="00E804B2" w:rsidRPr="00E804B2">
        <w:rPr>
          <w:rStyle w:val="BookTitle"/>
          <w:rFonts w:cs="Arial"/>
          <w:i w:val="0"/>
          <w:iCs w:val="0"/>
          <w:smallCaps w:val="0"/>
          <w:spacing w:val="0"/>
          <w:sz w:val="24"/>
          <w:szCs w:val="24"/>
        </w:rPr>
        <w:t>; and</w:t>
      </w:r>
    </w:p>
    <w:p w:rsidR="00E804B2" w:rsidRPr="00E804B2" w:rsidRDefault="003B213E" w:rsidP="00E804B2">
      <w:pPr>
        <w:pStyle w:val="ListParagraph"/>
        <w:numPr>
          <w:ilvl w:val="0"/>
          <w:numId w:val="2"/>
        </w:numPr>
        <w:spacing w:before="240"/>
        <w:ind w:left="714" w:hanging="357"/>
        <w:rPr>
          <w:rStyle w:val="BookTitle"/>
          <w:rFonts w:cs="Arial"/>
          <w:i w:val="0"/>
          <w:iCs w:val="0"/>
          <w:smallCaps w:val="0"/>
          <w:spacing w:val="0"/>
          <w:sz w:val="24"/>
          <w:szCs w:val="24"/>
        </w:rPr>
      </w:pPr>
      <w:r w:rsidRPr="00E804B2">
        <w:rPr>
          <w:rStyle w:val="BookTitle"/>
          <w:rFonts w:cs="Arial"/>
          <w:i w:val="0"/>
          <w:iCs w:val="0"/>
          <w:smallCaps w:val="0"/>
          <w:spacing w:val="0"/>
          <w:sz w:val="24"/>
          <w:szCs w:val="24"/>
        </w:rPr>
        <w:t>applies for a visa that is in a class of visas determined by the Mini</w:t>
      </w:r>
      <w:r w:rsidR="00E804B2" w:rsidRPr="00E804B2">
        <w:rPr>
          <w:rStyle w:val="BookTitle"/>
          <w:rFonts w:cs="Arial"/>
          <w:i w:val="0"/>
          <w:iCs w:val="0"/>
          <w:smallCaps w:val="0"/>
          <w:spacing w:val="0"/>
          <w:sz w:val="24"/>
          <w:szCs w:val="24"/>
        </w:rPr>
        <w:t>ster by legislative instrument;</w:t>
      </w:r>
    </w:p>
    <w:p w:rsidR="00E804B2" w:rsidRPr="00E804B2" w:rsidRDefault="00E804B2" w:rsidP="00E804B2">
      <w:pPr>
        <w:pStyle w:val="ListParagraph"/>
        <w:spacing w:before="240"/>
        <w:ind w:left="714"/>
        <w:rPr>
          <w:rStyle w:val="BookTitle"/>
          <w:rFonts w:cs="Arial"/>
          <w:i w:val="0"/>
          <w:iCs w:val="0"/>
          <w:smallCaps w:val="0"/>
          <w:spacing w:val="0"/>
          <w:sz w:val="24"/>
          <w:szCs w:val="24"/>
        </w:rPr>
      </w:pPr>
    </w:p>
    <w:p w:rsidR="00E804B2" w:rsidRPr="00E804B2" w:rsidRDefault="003B213E" w:rsidP="00E804B2">
      <w:pPr>
        <w:pStyle w:val="ListParagraph"/>
        <w:spacing w:before="240"/>
        <w:ind w:left="357"/>
        <w:rPr>
          <w:rStyle w:val="BookTitle"/>
          <w:rFonts w:cs="Arial"/>
          <w:i w:val="0"/>
          <w:iCs w:val="0"/>
          <w:smallCaps w:val="0"/>
          <w:spacing w:val="0"/>
          <w:sz w:val="24"/>
          <w:szCs w:val="24"/>
        </w:rPr>
      </w:pPr>
      <w:r w:rsidRPr="00E804B2">
        <w:rPr>
          <w:rStyle w:val="BookTitle"/>
          <w:rFonts w:cs="Arial"/>
          <w:i w:val="0"/>
          <w:iCs w:val="0"/>
          <w:smallCaps w:val="0"/>
          <w:spacing w:val="0"/>
          <w:sz w:val="24"/>
          <w:szCs w:val="24"/>
        </w:rPr>
        <w:t xml:space="preserve">then the </w:t>
      </w:r>
      <w:r w:rsidR="00E804B2" w:rsidRPr="00E804B2">
        <w:rPr>
          <w:rStyle w:val="BookTitle"/>
          <w:rFonts w:cs="Arial"/>
          <w:i w:val="0"/>
          <w:iCs w:val="0"/>
          <w:smallCaps w:val="0"/>
          <w:spacing w:val="0"/>
          <w:sz w:val="24"/>
          <w:szCs w:val="24"/>
        </w:rPr>
        <w:t>NARWP:</w:t>
      </w:r>
      <w:r w:rsidRPr="00E804B2">
        <w:rPr>
          <w:rStyle w:val="BookTitle"/>
          <w:rFonts w:cs="Arial"/>
          <w:i w:val="0"/>
          <w:iCs w:val="0"/>
          <w:smallCaps w:val="0"/>
          <w:spacing w:val="0"/>
          <w:sz w:val="24"/>
          <w:szCs w:val="24"/>
        </w:rPr>
        <w:t xml:space="preserve"> </w:t>
      </w:r>
    </w:p>
    <w:p w:rsidR="00E804B2" w:rsidRPr="00E804B2" w:rsidRDefault="00E804B2" w:rsidP="00E804B2">
      <w:pPr>
        <w:pStyle w:val="ListParagraph"/>
        <w:spacing w:before="240"/>
        <w:ind w:left="714"/>
        <w:rPr>
          <w:rStyle w:val="BookTitle"/>
          <w:rFonts w:cs="Arial"/>
          <w:i w:val="0"/>
          <w:iCs w:val="0"/>
          <w:smallCaps w:val="0"/>
          <w:spacing w:val="0"/>
          <w:sz w:val="24"/>
          <w:szCs w:val="24"/>
        </w:rPr>
      </w:pPr>
    </w:p>
    <w:p w:rsidR="00E804B2" w:rsidRPr="00E804B2" w:rsidRDefault="003B213E" w:rsidP="00E804B2">
      <w:pPr>
        <w:pStyle w:val="ListParagraph"/>
        <w:numPr>
          <w:ilvl w:val="0"/>
          <w:numId w:val="2"/>
        </w:numPr>
        <w:spacing w:before="240"/>
        <w:ind w:left="714" w:hanging="357"/>
        <w:rPr>
          <w:rStyle w:val="BookTitle"/>
          <w:rFonts w:cs="Arial"/>
          <w:i w:val="0"/>
          <w:iCs w:val="0"/>
          <w:smallCaps w:val="0"/>
          <w:spacing w:val="0"/>
          <w:sz w:val="24"/>
          <w:szCs w:val="24"/>
        </w:rPr>
      </w:pPr>
      <w:r w:rsidRPr="00E804B2">
        <w:rPr>
          <w:rStyle w:val="BookTitle"/>
          <w:rFonts w:cs="Arial"/>
          <w:i w:val="0"/>
          <w:iCs w:val="0"/>
          <w:smallCaps w:val="0"/>
          <w:spacing w:val="0"/>
          <w:sz w:val="24"/>
          <w:szCs w:val="24"/>
        </w:rPr>
        <w:t>starts on the day on which the person applies for the visa</w:t>
      </w:r>
      <w:r w:rsidR="00E804B2" w:rsidRPr="00E804B2">
        <w:rPr>
          <w:rStyle w:val="BookTitle"/>
          <w:rFonts w:cs="Arial"/>
          <w:i w:val="0"/>
          <w:iCs w:val="0"/>
          <w:smallCaps w:val="0"/>
          <w:spacing w:val="0"/>
          <w:sz w:val="24"/>
          <w:szCs w:val="24"/>
        </w:rPr>
        <w:t>;</w:t>
      </w:r>
      <w:r w:rsidRPr="00E804B2">
        <w:rPr>
          <w:rStyle w:val="BookTitle"/>
          <w:rFonts w:cs="Arial"/>
          <w:i w:val="0"/>
          <w:iCs w:val="0"/>
          <w:smallCaps w:val="0"/>
          <w:spacing w:val="0"/>
          <w:sz w:val="24"/>
          <w:szCs w:val="24"/>
        </w:rPr>
        <w:t xml:space="preserve"> and </w:t>
      </w:r>
    </w:p>
    <w:p w:rsidR="003B213E" w:rsidRPr="00E804B2" w:rsidRDefault="003B213E" w:rsidP="00E804B2">
      <w:pPr>
        <w:pStyle w:val="ListParagraph"/>
        <w:numPr>
          <w:ilvl w:val="0"/>
          <w:numId w:val="2"/>
        </w:numPr>
        <w:spacing w:before="240"/>
        <w:ind w:left="714" w:hanging="357"/>
        <w:rPr>
          <w:rStyle w:val="BookTitle"/>
          <w:rFonts w:cs="Arial"/>
          <w:i w:val="0"/>
          <w:iCs w:val="0"/>
          <w:smallCaps w:val="0"/>
          <w:spacing w:val="0"/>
          <w:sz w:val="24"/>
          <w:szCs w:val="24"/>
        </w:rPr>
      </w:pPr>
      <w:r w:rsidRPr="00E804B2">
        <w:rPr>
          <w:rStyle w:val="BookTitle"/>
          <w:rFonts w:cs="Arial"/>
          <w:i w:val="0"/>
          <w:iCs w:val="0"/>
          <w:smallCaps w:val="0"/>
          <w:spacing w:val="0"/>
          <w:sz w:val="24"/>
          <w:szCs w:val="24"/>
        </w:rPr>
        <w:t>ends when the person has been in Australia for a period of, or periods totalling, 104 weeks after that day.</w:t>
      </w:r>
    </w:p>
    <w:p w:rsidR="00DC1EDC" w:rsidRPr="00DC1EDC" w:rsidRDefault="00DC1EDC" w:rsidP="00A74AF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Pr>
          <w:rStyle w:val="BookTitle"/>
          <w:rFonts w:ascii="Arial" w:hAnsi="Arial" w:cs="Arial"/>
          <w:iCs w:val="0"/>
          <w:smallCaps w:val="0"/>
          <w:spacing w:val="0"/>
          <w:szCs w:val="24"/>
        </w:rPr>
        <w:t xml:space="preserve">Social Security (Class of Visas – Newly Arrived Resident’s Waiting Period for Special Benefit) Determination 2009 </w:t>
      </w:r>
      <w:r>
        <w:rPr>
          <w:rStyle w:val="BookTitle"/>
          <w:rFonts w:ascii="Arial" w:hAnsi="Arial" w:cs="Arial"/>
          <w:i w:val="0"/>
          <w:iCs w:val="0"/>
          <w:smallCaps w:val="0"/>
          <w:spacing w:val="0"/>
          <w:szCs w:val="24"/>
        </w:rPr>
        <w:t xml:space="preserve">(the 2009 Determination) determines classes of visas for the purposes of paragraph 739A(3)(b).  This Determination revokes the </w:t>
      </w:r>
      <w:r>
        <w:rPr>
          <w:rStyle w:val="BookTitle"/>
          <w:rFonts w:ascii="Arial" w:hAnsi="Arial" w:cs="Arial"/>
          <w:i w:val="0"/>
          <w:iCs w:val="0"/>
          <w:smallCaps w:val="0"/>
          <w:spacing w:val="0"/>
          <w:szCs w:val="24"/>
        </w:rPr>
        <w:lastRenderedPageBreak/>
        <w:t xml:space="preserve">2009 Determination and determines visa classes </w:t>
      </w:r>
      <w:r w:rsidR="00C51AAD">
        <w:rPr>
          <w:rStyle w:val="BookTitle"/>
          <w:rFonts w:ascii="Arial" w:hAnsi="Arial" w:cs="Arial"/>
          <w:i w:val="0"/>
          <w:iCs w:val="0"/>
          <w:smallCaps w:val="0"/>
          <w:spacing w:val="0"/>
          <w:szCs w:val="24"/>
        </w:rPr>
        <w:t xml:space="preserve">currently determined in the 2009 Determination </w:t>
      </w:r>
      <w:r>
        <w:rPr>
          <w:rStyle w:val="BookTitle"/>
          <w:rFonts w:ascii="Arial" w:hAnsi="Arial" w:cs="Arial"/>
          <w:i w:val="0"/>
          <w:iCs w:val="0"/>
          <w:smallCaps w:val="0"/>
          <w:spacing w:val="0"/>
          <w:szCs w:val="24"/>
        </w:rPr>
        <w:t>that are still in effect.</w:t>
      </w:r>
    </w:p>
    <w:p w:rsidR="00E804B2" w:rsidRPr="00E804B2" w:rsidRDefault="00E804B2" w:rsidP="00DC1EDC">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NARWP does not apply to a person who holds a visa determined for the purposes of subsection 739A(6) of the Social Security Act</w:t>
      </w:r>
    </w:p>
    <w:p w:rsidR="00DC1EDC" w:rsidRDefault="00DC1EDC" w:rsidP="00DC1EDC">
      <w:pPr>
        <w:rPr>
          <w:rStyle w:val="BookTitle"/>
          <w:rFonts w:ascii="Arial" w:hAnsi="Arial" w:cs="Arial"/>
          <w:i w:val="0"/>
          <w:iCs w:val="0"/>
          <w:smallCaps w:val="0"/>
          <w:spacing w:val="0"/>
          <w:szCs w:val="24"/>
        </w:rPr>
      </w:pPr>
      <w:r w:rsidRPr="00DC1EDC">
        <w:rPr>
          <w:rStyle w:val="BookTitle"/>
          <w:rFonts w:ascii="Arial" w:hAnsi="Arial" w:cs="Arial"/>
          <w:i w:val="0"/>
          <w:iCs w:val="0"/>
          <w:smallCaps w:val="0"/>
          <w:spacing w:val="0"/>
          <w:szCs w:val="24"/>
        </w:rPr>
        <w:t xml:space="preserve">Subsection 739A(6) </w:t>
      </w:r>
      <w:r w:rsidR="00E804B2">
        <w:rPr>
          <w:rStyle w:val="BookTitle"/>
          <w:rFonts w:ascii="Arial" w:hAnsi="Arial" w:cs="Arial"/>
          <w:i w:val="0"/>
          <w:iCs w:val="0"/>
          <w:smallCaps w:val="0"/>
          <w:spacing w:val="0"/>
          <w:szCs w:val="24"/>
        </w:rPr>
        <w:t xml:space="preserve">of the Social Security Act </w:t>
      </w:r>
      <w:r w:rsidRPr="00DC1EDC">
        <w:rPr>
          <w:rStyle w:val="BookTitle"/>
          <w:rFonts w:ascii="Arial" w:hAnsi="Arial" w:cs="Arial"/>
          <w:i w:val="0"/>
          <w:iCs w:val="0"/>
          <w:smallCaps w:val="0"/>
          <w:spacing w:val="0"/>
          <w:szCs w:val="24"/>
        </w:rPr>
        <w:t xml:space="preserve">provides that the </w:t>
      </w:r>
      <w:r w:rsidR="00441B96">
        <w:rPr>
          <w:rStyle w:val="BookTitle"/>
          <w:rFonts w:ascii="Arial" w:hAnsi="Arial" w:cs="Arial"/>
          <w:i w:val="0"/>
          <w:iCs w:val="0"/>
          <w:smallCaps w:val="0"/>
          <w:spacing w:val="0"/>
          <w:szCs w:val="24"/>
        </w:rPr>
        <w:t>NARWP</w:t>
      </w:r>
      <w:r w:rsidRPr="00DC1EDC">
        <w:rPr>
          <w:rStyle w:val="BookTitle"/>
          <w:rFonts w:ascii="Arial" w:hAnsi="Arial" w:cs="Arial"/>
          <w:i w:val="0"/>
          <w:iCs w:val="0"/>
          <w:smallCaps w:val="0"/>
          <w:spacing w:val="0"/>
          <w:szCs w:val="24"/>
        </w:rPr>
        <w:t xml:space="preserve"> in subsection 739A(1) does not apply if the person holds, or was the former holder of, a visa in a class of visas determined by the Minister, by legislative instrument, for the purpose</w:t>
      </w:r>
      <w:r w:rsidR="00C51AAD">
        <w:rPr>
          <w:rStyle w:val="BookTitle"/>
          <w:rFonts w:ascii="Arial" w:hAnsi="Arial" w:cs="Arial"/>
          <w:i w:val="0"/>
          <w:iCs w:val="0"/>
          <w:smallCaps w:val="0"/>
          <w:spacing w:val="0"/>
          <w:szCs w:val="24"/>
        </w:rPr>
        <w:t>s</w:t>
      </w:r>
      <w:r w:rsidRPr="00DC1EDC">
        <w:rPr>
          <w:rStyle w:val="BookTitle"/>
          <w:rFonts w:ascii="Arial" w:hAnsi="Arial" w:cs="Arial"/>
          <w:i w:val="0"/>
          <w:iCs w:val="0"/>
          <w:smallCaps w:val="0"/>
          <w:spacing w:val="0"/>
          <w:szCs w:val="24"/>
        </w:rPr>
        <w:t xml:space="preserve"> of subsection 739A(6).</w:t>
      </w:r>
      <w:r w:rsidR="00BF6393">
        <w:rPr>
          <w:rStyle w:val="BookTitle"/>
          <w:rFonts w:ascii="Arial" w:hAnsi="Arial" w:cs="Arial"/>
          <w:i w:val="0"/>
          <w:iCs w:val="0"/>
          <w:smallCaps w:val="0"/>
          <w:spacing w:val="0"/>
          <w:szCs w:val="24"/>
        </w:rPr>
        <w:t xml:space="preserve">  A number of different visa classes have been determined for the purposes of subsection</w:t>
      </w:r>
      <w:r w:rsidR="00295495">
        <w:rPr>
          <w:rStyle w:val="BookTitle"/>
          <w:rFonts w:ascii="Arial" w:hAnsi="Arial" w:cs="Arial"/>
          <w:i w:val="0"/>
          <w:iCs w:val="0"/>
          <w:smallCaps w:val="0"/>
          <w:spacing w:val="0"/>
          <w:szCs w:val="24"/>
        </w:rPr>
        <w:t xml:space="preserve"> </w:t>
      </w:r>
      <w:proofErr w:type="gramStart"/>
      <w:r w:rsidR="00295495">
        <w:rPr>
          <w:rStyle w:val="BookTitle"/>
          <w:rFonts w:ascii="Arial" w:hAnsi="Arial" w:cs="Arial"/>
          <w:i w:val="0"/>
          <w:iCs w:val="0"/>
          <w:smallCaps w:val="0"/>
          <w:spacing w:val="0"/>
          <w:szCs w:val="24"/>
        </w:rPr>
        <w:t>73</w:t>
      </w:r>
      <w:r w:rsidR="00BF6393">
        <w:rPr>
          <w:rStyle w:val="BookTitle"/>
          <w:rFonts w:ascii="Arial" w:hAnsi="Arial" w:cs="Arial"/>
          <w:i w:val="0"/>
          <w:iCs w:val="0"/>
          <w:smallCaps w:val="0"/>
          <w:spacing w:val="0"/>
          <w:szCs w:val="24"/>
        </w:rPr>
        <w:t>9A(</w:t>
      </w:r>
      <w:proofErr w:type="gramEnd"/>
      <w:r w:rsidR="00BF6393">
        <w:rPr>
          <w:rStyle w:val="BookTitle"/>
          <w:rFonts w:ascii="Arial" w:hAnsi="Arial" w:cs="Arial"/>
          <w:i w:val="0"/>
          <w:iCs w:val="0"/>
          <w:smallCaps w:val="0"/>
          <w:spacing w:val="0"/>
          <w:szCs w:val="24"/>
        </w:rPr>
        <w:t xml:space="preserve">6) of the </w:t>
      </w:r>
      <w:r w:rsidR="00295495">
        <w:rPr>
          <w:rStyle w:val="BookTitle"/>
          <w:rFonts w:ascii="Arial" w:hAnsi="Arial" w:cs="Arial"/>
          <w:i w:val="0"/>
          <w:iCs w:val="0"/>
          <w:smallCaps w:val="0"/>
          <w:spacing w:val="0"/>
          <w:szCs w:val="24"/>
        </w:rPr>
        <w:t xml:space="preserve">Social Security </w:t>
      </w:r>
      <w:r w:rsidR="00BF6393">
        <w:rPr>
          <w:rStyle w:val="BookTitle"/>
          <w:rFonts w:ascii="Arial" w:hAnsi="Arial" w:cs="Arial"/>
          <w:i w:val="0"/>
          <w:iCs w:val="0"/>
          <w:smallCaps w:val="0"/>
          <w:spacing w:val="0"/>
          <w:szCs w:val="24"/>
        </w:rPr>
        <w:t xml:space="preserve">Act in </w:t>
      </w:r>
      <w:r w:rsidR="00BE6378">
        <w:rPr>
          <w:rStyle w:val="BookTitle"/>
          <w:rFonts w:ascii="Arial" w:hAnsi="Arial" w:cs="Arial"/>
          <w:i w:val="0"/>
          <w:iCs w:val="0"/>
          <w:smallCaps w:val="0"/>
          <w:spacing w:val="0"/>
          <w:szCs w:val="24"/>
        </w:rPr>
        <w:t>six</w:t>
      </w:r>
      <w:r w:rsidR="00BF6393">
        <w:rPr>
          <w:rStyle w:val="BookTitle"/>
          <w:rFonts w:ascii="Arial" w:hAnsi="Arial" w:cs="Arial"/>
          <w:i w:val="0"/>
          <w:iCs w:val="0"/>
          <w:smallCaps w:val="0"/>
          <w:spacing w:val="0"/>
          <w:szCs w:val="24"/>
        </w:rPr>
        <w:t xml:space="preserve"> separate determinations.  This Determination revokes those separate determinations and consolidates the visa classes into one determination.  Some redundant visa classes which are determined in the separate determinations have not been included in this Determination.</w:t>
      </w:r>
    </w:p>
    <w:p w:rsidR="00E804B2" w:rsidRPr="00E804B2" w:rsidRDefault="00E804B2" w:rsidP="00DC1EDC">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Exemption to NARWP for family members does not apply to a person who holds a visa determined for the purposes of paragraph 739A(8)(c) of the Social Security Act</w:t>
      </w:r>
    </w:p>
    <w:p w:rsidR="00BF6393" w:rsidRDefault="00295495" w:rsidP="0029549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Pr>
          <w:rStyle w:val="BookTitle"/>
          <w:rFonts w:ascii="Arial" w:hAnsi="Arial" w:cs="Arial"/>
          <w:iCs w:val="0"/>
          <w:smallCaps w:val="0"/>
          <w:spacing w:val="0"/>
          <w:szCs w:val="24"/>
        </w:rPr>
        <w:t>Social Security Legislation Amendment (Newly Arrived Resident’s Waiting Periods and Other Measures) Act 1997</w:t>
      </w:r>
      <w:r>
        <w:rPr>
          <w:rStyle w:val="BookTitle"/>
          <w:rFonts w:ascii="Arial" w:hAnsi="Arial" w:cs="Arial"/>
          <w:i w:val="0"/>
          <w:iCs w:val="0"/>
          <w:smallCaps w:val="0"/>
          <w:spacing w:val="0"/>
          <w:szCs w:val="24"/>
        </w:rPr>
        <w:t xml:space="preserve"> (the 1997 Act) amended the </w:t>
      </w:r>
      <w:r w:rsidR="00E804B2">
        <w:rPr>
          <w:rStyle w:val="BookTitle"/>
          <w:rFonts w:ascii="Arial" w:hAnsi="Arial" w:cs="Arial"/>
          <w:i w:val="0"/>
          <w:iCs w:val="0"/>
          <w:smallCaps w:val="0"/>
          <w:spacing w:val="0"/>
          <w:szCs w:val="24"/>
        </w:rPr>
        <w:t xml:space="preserve">Social Security </w:t>
      </w:r>
      <w:r>
        <w:rPr>
          <w:rStyle w:val="BookTitle"/>
          <w:rFonts w:ascii="Arial" w:hAnsi="Arial" w:cs="Arial"/>
          <w:i w:val="0"/>
          <w:iCs w:val="0"/>
          <w:smallCaps w:val="0"/>
          <w:spacing w:val="0"/>
          <w:szCs w:val="24"/>
        </w:rPr>
        <w:t xml:space="preserve">Act to insert a </w:t>
      </w:r>
      <w:r w:rsidR="00C51AAD">
        <w:rPr>
          <w:rStyle w:val="BookTitle"/>
          <w:rFonts w:ascii="Arial" w:hAnsi="Arial" w:cs="Arial"/>
          <w:i w:val="0"/>
          <w:iCs w:val="0"/>
          <w:smallCaps w:val="0"/>
          <w:spacing w:val="0"/>
          <w:szCs w:val="24"/>
        </w:rPr>
        <w:t>NARWP</w:t>
      </w:r>
      <w:r>
        <w:rPr>
          <w:rStyle w:val="BookTitle"/>
          <w:rFonts w:ascii="Arial" w:hAnsi="Arial" w:cs="Arial"/>
          <w:i w:val="0"/>
          <w:iCs w:val="0"/>
          <w:smallCaps w:val="0"/>
          <w:spacing w:val="0"/>
          <w:szCs w:val="24"/>
        </w:rPr>
        <w:t xml:space="preserve"> for a number of payments.  However, paragraph 3(1)(e)</w:t>
      </w:r>
      <w:r w:rsidR="00E804B2">
        <w:rPr>
          <w:rStyle w:val="BookTitle"/>
          <w:rFonts w:ascii="Arial" w:hAnsi="Arial" w:cs="Arial"/>
          <w:i w:val="0"/>
          <w:iCs w:val="0"/>
          <w:smallCaps w:val="0"/>
          <w:spacing w:val="0"/>
          <w:szCs w:val="24"/>
        </w:rPr>
        <w:t xml:space="preserve"> of the 1997 Act</w:t>
      </w:r>
      <w:r>
        <w:rPr>
          <w:rStyle w:val="BookTitle"/>
          <w:rFonts w:ascii="Arial" w:hAnsi="Arial" w:cs="Arial"/>
          <w:i w:val="0"/>
          <w:iCs w:val="0"/>
          <w:smallCaps w:val="0"/>
          <w:spacing w:val="0"/>
          <w:szCs w:val="24"/>
        </w:rPr>
        <w:t xml:space="preserve"> provides that any provision of that Act imposing a waiting period does not apply to a person who is a family member of an Australian citizen.  Further, paragraph 3(1)(g) of the 1997 Act provides that any provision of that Act imposing a waiting period does not apply to a person who is a family member of a person who has lawfully been a permanent resident of Australia at any time for a continuous period of not less than two years.</w:t>
      </w:r>
    </w:p>
    <w:p w:rsidR="00295495" w:rsidRDefault="00295495" w:rsidP="00DC1ED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Subsection 739A(8) of the Social Security Act provides that paragraphs 3(1)(e) and (g) of the 1997 Act do not apply to a person if:</w:t>
      </w:r>
    </w:p>
    <w:p w:rsidR="00295495" w:rsidRDefault="00295495" w:rsidP="00295495">
      <w:pPr>
        <w:pStyle w:val="ListParagraph"/>
        <w:numPr>
          <w:ilvl w:val="0"/>
          <w:numId w:val="1"/>
        </w:numPr>
        <w:spacing w:before="240" w:after="0"/>
        <w:ind w:left="714" w:hanging="357"/>
        <w:rPr>
          <w:rStyle w:val="BookTitle"/>
          <w:rFonts w:cs="Arial"/>
          <w:i w:val="0"/>
          <w:iCs w:val="0"/>
          <w:smallCaps w:val="0"/>
          <w:spacing w:val="0"/>
          <w:sz w:val="24"/>
          <w:szCs w:val="24"/>
        </w:rPr>
      </w:pPr>
      <w:r>
        <w:rPr>
          <w:rStyle w:val="BookTitle"/>
          <w:rFonts w:cs="Arial"/>
          <w:i w:val="0"/>
          <w:iCs w:val="0"/>
          <w:smallCaps w:val="0"/>
          <w:spacing w:val="0"/>
          <w:sz w:val="24"/>
          <w:szCs w:val="24"/>
        </w:rPr>
        <w:t>on or after 1 January 2012, the person makes a claim for special benefit; and</w:t>
      </w:r>
    </w:p>
    <w:p w:rsidR="00295495" w:rsidRDefault="00295495" w:rsidP="00295495">
      <w:pPr>
        <w:pStyle w:val="ListParagraph"/>
        <w:numPr>
          <w:ilvl w:val="0"/>
          <w:numId w:val="1"/>
        </w:numPr>
        <w:spacing w:before="240" w:after="0"/>
        <w:ind w:left="714" w:hanging="357"/>
        <w:rPr>
          <w:rStyle w:val="BookTitle"/>
          <w:rFonts w:cs="Arial"/>
          <w:i w:val="0"/>
          <w:iCs w:val="0"/>
          <w:smallCaps w:val="0"/>
          <w:spacing w:val="0"/>
          <w:sz w:val="24"/>
          <w:szCs w:val="24"/>
        </w:rPr>
      </w:pPr>
      <w:r>
        <w:rPr>
          <w:rStyle w:val="BookTitle"/>
          <w:rFonts w:cs="Arial"/>
          <w:i w:val="0"/>
          <w:iCs w:val="0"/>
          <w:smallCaps w:val="0"/>
          <w:spacing w:val="0"/>
          <w:sz w:val="24"/>
          <w:szCs w:val="24"/>
        </w:rPr>
        <w:t>subparagraph 729(2)(f)(v) of the Social Security Act applies to the person; and</w:t>
      </w:r>
    </w:p>
    <w:p w:rsidR="00295495" w:rsidRDefault="00295495" w:rsidP="00295495">
      <w:pPr>
        <w:pStyle w:val="ListParagraph"/>
        <w:numPr>
          <w:ilvl w:val="0"/>
          <w:numId w:val="1"/>
        </w:numPr>
        <w:spacing w:before="240" w:after="0"/>
        <w:ind w:left="714" w:hanging="357"/>
        <w:rPr>
          <w:rStyle w:val="BookTitle"/>
          <w:rFonts w:cs="Arial"/>
          <w:i w:val="0"/>
          <w:iCs w:val="0"/>
          <w:smallCaps w:val="0"/>
          <w:spacing w:val="0"/>
          <w:sz w:val="24"/>
          <w:szCs w:val="24"/>
        </w:rPr>
      </w:pPr>
      <w:r>
        <w:rPr>
          <w:rStyle w:val="BookTitle"/>
          <w:rFonts w:cs="Arial"/>
          <w:i w:val="0"/>
          <w:iCs w:val="0"/>
          <w:smallCaps w:val="0"/>
          <w:spacing w:val="0"/>
          <w:sz w:val="24"/>
          <w:szCs w:val="24"/>
        </w:rPr>
        <w:t>the visa the person holds is in a class of visas determined by the Minister by legislative instrument.</w:t>
      </w:r>
    </w:p>
    <w:p w:rsidR="00295495" w:rsidRDefault="00A20531" w:rsidP="0029549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Pr>
          <w:rStyle w:val="BookTitle"/>
          <w:rFonts w:ascii="Arial" w:hAnsi="Arial" w:cs="Arial"/>
          <w:iCs w:val="0"/>
          <w:smallCaps w:val="0"/>
          <w:spacing w:val="0"/>
          <w:szCs w:val="24"/>
        </w:rPr>
        <w:t xml:space="preserve">Social Security (Class of Visas – Newly Arrived Resident’s Waiting Period for Special Benefit) Determination 2011 </w:t>
      </w:r>
      <w:r>
        <w:rPr>
          <w:rStyle w:val="BookTitle"/>
          <w:rFonts w:ascii="Arial" w:hAnsi="Arial" w:cs="Arial"/>
          <w:i w:val="0"/>
          <w:iCs w:val="0"/>
          <w:smallCaps w:val="0"/>
          <w:spacing w:val="0"/>
          <w:szCs w:val="24"/>
        </w:rPr>
        <w:t xml:space="preserve">(the 2011 Determination) determines classes of visas for the purposes of paragraph 739A(8)(c).  This Determination revokes the 2011 Determination and determines the visa classes </w:t>
      </w:r>
      <w:r w:rsidR="00C51AAD">
        <w:rPr>
          <w:rStyle w:val="BookTitle"/>
          <w:rFonts w:ascii="Arial" w:hAnsi="Arial" w:cs="Arial"/>
          <w:i w:val="0"/>
          <w:iCs w:val="0"/>
          <w:smallCaps w:val="0"/>
          <w:spacing w:val="0"/>
          <w:szCs w:val="24"/>
        </w:rPr>
        <w:t xml:space="preserve">currently determined in the 2011 Determination </w:t>
      </w:r>
      <w:r>
        <w:rPr>
          <w:rStyle w:val="BookTitle"/>
          <w:rFonts w:ascii="Arial" w:hAnsi="Arial" w:cs="Arial"/>
          <w:i w:val="0"/>
          <w:iCs w:val="0"/>
          <w:smallCaps w:val="0"/>
          <w:spacing w:val="0"/>
          <w:szCs w:val="24"/>
        </w:rPr>
        <w:t>that are still in effect.</w:t>
      </w:r>
    </w:p>
    <w:p w:rsidR="00E804B2" w:rsidRPr="00E804B2" w:rsidRDefault="00E804B2" w:rsidP="00295495">
      <w:pPr>
        <w:rPr>
          <w:rStyle w:val="BookTitle"/>
          <w:rFonts w:ascii="Arial" w:hAnsi="Arial" w:cs="Arial"/>
          <w:i w:val="0"/>
          <w:iCs w:val="0"/>
          <w:smallCaps w:val="0"/>
          <w:spacing w:val="0"/>
          <w:szCs w:val="24"/>
          <w:u w:val="single"/>
        </w:rPr>
      </w:pPr>
      <w:r w:rsidRPr="00E804B2">
        <w:rPr>
          <w:rStyle w:val="BookTitle"/>
          <w:rFonts w:ascii="Arial" w:hAnsi="Arial" w:cs="Arial"/>
          <w:i w:val="0"/>
          <w:iCs w:val="0"/>
          <w:smallCaps w:val="0"/>
          <w:spacing w:val="0"/>
          <w:szCs w:val="24"/>
          <w:u w:val="single"/>
        </w:rPr>
        <w:t xml:space="preserve">Subsection </w:t>
      </w:r>
      <w:r w:rsidRPr="00E804B2">
        <w:rPr>
          <w:rFonts w:ascii="Arial" w:hAnsi="Arial" w:cs="Arial"/>
          <w:u w:val="single"/>
        </w:rPr>
        <w:t xml:space="preserve">33(3) of the </w:t>
      </w:r>
      <w:r w:rsidRPr="00E804B2">
        <w:rPr>
          <w:rFonts w:ascii="Arial" w:hAnsi="Arial" w:cs="Arial"/>
          <w:i/>
          <w:u w:val="single"/>
        </w:rPr>
        <w:t>Acts Interpretation Act 1901</w:t>
      </w:r>
    </w:p>
    <w:p w:rsidR="00A74AFA" w:rsidRDefault="00A20531" w:rsidP="00DC1EDC">
      <w:pPr>
        <w:rPr>
          <w:rFonts w:ascii="Arial" w:hAnsi="Arial" w:cs="Arial"/>
        </w:rPr>
      </w:pPr>
      <w:r w:rsidRPr="00435CA9">
        <w:rPr>
          <w:rFonts w:ascii="Arial" w:hAnsi="Arial" w:cs="Arial"/>
        </w:rPr>
        <w:t xml:space="preserve">Under subsection 33(3) of the </w:t>
      </w:r>
      <w:r w:rsidRPr="00435CA9">
        <w:rPr>
          <w:rFonts w:ascii="Arial" w:hAnsi="Arial" w:cs="Arial"/>
          <w:i/>
        </w:rPr>
        <w:t>Acts Interpretation Act 1901</w:t>
      </w:r>
      <w:r w:rsidRPr="00435CA9">
        <w:rPr>
          <w:rFonts w:ascii="Arial" w:hAnsi="Arial" w:cs="Arial"/>
        </w:rPr>
        <w:t>, where an Act confers a power to make any instrument of a legislative or administrative character, the power shall be construed as including a power exercisable in the like manner and subject to the like conditions (if any) to revoke such instrument</w:t>
      </w:r>
      <w:r>
        <w:rPr>
          <w:rFonts w:ascii="Arial" w:hAnsi="Arial" w:cs="Arial"/>
        </w:rPr>
        <w:t>.</w:t>
      </w:r>
    </w:p>
    <w:p w:rsidR="002635EA" w:rsidRDefault="002635EA" w:rsidP="00A74868">
      <w:pPr>
        <w:keepNext/>
        <w:rPr>
          <w:rFonts w:ascii="Arial" w:hAnsi="Arial" w:cs="Arial"/>
          <w:b/>
        </w:rPr>
      </w:pPr>
      <w:r>
        <w:rPr>
          <w:rFonts w:ascii="Arial" w:hAnsi="Arial" w:cs="Arial"/>
          <w:b/>
        </w:rPr>
        <w:lastRenderedPageBreak/>
        <w:t>Commencement</w:t>
      </w:r>
    </w:p>
    <w:p w:rsidR="002635EA" w:rsidRDefault="002635EA" w:rsidP="00DC1EDC">
      <w:pPr>
        <w:rPr>
          <w:rFonts w:ascii="Arial" w:hAnsi="Arial" w:cs="Arial"/>
        </w:rPr>
      </w:pPr>
      <w:r>
        <w:rPr>
          <w:rFonts w:ascii="Arial" w:hAnsi="Arial" w:cs="Arial"/>
        </w:rPr>
        <w:t>Th</w:t>
      </w:r>
      <w:r w:rsidR="00516E41">
        <w:rPr>
          <w:rFonts w:ascii="Arial" w:hAnsi="Arial" w:cs="Arial"/>
        </w:rPr>
        <w:t>is</w:t>
      </w:r>
      <w:r>
        <w:rPr>
          <w:rFonts w:ascii="Arial" w:hAnsi="Arial" w:cs="Arial"/>
        </w:rPr>
        <w:t xml:space="preserve"> Determination commences on 1 October 2015.</w:t>
      </w:r>
    </w:p>
    <w:p w:rsidR="002635EA" w:rsidRPr="00BC76EB" w:rsidRDefault="002635EA" w:rsidP="002635E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rsidR="002635EA" w:rsidRDefault="002635EA" w:rsidP="002635EA">
      <w:pPr>
        <w:rPr>
          <w:rFonts w:ascii="Arial" w:hAnsi="Arial" w:cs="Arial"/>
          <w:szCs w:val="24"/>
        </w:rPr>
      </w:pPr>
      <w:r>
        <w:rPr>
          <w:rFonts w:ascii="Arial" w:hAnsi="Arial" w:cs="Arial"/>
          <w:szCs w:val="24"/>
        </w:rPr>
        <w:t>The Department of Immigration and Border Protection was consulted to assist with ensuring that the visa classes determined by this Determination are current.</w:t>
      </w:r>
    </w:p>
    <w:p w:rsidR="002635EA" w:rsidRDefault="002635EA" w:rsidP="002635EA">
      <w:pPr>
        <w:rPr>
          <w:rFonts w:ascii="Arial" w:hAnsi="Arial" w:cs="Arial"/>
          <w:szCs w:val="24"/>
        </w:rPr>
      </w:pPr>
      <w:r>
        <w:rPr>
          <w:rFonts w:ascii="Arial" w:hAnsi="Arial" w:cs="Arial"/>
          <w:szCs w:val="24"/>
        </w:rPr>
        <w:t>The Attorney-General’s Department was consulted to ensure an accurate description of offences set out in subsection 6(2) of th</w:t>
      </w:r>
      <w:r w:rsidR="00516E41">
        <w:rPr>
          <w:rFonts w:ascii="Arial" w:hAnsi="Arial" w:cs="Arial"/>
          <w:szCs w:val="24"/>
        </w:rPr>
        <w:t>is</w:t>
      </w:r>
      <w:r>
        <w:rPr>
          <w:rFonts w:ascii="Arial" w:hAnsi="Arial" w:cs="Arial"/>
          <w:szCs w:val="24"/>
        </w:rPr>
        <w:t xml:space="preserve"> Determination.   </w:t>
      </w:r>
    </w:p>
    <w:p w:rsidR="002635EA" w:rsidRDefault="002635EA" w:rsidP="002635EA">
      <w:pPr>
        <w:rPr>
          <w:rFonts w:ascii="Arial" w:hAnsi="Arial" w:cs="Arial"/>
          <w:szCs w:val="24"/>
        </w:rPr>
      </w:pPr>
      <w:r>
        <w:rPr>
          <w:rFonts w:ascii="Arial" w:hAnsi="Arial" w:cs="Arial"/>
          <w:szCs w:val="24"/>
        </w:rPr>
        <w:t>Public consultation was considered unnecessary because this Determination is administrative in nature in consolidating current determinations.  There are no substantive changes to the law as a result of this Determination.</w:t>
      </w:r>
    </w:p>
    <w:p w:rsidR="002635EA" w:rsidRPr="00BC76EB" w:rsidRDefault="002635EA" w:rsidP="002635EA">
      <w:pPr>
        <w:spacing w:after="240"/>
        <w:jc w:val="both"/>
        <w:rPr>
          <w:rFonts w:ascii="Arial" w:hAnsi="Arial" w:cs="Arial"/>
          <w:b/>
          <w:szCs w:val="24"/>
        </w:rPr>
      </w:pPr>
      <w:r w:rsidRPr="00BC76EB">
        <w:rPr>
          <w:rFonts w:ascii="Arial" w:hAnsi="Arial" w:cs="Arial"/>
          <w:b/>
          <w:szCs w:val="24"/>
        </w:rPr>
        <w:t>Regulation Impact Statement (RIS)</w:t>
      </w:r>
    </w:p>
    <w:p w:rsidR="002635EA" w:rsidRPr="0019288B" w:rsidRDefault="002635EA" w:rsidP="002635EA">
      <w:pPr>
        <w:spacing w:before="120"/>
        <w:rPr>
          <w:rFonts w:ascii="Arial" w:hAnsi="Arial" w:cs="Arial"/>
          <w:szCs w:val="24"/>
        </w:rPr>
      </w:pPr>
      <w:r w:rsidRPr="0019288B">
        <w:rPr>
          <w:rFonts w:ascii="Arial" w:hAnsi="Arial" w:cs="Arial"/>
          <w:szCs w:val="24"/>
        </w:rPr>
        <w:t>Th</w:t>
      </w:r>
      <w:r w:rsidR="00516E41">
        <w:rPr>
          <w:rFonts w:ascii="Arial" w:hAnsi="Arial" w:cs="Arial"/>
          <w:szCs w:val="24"/>
        </w:rPr>
        <w:t>is</w:t>
      </w:r>
      <w:r w:rsidRPr="0019288B">
        <w:rPr>
          <w:rFonts w:ascii="Arial" w:hAnsi="Arial" w:cs="Arial"/>
          <w:szCs w:val="24"/>
        </w:rPr>
        <w:t xml:space="preserve"> Determination does not require a Regulation Impact Statement because the Determination is not regulatory in nature, will not impact on business activity and will have no or minimal compliance costs or competition impact.</w:t>
      </w:r>
    </w:p>
    <w:p w:rsidR="002635EA" w:rsidRPr="00BC76EB" w:rsidRDefault="002635EA" w:rsidP="002635E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2635EA" w:rsidRPr="00BC76EB" w:rsidRDefault="002635EA" w:rsidP="002635EA">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 1</w:t>
      </w:r>
      <w:r w:rsidRPr="00BC76EB">
        <w:rPr>
          <w:rStyle w:val="BookTitle"/>
          <w:rFonts w:ascii="Arial" w:hAnsi="Arial" w:cs="Arial"/>
          <w:i w:val="0"/>
          <w:iCs w:val="0"/>
          <w:smallCaps w:val="0"/>
          <w:spacing w:val="0"/>
          <w:szCs w:val="24"/>
        </w:rPr>
        <w:t xml:space="preserve"> </w:t>
      </w:r>
    </w:p>
    <w:p w:rsidR="002635EA" w:rsidRPr="00760A08" w:rsidRDefault="002635EA" w:rsidP="002635E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how the Determination is to be cited, that is, as the </w:t>
      </w:r>
      <w:r>
        <w:rPr>
          <w:rStyle w:val="BookTitle"/>
          <w:rFonts w:ascii="Arial" w:hAnsi="Arial" w:cs="Arial"/>
          <w:iCs w:val="0"/>
          <w:smallCaps w:val="0"/>
          <w:spacing w:val="0"/>
          <w:szCs w:val="24"/>
        </w:rPr>
        <w:t xml:space="preserve">Social Security </w:t>
      </w:r>
      <w:r w:rsidR="00A83E84">
        <w:rPr>
          <w:rStyle w:val="BookTitle"/>
          <w:rFonts w:ascii="Arial" w:hAnsi="Arial" w:cs="Arial"/>
          <w:iCs w:val="0"/>
          <w:smallCaps w:val="0"/>
          <w:spacing w:val="0"/>
          <w:szCs w:val="24"/>
        </w:rPr>
        <w:t>(</w:t>
      </w:r>
      <w:r w:rsidRPr="000C5DAC">
        <w:rPr>
          <w:rFonts w:ascii="Arial" w:hAnsi="Arial" w:cs="Arial"/>
          <w:bCs/>
          <w:i/>
          <w:szCs w:val="24"/>
        </w:rPr>
        <w:t xml:space="preserve">Class of Visas – </w:t>
      </w:r>
      <w:r w:rsidR="00A83E84">
        <w:rPr>
          <w:rFonts w:ascii="Arial" w:hAnsi="Arial" w:cs="Arial"/>
          <w:bCs/>
          <w:i/>
          <w:szCs w:val="24"/>
        </w:rPr>
        <w:t>Newly Arrived Resident’s Waiting Period for Special Benefit</w:t>
      </w:r>
      <w:r w:rsidRPr="000C5DAC">
        <w:rPr>
          <w:rFonts w:ascii="Arial" w:hAnsi="Arial" w:cs="Arial"/>
          <w:bCs/>
          <w:i/>
          <w:szCs w:val="24"/>
        </w:rPr>
        <w:t>) Determination 2015</w:t>
      </w:r>
      <w:r>
        <w:rPr>
          <w:rFonts w:ascii="Arial" w:hAnsi="Arial" w:cs="Arial"/>
          <w:bCs/>
          <w:i/>
          <w:szCs w:val="24"/>
        </w:rPr>
        <w:t xml:space="preserve"> </w:t>
      </w:r>
      <w:r w:rsidRPr="000C5DAC">
        <w:rPr>
          <w:rFonts w:ascii="Arial" w:hAnsi="Arial" w:cs="Arial"/>
          <w:bCs/>
          <w:i/>
          <w:szCs w:val="24"/>
        </w:rPr>
        <w:t>(No. 2)</w:t>
      </w:r>
      <w:r>
        <w:rPr>
          <w:rFonts w:ascii="Arial" w:hAnsi="Arial" w:cs="Arial"/>
          <w:bCs/>
          <w:szCs w:val="24"/>
        </w:rPr>
        <w:t>.</w:t>
      </w:r>
    </w:p>
    <w:p w:rsidR="002635EA" w:rsidRPr="00BC76EB" w:rsidRDefault="002635EA" w:rsidP="002635EA">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 xml:space="preserve">Section 2 </w:t>
      </w:r>
      <w:r w:rsidRPr="00BC76EB">
        <w:rPr>
          <w:rStyle w:val="BookTitle"/>
          <w:rFonts w:ascii="Arial" w:hAnsi="Arial" w:cs="Arial"/>
          <w:i w:val="0"/>
          <w:iCs w:val="0"/>
          <w:smallCaps w:val="0"/>
          <w:spacing w:val="0"/>
          <w:szCs w:val="24"/>
        </w:rPr>
        <w:t xml:space="preserve"> </w:t>
      </w:r>
    </w:p>
    <w:p w:rsidR="002635EA" w:rsidRDefault="002635EA" w:rsidP="002635EA">
      <w:pPr>
        <w:rPr>
          <w:rFonts w:ascii="Arial" w:hAnsi="Arial" w:cs="Arial"/>
          <w:color w:val="111111"/>
          <w:szCs w:val="24"/>
        </w:rPr>
      </w:pPr>
      <w:r>
        <w:rPr>
          <w:rFonts w:ascii="Arial" w:hAnsi="Arial" w:cs="Arial"/>
          <w:color w:val="111111"/>
          <w:szCs w:val="24"/>
        </w:rPr>
        <w:t>This section provides that the Determination commences on 1 October 2015.</w:t>
      </w:r>
    </w:p>
    <w:p w:rsidR="002635EA" w:rsidRDefault="002635EA" w:rsidP="002635EA">
      <w:pPr>
        <w:shd w:val="clear" w:color="auto" w:fill="FFFFFF"/>
        <w:spacing w:before="0"/>
        <w:textAlignment w:val="top"/>
        <w:rPr>
          <w:rFonts w:ascii="Arial" w:hAnsi="Arial" w:cs="Arial"/>
          <w:color w:val="000000" w:themeColor="text1"/>
          <w:szCs w:val="24"/>
          <w:u w:val="single"/>
        </w:rPr>
      </w:pPr>
    </w:p>
    <w:p w:rsidR="002635EA" w:rsidRDefault="002635EA" w:rsidP="002635EA">
      <w:pPr>
        <w:shd w:val="clear" w:color="auto" w:fill="FFFFFF"/>
        <w:spacing w:before="0"/>
        <w:textAlignment w:val="top"/>
        <w:rPr>
          <w:rFonts w:ascii="Arial" w:hAnsi="Arial" w:cs="Arial"/>
          <w:color w:val="000000" w:themeColor="text1"/>
          <w:szCs w:val="24"/>
          <w:u w:val="single"/>
        </w:rPr>
      </w:pPr>
      <w:r>
        <w:rPr>
          <w:rFonts w:ascii="Arial" w:hAnsi="Arial" w:cs="Arial"/>
          <w:color w:val="000000" w:themeColor="text1"/>
          <w:szCs w:val="24"/>
          <w:u w:val="single"/>
        </w:rPr>
        <w:t xml:space="preserve">Section 3 </w:t>
      </w:r>
    </w:p>
    <w:p w:rsidR="002635EA" w:rsidRDefault="002635EA" w:rsidP="002635EA">
      <w:pPr>
        <w:rPr>
          <w:rFonts w:ascii="Arial" w:hAnsi="Arial" w:cs="Arial"/>
          <w:color w:val="111111"/>
          <w:szCs w:val="24"/>
        </w:rPr>
      </w:pPr>
      <w:r>
        <w:rPr>
          <w:rFonts w:ascii="Arial" w:hAnsi="Arial" w:cs="Arial"/>
          <w:color w:val="111111"/>
          <w:szCs w:val="24"/>
        </w:rPr>
        <w:t>Section 3 provides that six determinations are revoked.  Those six determinations determine visa classes for the purpose</w:t>
      </w:r>
      <w:r w:rsidR="00516E41">
        <w:rPr>
          <w:rFonts w:ascii="Arial" w:hAnsi="Arial" w:cs="Arial"/>
          <w:color w:val="111111"/>
          <w:szCs w:val="24"/>
        </w:rPr>
        <w:t>s</w:t>
      </w:r>
      <w:r>
        <w:rPr>
          <w:rFonts w:ascii="Arial" w:hAnsi="Arial" w:cs="Arial"/>
          <w:color w:val="111111"/>
          <w:szCs w:val="24"/>
        </w:rPr>
        <w:t xml:space="preserve"> of paragraph 739A(3)(b), subsection 739A(6) and paragraph </w:t>
      </w:r>
      <w:r w:rsidR="009B70D2">
        <w:rPr>
          <w:rFonts w:ascii="Arial" w:hAnsi="Arial" w:cs="Arial"/>
          <w:color w:val="111111"/>
          <w:szCs w:val="24"/>
        </w:rPr>
        <w:t>739A(8)(c)</w:t>
      </w:r>
      <w:r>
        <w:rPr>
          <w:rFonts w:ascii="Arial" w:hAnsi="Arial" w:cs="Arial"/>
          <w:color w:val="111111"/>
          <w:szCs w:val="24"/>
        </w:rPr>
        <w:t xml:space="preserve"> of the Act.  The visa classes determined in those determinations, and which remain in effect under the </w:t>
      </w:r>
      <w:r>
        <w:rPr>
          <w:rFonts w:ascii="Arial" w:hAnsi="Arial" w:cs="Arial"/>
          <w:i/>
          <w:color w:val="111111"/>
          <w:szCs w:val="24"/>
        </w:rPr>
        <w:t>Migration Regulations 1994</w:t>
      </w:r>
      <w:r>
        <w:rPr>
          <w:rFonts w:ascii="Arial" w:hAnsi="Arial" w:cs="Arial"/>
          <w:color w:val="111111"/>
          <w:szCs w:val="24"/>
        </w:rPr>
        <w:t xml:space="preserve">, are now determined in this Determination.  As such, it is possible to revoke the </w:t>
      </w:r>
      <w:r w:rsidR="009B70D2">
        <w:rPr>
          <w:rFonts w:ascii="Arial" w:hAnsi="Arial" w:cs="Arial"/>
          <w:color w:val="111111"/>
          <w:szCs w:val="24"/>
        </w:rPr>
        <w:t>six</w:t>
      </w:r>
      <w:r>
        <w:rPr>
          <w:rFonts w:ascii="Arial" w:hAnsi="Arial" w:cs="Arial"/>
          <w:color w:val="111111"/>
          <w:szCs w:val="24"/>
        </w:rPr>
        <w:t xml:space="preserve"> determinations.</w:t>
      </w:r>
    </w:p>
    <w:p w:rsidR="009B70D2" w:rsidRDefault="009B70D2" w:rsidP="002635EA">
      <w:pPr>
        <w:rPr>
          <w:rStyle w:val="BookTitle"/>
          <w:rFonts w:ascii="Arial" w:hAnsi="Arial" w:cs="Arial"/>
          <w:i w:val="0"/>
          <w:iCs w:val="0"/>
          <w:smallCaps w:val="0"/>
          <w:spacing w:val="0"/>
        </w:rPr>
      </w:pPr>
      <w:r>
        <w:rPr>
          <w:rFonts w:ascii="Arial" w:hAnsi="Arial" w:cs="Arial"/>
          <w:color w:val="111111"/>
          <w:szCs w:val="24"/>
        </w:rPr>
        <w:t xml:space="preserve">The </w:t>
      </w:r>
      <w:r>
        <w:rPr>
          <w:rFonts w:ascii="Arial" w:hAnsi="Arial" w:cs="Arial"/>
          <w:i/>
          <w:color w:val="111111"/>
          <w:szCs w:val="24"/>
        </w:rPr>
        <w:t xml:space="preserve">Social Security (Class of Visas – Newly Arrived Resident’s Waiting Period for Special Benefit) Determination 2005 (No. 2) </w:t>
      </w:r>
      <w:r>
        <w:rPr>
          <w:rFonts w:ascii="Arial" w:hAnsi="Arial" w:cs="Arial"/>
          <w:color w:val="111111"/>
          <w:szCs w:val="24"/>
        </w:rPr>
        <w:t xml:space="preserve">has not been revoked because that determination </w:t>
      </w:r>
      <w:r w:rsidRPr="00EA4251">
        <w:rPr>
          <w:rStyle w:val="BookTitle"/>
          <w:rFonts w:ascii="Arial" w:hAnsi="Arial" w:cs="Arial"/>
          <w:i w:val="0"/>
          <w:iCs w:val="0"/>
          <w:smallCaps w:val="0"/>
          <w:spacing w:val="0"/>
          <w:szCs w:val="24"/>
        </w:rPr>
        <w:t>cease</w:t>
      </w:r>
      <w:r>
        <w:rPr>
          <w:rStyle w:val="BookTitle"/>
          <w:rFonts w:ascii="Arial" w:hAnsi="Arial" w:cs="Arial"/>
          <w:i w:val="0"/>
          <w:iCs w:val="0"/>
          <w:smallCaps w:val="0"/>
          <w:spacing w:val="0"/>
          <w:szCs w:val="24"/>
        </w:rPr>
        <w:t>s</w:t>
      </w:r>
      <w:r w:rsidRPr="00EA4251">
        <w:rPr>
          <w:rStyle w:val="BookTitle"/>
          <w:rFonts w:ascii="Arial" w:hAnsi="Arial" w:cs="Arial"/>
          <w:i w:val="0"/>
          <w:iCs w:val="0"/>
          <w:smallCaps w:val="0"/>
          <w:spacing w:val="0"/>
          <w:szCs w:val="24"/>
        </w:rPr>
        <w:t xml:space="preserve"> under Part 6 of the </w:t>
      </w:r>
      <w:r w:rsidRPr="00EA4251">
        <w:rPr>
          <w:rStyle w:val="BookTitle"/>
          <w:rFonts w:ascii="Arial" w:hAnsi="Arial" w:cs="Arial"/>
          <w:iCs w:val="0"/>
          <w:smallCaps w:val="0"/>
          <w:spacing w:val="0"/>
        </w:rPr>
        <w:t xml:space="preserve">Legislative Instruments Act 2003 </w:t>
      </w:r>
      <w:r w:rsidRPr="00EA4251">
        <w:rPr>
          <w:rStyle w:val="BookTitle"/>
          <w:rFonts w:ascii="Arial" w:hAnsi="Arial" w:cs="Arial"/>
          <w:i w:val="0"/>
          <w:iCs w:val="0"/>
          <w:smallCaps w:val="0"/>
          <w:spacing w:val="0"/>
        </w:rPr>
        <w:t>(sunsetting of legislat</w:t>
      </w:r>
      <w:r>
        <w:rPr>
          <w:rStyle w:val="BookTitle"/>
          <w:rFonts w:ascii="Arial" w:hAnsi="Arial" w:cs="Arial"/>
          <w:i w:val="0"/>
          <w:iCs w:val="0"/>
          <w:smallCaps w:val="0"/>
          <w:spacing w:val="0"/>
        </w:rPr>
        <w:t>ive instruments) on 1 October 2015.  This is the same day that this Determination commences.</w:t>
      </w:r>
    </w:p>
    <w:p w:rsidR="009B70D2" w:rsidRDefault="009B70D2" w:rsidP="00A74868">
      <w:pPr>
        <w:keepNext/>
        <w:rPr>
          <w:rStyle w:val="BookTitle"/>
          <w:rFonts w:ascii="Arial" w:hAnsi="Arial" w:cs="Arial"/>
          <w:i w:val="0"/>
          <w:iCs w:val="0"/>
          <w:smallCaps w:val="0"/>
          <w:spacing w:val="0"/>
          <w:u w:val="single"/>
        </w:rPr>
      </w:pPr>
      <w:r>
        <w:rPr>
          <w:rStyle w:val="BookTitle"/>
          <w:rFonts w:ascii="Arial" w:hAnsi="Arial" w:cs="Arial"/>
          <w:i w:val="0"/>
          <w:iCs w:val="0"/>
          <w:smallCaps w:val="0"/>
          <w:spacing w:val="0"/>
          <w:u w:val="single"/>
        </w:rPr>
        <w:lastRenderedPageBreak/>
        <w:t>Section 4</w:t>
      </w:r>
    </w:p>
    <w:p w:rsidR="009B70D2" w:rsidRDefault="009B70D2" w:rsidP="002635EA">
      <w:pPr>
        <w:rPr>
          <w:rStyle w:val="BookTitle"/>
          <w:rFonts w:ascii="Arial" w:hAnsi="Arial" w:cs="Arial"/>
          <w:i w:val="0"/>
          <w:iCs w:val="0"/>
          <w:smallCaps w:val="0"/>
          <w:spacing w:val="0"/>
        </w:rPr>
      </w:pPr>
      <w:r>
        <w:rPr>
          <w:rStyle w:val="BookTitle"/>
          <w:rFonts w:ascii="Arial" w:hAnsi="Arial" w:cs="Arial"/>
          <w:i w:val="0"/>
          <w:iCs w:val="0"/>
          <w:smallCaps w:val="0"/>
          <w:spacing w:val="0"/>
        </w:rPr>
        <w:t xml:space="preserve">Section 4 provides that in the Determination, “Act” means the </w:t>
      </w:r>
      <w:r>
        <w:rPr>
          <w:rStyle w:val="BookTitle"/>
          <w:rFonts w:ascii="Arial" w:hAnsi="Arial" w:cs="Arial"/>
          <w:iCs w:val="0"/>
          <w:smallCaps w:val="0"/>
          <w:spacing w:val="0"/>
        </w:rPr>
        <w:t>Social Security Act 1991</w:t>
      </w:r>
      <w:r>
        <w:rPr>
          <w:rStyle w:val="BookTitle"/>
          <w:rFonts w:ascii="Arial" w:hAnsi="Arial" w:cs="Arial"/>
          <w:i w:val="0"/>
          <w:iCs w:val="0"/>
          <w:smallCaps w:val="0"/>
          <w:spacing w:val="0"/>
        </w:rPr>
        <w:t>.</w:t>
      </w:r>
    </w:p>
    <w:p w:rsidR="009B70D2" w:rsidRDefault="009B70D2" w:rsidP="00983F84">
      <w:pPr>
        <w:keepNext/>
        <w:rPr>
          <w:rStyle w:val="BookTitle"/>
          <w:rFonts w:ascii="Arial" w:hAnsi="Arial" w:cs="Arial"/>
          <w:i w:val="0"/>
          <w:iCs w:val="0"/>
          <w:smallCaps w:val="0"/>
          <w:spacing w:val="0"/>
          <w:u w:val="single"/>
        </w:rPr>
      </w:pPr>
      <w:r>
        <w:rPr>
          <w:rStyle w:val="BookTitle"/>
          <w:rFonts w:ascii="Arial" w:hAnsi="Arial" w:cs="Arial"/>
          <w:i w:val="0"/>
          <w:iCs w:val="0"/>
          <w:smallCaps w:val="0"/>
          <w:spacing w:val="0"/>
          <w:u w:val="single"/>
        </w:rPr>
        <w:t>Section 5</w:t>
      </w:r>
    </w:p>
    <w:p w:rsidR="00A74868" w:rsidRDefault="00A83E84" w:rsidP="002635EA">
      <w:pPr>
        <w:rPr>
          <w:rFonts w:ascii="Arial" w:hAnsi="Arial" w:cs="Arial"/>
          <w:szCs w:val="24"/>
        </w:rPr>
      </w:pPr>
      <w:r>
        <w:rPr>
          <w:rStyle w:val="BookTitle"/>
          <w:rFonts w:ascii="Arial" w:hAnsi="Arial" w:cs="Arial"/>
          <w:i w:val="0"/>
          <w:iCs w:val="0"/>
          <w:smallCaps w:val="0"/>
          <w:spacing w:val="0"/>
        </w:rPr>
        <w:t xml:space="preserve">Section 5 determines </w:t>
      </w:r>
      <w:r w:rsidR="00A74868">
        <w:rPr>
          <w:rStyle w:val="BookTitle"/>
          <w:rFonts w:ascii="Arial" w:hAnsi="Arial" w:cs="Arial"/>
          <w:i w:val="0"/>
          <w:iCs w:val="0"/>
          <w:smallCaps w:val="0"/>
          <w:spacing w:val="0"/>
        </w:rPr>
        <w:t>Subclass 309 (Partner (Provisional)) and Subclass 820 (Partner) visas</w:t>
      </w:r>
      <w:r>
        <w:rPr>
          <w:rStyle w:val="BookTitle"/>
          <w:rFonts w:ascii="Arial" w:hAnsi="Arial" w:cs="Arial"/>
          <w:i w:val="0"/>
          <w:iCs w:val="0"/>
          <w:smallCaps w:val="0"/>
          <w:spacing w:val="0"/>
        </w:rPr>
        <w:t xml:space="preserve"> for the purposes of </w:t>
      </w:r>
      <w:r>
        <w:rPr>
          <w:rFonts w:ascii="Arial" w:hAnsi="Arial" w:cs="Arial"/>
          <w:szCs w:val="24"/>
        </w:rPr>
        <w:t>paragraph</w:t>
      </w:r>
      <w:r w:rsidRPr="005B6253">
        <w:rPr>
          <w:rFonts w:ascii="Arial" w:hAnsi="Arial" w:cs="Arial"/>
          <w:szCs w:val="24"/>
        </w:rPr>
        <w:t xml:space="preserve"> 739A</w:t>
      </w:r>
      <w:r>
        <w:rPr>
          <w:rFonts w:ascii="Arial" w:hAnsi="Arial" w:cs="Arial"/>
          <w:szCs w:val="24"/>
        </w:rPr>
        <w:t>(3)(b</w:t>
      </w:r>
      <w:r w:rsidRPr="005B6253">
        <w:rPr>
          <w:rFonts w:ascii="Arial" w:hAnsi="Arial" w:cs="Arial"/>
          <w:szCs w:val="24"/>
        </w:rPr>
        <w:t xml:space="preserve">) of the </w:t>
      </w:r>
      <w:r>
        <w:rPr>
          <w:rFonts w:ascii="Arial" w:hAnsi="Arial" w:cs="Arial"/>
          <w:szCs w:val="24"/>
        </w:rPr>
        <w:t>Social Security Act</w:t>
      </w:r>
      <w:r w:rsidR="00A74868">
        <w:rPr>
          <w:rFonts w:ascii="Arial" w:hAnsi="Arial" w:cs="Arial"/>
          <w:szCs w:val="24"/>
        </w:rPr>
        <w:t xml:space="preserve">.  The effect of this is that if a person is subject to a NARWP and applies for one of these visas, </w:t>
      </w:r>
      <w:r w:rsidR="00281F22">
        <w:rPr>
          <w:rFonts w:ascii="Arial" w:hAnsi="Arial" w:cs="Arial"/>
          <w:szCs w:val="24"/>
        </w:rPr>
        <w:t>the NARWP starts on the day on which the person applied for that visa and ends when the person has been in Australia for a period of, or periods totalling, 104 weeks after that day</w:t>
      </w:r>
      <w:r w:rsidR="00441B96">
        <w:rPr>
          <w:rStyle w:val="BookTitle"/>
          <w:rFonts w:ascii="Arial" w:hAnsi="Arial" w:cs="Arial"/>
          <w:i w:val="0"/>
          <w:iCs w:val="0"/>
          <w:smallCaps w:val="0"/>
          <w:spacing w:val="0"/>
          <w:szCs w:val="24"/>
        </w:rPr>
        <w:t>.</w:t>
      </w:r>
    </w:p>
    <w:p w:rsidR="00441B96" w:rsidRDefault="00441B96" w:rsidP="002635EA">
      <w:pPr>
        <w:rPr>
          <w:rFonts w:ascii="Arial" w:hAnsi="Arial" w:cs="Arial"/>
          <w:szCs w:val="24"/>
        </w:rPr>
      </w:pPr>
      <w:r>
        <w:rPr>
          <w:rStyle w:val="BookTitle"/>
          <w:rFonts w:ascii="Arial" w:hAnsi="Arial" w:cs="Arial"/>
          <w:i w:val="0"/>
          <w:iCs w:val="0"/>
          <w:smallCaps w:val="0"/>
          <w:spacing w:val="0"/>
        </w:rPr>
        <w:t>Subclass 309 (Partner (Provisional)) and Subclass 820 (Partner) visas</w:t>
      </w:r>
      <w:r w:rsidR="00A74868">
        <w:rPr>
          <w:rFonts w:ascii="Arial" w:hAnsi="Arial" w:cs="Arial"/>
          <w:szCs w:val="24"/>
        </w:rPr>
        <w:t xml:space="preserve"> are currently determined</w:t>
      </w:r>
      <w:r w:rsidR="00C51AAD">
        <w:rPr>
          <w:rFonts w:ascii="Arial" w:hAnsi="Arial" w:cs="Arial"/>
          <w:szCs w:val="24"/>
        </w:rPr>
        <w:t xml:space="preserve"> for the purposes of paragraph 739A(3)(b) of the Social Security Act</w:t>
      </w:r>
      <w:r w:rsidR="00A74868">
        <w:rPr>
          <w:rFonts w:ascii="Arial" w:hAnsi="Arial" w:cs="Arial"/>
          <w:szCs w:val="24"/>
        </w:rPr>
        <w:t xml:space="preserve"> in the 2009 Determination.</w:t>
      </w:r>
      <w:r>
        <w:rPr>
          <w:rFonts w:ascii="Arial" w:hAnsi="Arial" w:cs="Arial"/>
          <w:szCs w:val="24"/>
        </w:rPr>
        <w:t xml:space="preserve">  Subclass 310 (Interdependency</w:t>
      </w:r>
      <w:r w:rsidR="00BF3248">
        <w:rPr>
          <w:rFonts w:ascii="Arial" w:hAnsi="Arial" w:cs="Arial"/>
          <w:szCs w:val="24"/>
        </w:rPr>
        <w:t xml:space="preserve"> (Provisional)</w:t>
      </w:r>
      <w:r>
        <w:rPr>
          <w:rFonts w:ascii="Arial" w:hAnsi="Arial" w:cs="Arial"/>
          <w:szCs w:val="24"/>
        </w:rPr>
        <w:t>) and Subclass 826 (Interdependency</w:t>
      </w:r>
      <w:r w:rsidR="00BF3248">
        <w:rPr>
          <w:rFonts w:ascii="Arial" w:hAnsi="Arial" w:cs="Arial"/>
          <w:szCs w:val="24"/>
        </w:rPr>
        <w:t xml:space="preserve"> (Provisional)</w:t>
      </w:r>
      <w:r>
        <w:rPr>
          <w:rFonts w:ascii="Arial" w:hAnsi="Arial" w:cs="Arial"/>
          <w:szCs w:val="24"/>
        </w:rPr>
        <w:t xml:space="preserve">) visas are also determined for the purposes of paragraph </w:t>
      </w:r>
      <w:proofErr w:type="gramStart"/>
      <w:r>
        <w:rPr>
          <w:rFonts w:ascii="Arial" w:hAnsi="Arial" w:cs="Arial"/>
          <w:szCs w:val="24"/>
        </w:rPr>
        <w:t>739A(</w:t>
      </w:r>
      <w:proofErr w:type="gramEnd"/>
      <w:r>
        <w:rPr>
          <w:rFonts w:ascii="Arial" w:hAnsi="Arial" w:cs="Arial"/>
          <w:szCs w:val="24"/>
        </w:rPr>
        <w:t>3)(b) in the 2009 Determination</w:t>
      </w:r>
      <w:r w:rsidR="00C51AAD">
        <w:rPr>
          <w:rFonts w:ascii="Arial" w:hAnsi="Arial" w:cs="Arial"/>
          <w:szCs w:val="24"/>
        </w:rPr>
        <w:t xml:space="preserve"> but</w:t>
      </w:r>
      <w:r>
        <w:rPr>
          <w:rFonts w:ascii="Arial" w:hAnsi="Arial" w:cs="Arial"/>
          <w:szCs w:val="24"/>
        </w:rPr>
        <w:t xml:space="preserve"> have not been included in this Determination because they have been repealed.</w:t>
      </w:r>
    </w:p>
    <w:p w:rsidR="00441B96" w:rsidRDefault="00441B96" w:rsidP="002635EA">
      <w:pPr>
        <w:rPr>
          <w:rFonts w:ascii="Arial" w:hAnsi="Arial" w:cs="Arial"/>
          <w:szCs w:val="24"/>
          <w:u w:val="single"/>
        </w:rPr>
      </w:pPr>
      <w:r>
        <w:rPr>
          <w:rFonts w:ascii="Arial" w:hAnsi="Arial" w:cs="Arial"/>
          <w:szCs w:val="24"/>
          <w:u w:val="single"/>
        </w:rPr>
        <w:t>Section 6</w:t>
      </w:r>
    </w:p>
    <w:p w:rsidR="00141477" w:rsidRDefault="00441B96" w:rsidP="002635EA">
      <w:pPr>
        <w:rPr>
          <w:rFonts w:ascii="Arial" w:hAnsi="Arial" w:cs="Arial"/>
          <w:szCs w:val="24"/>
        </w:rPr>
      </w:pPr>
      <w:r>
        <w:rPr>
          <w:rFonts w:ascii="Arial" w:hAnsi="Arial" w:cs="Arial"/>
          <w:szCs w:val="24"/>
        </w:rPr>
        <w:t xml:space="preserve">Section 6 determines classes of visas for the purposes of subsection 739A(6) of the Social Security Act.  </w:t>
      </w:r>
      <w:r w:rsidR="00141477">
        <w:rPr>
          <w:rFonts w:ascii="Arial" w:hAnsi="Arial" w:cs="Arial"/>
          <w:szCs w:val="24"/>
        </w:rPr>
        <w:t>The classes of visas are:</w:t>
      </w:r>
    </w:p>
    <w:p w:rsidR="00141477" w:rsidRDefault="00141477" w:rsidP="00141477">
      <w:pPr>
        <w:pStyle w:val="subsection"/>
        <w:numPr>
          <w:ilvl w:val="0"/>
          <w:numId w:val="3"/>
        </w:numPr>
        <w:ind w:left="1412" w:hanging="561"/>
        <w:rPr>
          <w:rFonts w:ascii="Arial" w:hAnsi="Arial" w:cs="Arial"/>
          <w:sz w:val="24"/>
          <w:szCs w:val="24"/>
        </w:rPr>
      </w:pPr>
      <w:r w:rsidRPr="00141477">
        <w:rPr>
          <w:rFonts w:ascii="Arial" w:hAnsi="Arial" w:cs="Arial"/>
          <w:sz w:val="24"/>
          <w:szCs w:val="24"/>
        </w:rPr>
        <w:t xml:space="preserve">Subclass 070 (Bridging (Removal Pending)); </w:t>
      </w:r>
    </w:p>
    <w:p w:rsidR="00141477" w:rsidRPr="00141477" w:rsidRDefault="00141477" w:rsidP="00541B78">
      <w:pPr>
        <w:pStyle w:val="subsection"/>
        <w:numPr>
          <w:ilvl w:val="0"/>
          <w:numId w:val="3"/>
        </w:numPr>
        <w:spacing w:before="0"/>
        <w:ind w:left="1412" w:hanging="561"/>
        <w:rPr>
          <w:rFonts w:ascii="Arial" w:hAnsi="Arial" w:cs="Arial"/>
          <w:sz w:val="24"/>
          <w:szCs w:val="24"/>
        </w:rPr>
      </w:pPr>
      <w:r w:rsidRPr="00141477">
        <w:rPr>
          <w:rFonts w:ascii="Arial" w:hAnsi="Arial" w:cs="Arial"/>
          <w:sz w:val="24"/>
          <w:szCs w:val="24"/>
        </w:rPr>
        <w:t>Subclass 449 (Humanitarian Stay (Temporary));</w:t>
      </w:r>
    </w:p>
    <w:p w:rsidR="00141477" w:rsidRPr="008F5EE0" w:rsidRDefault="00141477" w:rsidP="00541B78">
      <w:pPr>
        <w:pStyle w:val="subsection"/>
        <w:numPr>
          <w:ilvl w:val="0"/>
          <w:numId w:val="3"/>
        </w:numPr>
        <w:spacing w:before="0"/>
        <w:ind w:left="1412" w:hanging="561"/>
        <w:rPr>
          <w:rFonts w:ascii="Arial" w:hAnsi="Arial" w:cs="Arial"/>
          <w:sz w:val="24"/>
          <w:szCs w:val="24"/>
        </w:rPr>
      </w:pPr>
      <w:r w:rsidRPr="008F5EE0">
        <w:rPr>
          <w:rFonts w:ascii="Arial" w:hAnsi="Arial" w:cs="Arial"/>
          <w:sz w:val="24"/>
          <w:szCs w:val="24"/>
        </w:rPr>
        <w:t xml:space="preserve">Subclass 785 (Temporary Protection); </w:t>
      </w:r>
    </w:p>
    <w:p w:rsidR="00141477" w:rsidRPr="00141477" w:rsidRDefault="00141477" w:rsidP="00541B78">
      <w:pPr>
        <w:pStyle w:val="subsection"/>
        <w:numPr>
          <w:ilvl w:val="0"/>
          <w:numId w:val="3"/>
        </w:numPr>
        <w:spacing w:before="0"/>
        <w:ind w:left="1412" w:hanging="561"/>
        <w:rPr>
          <w:rFonts w:ascii="Arial" w:hAnsi="Arial" w:cs="Arial"/>
          <w:szCs w:val="24"/>
        </w:rPr>
      </w:pPr>
      <w:r w:rsidRPr="00141477">
        <w:rPr>
          <w:rFonts w:ascii="Arial" w:hAnsi="Arial" w:cs="Arial"/>
          <w:sz w:val="24"/>
          <w:szCs w:val="24"/>
        </w:rPr>
        <w:t xml:space="preserve">Subclass 786 (Temporary (Humanitarian Concern)); </w:t>
      </w:r>
    </w:p>
    <w:p w:rsidR="00A83E84" w:rsidRDefault="00141477" w:rsidP="00541B78">
      <w:pPr>
        <w:pStyle w:val="subsection"/>
        <w:numPr>
          <w:ilvl w:val="0"/>
          <w:numId w:val="3"/>
        </w:numPr>
        <w:spacing w:before="0"/>
        <w:ind w:left="1412" w:hanging="561"/>
        <w:rPr>
          <w:rFonts w:ascii="Arial" w:hAnsi="Arial" w:cs="Arial"/>
          <w:szCs w:val="24"/>
        </w:rPr>
      </w:pPr>
      <w:r w:rsidRPr="00141477">
        <w:rPr>
          <w:rFonts w:ascii="Arial" w:hAnsi="Arial" w:cs="Arial"/>
          <w:sz w:val="24"/>
          <w:szCs w:val="24"/>
        </w:rPr>
        <w:t xml:space="preserve">Subclass 790 (Safe Haven Enterprise); </w:t>
      </w:r>
      <w:r w:rsidR="00441B96" w:rsidRPr="00141477">
        <w:rPr>
          <w:rFonts w:ascii="Arial" w:hAnsi="Arial" w:cs="Arial"/>
          <w:szCs w:val="24"/>
        </w:rPr>
        <w:t xml:space="preserve"> </w:t>
      </w:r>
    </w:p>
    <w:p w:rsidR="00141477" w:rsidRDefault="00141477" w:rsidP="00541B78">
      <w:pPr>
        <w:pStyle w:val="subsection"/>
        <w:numPr>
          <w:ilvl w:val="0"/>
          <w:numId w:val="3"/>
        </w:numPr>
        <w:spacing w:before="0"/>
        <w:ind w:left="1412" w:hanging="561"/>
        <w:rPr>
          <w:rFonts w:ascii="Arial" w:hAnsi="Arial" w:cs="Arial"/>
          <w:sz w:val="24"/>
          <w:szCs w:val="24"/>
        </w:rPr>
      </w:pPr>
      <w:r w:rsidRPr="00141477">
        <w:rPr>
          <w:rFonts w:ascii="Arial" w:hAnsi="Arial" w:cs="Arial"/>
          <w:sz w:val="24"/>
          <w:szCs w:val="24"/>
        </w:rPr>
        <w:t>if certain circumstances are met, a criminal justice stay visa.</w:t>
      </w:r>
    </w:p>
    <w:p w:rsidR="00141477" w:rsidRPr="00141477" w:rsidRDefault="00141477" w:rsidP="00141477">
      <w:pPr>
        <w:shd w:val="clear" w:color="auto" w:fill="FFFFFF"/>
        <w:textAlignment w:val="top"/>
        <w:rPr>
          <w:rFonts w:ascii="Arial" w:hAnsi="Arial" w:cs="Arial"/>
          <w:color w:val="111111"/>
          <w:szCs w:val="24"/>
        </w:rPr>
      </w:pPr>
      <w:r w:rsidRPr="00141477">
        <w:rPr>
          <w:rFonts w:ascii="Arial" w:hAnsi="Arial" w:cs="Arial"/>
          <w:color w:val="111111"/>
          <w:szCs w:val="24"/>
        </w:rPr>
        <w:t>The circumstances for a criminal justice stay visa are that the visa was granted for the purpose of assisting in the administration of criminal justice in relation to an offence of trafficking</w:t>
      </w:r>
      <w:r w:rsidR="00376E86">
        <w:rPr>
          <w:rFonts w:ascii="Arial" w:hAnsi="Arial" w:cs="Arial"/>
          <w:color w:val="111111"/>
          <w:szCs w:val="24"/>
        </w:rPr>
        <w:t xml:space="preserve"> in persons</w:t>
      </w:r>
      <w:r w:rsidRPr="00141477">
        <w:rPr>
          <w:rFonts w:ascii="Arial" w:hAnsi="Arial" w:cs="Arial"/>
          <w:color w:val="111111"/>
          <w:szCs w:val="24"/>
        </w:rPr>
        <w:t>, slavery or slavery-like practices.</w:t>
      </w:r>
    </w:p>
    <w:p w:rsidR="00141477" w:rsidRDefault="00141477" w:rsidP="00141477">
      <w:pPr>
        <w:shd w:val="clear" w:color="auto" w:fill="FFFFFF"/>
        <w:textAlignment w:val="top"/>
        <w:rPr>
          <w:rFonts w:ascii="Arial" w:hAnsi="Arial" w:cs="Arial"/>
          <w:color w:val="111111"/>
          <w:szCs w:val="24"/>
        </w:rPr>
      </w:pPr>
      <w:r w:rsidRPr="00141477">
        <w:rPr>
          <w:rFonts w:ascii="Arial" w:hAnsi="Arial" w:cs="Arial"/>
          <w:color w:val="111111"/>
          <w:szCs w:val="24"/>
        </w:rPr>
        <w:t xml:space="preserve">These offence descriptions are in slightly different terms to the offence descriptions currently set out in the </w:t>
      </w:r>
      <w:r w:rsidRPr="00141477">
        <w:rPr>
          <w:rFonts w:ascii="Arial" w:hAnsi="Arial" w:cs="Arial"/>
          <w:i/>
          <w:color w:val="111111"/>
          <w:szCs w:val="24"/>
        </w:rPr>
        <w:t xml:space="preserve">Social Security (Class of Visas – </w:t>
      </w:r>
      <w:r>
        <w:rPr>
          <w:rFonts w:ascii="Arial" w:hAnsi="Arial" w:cs="Arial"/>
          <w:i/>
          <w:color w:val="111111"/>
          <w:szCs w:val="24"/>
        </w:rPr>
        <w:t>Newly Arrived Resident’s Waiting Period for Special Benefit Determination 2004</w:t>
      </w:r>
      <w:r w:rsidRPr="00141477">
        <w:rPr>
          <w:rFonts w:ascii="Arial" w:hAnsi="Arial" w:cs="Arial"/>
          <w:color w:val="111111"/>
          <w:szCs w:val="24"/>
        </w:rPr>
        <w:t xml:space="preserve"> (the 2004 Determination).  The 2004 Determination refers to offences of people trafficking, sexual servitude or deceptive recruiting.  Since the 2004 Determination was made, the </w:t>
      </w:r>
      <w:r w:rsidRPr="00141477">
        <w:rPr>
          <w:rFonts w:ascii="Arial" w:hAnsi="Arial" w:cs="Arial"/>
          <w:i/>
          <w:color w:val="111111"/>
          <w:szCs w:val="24"/>
        </w:rPr>
        <w:t xml:space="preserve">Criminal Code Act 1995 </w:t>
      </w:r>
      <w:r w:rsidRPr="00141477">
        <w:rPr>
          <w:rFonts w:ascii="Arial" w:hAnsi="Arial" w:cs="Arial"/>
          <w:color w:val="111111"/>
          <w:szCs w:val="24"/>
        </w:rPr>
        <w:t xml:space="preserve">(the Criminal Code) has been amended and the offence descriptions in that determination do not accurately reflect all of the trafficking-related offences currently in the Criminal Code.  The new offence descriptions in this Determination now accurately reflect the trafficking-related offences in the Criminal Code. </w:t>
      </w:r>
    </w:p>
    <w:p w:rsidR="00141477" w:rsidRDefault="00141477" w:rsidP="00141477">
      <w:pPr>
        <w:shd w:val="clear" w:color="auto" w:fill="FFFFFF"/>
        <w:textAlignment w:val="top"/>
        <w:rPr>
          <w:rFonts w:ascii="Arial" w:hAnsi="Arial" w:cs="Arial"/>
          <w:color w:val="111111"/>
          <w:szCs w:val="24"/>
        </w:rPr>
      </w:pPr>
      <w:r>
        <w:rPr>
          <w:rFonts w:ascii="Arial" w:hAnsi="Arial" w:cs="Arial"/>
          <w:color w:val="111111"/>
          <w:szCs w:val="24"/>
        </w:rPr>
        <w:t>Some visa classes that are currently determined for the purposes of subsection 739A(6) of the Social Security Act have not been included in this Determination because they have been repealed.  The repealed visa classes which have not been included in this Determination are:</w:t>
      </w:r>
    </w:p>
    <w:p w:rsidR="00B2159D" w:rsidRPr="00B2159D" w:rsidRDefault="00B2159D" w:rsidP="00141477">
      <w:pPr>
        <w:pStyle w:val="ListParagraph"/>
        <w:numPr>
          <w:ilvl w:val="0"/>
          <w:numId w:val="6"/>
        </w:numPr>
        <w:shd w:val="clear" w:color="auto" w:fill="FFFFFF"/>
        <w:spacing w:before="240" w:after="0"/>
        <w:textAlignment w:val="top"/>
        <w:rPr>
          <w:rFonts w:cs="Arial"/>
          <w:color w:val="111111"/>
          <w:sz w:val="24"/>
          <w:szCs w:val="24"/>
        </w:rPr>
      </w:pPr>
      <w:r w:rsidRPr="00B2159D">
        <w:rPr>
          <w:rFonts w:cs="Arial"/>
          <w:color w:val="111111"/>
          <w:sz w:val="24"/>
          <w:szCs w:val="24"/>
        </w:rPr>
        <w:lastRenderedPageBreak/>
        <w:t>Subclass 447 (Secondary Movement Offshore Entry (Temporary))</w:t>
      </w:r>
      <w:r>
        <w:rPr>
          <w:rFonts w:cs="Arial"/>
          <w:color w:val="111111"/>
          <w:sz w:val="24"/>
          <w:szCs w:val="24"/>
        </w:rPr>
        <w:t>;</w:t>
      </w:r>
    </w:p>
    <w:p w:rsidR="00B2159D" w:rsidRPr="00B2159D" w:rsidRDefault="00B2159D" w:rsidP="00141477">
      <w:pPr>
        <w:pStyle w:val="ListParagraph"/>
        <w:numPr>
          <w:ilvl w:val="0"/>
          <w:numId w:val="6"/>
        </w:numPr>
        <w:shd w:val="clear" w:color="auto" w:fill="FFFFFF"/>
        <w:spacing w:before="240" w:after="0"/>
        <w:textAlignment w:val="top"/>
        <w:rPr>
          <w:rFonts w:cs="Arial"/>
          <w:color w:val="111111"/>
          <w:sz w:val="24"/>
          <w:szCs w:val="24"/>
        </w:rPr>
      </w:pPr>
      <w:r w:rsidRPr="00B2159D">
        <w:rPr>
          <w:rFonts w:cs="Arial"/>
          <w:color w:val="111111"/>
          <w:sz w:val="24"/>
          <w:szCs w:val="24"/>
        </w:rPr>
        <w:t>Subclass 451 (Secondary Movement Relocation (Temporary))</w:t>
      </w:r>
      <w:r>
        <w:rPr>
          <w:rFonts w:cs="Arial"/>
          <w:color w:val="111111"/>
          <w:sz w:val="24"/>
          <w:szCs w:val="24"/>
        </w:rPr>
        <w:t>;</w:t>
      </w:r>
    </w:p>
    <w:p w:rsidR="00141477" w:rsidRPr="00141477" w:rsidRDefault="00141477" w:rsidP="00141477">
      <w:pPr>
        <w:pStyle w:val="ListParagraph"/>
        <w:numPr>
          <w:ilvl w:val="0"/>
          <w:numId w:val="6"/>
        </w:numPr>
        <w:shd w:val="clear" w:color="auto" w:fill="FFFFFF"/>
        <w:spacing w:before="240" w:after="0"/>
        <w:textAlignment w:val="top"/>
        <w:rPr>
          <w:rFonts w:cs="Arial"/>
          <w:color w:val="111111"/>
          <w:szCs w:val="24"/>
        </w:rPr>
      </w:pPr>
      <w:r>
        <w:rPr>
          <w:rFonts w:cs="Arial"/>
          <w:color w:val="111111"/>
          <w:sz w:val="24"/>
          <w:szCs w:val="24"/>
        </w:rPr>
        <w:t>Subclass 695 (Return Pending);</w:t>
      </w:r>
    </w:p>
    <w:p w:rsidR="00B2159D" w:rsidRPr="00B2159D" w:rsidRDefault="00B2159D" w:rsidP="00141477">
      <w:pPr>
        <w:pStyle w:val="ListParagraph"/>
        <w:numPr>
          <w:ilvl w:val="0"/>
          <w:numId w:val="6"/>
        </w:numPr>
        <w:shd w:val="clear" w:color="auto" w:fill="FFFFFF"/>
        <w:spacing w:before="240" w:after="0"/>
        <w:textAlignment w:val="top"/>
        <w:rPr>
          <w:rFonts w:cs="Arial"/>
          <w:color w:val="111111"/>
          <w:szCs w:val="24"/>
        </w:rPr>
      </w:pPr>
      <w:r>
        <w:rPr>
          <w:rFonts w:cs="Arial"/>
          <w:color w:val="111111"/>
          <w:sz w:val="24"/>
          <w:szCs w:val="24"/>
        </w:rPr>
        <w:t>Subclass 832 (Close Ties);</w:t>
      </w:r>
      <w:r w:rsidR="00541B78">
        <w:rPr>
          <w:rFonts w:cs="Arial"/>
          <w:color w:val="111111"/>
          <w:sz w:val="24"/>
          <w:szCs w:val="24"/>
        </w:rPr>
        <w:t xml:space="preserve"> and</w:t>
      </w:r>
    </w:p>
    <w:p w:rsidR="00541B78" w:rsidRDefault="00B2159D" w:rsidP="00541B78">
      <w:pPr>
        <w:pStyle w:val="ListParagraph"/>
        <w:numPr>
          <w:ilvl w:val="0"/>
          <w:numId w:val="6"/>
        </w:numPr>
        <w:shd w:val="clear" w:color="auto" w:fill="FFFFFF"/>
        <w:spacing w:before="240" w:after="0"/>
        <w:textAlignment w:val="top"/>
        <w:rPr>
          <w:rFonts w:cs="Arial"/>
          <w:color w:val="111111"/>
          <w:szCs w:val="24"/>
        </w:rPr>
      </w:pPr>
      <w:r>
        <w:rPr>
          <w:rFonts w:cs="Arial"/>
          <w:color w:val="111111"/>
          <w:sz w:val="24"/>
          <w:szCs w:val="24"/>
        </w:rPr>
        <w:t>Subclass 833 (Certain Unlawful Non-citizens)</w:t>
      </w:r>
      <w:r w:rsidR="00541B78">
        <w:rPr>
          <w:rFonts w:cs="Arial"/>
          <w:color w:val="111111"/>
          <w:sz w:val="24"/>
          <w:szCs w:val="24"/>
        </w:rPr>
        <w:t>.</w:t>
      </w:r>
      <w:r>
        <w:rPr>
          <w:rFonts w:cs="Arial"/>
          <w:color w:val="111111"/>
          <w:sz w:val="24"/>
          <w:szCs w:val="24"/>
        </w:rPr>
        <w:t xml:space="preserve"> </w:t>
      </w:r>
    </w:p>
    <w:p w:rsidR="00141477" w:rsidRDefault="00541B78" w:rsidP="00541B78">
      <w:pPr>
        <w:shd w:val="clear" w:color="auto" w:fill="FFFFFF"/>
        <w:textAlignment w:val="top"/>
        <w:rPr>
          <w:rFonts w:ascii="Arial" w:hAnsi="Arial" w:cs="Arial"/>
          <w:color w:val="111111"/>
          <w:szCs w:val="24"/>
          <w:u w:val="single"/>
        </w:rPr>
      </w:pPr>
      <w:r w:rsidRPr="00541B78">
        <w:rPr>
          <w:rFonts w:ascii="Arial" w:hAnsi="Arial" w:cs="Arial"/>
          <w:color w:val="111111"/>
          <w:szCs w:val="24"/>
          <w:u w:val="single"/>
        </w:rPr>
        <w:t>Section 7</w:t>
      </w:r>
    </w:p>
    <w:p w:rsidR="00541B78" w:rsidRDefault="009774AB" w:rsidP="00541B78">
      <w:pPr>
        <w:shd w:val="clear" w:color="auto" w:fill="FFFFFF"/>
        <w:textAlignment w:val="top"/>
        <w:rPr>
          <w:rFonts w:ascii="Arial" w:hAnsi="Arial" w:cs="Arial"/>
          <w:szCs w:val="24"/>
        </w:rPr>
      </w:pPr>
      <w:r>
        <w:rPr>
          <w:rStyle w:val="BookTitle"/>
          <w:rFonts w:ascii="Arial" w:hAnsi="Arial" w:cs="Arial"/>
          <w:i w:val="0"/>
          <w:iCs w:val="0"/>
          <w:smallCaps w:val="0"/>
          <w:spacing w:val="0"/>
        </w:rPr>
        <w:t xml:space="preserve">Section </w:t>
      </w:r>
      <w:r w:rsidR="00516E41">
        <w:rPr>
          <w:rStyle w:val="BookTitle"/>
          <w:rFonts w:ascii="Arial" w:hAnsi="Arial" w:cs="Arial"/>
          <w:i w:val="0"/>
          <w:iCs w:val="0"/>
          <w:smallCaps w:val="0"/>
          <w:spacing w:val="0"/>
        </w:rPr>
        <w:t>7</w:t>
      </w:r>
      <w:r>
        <w:rPr>
          <w:rStyle w:val="BookTitle"/>
          <w:rFonts w:ascii="Arial" w:hAnsi="Arial" w:cs="Arial"/>
          <w:i w:val="0"/>
          <w:iCs w:val="0"/>
          <w:smallCaps w:val="0"/>
          <w:spacing w:val="0"/>
        </w:rPr>
        <w:t xml:space="preserve"> determines Subclass 309 (Partner (Provisional)) and Subclass 820 (Partner) visas for the purposes of </w:t>
      </w:r>
      <w:r>
        <w:rPr>
          <w:rFonts w:ascii="Arial" w:hAnsi="Arial" w:cs="Arial"/>
          <w:szCs w:val="24"/>
        </w:rPr>
        <w:t>paragraph</w:t>
      </w:r>
      <w:r w:rsidRPr="005B6253">
        <w:rPr>
          <w:rFonts w:ascii="Arial" w:hAnsi="Arial" w:cs="Arial"/>
          <w:szCs w:val="24"/>
        </w:rPr>
        <w:t xml:space="preserve"> 739A</w:t>
      </w:r>
      <w:r w:rsidR="00590379">
        <w:rPr>
          <w:rFonts w:ascii="Arial" w:hAnsi="Arial" w:cs="Arial"/>
          <w:szCs w:val="24"/>
        </w:rPr>
        <w:t>(8</w:t>
      </w:r>
      <w:r>
        <w:rPr>
          <w:rFonts w:ascii="Arial" w:hAnsi="Arial" w:cs="Arial"/>
          <w:szCs w:val="24"/>
        </w:rPr>
        <w:t>)(</w:t>
      </w:r>
      <w:r w:rsidR="00590379">
        <w:rPr>
          <w:rFonts w:ascii="Arial" w:hAnsi="Arial" w:cs="Arial"/>
          <w:szCs w:val="24"/>
        </w:rPr>
        <w:t>c</w:t>
      </w:r>
      <w:r w:rsidRPr="005B6253">
        <w:rPr>
          <w:rFonts w:ascii="Arial" w:hAnsi="Arial" w:cs="Arial"/>
          <w:szCs w:val="24"/>
        </w:rPr>
        <w:t xml:space="preserve">) of the </w:t>
      </w:r>
      <w:r>
        <w:rPr>
          <w:rFonts w:ascii="Arial" w:hAnsi="Arial" w:cs="Arial"/>
          <w:szCs w:val="24"/>
        </w:rPr>
        <w:t xml:space="preserve">Social Security Act.  </w:t>
      </w:r>
      <w:r w:rsidR="00590379">
        <w:rPr>
          <w:rFonts w:ascii="Arial" w:hAnsi="Arial" w:cs="Arial"/>
          <w:szCs w:val="24"/>
        </w:rPr>
        <w:t>The effect of this is that holders of these visas are subject to a NARWP for special benefit.</w:t>
      </w:r>
    </w:p>
    <w:p w:rsidR="00590379" w:rsidRDefault="00590379" w:rsidP="00541B78">
      <w:pPr>
        <w:shd w:val="clear" w:color="auto" w:fill="FFFFFF"/>
        <w:textAlignment w:val="top"/>
        <w:rPr>
          <w:rFonts w:ascii="Arial" w:hAnsi="Arial" w:cs="Arial"/>
          <w:szCs w:val="24"/>
        </w:rPr>
      </w:pPr>
      <w:r>
        <w:rPr>
          <w:rStyle w:val="BookTitle"/>
          <w:rFonts w:ascii="Arial" w:hAnsi="Arial" w:cs="Arial"/>
          <w:i w:val="0"/>
          <w:iCs w:val="0"/>
          <w:smallCaps w:val="0"/>
          <w:spacing w:val="0"/>
        </w:rPr>
        <w:t>Subclass 309 (Partner (Provisional)) and Subclass 820 (Partner) visas</w:t>
      </w:r>
      <w:r>
        <w:rPr>
          <w:rFonts w:ascii="Arial" w:hAnsi="Arial" w:cs="Arial"/>
          <w:szCs w:val="24"/>
        </w:rPr>
        <w:t xml:space="preserve"> are currently determined </w:t>
      </w:r>
      <w:r w:rsidR="00C51AAD">
        <w:rPr>
          <w:rFonts w:ascii="Arial" w:hAnsi="Arial" w:cs="Arial"/>
          <w:szCs w:val="24"/>
        </w:rPr>
        <w:t xml:space="preserve">for the purposes of paragraph 739A(8)(c) of the Social Security Act </w:t>
      </w:r>
      <w:r>
        <w:rPr>
          <w:rFonts w:ascii="Arial" w:hAnsi="Arial" w:cs="Arial"/>
          <w:szCs w:val="24"/>
        </w:rPr>
        <w:t>in the 2011 Determination.  Subclass 310 (Interdependency</w:t>
      </w:r>
      <w:r w:rsidR="00BF3248">
        <w:rPr>
          <w:rFonts w:ascii="Arial" w:hAnsi="Arial" w:cs="Arial"/>
          <w:szCs w:val="24"/>
        </w:rPr>
        <w:t xml:space="preserve"> (Provisional)</w:t>
      </w:r>
      <w:r>
        <w:rPr>
          <w:rFonts w:ascii="Arial" w:hAnsi="Arial" w:cs="Arial"/>
          <w:szCs w:val="24"/>
        </w:rPr>
        <w:t>) and Subclass</w:t>
      </w:r>
      <w:r w:rsidR="00BF3248">
        <w:rPr>
          <w:rFonts w:ascii="Arial" w:hAnsi="Arial" w:cs="Arial"/>
          <w:szCs w:val="24"/>
        </w:rPr>
        <w:t> </w:t>
      </w:r>
      <w:r>
        <w:rPr>
          <w:rFonts w:ascii="Arial" w:hAnsi="Arial" w:cs="Arial"/>
          <w:szCs w:val="24"/>
        </w:rPr>
        <w:t>826 (Interdependency</w:t>
      </w:r>
      <w:r w:rsidR="00BF3248">
        <w:rPr>
          <w:rFonts w:ascii="Arial" w:hAnsi="Arial" w:cs="Arial"/>
          <w:szCs w:val="24"/>
        </w:rPr>
        <w:t xml:space="preserve"> (Provisional)</w:t>
      </w:r>
      <w:r>
        <w:rPr>
          <w:rFonts w:ascii="Arial" w:hAnsi="Arial" w:cs="Arial"/>
          <w:szCs w:val="24"/>
        </w:rPr>
        <w:t xml:space="preserve">) visas are also determined </w:t>
      </w:r>
      <w:r w:rsidR="00516E41">
        <w:rPr>
          <w:rFonts w:ascii="Arial" w:hAnsi="Arial" w:cs="Arial"/>
          <w:szCs w:val="24"/>
        </w:rPr>
        <w:t xml:space="preserve">in the 2011 Determination </w:t>
      </w:r>
      <w:r>
        <w:rPr>
          <w:rFonts w:ascii="Arial" w:hAnsi="Arial" w:cs="Arial"/>
          <w:szCs w:val="24"/>
        </w:rPr>
        <w:t xml:space="preserve">for the purposes of paragraph 739A(8)(c) </w:t>
      </w:r>
      <w:r w:rsidR="00C51AAD">
        <w:rPr>
          <w:rFonts w:ascii="Arial" w:hAnsi="Arial" w:cs="Arial"/>
          <w:szCs w:val="24"/>
        </w:rPr>
        <w:t>but</w:t>
      </w:r>
      <w:r>
        <w:rPr>
          <w:rFonts w:ascii="Arial" w:hAnsi="Arial" w:cs="Arial"/>
          <w:szCs w:val="24"/>
        </w:rPr>
        <w:t xml:space="preserve"> have not been included in this Determination because they have been repealed.</w:t>
      </w:r>
    </w:p>
    <w:p w:rsidR="00877965" w:rsidRDefault="00877965">
      <w:pPr>
        <w:spacing w:before="0" w:after="200" w:line="276" w:lineRule="auto"/>
        <w:rPr>
          <w:rFonts w:ascii="Arial" w:hAnsi="Arial" w:cs="Arial"/>
          <w:color w:val="111111"/>
          <w:szCs w:val="24"/>
          <w:u w:val="single"/>
        </w:rPr>
      </w:pPr>
      <w:r>
        <w:rPr>
          <w:rFonts w:ascii="Arial" w:hAnsi="Arial" w:cs="Arial"/>
          <w:color w:val="111111"/>
          <w:szCs w:val="24"/>
          <w:u w:val="single"/>
        </w:rPr>
        <w:br w:type="page"/>
      </w:r>
    </w:p>
    <w:p w:rsidR="00877965" w:rsidRPr="00877965" w:rsidRDefault="00877965" w:rsidP="00877965">
      <w:pPr>
        <w:spacing w:before="360" w:after="120"/>
        <w:jc w:val="center"/>
        <w:rPr>
          <w:rFonts w:ascii="Arial" w:hAnsi="Arial" w:cs="Arial"/>
          <w:b/>
          <w:sz w:val="28"/>
          <w:szCs w:val="28"/>
        </w:rPr>
      </w:pPr>
      <w:r w:rsidRPr="00877965">
        <w:rPr>
          <w:rFonts w:ascii="Arial" w:hAnsi="Arial" w:cs="Arial"/>
          <w:b/>
          <w:sz w:val="28"/>
          <w:szCs w:val="28"/>
        </w:rPr>
        <w:lastRenderedPageBreak/>
        <w:t>Statement of Compatibility with Human Rights</w:t>
      </w:r>
    </w:p>
    <w:p w:rsidR="00877965" w:rsidRPr="00877965" w:rsidRDefault="00877965" w:rsidP="00877965">
      <w:pPr>
        <w:spacing w:before="120" w:after="120"/>
        <w:jc w:val="center"/>
        <w:rPr>
          <w:rFonts w:ascii="Arial" w:hAnsi="Arial" w:cs="Arial"/>
          <w:szCs w:val="24"/>
        </w:rPr>
      </w:pPr>
      <w:r w:rsidRPr="00877965">
        <w:rPr>
          <w:rFonts w:ascii="Arial" w:hAnsi="Arial" w:cs="Arial"/>
          <w:i/>
          <w:szCs w:val="24"/>
        </w:rPr>
        <w:t>Prepared in accordance with Part 3 of the Human Rights (Parliamentary Scrutiny) Act 2011</w:t>
      </w:r>
    </w:p>
    <w:p w:rsidR="00877965" w:rsidRPr="00877965" w:rsidRDefault="00877965" w:rsidP="00877965">
      <w:pPr>
        <w:spacing w:before="120" w:after="120"/>
        <w:jc w:val="center"/>
        <w:rPr>
          <w:rFonts w:ascii="Arial" w:hAnsi="Arial" w:cs="Arial"/>
          <w:szCs w:val="24"/>
        </w:rPr>
      </w:pPr>
    </w:p>
    <w:p w:rsidR="00877965" w:rsidRPr="00877965" w:rsidRDefault="00877965" w:rsidP="00877965">
      <w:pPr>
        <w:spacing w:before="120" w:after="120"/>
        <w:jc w:val="center"/>
        <w:rPr>
          <w:rFonts w:ascii="Arial" w:hAnsi="Arial" w:cs="Arial"/>
          <w:b/>
          <w:szCs w:val="24"/>
        </w:rPr>
      </w:pPr>
      <w:r w:rsidRPr="00877965">
        <w:rPr>
          <w:rFonts w:ascii="Arial" w:hAnsi="Arial" w:cs="Arial"/>
          <w:b/>
          <w:szCs w:val="24"/>
        </w:rPr>
        <w:t xml:space="preserve">Social Security (Class of Visas – Newly Arrived Resident’s Waiting Period for Special Benefit) Determination 2015 (No. 2) </w:t>
      </w:r>
    </w:p>
    <w:p w:rsidR="00877965" w:rsidRPr="00877965" w:rsidRDefault="00877965" w:rsidP="00877965">
      <w:pPr>
        <w:spacing w:before="120" w:after="120"/>
        <w:jc w:val="center"/>
        <w:rPr>
          <w:rFonts w:ascii="Arial" w:hAnsi="Arial" w:cs="Arial"/>
          <w:szCs w:val="24"/>
        </w:rPr>
      </w:pPr>
    </w:p>
    <w:p w:rsidR="00877965" w:rsidRPr="00877965" w:rsidRDefault="00877965" w:rsidP="00877965">
      <w:pPr>
        <w:spacing w:before="120" w:after="120"/>
        <w:jc w:val="center"/>
        <w:rPr>
          <w:rFonts w:ascii="Arial" w:hAnsi="Arial" w:cs="Arial"/>
          <w:szCs w:val="24"/>
        </w:rPr>
      </w:pPr>
      <w:r w:rsidRPr="00877965">
        <w:rPr>
          <w:rFonts w:ascii="Arial" w:hAnsi="Arial" w:cs="Arial"/>
          <w:szCs w:val="24"/>
        </w:rPr>
        <w:t xml:space="preserve">The </w:t>
      </w:r>
      <w:r w:rsidRPr="00877965">
        <w:rPr>
          <w:rFonts w:ascii="Arial" w:hAnsi="Arial" w:cs="Arial"/>
          <w:i/>
          <w:szCs w:val="24"/>
        </w:rPr>
        <w:t>Social Security (Class of Visas – Newly Arrived Resident’s Waiting Period for Special Benefit) Determination 2015 (No. 2)</w:t>
      </w:r>
      <w:r w:rsidRPr="00877965">
        <w:rPr>
          <w:rFonts w:ascii="Arial" w:hAnsi="Arial" w:cs="Arial"/>
          <w:szCs w:val="24"/>
        </w:rPr>
        <w:t xml:space="preserve"> is compatible with the human rights and freedoms recognised or declared in the international instruments listed in section 3 of the </w:t>
      </w:r>
      <w:r w:rsidRPr="00877965">
        <w:rPr>
          <w:rFonts w:ascii="Arial" w:hAnsi="Arial" w:cs="Arial"/>
          <w:i/>
          <w:szCs w:val="24"/>
        </w:rPr>
        <w:t>Human Rights (Parliamentary Scrutiny) Act 2011</w:t>
      </w:r>
      <w:r w:rsidRPr="00877965">
        <w:rPr>
          <w:rFonts w:ascii="Arial" w:hAnsi="Arial" w:cs="Arial"/>
          <w:szCs w:val="24"/>
        </w:rPr>
        <w:t>.</w:t>
      </w:r>
    </w:p>
    <w:p w:rsidR="00877965" w:rsidRPr="00877965" w:rsidRDefault="00877965" w:rsidP="00877965">
      <w:pPr>
        <w:spacing w:after="120"/>
        <w:jc w:val="both"/>
        <w:rPr>
          <w:rFonts w:ascii="Arial" w:hAnsi="Arial" w:cs="Arial"/>
          <w:b/>
          <w:szCs w:val="24"/>
        </w:rPr>
      </w:pPr>
      <w:r w:rsidRPr="00877965">
        <w:rPr>
          <w:rFonts w:ascii="Arial" w:hAnsi="Arial" w:cs="Arial"/>
          <w:b/>
          <w:szCs w:val="24"/>
        </w:rPr>
        <w:t>Overview of the Legislative Instrument</w:t>
      </w:r>
    </w:p>
    <w:p w:rsidR="00877965" w:rsidRPr="00877965" w:rsidRDefault="00877965" w:rsidP="00877965">
      <w:pPr>
        <w:spacing w:after="120"/>
        <w:rPr>
          <w:rFonts w:ascii="Arial" w:hAnsi="Arial" w:cs="Arial"/>
          <w:szCs w:val="24"/>
        </w:rPr>
      </w:pPr>
      <w:r w:rsidRPr="00877965">
        <w:rPr>
          <w:rFonts w:ascii="Arial" w:hAnsi="Arial" w:cs="Arial"/>
          <w:szCs w:val="24"/>
        </w:rPr>
        <w:t xml:space="preserve">The </w:t>
      </w:r>
      <w:r w:rsidRPr="00877965">
        <w:rPr>
          <w:rFonts w:ascii="Arial" w:hAnsi="Arial" w:cs="Arial"/>
          <w:i/>
          <w:szCs w:val="24"/>
        </w:rPr>
        <w:t>Social Security (Class of Visas – Newly Arrived Resident’s Waiting Period for Special Benefit) Determination 2015 (No. 2)</w:t>
      </w:r>
      <w:r w:rsidRPr="00877965">
        <w:rPr>
          <w:rFonts w:ascii="Arial" w:hAnsi="Arial" w:cs="Arial"/>
          <w:szCs w:val="24"/>
        </w:rPr>
        <w:t xml:space="preserve"> is made under paragraph 739A(3)(b), subsection 739A(6) and paragraph 739A(8)(c) of the </w:t>
      </w:r>
      <w:r w:rsidRPr="00877965">
        <w:rPr>
          <w:rFonts w:ascii="Arial" w:hAnsi="Arial" w:cs="Arial"/>
          <w:i/>
          <w:szCs w:val="24"/>
        </w:rPr>
        <w:t>Social Security Act 1991</w:t>
      </w:r>
      <w:r w:rsidRPr="00877965">
        <w:rPr>
          <w:rFonts w:ascii="Arial" w:hAnsi="Arial" w:cs="Arial"/>
          <w:szCs w:val="24"/>
        </w:rPr>
        <w:t xml:space="preserve"> (the Act).  </w:t>
      </w:r>
    </w:p>
    <w:p w:rsidR="00877965" w:rsidRPr="00877965" w:rsidRDefault="00877965" w:rsidP="00877965">
      <w:pPr>
        <w:spacing w:after="120"/>
        <w:rPr>
          <w:rFonts w:ascii="Arial" w:hAnsi="Arial" w:cs="Arial"/>
          <w:szCs w:val="24"/>
        </w:rPr>
      </w:pPr>
      <w:r w:rsidRPr="00877965">
        <w:rPr>
          <w:rFonts w:ascii="Arial" w:hAnsi="Arial" w:cs="Arial"/>
          <w:szCs w:val="24"/>
        </w:rPr>
        <w:t>The purpose of this Determination is to:</w:t>
      </w:r>
    </w:p>
    <w:p w:rsidR="00877965" w:rsidRPr="00877965" w:rsidRDefault="00877965" w:rsidP="00877965">
      <w:pPr>
        <w:pStyle w:val="ListParagraph"/>
        <w:numPr>
          <w:ilvl w:val="0"/>
          <w:numId w:val="8"/>
        </w:numPr>
        <w:spacing w:before="120" w:after="120"/>
        <w:rPr>
          <w:rFonts w:cs="Arial"/>
          <w:sz w:val="24"/>
          <w:szCs w:val="24"/>
        </w:rPr>
      </w:pPr>
      <w:r w:rsidRPr="00877965">
        <w:rPr>
          <w:rFonts w:cs="Arial"/>
          <w:sz w:val="24"/>
          <w:szCs w:val="24"/>
        </w:rPr>
        <w:t xml:space="preserve">provide that if a person is subject to a newly arrived resident’s waiting period (NARWP) and applies for one of the visas determined under paragraph 739(3)(b) of the Act, then the NARWP starts on the day on which the person applies for the visa and ends </w:t>
      </w:r>
      <w:r w:rsidRPr="00877965">
        <w:rPr>
          <w:rStyle w:val="BookTitle"/>
          <w:rFonts w:cs="Arial"/>
          <w:i w:val="0"/>
          <w:iCs w:val="0"/>
          <w:smallCaps w:val="0"/>
          <w:spacing w:val="0"/>
          <w:sz w:val="24"/>
          <w:szCs w:val="24"/>
        </w:rPr>
        <w:t>when the person has been in Australia for a period of, or periods totalling, 104 weeks after that day;</w:t>
      </w:r>
    </w:p>
    <w:p w:rsidR="00877965" w:rsidRPr="00877965" w:rsidRDefault="00877965" w:rsidP="00877965">
      <w:pPr>
        <w:pStyle w:val="ListParagraph"/>
        <w:numPr>
          <w:ilvl w:val="0"/>
          <w:numId w:val="8"/>
        </w:numPr>
        <w:spacing w:before="120" w:after="120"/>
        <w:rPr>
          <w:rFonts w:cs="Arial"/>
          <w:sz w:val="24"/>
          <w:szCs w:val="24"/>
        </w:rPr>
      </w:pPr>
      <w:proofErr w:type="gramStart"/>
      <w:r w:rsidRPr="00877965">
        <w:rPr>
          <w:rFonts w:cs="Arial"/>
          <w:sz w:val="24"/>
          <w:szCs w:val="24"/>
        </w:rPr>
        <w:t>exempt</w:t>
      </w:r>
      <w:proofErr w:type="gramEnd"/>
      <w:r w:rsidRPr="00877965">
        <w:rPr>
          <w:rFonts w:cs="Arial"/>
          <w:sz w:val="24"/>
          <w:szCs w:val="24"/>
        </w:rPr>
        <w:t xml:space="preserve"> the holders of the determined visas from the 104-week NARWP for Special Benefit. This will ensure that holders of the determined visas who are qualified for Special Benefit may be paid immediately subsequent to the grant of the determined visas; and</w:t>
      </w:r>
    </w:p>
    <w:p w:rsidR="00877965" w:rsidRPr="00877965" w:rsidRDefault="00877965" w:rsidP="00877965">
      <w:pPr>
        <w:pStyle w:val="ListParagraph"/>
        <w:numPr>
          <w:ilvl w:val="0"/>
          <w:numId w:val="8"/>
        </w:numPr>
        <w:spacing w:before="120" w:after="120"/>
        <w:rPr>
          <w:rFonts w:cs="Arial"/>
          <w:sz w:val="24"/>
          <w:szCs w:val="24"/>
        </w:rPr>
      </w:pPr>
      <w:proofErr w:type="gramStart"/>
      <w:r w:rsidRPr="00877965">
        <w:rPr>
          <w:rFonts w:cs="Arial"/>
          <w:sz w:val="24"/>
          <w:szCs w:val="24"/>
        </w:rPr>
        <w:t>provide</w:t>
      </w:r>
      <w:proofErr w:type="gramEnd"/>
      <w:r w:rsidRPr="00877965">
        <w:rPr>
          <w:rFonts w:cs="Arial"/>
          <w:sz w:val="24"/>
          <w:szCs w:val="24"/>
        </w:rPr>
        <w:t xml:space="preserve"> that holders of these visas determined under paragraph 739A(8)(c) of the Act are subject to a NARWP for Special Benefit.</w:t>
      </w:r>
    </w:p>
    <w:p w:rsidR="00877965" w:rsidRPr="00877965" w:rsidRDefault="00877965" w:rsidP="00877965">
      <w:pPr>
        <w:spacing w:after="120"/>
        <w:rPr>
          <w:rFonts w:ascii="Arial" w:hAnsi="Arial" w:cs="Arial"/>
          <w:szCs w:val="24"/>
        </w:rPr>
      </w:pPr>
      <w:r w:rsidRPr="00877965">
        <w:rPr>
          <w:rFonts w:ascii="Arial" w:hAnsi="Arial" w:cs="Arial"/>
          <w:szCs w:val="24"/>
        </w:rPr>
        <w:t xml:space="preserve">The Determination consolidates a number of determinations currently made under paragraph </w:t>
      </w:r>
      <w:proofErr w:type="gramStart"/>
      <w:r w:rsidRPr="00877965">
        <w:rPr>
          <w:rFonts w:ascii="Arial" w:hAnsi="Arial" w:cs="Arial"/>
          <w:szCs w:val="24"/>
        </w:rPr>
        <w:t>739A(</w:t>
      </w:r>
      <w:proofErr w:type="gramEnd"/>
      <w:r w:rsidRPr="00877965">
        <w:rPr>
          <w:rFonts w:ascii="Arial" w:hAnsi="Arial" w:cs="Arial"/>
          <w:szCs w:val="24"/>
        </w:rPr>
        <w:t>3)(b), subsection 739A(6) and paragraph 739A(8)(c) of the Act.</w:t>
      </w:r>
    </w:p>
    <w:p w:rsidR="00877965" w:rsidRPr="00877965" w:rsidRDefault="00877965" w:rsidP="00877965">
      <w:pPr>
        <w:spacing w:after="120"/>
        <w:rPr>
          <w:rFonts w:ascii="Arial" w:hAnsi="Arial" w:cs="Arial"/>
          <w:b/>
          <w:szCs w:val="24"/>
        </w:rPr>
      </w:pPr>
      <w:r w:rsidRPr="00877965">
        <w:rPr>
          <w:rFonts w:ascii="Arial" w:hAnsi="Arial" w:cs="Arial"/>
          <w:b/>
          <w:szCs w:val="24"/>
        </w:rPr>
        <w:t>Human rights implications</w:t>
      </w:r>
    </w:p>
    <w:p w:rsidR="00877965" w:rsidRPr="00877965" w:rsidRDefault="00877965" w:rsidP="00877965">
      <w:pPr>
        <w:autoSpaceDE w:val="0"/>
        <w:autoSpaceDN w:val="0"/>
        <w:adjustRightInd w:val="0"/>
        <w:rPr>
          <w:rFonts w:ascii="Arial" w:hAnsi="Arial" w:cs="Arial"/>
          <w:szCs w:val="24"/>
        </w:rPr>
      </w:pPr>
      <w:r w:rsidRPr="00877965">
        <w:rPr>
          <w:rFonts w:ascii="Arial" w:hAnsi="Arial" w:cs="Arial"/>
          <w:szCs w:val="24"/>
        </w:rPr>
        <w:t>This Determination engages or gives effect to the following human rights:</w:t>
      </w:r>
    </w:p>
    <w:p w:rsidR="00877965" w:rsidRPr="00877965" w:rsidRDefault="00877965" w:rsidP="00877965">
      <w:pPr>
        <w:pStyle w:val="ListParagraph"/>
        <w:numPr>
          <w:ilvl w:val="0"/>
          <w:numId w:val="7"/>
        </w:numPr>
        <w:autoSpaceDE w:val="0"/>
        <w:autoSpaceDN w:val="0"/>
        <w:adjustRightInd w:val="0"/>
        <w:spacing w:before="240" w:after="0" w:line="240" w:lineRule="auto"/>
        <w:ind w:left="714" w:hanging="357"/>
        <w:rPr>
          <w:rFonts w:cs="Arial"/>
          <w:sz w:val="24"/>
          <w:szCs w:val="24"/>
        </w:rPr>
      </w:pPr>
      <w:r w:rsidRPr="00877965">
        <w:rPr>
          <w:rFonts w:cs="Arial"/>
          <w:sz w:val="24"/>
          <w:szCs w:val="24"/>
        </w:rPr>
        <w:t>Article 24 of the United Nations (UN) 1951 Convention and 1967 Protocol Relating to the Status of Refugees, Article 28 of the Convention on the Rights of Persons with Disabilities (CRPD), and Articles 11(1)(e) and 14(2)(c) of the Convention on the Elimination of All Forms of Discrimination Against Women (CEDAW); and</w:t>
      </w:r>
    </w:p>
    <w:p w:rsidR="00877965" w:rsidRPr="00877965" w:rsidRDefault="00877965" w:rsidP="00877965">
      <w:pPr>
        <w:pStyle w:val="ListParagraph"/>
        <w:numPr>
          <w:ilvl w:val="0"/>
          <w:numId w:val="7"/>
        </w:numPr>
        <w:autoSpaceDE w:val="0"/>
        <w:autoSpaceDN w:val="0"/>
        <w:adjustRightInd w:val="0"/>
        <w:spacing w:after="0" w:line="240" w:lineRule="auto"/>
        <w:rPr>
          <w:rFonts w:cs="Arial"/>
          <w:sz w:val="24"/>
          <w:szCs w:val="24"/>
        </w:rPr>
      </w:pPr>
      <w:r w:rsidRPr="00877965">
        <w:rPr>
          <w:rFonts w:cs="Arial"/>
          <w:sz w:val="24"/>
          <w:szCs w:val="24"/>
        </w:rPr>
        <w:t>the right to an adequate standard of living contained in Article 11(1) of the ICESCR, Article 28 of the CRPD and Article 14(2)(h) of the CEDAW.</w:t>
      </w:r>
    </w:p>
    <w:p w:rsidR="00877965" w:rsidRPr="00877965" w:rsidRDefault="00877965" w:rsidP="00877965">
      <w:pPr>
        <w:spacing w:after="120"/>
        <w:rPr>
          <w:rFonts w:ascii="Arial" w:hAnsi="Arial" w:cs="Arial"/>
          <w:szCs w:val="24"/>
          <w:u w:val="single"/>
        </w:rPr>
      </w:pPr>
      <w:r w:rsidRPr="00877965">
        <w:rPr>
          <w:rFonts w:ascii="Arial" w:hAnsi="Arial" w:cs="Arial"/>
          <w:szCs w:val="24"/>
          <w:u w:val="single"/>
        </w:rPr>
        <w:lastRenderedPageBreak/>
        <w:t xml:space="preserve">NARWP does not apply to a person who holds a visa determined for the purposes of subsection </w:t>
      </w:r>
      <w:proofErr w:type="gramStart"/>
      <w:r w:rsidRPr="00877965">
        <w:rPr>
          <w:rFonts w:ascii="Arial" w:hAnsi="Arial" w:cs="Arial"/>
          <w:szCs w:val="24"/>
          <w:u w:val="single"/>
        </w:rPr>
        <w:t>739A(</w:t>
      </w:r>
      <w:proofErr w:type="gramEnd"/>
      <w:r w:rsidRPr="00877965">
        <w:rPr>
          <w:rFonts w:ascii="Arial" w:hAnsi="Arial" w:cs="Arial"/>
          <w:szCs w:val="24"/>
          <w:u w:val="single"/>
        </w:rPr>
        <w:t>6) of the Act</w:t>
      </w:r>
    </w:p>
    <w:p w:rsidR="00877965" w:rsidRPr="00877965" w:rsidRDefault="00877965" w:rsidP="00877965">
      <w:pPr>
        <w:spacing w:after="120"/>
        <w:rPr>
          <w:rFonts w:ascii="Arial" w:hAnsi="Arial" w:cs="Arial"/>
          <w:szCs w:val="24"/>
        </w:rPr>
      </w:pPr>
      <w:r w:rsidRPr="00877965">
        <w:rPr>
          <w:rFonts w:ascii="Arial" w:hAnsi="Arial" w:cs="Arial"/>
          <w:szCs w:val="24"/>
        </w:rPr>
        <w:t xml:space="preserve">The Determination will assist Australia to meet its international obligations under the ICESCR, the UN Refugees Convention and Protocol, the CRPD and the CEDAW by providing an exemption to the waiting period in which holders of the determined visas qualify for Special Benefit. The Determination will also ensure an adequate standard of living for those who are granted the determined visas and require financial assistance by providing immediate access to social security payments. </w:t>
      </w:r>
    </w:p>
    <w:p w:rsidR="00877965" w:rsidRPr="00877965" w:rsidRDefault="00877965" w:rsidP="00877965">
      <w:pPr>
        <w:spacing w:after="120"/>
        <w:rPr>
          <w:rFonts w:ascii="Arial" w:hAnsi="Arial" w:cs="Arial"/>
          <w:szCs w:val="24"/>
          <w:u w:val="single"/>
        </w:rPr>
      </w:pPr>
      <w:r w:rsidRPr="00877965">
        <w:rPr>
          <w:rFonts w:ascii="Arial" w:hAnsi="Arial" w:cs="Arial"/>
          <w:szCs w:val="24"/>
          <w:u w:val="single"/>
        </w:rPr>
        <w:t>NARWP for a person who holds a visa determined for purposes of paragraph 739A(3)(b) of the Act and exemption to the NARWP for family members does not apply to a person who holds a visa determined for the purposes of paragraph 739A(8)(c) of the Act</w:t>
      </w:r>
    </w:p>
    <w:p w:rsidR="00877965" w:rsidRPr="00877965" w:rsidRDefault="00877965" w:rsidP="00877965">
      <w:pPr>
        <w:spacing w:after="120"/>
        <w:rPr>
          <w:rFonts w:ascii="Arial" w:hAnsi="Arial" w:cs="Arial"/>
          <w:szCs w:val="24"/>
        </w:rPr>
      </w:pPr>
      <w:r w:rsidRPr="00877965">
        <w:rPr>
          <w:rFonts w:ascii="Arial" w:hAnsi="Arial" w:cs="Arial"/>
          <w:szCs w:val="24"/>
        </w:rPr>
        <w:t xml:space="preserve">To the extent that the Determination limits the right to social security and an adequate standard of living by setting the period of the NARWP for a person who applies for a provisional or temporary partner visa and by removing an exemption to the NARWP for family members who hold a provisional or temporary partner visa, the limitation is legitimate, reasonable, necessary and proportionate. </w:t>
      </w:r>
    </w:p>
    <w:p w:rsidR="00877965" w:rsidRPr="00877965" w:rsidRDefault="00877965" w:rsidP="00877965">
      <w:pPr>
        <w:spacing w:after="120"/>
        <w:rPr>
          <w:rFonts w:ascii="Arial" w:hAnsi="Arial" w:cs="Arial"/>
          <w:szCs w:val="24"/>
        </w:rPr>
      </w:pPr>
      <w:r w:rsidRPr="00877965">
        <w:rPr>
          <w:rFonts w:ascii="Arial" w:hAnsi="Arial" w:cs="Arial"/>
          <w:szCs w:val="24"/>
        </w:rPr>
        <w:t>The limitation is legitimate because the NARWP ensures that holders of a provisional or temporary partner visa provide for their own support or seek support from their families or partners during their initial settlement period in Australia, rather than immediately relying on social security payments.</w:t>
      </w:r>
    </w:p>
    <w:p w:rsidR="00877965" w:rsidRPr="00877965" w:rsidRDefault="00877965" w:rsidP="00877965">
      <w:pPr>
        <w:spacing w:after="120"/>
        <w:rPr>
          <w:rFonts w:ascii="Arial" w:hAnsi="Arial" w:cs="Arial"/>
          <w:szCs w:val="24"/>
        </w:rPr>
      </w:pPr>
      <w:r w:rsidRPr="00877965">
        <w:rPr>
          <w:rFonts w:ascii="Arial" w:hAnsi="Arial" w:cs="Arial"/>
          <w:szCs w:val="24"/>
        </w:rPr>
        <w:t xml:space="preserve">The limitation is reasonable because it is reasonable to expect that holders of a provisional or temporary partner visa should be able to support themselves, or be supported by their families and partners in Australia.  </w:t>
      </w:r>
    </w:p>
    <w:p w:rsidR="00877965" w:rsidRPr="00877965" w:rsidRDefault="00877965" w:rsidP="00877965">
      <w:pPr>
        <w:spacing w:after="120"/>
        <w:rPr>
          <w:rFonts w:ascii="Arial" w:hAnsi="Arial" w:cs="Arial"/>
          <w:szCs w:val="24"/>
        </w:rPr>
      </w:pPr>
      <w:r w:rsidRPr="00877965">
        <w:rPr>
          <w:rFonts w:ascii="Arial" w:hAnsi="Arial" w:cs="Arial"/>
          <w:szCs w:val="24"/>
        </w:rPr>
        <w:t>The limitation is necessary because without the NARWP holders of a provisional or temporary partner visa are less likely to seek support from their families or partners, or to find employment during their initial settlement period in Australia.</w:t>
      </w:r>
    </w:p>
    <w:p w:rsidR="00877965" w:rsidRPr="00877965" w:rsidRDefault="00877965" w:rsidP="00877965">
      <w:pPr>
        <w:spacing w:after="120"/>
        <w:rPr>
          <w:rFonts w:ascii="Arial" w:hAnsi="Arial" w:cs="Arial"/>
          <w:szCs w:val="24"/>
        </w:rPr>
      </w:pPr>
      <w:r w:rsidRPr="00877965">
        <w:rPr>
          <w:rFonts w:ascii="Arial" w:hAnsi="Arial" w:cs="Arial"/>
          <w:szCs w:val="24"/>
        </w:rPr>
        <w:t xml:space="preserve">The limitation is proportionate because holders of a provisional or temporary visa will still be able to access special benefit if they have experienced both financial hardship and a substantial change in circumstances beyond their control after arrival in Australia. </w:t>
      </w:r>
    </w:p>
    <w:p w:rsidR="00877965" w:rsidRPr="00877965" w:rsidRDefault="00877965" w:rsidP="00877965">
      <w:pPr>
        <w:spacing w:after="120"/>
        <w:rPr>
          <w:rFonts w:ascii="Arial" w:hAnsi="Arial" w:cs="Arial"/>
          <w:b/>
          <w:szCs w:val="24"/>
        </w:rPr>
      </w:pPr>
      <w:r w:rsidRPr="00877965">
        <w:rPr>
          <w:rFonts w:ascii="Arial" w:hAnsi="Arial" w:cs="Arial"/>
          <w:b/>
          <w:szCs w:val="24"/>
        </w:rPr>
        <w:t>Conclusion</w:t>
      </w:r>
    </w:p>
    <w:p w:rsidR="00877965" w:rsidRPr="00877965" w:rsidRDefault="00877965" w:rsidP="00877965">
      <w:pPr>
        <w:spacing w:after="120"/>
        <w:rPr>
          <w:rFonts w:ascii="Arial" w:hAnsi="Arial" w:cs="Arial"/>
          <w:szCs w:val="24"/>
        </w:rPr>
      </w:pPr>
      <w:r w:rsidRPr="00877965">
        <w:rPr>
          <w:rFonts w:ascii="Arial" w:hAnsi="Arial" w:cs="Arial"/>
          <w:szCs w:val="24"/>
        </w:rPr>
        <w:t xml:space="preserve">This Determination is compatible with human rights as it promotes the right to social security and an adequate standard of living for holders of the determined visas.  To the extent that it may limit human rights, that limitation is legitimate, reasonable, necessary and proportionate.   </w:t>
      </w:r>
    </w:p>
    <w:p w:rsidR="00877965" w:rsidRPr="00877965" w:rsidRDefault="007A6248" w:rsidP="00877965">
      <w:pPr>
        <w:jc w:val="center"/>
        <w:rPr>
          <w:rStyle w:val="BookTitle"/>
          <w:rFonts w:ascii="Arial" w:eastAsiaTheme="minorEastAsia" w:hAnsi="Arial" w:cs="Arial"/>
          <w:i w:val="0"/>
          <w:iCs w:val="0"/>
          <w:smallCaps w:val="0"/>
          <w:spacing w:val="0"/>
          <w:sz w:val="20"/>
        </w:rPr>
      </w:pPr>
      <w:r>
        <w:rPr>
          <w:rFonts w:ascii="Arial" w:hAnsi="Arial" w:cs="Arial"/>
          <w:b/>
          <w:bCs/>
        </w:rPr>
        <w:t xml:space="preserve">The Hon </w:t>
      </w:r>
      <w:r w:rsidRPr="00476349">
        <w:rPr>
          <w:rFonts w:ascii="Arial" w:hAnsi="Arial" w:cs="Arial"/>
          <w:b/>
          <w:bCs/>
        </w:rPr>
        <w:t>Christian Porter</w:t>
      </w:r>
      <w:r>
        <w:rPr>
          <w:rFonts w:ascii="Arial" w:hAnsi="Arial" w:cs="Arial"/>
          <w:b/>
          <w:bCs/>
        </w:rPr>
        <w:t xml:space="preserve"> MP</w:t>
      </w:r>
      <w:r w:rsidR="00877965" w:rsidRPr="00877965">
        <w:rPr>
          <w:rFonts w:ascii="Arial" w:hAnsi="Arial" w:cs="Arial"/>
          <w:b/>
          <w:bCs/>
        </w:rPr>
        <w:t>, Minister for Social Services</w:t>
      </w:r>
    </w:p>
    <w:p w:rsidR="00590379" w:rsidRPr="00541B78" w:rsidRDefault="00590379" w:rsidP="00541B78">
      <w:pPr>
        <w:shd w:val="clear" w:color="auto" w:fill="FFFFFF"/>
        <w:textAlignment w:val="top"/>
        <w:rPr>
          <w:rFonts w:ascii="Arial" w:hAnsi="Arial" w:cs="Arial"/>
          <w:color w:val="111111"/>
          <w:szCs w:val="24"/>
          <w:u w:val="single"/>
        </w:rPr>
      </w:pPr>
    </w:p>
    <w:p w:rsidR="002635EA" w:rsidRPr="002635EA" w:rsidRDefault="002635EA" w:rsidP="00DC1EDC">
      <w:pPr>
        <w:rPr>
          <w:rStyle w:val="BookTitle"/>
          <w:rFonts w:ascii="Arial" w:hAnsi="Arial" w:cs="Arial"/>
          <w:i w:val="0"/>
          <w:iCs w:val="0"/>
          <w:smallCaps w:val="0"/>
          <w:spacing w:val="0"/>
        </w:rPr>
      </w:pPr>
    </w:p>
    <w:sectPr w:rsidR="002635EA" w:rsidRPr="00263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A31"/>
    <w:multiLevelType w:val="hybridMultilevel"/>
    <w:tmpl w:val="09822D1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nsid w:val="1F67624A"/>
    <w:multiLevelType w:val="hybridMultilevel"/>
    <w:tmpl w:val="D460F8C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C3F6C41"/>
    <w:multiLevelType w:val="hybridMultilevel"/>
    <w:tmpl w:val="445606AC"/>
    <w:lvl w:ilvl="0" w:tplc="67B06B42">
      <w:start w:val="1"/>
      <w:numFmt w:val="bullet"/>
      <w:lvlText w:val=""/>
      <w:lvlJc w:val="left"/>
      <w:pPr>
        <w:ind w:left="720" w:hanging="360"/>
      </w:pPr>
      <w:rPr>
        <w:rFonts w:ascii="Arial" w:hAnsi="Arial" w:cs="Aria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8E25B3B"/>
    <w:multiLevelType w:val="hybridMultilevel"/>
    <w:tmpl w:val="90D4AD0C"/>
    <w:lvl w:ilvl="0" w:tplc="0C090001">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F900826"/>
    <w:multiLevelType w:val="hybridMultilevel"/>
    <w:tmpl w:val="C254AD38"/>
    <w:lvl w:ilvl="0" w:tplc="690098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0C95BBD"/>
    <w:multiLevelType w:val="hybridMultilevel"/>
    <w:tmpl w:val="27788FBA"/>
    <w:lvl w:ilvl="0" w:tplc="0C090001">
      <w:start w:val="1"/>
      <w:numFmt w:val="bullet"/>
      <w:lvlText w:val=""/>
      <w:lvlJc w:val="left"/>
      <w:pPr>
        <w:ind w:left="1069" w:hanging="360"/>
      </w:pPr>
      <w:rPr>
        <w:rFonts w:ascii="Symbol" w:hAnsi="Symbol" w:hint="default"/>
        <w:i w:val="0"/>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nsid w:val="66D300C5"/>
    <w:multiLevelType w:val="hybridMultilevel"/>
    <w:tmpl w:val="1D722280"/>
    <w:lvl w:ilvl="0" w:tplc="AA46C9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3914263"/>
    <w:multiLevelType w:val="hybridMultilevel"/>
    <w:tmpl w:val="F5D6B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2A"/>
    <w:rsid w:val="00107EA1"/>
    <w:rsid w:val="00141477"/>
    <w:rsid w:val="001E630D"/>
    <w:rsid w:val="002635EA"/>
    <w:rsid w:val="00281F22"/>
    <w:rsid w:val="00295495"/>
    <w:rsid w:val="002F7208"/>
    <w:rsid w:val="00376E86"/>
    <w:rsid w:val="003B213E"/>
    <w:rsid w:val="003B2BB8"/>
    <w:rsid w:val="003D34FF"/>
    <w:rsid w:val="003F1B16"/>
    <w:rsid w:val="00441B96"/>
    <w:rsid w:val="004970BE"/>
    <w:rsid w:val="004A24B5"/>
    <w:rsid w:val="004B54CA"/>
    <w:rsid w:val="004E5CBF"/>
    <w:rsid w:val="005017BE"/>
    <w:rsid w:val="00516E41"/>
    <w:rsid w:val="00541B78"/>
    <w:rsid w:val="00590379"/>
    <w:rsid w:val="005C3AA9"/>
    <w:rsid w:val="006A4CE7"/>
    <w:rsid w:val="00726F45"/>
    <w:rsid w:val="00785261"/>
    <w:rsid w:val="007A6248"/>
    <w:rsid w:val="007B0256"/>
    <w:rsid w:val="00877965"/>
    <w:rsid w:val="009225F0"/>
    <w:rsid w:val="009774AB"/>
    <w:rsid w:val="00983F84"/>
    <w:rsid w:val="009B189F"/>
    <w:rsid w:val="009B70D2"/>
    <w:rsid w:val="009C59A0"/>
    <w:rsid w:val="00A20531"/>
    <w:rsid w:val="00A23B35"/>
    <w:rsid w:val="00A74868"/>
    <w:rsid w:val="00A74AFA"/>
    <w:rsid w:val="00A83E84"/>
    <w:rsid w:val="00A94C7F"/>
    <w:rsid w:val="00B2159D"/>
    <w:rsid w:val="00B2192A"/>
    <w:rsid w:val="00B42965"/>
    <w:rsid w:val="00BA2DB9"/>
    <w:rsid w:val="00BE6378"/>
    <w:rsid w:val="00BE7148"/>
    <w:rsid w:val="00BF3248"/>
    <w:rsid w:val="00BF6393"/>
    <w:rsid w:val="00C16173"/>
    <w:rsid w:val="00C51AAD"/>
    <w:rsid w:val="00C5655C"/>
    <w:rsid w:val="00D43E6A"/>
    <w:rsid w:val="00DC1EDC"/>
    <w:rsid w:val="00E80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2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before="0"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before="0"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before="0" w:line="276" w:lineRule="auto"/>
      <w:outlineLvl w:val="7"/>
    </w:pPr>
    <w:rPr>
      <w:rFonts w:ascii="Arial" w:eastAsiaTheme="majorEastAsia" w:hAnsi="Arial" w:cstheme="majorBidi"/>
      <w:sz w:val="20"/>
      <w:lang w:eastAsia="en-US"/>
    </w:rPr>
  </w:style>
  <w:style w:type="paragraph" w:styleId="Heading9">
    <w:name w:val="heading 9"/>
    <w:basedOn w:val="Normal"/>
    <w:next w:val="Normal"/>
    <w:link w:val="Heading9Char"/>
    <w:uiPriority w:val="9"/>
    <w:unhideWhenUsed/>
    <w:qFormat/>
    <w:rsid w:val="004B54CA"/>
    <w:pPr>
      <w:spacing w:before="0" w:line="276" w:lineRule="auto"/>
      <w:outlineLvl w:val="8"/>
    </w:pPr>
    <w:rPr>
      <w:rFonts w:ascii="Arial" w:eastAsiaTheme="majorEastAsia" w:hAnsi="Arial" w:cstheme="majorBidi"/>
      <w:i/>
      <w:iCs/>
      <w:spacing w:val="5"/>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before="0"/>
    </w:pPr>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before="0"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before="0" w:after="600" w:line="276" w:lineRule="auto"/>
    </w:pPr>
    <w:rPr>
      <w:rFonts w:ascii="Arial" w:eastAsiaTheme="majorEastAsia" w:hAnsi="Arial" w:cstheme="majorBidi"/>
      <w:i/>
      <w:iCs/>
      <w:spacing w:val="13"/>
      <w:szCs w:val="24"/>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spacing w:before="0" w:after="200" w:line="276" w:lineRule="auto"/>
      <w:ind w:left="720"/>
      <w:contextualSpacing/>
    </w:pPr>
    <w:rPr>
      <w:rFonts w:ascii="Arial" w:eastAsiaTheme="minorHAnsi" w:hAnsi="Arial" w:cstheme="minorBidi"/>
      <w:sz w:val="22"/>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before="0"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subsection">
    <w:name w:val="subsection"/>
    <w:aliases w:val="ss"/>
    <w:basedOn w:val="Normal"/>
    <w:rsid w:val="00141477"/>
    <w:pPr>
      <w:tabs>
        <w:tab w:val="right" w:pos="1021"/>
      </w:tabs>
      <w:spacing w:before="180"/>
      <w:ind w:left="1134" w:hanging="1134"/>
    </w:pPr>
    <w:rPr>
      <w:sz w:val="22"/>
    </w:rPr>
  </w:style>
  <w:style w:type="paragraph" w:styleId="BalloonText">
    <w:name w:val="Balloon Text"/>
    <w:basedOn w:val="Normal"/>
    <w:link w:val="BalloonTextChar"/>
    <w:uiPriority w:val="99"/>
    <w:semiHidden/>
    <w:unhideWhenUsed/>
    <w:rsid w:val="003F1B1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16"/>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2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before="0"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before="0"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before="0" w:line="276" w:lineRule="auto"/>
      <w:outlineLvl w:val="7"/>
    </w:pPr>
    <w:rPr>
      <w:rFonts w:ascii="Arial" w:eastAsiaTheme="majorEastAsia" w:hAnsi="Arial" w:cstheme="majorBidi"/>
      <w:sz w:val="20"/>
      <w:lang w:eastAsia="en-US"/>
    </w:rPr>
  </w:style>
  <w:style w:type="paragraph" w:styleId="Heading9">
    <w:name w:val="heading 9"/>
    <w:basedOn w:val="Normal"/>
    <w:next w:val="Normal"/>
    <w:link w:val="Heading9Char"/>
    <w:uiPriority w:val="9"/>
    <w:unhideWhenUsed/>
    <w:qFormat/>
    <w:rsid w:val="004B54CA"/>
    <w:pPr>
      <w:spacing w:before="0" w:line="276" w:lineRule="auto"/>
      <w:outlineLvl w:val="8"/>
    </w:pPr>
    <w:rPr>
      <w:rFonts w:ascii="Arial" w:eastAsiaTheme="majorEastAsia" w:hAnsi="Arial" w:cstheme="majorBidi"/>
      <w:i/>
      <w:iCs/>
      <w:spacing w:val="5"/>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before="0"/>
    </w:pPr>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before="0"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before="0" w:after="600" w:line="276" w:lineRule="auto"/>
    </w:pPr>
    <w:rPr>
      <w:rFonts w:ascii="Arial" w:eastAsiaTheme="majorEastAsia" w:hAnsi="Arial" w:cstheme="majorBidi"/>
      <w:i/>
      <w:iCs/>
      <w:spacing w:val="13"/>
      <w:szCs w:val="24"/>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spacing w:before="0" w:after="200" w:line="276" w:lineRule="auto"/>
      <w:ind w:left="720"/>
      <w:contextualSpacing/>
    </w:pPr>
    <w:rPr>
      <w:rFonts w:ascii="Arial" w:eastAsiaTheme="minorHAnsi" w:hAnsi="Arial" w:cstheme="minorBidi"/>
      <w:sz w:val="22"/>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before="0"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subsection">
    <w:name w:val="subsection"/>
    <w:aliases w:val="ss"/>
    <w:basedOn w:val="Normal"/>
    <w:rsid w:val="00141477"/>
    <w:pPr>
      <w:tabs>
        <w:tab w:val="right" w:pos="1021"/>
      </w:tabs>
      <w:spacing w:before="180"/>
      <w:ind w:left="1134" w:hanging="1134"/>
    </w:pPr>
    <w:rPr>
      <w:sz w:val="22"/>
    </w:rPr>
  </w:style>
  <w:style w:type="paragraph" w:styleId="BalloonText">
    <w:name w:val="Balloon Text"/>
    <w:basedOn w:val="Normal"/>
    <w:link w:val="BalloonTextChar"/>
    <w:uiPriority w:val="99"/>
    <w:semiHidden/>
    <w:unhideWhenUsed/>
    <w:rsid w:val="003F1B1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16"/>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Simon</dc:creator>
  <cp:lastModifiedBy>Burrowes, Megan</cp:lastModifiedBy>
  <cp:revision>2</cp:revision>
  <cp:lastPrinted>2015-09-29T06:47:00Z</cp:lastPrinted>
  <dcterms:created xsi:type="dcterms:W3CDTF">2015-09-29T07:00:00Z</dcterms:created>
  <dcterms:modified xsi:type="dcterms:W3CDTF">2015-09-29T07:00:00Z</dcterms:modified>
</cp:coreProperties>
</file>