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left w:w="0" w:type="dxa"/>
          <w:right w:w="0" w:type="dxa"/>
        </w:tblCellMar>
        <w:tblLook w:val="04A0" w:firstRow="1" w:lastRow="0" w:firstColumn="1" w:lastColumn="0" w:noHBand="0" w:noVBand="1"/>
        <w:tblCaption w:val="Cover page header for Compiled AASB Standard / Interpretations"/>
        <w:tblDescription w:val="Identification that the pronouncement is a compiled standard and number"/>
      </w:tblPr>
      <w:tblGrid>
        <w:gridCol w:w="4515"/>
        <w:gridCol w:w="4512"/>
      </w:tblGrid>
      <w:tr w:rsidR="00240322" w14:paraId="3286F0BB" w14:textId="77777777" w:rsidTr="00E0672B">
        <w:trPr>
          <w:tblHeader/>
        </w:trPr>
        <w:tc>
          <w:tcPr>
            <w:tcW w:w="4535" w:type="dxa"/>
          </w:tcPr>
          <w:p w14:paraId="3286F0B9" w14:textId="34894796" w:rsidR="00240322" w:rsidRDefault="00821046" w:rsidP="00703B9C">
            <w:pPr>
              <w:pStyle w:val="AASBStandardCover"/>
            </w:pPr>
            <w:r>
              <w:rPr>
                <w:color w:val="auto"/>
                <w:sz w:val="24"/>
              </w:rPr>
              <w:t xml:space="preserve">Compiled </w:t>
            </w:r>
            <w:r w:rsidR="00240322" w:rsidRPr="00821046">
              <w:rPr>
                <w:color w:val="auto"/>
                <w:sz w:val="24"/>
              </w:rPr>
              <w:t xml:space="preserve">AASB </w:t>
            </w:r>
            <w:bookmarkStart w:id="0" w:name="DocType"/>
            <w:r w:rsidR="00240322" w:rsidRPr="00821046">
              <w:rPr>
                <w:color w:val="auto"/>
                <w:sz w:val="24"/>
              </w:rPr>
              <w:t>Standard</w:t>
            </w:r>
            <w:bookmarkEnd w:id="0"/>
          </w:p>
        </w:tc>
        <w:tc>
          <w:tcPr>
            <w:tcW w:w="4535" w:type="dxa"/>
          </w:tcPr>
          <w:p w14:paraId="3286F0BA" w14:textId="2F332277" w:rsidR="00240322" w:rsidRPr="00821046" w:rsidRDefault="00240322" w:rsidP="00821046">
            <w:pPr>
              <w:pStyle w:val="AASBStandardNumber"/>
              <w:rPr>
                <w:rFonts w:ascii="HelveticaNeueLT Std" w:hAnsi="HelveticaNeueLT Std"/>
                <w:b/>
                <w:color w:val="auto"/>
              </w:rPr>
            </w:pPr>
            <w:bookmarkStart w:id="1" w:name="DocTypeAbb"/>
            <w:r w:rsidRPr="00821046">
              <w:rPr>
                <w:rFonts w:ascii="HelveticaNeueLT Std" w:hAnsi="HelveticaNeueLT Std"/>
                <w:b/>
                <w:color w:val="auto"/>
              </w:rPr>
              <w:t>AASB</w:t>
            </w:r>
            <w:bookmarkEnd w:id="1"/>
            <w:r w:rsidRPr="00821046">
              <w:rPr>
                <w:rFonts w:ascii="HelveticaNeueLT Std" w:hAnsi="HelveticaNeueLT Std"/>
                <w:b/>
                <w:color w:val="auto"/>
              </w:rPr>
              <w:t xml:space="preserve"> </w:t>
            </w:r>
            <w:bookmarkStart w:id="2" w:name="DocNo"/>
            <w:r w:rsidRPr="00821046">
              <w:rPr>
                <w:rFonts w:ascii="HelveticaNeueLT Std" w:hAnsi="HelveticaNeueLT Std"/>
                <w:b/>
                <w:color w:val="auto"/>
              </w:rPr>
              <w:t>110</w:t>
            </w:r>
            <w:bookmarkEnd w:id="2"/>
          </w:p>
        </w:tc>
      </w:tr>
    </w:tbl>
    <w:p w14:paraId="3286F0BC" w14:textId="44E8F097" w:rsidR="00240322" w:rsidRPr="00821046" w:rsidRDefault="00240322" w:rsidP="00821046">
      <w:pPr>
        <w:pStyle w:val="AASBStandardTitle"/>
        <w:pBdr>
          <w:bottom w:val="single" w:sz="4" w:space="1" w:color="auto"/>
        </w:pBdr>
        <w:rPr>
          <w:color w:val="auto"/>
        </w:rPr>
      </w:pPr>
      <w:bookmarkStart w:id="3" w:name="DocTitle"/>
      <w:r w:rsidRPr="00821046">
        <w:rPr>
          <w:color w:val="auto"/>
        </w:rPr>
        <w:t>Events after the Reporting Period</w:t>
      </w:r>
      <w:bookmarkEnd w:id="3"/>
    </w:p>
    <w:p w14:paraId="3286F0BD" w14:textId="77777777" w:rsidR="00821046" w:rsidRDefault="00821046" w:rsidP="00703B9C">
      <w:pPr>
        <w:pStyle w:val="AASBBase"/>
      </w:pPr>
    </w:p>
    <w:p w14:paraId="3286F0BE" w14:textId="35DE0065" w:rsidR="00821046" w:rsidRDefault="00821046" w:rsidP="00BC014F">
      <w:pPr>
        <w:pStyle w:val="AASBNormal"/>
        <w:tabs>
          <w:tab w:val="clear" w:pos="782"/>
        </w:tabs>
      </w:pPr>
      <w:r w:rsidRPr="000D35D8">
        <w:t xml:space="preserve">This compiled Standard applies to annual periods </w:t>
      </w:r>
      <w:bookmarkStart w:id="4" w:name="ApplyTextCompile"/>
      <w:r w:rsidRPr="000D35D8">
        <w:t>beginning</w:t>
      </w:r>
      <w:bookmarkEnd w:id="4"/>
      <w:r w:rsidRPr="000D35D8">
        <w:t xml:space="preserve"> on or after </w:t>
      </w:r>
      <w:bookmarkStart w:id="5" w:name="ApplyDateCompile"/>
      <w:r>
        <w:t>1 J</w:t>
      </w:r>
      <w:r w:rsidR="003203ED">
        <w:t>uly</w:t>
      </w:r>
      <w:r w:rsidRPr="000D35D8">
        <w:t xml:space="preserve"> 20</w:t>
      </w:r>
      <w:r w:rsidR="00044D1D">
        <w:t>2</w:t>
      </w:r>
      <w:r w:rsidR="003203ED">
        <w:t>1</w:t>
      </w:r>
      <w:bookmarkEnd w:id="5"/>
      <w:r w:rsidRPr="000D35D8">
        <w:t xml:space="preserve">.  </w:t>
      </w:r>
      <w:r>
        <w:t>Earlier application is permitted for annual periods beginning after 24 July 2014 but before 1 J</w:t>
      </w:r>
      <w:r w:rsidR="003203ED">
        <w:t>uly</w:t>
      </w:r>
      <w:r>
        <w:t xml:space="preserve"> 20</w:t>
      </w:r>
      <w:r w:rsidR="00044D1D">
        <w:t>2</w:t>
      </w:r>
      <w:r w:rsidR="003203ED">
        <w:t>1</w:t>
      </w:r>
      <w:r>
        <w:t xml:space="preserve">.  </w:t>
      </w:r>
      <w:r w:rsidRPr="000D35D8">
        <w:t xml:space="preserve">It incorporates relevant amendments made up to and including </w:t>
      </w:r>
      <w:r w:rsidR="00210EF4">
        <w:fldChar w:fldCharType="begin"/>
      </w:r>
      <w:r w:rsidR="00210EF4">
        <w:instrText xml:space="preserve"> REF \* charformat CompileDate  \* MERGEFORMAT </w:instrText>
      </w:r>
      <w:r w:rsidR="00210EF4">
        <w:fldChar w:fldCharType="separate"/>
      </w:r>
      <w:r w:rsidR="001F6D6B">
        <w:t>6</w:t>
      </w:r>
      <w:r w:rsidR="001F6D6B" w:rsidRPr="000D35D8">
        <w:t> </w:t>
      </w:r>
      <w:r w:rsidR="001F6D6B">
        <w:t xml:space="preserve">March </w:t>
      </w:r>
      <w:r w:rsidR="001F6D6B" w:rsidRPr="000D35D8">
        <w:t>20</w:t>
      </w:r>
      <w:r w:rsidR="001F6D6B">
        <w:t>20</w:t>
      </w:r>
      <w:r w:rsidR="00210EF4">
        <w:fldChar w:fldCharType="end"/>
      </w:r>
      <w:r w:rsidRPr="000D35D8">
        <w:t>.</w:t>
      </w:r>
    </w:p>
    <w:p w14:paraId="3286F0C0" w14:textId="6A8980E4" w:rsidR="00821046" w:rsidRDefault="00821046" w:rsidP="00821046">
      <w:pPr>
        <w:pStyle w:val="AASBBase"/>
        <w:spacing w:before="100" w:after="100"/>
      </w:pPr>
      <w:r w:rsidRPr="000D35D8">
        <w:t xml:space="preserve">Prepared on </w:t>
      </w:r>
      <w:r w:rsidRPr="00745122">
        <w:fldChar w:fldCharType="begin"/>
      </w:r>
      <w:r w:rsidRPr="000D35D8">
        <w:instrText xml:space="preserve"> REF \* charformat PrepDate </w:instrText>
      </w:r>
      <w:r w:rsidRPr="00745122">
        <w:fldChar w:fldCharType="separate"/>
      </w:r>
      <w:r w:rsidR="001F6D6B">
        <w:t>8</w:t>
      </w:r>
      <w:r w:rsidR="001F6D6B" w:rsidRPr="000D35D8">
        <w:t> </w:t>
      </w:r>
      <w:r w:rsidR="001F6D6B">
        <w:t>June 2021</w:t>
      </w:r>
      <w:r w:rsidRPr="00745122">
        <w:fldChar w:fldCharType="end"/>
      </w:r>
      <w:r w:rsidRPr="000D35D8">
        <w:t xml:space="preserve"> by the staff of the Australian Accounting Standards Board.</w:t>
      </w:r>
    </w:p>
    <w:p w14:paraId="3286F0C1" w14:textId="29D7D364" w:rsidR="00821046" w:rsidRDefault="00821046" w:rsidP="00821046">
      <w:pPr>
        <w:pStyle w:val="AASBBase"/>
        <w:spacing w:before="100" w:after="100"/>
      </w:pPr>
      <w:r>
        <w:t xml:space="preserve">Compilation no. </w:t>
      </w:r>
      <w:r w:rsidR="003203ED">
        <w:t>3</w:t>
      </w:r>
    </w:p>
    <w:p w14:paraId="3286F0C2" w14:textId="1969A173" w:rsidR="00821046" w:rsidRDefault="00821046" w:rsidP="00821046">
      <w:pPr>
        <w:pStyle w:val="AASBBase"/>
        <w:spacing w:before="100" w:after="100"/>
      </w:pPr>
      <w:r>
        <w:t>Compilation date:  3</w:t>
      </w:r>
      <w:r w:rsidR="003203ED">
        <w:t>0</w:t>
      </w:r>
      <w:r>
        <w:t xml:space="preserve"> </w:t>
      </w:r>
      <w:r w:rsidR="003203ED">
        <w:t>June</w:t>
      </w:r>
      <w:r>
        <w:t xml:space="preserve"> </w:t>
      </w:r>
      <w:r w:rsidR="00FC1BE5">
        <w:t>20</w:t>
      </w:r>
      <w:r w:rsidR="003203ED">
        <w:t>21</w:t>
      </w:r>
    </w:p>
    <w:p w14:paraId="3286F0C3" w14:textId="77777777" w:rsidR="00240322" w:rsidRDefault="00240322" w:rsidP="00854FCF">
      <w:pPr>
        <w:pStyle w:val="AASBBase"/>
        <w:spacing w:before="8160"/>
      </w:pPr>
      <w:r w:rsidRPr="0024411C">
        <w:rPr>
          <w:noProof/>
          <w:lang w:eastAsia="en-AU"/>
        </w:rPr>
        <w:drawing>
          <wp:inline distT="0" distB="0" distL="0" distR="0" wp14:anchorId="3286F193" wp14:editId="34780B91">
            <wp:extent cx="1677600" cy="1332000"/>
            <wp:effectExtent l="0" t="0" r="0" b="1905"/>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inline>
        </w:drawing>
      </w:r>
    </w:p>
    <w:p w14:paraId="3286F0C4" w14:textId="77777777" w:rsidR="00240322" w:rsidRDefault="00240322" w:rsidP="00C05CFE">
      <w:pPr>
        <w:pStyle w:val="AASBBase"/>
        <w:spacing w:before="100"/>
        <w:sectPr w:rsidR="00240322" w:rsidSect="00703B9C">
          <w:pgSz w:w="11907" w:h="16839" w:code="9"/>
          <w:pgMar w:top="1440" w:right="1440" w:bottom="1440" w:left="1440" w:header="709" w:footer="709" w:gutter="0"/>
          <w:cols w:space="708"/>
          <w:docGrid w:linePitch="360"/>
        </w:sectPr>
      </w:pPr>
    </w:p>
    <w:p w14:paraId="3286F0C5" w14:textId="77777777" w:rsidR="00821046" w:rsidRDefault="00821046" w:rsidP="00821046">
      <w:pPr>
        <w:pStyle w:val="IASBSectionTitle2NonInd"/>
      </w:pPr>
      <w:r>
        <w:lastRenderedPageBreak/>
        <w:t xml:space="preserve">Obtaining copies of Accounting </w:t>
      </w:r>
      <w:r w:rsidR="00210EF4">
        <w:fldChar w:fldCharType="begin" w:fldLock="1"/>
      </w:r>
      <w:r w:rsidR="00210EF4">
        <w:instrText xml:space="preserve"> REF DocType </w:instrText>
      </w:r>
      <w:r w:rsidR="00210EF4">
        <w:fldChar w:fldCharType="separate"/>
      </w:r>
      <w:r w:rsidRPr="00CB4C3F">
        <w:t>Standard</w:t>
      </w:r>
      <w:r w:rsidR="00210EF4">
        <w:fldChar w:fldCharType="end"/>
      </w:r>
      <w:r>
        <w:t>s</w:t>
      </w:r>
    </w:p>
    <w:p w14:paraId="3286F0C6" w14:textId="77777777" w:rsidR="00821046" w:rsidRDefault="00821046" w:rsidP="00821046">
      <w:pPr>
        <w:pStyle w:val="AASBPara"/>
      </w:pPr>
      <w:r w:rsidRPr="000D35D8">
        <w:t xml:space="preserve">Compiled versions of Standards, original Standards and amending Standards (see Compilation Details) are available on the AASB website: </w:t>
      </w:r>
      <w:r w:rsidRPr="00F83272">
        <w:t>www.aasb.gov.au</w:t>
      </w:r>
      <w:r w:rsidRPr="000D35D8">
        <w:t>.</w:t>
      </w:r>
    </w:p>
    <w:p w14:paraId="3286F0C7" w14:textId="77777777" w:rsidR="00821046" w:rsidRDefault="00821046" w:rsidP="00821046">
      <w:pPr>
        <w:pStyle w:val="AASBBase"/>
      </w:pPr>
      <w:r>
        <w:t>Australian Accounting Standards Board</w:t>
      </w:r>
    </w:p>
    <w:p w14:paraId="3286F0C8" w14:textId="77777777" w:rsidR="00821046" w:rsidRDefault="00821046" w:rsidP="00821046">
      <w:pPr>
        <w:pStyle w:val="AASBBase"/>
      </w:pPr>
      <w:r>
        <w:t>PO Box 204</w:t>
      </w:r>
    </w:p>
    <w:p w14:paraId="3286F0C9" w14:textId="77777777" w:rsidR="00821046" w:rsidRDefault="00821046" w:rsidP="00821046">
      <w:pPr>
        <w:pStyle w:val="AASBBase"/>
      </w:pPr>
      <w:r>
        <w:t>Collins Street West</w:t>
      </w:r>
    </w:p>
    <w:p w14:paraId="3286F0CA" w14:textId="77777777" w:rsidR="00821046" w:rsidRDefault="00821046" w:rsidP="00821046">
      <w:pPr>
        <w:pStyle w:val="AASBBase"/>
      </w:pPr>
      <w:r>
        <w:t>Victoria   8007</w:t>
      </w:r>
    </w:p>
    <w:p w14:paraId="3286F0CB" w14:textId="77777777" w:rsidR="00821046" w:rsidRDefault="00821046" w:rsidP="00821046">
      <w:pPr>
        <w:pStyle w:val="AASBPara"/>
      </w:pPr>
      <w:r>
        <w:t>AUSTRALIA</w:t>
      </w:r>
    </w:p>
    <w:p w14:paraId="3286F0CC" w14:textId="77777777" w:rsidR="00821046" w:rsidRDefault="00821046" w:rsidP="00821046">
      <w:pPr>
        <w:pStyle w:val="AASBBase"/>
        <w:tabs>
          <w:tab w:val="left" w:pos="907"/>
        </w:tabs>
      </w:pPr>
      <w:r>
        <w:t>Phone:</w:t>
      </w:r>
      <w:r>
        <w:tab/>
        <w:t>(03) 9617 7600</w:t>
      </w:r>
    </w:p>
    <w:p w14:paraId="3286F0CD" w14:textId="77777777" w:rsidR="00821046" w:rsidRDefault="00821046" w:rsidP="00821046">
      <w:pPr>
        <w:pStyle w:val="AASBBase"/>
        <w:tabs>
          <w:tab w:val="left" w:pos="907"/>
        </w:tabs>
      </w:pPr>
      <w:r>
        <w:t>E-mail:</w:t>
      </w:r>
      <w:r>
        <w:tab/>
        <w:t>standard@aasb.gov.au</w:t>
      </w:r>
    </w:p>
    <w:p w14:paraId="3286F0CE" w14:textId="77777777" w:rsidR="00821046" w:rsidRDefault="00821046" w:rsidP="00821046">
      <w:pPr>
        <w:pStyle w:val="AASBPara"/>
        <w:tabs>
          <w:tab w:val="left" w:pos="907"/>
        </w:tabs>
      </w:pPr>
      <w:r>
        <w:t>Website:</w:t>
      </w:r>
      <w:r>
        <w:tab/>
        <w:t>www.aasb.gov.au</w:t>
      </w:r>
    </w:p>
    <w:p w14:paraId="3286F0CF" w14:textId="77777777" w:rsidR="00821046" w:rsidRDefault="00821046" w:rsidP="00821046">
      <w:pPr>
        <w:pStyle w:val="IASBSectionTitle2NonInd"/>
      </w:pPr>
      <w:r>
        <w:t>Other enquiries</w:t>
      </w:r>
    </w:p>
    <w:p w14:paraId="3286F0D0" w14:textId="77777777" w:rsidR="00821046" w:rsidRDefault="00821046" w:rsidP="00821046">
      <w:pPr>
        <w:pStyle w:val="AASBBase"/>
        <w:tabs>
          <w:tab w:val="left" w:pos="907"/>
        </w:tabs>
      </w:pPr>
      <w:r>
        <w:t>Phone:</w:t>
      </w:r>
      <w:r>
        <w:tab/>
        <w:t>(03) 9617 7600</w:t>
      </w:r>
    </w:p>
    <w:p w14:paraId="3286F0D1" w14:textId="77777777" w:rsidR="00821046" w:rsidRDefault="00821046" w:rsidP="00821046">
      <w:pPr>
        <w:pStyle w:val="AASBBase"/>
        <w:tabs>
          <w:tab w:val="left" w:pos="907"/>
        </w:tabs>
      </w:pPr>
      <w:r>
        <w:t>E-mail:</w:t>
      </w:r>
      <w:r>
        <w:tab/>
        <w:t>standard@aasb.gov.au</w:t>
      </w:r>
    </w:p>
    <w:p w14:paraId="3286F0D2" w14:textId="77777777" w:rsidR="00240322" w:rsidRDefault="00240322" w:rsidP="007E457F">
      <w:pPr>
        <w:pStyle w:val="AASBPara"/>
        <w:spacing w:before="6200"/>
      </w:pPr>
      <w:r>
        <w:t>COPYRIGHT</w:t>
      </w:r>
    </w:p>
    <w:p w14:paraId="3286F0D3" w14:textId="750BED7B" w:rsidR="00240322" w:rsidRDefault="00240322" w:rsidP="00703B9C">
      <w:pPr>
        <w:pStyle w:val="AASBPara"/>
      </w:pPr>
      <w:r>
        <w:t xml:space="preserve">© Commonwealth of Australia </w:t>
      </w:r>
      <w:bookmarkStart w:id="6" w:name="Year"/>
      <w:r>
        <w:t>20</w:t>
      </w:r>
      <w:r w:rsidR="00044D1D">
        <w:t>2</w:t>
      </w:r>
      <w:r w:rsidR="00AB12EE">
        <w:t>1</w:t>
      </w:r>
      <w:bookmarkEnd w:id="6"/>
    </w:p>
    <w:p w14:paraId="3286F0D4" w14:textId="57095E13" w:rsidR="00240322" w:rsidRDefault="00240322" w:rsidP="00703B9C">
      <w:pPr>
        <w:pStyle w:val="AASBPara"/>
      </w:pPr>
      <w:r>
        <w:t xml:space="preserve">This </w:t>
      </w:r>
      <w:r w:rsidR="00794A0D">
        <w:t xml:space="preserve">compiled </w:t>
      </w:r>
      <w:r>
        <w:t xml:space="preserve">AASB </w:t>
      </w:r>
      <w:r w:rsidR="00210EF4">
        <w:fldChar w:fldCharType="begin" w:fldLock="1"/>
      </w:r>
      <w:r w:rsidR="00210EF4">
        <w:instrText xml:space="preserve"> REF DocType </w:instrText>
      </w:r>
      <w:r w:rsidR="00210EF4">
        <w:fldChar w:fldCharType="separate"/>
      </w:r>
      <w:r w:rsidR="005815FE" w:rsidRPr="00CB4C3F">
        <w:t>Standard</w:t>
      </w:r>
      <w:r w:rsidR="00210EF4">
        <w:fldChar w:fldCharType="end"/>
      </w:r>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w:t>
      </w:r>
      <w:r w:rsidR="007E457F">
        <w:t>National Director</w:t>
      </w:r>
      <w:r>
        <w:t>, Australian Accounting Standards Board, PO Box 204, Collins Street West, Victoria 8007.</w:t>
      </w:r>
    </w:p>
    <w:p w14:paraId="3286F0D5" w14:textId="77777777" w:rsidR="00240322" w:rsidRDefault="00240322" w:rsidP="006D245F">
      <w:pPr>
        <w:pStyle w:val="AASBBase"/>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14:paraId="3286F0D6" w14:textId="77777777" w:rsidR="00240322" w:rsidRDefault="00240322" w:rsidP="00703B9C">
      <w:pPr>
        <w:pStyle w:val="AASBBase"/>
        <w:sectPr w:rsidR="00240322" w:rsidSect="00E67F5C">
          <w:headerReference w:type="even" r:id="rId8"/>
          <w:headerReference w:type="default" r:id="rId9"/>
          <w:footerReference w:type="even" r:id="rId10"/>
          <w:footerReference w:type="default" r:id="rId11"/>
          <w:pgSz w:w="11907" w:h="16839" w:code="9"/>
          <w:pgMar w:top="1440" w:right="1440" w:bottom="1440" w:left="1440" w:header="709" w:footer="709" w:gutter="0"/>
          <w:pgNumType w:start="2"/>
          <w:cols w:space="708"/>
          <w:docGrid w:linePitch="360"/>
        </w:sectPr>
      </w:pPr>
    </w:p>
    <w:p w14:paraId="3286F0D7" w14:textId="77777777" w:rsidR="00240322" w:rsidRDefault="00240322" w:rsidP="00703B9C">
      <w:pPr>
        <w:pStyle w:val="ConvSectionTitle"/>
      </w:pPr>
      <w:r>
        <w:lastRenderedPageBreak/>
        <w:t>Contents</w:t>
      </w:r>
    </w:p>
    <w:p w14:paraId="3286F0D8" w14:textId="77777777" w:rsidR="00240322" w:rsidRDefault="00240322" w:rsidP="0047586D">
      <w:pPr>
        <w:pStyle w:val="AASBPara"/>
        <w:spacing w:before="400"/>
      </w:pPr>
      <w:r>
        <w:t xml:space="preserve">COMPARISON WITH </w:t>
      </w:r>
      <w:bookmarkStart w:id="7" w:name="IntnlType"/>
      <w:r>
        <w:t>IAS</w:t>
      </w:r>
      <w:bookmarkEnd w:id="7"/>
      <w:r>
        <w:t xml:space="preserve"> </w:t>
      </w:r>
      <w:bookmarkStart w:id="8" w:name="IntnlNo"/>
      <w:r>
        <w:t>10</w:t>
      </w:r>
      <w:bookmarkEnd w:id="8"/>
    </w:p>
    <w:p w14:paraId="3286F0D9" w14:textId="77777777" w:rsidR="00240322" w:rsidRPr="000C31B3" w:rsidRDefault="00240322" w:rsidP="00703B9C">
      <w:pPr>
        <w:pStyle w:val="AASBBase"/>
        <w:rPr>
          <w:b/>
        </w:rPr>
      </w:pPr>
      <w:bookmarkStart w:id="9" w:name="TOCTopStandard"/>
      <w:r w:rsidRPr="000C31B3">
        <w:rPr>
          <w:b/>
        </w:rPr>
        <w:t>ACCOUNTING STANDARD</w:t>
      </w:r>
    </w:p>
    <w:p w14:paraId="3286F0DA" w14:textId="77777777" w:rsidR="00240322" w:rsidRPr="000C31B3" w:rsidRDefault="00240322" w:rsidP="00703B9C">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5815FE" w:rsidRPr="005815FE">
        <w:rPr>
          <w:b/>
        </w:rPr>
        <w:t>110</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5815FE" w:rsidRPr="005815FE">
        <w:rPr>
          <w:b/>
          <w:i/>
        </w:rPr>
        <w:t>EVENTS AFTER THE REPORTING PERIOD</w:t>
      </w:r>
      <w:r w:rsidRPr="000C31B3">
        <w:rPr>
          <w:b/>
          <w:i/>
        </w:rPr>
        <w:fldChar w:fldCharType="end"/>
      </w:r>
    </w:p>
    <w:bookmarkEnd w:id="9"/>
    <w:p w14:paraId="3286F0DB" w14:textId="77777777" w:rsidR="00240322" w:rsidRDefault="00240322" w:rsidP="00703B9C">
      <w:pPr>
        <w:pStyle w:val="ContentsHeading"/>
      </w:pPr>
      <w:r>
        <w:t>from paragraph</w:t>
      </w:r>
    </w:p>
    <w:p w14:paraId="3286F0DC" w14:textId="77777777" w:rsidR="005C1F25" w:rsidRDefault="005C1F25" w:rsidP="005C1F25">
      <w:pPr>
        <w:pStyle w:val="ContentsLevel1"/>
      </w:pPr>
      <w:bookmarkStart w:id="10" w:name="TOCRange"/>
      <w:bookmarkStart w:id="11" w:name="TOCBottomStandard"/>
      <w:r>
        <w:t>Objective</w:t>
      </w:r>
      <w:r>
        <w:tab/>
        <w:t>1</w:t>
      </w:r>
    </w:p>
    <w:p w14:paraId="3286F0DD" w14:textId="77777777" w:rsidR="005C1F25" w:rsidRDefault="005C1F25" w:rsidP="005C1F25">
      <w:pPr>
        <w:pStyle w:val="ContentsLevel1"/>
      </w:pPr>
      <w:r>
        <w:t>Scope</w:t>
      </w:r>
      <w:r>
        <w:tab/>
        <w:t>2</w:t>
      </w:r>
    </w:p>
    <w:p w14:paraId="3286F0DE" w14:textId="77777777" w:rsidR="005C1F25" w:rsidRDefault="005C1F25" w:rsidP="005C1F25">
      <w:pPr>
        <w:pStyle w:val="ContentsLevel1"/>
      </w:pPr>
      <w:r>
        <w:t>Definitions</w:t>
      </w:r>
      <w:r>
        <w:tab/>
        <w:t>3</w:t>
      </w:r>
    </w:p>
    <w:p w14:paraId="3286F0DF" w14:textId="77777777" w:rsidR="005C1F25" w:rsidRDefault="005C1F25" w:rsidP="005C1F25">
      <w:pPr>
        <w:pStyle w:val="ContentsLevel1"/>
      </w:pPr>
      <w:r>
        <w:t>Recognition and measurement</w:t>
      </w:r>
    </w:p>
    <w:p w14:paraId="3286F0E0" w14:textId="77777777" w:rsidR="005C1F25" w:rsidRDefault="005C1F25" w:rsidP="005C1F25">
      <w:pPr>
        <w:pStyle w:val="ContentsLevel2"/>
      </w:pPr>
      <w:r>
        <w:t>Adjusting events after the reporting period</w:t>
      </w:r>
      <w:r>
        <w:tab/>
        <w:t>8</w:t>
      </w:r>
    </w:p>
    <w:p w14:paraId="3286F0E1" w14:textId="77777777" w:rsidR="005C1F25" w:rsidRDefault="005C1F25" w:rsidP="005C1F25">
      <w:pPr>
        <w:pStyle w:val="ContentsLevel2"/>
      </w:pPr>
      <w:r>
        <w:t>Non-adjusting events after the reporting period</w:t>
      </w:r>
      <w:r>
        <w:tab/>
        <w:t>10</w:t>
      </w:r>
    </w:p>
    <w:p w14:paraId="3286F0E2" w14:textId="77777777" w:rsidR="005C1F25" w:rsidRDefault="005C1F25" w:rsidP="005C1F25">
      <w:pPr>
        <w:pStyle w:val="ContentsLevel2"/>
      </w:pPr>
      <w:r>
        <w:t>Dividends</w:t>
      </w:r>
      <w:r>
        <w:tab/>
        <w:t>12</w:t>
      </w:r>
    </w:p>
    <w:p w14:paraId="3286F0E3" w14:textId="77777777" w:rsidR="005C1F25" w:rsidRDefault="005C1F25" w:rsidP="005C1F25">
      <w:pPr>
        <w:pStyle w:val="ContentsLevel1"/>
      </w:pPr>
      <w:r>
        <w:t>Going concern</w:t>
      </w:r>
      <w:r>
        <w:tab/>
        <w:t>14</w:t>
      </w:r>
    </w:p>
    <w:p w14:paraId="3286F0E4" w14:textId="77777777" w:rsidR="005C1F25" w:rsidRDefault="005C1F25" w:rsidP="005C1F25">
      <w:pPr>
        <w:pStyle w:val="ContentsLevel1"/>
      </w:pPr>
      <w:r>
        <w:t>Disclosure</w:t>
      </w:r>
    </w:p>
    <w:p w14:paraId="3286F0E5" w14:textId="77777777" w:rsidR="005C1F25" w:rsidRDefault="005C1F25" w:rsidP="005C1F25">
      <w:pPr>
        <w:pStyle w:val="ContentsLevel2"/>
      </w:pPr>
      <w:r>
        <w:t>Date of authorisation for issue</w:t>
      </w:r>
      <w:r>
        <w:tab/>
        <w:t>17</w:t>
      </w:r>
    </w:p>
    <w:p w14:paraId="3286F0E6" w14:textId="77777777" w:rsidR="005C1F25" w:rsidRDefault="005C1F25" w:rsidP="005C1F25">
      <w:pPr>
        <w:pStyle w:val="ContentsLevel2"/>
      </w:pPr>
      <w:r>
        <w:t>Updating disclosure about conditions at the end of the reporting period</w:t>
      </w:r>
      <w:r>
        <w:tab/>
        <w:t>19</w:t>
      </w:r>
    </w:p>
    <w:p w14:paraId="3286F0E7" w14:textId="77777777" w:rsidR="005C1F25" w:rsidRDefault="005C1F25" w:rsidP="005C1F25">
      <w:pPr>
        <w:pStyle w:val="ContentsLevel2"/>
      </w:pPr>
      <w:r>
        <w:t>Non-adjusting events after the reporting period</w:t>
      </w:r>
      <w:r>
        <w:tab/>
        <w:t>21</w:t>
      </w:r>
    </w:p>
    <w:p w14:paraId="3286F0E8" w14:textId="77777777" w:rsidR="005C1F25" w:rsidRDefault="005C1F25" w:rsidP="005C1F25">
      <w:pPr>
        <w:pStyle w:val="ContentsLevel1"/>
      </w:pPr>
      <w:r>
        <w:t>Effective date</w:t>
      </w:r>
      <w:r>
        <w:tab/>
        <w:t>23</w:t>
      </w:r>
    </w:p>
    <w:p w14:paraId="3286F0E9" w14:textId="62BF535A" w:rsidR="005C1F25" w:rsidRDefault="005C1F25" w:rsidP="005C1F25">
      <w:pPr>
        <w:pStyle w:val="ContentsLevel1"/>
      </w:pPr>
      <w:r>
        <w:t>Withdrawal of IAS 10 (revised 1999)</w:t>
      </w:r>
    </w:p>
    <w:p w14:paraId="3286F0EA" w14:textId="23C044ED" w:rsidR="005C1F25" w:rsidRDefault="005C1F25" w:rsidP="005C1F25">
      <w:pPr>
        <w:pStyle w:val="ContentsLevel1"/>
      </w:pPr>
      <w:r>
        <w:t>Commencement of the legislative instrument</w:t>
      </w:r>
    </w:p>
    <w:p w14:paraId="3286F0EB" w14:textId="77777777" w:rsidR="005C1F25" w:rsidRDefault="005C1F25" w:rsidP="005C1F25">
      <w:pPr>
        <w:pStyle w:val="ContentsLevel1"/>
      </w:pPr>
      <w:r>
        <w:t>Withdrawal of AASB pronouncements</w:t>
      </w:r>
      <w:r>
        <w:tab/>
      </w:r>
      <w:r w:rsidRPr="005C1F25">
        <w:rPr>
          <w:rFonts w:ascii="Times New Roman Bold" w:hAnsi="Times New Roman Bold"/>
          <w:caps w:val="0"/>
        </w:rPr>
        <w:t>Aus24.2</w:t>
      </w:r>
    </w:p>
    <w:p w14:paraId="3286F0EC" w14:textId="77777777" w:rsidR="005C1F25" w:rsidRDefault="005C1F25" w:rsidP="005C1F25">
      <w:pPr>
        <w:pStyle w:val="ContentsLevel1"/>
      </w:pPr>
      <w:r>
        <w:t>AppendiX</w:t>
      </w:r>
    </w:p>
    <w:p w14:paraId="3286F0ED" w14:textId="49E3347B" w:rsidR="005C1F25" w:rsidRDefault="005C1F25" w:rsidP="005C1F25">
      <w:pPr>
        <w:pStyle w:val="ContentsLevel2"/>
      </w:pPr>
      <w:r>
        <w:t xml:space="preserve">A </w:t>
      </w:r>
      <w:r w:rsidR="00E938C0">
        <w:t xml:space="preserve"> </w:t>
      </w:r>
      <w:r>
        <w:t xml:space="preserve">Australian </w:t>
      </w:r>
      <w:r w:rsidR="0010137B" w:rsidRPr="00D35371">
        <w:t>simplified disclosures for Tier 2 entities</w:t>
      </w:r>
      <w:r w:rsidR="0010137B" w:rsidDel="0010137B">
        <w:t xml:space="preserve"> </w:t>
      </w:r>
    </w:p>
    <w:p w14:paraId="3286F0EF" w14:textId="77777777" w:rsidR="007E457F" w:rsidRDefault="007E457F" w:rsidP="005C1F25">
      <w:pPr>
        <w:pStyle w:val="ContentsLevel2"/>
      </w:pPr>
      <w:r>
        <w:t>COMPILATION DETAILS</w:t>
      </w:r>
    </w:p>
    <w:p w14:paraId="3286F0F0" w14:textId="77777777" w:rsidR="005C1F25" w:rsidRDefault="005C1F25" w:rsidP="005C1F25">
      <w:pPr>
        <w:pStyle w:val="ContentsLevel1"/>
      </w:pPr>
      <w:r>
        <w:t>Deleted IAS 10 text</w:t>
      </w:r>
    </w:p>
    <w:bookmarkEnd w:id="10"/>
    <w:p w14:paraId="3286F0F1" w14:textId="77777777" w:rsidR="00E67F5C" w:rsidRDefault="00E67F5C" w:rsidP="00E67F5C">
      <w:pPr>
        <w:pStyle w:val="ContentsLevel1"/>
      </w:pPr>
    </w:p>
    <w:p w14:paraId="3286F0F2" w14:textId="77777777" w:rsidR="00E67F5C" w:rsidRDefault="00E67F5C" w:rsidP="00E67F5C">
      <w:pPr>
        <w:pStyle w:val="ContentsLevel1"/>
      </w:pPr>
    </w:p>
    <w:p w14:paraId="3286F0F3" w14:textId="77777777" w:rsidR="00E67F5C" w:rsidRDefault="00E67F5C" w:rsidP="00E67F5C">
      <w:pPr>
        <w:pStyle w:val="ContentsLevel1"/>
      </w:pPr>
      <w:r>
        <w:t>AVailable on the AASB website</w:t>
      </w:r>
    </w:p>
    <w:p w14:paraId="3286F0F4" w14:textId="77777777" w:rsidR="00E67F5C" w:rsidRDefault="00E67F5C" w:rsidP="00E67F5C">
      <w:pPr>
        <w:pStyle w:val="ContentsLevel2"/>
      </w:pPr>
      <w:r>
        <w:t>Basis for Conclusions on IAS 10</w:t>
      </w:r>
    </w:p>
    <w:p w14:paraId="3286F0F5" w14:textId="77777777" w:rsidR="00240322" w:rsidRDefault="00240322" w:rsidP="00703B9C">
      <w:pPr>
        <w:pStyle w:val="ContentsLevel1"/>
      </w:pPr>
    </w:p>
    <w:p w14:paraId="3286F0F6" w14:textId="77777777" w:rsidR="00240322" w:rsidRDefault="00240322" w:rsidP="00703B9C">
      <w:pPr>
        <w:pStyle w:val="ContentsLevel1"/>
      </w:pPr>
    </w:p>
    <w:p w14:paraId="3286F0F7" w14:textId="56B937BC" w:rsidR="00240322" w:rsidRDefault="00240322" w:rsidP="00703B9C">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5815FE">
        <w:t>110</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5815FE" w:rsidRPr="005815FE">
        <w:rPr>
          <w:i/>
        </w:rPr>
        <w:t>Events after the Reporting Period</w:t>
      </w:r>
      <w:r w:rsidRPr="00103CE9">
        <w:rPr>
          <w:i/>
        </w:rPr>
        <w:fldChar w:fldCharType="end"/>
      </w:r>
      <w:r>
        <w:t xml:space="preserve"> </w:t>
      </w:r>
      <w:r w:rsidR="007E457F">
        <w:t xml:space="preserve">(as amended) </w:t>
      </w:r>
      <w:r>
        <w:t xml:space="preserve">is set out in paragraphs </w:t>
      </w:r>
      <w:r w:rsidR="00F6777D">
        <w:t>1</w:t>
      </w:r>
      <w:r w:rsidR="00E938C0">
        <w:t> </w:t>
      </w:r>
      <w:r w:rsidR="00F6777D">
        <w:t>– Aus24.2</w:t>
      </w:r>
      <w:r w:rsidR="00BD4CE1">
        <w:t xml:space="preserve"> and Appendix A</w:t>
      </w:r>
      <w:r>
        <w:t xml:space="preserve">.  </w:t>
      </w:r>
      <w:r w:rsidRPr="00BD4CE1">
        <w:t xml:space="preserve">All the paragraphs have equal authority.  Paragraphs in </w:t>
      </w:r>
      <w:r w:rsidRPr="00BD4CE1">
        <w:rPr>
          <w:b/>
        </w:rPr>
        <w:t>bold type</w:t>
      </w:r>
      <w:r w:rsidRPr="00BD4CE1">
        <w:t xml:space="preserve"> state the main principles. </w:t>
      </w:r>
      <w:r w:rsidR="00B44797">
        <w:t xml:space="preserve"> </w:t>
      </w:r>
      <w:r w:rsidRPr="00BD4CE1">
        <w:t>AASB </w:t>
      </w:r>
      <w:r w:rsidRPr="00BD4CE1">
        <w:fldChar w:fldCharType="begin" w:fldLock="1"/>
      </w:r>
      <w:r w:rsidRPr="00BD4CE1">
        <w:instrText xml:space="preserve"> REF DocNo \* charformat</w:instrText>
      </w:r>
      <w:r w:rsidR="00BD4CE1">
        <w:instrText xml:space="preserve"> \* MERGEFORMAT </w:instrText>
      </w:r>
      <w:r w:rsidRPr="00BD4CE1">
        <w:fldChar w:fldCharType="separate"/>
      </w:r>
      <w:r w:rsidR="005815FE">
        <w:t>110</w:t>
      </w:r>
      <w:r w:rsidRPr="00BD4CE1">
        <w:fldChar w:fldCharType="end"/>
      </w:r>
      <w:r w:rsidRPr="00BD4CE1">
        <w:t xml:space="preserve"> is to be read in the con</w:t>
      </w:r>
      <w:r w:rsidRPr="00103CE9">
        <w:t>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A1743D">
        <w:t xml:space="preserve">, and AASB 1057 </w:t>
      </w:r>
      <w:r w:rsidR="00A1743D"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14:paraId="3286F0F8" w14:textId="77777777" w:rsidR="00240322" w:rsidRDefault="00240322" w:rsidP="00703B9C">
      <w:pPr>
        <w:pStyle w:val="AASBBase"/>
      </w:pPr>
    </w:p>
    <w:bookmarkEnd w:id="11"/>
    <w:p w14:paraId="3286F0F9" w14:textId="77777777" w:rsidR="00240322" w:rsidRDefault="00240322" w:rsidP="00703B9C">
      <w:pPr>
        <w:pStyle w:val="AASBBase"/>
      </w:pPr>
    </w:p>
    <w:p w14:paraId="3286F0FA" w14:textId="77777777" w:rsidR="00240322" w:rsidRDefault="00240322" w:rsidP="00703B9C">
      <w:pPr>
        <w:pStyle w:val="AASBBase"/>
        <w:sectPr w:rsidR="00240322" w:rsidSect="00703B9C">
          <w:headerReference w:type="even" r:id="rId12"/>
          <w:footerReference w:type="even" r:id="rId13"/>
          <w:footerReference w:type="default" r:id="rId14"/>
          <w:pgSz w:w="11907" w:h="16839" w:code="9"/>
          <w:pgMar w:top="1440" w:right="1440" w:bottom="1440" w:left="1440" w:header="709" w:footer="709" w:gutter="0"/>
          <w:cols w:space="708"/>
          <w:docGrid w:linePitch="360"/>
        </w:sectPr>
      </w:pPr>
    </w:p>
    <w:p w14:paraId="3286F0FB" w14:textId="77777777" w:rsidR="00240322" w:rsidRDefault="00240322" w:rsidP="00703B9C">
      <w:pPr>
        <w:pStyle w:val="ConvSectionTitle"/>
      </w:pPr>
      <w:r>
        <w:lastRenderedPageBreak/>
        <w:t xml:space="preserve">Comparison with </w:t>
      </w:r>
      <w:r>
        <w:fldChar w:fldCharType="begin" w:fldLock="1"/>
      </w:r>
      <w:r>
        <w:instrText xml:space="preserve"> REF IntnlType \* charformat</w:instrText>
      </w:r>
      <w:r>
        <w:fldChar w:fldCharType="separate"/>
      </w:r>
      <w:r w:rsidR="005815FE">
        <w:t>IAS</w:t>
      </w:r>
      <w:r>
        <w:fldChar w:fldCharType="end"/>
      </w:r>
      <w:r>
        <w:t xml:space="preserve"> </w:t>
      </w:r>
      <w:r>
        <w:fldChar w:fldCharType="begin" w:fldLock="1"/>
      </w:r>
      <w:r>
        <w:instrText xml:space="preserve"> REF IntnlNo \* charformat</w:instrText>
      </w:r>
      <w:r>
        <w:fldChar w:fldCharType="separate"/>
      </w:r>
      <w:r w:rsidR="005815FE">
        <w:t>10</w:t>
      </w:r>
      <w:r>
        <w:fldChar w:fldCharType="end"/>
      </w:r>
    </w:p>
    <w:p w14:paraId="3286F0FC" w14:textId="6B78766B" w:rsidR="00240322" w:rsidRDefault="00240322" w:rsidP="00703B9C">
      <w:pPr>
        <w:pStyle w:val="IASBNormal"/>
      </w:pPr>
      <w:r>
        <w:t xml:space="preserve">AASB </w:t>
      </w:r>
      <w:r>
        <w:fldChar w:fldCharType="begin" w:fldLock="1"/>
      </w:r>
      <w:r>
        <w:instrText xml:space="preserve"> REF DocNo \* charformat</w:instrText>
      </w:r>
      <w:r>
        <w:fldChar w:fldCharType="separate"/>
      </w:r>
      <w:r w:rsidR="005815FE">
        <w:t>110</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005815FE" w:rsidRPr="005815FE">
        <w:rPr>
          <w:i/>
        </w:rPr>
        <w:t>Events after the Reporting Period</w:t>
      </w:r>
      <w:r w:rsidRPr="00137A58">
        <w:rPr>
          <w:i/>
        </w:rPr>
        <w:fldChar w:fldCharType="end"/>
      </w:r>
      <w:r>
        <w:t xml:space="preserve"> </w:t>
      </w:r>
      <w:r w:rsidR="007E457F">
        <w:t xml:space="preserve">as amended </w:t>
      </w:r>
      <w:r>
        <w:t xml:space="preserve">incorporates </w:t>
      </w:r>
      <w:r>
        <w:fldChar w:fldCharType="begin" w:fldLock="1"/>
      </w:r>
      <w:r>
        <w:instrText xml:space="preserve"> REF IntnlType \* charformat</w:instrText>
      </w:r>
      <w:r>
        <w:fldChar w:fldCharType="separate"/>
      </w:r>
      <w:r w:rsidR="005815FE">
        <w:t>IAS</w:t>
      </w:r>
      <w:r>
        <w:fldChar w:fldCharType="end"/>
      </w:r>
      <w:r>
        <w:t> </w:t>
      </w:r>
      <w:r>
        <w:fldChar w:fldCharType="begin" w:fldLock="1"/>
      </w:r>
      <w:r>
        <w:instrText xml:space="preserve"> REF IntnlNo \* charformat</w:instrText>
      </w:r>
      <w:r>
        <w:fldChar w:fldCharType="separate"/>
      </w:r>
      <w:r w:rsidR="005815FE">
        <w:t>10</w:t>
      </w:r>
      <w:r>
        <w:fldChar w:fldCharType="end"/>
      </w:r>
      <w:r>
        <w:t xml:space="preserve"> </w:t>
      </w:r>
      <w:bookmarkStart w:id="12" w:name="IntnlTitle"/>
      <w:r w:rsidR="005815FE" w:rsidRPr="005815FE">
        <w:rPr>
          <w:i/>
        </w:rPr>
        <w:t>Events after the Reporting Period</w:t>
      </w:r>
      <w:bookmarkEnd w:id="12"/>
      <w:r>
        <w:t xml:space="preserve"> </w:t>
      </w:r>
      <w:r w:rsidR="007E457F">
        <w:t xml:space="preserve">as </w:t>
      </w:r>
      <w:r>
        <w:t xml:space="preserve">issued </w:t>
      </w:r>
      <w:r w:rsidR="007E457F">
        <w:t xml:space="preserve">and amended </w:t>
      </w:r>
      <w:r>
        <w:t>by the International Accounting Standards Board (IASB).  Australian</w:t>
      </w:r>
      <w:r>
        <w:noBreakHyphen/>
        <w:t xml:space="preserve">specific paragraphs (which are not included in </w:t>
      </w:r>
      <w:r>
        <w:fldChar w:fldCharType="begin" w:fldLock="1"/>
      </w:r>
      <w:r>
        <w:instrText xml:space="preserve"> REF IntnlType \* charformat</w:instrText>
      </w:r>
      <w:r>
        <w:fldChar w:fldCharType="separate"/>
      </w:r>
      <w:r w:rsidR="005815FE">
        <w:t>IAS</w:t>
      </w:r>
      <w:r>
        <w:fldChar w:fldCharType="end"/>
      </w:r>
      <w:r>
        <w:t> </w:t>
      </w:r>
      <w:r>
        <w:fldChar w:fldCharType="begin" w:fldLock="1"/>
      </w:r>
      <w:r>
        <w:instrText xml:space="preserve"> REF IntnlNo \* charformat</w:instrText>
      </w:r>
      <w:r>
        <w:fldChar w:fldCharType="separate"/>
      </w:r>
      <w:r w:rsidR="005815FE">
        <w:t>10</w:t>
      </w:r>
      <w:r>
        <w:fldChar w:fldCharType="end"/>
      </w:r>
      <w:r>
        <w:t>) are identified with the prefix “Aus”</w:t>
      </w:r>
      <w:r w:rsidRPr="006C4A66">
        <w:t>.  P</w:t>
      </w:r>
      <w:r>
        <w:t>aragraphs that apply only to not-for-profit entities begin by identifying their limited applicability.</w:t>
      </w:r>
    </w:p>
    <w:p w14:paraId="3286F0FD" w14:textId="77777777" w:rsidR="00240322" w:rsidRDefault="00240322" w:rsidP="00703B9C">
      <w:pPr>
        <w:pStyle w:val="ConvStandardTitle1"/>
      </w:pPr>
      <w:r>
        <w:t>Tier 1</w:t>
      </w:r>
    </w:p>
    <w:p w14:paraId="3286F0FE" w14:textId="77777777" w:rsidR="00240322" w:rsidRDefault="00240322" w:rsidP="00703B9C">
      <w:pPr>
        <w:pStyle w:val="IASBNormal"/>
      </w:pPr>
      <w:r>
        <w:t xml:space="preserve">For-profit entities complying with AASB </w:t>
      </w:r>
      <w:r>
        <w:fldChar w:fldCharType="begin" w:fldLock="1"/>
      </w:r>
      <w:r>
        <w:instrText xml:space="preserve"> REF DocNo \* charformat</w:instrText>
      </w:r>
      <w:r>
        <w:fldChar w:fldCharType="separate"/>
      </w:r>
      <w:r w:rsidR="005815FE">
        <w:t>110</w:t>
      </w:r>
      <w:r>
        <w:fldChar w:fldCharType="end"/>
      </w:r>
      <w:r>
        <w:t xml:space="preserve"> also comply with </w:t>
      </w:r>
      <w:r>
        <w:fldChar w:fldCharType="begin" w:fldLock="1"/>
      </w:r>
      <w:r>
        <w:instrText xml:space="preserve"> REF IntnlType \* charformat</w:instrText>
      </w:r>
      <w:r>
        <w:fldChar w:fldCharType="separate"/>
      </w:r>
      <w:r w:rsidR="005815FE">
        <w:t>IAS</w:t>
      </w:r>
      <w:r>
        <w:fldChar w:fldCharType="end"/>
      </w:r>
      <w:r>
        <w:t xml:space="preserve"> </w:t>
      </w:r>
      <w:r>
        <w:fldChar w:fldCharType="begin" w:fldLock="1"/>
      </w:r>
      <w:r>
        <w:instrText xml:space="preserve"> REF IntnlNo \* charformat</w:instrText>
      </w:r>
      <w:r>
        <w:fldChar w:fldCharType="separate"/>
      </w:r>
      <w:r w:rsidR="005815FE">
        <w:t>10</w:t>
      </w:r>
      <w:r>
        <w:fldChar w:fldCharType="end"/>
      </w:r>
      <w:r>
        <w:t>.</w:t>
      </w:r>
    </w:p>
    <w:p w14:paraId="3286F0FF" w14:textId="77777777" w:rsidR="00240322" w:rsidRDefault="00240322" w:rsidP="00703B9C">
      <w:pPr>
        <w:pStyle w:val="IASBNormal"/>
      </w:pPr>
      <w:r>
        <w:t xml:space="preserve">Not-for-profit entities’ compliance with </w:t>
      </w:r>
      <w:r>
        <w:fldChar w:fldCharType="begin" w:fldLock="1"/>
      </w:r>
      <w:r>
        <w:instrText xml:space="preserve"> REF IntnlType \* charformat</w:instrText>
      </w:r>
      <w:r>
        <w:fldChar w:fldCharType="separate"/>
      </w:r>
      <w:r w:rsidR="005815FE">
        <w:t>IAS</w:t>
      </w:r>
      <w:r>
        <w:fldChar w:fldCharType="end"/>
      </w:r>
      <w:r>
        <w:t xml:space="preserve"> </w:t>
      </w:r>
      <w:r>
        <w:fldChar w:fldCharType="begin" w:fldLock="1"/>
      </w:r>
      <w:r>
        <w:instrText xml:space="preserve"> REF IntnlNo \* charformat</w:instrText>
      </w:r>
      <w:r>
        <w:fldChar w:fldCharType="separate"/>
      </w:r>
      <w:r w:rsidR="005815FE">
        <w:t>10</w:t>
      </w:r>
      <w:r>
        <w:fldChar w:fldCharType="end"/>
      </w:r>
      <w:r>
        <w:t xml:space="preserve"> will depend on whether any “Aus” paragraphs that specifically apply to not-for-profit entities provide additional guidance or contain applicable requirements that are inconsistent with </w:t>
      </w:r>
      <w:r>
        <w:fldChar w:fldCharType="begin" w:fldLock="1"/>
      </w:r>
      <w:r>
        <w:instrText xml:space="preserve"> REF IntnlType \* charformat</w:instrText>
      </w:r>
      <w:r>
        <w:fldChar w:fldCharType="separate"/>
      </w:r>
      <w:r w:rsidR="005815FE">
        <w:t>IAS</w:t>
      </w:r>
      <w:r>
        <w:fldChar w:fldCharType="end"/>
      </w:r>
      <w:r>
        <w:t> </w:t>
      </w:r>
      <w:r>
        <w:fldChar w:fldCharType="begin" w:fldLock="1"/>
      </w:r>
      <w:r>
        <w:instrText xml:space="preserve"> REF IntnlNo \* charformat</w:instrText>
      </w:r>
      <w:r>
        <w:fldChar w:fldCharType="separate"/>
      </w:r>
      <w:r w:rsidR="005815FE">
        <w:t>10</w:t>
      </w:r>
      <w:r>
        <w:fldChar w:fldCharType="end"/>
      </w:r>
      <w:r>
        <w:t>.</w:t>
      </w:r>
    </w:p>
    <w:p w14:paraId="3286F100" w14:textId="77777777" w:rsidR="00240322" w:rsidRDefault="00240322" w:rsidP="00703B9C">
      <w:pPr>
        <w:pStyle w:val="ConvStandardTitle1"/>
      </w:pPr>
      <w:r>
        <w:t>Tier 2</w:t>
      </w:r>
    </w:p>
    <w:p w14:paraId="3286F101" w14:textId="0763CEBA" w:rsidR="00240322" w:rsidRDefault="00240322" w:rsidP="00703B9C">
      <w:pPr>
        <w:pStyle w:val="IASBNormal"/>
      </w:pPr>
      <w:r>
        <w:t xml:space="preserve">Entities preparing general purpose financial statements under Australian Accounting Standards – </w:t>
      </w:r>
      <w:r w:rsidR="0010137B">
        <w:t>Simplified Disclosures</w:t>
      </w:r>
      <w:r>
        <w:t xml:space="preserve"> (Tier 2) will not be in compliance with </w:t>
      </w:r>
      <w:r w:rsidR="0096473A">
        <w:t>IFRS</w:t>
      </w:r>
      <w:r w:rsidR="00120A1D">
        <w:t xml:space="preserve"> Standard</w:t>
      </w:r>
      <w:r w:rsidR="0096473A">
        <w:t>s</w:t>
      </w:r>
      <w:r>
        <w:t>.</w:t>
      </w:r>
    </w:p>
    <w:p w14:paraId="3286F102" w14:textId="77777777" w:rsidR="00240322" w:rsidRPr="00F83914" w:rsidRDefault="00240322" w:rsidP="00703B9C">
      <w:pPr>
        <w:pStyle w:val="IASBNormal"/>
      </w:pPr>
      <w:r>
        <w:t xml:space="preserve">AASB 1053 </w:t>
      </w:r>
      <w:r>
        <w:rPr>
          <w:i/>
        </w:rPr>
        <w:t>Application of Tiers of Australian Accounting Standards</w:t>
      </w:r>
      <w:r>
        <w:t xml:space="preserve"> explains the two tiers of reporting requirements.</w:t>
      </w:r>
    </w:p>
    <w:p w14:paraId="3286F103" w14:textId="77777777" w:rsidR="00240322" w:rsidRDefault="00240322" w:rsidP="00703B9C">
      <w:pPr>
        <w:pStyle w:val="AASBBase"/>
      </w:pPr>
    </w:p>
    <w:p w14:paraId="3286F104" w14:textId="77777777" w:rsidR="00240322" w:rsidRDefault="00240322" w:rsidP="00703B9C">
      <w:pPr>
        <w:pStyle w:val="AASBBase"/>
        <w:sectPr w:rsidR="00240322" w:rsidSect="00703B9C">
          <w:headerReference w:type="even" r:id="rId15"/>
          <w:footerReference w:type="even" r:id="rId16"/>
          <w:footerReference w:type="default" r:id="rId17"/>
          <w:pgSz w:w="11907" w:h="16839" w:code="9"/>
          <w:pgMar w:top="1440" w:right="1440" w:bottom="1440" w:left="1440" w:header="709" w:footer="709" w:gutter="0"/>
          <w:cols w:space="708"/>
          <w:docGrid w:linePitch="360"/>
        </w:sectPr>
      </w:pPr>
    </w:p>
    <w:p w14:paraId="3286F105" w14:textId="77777777" w:rsidR="007E457F" w:rsidRDefault="007E457F" w:rsidP="007E457F">
      <w:pPr>
        <w:pStyle w:val="ConvSectionTitle"/>
        <w:pBdr>
          <w:top w:val="single" w:sz="4" w:space="1" w:color="auto"/>
          <w:left w:val="single" w:sz="4" w:space="4" w:color="auto"/>
          <w:bottom w:val="single" w:sz="4" w:space="5" w:color="auto"/>
          <w:right w:val="single" w:sz="4" w:space="4" w:color="auto"/>
        </w:pBdr>
      </w:pPr>
      <w:r>
        <w:lastRenderedPageBreak/>
        <w:t xml:space="preserve">Accounting Standard AASB </w:t>
      </w:r>
      <w:r>
        <w:fldChar w:fldCharType="begin" w:fldLock="1"/>
      </w:r>
      <w:r>
        <w:instrText xml:space="preserve"> REF DocNo \* charformat</w:instrText>
      </w:r>
      <w:r>
        <w:fldChar w:fldCharType="separate"/>
      </w:r>
      <w:r>
        <w:t>110</w:t>
      </w:r>
      <w:r>
        <w:fldChar w:fldCharType="end"/>
      </w:r>
    </w:p>
    <w:p w14:paraId="3286F106" w14:textId="3F5FB632" w:rsidR="007E457F" w:rsidRPr="000D35D8" w:rsidRDefault="007E457F" w:rsidP="007E457F">
      <w:pPr>
        <w:pStyle w:val="IASBNormal"/>
        <w:pBdr>
          <w:top w:val="single" w:sz="4" w:space="1" w:color="auto"/>
          <w:left w:val="single" w:sz="4" w:space="4" w:color="auto"/>
          <w:bottom w:val="single" w:sz="4" w:space="5" w:color="auto"/>
          <w:right w:val="single" w:sz="4" w:space="4" w:color="auto"/>
        </w:pBdr>
      </w:pPr>
      <w:r w:rsidRPr="000D35D8">
        <w:t xml:space="preserve">The Australian Accounting Standards Board made Accounting Standard </w:t>
      </w:r>
      <w:r>
        <w:t xml:space="preserve">AASB </w:t>
      </w:r>
      <w:r>
        <w:fldChar w:fldCharType="begin" w:fldLock="1"/>
      </w:r>
      <w:r>
        <w:instrText xml:space="preserve"> REF DocNo \* charformat</w:instrText>
      </w:r>
      <w:r>
        <w:fldChar w:fldCharType="separate"/>
      </w:r>
      <w:r>
        <w:t>110</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5815FE">
        <w:rPr>
          <w:i/>
        </w:rPr>
        <w:t>Events after the Reporting Period</w:t>
      </w:r>
      <w:r w:rsidRPr="00844AB3">
        <w:rPr>
          <w:i/>
        </w:rPr>
        <w:fldChar w:fldCharType="end"/>
      </w:r>
      <w:r>
        <w:rPr>
          <w:i/>
        </w:rPr>
        <w:t xml:space="preserve"> </w:t>
      </w:r>
      <w:r w:rsidRPr="000D35D8">
        <w:t xml:space="preserve">under section 334 of the </w:t>
      </w:r>
      <w:r w:rsidRPr="000D35D8">
        <w:rPr>
          <w:i/>
          <w:iCs/>
        </w:rPr>
        <w:t>Corporations Act 2001</w:t>
      </w:r>
      <w:r w:rsidRPr="000D35D8">
        <w:rPr>
          <w:iCs/>
        </w:rPr>
        <w:t xml:space="preserve"> on </w:t>
      </w:r>
      <w:bookmarkStart w:id="13" w:name="MadeDate"/>
      <w:r w:rsidR="000B2D52" w:rsidRPr="000B2D52">
        <w:rPr>
          <w:iCs/>
        </w:rPr>
        <w:t>7</w:t>
      </w:r>
      <w:r w:rsidRPr="000B2D52">
        <w:rPr>
          <w:iCs/>
        </w:rPr>
        <w:t xml:space="preserve"> </w:t>
      </w:r>
      <w:r w:rsidR="000B2D52" w:rsidRPr="000B2D52">
        <w:rPr>
          <w:iCs/>
        </w:rPr>
        <w:t xml:space="preserve">August </w:t>
      </w:r>
      <w:r w:rsidRPr="000B2D52">
        <w:rPr>
          <w:iCs/>
        </w:rPr>
        <w:t>2015</w:t>
      </w:r>
      <w:bookmarkEnd w:id="13"/>
      <w:r w:rsidRPr="000D35D8">
        <w:t>.</w:t>
      </w:r>
    </w:p>
    <w:p w14:paraId="3286F107" w14:textId="477A1E49" w:rsidR="007E457F" w:rsidRPr="000D35D8" w:rsidRDefault="007E457F" w:rsidP="007E457F">
      <w:pPr>
        <w:pStyle w:val="IASBNormal"/>
        <w:pBdr>
          <w:top w:val="single" w:sz="4" w:space="1" w:color="auto"/>
          <w:left w:val="single" w:sz="4" w:space="4" w:color="auto"/>
          <w:bottom w:val="single" w:sz="4" w:space="5" w:color="auto"/>
          <w:right w:val="single" w:sz="4" w:space="4" w:color="auto"/>
        </w:pBdr>
      </w:pPr>
      <w:r w:rsidRPr="000D35D8">
        <w:t xml:space="preserve">This compiled version of </w:t>
      </w:r>
      <w:r>
        <w:t xml:space="preserve">AASB </w:t>
      </w:r>
      <w:r>
        <w:fldChar w:fldCharType="begin" w:fldLock="1"/>
      </w:r>
      <w:r>
        <w:instrText xml:space="preserve"> REF DocNo \* charformat</w:instrText>
      </w:r>
      <w:r>
        <w:fldChar w:fldCharType="separate"/>
      </w:r>
      <w:r>
        <w:t>110</w:t>
      </w:r>
      <w:r>
        <w:fldChar w:fldCharType="end"/>
      </w:r>
      <w:r>
        <w:t xml:space="preserve"> </w:t>
      </w:r>
      <w:r w:rsidRPr="000D35D8">
        <w:t xml:space="preserve">applies to annual periods </w:t>
      </w:r>
      <w:r w:rsidR="00210EF4">
        <w:fldChar w:fldCharType="begin" w:fldLock="1"/>
      </w:r>
      <w:r w:rsidR="00210EF4">
        <w:instrText xml:space="preserve"> REF ApplyTextCompile \* charformat  \* MERGEFORMAT </w:instrText>
      </w:r>
      <w:r w:rsidR="00210EF4">
        <w:fldChar w:fldCharType="separate"/>
      </w:r>
      <w:r w:rsidRPr="000D35D8">
        <w:t>beginning</w:t>
      </w:r>
      <w:r w:rsidR="00210EF4">
        <w:fldChar w:fldCharType="end"/>
      </w:r>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1F6D6B">
        <w:t>1 July</w:t>
      </w:r>
      <w:r w:rsidR="001F6D6B" w:rsidRPr="000D35D8">
        <w:t xml:space="preserve"> 20</w:t>
      </w:r>
      <w:r w:rsidR="001F6D6B">
        <w:t>21</w:t>
      </w:r>
      <w:r w:rsidRPr="00F2266F">
        <w:fldChar w:fldCharType="end"/>
      </w:r>
      <w:r w:rsidRPr="000D35D8">
        <w:t xml:space="preserve">.  It incorporates relevant amendments contained in other AASB Standards made by the AASB up to and including </w:t>
      </w:r>
      <w:r w:rsidR="00BE0284">
        <w:rPr>
          <w:bCs/>
          <w:lang w:val="en-US"/>
        </w:rPr>
        <w:fldChar w:fldCharType="begin"/>
      </w:r>
      <w:r w:rsidR="00BE0284">
        <w:rPr>
          <w:bCs/>
          <w:lang w:val="en-US"/>
        </w:rPr>
        <w:instrText xml:space="preserve"> REF \* charformat CompileDate  \* MERGEFORMAT </w:instrText>
      </w:r>
      <w:r w:rsidR="00BE0284">
        <w:rPr>
          <w:bCs/>
          <w:lang w:val="en-US"/>
        </w:rPr>
        <w:fldChar w:fldCharType="separate"/>
      </w:r>
      <w:r w:rsidR="001F6D6B" w:rsidRPr="001F6D6B">
        <w:rPr>
          <w:bCs/>
          <w:lang w:val="en-US"/>
        </w:rPr>
        <w:t>6 March 2020</w:t>
      </w:r>
      <w:r w:rsidR="00BE0284">
        <w:rPr>
          <w:bCs/>
          <w:lang w:val="en-US"/>
        </w:rPr>
        <w:fldChar w:fldCharType="end"/>
      </w:r>
      <w:r w:rsidRPr="00F912AE">
        <w:t xml:space="preserve"> </w:t>
      </w:r>
      <w:r w:rsidRPr="000D35D8">
        <w:t>(see Compilation Details).</w:t>
      </w:r>
    </w:p>
    <w:p w14:paraId="3286F108" w14:textId="77777777" w:rsidR="00240322" w:rsidRDefault="00240322" w:rsidP="00703B9C">
      <w:pPr>
        <w:pStyle w:val="ConvStandardTitle1"/>
      </w:pPr>
      <w:r>
        <w:t xml:space="preserve">Accounting Standard AASB </w:t>
      </w:r>
      <w:r>
        <w:fldChar w:fldCharType="begin" w:fldLock="1"/>
      </w:r>
      <w:r>
        <w:instrText xml:space="preserve"> REF DocNo \* charformat</w:instrText>
      </w:r>
      <w:r>
        <w:fldChar w:fldCharType="separate"/>
      </w:r>
      <w:r w:rsidR="005815FE">
        <w:t>110</w:t>
      </w:r>
      <w:r>
        <w:fldChar w:fldCharType="end"/>
      </w:r>
    </w:p>
    <w:p w14:paraId="3286F109" w14:textId="77777777" w:rsidR="00240322" w:rsidRPr="00844AB3" w:rsidRDefault="00240322" w:rsidP="00703B9C">
      <w:pPr>
        <w:pStyle w:val="ConvStandardTitle2"/>
      </w:pPr>
      <w:r>
        <w:fldChar w:fldCharType="begin" w:fldLock="1"/>
      </w:r>
      <w:r>
        <w:instrText xml:space="preserve"> REF DocTitle \* charformat</w:instrText>
      </w:r>
      <w:r>
        <w:fldChar w:fldCharType="separate"/>
      </w:r>
      <w:r w:rsidR="005815FE">
        <w:t>Events after the Reporting Period</w:t>
      </w:r>
      <w:r>
        <w:fldChar w:fldCharType="end"/>
      </w:r>
    </w:p>
    <w:p w14:paraId="3286F10A" w14:textId="77777777" w:rsidR="0074640A" w:rsidRDefault="0074640A">
      <w:pPr>
        <w:pStyle w:val="IASBSectionTitle1NonInd"/>
      </w:pPr>
      <w:r>
        <w:t>Objective</w:t>
      </w:r>
    </w:p>
    <w:p w14:paraId="3286F10B" w14:textId="77777777" w:rsidR="0074640A" w:rsidRDefault="0074640A">
      <w:pPr>
        <w:pStyle w:val="IASBNormalnpara"/>
      </w:pPr>
      <w:r>
        <w:t>1</w:t>
      </w:r>
      <w:r>
        <w:tab/>
        <w:t xml:space="preserve">The objective of this Standard is to prescribe: </w:t>
      </w:r>
    </w:p>
    <w:p w14:paraId="3286F10C" w14:textId="77777777" w:rsidR="0074640A" w:rsidRDefault="0074640A">
      <w:pPr>
        <w:pStyle w:val="IASBNormalnparaL1"/>
      </w:pPr>
      <w:r>
        <w:t>(a)</w:t>
      </w:r>
      <w:r>
        <w:tab/>
        <w:t>when an entity should adjust its financial statements for events after the reporting period; and</w:t>
      </w:r>
    </w:p>
    <w:p w14:paraId="3286F10D" w14:textId="77777777" w:rsidR="0074640A" w:rsidRDefault="0074640A">
      <w:pPr>
        <w:pStyle w:val="IASBNormalnparaL1"/>
      </w:pPr>
      <w:r>
        <w:t>(b)</w:t>
      </w:r>
      <w:r>
        <w:tab/>
        <w:t>the disclosures that an entity should give about the date when the financial statements were authorised for issue and about events after the reporting period.</w:t>
      </w:r>
    </w:p>
    <w:p w14:paraId="3286F10E" w14:textId="4A639754" w:rsidR="0074640A" w:rsidRDefault="0074640A">
      <w:pPr>
        <w:pStyle w:val="IASBNormalnparaP"/>
      </w:pPr>
      <w:r>
        <w:t>The Standard also requires that an entity should not prepare its financial statements on a going concern basis if events after the reporting period indicate that the going concern assumption is not appropriate.</w:t>
      </w:r>
    </w:p>
    <w:p w14:paraId="3D98A4D6" w14:textId="77777777" w:rsidR="009A308E" w:rsidRPr="00D05C2A" w:rsidRDefault="009A308E" w:rsidP="009A308E">
      <w:pPr>
        <w:pStyle w:val="IASBNormalnpara"/>
        <w:ind w:left="1565" w:hanging="1565"/>
        <w:rPr>
          <w:szCs w:val="19"/>
        </w:rPr>
      </w:pPr>
      <w:r w:rsidRPr="00D05C2A">
        <w:rPr>
          <w:szCs w:val="19"/>
        </w:rPr>
        <w:t>AusCF1</w:t>
      </w:r>
      <w:r w:rsidRPr="00D05C2A">
        <w:rPr>
          <w:szCs w:val="19"/>
        </w:rPr>
        <w:tab/>
        <w:t>AusCF entities are:</w:t>
      </w:r>
    </w:p>
    <w:p w14:paraId="23F87F35" w14:textId="377D8691" w:rsidR="009A308E" w:rsidRPr="00D05C2A" w:rsidRDefault="009A308E" w:rsidP="009A308E">
      <w:pPr>
        <w:pStyle w:val="IASBNormalnparaL1"/>
        <w:ind w:left="2347"/>
        <w:rPr>
          <w:szCs w:val="19"/>
        </w:rPr>
      </w:pPr>
      <w:r w:rsidRPr="00D05C2A">
        <w:rPr>
          <w:szCs w:val="19"/>
        </w:rPr>
        <w:t>(a)</w:t>
      </w:r>
      <w:r w:rsidRPr="00D05C2A">
        <w:rPr>
          <w:szCs w:val="19"/>
        </w:rPr>
        <w:tab/>
        <w:t>not-for-profit entities; and</w:t>
      </w:r>
    </w:p>
    <w:p w14:paraId="0F34E973" w14:textId="77777777" w:rsidR="009A308E" w:rsidRPr="00D05C2A" w:rsidRDefault="009A308E" w:rsidP="009A308E">
      <w:pPr>
        <w:pStyle w:val="IASBNormalnparaL1"/>
        <w:ind w:left="2347"/>
        <w:rPr>
          <w:szCs w:val="19"/>
        </w:rPr>
      </w:pPr>
      <w:r w:rsidRPr="00D05C2A">
        <w:rPr>
          <w:szCs w:val="19"/>
        </w:rPr>
        <w:t>(b)</w:t>
      </w:r>
      <w:r w:rsidRPr="00D05C2A">
        <w:rPr>
          <w:szCs w:val="19"/>
        </w:rPr>
        <w:tab/>
        <w:t xml:space="preserve">for-profit entities that are not applying the </w:t>
      </w:r>
      <w:r w:rsidRPr="00D05C2A">
        <w:rPr>
          <w:i/>
          <w:szCs w:val="19"/>
        </w:rPr>
        <w:t xml:space="preserve">Conceptual Framework for Financial Reporting </w:t>
      </w:r>
      <w:r w:rsidRPr="00D05C2A">
        <w:rPr>
          <w:szCs w:val="19"/>
        </w:rPr>
        <w:t>(as identified in AASB 1048</w:t>
      </w:r>
      <w:r w:rsidRPr="00D05C2A">
        <w:rPr>
          <w:i/>
          <w:szCs w:val="19"/>
        </w:rPr>
        <w:t xml:space="preserve"> Interpretation of Standards</w:t>
      </w:r>
      <w:r w:rsidRPr="00D05C2A">
        <w:rPr>
          <w:szCs w:val="19"/>
        </w:rPr>
        <w:t>).</w:t>
      </w:r>
    </w:p>
    <w:p w14:paraId="7BECA868" w14:textId="058BA7FA" w:rsidR="009A308E" w:rsidRPr="00D05C2A" w:rsidRDefault="009A308E" w:rsidP="009A308E">
      <w:pPr>
        <w:pStyle w:val="IASBNormalL1P"/>
        <w:ind w:left="1565"/>
        <w:rPr>
          <w:szCs w:val="19"/>
        </w:rPr>
      </w:pPr>
      <w:r w:rsidRPr="00D05C2A">
        <w:rPr>
          <w:szCs w:val="19"/>
        </w:rPr>
        <w:t>For AusCF entities, the term ‘repor</w:t>
      </w:r>
      <w:r w:rsidR="00120A1D">
        <w:rPr>
          <w:szCs w:val="19"/>
        </w:rPr>
        <w:t xml:space="preserve">ting entity’ is defined in AASB </w:t>
      </w:r>
      <w:r w:rsidRPr="00D05C2A">
        <w:rPr>
          <w:szCs w:val="19"/>
        </w:rPr>
        <w:t xml:space="preserve">1057 </w:t>
      </w:r>
      <w:r w:rsidRPr="00D05C2A">
        <w:rPr>
          <w:i/>
          <w:szCs w:val="19"/>
        </w:rPr>
        <w:t>Application of Australian Accounting Standards</w:t>
      </w:r>
      <w:r w:rsidRPr="00D05C2A">
        <w:rPr>
          <w:szCs w:val="19"/>
        </w:rPr>
        <w:t xml:space="preserve"> and Statement of Accounting Concepts SAC 1 </w:t>
      </w:r>
      <w:r w:rsidRPr="00D05C2A">
        <w:rPr>
          <w:i/>
          <w:szCs w:val="19"/>
        </w:rPr>
        <w:t>Definition of the Reporting Entity</w:t>
      </w:r>
      <w:r w:rsidRPr="00D05C2A">
        <w:rPr>
          <w:szCs w:val="19"/>
        </w:rPr>
        <w:t xml:space="preserve"> also applies</w:t>
      </w:r>
      <w:r w:rsidRPr="00D05C2A">
        <w:rPr>
          <w:i/>
          <w:szCs w:val="19"/>
        </w:rPr>
        <w:t>.</w:t>
      </w:r>
      <w:r w:rsidR="006D245F">
        <w:rPr>
          <w:szCs w:val="19"/>
        </w:rPr>
        <w:t xml:space="preserve"> </w:t>
      </w:r>
      <w:r w:rsidRPr="00D05C2A">
        <w:rPr>
          <w:szCs w:val="19"/>
        </w:rPr>
        <w:t xml:space="preserve">For-profit entities applying the </w:t>
      </w:r>
      <w:r w:rsidRPr="00D05C2A">
        <w:rPr>
          <w:i/>
          <w:szCs w:val="19"/>
        </w:rPr>
        <w:t>Conceptual Framework for Financial Reporting</w:t>
      </w:r>
      <w:r w:rsidRPr="00D05C2A">
        <w:rPr>
          <w:szCs w:val="19"/>
        </w:rPr>
        <w:t xml:space="preserve"> are set out in paragraph Aus1.1 of the </w:t>
      </w:r>
      <w:r w:rsidRPr="00D05C2A">
        <w:rPr>
          <w:i/>
          <w:szCs w:val="19"/>
        </w:rPr>
        <w:t>Conceptual Framework</w:t>
      </w:r>
      <w:r w:rsidRPr="00D05C2A">
        <w:rPr>
          <w:szCs w:val="19"/>
        </w:rPr>
        <w:t>.</w:t>
      </w:r>
    </w:p>
    <w:p w14:paraId="3286F10F" w14:textId="77777777" w:rsidR="0074640A" w:rsidRDefault="0074640A">
      <w:pPr>
        <w:pStyle w:val="IASBSectionTitle1NonInd"/>
      </w:pPr>
      <w:r>
        <w:t>Scope</w:t>
      </w:r>
    </w:p>
    <w:p w14:paraId="3286F110" w14:textId="77777777" w:rsidR="0074640A" w:rsidRDefault="0074640A">
      <w:pPr>
        <w:pStyle w:val="IASBNormalnpara"/>
        <w:rPr>
          <w:b/>
        </w:rPr>
      </w:pPr>
      <w:r>
        <w:rPr>
          <w:b/>
        </w:rPr>
        <w:t>2</w:t>
      </w:r>
      <w:r>
        <w:rPr>
          <w:b/>
        </w:rPr>
        <w:tab/>
        <w:t>This Standard shall be applied in the accounting for, and disclosure of, events after the reporting period.</w:t>
      </w:r>
    </w:p>
    <w:p w14:paraId="3286F111" w14:textId="77777777" w:rsidR="0074640A" w:rsidRDefault="0074640A">
      <w:pPr>
        <w:pStyle w:val="IASBSectionTitle1NonInd"/>
      </w:pPr>
      <w:r>
        <w:t>Definitions</w:t>
      </w:r>
    </w:p>
    <w:p w14:paraId="3286F112" w14:textId="77777777" w:rsidR="0074640A" w:rsidRDefault="0074640A">
      <w:pPr>
        <w:pStyle w:val="IASBNormalnpara"/>
        <w:rPr>
          <w:b/>
        </w:rPr>
      </w:pPr>
      <w:r>
        <w:rPr>
          <w:b/>
        </w:rPr>
        <w:t>3</w:t>
      </w:r>
      <w:r>
        <w:rPr>
          <w:b/>
        </w:rPr>
        <w:tab/>
        <w:t xml:space="preserve">The following terms are used in this Standard with the meanings specified: </w:t>
      </w:r>
    </w:p>
    <w:p w14:paraId="3286F113" w14:textId="77777777" w:rsidR="0074640A" w:rsidRDefault="0074640A">
      <w:pPr>
        <w:pStyle w:val="IASBNormalnparaP"/>
      </w:pPr>
      <w:r>
        <w:rPr>
          <w:b/>
          <w:i/>
        </w:rPr>
        <w:t>Events after the reporting period</w:t>
      </w:r>
      <w:r>
        <w:rPr>
          <w:b/>
        </w:rPr>
        <w:t xml:space="preserve"> are those events, favourable and unfavourable, that occur between the end of the reporting period and the date when the financial statements are authorised for issue.</w:t>
      </w:r>
      <w:r>
        <w:t xml:space="preserve"> </w:t>
      </w:r>
      <w:r>
        <w:rPr>
          <w:b/>
        </w:rPr>
        <w:t>Two types of events can be identified:</w:t>
      </w:r>
    </w:p>
    <w:p w14:paraId="3286F114" w14:textId="77777777" w:rsidR="0074640A" w:rsidRDefault="0074640A">
      <w:pPr>
        <w:pStyle w:val="IASBNormalnparaL1"/>
      </w:pPr>
      <w:r>
        <w:rPr>
          <w:b/>
        </w:rPr>
        <w:t>(a)</w:t>
      </w:r>
      <w:r>
        <w:tab/>
      </w:r>
      <w:r>
        <w:rPr>
          <w:b/>
        </w:rPr>
        <w:t>those that provide evidence of conditions that existed at the end of the reporting period (</w:t>
      </w:r>
      <w:r>
        <w:rPr>
          <w:b/>
          <w:i/>
        </w:rPr>
        <w:t>adjusting events after the reporting period</w:t>
      </w:r>
      <w:r>
        <w:rPr>
          <w:b/>
        </w:rPr>
        <w:t>); and</w:t>
      </w:r>
    </w:p>
    <w:p w14:paraId="3286F115" w14:textId="77777777" w:rsidR="0074640A" w:rsidRDefault="0074640A">
      <w:pPr>
        <w:pStyle w:val="IASBNormalnparaL1"/>
      </w:pPr>
      <w:r>
        <w:rPr>
          <w:b/>
        </w:rPr>
        <w:t>(b)</w:t>
      </w:r>
      <w:r>
        <w:tab/>
      </w:r>
      <w:r>
        <w:rPr>
          <w:b/>
        </w:rPr>
        <w:t>those that are indicative of conditions that arose after the reporting period (</w:t>
      </w:r>
      <w:r>
        <w:rPr>
          <w:b/>
          <w:i/>
        </w:rPr>
        <w:t>non-adjusting events after the reporting period</w:t>
      </w:r>
      <w:r>
        <w:rPr>
          <w:b/>
        </w:rPr>
        <w:t>).</w:t>
      </w:r>
    </w:p>
    <w:p w14:paraId="3286F116" w14:textId="77777777" w:rsidR="0074640A" w:rsidRDefault="0074640A">
      <w:pPr>
        <w:pStyle w:val="IASBNormalnpara"/>
      </w:pPr>
      <w:r>
        <w:t>4</w:t>
      </w:r>
      <w:r>
        <w:tab/>
        <w:t>The process involved in authorising the financial statements for issue will vary depending upon the management structure, statutory requirements and procedures followed in preparing and finalising the financial statements.</w:t>
      </w:r>
    </w:p>
    <w:p w14:paraId="3286F117" w14:textId="49B172F1" w:rsidR="0074640A" w:rsidRDefault="0074640A" w:rsidP="005C1F25">
      <w:pPr>
        <w:pStyle w:val="IASBNormalnpara"/>
        <w:spacing w:after="120"/>
      </w:pPr>
      <w:r>
        <w:t>5</w:t>
      </w:r>
      <w:r>
        <w:tab/>
        <w:t>In some cases, an entity is required to submit its financial statements to its shareholders for approval after the financial statements have been issued. In such cases, the financial statements are authorised for issue on the date of issue, not the date when shareholders ap</w:t>
      </w:r>
      <w:r w:rsidR="00E938C0">
        <w:t>prove the financial statements.</w:t>
      </w:r>
    </w:p>
    <w:tbl>
      <w:tblPr>
        <w:tblW w:w="0" w:type="auto"/>
        <w:tblInd w:w="964" w:type="dxa"/>
        <w:tblLayout w:type="fixed"/>
        <w:tblLook w:val="0000" w:firstRow="0" w:lastRow="0" w:firstColumn="0" w:lastColumn="0" w:noHBand="0" w:noVBand="0"/>
        <w:tblCaption w:val="AASB 110 Table 1"/>
        <w:tblDescription w:val="Financial statements authorised for issue by the board of directors."/>
      </w:tblPr>
      <w:tblGrid>
        <w:gridCol w:w="8244"/>
      </w:tblGrid>
      <w:tr w:rsidR="0074640A" w14:paraId="3286F119" w14:textId="77777777">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14:paraId="3286F118" w14:textId="77777777" w:rsidR="0074640A" w:rsidRDefault="0074640A">
            <w:pPr>
              <w:pStyle w:val="IASBTableHeaderArial"/>
            </w:pPr>
            <w:r>
              <w:rPr>
                <w:b/>
              </w:rPr>
              <w:lastRenderedPageBreak/>
              <w:t>Example</w:t>
            </w:r>
          </w:p>
        </w:tc>
      </w:tr>
      <w:tr w:rsidR="0074640A" w14:paraId="3286F11C" w14:textId="77777777" w:rsidTr="005B63A0">
        <w:trPr>
          <w:cantSplit/>
        </w:trPr>
        <w:tc>
          <w:tcPr>
            <w:tcW w:w="8244" w:type="dxa"/>
            <w:tcBorders>
              <w:top w:val="nil"/>
              <w:left w:val="single" w:sz="4" w:space="0" w:color="auto"/>
              <w:bottom w:val="single" w:sz="4" w:space="0" w:color="auto"/>
              <w:right w:val="single" w:sz="4" w:space="0" w:color="auto"/>
            </w:tcBorders>
            <w:tcMar>
              <w:bottom w:w="57" w:type="dxa"/>
            </w:tcMar>
            <w:vAlign w:val="bottom"/>
          </w:tcPr>
          <w:p w14:paraId="3286F11A" w14:textId="77777777" w:rsidR="0074640A" w:rsidRDefault="0074640A">
            <w:pPr>
              <w:pStyle w:val="IASBTableTNR"/>
            </w:pPr>
            <w:r>
              <w:t>The management of an entity completes draft financial statements for the year to 31 December 20X1 on 28 February 20X2. On 18 March 20X2, the board of directors reviews the financial statements and authorises them for issue. The entity announces its profit and selected other financial information on 19 March 20X2. The financial statements are made available to shareholders and others on 1 April 20X2. The shareholders approve the financial statements at their annual meeting on 15 May 20X2 and the approved financial statements are then filed with a regulatory body on 17 May 20X2.</w:t>
            </w:r>
          </w:p>
          <w:p w14:paraId="3286F11B" w14:textId="77777777" w:rsidR="0074640A" w:rsidRDefault="0074640A">
            <w:pPr>
              <w:pStyle w:val="IASBTableTNR"/>
            </w:pPr>
            <w:r>
              <w:rPr>
                <w:i/>
              </w:rPr>
              <w:t>The financial statements are authorised for issue on 18 March 20X2 (date of board authorisation for issue).</w:t>
            </w:r>
          </w:p>
        </w:tc>
      </w:tr>
    </w:tbl>
    <w:p w14:paraId="3286F11D" w14:textId="2CAD03C2" w:rsidR="0074640A" w:rsidRDefault="0074640A" w:rsidP="00500C28">
      <w:pPr>
        <w:pStyle w:val="IASBNormalnpara"/>
        <w:spacing w:before="240"/>
      </w:pPr>
      <w:r>
        <w:t>6</w:t>
      </w:r>
      <w:r>
        <w:tab/>
        <w:t xml:space="preserve">In some cases, the management of an entity is required to issue its financial statements to a supervisory board (made up solely of non-executives) for approval. In such cases, the financial statements are authorised for issue when the management authorises them for </w:t>
      </w:r>
      <w:r w:rsidR="00E938C0">
        <w:t>issue to the supervisory board.</w:t>
      </w:r>
    </w:p>
    <w:p w14:paraId="3286F11E" w14:textId="77777777" w:rsidR="0074640A" w:rsidRDefault="0074640A">
      <w:pPr>
        <w:pStyle w:val="IASBNormalnpara"/>
      </w:pPr>
    </w:p>
    <w:tbl>
      <w:tblPr>
        <w:tblW w:w="0" w:type="auto"/>
        <w:tblInd w:w="964" w:type="dxa"/>
        <w:tblLayout w:type="fixed"/>
        <w:tblLook w:val="0000" w:firstRow="0" w:lastRow="0" w:firstColumn="0" w:lastColumn="0" w:noHBand="0" w:noVBand="0"/>
        <w:tblCaption w:val="AASB 110 Table 2"/>
        <w:tblDescription w:val="Financial statements authorised for issue by the management."/>
      </w:tblPr>
      <w:tblGrid>
        <w:gridCol w:w="8244"/>
      </w:tblGrid>
      <w:tr w:rsidR="0074640A" w14:paraId="3286F120" w14:textId="77777777">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14:paraId="3286F11F" w14:textId="77777777" w:rsidR="0074640A" w:rsidRDefault="0074640A">
            <w:pPr>
              <w:pStyle w:val="IASBTableHeaderArial"/>
            </w:pPr>
            <w:r>
              <w:rPr>
                <w:b/>
              </w:rPr>
              <w:t>Example</w:t>
            </w:r>
          </w:p>
        </w:tc>
      </w:tr>
      <w:tr w:rsidR="0074640A" w14:paraId="3286F123" w14:textId="77777777" w:rsidTr="005B63A0">
        <w:trPr>
          <w:cantSplit/>
        </w:trPr>
        <w:tc>
          <w:tcPr>
            <w:tcW w:w="8244" w:type="dxa"/>
            <w:tcBorders>
              <w:top w:val="nil"/>
              <w:left w:val="single" w:sz="4" w:space="0" w:color="auto"/>
              <w:bottom w:val="single" w:sz="4" w:space="0" w:color="auto"/>
              <w:right w:val="single" w:sz="4" w:space="0" w:color="auto"/>
            </w:tcBorders>
            <w:tcMar>
              <w:bottom w:w="57" w:type="dxa"/>
            </w:tcMar>
            <w:vAlign w:val="bottom"/>
          </w:tcPr>
          <w:p w14:paraId="3286F121" w14:textId="77777777" w:rsidR="0074640A" w:rsidRDefault="0074640A">
            <w:pPr>
              <w:pStyle w:val="IASBTableTNR"/>
            </w:pPr>
            <w:r>
              <w:t>On 18 March 20X2, the management of an entity authorises financial statements for issue to its supervisory board. The supervisory board is made up solely of non-executives and may include representatives of employees and other outside interests. The supervisory board approves the financial statements on 26 March 20X2. The financial statements are made available to shareholders and others on 1 April 20X2. The shareholders approve the financial statements at their annual meeting on 15 May 20X2 and the financial statements are then filed with a regulatory body on 17 May 20X2.</w:t>
            </w:r>
          </w:p>
          <w:p w14:paraId="3286F122" w14:textId="77777777" w:rsidR="0074640A" w:rsidRDefault="0074640A">
            <w:pPr>
              <w:pStyle w:val="IASBTableTNR"/>
            </w:pPr>
            <w:r>
              <w:rPr>
                <w:i/>
              </w:rPr>
              <w:t>The financial statements are authorised for issue on 18 March 20X2 (date of management authorisation for issue to the supervisory board).</w:t>
            </w:r>
          </w:p>
        </w:tc>
      </w:tr>
    </w:tbl>
    <w:p w14:paraId="3286F124" w14:textId="77777777" w:rsidR="0074640A" w:rsidRDefault="0074640A" w:rsidP="00500C28">
      <w:pPr>
        <w:pStyle w:val="IASBNormalnpara"/>
        <w:spacing w:before="240"/>
      </w:pPr>
      <w:r>
        <w:t>7</w:t>
      </w:r>
      <w:r>
        <w:tab/>
        <w:t>Events after the reporting period include all events up to the date when the financial statements are authorised for issue, even if those events occur after the public announcement of profit or of other selected financial information.</w:t>
      </w:r>
    </w:p>
    <w:p w14:paraId="3286F125" w14:textId="77777777" w:rsidR="0074640A" w:rsidRDefault="0074640A">
      <w:pPr>
        <w:pStyle w:val="IASBSectionTitle1NonInd"/>
      </w:pPr>
      <w:r>
        <w:t>Recognition and measurement</w:t>
      </w:r>
    </w:p>
    <w:p w14:paraId="3286F126" w14:textId="77777777" w:rsidR="0074640A" w:rsidRDefault="0074640A">
      <w:pPr>
        <w:pStyle w:val="IASBSectionTitle2Ind"/>
      </w:pPr>
      <w:r>
        <w:t>Adjusting events after the reporting period</w:t>
      </w:r>
    </w:p>
    <w:p w14:paraId="3286F127" w14:textId="77777777" w:rsidR="0074640A" w:rsidRDefault="0074640A">
      <w:pPr>
        <w:pStyle w:val="IASBNormalnpara"/>
        <w:rPr>
          <w:b/>
        </w:rPr>
      </w:pPr>
      <w:r>
        <w:rPr>
          <w:b/>
        </w:rPr>
        <w:t>8</w:t>
      </w:r>
      <w:r>
        <w:rPr>
          <w:b/>
        </w:rPr>
        <w:tab/>
        <w:t xml:space="preserve">An entity shall adjust the amounts recognised in its financial statements to reflect adjusting events after the reporting period. </w:t>
      </w:r>
    </w:p>
    <w:p w14:paraId="3286F128" w14:textId="3E41CDE9" w:rsidR="0074640A" w:rsidRDefault="0074640A">
      <w:pPr>
        <w:pStyle w:val="IASBNormalnpara"/>
      </w:pPr>
      <w:r>
        <w:t>9</w:t>
      </w:r>
      <w:r>
        <w:tab/>
        <w:t xml:space="preserve">The following are examples of adjusting events after the reporting period that require an entity to adjust the amounts recognised in its financial statements, or to recognise items that </w:t>
      </w:r>
      <w:r w:rsidR="00E938C0">
        <w:t>were not previously recognised:</w:t>
      </w:r>
    </w:p>
    <w:p w14:paraId="3286F129" w14:textId="77777777" w:rsidR="0074640A" w:rsidRDefault="0074640A">
      <w:pPr>
        <w:pStyle w:val="IASBNormalnparaL1"/>
      </w:pPr>
      <w:r>
        <w:t>(a)</w:t>
      </w:r>
      <w:r>
        <w:tab/>
        <w:t>the settlement after the reporting period of a court case that confirms that the entity had a present obligation at the end of the reporting period. The entity adjusts any previously recognised provision related to this court case in accordance with</w:t>
      </w:r>
      <w:r w:rsidR="00240322">
        <w:t xml:space="preserve"> AASB 137</w:t>
      </w:r>
      <w:r>
        <w:t xml:space="preserve"> </w:t>
      </w:r>
      <w:r>
        <w:rPr>
          <w:i/>
        </w:rPr>
        <w:t>Provisions, Contingent Liabilities and Contingent Assets</w:t>
      </w:r>
      <w:r>
        <w:t xml:space="preserve"> or recognises a new provision. The entity does not merely disclose a contingent liability because the settlement provides additional evidence that would be considered in accordance with paragraph 16 of</w:t>
      </w:r>
      <w:r w:rsidR="00240322">
        <w:t xml:space="preserve"> AASB 137</w:t>
      </w:r>
      <w:r>
        <w:t>.</w:t>
      </w:r>
    </w:p>
    <w:p w14:paraId="3286F12A" w14:textId="77777777" w:rsidR="0074640A" w:rsidRDefault="0074640A">
      <w:pPr>
        <w:pStyle w:val="IASBNormalnparaL1"/>
      </w:pPr>
      <w:r>
        <w:t>(b)</w:t>
      </w:r>
      <w:r>
        <w:tab/>
        <w:t>the receipt of information after the reporting period indicating that an asset was impaired at the end of the reporting period, or that the amount of a previously recognised impairment loss for that asset needs to be adjusted. For example:</w:t>
      </w:r>
    </w:p>
    <w:p w14:paraId="3286F12B" w14:textId="77777777" w:rsidR="0074640A" w:rsidRDefault="0074640A">
      <w:pPr>
        <w:pStyle w:val="IASBNormalnparaL2"/>
      </w:pPr>
      <w:r>
        <w:t>(i)</w:t>
      </w:r>
      <w:r>
        <w:tab/>
        <w:t>the bankruptcy of a customer that occurs after the reporting period usually confirms that the customer was credit-impaired at the end of the reporting period;</w:t>
      </w:r>
      <w:r w:rsidR="003670A1">
        <w:t xml:space="preserve"> and</w:t>
      </w:r>
    </w:p>
    <w:p w14:paraId="3286F12C" w14:textId="77777777" w:rsidR="0074640A" w:rsidRDefault="0074640A">
      <w:pPr>
        <w:pStyle w:val="IASBNormalnparaL2"/>
      </w:pPr>
      <w:r>
        <w:t>(ii)</w:t>
      </w:r>
      <w:r>
        <w:tab/>
        <w:t>the sale of inventories after the reporting period may give evidence about their net realisable value at the end of the reporting period.</w:t>
      </w:r>
    </w:p>
    <w:p w14:paraId="3286F12D" w14:textId="77777777" w:rsidR="0074640A" w:rsidRDefault="0074640A">
      <w:pPr>
        <w:pStyle w:val="IASBNormalnparaL1"/>
      </w:pPr>
      <w:r>
        <w:t>(c)</w:t>
      </w:r>
      <w:r>
        <w:tab/>
        <w:t>the determination after the reporting period of the cost of assets purchased, or the proceeds from assets sold, before the end of the reporting period.</w:t>
      </w:r>
    </w:p>
    <w:p w14:paraId="3286F12E" w14:textId="77777777" w:rsidR="0074640A" w:rsidRDefault="0074640A">
      <w:pPr>
        <w:pStyle w:val="IASBNormalnparaL1"/>
      </w:pPr>
      <w:r>
        <w:lastRenderedPageBreak/>
        <w:t>(d)</w:t>
      </w:r>
      <w:r>
        <w:tab/>
        <w:t>the determination after the reporting period of the amount of profit-sharing or bonus payments, if the entity had a present legal or constructive obligation at the end of the reporting period to make such payments as a result of events before that date (see</w:t>
      </w:r>
      <w:r w:rsidR="00240322">
        <w:t xml:space="preserve"> AASB 119</w:t>
      </w:r>
      <w:r>
        <w:t xml:space="preserve"> </w:t>
      </w:r>
      <w:r>
        <w:rPr>
          <w:i/>
        </w:rPr>
        <w:t>Employee Benefits</w:t>
      </w:r>
      <w:r>
        <w:t>).</w:t>
      </w:r>
    </w:p>
    <w:p w14:paraId="3286F12F" w14:textId="77777777" w:rsidR="0074640A" w:rsidRDefault="0074640A">
      <w:pPr>
        <w:pStyle w:val="IASBNormalnparaL1"/>
      </w:pPr>
      <w:r>
        <w:t>(e)</w:t>
      </w:r>
      <w:r>
        <w:tab/>
        <w:t>the discovery of fraud or errors that show that the financial statements are incorrect.</w:t>
      </w:r>
    </w:p>
    <w:p w14:paraId="3286F130" w14:textId="77777777" w:rsidR="0074640A" w:rsidRDefault="0074640A">
      <w:pPr>
        <w:pStyle w:val="IASBSectionTitle2Ind"/>
      </w:pPr>
      <w:r>
        <w:t>Non-adjusting events after the reporting period</w:t>
      </w:r>
    </w:p>
    <w:p w14:paraId="3286F131" w14:textId="78A93157" w:rsidR="0074640A" w:rsidRDefault="0074640A">
      <w:pPr>
        <w:pStyle w:val="IASBNormalnpara"/>
        <w:rPr>
          <w:b/>
        </w:rPr>
      </w:pPr>
      <w:r>
        <w:rPr>
          <w:b/>
        </w:rPr>
        <w:t>10</w:t>
      </w:r>
      <w:r>
        <w:rPr>
          <w:b/>
        </w:rPr>
        <w:tab/>
        <w:t>An entity shall not adjust the amounts recognised in its financial statements to reflect non-adjusting eve</w:t>
      </w:r>
      <w:r w:rsidR="00E938C0">
        <w:rPr>
          <w:b/>
        </w:rPr>
        <w:t>nts after the reporting period.</w:t>
      </w:r>
    </w:p>
    <w:p w14:paraId="3286F132" w14:textId="77777777" w:rsidR="0074640A" w:rsidRDefault="0074640A">
      <w:pPr>
        <w:pStyle w:val="IASBNormalnpara"/>
      </w:pPr>
      <w:r>
        <w:t>11</w:t>
      </w:r>
      <w:r>
        <w:tab/>
        <w:t>An example of a non-adjusting event after the reporting period is a decline in fair value of investments between the end of the reporting period and the date when the financial statements are authorised for issue. The decline in fair value does not normally relate to the condition of the investments at the end of the reporting period, but reflects circumstances that have arisen subsequently. Therefore, an entity does not adjust the amounts recognised in its financial statements for the investments. Similarly, the entity does not update the amounts disclosed for the investments as at the end of the reporting period, although it may need to give additional disclosure under paragraph 21.</w:t>
      </w:r>
    </w:p>
    <w:p w14:paraId="3286F133" w14:textId="77777777" w:rsidR="0074640A" w:rsidRDefault="0074640A">
      <w:pPr>
        <w:pStyle w:val="IASBSectionTitle2Ind"/>
      </w:pPr>
      <w:r>
        <w:t>Dividends</w:t>
      </w:r>
    </w:p>
    <w:p w14:paraId="3286F134" w14:textId="05889A1F" w:rsidR="0074640A" w:rsidRDefault="0074640A">
      <w:pPr>
        <w:pStyle w:val="IASBNormalnpara"/>
        <w:rPr>
          <w:b/>
        </w:rPr>
      </w:pPr>
      <w:r>
        <w:rPr>
          <w:b/>
        </w:rPr>
        <w:t>12</w:t>
      </w:r>
      <w:r>
        <w:rPr>
          <w:b/>
        </w:rPr>
        <w:tab/>
        <w:t>If an entity declares dividends to holders of equity instruments (as defined in</w:t>
      </w:r>
      <w:r w:rsidR="00240322">
        <w:rPr>
          <w:b/>
        </w:rPr>
        <w:t xml:space="preserve"> AASB 132</w:t>
      </w:r>
      <w:r>
        <w:rPr>
          <w:b/>
        </w:rPr>
        <w:t xml:space="preserve"> </w:t>
      </w:r>
      <w:r>
        <w:rPr>
          <w:b/>
          <w:i/>
        </w:rPr>
        <w:t>Financial Instruments: Presentation</w:t>
      </w:r>
      <w:r>
        <w:rPr>
          <w:b/>
        </w:rPr>
        <w:t>) after the reporting period, the entity shall not recognise those dividends as a liability at t</w:t>
      </w:r>
      <w:r w:rsidR="00E938C0">
        <w:rPr>
          <w:b/>
        </w:rPr>
        <w:t>he end of the reporting period.</w:t>
      </w:r>
    </w:p>
    <w:p w14:paraId="3286F135" w14:textId="1E28076D" w:rsidR="0074640A" w:rsidRPr="001A66B5" w:rsidRDefault="0074640A" w:rsidP="00F871FC">
      <w:pPr>
        <w:pStyle w:val="IASBNormalnpara"/>
      </w:pPr>
      <w:r w:rsidRPr="001A66B5">
        <w:t>13</w:t>
      </w:r>
      <w:r w:rsidRPr="001A66B5">
        <w:tab/>
        <w:t>If dividends are declared after the reporting period but before the financial statements are authorised for issue, the dividends are not recognised as a liability at the end of the reporting period because no obligation exists at that time. Such dividends are disclosed in the notes in accordance with</w:t>
      </w:r>
      <w:r w:rsidR="00240322" w:rsidRPr="001A66B5">
        <w:t xml:space="preserve"> AASB 101</w:t>
      </w:r>
      <w:r w:rsidRPr="001A66B5">
        <w:t xml:space="preserve"> </w:t>
      </w:r>
      <w:r w:rsidRPr="001A66B5">
        <w:rPr>
          <w:i/>
        </w:rPr>
        <w:t>Presentation of Financial Statements</w:t>
      </w:r>
      <w:r w:rsidR="00E938C0">
        <w:t>.</w:t>
      </w:r>
    </w:p>
    <w:p w14:paraId="3286F136" w14:textId="77777777" w:rsidR="0074640A" w:rsidRDefault="0074640A">
      <w:pPr>
        <w:pStyle w:val="IASBSectionTitle1NonInd"/>
      </w:pPr>
      <w:r>
        <w:t>Going concern</w:t>
      </w:r>
    </w:p>
    <w:p w14:paraId="3286F137" w14:textId="395939C1" w:rsidR="0074640A" w:rsidRDefault="0074640A">
      <w:pPr>
        <w:pStyle w:val="IASBNormalnpara"/>
        <w:rPr>
          <w:b/>
        </w:rPr>
      </w:pPr>
      <w:r>
        <w:rPr>
          <w:b/>
        </w:rPr>
        <w:t>14</w:t>
      </w:r>
      <w:r>
        <w:rPr>
          <w:b/>
        </w:rPr>
        <w:tab/>
        <w:t>An entity shall not prepare its financial statements on a going concern basis if management determines after the reporting period either that it intends to liquidate the entity or to cease trading, or that it has no realis</w:t>
      </w:r>
      <w:r w:rsidR="00E938C0">
        <w:rPr>
          <w:b/>
        </w:rPr>
        <w:t>tic alternative but to do so.</w:t>
      </w:r>
    </w:p>
    <w:p w14:paraId="3286F138" w14:textId="77777777" w:rsidR="0074640A" w:rsidRDefault="0074640A">
      <w:pPr>
        <w:pStyle w:val="IASBNormalnpara"/>
      </w:pPr>
      <w:r>
        <w:t>15</w:t>
      </w:r>
      <w:r>
        <w:tab/>
        <w:t>Deterioration in operating results and financial position after the reporting period may indicate a need to consider whether the going concern assumption is still appropriate. If the going concern assumption is no longer appropriate, the effect is so pervasive that this Standard requires a fundamental change in the basis of accounting, rather than an adjustment to the amounts recognised within the original basis of accounting.</w:t>
      </w:r>
    </w:p>
    <w:p w14:paraId="3286F139" w14:textId="77777777" w:rsidR="0074640A" w:rsidRDefault="0074640A">
      <w:pPr>
        <w:pStyle w:val="IASBNormalnpara"/>
      </w:pPr>
      <w:r>
        <w:t>16</w:t>
      </w:r>
      <w:r>
        <w:tab/>
      </w:r>
      <w:r w:rsidR="00240322">
        <w:t>AASB 101</w:t>
      </w:r>
      <w:r>
        <w:t xml:space="preserve"> specifies required disclosures if: </w:t>
      </w:r>
    </w:p>
    <w:p w14:paraId="3286F13A" w14:textId="77777777" w:rsidR="0074640A" w:rsidRDefault="0074640A">
      <w:pPr>
        <w:pStyle w:val="IASBNormalnparaL1"/>
      </w:pPr>
      <w:r>
        <w:t>(a)</w:t>
      </w:r>
      <w:r>
        <w:tab/>
        <w:t>the financial statements are not prepared on a going concern basis; or</w:t>
      </w:r>
    </w:p>
    <w:p w14:paraId="3286F13B" w14:textId="77777777" w:rsidR="0074640A" w:rsidRDefault="0074640A">
      <w:pPr>
        <w:pStyle w:val="IASBNormalnparaL1"/>
      </w:pPr>
      <w:r>
        <w:t>(b)</w:t>
      </w:r>
      <w:r>
        <w:tab/>
        <w:t>management is aware of material uncertainties related to events or conditions that may cast significant doubt upon the entity’s ability to continue as a going concern. The events or conditions requiring disclosure may arise after the reporting period.</w:t>
      </w:r>
    </w:p>
    <w:p w14:paraId="3286F13C" w14:textId="77777777" w:rsidR="0074640A" w:rsidRDefault="0074640A">
      <w:pPr>
        <w:pStyle w:val="IASBSectionTitle1NonInd"/>
      </w:pPr>
      <w:r>
        <w:t>Disclosure</w:t>
      </w:r>
    </w:p>
    <w:p w14:paraId="3286F13D" w14:textId="77777777" w:rsidR="0074640A" w:rsidRDefault="0074640A">
      <w:pPr>
        <w:pStyle w:val="IASBSectionTitle2Ind"/>
      </w:pPr>
      <w:r>
        <w:t>Date of authorisation for issue</w:t>
      </w:r>
    </w:p>
    <w:p w14:paraId="3286F13E" w14:textId="17FB7415" w:rsidR="0074640A" w:rsidRDefault="0074640A">
      <w:pPr>
        <w:pStyle w:val="IASBNormalnpara"/>
        <w:rPr>
          <w:b/>
        </w:rPr>
      </w:pPr>
      <w:r>
        <w:rPr>
          <w:b/>
        </w:rPr>
        <w:t>17</w:t>
      </w:r>
      <w:r>
        <w:rPr>
          <w:b/>
        </w:rPr>
        <w:tab/>
        <w:t>An entity shall disclose the date when the financial statements were authorised for issue and who gave that authorisation. If the entity’s owners or others have the power to amend the financial statements after issue, the e</w:t>
      </w:r>
      <w:r w:rsidR="00E938C0">
        <w:rPr>
          <w:b/>
        </w:rPr>
        <w:t>ntity shall disclose that fact.</w:t>
      </w:r>
    </w:p>
    <w:p w14:paraId="3286F13F" w14:textId="77777777" w:rsidR="0074640A" w:rsidRDefault="0074640A">
      <w:pPr>
        <w:pStyle w:val="IASBNormalnpara"/>
      </w:pPr>
      <w:r>
        <w:t>18</w:t>
      </w:r>
      <w:r>
        <w:tab/>
        <w:t>It is important for users to know when the financial statements were authorised for issue, because the financial statements do not reflect events after this date.</w:t>
      </w:r>
    </w:p>
    <w:p w14:paraId="3286F140" w14:textId="77777777" w:rsidR="0074640A" w:rsidRDefault="0074640A">
      <w:pPr>
        <w:pStyle w:val="IASBSectionTitle2Ind"/>
      </w:pPr>
      <w:r>
        <w:lastRenderedPageBreak/>
        <w:t>Updating disclosure about conditions at the end of the reporting period</w:t>
      </w:r>
    </w:p>
    <w:p w14:paraId="3286F141" w14:textId="52CF5BCD" w:rsidR="0074640A" w:rsidRPr="001A66B5" w:rsidRDefault="0074640A" w:rsidP="00F871FC">
      <w:pPr>
        <w:spacing w:before="100"/>
        <w:ind w:left="782" w:hanging="782"/>
        <w:jc w:val="both"/>
        <w:rPr>
          <w:b/>
        </w:rPr>
      </w:pPr>
      <w:r w:rsidRPr="001A66B5">
        <w:rPr>
          <w:b/>
        </w:rPr>
        <w:t>19</w:t>
      </w:r>
      <w:r w:rsidRPr="001A66B5">
        <w:rPr>
          <w:b/>
        </w:rPr>
        <w:tab/>
        <w:t>If an entity receives information after the reporting period about conditions that existed at the end of the reporting period, it shall update disclosures that relate to those conditions, in th</w:t>
      </w:r>
      <w:r w:rsidR="00E938C0">
        <w:rPr>
          <w:b/>
        </w:rPr>
        <w:t>e light of the new information.</w:t>
      </w:r>
    </w:p>
    <w:p w14:paraId="3286F142" w14:textId="77777777" w:rsidR="0074640A" w:rsidRPr="001A66B5" w:rsidRDefault="0074640A" w:rsidP="00F871FC">
      <w:pPr>
        <w:pStyle w:val="IASBNormalnpara"/>
      </w:pPr>
      <w:r w:rsidRPr="001A66B5">
        <w:t>20</w:t>
      </w:r>
      <w:r w:rsidRPr="001A66B5">
        <w:tab/>
        <w:t>In some cases, an entity needs to update the disclosures in its financial statements to reflect information received after the reporting period, even when the information does not affect the amounts that it recognises in its financial statements. One example of the need to update disclosures is when evidence becomes available after the reporting period about a contingent liability that existed at the end of the reporting period. In addition to considering whether it should recognise or change a provision under</w:t>
      </w:r>
      <w:r w:rsidR="00240322" w:rsidRPr="001A66B5">
        <w:t xml:space="preserve"> AASB 137</w:t>
      </w:r>
      <w:r w:rsidRPr="001A66B5">
        <w:t>, an entity updates its disclosures about the contingent liability in the light of that evidence.</w:t>
      </w:r>
    </w:p>
    <w:p w14:paraId="3286F143" w14:textId="77777777" w:rsidR="0074640A" w:rsidRDefault="0074640A">
      <w:pPr>
        <w:pStyle w:val="IASBSectionTitle2Ind"/>
      </w:pPr>
      <w:r>
        <w:t>Non-adjusting events after the reporting period</w:t>
      </w:r>
    </w:p>
    <w:p w14:paraId="1EA02863" w14:textId="13650D2A" w:rsidR="0030755C" w:rsidRPr="0030755C" w:rsidRDefault="0030755C" w:rsidP="000B2D52">
      <w:pPr>
        <w:spacing w:before="100"/>
        <w:ind w:left="782" w:hanging="782"/>
        <w:jc w:val="both"/>
        <w:rPr>
          <w:b/>
          <w:szCs w:val="20"/>
          <w:lang w:val="en-US"/>
        </w:rPr>
      </w:pPr>
      <w:r w:rsidRPr="0030755C">
        <w:rPr>
          <w:b/>
          <w:lang w:val="en-US"/>
        </w:rPr>
        <w:t>21</w:t>
      </w:r>
      <w:r w:rsidRPr="0030755C">
        <w:rPr>
          <w:b/>
          <w:lang w:val="en-US"/>
        </w:rPr>
        <w:tab/>
      </w:r>
      <w:bookmarkStart w:id="14" w:name="F78338159"/>
      <w:r w:rsidRPr="0030755C">
        <w:rPr>
          <w:b/>
          <w:lang w:val="en-US"/>
        </w:rPr>
        <w:t>If non-adjusting events after the reporting period are material, non-disclosure could reasonably be expected to influence decisions that the primary users of general purpose financial statements make on the basis of those financial statements, which provide financial information about a specific reporting entity. Accordingly, an entity shall disclose the following for each material category of non-adjusting event after the reporting period:</w:t>
      </w:r>
      <w:bookmarkEnd w:id="14"/>
    </w:p>
    <w:p w14:paraId="013A0E73" w14:textId="77777777" w:rsidR="0030755C" w:rsidRPr="0030755C" w:rsidRDefault="0030755C" w:rsidP="0030755C">
      <w:pPr>
        <w:spacing w:before="100"/>
        <w:ind w:left="1564" w:hanging="782"/>
        <w:rPr>
          <w:lang w:val="en-US"/>
        </w:rPr>
      </w:pPr>
      <w:r w:rsidRPr="0030755C">
        <w:rPr>
          <w:b/>
          <w:lang w:val="en-US"/>
        </w:rPr>
        <w:t>(a)</w:t>
      </w:r>
      <w:r w:rsidRPr="0030755C">
        <w:rPr>
          <w:lang w:val="en-US"/>
        </w:rPr>
        <w:tab/>
      </w:r>
      <w:bookmarkStart w:id="15" w:name="SL78338269"/>
      <w:r w:rsidRPr="0030755C">
        <w:rPr>
          <w:b/>
          <w:lang w:val="en-US"/>
        </w:rPr>
        <w:t>the nature of the event; and</w:t>
      </w:r>
      <w:bookmarkEnd w:id="15"/>
    </w:p>
    <w:p w14:paraId="2B48F2E6" w14:textId="77777777" w:rsidR="0030755C" w:rsidRPr="0030755C" w:rsidRDefault="0030755C" w:rsidP="0030755C">
      <w:pPr>
        <w:spacing w:before="100"/>
        <w:ind w:left="1564" w:hanging="782"/>
        <w:rPr>
          <w:lang w:val="en-US"/>
        </w:rPr>
      </w:pPr>
      <w:r w:rsidRPr="0030755C">
        <w:rPr>
          <w:b/>
          <w:lang w:val="en-US"/>
        </w:rPr>
        <w:t>(b)</w:t>
      </w:r>
      <w:r w:rsidRPr="0030755C">
        <w:rPr>
          <w:lang w:val="en-US"/>
        </w:rPr>
        <w:tab/>
      </w:r>
      <w:bookmarkStart w:id="16" w:name="SL78338270"/>
      <w:r w:rsidRPr="0030755C">
        <w:rPr>
          <w:b/>
          <w:lang w:val="en-US"/>
        </w:rPr>
        <w:t>an estimate of its financial effect, or a statement that such an estimate cannot be made.</w:t>
      </w:r>
      <w:bookmarkEnd w:id="16"/>
    </w:p>
    <w:p w14:paraId="3286F147" w14:textId="77777777" w:rsidR="0074640A" w:rsidRDefault="0074640A">
      <w:pPr>
        <w:pStyle w:val="IASBNormalnpara"/>
      </w:pPr>
      <w:r>
        <w:t>22</w:t>
      </w:r>
      <w:r>
        <w:tab/>
        <w:t xml:space="preserve">The following are examples of non-adjusting events after the reporting period that would generally result in disclosure: </w:t>
      </w:r>
    </w:p>
    <w:p w14:paraId="3286F148" w14:textId="77777777" w:rsidR="0074640A" w:rsidRDefault="0074640A">
      <w:pPr>
        <w:pStyle w:val="IASBNormalnparaL1"/>
      </w:pPr>
      <w:r>
        <w:t>(a)</w:t>
      </w:r>
      <w:r>
        <w:tab/>
        <w:t xml:space="preserve">a major business combination after the reporting period </w:t>
      </w:r>
      <w:r w:rsidRPr="007F5C9A">
        <w:t>(</w:t>
      </w:r>
      <w:r w:rsidR="00240322" w:rsidRPr="007F5C9A">
        <w:t>AASB 3</w:t>
      </w:r>
      <w:r w:rsidRPr="007F5C9A">
        <w:t xml:space="preserve"> </w:t>
      </w:r>
      <w:r w:rsidRPr="007F5C9A">
        <w:rPr>
          <w:i/>
          <w:iCs/>
        </w:rPr>
        <w:t>Business Combinations</w:t>
      </w:r>
      <w:r w:rsidRPr="007F5C9A">
        <w:t xml:space="preserve"> requires specific disclosures in such cases)</w:t>
      </w:r>
      <w:r>
        <w:t xml:space="preserve"> or disposing of a major subsidiary;</w:t>
      </w:r>
    </w:p>
    <w:p w14:paraId="3286F149" w14:textId="77777777" w:rsidR="0074640A" w:rsidRDefault="0074640A">
      <w:pPr>
        <w:pStyle w:val="IASBNormalnparaL1"/>
      </w:pPr>
      <w:r>
        <w:t>(b)</w:t>
      </w:r>
      <w:r>
        <w:tab/>
        <w:t>announcing a plan to discontinue an operation;</w:t>
      </w:r>
    </w:p>
    <w:p w14:paraId="3286F14A" w14:textId="77777777" w:rsidR="0074640A" w:rsidRDefault="0074640A">
      <w:pPr>
        <w:pStyle w:val="IASBNormalnparaL1"/>
      </w:pPr>
      <w:r>
        <w:t>(c)</w:t>
      </w:r>
      <w:r>
        <w:tab/>
        <w:t>major purchases of assets, classification of assets as held for sale in accordance with</w:t>
      </w:r>
      <w:r w:rsidR="00240322">
        <w:t xml:space="preserve"> AASB 5</w:t>
      </w:r>
      <w:r>
        <w:t xml:space="preserve"> </w:t>
      </w:r>
      <w:r>
        <w:rPr>
          <w:i/>
        </w:rPr>
        <w:t>Non-current Assets Held for Sale and Discontinued Operations</w:t>
      </w:r>
      <w:r>
        <w:t>, other disposals of assets, or expropriation of major assets by government;</w:t>
      </w:r>
    </w:p>
    <w:p w14:paraId="3286F14B" w14:textId="77777777" w:rsidR="0074640A" w:rsidRDefault="0074640A">
      <w:pPr>
        <w:pStyle w:val="IASBNormalnparaL1"/>
      </w:pPr>
      <w:r>
        <w:t>(d)</w:t>
      </w:r>
      <w:r>
        <w:tab/>
        <w:t>the destruction of a major production plant by a fire after the reporting period;</w:t>
      </w:r>
    </w:p>
    <w:p w14:paraId="3286F14C" w14:textId="77777777" w:rsidR="0074640A" w:rsidRDefault="0074640A">
      <w:pPr>
        <w:pStyle w:val="IASBNormalnparaL1"/>
      </w:pPr>
      <w:r>
        <w:t>(e)</w:t>
      </w:r>
      <w:r>
        <w:tab/>
        <w:t>announcing, or commencing the implementation of, a major restructuring (see</w:t>
      </w:r>
      <w:r w:rsidR="00240322">
        <w:t xml:space="preserve"> AASB 137</w:t>
      </w:r>
      <w:r>
        <w:t>);</w:t>
      </w:r>
    </w:p>
    <w:p w14:paraId="3286F14D" w14:textId="77777777" w:rsidR="0074640A" w:rsidRDefault="0074640A">
      <w:pPr>
        <w:pStyle w:val="IASBNormalnparaL1"/>
      </w:pPr>
      <w:r>
        <w:t>(f)</w:t>
      </w:r>
      <w:r>
        <w:tab/>
        <w:t>major ordinary share transactions and potential ordinary share transactions after the reporting period (</w:t>
      </w:r>
      <w:r w:rsidR="00240322">
        <w:t>AASB 133</w:t>
      </w:r>
      <w:r>
        <w:t xml:space="preserve"> </w:t>
      </w:r>
      <w:r>
        <w:rPr>
          <w:i/>
        </w:rPr>
        <w:t>Earnings per Share</w:t>
      </w:r>
      <w:r>
        <w:t xml:space="preserve"> requires an entity to disclose a description of such transactions, other than when such transactions involve capitalisation or bonus issues, share splits or reverse share splits all of which are required to be adjusted under</w:t>
      </w:r>
      <w:r w:rsidR="00240322">
        <w:t xml:space="preserve"> AASB 133</w:t>
      </w:r>
      <w:r>
        <w:t>);</w:t>
      </w:r>
    </w:p>
    <w:p w14:paraId="3286F14E" w14:textId="77777777" w:rsidR="0074640A" w:rsidRDefault="0074640A">
      <w:pPr>
        <w:pStyle w:val="IASBNormalnparaL1"/>
      </w:pPr>
      <w:r>
        <w:t>(g)</w:t>
      </w:r>
      <w:r>
        <w:tab/>
        <w:t>abnormally large changes after the reporting period in asset prices or foreign exchange rates;</w:t>
      </w:r>
    </w:p>
    <w:p w14:paraId="3286F14F" w14:textId="77777777" w:rsidR="0074640A" w:rsidRDefault="0074640A">
      <w:pPr>
        <w:pStyle w:val="IASBNormalnparaL1"/>
      </w:pPr>
      <w:r>
        <w:t>(h)</w:t>
      </w:r>
      <w:r>
        <w:tab/>
        <w:t>changes in tax rates or tax laws enacted or announced after the reporting period that have a significant effect on current and deferred tax assets and liabilities (see</w:t>
      </w:r>
      <w:r w:rsidR="00240322">
        <w:t xml:space="preserve"> AASB 112</w:t>
      </w:r>
      <w:r>
        <w:t xml:space="preserve"> </w:t>
      </w:r>
      <w:r>
        <w:rPr>
          <w:i/>
        </w:rPr>
        <w:t>Income Taxes</w:t>
      </w:r>
      <w:r>
        <w:t>);</w:t>
      </w:r>
    </w:p>
    <w:p w14:paraId="3286F150" w14:textId="77777777" w:rsidR="0074640A" w:rsidRDefault="0074640A">
      <w:pPr>
        <w:pStyle w:val="IASBNormalnparaL1"/>
      </w:pPr>
      <w:r>
        <w:t>(i)</w:t>
      </w:r>
      <w:r>
        <w:tab/>
        <w:t>entering into significant commitments or contingent liabilities, for example, by issuing significant guarantees; and</w:t>
      </w:r>
    </w:p>
    <w:p w14:paraId="3286F151" w14:textId="77777777" w:rsidR="0074640A" w:rsidRDefault="0074640A">
      <w:pPr>
        <w:pStyle w:val="IASBNormalnparaL1"/>
      </w:pPr>
      <w:r>
        <w:t>(j)</w:t>
      </w:r>
      <w:r>
        <w:tab/>
        <w:t>commencing major litigation arising solely out of events that occurred after the reporting period.</w:t>
      </w:r>
    </w:p>
    <w:p w14:paraId="3286F152" w14:textId="6CECA7A8" w:rsidR="0074640A" w:rsidRDefault="0074640A">
      <w:pPr>
        <w:pStyle w:val="IASBSectionTitle1NonInd"/>
      </w:pPr>
      <w:r>
        <w:t>Effective date</w:t>
      </w:r>
    </w:p>
    <w:p w14:paraId="3286F153" w14:textId="35FDF947" w:rsidR="00703783" w:rsidRDefault="00703783">
      <w:pPr>
        <w:pStyle w:val="IASBNormalnpara"/>
      </w:pPr>
      <w:r>
        <w:t>23</w:t>
      </w:r>
      <w:r>
        <w:tab/>
        <w:t>An entity shall apply this Standard for annual periods beginning on or after 1 January</w:t>
      </w:r>
      <w:r w:rsidR="00E82AC9">
        <w:t xml:space="preserve"> </w:t>
      </w:r>
      <w:r>
        <w:t>2018. Earlier application is encouraged</w:t>
      </w:r>
      <w:r w:rsidR="00F3585B">
        <w:t xml:space="preserve"> for periods beginning after 24 July 2014 but before 1 January 2018</w:t>
      </w:r>
      <w:r>
        <w:t>. If an entity applies this Standard for a period beginning before 1 January</w:t>
      </w:r>
      <w:r w:rsidR="00E82AC9">
        <w:t xml:space="preserve"> </w:t>
      </w:r>
      <w:r>
        <w:t>2018, it shall disclose that fact</w:t>
      </w:r>
      <w:r w:rsidR="00BE0284">
        <w:t>.</w:t>
      </w:r>
    </w:p>
    <w:p w14:paraId="3286F154" w14:textId="77777777" w:rsidR="00CD196B" w:rsidDel="002E504A" w:rsidRDefault="00CD196B" w:rsidP="00CD196B">
      <w:pPr>
        <w:pStyle w:val="IASBNormalnpara"/>
      </w:pPr>
      <w:r>
        <w:t>23A</w:t>
      </w:r>
      <w:r>
        <w:tab/>
        <w:t>[Deleted by the AASB]</w:t>
      </w:r>
    </w:p>
    <w:p w14:paraId="3286F155" w14:textId="2F2DE4EE" w:rsidR="002E504A" w:rsidRDefault="002E504A" w:rsidP="002E504A">
      <w:pPr>
        <w:pStyle w:val="IASBNormalnpara"/>
      </w:pPr>
      <w:r w:rsidDel="002E504A">
        <w:t>23B</w:t>
      </w:r>
      <w:r w:rsidDel="002E504A">
        <w:tab/>
      </w:r>
      <w:r w:rsidR="00CD196B">
        <w:t>AASB 2014-7</w:t>
      </w:r>
      <w:r w:rsidR="00CD196B" w:rsidRPr="004A061D">
        <w:t xml:space="preserve"> </w:t>
      </w:r>
      <w:r w:rsidR="00CD196B" w:rsidRPr="004A061D">
        <w:rPr>
          <w:i/>
        </w:rPr>
        <w:t>Amendments to Australian Account</w:t>
      </w:r>
      <w:r w:rsidR="00E938C0">
        <w:rPr>
          <w:i/>
        </w:rPr>
        <w:t xml:space="preserve">ing Standards arising from AASB </w:t>
      </w:r>
      <w:r w:rsidR="00CD196B" w:rsidRPr="004A061D">
        <w:rPr>
          <w:i/>
        </w:rPr>
        <w:t xml:space="preserve">9 </w:t>
      </w:r>
      <w:r w:rsidR="00E938C0">
        <w:rPr>
          <w:i/>
        </w:rPr>
        <w:t xml:space="preserve">(December </w:t>
      </w:r>
      <w:r w:rsidR="00CD196B" w:rsidRPr="004A061D">
        <w:rPr>
          <w:i/>
        </w:rPr>
        <w:t>2014)</w:t>
      </w:r>
      <w:r w:rsidR="00CD196B">
        <w:t xml:space="preserve"> </w:t>
      </w:r>
      <w:r w:rsidR="00CD196B" w:rsidRPr="004A061D">
        <w:t xml:space="preserve">issued in </w:t>
      </w:r>
      <w:r w:rsidR="00CD196B">
        <w:t>December</w:t>
      </w:r>
      <w:r w:rsidR="00CD196B" w:rsidRPr="004A061D">
        <w:t xml:space="preserve"> 2014</w:t>
      </w:r>
      <w:r w:rsidR="00CD196B">
        <w:t xml:space="preserve"> </w:t>
      </w:r>
      <w:r w:rsidR="00E938C0">
        <w:t xml:space="preserve">amended paragraph </w:t>
      </w:r>
      <w:r w:rsidR="00CD196B" w:rsidRPr="004A061D">
        <w:t>9</w:t>
      </w:r>
      <w:r w:rsidR="00A53418">
        <w:t xml:space="preserve"> in the previous version of this Standard</w:t>
      </w:r>
      <w:r w:rsidR="00CD196B" w:rsidRPr="004A061D">
        <w:t>.</w:t>
      </w:r>
      <w:r w:rsidR="00CD196B">
        <w:t xml:space="preserve"> </w:t>
      </w:r>
      <w:r w:rsidR="00CD196B" w:rsidRPr="004A061D">
        <w:t>An entity shall apply that</w:t>
      </w:r>
      <w:r w:rsidR="00E938C0">
        <w:t xml:space="preserve"> amendment when it applies AASB </w:t>
      </w:r>
      <w:r w:rsidR="00CD196B" w:rsidRPr="004A061D">
        <w:t>9.</w:t>
      </w:r>
    </w:p>
    <w:p w14:paraId="4E0652B0" w14:textId="1E54AD9C" w:rsidR="0030755C" w:rsidRPr="004C5BB4" w:rsidRDefault="004C5BB4" w:rsidP="000B2D52">
      <w:pPr>
        <w:spacing w:before="100"/>
        <w:ind w:left="782" w:hanging="782"/>
        <w:jc w:val="both"/>
      </w:pPr>
      <w:r w:rsidRPr="004C5BB4">
        <w:rPr>
          <w:lang w:val="en-US"/>
        </w:rPr>
        <w:lastRenderedPageBreak/>
        <w:t>23C</w:t>
      </w:r>
      <w:r w:rsidRPr="004C5BB4">
        <w:rPr>
          <w:lang w:val="en-US"/>
        </w:rPr>
        <w:tab/>
      </w:r>
      <w:bookmarkStart w:id="17" w:name="F78338169"/>
      <w:r w:rsidRPr="004C5BB4">
        <w:t>AASB 2018-7</w:t>
      </w:r>
      <w:r w:rsidRPr="004C5BB4">
        <w:rPr>
          <w:i/>
        </w:rPr>
        <w:t xml:space="preserve"> Amendments to Australian Accounting Standards – </w:t>
      </w:r>
      <w:r w:rsidRPr="004C5BB4">
        <w:rPr>
          <w:i/>
          <w:lang w:val="en-US"/>
        </w:rPr>
        <w:t>Definition of Material</w:t>
      </w:r>
      <w:r w:rsidRPr="004C5BB4">
        <w:rPr>
          <w:lang w:val="en-US"/>
        </w:rPr>
        <w:t>, issued in December 2018, amended paragraph 21. An entity shall apply those amendments prospectively for annual periods beginning on or after 1 January 2020. Earlier application is permitted. If an entity applies those amendments for an earlier period, it shall disclose that fact. An entity shall apply those amendments when it applies the amendments to the definition of material in paragraph 7 of AASB 101 and paragraphs 5 and 6 of AASB 108</w:t>
      </w:r>
      <w:bookmarkEnd w:id="17"/>
      <w:r w:rsidRPr="004C5BB4">
        <w:rPr>
          <w:lang w:val="en-US"/>
        </w:rPr>
        <w:t>.</w:t>
      </w:r>
    </w:p>
    <w:p w14:paraId="3286F156" w14:textId="77777777" w:rsidR="0074640A" w:rsidRDefault="0074640A">
      <w:pPr>
        <w:pStyle w:val="IASBSectionTitle1NonInd"/>
      </w:pPr>
      <w:r>
        <w:t>Withdrawal of IAS 10 (revised 1999)</w:t>
      </w:r>
    </w:p>
    <w:p w14:paraId="3286F157" w14:textId="77777777" w:rsidR="0074640A" w:rsidRDefault="0074640A" w:rsidP="00240322">
      <w:r>
        <w:t>24</w:t>
      </w:r>
      <w:r>
        <w:tab/>
      </w:r>
      <w:r w:rsidR="001A66B5">
        <w:t>[Deleted by the AASB]</w:t>
      </w:r>
    </w:p>
    <w:p w14:paraId="3286F158" w14:textId="77777777" w:rsidR="00240322" w:rsidRDefault="00240322" w:rsidP="00703B9C">
      <w:pPr>
        <w:pStyle w:val="IASBSectionTitle1NonInd"/>
      </w:pPr>
      <w:bookmarkStart w:id="18" w:name="CommenceHeading"/>
      <w:r>
        <w:t>Commencement of the legislative instrument</w:t>
      </w:r>
    </w:p>
    <w:p w14:paraId="3286F159" w14:textId="04C3B497" w:rsidR="001A66B5" w:rsidRDefault="001A66B5" w:rsidP="001A66B5">
      <w:pPr>
        <w:pStyle w:val="AusPlain"/>
      </w:pPr>
      <w:r>
        <w:t>Aus24.1</w:t>
      </w:r>
      <w:r>
        <w:tab/>
      </w:r>
      <w:bookmarkStart w:id="19" w:name="CommenceDate"/>
      <w:r w:rsidR="00FF63CE">
        <w:t>[Repealed]</w:t>
      </w:r>
      <w:bookmarkEnd w:id="19"/>
    </w:p>
    <w:p w14:paraId="3286F15A" w14:textId="77777777" w:rsidR="00240322" w:rsidRDefault="00240322" w:rsidP="00703B9C">
      <w:pPr>
        <w:pStyle w:val="IASBSectionTitle1NonInd"/>
      </w:pPr>
      <w:bookmarkStart w:id="20" w:name="SSHeading"/>
      <w:bookmarkEnd w:id="18"/>
      <w:r>
        <w:t xml:space="preserve">Withdrawal of </w:t>
      </w:r>
      <w:r w:rsidR="00711896">
        <w:t>AASB</w:t>
      </w:r>
      <w:r>
        <w:t xml:space="preserve"> pronouncements</w:t>
      </w:r>
    </w:p>
    <w:bookmarkEnd w:id="20"/>
    <w:p w14:paraId="3286F15B" w14:textId="77777777" w:rsidR="00680F7B" w:rsidRDefault="00752A68" w:rsidP="00680F7B">
      <w:pPr>
        <w:pStyle w:val="AusPlain"/>
      </w:pPr>
      <w:r>
        <w:t>Aus24.2</w:t>
      </w:r>
      <w:r w:rsidR="001A66B5">
        <w:tab/>
      </w:r>
      <w:r w:rsidR="00680F7B">
        <w:t xml:space="preserve">This Standard repeals </w:t>
      </w:r>
      <w:bookmarkStart w:id="21" w:name="SSInt"/>
      <w:r w:rsidR="00680F7B">
        <w:t>AASB</w:t>
      </w:r>
      <w:bookmarkEnd w:id="21"/>
      <w:r w:rsidR="00680F7B">
        <w:t xml:space="preserve"> </w:t>
      </w:r>
      <w:bookmarkStart w:id="22" w:name="SSAASBNo"/>
      <w:r w:rsidR="00680F7B">
        <w:t>110</w:t>
      </w:r>
      <w:bookmarkEnd w:id="22"/>
      <w:r w:rsidR="00680F7B">
        <w:t xml:space="preserve"> </w:t>
      </w:r>
      <w:bookmarkStart w:id="23" w:name="SSAASBTitle"/>
      <w:r w:rsidR="00680F7B" w:rsidRPr="00240322">
        <w:rPr>
          <w:i/>
        </w:rPr>
        <w:t>Events after the Reporting Period</w:t>
      </w:r>
      <w:bookmarkEnd w:id="23"/>
      <w:r w:rsidR="00680F7B">
        <w:t xml:space="preserve"> issued in </w:t>
      </w:r>
      <w:bookmarkStart w:id="24" w:name="SSAASBDate"/>
      <w:r w:rsidR="00680F7B">
        <w:t>July 2004</w:t>
      </w:r>
      <w:bookmarkEnd w:id="24"/>
      <w:r w:rsidR="00680F7B">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14:paraId="3286F15C" w14:textId="77777777" w:rsidR="00240322" w:rsidRDefault="00680F7B" w:rsidP="00C139F1">
      <w:pPr>
        <w:pStyle w:val="IASBNormalnparaL1P"/>
      </w:pPr>
      <w:r>
        <w:t>[Note: When this S</w:t>
      </w:r>
      <w:bookmarkStart w:id="25" w:name="SSNote"/>
      <w:bookmarkEnd w:id="25"/>
      <w:r>
        <w:t>tandard applies under section 334 of the Corporations Act (either generally or in relation to an individual entity), it supersedes the application of the repealed Standard.]</w:t>
      </w:r>
    </w:p>
    <w:p w14:paraId="3286F15D" w14:textId="77777777" w:rsidR="00240322" w:rsidRDefault="00240322" w:rsidP="00BE0284">
      <w:pPr>
        <w:spacing w:before="100"/>
      </w:pPr>
    </w:p>
    <w:p w14:paraId="6B50F75A" w14:textId="77777777" w:rsidR="00BE0284" w:rsidRDefault="00BE0284" w:rsidP="00BE0284">
      <w:pPr>
        <w:spacing w:before="100"/>
        <w:sectPr w:rsidR="00BE0284" w:rsidSect="00107A60">
          <w:headerReference w:type="even" r:id="rId18"/>
          <w:footerReference w:type="even" r:id="rId19"/>
          <w:footerReference w:type="default" r:id="rId20"/>
          <w:headerReference w:type="first" r:id="rId21"/>
          <w:footerReference w:type="first" r:id="rId22"/>
          <w:pgSz w:w="11907" w:h="16839"/>
          <w:pgMar w:top="1440" w:right="1440" w:bottom="1440" w:left="1440" w:header="720" w:footer="720" w:gutter="0"/>
          <w:cols w:space="708"/>
          <w:docGrid w:linePitch="360"/>
        </w:sectPr>
      </w:pPr>
    </w:p>
    <w:p w14:paraId="3286F15E" w14:textId="0BE276E1" w:rsidR="006C4A66" w:rsidRDefault="00240322" w:rsidP="006C4A66">
      <w:pPr>
        <w:pStyle w:val="ConvSectionTitle"/>
      </w:pPr>
      <w:r>
        <w:lastRenderedPageBreak/>
        <w:t xml:space="preserve">Appendix </w:t>
      </w:r>
      <w:bookmarkStart w:id="26" w:name="AppendixNo"/>
      <w:r>
        <w:t>A</w:t>
      </w:r>
      <w:bookmarkEnd w:id="26"/>
      <w:r>
        <w:br/>
      </w:r>
      <w:r w:rsidR="00801AA3">
        <w:t xml:space="preserve">Australian </w:t>
      </w:r>
      <w:r w:rsidR="006F1D64" w:rsidRPr="006F1D64">
        <w:t>simplified disclosures for Tier 2 entities</w:t>
      </w:r>
      <w:r w:rsidR="006F1D64" w:rsidDel="006F1D64">
        <w:t xml:space="preserve"> </w:t>
      </w:r>
    </w:p>
    <w:p w14:paraId="15E3559C" w14:textId="7406983D" w:rsidR="006F1D64" w:rsidRPr="006F1D64" w:rsidRDefault="006F1D64" w:rsidP="00E34C06">
      <w:pPr>
        <w:keepNext/>
        <w:keepLines/>
        <w:spacing w:before="100" w:after="100"/>
        <w:rPr>
          <w:i/>
          <w:szCs w:val="19"/>
        </w:rPr>
      </w:pPr>
      <w:r w:rsidRPr="006F1D64">
        <w:rPr>
          <w:i/>
          <w:szCs w:val="19"/>
        </w:rPr>
        <w:t>This appendix is an integral part of the Standard.</w:t>
      </w:r>
    </w:p>
    <w:p w14:paraId="4D580A47" w14:textId="77777777" w:rsidR="006F1D64" w:rsidRPr="006F1D64" w:rsidRDefault="006F1D64" w:rsidP="000843E6">
      <w:pPr>
        <w:pStyle w:val="AusBold"/>
        <w:ind w:left="1570" w:hanging="1570"/>
        <w:rPr>
          <w:i/>
        </w:rPr>
      </w:pPr>
      <w:r w:rsidRPr="006F1D64">
        <w:t>AusA1</w:t>
      </w:r>
      <w:r w:rsidRPr="006F1D64">
        <w:tab/>
        <w:t xml:space="preserve">Paragraphs 13, 16 and 17–22 do not apply to entities preparing general purpose financial statements that apply AASB 1060 </w:t>
      </w:r>
      <w:r w:rsidRPr="006F1D64">
        <w:rPr>
          <w:i/>
        </w:rPr>
        <w:t>General Purpose Financial Statements – Simplified Disclosures for For-Profit and Not-for-Profit Tier 2 Entities.</w:t>
      </w:r>
    </w:p>
    <w:p w14:paraId="3286F165" w14:textId="77777777" w:rsidR="00240322" w:rsidRDefault="00240322" w:rsidP="00BE0284">
      <w:pPr>
        <w:spacing w:before="100"/>
      </w:pPr>
    </w:p>
    <w:p w14:paraId="3286F166" w14:textId="77777777" w:rsidR="007E457F" w:rsidRDefault="007E457F" w:rsidP="00BE0284">
      <w:pPr>
        <w:spacing w:before="100"/>
        <w:sectPr w:rsidR="007E457F" w:rsidSect="00240322">
          <w:footerReference w:type="default" r:id="rId23"/>
          <w:headerReference w:type="first" r:id="rId24"/>
          <w:footerReference w:type="first" r:id="rId25"/>
          <w:pgSz w:w="11907" w:h="16839"/>
          <w:pgMar w:top="1440" w:right="1440" w:bottom="1440" w:left="1440" w:header="709" w:footer="709" w:gutter="0"/>
          <w:cols w:space="708"/>
          <w:docGrid w:linePitch="360"/>
        </w:sectPr>
      </w:pPr>
    </w:p>
    <w:p w14:paraId="3286F167" w14:textId="6A6680E7" w:rsidR="007E457F" w:rsidRPr="00854FCF" w:rsidRDefault="007E457F" w:rsidP="007E457F">
      <w:pPr>
        <w:pStyle w:val="ConvSectionTitle"/>
        <w:rPr>
          <w:iCs/>
        </w:rPr>
      </w:pPr>
      <w:r>
        <w:lastRenderedPageBreak/>
        <w:t>Compilation details</w:t>
      </w:r>
      <w:r>
        <w:br/>
      </w:r>
      <w:r w:rsidRPr="00B663AC">
        <w:t xml:space="preserve">Accounting Standard </w:t>
      </w:r>
      <w:r>
        <w:t xml:space="preserve">AASB </w:t>
      </w:r>
      <w:r>
        <w:fldChar w:fldCharType="begin" w:fldLock="1"/>
      </w:r>
      <w:r>
        <w:instrText xml:space="preserve"> REF DocNo \* charformat</w:instrText>
      </w:r>
      <w:r>
        <w:fldChar w:fldCharType="separate"/>
      </w:r>
      <w:r>
        <w:t>110</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5815FE">
        <w:rPr>
          <w:i/>
        </w:rPr>
        <w:t>Events after the Reporting Period</w:t>
      </w:r>
      <w:r w:rsidRPr="00844AB3">
        <w:rPr>
          <w:i/>
        </w:rPr>
        <w:fldChar w:fldCharType="end"/>
      </w:r>
      <w:r w:rsidR="00854FCF">
        <w:rPr>
          <w:iCs/>
        </w:rPr>
        <w:t xml:space="preserve"> </w:t>
      </w:r>
      <w:r w:rsidR="00854FCF">
        <w:rPr>
          <w:iCs/>
        </w:rPr>
        <w:br/>
      </w:r>
      <w:r w:rsidR="00854FCF" w:rsidRPr="005E2E8F">
        <w:t>(as amended)</w:t>
      </w:r>
    </w:p>
    <w:p w14:paraId="3286F168" w14:textId="77777777" w:rsidR="007E457F" w:rsidRDefault="007E457F" w:rsidP="007E457F">
      <w:pPr>
        <w:pStyle w:val="IASBNote"/>
      </w:pPr>
      <w:r>
        <w:t xml:space="preserve">Compilation details are not part of AASB </w:t>
      </w:r>
      <w:r>
        <w:fldChar w:fldCharType="begin" w:fldLock="1"/>
      </w:r>
      <w:r>
        <w:instrText xml:space="preserve"> REF DocNo \* charformat</w:instrText>
      </w:r>
      <w:r>
        <w:fldChar w:fldCharType="separate"/>
      </w:r>
      <w:r>
        <w:t>110</w:t>
      </w:r>
      <w:r>
        <w:fldChar w:fldCharType="end"/>
      </w:r>
      <w:r>
        <w:t>.</w:t>
      </w:r>
    </w:p>
    <w:p w14:paraId="3286F169" w14:textId="242C7372" w:rsidR="007E457F" w:rsidRPr="000D35D8" w:rsidRDefault="007E457F" w:rsidP="007E457F">
      <w:pPr>
        <w:pStyle w:val="IASBNormal"/>
      </w:pPr>
      <w:r w:rsidRPr="000D35D8">
        <w:t xml:space="preserve">This compiled Standard applies to annual periods </w:t>
      </w:r>
      <w:r w:rsidR="00210EF4">
        <w:fldChar w:fldCharType="begin" w:fldLock="1"/>
      </w:r>
      <w:r w:rsidR="00210EF4">
        <w:instrText xml:space="preserve"> REF ApplyTextCompile \* charformat  \* MERGEFORMAT </w:instrText>
      </w:r>
      <w:r w:rsidR="00210EF4">
        <w:fldChar w:fldCharType="separate"/>
      </w:r>
      <w:r w:rsidRPr="000D35D8">
        <w:t>beginning</w:t>
      </w:r>
      <w:r w:rsidR="00210EF4">
        <w:fldChar w:fldCharType="end"/>
      </w:r>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1F6D6B">
        <w:t>1 July</w:t>
      </w:r>
      <w:r w:rsidR="001F6D6B" w:rsidRPr="000D35D8">
        <w:t xml:space="preserve"> 20</w:t>
      </w:r>
      <w:r w:rsidR="001F6D6B">
        <w:t>21</w:t>
      </w:r>
      <w:r w:rsidRPr="00F2266F">
        <w:fldChar w:fldCharType="end"/>
      </w:r>
      <w:r w:rsidRPr="000D35D8">
        <w:t xml:space="preserve">.  It takes into account amendments up to and including </w:t>
      </w:r>
      <w:bookmarkStart w:id="27" w:name="CompileDate"/>
      <w:r w:rsidR="0010137B">
        <w:t>6</w:t>
      </w:r>
      <w:r w:rsidRPr="000D35D8">
        <w:t> </w:t>
      </w:r>
      <w:r w:rsidR="00044D1D">
        <w:t>Ma</w:t>
      </w:r>
      <w:r w:rsidR="0010137B">
        <w:t>rch</w:t>
      </w:r>
      <w:r w:rsidR="00044D1D">
        <w:t xml:space="preserve"> </w:t>
      </w:r>
      <w:r w:rsidRPr="000D35D8">
        <w:t>20</w:t>
      </w:r>
      <w:r w:rsidR="00592723">
        <w:t>20</w:t>
      </w:r>
      <w:bookmarkEnd w:id="27"/>
      <w:r w:rsidRPr="000D35D8">
        <w:t xml:space="preserve"> and was prepared on </w:t>
      </w:r>
      <w:bookmarkStart w:id="28" w:name="PrepDate"/>
      <w:r w:rsidR="00592723">
        <w:t>8</w:t>
      </w:r>
      <w:r w:rsidRPr="000D35D8">
        <w:t> </w:t>
      </w:r>
      <w:r w:rsidR="00592723">
        <w:t>June</w:t>
      </w:r>
      <w:r w:rsidR="002B7EB1">
        <w:t xml:space="preserve"> </w:t>
      </w:r>
      <w:r>
        <w:t>20</w:t>
      </w:r>
      <w:r w:rsidR="00044D1D">
        <w:t>2</w:t>
      </w:r>
      <w:r w:rsidR="00592723">
        <w:t>1</w:t>
      </w:r>
      <w:bookmarkEnd w:id="28"/>
      <w:r w:rsidRPr="000D35D8">
        <w:t xml:space="preserve"> by the staff of the Australian Accounting Standards Board (AASB).</w:t>
      </w:r>
    </w:p>
    <w:p w14:paraId="3286F16A" w14:textId="676AC133" w:rsidR="007E457F" w:rsidRDefault="007E457F" w:rsidP="007E457F">
      <w:pPr>
        <w:pStyle w:val="IASBNormal"/>
      </w:pPr>
      <w:r w:rsidRPr="000D35D8">
        <w:t xml:space="preserve">This compilation is not a separate Accounting Standard made by the AASB.  Instead, it is a representation of </w:t>
      </w:r>
      <w:r>
        <w:t>AASB </w:t>
      </w:r>
      <w:r>
        <w:fldChar w:fldCharType="begin" w:fldLock="1"/>
      </w:r>
      <w:r>
        <w:instrText xml:space="preserve"> REF DocNo \* charformat</w:instrText>
      </w:r>
      <w:r>
        <w:fldChar w:fldCharType="separate"/>
      </w:r>
      <w:r>
        <w:t>110</w:t>
      </w:r>
      <w:r>
        <w:fldChar w:fldCharType="end"/>
      </w:r>
      <w:r w:rsidRPr="000D35D8">
        <w:t xml:space="preserve"> </w:t>
      </w:r>
      <w:r>
        <w:t>(</w:t>
      </w:r>
      <w:r w:rsidR="00E34396">
        <w:t>August</w:t>
      </w:r>
      <w:r>
        <w:t xml:space="preserve"> 2015) </w:t>
      </w:r>
      <w:r w:rsidRPr="000D35D8">
        <w:t>as amended by other Accounting Stan</w:t>
      </w:r>
      <w:r>
        <w:t xml:space="preserve">dards, which are listed in the </w:t>
      </w:r>
      <w:r w:rsidR="00854FCF">
        <w:t>t</w:t>
      </w:r>
      <w:r w:rsidR="00854FCF" w:rsidRPr="000D35D8">
        <w:t xml:space="preserve">able </w:t>
      </w:r>
      <w:r w:rsidRPr="000D35D8">
        <w:t>below.</w:t>
      </w:r>
    </w:p>
    <w:p w14:paraId="3286F16B" w14:textId="77777777" w:rsidR="007E457F" w:rsidRPr="000D35D8" w:rsidRDefault="007E457F" w:rsidP="007E457F">
      <w:pPr>
        <w:pStyle w:val="IASBSectionTitle2NonInd"/>
      </w:pPr>
      <w:r w:rsidRPr="00B663AC">
        <w:t>Table of Standards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 identifier, commencement date, effective (application) date, and early application note reference or a note that the particular Standard is not incorporated in this version of the compiled Standard.&#10;"/>
      </w:tblPr>
      <w:tblGrid>
        <w:gridCol w:w="1333"/>
        <w:gridCol w:w="1276"/>
        <w:gridCol w:w="1417"/>
        <w:gridCol w:w="1276"/>
        <w:gridCol w:w="2552"/>
        <w:gridCol w:w="1275"/>
      </w:tblGrid>
      <w:tr w:rsidR="007E457F" w:rsidRPr="009305B8" w14:paraId="3286F172" w14:textId="77777777" w:rsidTr="00703B9C">
        <w:trPr>
          <w:cantSplit/>
          <w:tblHeader/>
        </w:trPr>
        <w:tc>
          <w:tcPr>
            <w:tcW w:w="1333" w:type="dxa"/>
          </w:tcPr>
          <w:p w14:paraId="3286F16C" w14:textId="77777777" w:rsidR="007E457F" w:rsidRPr="009305B8" w:rsidRDefault="007E457F" w:rsidP="00703B9C">
            <w:pPr>
              <w:pStyle w:val="NoNumBold1"/>
              <w:rPr>
                <w:rFonts w:ascii="Arial" w:hAnsi="Arial" w:cs="Arial"/>
                <w:sz w:val="18"/>
                <w:szCs w:val="18"/>
              </w:rPr>
            </w:pPr>
            <w:r w:rsidRPr="009305B8">
              <w:rPr>
                <w:rFonts w:ascii="Arial" w:hAnsi="Arial" w:cs="Arial"/>
                <w:sz w:val="18"/>
                <w:szCs w:val="18"/>
              </w:rPr>
              <w:t>Standard</w:t>
            </w:r>
          </w:p>
        </w:tc>
        <w:tc>
          <w:tcPr>
            <w:tcW w:w="1276" w:type="dxa"/>
          </w:tcPr>
          <w:p w14:paraId="3286F16D" w14:textId="77777777" w:rsidR="007E457F" w:rsidRDefault="007E457F" w:rsidP="00703B9C">
            <w:pPr>
              <w:pStyle w:val="NoNumBold1"/>
              <w:rPr>
                <w:rFonts w:ascii="Arial" w:hAnsi="Arial" w:cs="Arial"/>
                <w:sz w:val="18"/>
                <w:szCs w:val="18"/>
              </w:rPr>
            </w:pPr>
            <w:r>
              <w:rPr>
                <w:rFonts w:ascii="Arial" w:hAnsi="Arial" w:cs="Arial"/>
                <w:sz w:val="18"/>
                <w:szCs w:val="18"/>
              </w:rPr>
              <w:t>Date made</w:t>
            </w:r>
          </w:p>
        </w:tc>
        <w:tc>
          <w:tcPr>
            <w:tcW w:w="1417" w:type="dxa"/>
          </w:tcPr>
          <w:p w14:paraId="3286F16E" w14:textId="77777777" w:rsidR="007E457F" w:rsidRPr="009305B8" w:rsidRDefault="007E457F" w:rsidP="00703B9C">
            <w:pPr>
              <w:pStyle w:val="NoNumBold1"/>
              <w:rPr>
                <w:rFonts w:ascii="Arial" w:hAnsi="Arial" w:cs="Arial"/>
                <w:sz w:val="18"/>
                <w:szCs w:val="18"/>
              </w:rPr>
            </w:pPr>
            <w:r>
              <w:rPr>
                <w:rFonts w:ascii="Arial" w:hAnsi="Arial" w:cs="Arial"/>
                <w:sz w:val="18"/>
                <w:szCs w:val="18"/>
              </w:rPr>
              <w:t>FRL identifier</w:t>
            </w:r>
          </w:p>
        </w:tc>
        <w:tc>
          <w:tcPr>
            <w:tcW w:w="1276" w:type="dxa"/>
          </w:tcPr>
          <w:p w14:paraId="3286F16F" w14:textId="77777777" w:rsidR="007E457F" w:rsidRPr="009305B8" w:rsidRDefault="007E457F" w:rsidP="00703B9C">
            <w:pPr>
              <w:pStyle w:val="NoNumBold1"/>
              <w:rPr>
                <w:rFonts w:ascii="Arial" w:hAnsi="Arial" w:cs="Arial"/>
                <w:sz w:val="18"/>
                <w:szCs w:val="18"/>
              </w:rPr>
            </w:pPr>
            <w:r>
              <w:rPr>
                <w:rFonts w:ascii="Arial" w:hAnsi="Arial" w:cs="Arial"/>
                <w:sz w:val="18"/>
                <w:szCs w:val="18"/>
              </w:rPr>
              <w:t>Commence-ment date</w:t>
            </w:r>
          </w:p>
        </w:tc>
        <w:tc>
          <w:tcPr>
            <w:tcW w:w="2552" w:type="dxa"/>
          </w:tcPr>
          <w:p w14:paraId="3286F170" w14:textId="77777777" w:rsidR="007E457F" w:rsidRPr="009305B8" w:rsidRDefault="007E457F" w:rsidP="00703B9C">
            <w:pPr>
              <w:pStyle w:val="NoNumBold1"/>
              <w:rPr>
                <w:rFonts w:ascii="Arial" w:hAnsi="Arial" w:cs="Arial"/>
                <w:sz w:val="18"/>
                <w:szCs w:val="18"/>
              </w:rPr>
            </w:pPr>
            <w:r>
              <w:rPr>
                <w:rFonts w:ascii="Arial" w:hAnsi="Arial" w:cs="Arial"/>
                <w:sz w:val="18"/>
                <w:szCs w:val="18"/>
              </w:rPr>
              <w:t>Effective</w:t>
            </w:r>
            <w:r w:rsidRPr="009305B8">
              <w:rPr>
                <w:rFonts w:ascii="Arial" w:hAnsi="Arial" w:cs="Arial"/>
                <w:sz w:val="18"/>
                <w:szCs w:val="18"/>
              </w:rPr>
              <w:t xml:space="preserve"> date</w:t>
            </w:r>
            <w:r w:rsidRPr="009305B8">
              <w:rPr>
                <w:rFonts w:ascii="Arial" w:hAnsi="Arial" w:cs="Arial"/>
                <w:sz w:val="18"/>
                <w:szCs w:val="18"/>
              </w:rPr>
              <w:br/>
            </w:r>
            <w:r w:rsidRPr="009305B8">
              <w:rPr>
                <w:rFonts w:ascii="Arial" w:hAnsi="Arial" w:cs="Arial"/>
                <w:i/>
                <w:sz w:val="18"/>
                <w:szCs w:val="18"/>
              </w:rPr>
              <w:t xml:space="preserve">(annual periods </w:t>
            </w:r>
            <w:r>
              <w:rPr>
                <w:rFonts w:ascii="Arial" w:hAnsi="Arial" w:cs="Arial"/>
                <w:i/>
                <w:sz w:val="18"/>
                <w:szCs w:val="18"/>
              </w:rPr>
              <w:br/>
            </w:r>
            <w:r w:rsidRPr="009305B8">
              <w:rPr>
                <w:rFonts w:ascii="Arial" w:hAnsi="Arial" w:cs="Arial"/>
                <w:i/>
                <w:sz w:val="18"/>
                <w:szCs w:val="18"/>
              </w:rPr>
              <w:t>… on or after …)</w:t>
            </w:r>
          </w:p>
        </w:tc>
        <w:tc>
          <w:tcPr>
            <w:tcW w:w="1275" w:type="dxa"/>
          </w:tcPr>
          <w:p w14:paraId="3286F171" w14:textId="77777777" w:rsidR="007E457F" w:rsidRPr="009305B8" w:rsidRDefault="007E457F" w:rsidP="00703B9C">
            <w:pPr>
              <w:pStyle w:val="NoNumBold1"/>
              <w:rPr>
                <w:rFonts w:ascii="Arial" w:hAnsi="Arial" w:cs="Arial"/>
                <w:sz w:val="18"/>
                <w:szCs w:val="18"/>
              </w:rPr>
            </w:pPr>
            <w:r w:rsidRPr="009305B8">
              <w:rPr>
                <w:rFonts w:ascii="Arial" w:hAnsi="Arial" w:cs="Arial"/>
                <w:sz w:val="18"/>
                <w:szCs w:val="18"/>
              </w:rPr>
              <w:t>Application, saving or transitional provisions</w:t>
            </w:r>
          </w:p>
        </w:tc>
      </w:tr>
      <w:tr w:rsidR="007E457F" w:rsidRPr="009305B8" w14:paraId="3286F179" w14:textId="77777777" w:rsidTr="00703B9C">
        <w:trPr>
          <w:cantSplit/>
        </w:trPr>
        <w:tc>
          <w:tcPr>
            <w:tcW w:w="1333" w:type="dxa"/>
          </w:tcPr>
          <w:p w14:paraId="3286F173" w14:textId="77777777" w:rsidR="007E457F" w:rsidRPr="00971E50" w:rsidRDefault="007E457F" w:rsidP="00703B9C">
            <w:pPr>
              <w:rPr>
                <w:rFonts w:ascii="Arial" w:hAnsi="Arial" w:cs="Arial"/>
                <w:sz w:val="18"/>
                <w:szCs w:val="18"/>
              </w:rPr>
            </w:pPr>
            <w:r>
              <w:rPr>
                <w:rFonts w:ascii="Arial" w:hAnsi="Arial" w:cs="Arial"/>
                <w:sz w:val="18"/>
                <w:szCs w:val="18"/>
              </w:rPr>
              <w:t>AASB 1</w:t>
            </w:r>
            <w:r w:rsidR="00703B9C">
              <w:rPr>
                <w:rFonts w:ascii="Arial" w:hAnsi="Arial" w:cs="Arial"/>
                <w:sz w:val="18"/>
                <w:szCs w:val="18"/>
              </w:rPr>
              <w:t>10</w:t>
            </w:r>
          </w:p>
        </w:tc>
        <w:tc>
          <w:tcPr>
            <w:tcW w:w="1276" w:type="dxa"/>
          </w:tcPr>
          <w:p w14:paraId="3286F174" w14:textId="77777777" w:rsidR="007E457F" w:rsidRPr="00610BDF" w:rsidRDefault="00703B9C" w:rsidP="00703B9C">
            <w:pPr>
              <w:rPr>
                <w:rFonts w:ascii="Arial" w:hAnsi="Arial" w:cs="Arial"/>
                <w:sz w:val="18"/>
                <w:szCs w:val="18"/>
              </w:rPr>
            </w:pPr>
            <w:r>
              <w:rPr>
                <w:rFonts w:ascii="Arial" w:hAnsi="Arial" w:cs="Arial"/>
                <w:sz w:val="18"/>
                <w:szCs w:val="18"/>
              </w:rPr>
              <w:t>7 Aug 2015</w:t>
            </w:r>
          </w:p>
        </w:tc>
        <w:tc>
          <w:tcPr>
            <w:tcW w:w="1417" w:type="dxa"/>
          </w:tcPr>
          <w:p w14:paraId="3286F175" w14:textId="77777777" w:rsidR="007E457F" w:rsidRPr="009305B8" w:rsidRDefault="00703B9C" w:rsidP="00703B9C">
            <w:pPr>
              <w:rPr>
                <w:rFonts w:ascii="Arial" w:hAnsi="Arial" w:cs="Arial"/>
                <w:sz w:val="18"/>
                <w:szCs w:val="18"/>
              </w:rPr>
            </w:pPr>
            <w:r w:rsidRPr="00703B9C">
              <w:rPr>
                <w:rFonts w:ascii="Arial" w:hAnsi="Arial" w:cs="Arial"/>
                <w:sz w:val="18"/>
                <w:szCs w:val="18"/>
              </w:rPr>
              <w:t>F2015L01553</w:t>
            </w:r>
          </w:p>
        </w:tc>
        <w:tc>
          <w:tcPr>
            <w:tcW w:w="1276" w:type="dxa"/>
          </w:tcPr>
          <w:p w14:paraId="3286F176" w14:textId="77777777" w:rsidR="007E457F" w:rsidRPr="00610BDF" w:rsidRDefault="007E457F" w:rsidP="00703B9C">
            <w:pPr>
              <w:rPr>
                <w:rFonts w:ascii="Arial" w:hAnsi="Arial" w:cs="Arial"/>
                <w:sz w:val="18"/>
                <w:szCs w:val="18"/>
              </w:rPr>
            </w:pPr>
            <w:r>
              <w:rPr>
                <w:rFonts w:ascii="Arial" w:hAnsi="Arial" w:cs="Arial"/>
                <w:sz w:val="18"/>
                <w:szCs w:val="18"/>
              </w:rPr>
              <w:t>31 Dec 2017</w:t>
            </w:r>
          </w:p>
        </w:tc>
        <w:tc>
          <w:tcPr>
            <w:tcW w:w="2552" w:type="dxa"/>
          </w:tcPr>
          <w:p w14:paraId="3286F177" w14:textId="77777777" w:rsidR="007E457F" w:rsidRPr="009305B8" w:rsidRDefault="007E457F" w:rsidP="00703B9C">
            <w:pPr>
              <w:rPr>
                <w:rFonts w:ascii="Arial" w:hAnsi="Arial" w:cs="Arial"/>
                <w:sz w:val="18"/>
                <w:szCs w:val="18"/>
              </w:rPr>
            </w:pPr>
            <w:r w:rsidRPr="009305B8">
              <w:rPr>
                <w:rFonts w:ascii="Arial" w:hAnsi="Arial" w:cs="Arial"/>
                <w:i/>
                <w:sz w:val="18"/>
                <w:szCs w:val="18"/>
              </w:rPr>
              <w:t>(beginning)</w:t>
            </w:r>
            <w:r>
              <w:rPr>
                <w:rFonts w:ascii="Arial" w:hAnsi="Arial" w:cs="Arial"/>
                <w:sz w:val="18"/>
                <w:szCs w:val="18"/>
              </w:rPr>
              <w:t xml:space="preserve"> 1 Jan 2018</w:t>
            </w:r>
          </w:p>
        </w:tc>
        <w:tc>
          <w:tcPr>
            <w:tcW w:w="1275" w:type="dxa"/>
          </w:tcPr>
          <w:p w14:paraId="3286F178" w14:textId="77777777" w:rsidR="007E457F" w:rsidRPr="009305B8" w:rsidRDefault="007E457F" w:rsidP="00703B9C">
            <w:pPr>
              <w:rPr>
                <w:rFonts w:ascii="Arial" w:hAnsi="Arial" w:cs="Arial"/>
                <w:sz w:val="18"/>
                <w:szCs w:val="18"/>
              </w:rPr>
            </w:pPr>
            <w:r w:rsidRPr="009305B8">
              <w:rPr>
                <w:rFonts w:ascii="Arial" w:hAnsi="Arial" w:cs="Arial"/>
                <w:sz w:val="18"/>
                <w:szCs w:val="18"/>
              </w:rPr>
              <w:t>see (a) below</w:t>
            </w:r>
          </w:p>
        </w:tc>
      </w:tr>
      <w:tr w:rsidR="007E457F" w:rsidRPr="009305B8" w14:paraId="3286F180" w14:textId="77777777" w:rsidTr="00703B9C">
        <w:trPr>
          <w:cantSplit/>
        </w:trPr>
        <w:tc>
          <w:tcPr>
            <w:tcW w:w="1333" w:type="dxa"/>
          </w:tcPr>
          <w:p w14:paraId="3286F17A" w14:textId="77777777" w:rsidR="007E457F" w:rsidRPr="009305B8" w:rsidRDefault="007E457F" w:rsidP="00703B9C">
            <w:pPr>
              <w:rPr>
                <w:rFonts w:ascii="Arial" w:hAnsi="Arial" w:cs="Arial"/>
                <w:sz w:val="18"/>
                <w:szCs w:val="18"/>
              </w:rPr>
            </w:pPr>
            <w:r>
              <w:rPr>
                <w:rFonts w:ascii="Arial" w:hAnsi="Arial" w:cs="Arial"/>
                <w:sz w:val="18"/>
                <w:szCs w:val="18"/>
              </w:rPr>
              <w:t>AASB 2017-5</w:t>
            </w:r>
          </w:p>
        </w:tc>
        <w:tc>
          <w:tcPr>
            <w:tcW w:w="1276" w:type="dxa"/>
          </w:tcPr>
          <w:p w14:paraId="3286F17B" w14:textId="77777777" w:rsidR="007E457F" w:rsidRDefault="007E457F" w:rsidP="00703B9C">
            <w:pPr>
              <w:rPr>
                <w:rFonts w:ascii="Arial" w:hAnsi="Arial" w:cs="Arial"/>
                <w:sz w:val="18"/>
                <w:szCs w:val="18"/>
              </w:rPr>
            </w:pPr>
            <w:r>
              <w:rPr>
                <w:rFonts w:ascii="Arial" w:hAnsi="Arial" w:cs="Arial"/>
                <w:sz w:val="18"/>
                <w:szCs w:val="18"/>
              </w:rPr>
              <w:t>12 Dec 2017</w:t>
            </w:r>
          </w:p>
        </w:tc>
        <w:tc>
          <w:tcPr>
            <w:tcW w:w="1417" w:type="dxa"/>
          </w:tcPr>
          <w:p w14:paraId="3286F17C" w14:textId="77777777" w:rsidR="007E457F" w:rsidRPr="009305B8" w:rsidRDefault="007E457F" w:rsidP="00703B9C">
            <w:pPr>
              <w:rPr>
                <w:rFonts w:ascii="Arial" w:hAnsi="Arial" w:cs="Arial"/>
                <w:sz w:val="18"/>
                <w:szCs w:val="18"/>
              </w:rPr>
            </w:pPr>
            <w:r w:rsidRPr="00224E2B">
              <w:rPr>
                <w:rFonts w:ascii="Arial" w:hAnsi="Arial" w:cs="Arial"/>
                <w:sz w:val="18"/>
                <w:szCs w:val="18"/>
              </w:rPr>
              <w:t>F2018L00067</w:t>
            </w:r>
          </w:p>
        </w:tc>
        <w:tc>
          <w:tcPr>
            <w:tcW w:w="1276" w:type="dxa"/>
          </w:tcPr>
          <w:p w14:paraId="3286F17D" w14:textId="77777777" w:rsidR="007E457F" w:rsidRPr="00610BDF" w:rsidRDefault="007E457F" w:rsidP="00703B9C">
            <w:pPr>
              <w:rPr>
                <w:rFonts w:ascii="Arial" w:hAnsi="Arial" w:cs="Arial"/>
                <w:sz w:val="18"/>
                <w:szCs w:val="18"/>
              </w:rPr>
            </w:pPr>
            <w:r>
              <w:rPr>
                <w:rFonts w:ascii="Arial" w:hAnsi="Arial" w:cs="Arial"/>
                <w:sz w:val="18"/>
                <w:szCs w:val="18"/>
              </w:rPr>
              <w:t>31 Dec 2017</w:t>
            </w:r>
          </w:p>
        </w:tc>
        <w:tc>
          <w:tcPr>
            <w:tcW w:w="2552" w:type="dxa"/>
          </w:tcPr>
          <w:p w14:paraId="3286F17E" w14:textId="77777777" w:rsidR="007E457F" w:rsidRPr="009305B8" w:rsidRDefault="007E457F" w:rsidP="00703B9C">
            <w:pPr>
              <w:rPr>
                <w:rFonts w:ascii="Arial" w:hAnsi="Arial" w:cs="Arial"/>
                <w:sz w:val="18"/>
                <w:szCs w:val="18"/>
              </w:rPr>
            </w:pPr>
            <w:r w:rsidRPr="009305B8">
              <w:rPr>
                <w:rFonts w:ascii="Arial" w:hAnsi="Arial" w:cs="Arial"/>
                <w:i/>
                <w:sz w:val="18"/>
                <w:szCs w:val="18"/>
              </w:rPr>
              <w:t>(beginning)</w:t>
            </w:r>
            <w:r>
              <w:rPr>
                <w:rFonts w:ascii="Arial" w:hAnsi="Arial" w:cs="Arial"/>
                <w:sz w:val="18"/>
                <w:szCs w:val="18"/>
              </w:rPr>
              <w:t xml:space="preserve"> 1 Jan 2018</w:t>
            </w:r>
          </w:p>
        </w:tc>
        <w:tc>
          <w:tcPr>
            <w:tcW w:w="1275" w:type="dxa"/>
          </w:tcPr>
          <w:p w14:paraId="3286F17F" w14:textId="77777777" w:rsidR="007E457F" w:rsidRPr="009305B8" w:rsidRDefault="00703B9C" w:rsidP="00703B9C">
            <w:pPr>
              <w:rPr>
                <w:rFonts w:ascii="Arial" w:hAnsi="Arial" w:cs="Arial"/>
                <w:sz w:val="18"/>
                <w:szCs w:val="18"/>
              </w:rPr>
            </w:pPr>
            <w:r>
              <w:rPr>
                <w:rFonts w:ascii="Arial" w:hAnsi="Arial" w:cs="Arial"/>
                <w:sz w:val="18"/>
                <w:szCs w:val="18"/>
              </w:rPr>
              <w:t>see (b</w:t>
            </w:r>
            <w:r w:rsidR="007E457F">
              <w:rPr>
                <w:rFonts w:ascii="Arial" w:hAnsi="Arial" w:cs="Arial"/>
                <w:sz w:val="18"/>
                <w:szCs w:val="18"/>
              </w:rPr>
              <w:t>) below</w:t>
            </w:r>
          </w:p>
        </w:tc>
      </w:tr>
      <w:tr w:rsidR="00D458CF" w:rsidRPr="009305B8" w14:paraId="7A4E633D" w14:textId="77777777" w:rsidTr="000843E6">
        <w:trPr>
          <w:cantSplit/>
        </w:trPr>
        <w:tc>
          <w:tcPr>
            <w:tcW w:w="1333" w:type="dxa"/>
          </w:tcPr>
          <w:p w14:paraId="3AA6406D" w14:textId="77777777" w:rsidR="00D458CF" w:rsidRDefault="00D458CF" w:rsidP="000843E6">
            <w:pPr>
              <w:rPr>
                <w:rFonts w:ascii="Arial" w:hAnsi="Arial" w:cs="Arial"/>
                <w:sz w:val="18"/>
                <w:szCs w:val="18"/>
              </w:rPr>
            </w:pPr>
            <w:r>
              <w:rPr>
                <w:rFonts w:ascii="Arial" w:hAnsi="Arial" w:cs="Arial"/>
                <w:sz w:val="18"/>
                <w:szCs w:val="18"/>
              </w:rPr>
              <w:t>AASB 2018-7</w:t>
            </w:r>
          </w:p>
        </w:tc>
        <w:tc>
          <w:tcPr>
            <w:tcW w:w="1276" w:type="dxa"/>
          </w:tcPr>
          <w:p w14:paraId="17025D62" w14:textId="77777777" w:rsidR="00D458CF" w:rsidRDefault="00D458CF" w:rsidP="000843E6">
            <w:pPr>
              <w:rPr>
                <w:rFonts w:ascii="Arial" w:hAnsi="Arial" w:cs="Arial"/>
                <w:sz w:val="18"/>
                <w:szCs w:val="18"/>
              </w:rPr>
            </w:pPr>
            <w:r>
              <w:rPr>
                <w:rFonts w:ascii="Arial" w:hAnsi="Arial" w:cs="Arial"/>
                <w:sz w:val="18"/>
                <w:szCs w:val="18"/>
              </w:rPr>
              <w:t>18 Dec 2018</w:t>
            </w:r>
          </w:p>
        </w:tc>
        <w:tc>
          <w:tcPr>
            <w:tcW w:w="1417" w:type="dxa"/>
          </w:tcPr>
          <w:p w14:paraId="50C52C87" w14:textId="77777777" w:rsidR="00D458CF" w:rsidRDefault="00D458CF" w:rsidP="000843E6">
            <w:pPr>
              <w:rPr>
                <w:rFonts w:ascii="Arial" w:hAnsi="Arial" w:cs="Arial"/>
                <w:sz w:val="18"/>
                <w:szCs w:val="18"/>
              </w:rPr>
            </w:pPr>
            <w:r w:rsidRPr="00B14EDA">
              <w:rPr>
                <w:rFonts w:ascii="Arial" w:hAnsi="Arial" w:cs="Arial"/>
                <w:sz w:val="18"/>
                <w:szCs w:val="18"/>
              </w:rPr>
              <w:t>F2019L00021</w:t>
            </w:r>
          </w:p>
        </w:tc>
        <w:tc>
          <w:tcPr>
            <w:tcW w:w="1276" w:type="dxa"/>
          </w:tcPr>
          <w:p w14:paraId="374A0C2A" w14:textId="77777777" w:rsidR="00D458CF" w:rsidRDefault="00D458CF" w:rsidP="000843E6">
            <w:pPr>
              <w:rPr>
                <w:rFonts w:ascii="Arial" w:hAnsi="Arial" w:cs="Arial"/>
                <w:sz w:val="18"/>
                <w:szCs w:val="18"/>
              </w:rPr>
            </w:pPr>
            <w:r>
              <w:rPr>
                <w:rFonts w:ascii="Arial" w:hAnsi="Arial" w:cs="Arial"/>
                <w:sz w:val="18"/>
                <w:szCs w:val="18"/>
              </w:rPr>
              <w:t>31 Dec 2019</w:t>
            </w:r>
          </w:p>
        </w:tc>
        <w:tc>
          <w:tcPr>
            <w:tcW w:w="2552" w:type="dxa"/>
          </w:tcPr>
          <w:p w14:paraId="2EC167EC" w14:textId="77777777" w:rsidR="00D458CF" w:rsidRPr="00DA7BDB" w:rsidRDefault="00D458CF" w:rsidP="000843E6">
            <w:pPr>
              <w:rPr>
                <w:rFonts w:ascii="Arial" w:hAnsi="Arial" w:cs="Arial"/>
                <w:i/>
                <w:sz w:val="18"/>
                <w:szCs w:val="18"/>
              </w:rPr>
            </w:pPr>
            <w:r w:rsidRPr="00DA7BDB">
              <w:rPr>
                <w:rFonts w:ascii="Arial" w:hAnsi="Arial" w:cs="Arial"/>
                <w:i/>
                <w:sz w:val="18"/>
                <w:szCs w:val="18"/>
              </w:rPr>
              <w:t>(beginning)</w:t>
            </w:r>
            <w:r w:rsidRPr="00DA7BDB">
              <w:rPr>
                <w:rFonts w:ascii="Arial" w:hAnsi="Arial" w:cs="Arial"/>
                <w:sz w:val="18"/>
                <w:szCs w:val="18"/>
              </w:rPr>
              <w:t xml:space="preserve"> 1 Jan 20</w:t>
            </w:r>
            <w:r>
              <w:rPr>
                <w:rFonts w:ascii="Arial" w:hAnsi="Arial" w:cs="Arial"/>
                <w:sz w:val="18"/>
                <w:szCs w:val="18"/>
              </w:rPr>
              <w:t>20</w:t>
            </w:r>
          </w:p>
        </w:tc>
        <w:tc>
          <w:tcPr>
            <w:tcW w:w="1275" w:type="dxa"/>
          </w:tcPr>
          <w:p w14:paraId="4CBC9935" w14:textId="6340A656" w:rsidR="00D458CF" w:rsidRDefault="000B2D52" w:rsidP="000843E6">
            <w:pPr>
              <w:rPr>
                <w:rFonts w:ascii="Arial" w:hAnsi="Arial" w:cs="Arial"/>
                <w:sz w:val="18"/>
                <w:szCs w:val="18"/>
              </w:rPr>
            </w:pPr>
            <w:r>
              <w:rPr>
                <w:rFonts w:ascii="Arial" w:hAnsi="Arial" w:cs="Arial"/>
                <w:sz w:val="18"/>
                <w:szCs w:val="18"/>
              </w:rPr>
              <w:t xml:space="preserve">see </w:t>
            </w:r>
            <w:r w:rsidR="00D458CF">
              <w:rPr>
                <w:rFonts w:ascii="Arial" w:hAnsi="Arial" w:cs="Arial"/>
                <w:sz w:val="18"/>
                <w:szCs w:val="18"/>
              </w:rPr>
              <w:t>(</w:t>
            </w:r>
            <w:r w:rsidR="001322C5">
              <w:rPr>
                <w:rFonts w:ascii="Arial" w:hAnsi="Arial" w:cs="Arial"/>
                <w:sz w:val="18"/>
                <w:szCs w:val="18"/>
              </w:rPr>
              <w:t>c</w:t>
            </w:r>
            <w:r w:rsidR="00D458CF">
              <w:rPr>
                <w:rFonts w:ascii="Arial" w:hAnsi="Arial" w:cs="Arial"/>
                <w:sz w:val="18"/>
                <w:szCs w:val="18"/>
              </w:rPr>
              <w:t>) below</w:t>
            </w:r>
          </w:p>
        </w:tc>
      </w:tr>
      <w:tr w:rsidR="00D458CF" w:rsidRPr="009305B8" w14:paraId="4D3076A0" w14:textId="77777777" w:rsidTr="000843E6">
        <w:trPr>
          <w:cantSplit/>
        </w:trPr>
        <w:tc>
          <w:tcPr>
            <w:tcW w:w="1333" w:type="dxa"/>
          </w:tcPr>
          <w:p w14:paraId="2C4204F6" w14:textId="77777777" w:rsidR="00D458CF" w:rsidRDefault="00D458CF" w:rsidP="000843E6">
            <w:pPr>
              <w:rPr>
                <w:rFonts w:ascii="Arial" w:hAnsi="Arial" w:cs="Arial"/>
                <w:sz w:val="18"/>
                <w:szCs w:val="18"/>
              </w:rPr>
            </w:pPr>
            <w:r>
              <w:rPr>
                <w:rFonts w:ascii="Arial" w:hAnsi="Arial" w:cs="Arial"/>
                <w:sz w:val="18"/>
                <w:szCs w:val="18"/>
              </w:rPr>
              <w:t>AASB 2019-1</w:t>
            </w:r>
          </w:p>
        </w:tc>
        <w:tc>
          <w:tcPr>
            <w:tcW w:w="1276" w:type="dxa"/>
          </w:tcPr>
          <w:p w14:paraId="7BC5171F" w14:textId="77777777" w:rsidR="00D458CF" w:rsidRDefault="00D458CF" w:rsidP="000843E6">
            <w:pPr>
              <w:rPr>
                <w:rFonts w:ascii="Arial" w:hAnsi="Arial" w:cs="Arial"/>
                <w:sz w:val="18"/>
                <w:szCs w:val="18"/>
              </w:rPr>
            </w:pPr>
            <w:r>
              <w:rPr>
                <w:rFonts w:ascii="Arial" w:hAnsi="Arial" w:cs="Arial"/>
                <w:sz w:val="18"/>
                <w:szCs w:val="18"/>
              </w:rPr>
              <w:t>21 May 2019</w:t>
            </w:r>
          </w:p>
        </w:tc>
        <w:tc>
          <w:tcPr>
            <w:tcW w:w="1417" w:type="dxa"/>
          </w:tcPr>
          <w:p w14:paraId="53150496" w14:textId="77777777" w:rsidR="00D458CF" w:rsidRPr="00B14EDA" w:rsidRDefault="00D458CF" w:rsidP="000843E6">
            <w:pPr>
              <w:rPr>
                <w:rFonts w:ascii="Arial" w:hAnsi="Arial" w:cs="Arial"/>
                <w:sz w:val="18"/>
                <w:szCs w:val="18"/>
              </w:rPr>
            </w:pPr>
            <w:r w:rsidRPr="008C1FA6">
              <w:rPr>
                <w:rFonts w:ascii="Arial" w:hAnsi="Arial" w:cs="Arial"/>
                <w:sz w:val="18"/>
                <w:szCs w:val="18"/>
              </w:rPr>
              <w:t>F2019L00966</w:t>
            </w:r>
          </w:p>
        </w:tc>
        <w:tc>
          <w:tcPr>
            <w:tcW w:w="1276" w:type="dxa"/>
          </w:tcPr>
          <w:p w14:paraId="685DBFF0" w14:textId="77777777" w:rsidR="00D458CF" w:rsidRDefault="00D458CF" w:rsidP="000843E6">
            <w:pPr>
              <w:rPr>
                <w:rFonts w:ascii="Arial" w:hAnsi="Arial" w:cs="Arial"/>
                <w:sz w:val="18"/>
                <w:szCs w:val="18"/>
              </w:rPr>
            </w:pPr>
            <w:r>
              <w:rPr>
                <w:rFonts w:ascii="Arial" w:hAnsi="Arial" w:cs="Arial"/>
                <w:sz w:val="18"/>
                <w:szCs w:val="18"/>
              </w:rPr>
              <w:t>31 Dec 2019</w:t>
            </w:r>
          </w:p>
        </w:tc>
        <w:tc>
          <w:tcPr>
            <w:tcW w:w="2552" w:type="dxa"/>
          </w:tcPr>
          <w:p w14:paraId="6F994508" w14:textId="77777777" w:rsidR="00D458CF" w:rsidRPr="00DA7BDB" w:rsidRDefault="00D458CF" w:rsidP="000843E6">
            <w:pPr>
              <w:rPr>
                <w:rFonts w:ascii="Arial" w:hAnsi="Arial" w:cs="Arial"/>
                <w:i/>
                <w:sz w:val="18"/>
                <w:szCs w:val="18"/>
              </w:rPr>
            </w:pPr>
            <w:r w:rsidRPr="00DA7BDB">
              <w:rPr>
                <w:rFonts w:ascii="Arial" w:hAnsi="Arial" w:cs="Arial"/>
                <w:i/>
                <w:sz w:val="18"/>
                <w:szCs w:val="18"/>
              </w:rPr>
              <w:t>(beginning)</w:t>
            </w:r>
            <w:r w:rsidRPr="00DA7BDB">
              <w:rPr>
                <w:rFonts w:ascii="Arial" w:hAnsi="Arial" w:cs="Arial"/>
                <w:sz w:val="18"/>
                <w:szCs w:val="18"/>
              </w:rPr>
              <w:t xml:space="preserve"> 1 Jan 20</w:t>
            </w:r>
            <w:r>
              <w:rPr>
                <w:rFonts w:ascii="Arial" w:hAnsi="Arial" w:cs="Arial"/>
                <w:sz w:val="18"/>
                <w:szCs w:val="18"/>
              </w:rPr>
              <w:t>20</w:t>
            </w:r>
          </w:p>
        </w:tc>
        <w:tc>
          <w:tcPr>
            <w:tcW w:w="1275" w:type="dxa"/>
          </w:tcPr>
          <w:p w14:paraId="65FA44DB" w14:textId="4EC14D50" w:rsidR="00D458CF" w:rsidRDefault="000B2D52" w:rsidP="000843E6">
            <w:pPr>
              <w:rPr>
                <w:rFonts w:ascii="Arial" w:hAnsi="Arial" w:cs="Arial"/>
                <w:sz w:val="18"/>
                <w:szCs w:val="18"/>
              </w:rPr>
            </w:pPr>
            <w:r>
              <w:rPr>
                <w:rFonts w:ascii="Arial" w:hAnsi="Arial" w:cs="Arial"/>
                <w:sz w:val="18"/>
                <w:szCs w:val="18"/>
              </w:rPr>
              <w:t xml:space="preserve">see </w:t>
            </w:r>
            <w:r w:rsidR="00D458CF">
              <w:rPr>
                <w:rFonts w:ascii="Arial" w:hAnsi="Arial" w:cs="Arial"/>
                <w:sz w:val="18"/>
                <w:szCs w:val="18"/>
              </w:rPr>
              <w:t>(</w:t>
            </w:r>
            <w:r w:rsidR="001322C5">
              <w:rPr>
                <w:rFonts w:ascii="Arial" w:hAnsi="Arial" w:cs="Arial"/>
                <w:sz w:val="18"/>
                <w:szCs w:val="18"/>
              </w:rPr>
              <w:t>c</w:t>
            </w:r>
            <w:r w:rsidR="00D458CF">
              <w:rPr>
                <w:rFonts w:ascii="Arial" w:hAnsi="Arial" w:cs="Arial"/>
                <w:sz w:val="18"/>
                <w:szCs w:val="18"/>
              </w:rPr>
              <w:t>) below</w:t>
            </w:r>
          </w:p>
        </w:tc>
      </w:tr>
      <w:tr w:rsidR="00C476BE" w:rsidRPr="009305B8" w14:paraId="03AE53EC" w14:textId="77777777" w:rsidTr="000843E6">
        <w:trPr>
          <w:cantSplit/>
        </w:trPr>
        <w:tc>
          <w:tcPr>
            <w:tcW w:w="1333" w:type="dxa"/>
          </w:tcPr>
          <w:p w14:paraId="5F6E3CC6" w14:textId="6099596E" w:rsidR="00C476BE" w:rsidRDefault="00C476BE" w:rsidP="00C476BE">
            <w:pPr>
              <w:rPr>
                <w:rFonts w:ascii="Arial" w:hAnsi="Arial" w:cs="Arial"/>
                <w:sz w:val="18"/>
                <w:szCs w:val="18"/>
              </w:rPr>
            </w:pPr>
            <w:r>
              <w:rPr>
                <w:rFonts w:ascii="Arial" w:hAnsi="Arial" w:cs="Arial"/>
                <w:sz w:val="18"/>
                <w:szCs w:val="18"/>
              </w:rPr>
              <w:t>AASB 1060</w:t>
            </w:r>
          </w:p>
        </w:tc>
        <w:tc>
          <w:tcPr>
            <w:tcW w:w="1276" w:type="dxa"/>
          </w:tcPr>
          <w:p w14:paraId="231E5EF5" w14:textId="73834C6B" w:rsidR="00C476BE" w:rsidRDefault="00C476BE" w:rsidP="00C476BE">
            <w:pPr>
              <w:rPr>
                <w:rFonts w:ascii="Arial" w:hAnsi="Arial" w:cs="Arial"/>
                <w:sz w:val="18"/>
                <w:szCs w:val="18"/>
              </w:rPr>
            </w:pPr>
            <w:r>
              <w:rPr>
                <w:rFonts w:ascii="Arial" w:hAnsi="Arial" w:cs="Arial"/>
                <w:sz w:val="18"/>
                <w:szCs w:val="18"/>
              </w:rPr>
              <w:t>6 Mar 2020</w:t>
            </w:r>
          </w:p>
        </w:tc>
        <w:tc>
          <w:tcPr>
            <w:tcW w:w="1417" w:type="dxa"/>
          </w:tcPr>
          <w:p w14:paraId="5F2DAD7A" w14:textId="0F17A71A" w:rsidR="00C476BE" w:rsidRPr="008C1FA6" w:rsidRDefault="00C476BE" w:rsidP="00C476BE">
            <w:pPr>
              <w:rPr>
                <w:rFonts w:ascii="Arial" w:hAnsi="Arial" w:cs="Arial"/>
                <w:sz w:val="18"/>
                <w:szCs w:val="18"/>
              </w:rPr>
            </w:pPr>
            <w:r w:rsidRPr="009854C8">
              <w:rPr>
                <w:rFonts w:ascii="Arial" w:hAnsi="Arial" w:cs="Arial"/>
                <w:sz w:val="18"/>
                <w:szCs w:val="18"/>
              </w:rPr>
              <w:t>F2020L00288</w:t>
            </w:r>
          </w:p>
        </w:tc>
        <w:tc>
          <w:tcPr>
            <w:tcW w:w="1276" w:type="dxa"/>
          </w:tcPr>
          <w:p w14:paraId="7664FE4E" w14:textId="1972383C" w:rsidR="00C476BE" w:rsidRDefault="00C476BE" w:rsidP="00C476BE">
            <w:pPr>
              <w:rPr>
                <w:rFonts w:ascii="Arial" w:hAnsi="Arial" w:cs="Arial"/>
                <w:sz w:val="18"/>
                <w:szCs w:val="18"/>
              </w:rPr>
            </w:pPr>
            <w:r>
              <w:rPr>
                <w:rFonts w:ascii="Arial" w:hAnsi="Arial" w:cs="Arial"/>
                <w:sz w:val="18"/>
                <w:szCs w:val="18"/>
              </w:rPr>
              <w:t>30 Jun 2021</w:t>
            </w:r>
          </w:p>
        </w:tc>
        <w:tc>
          <w:tcPr>
            <w:tcW w:w="2552" w:type="dxa"/>
          </w:tcPr>
          <w:p w14:paraId="1B7CE023" w14:textId="4DE41A95" w:rsidR="00C476BE" w:rsidRPr="00DA7BDB" w:rsidRDefault="00C476BE" w:rsidP="00C476BE">
            <w:pPr>
              <w:rPr>
                <w:rFonts w:ascii="Arial" w:hAnsi="Arial" w:cs="Arial"/>
                <w:i/>
                <w:sz w:val="18"/>
                <w:szCs w:val="18"/>
              </w:rPr>
            </w:pPr>
            <w:r w:rsidRPr="00DA7BDB">
              <w:rPr>
                <w:rFonts w:ascii="Arial" w:hAnsi="Arial" w:cs="Arial"/>
                <w:i/>
                <w:sz w:val="18"/>
                <w:szCs w:val="18"/>
              </w:rPr>
              <w:t>(beginning)</w:t>
            </w:r>
            <w:r w:rsidRPr="00DA7BDB">
              <w:rPr>
                <w:rFonts w:ascii="Arial" w:hAnsi="Arial" w:cs="Arial"/>
                <w:sz w:val="18"/>
                <w:szCs w:val="18"/>
              </w:rPr>
              <w:t xml:space="preserve"> 1 J</w:t>
            </w:r>
            <w:r>
              <w:rPr>
                <w:rFonts w:ascii="Arial" w:hAnsi="Arial" w:cs="Arial"/>
                <w:sz w:val="18"/>
                <w:szCs w:val="18"/>
              </w:rPr>
              <w:t>ul</w:t>
            </w:r>
            <w:r w:rsidRPr="00DA7BDB">
              <w:rPr>
                <w:rFonts w:ascii="Arial" w:hAnsi="Arial" w:cs="Arial"/>
                <w:sz w:val="18"/>
                <w:szCs w:val="18"/>
              </w:rPr>
              <w:t xml:space="preserve"> 20</w:t>
            </w:r>
            <w:r>
              <w:rPr>
                <w:rFonts w:ascii="Arial" w:hAnsi="Arial" w:cs="Arial"/>
                <w:sz w:val="18"/>
                <w:szCs w:val="18"/>
              </w:rPr>
              <w:t>21</w:t>
            </w:r>
          </w:p>
        </w:tc>
        <w:tc>
          <w:tcPr>
            <w:tcW w:w="1275" w:type="dxa"/>
          </w:tcPr>
          <w:p w14:paraId="20AF647A" w14:textId="34B10100" w:rsidR="00C476BE" w:rsidRDefault="00C476BE" w:rsidP="00C476BE">
            <w:pPr>
              <w:rPr>
                <w:rFonts w:ascii="Arial" w:hAnsi="Arial" w:cs="Arial"/>
                <w:sz w:val="18"/>
                <w:szCs w:val="18"/>
              </w:rPr>
            </w:pPr>
            <w:r>
              <w:rPr>
                <w:rFonts w:ascii="Arial" w:hAnsi="Arial" w:cs="Arial"/>
                <w:sz w:val="18"/>
                <w:szCs w:val="18"/>
              </w:rPr>
              <w:t>see (</w:t>
            </w:r>
            <w:r w:rsidR="00C60600">
              <w:rPr>
                <w:rFonts w:ascii="Arial" w:hAnsi="Arial" w:cs="Arial"/>
                <w:sz w:val="18"/>
                <w:szCs w:val="18"/>
              </w:rPr>
              <w:t>d</w:t>
            </w:r>
            <w:r>
              <w:rPr>
                <w:rFonts w:ascii="Arial" w:hAnsi="Arial" w:cs="Arial"/>
                <w:sz w:val="18"/>
                <w:szCs w:val="18"/>
              </w:rPr>
              <w:t>) below</w:t>
            </w:r>
          </w:p>
        </w:tc>
      </w:tr>
    </w:tbl>
    <w:p w14:paraId="3286F181" w14:textId="77777777" w:rsidR="007E457F" w:rsidRDefault="007E457F" w:rsidP="00250572">
      <w:pPr>
        <w:pStyle w:val="NumPlain1"/>
        <w:spacing w:before="240" w:after="60"/>
        <w:jc w:val="both"/>
        <w:rPr>
          <w:iCs/>
          <w:sz w:val="16"/>
          <w:szCs w:val="16"/>
        </w:rPr>
      </w:pPr>
      <w:r>
        <w:rPr>
          <w:sz w:val="16"/>
          <w:szCs w:val="16"/>
        </w:rPr>
        <w:t>(a)</w:t>
      </w:r>
      <w:r>
        <w:rPr>
          <w:sz w:val="16"/>
          <w:szCs w:val="16"/>
        </w:rPr>
        <w:tab/>
      </w:r>
      <w:r w:rsidRPr="000D35D8">
        <w:rPr>
          <w:sz w:val="16"/>
          <w:szCs w:val="16"/>
        </w:rPr>
        <w:t xml:space="preserve">Entities may elect to apply this Standard </w:t>
      </w:r>
      <w:r>
        <w:rPr>
          <w:sz w:val="16"/>
          <w:szCs w:val="16"/>
        </w:rPr>
        <w:t>to annual periods beginning after 24 July 2014 but before 1 January 2018</w:t>
      </w:r>
      <w:r w:rsidRPr="004279E7">
        <w:rPr>
          <w:iCs/>
          <w:sz w:val="16"/>
          <w:szCs w:val="16"/>
        </w:rPr>
        <w:t>.</w:t>
      </w:r>
    </w:p>
    <w:p w14:paraId="3286F182" w14:textId="3E4A7B9E" w:rsidR="007E457F" w:rsidRDefault="007E457F" w:rsidP="007E457F">
      <w:pPr>
        <w:pStyle w:val="NumPlain1"/>
        <w:spacing w:after="60"/>
        <w:jc w:val="both"/>
        <w:rPr>
          <w:sz w:val="16"/>
          <w:szCs w:val="16"/>
        </w:rPr>
      </w:pPr>
      <w:r>
        <w:rPr>
          <w:iCs/>
          <w:sz w:val="16"/>
          <w:szCs w:val="16"/>
        </w:rPr>
        <w:t>(b)</w:t>
      </w:r>
      <w:r>
        <w:rPr>
          <w:iCs/>
          <w:sz w:val="16"/>
          <w:szCs w:val="16"/>
        </w:rPr>
        <w:tab/>
      </w:r>
      <w:r w:rsidRPr="000D35D8">
        <w:rPr>
          <w:sz w:val="16"/>
          <w:szCs w:val="16"/>
        </w:rPr>
        <w:t xml:space="preserve">Entities may elect to apply this Standard </w:t>
      </w:r>
      <w:r>
        <w:rPr>
          <w:sz w:val="16"/>
          <w:szCs w:val="16"/>
        </w:rPr>
        <w:t>to annual periods beginning before 1 January 2018.</w:t>
      </w:r>
    </w:p>
    <w:p w14:paraId="4A753C88" w14:textId="4D6C749F" w:rsidR="001322C5" w:rsidRDefault="001322C5" w:rsidP="001322C5">
      <w:pPr>
        <w:pStyle w:val="NumPlain1"/>
        <w:spacing w:after="60"/>
        <w:jc w:val="both"/>
        <w:rPr>
          <w:sz w:val="16"/>
          <w:szCs w:val="16"/>
        </w:rPr>
      </w:pPr>
      <w:r>
        <w:rPr>
          <w:sz w:val="16"/>
          <w:szCs w:val="16"/>
        </w:rPr>
        <w:t>(</w:t>
      </w:r>
      <w:r w:rsidR="00C60600">
        <w:rPr>
          <w:sz w:val="16"/>
          <w:szCs w:val="16"/>
        </w:rPr>
        <w:t>c</w:t>
      </w:r>
      <w:r>
        <w:rPr>
          <w:sz w:val="16"/>
          <w:szCs w:val="16"/>
        </w:rPr>
        <w:t>)</w:t>
      </w:r>
      <w:r>
        <w:rPr>
          <w:sz w:val="16"/>
          <w:szCs w:val="16"/>
        </w:rPr>
        <w:tab/>
      </w:r>
      <w:r w:rsidRPr="000D35D8">
        <w:rPr>
          <w:sz w:val="16"/>
          <w:szCs w:val="16"/>
        </w:rPr>
        <w:t xml:space="preserve">Entities may elect to apply this Standard </w:t>
      </w:r>
      <w:r>
        <w:rPr>
          <w:sz w:val="16"/>
          <w:szCs w:val="16"/>
        </w:rPr>
        <w:t>to annual periods beginning before 1 January 2020.</w:t>
      </w:r>
    </w:p>
    <w:p w14:paraId="05F6774E" w14:textId="4BEA3F92" w:rsidR="00C476BE" w:rsidRDefault="00C476BE" w:rsidP="001322C5">
      <w:pPr>
        <w:pStyle w:val="NumPlain1"/>
        <w:spacing w:after="60"/>
        <w:jc w:val="both"/>
        <w:rPr>
          <w:sz w:val="16"/>
          <w:szCs w:val="16"/>
        </w:rPr>
      </w:pPr>
      <w:r>
        <w:rPr>
          <w:sz w:val="16"/>
          <w:szCs w:val="16"/>
        </w:rPr>
        <w:t>(</w:t>
      </w:r>
      <w:r w:rsidR="00C60600">
        <w:rPr>
          <w:sz w:val="16"/>
          <w:szCs w:val="16"/>
        </w:rPr>
        <w:t>d)</w:t>
      </w:r>
      <w:r w:rsidR="00C60600">
        <w:rPr>
          <w:sz w:val="16"/>
          <w:szCs w:val="16"/>
        </w:rPr>
        <w:tab/>
      </w:r>
      <w:r w:rsidR="00C60600" w:rsidRPr="000D35D8">
        <w:rPr>
          <w:sz w:val="16"/>
          <w:szCs w:val="16"/>
        </w:rPr>
        <w:t xml:space="preserve">Entities may elect to apply this Standard </w:t>
      </w:r>
      <w:r w:rsidR="00C60600">
        <w:rPr>
          <w:sz w:val="16"/>
          <w:szCs w:val="16"/>
        </w:rPr>
        <w:t>to annual periods beginning before 1 July 2021.</w:t>
      </w:r>
    </w:p>
    <w:p w14:paraId="3286F183" w14:textId="77777777" w:rsidR="007E457F" w:rsidRPr="000D35D8" w:rsidRDefault="007E457F" w:rsidP="007E457F">
      <w:pPr>
        <w:pStyle w:val="IASBSectionTitle2NonInd"/>
      </w:pPr>
      <w:r w:rsidRPr="00B663AC">
        <w:t>Table of amendments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or page number"/>
      </w:tblPr>
      <w:tblGrid>
        <w:gridCol w:w="3005"/>
        <w:gridCol w:w="2835"/>
        <w:gridCol w:w="3289"/>
      </w:tblGrid>
      <w:tr w:rsidR="007E457F" w:rsidRPr="004F447D" w14:paraId="3286F187" w14:textId="77777777" w:rsidTr="00703B9C">
        <w:trPr>
          <w:tblHeader/>
        </w:trPr>
        <w:tc>
          <w:tcPr>
            <w:tcW w:w="3005" w:type="dxa"/>
          </w:tcPr>
          <w:p w14:paraId="3286F184" w14:textId="77777777" w:rsidR="007E457F" w:rsidRPr="004F447D" w:rsidRDefault="007E457F" w:rsidP="00703B9C">
            <w:pPr>
              <w:pStyle w:val="NoNumBold1"/>
              <w:rPr>
                <w:rFonts w:ascii="Arial" w:hAnsi="Arial" w:cs="Arial"/>
                <w:sz w:val="18"/>
                <w:szCs w:val="18"/>
              </w:rPr>
            </w:pPr>
            <w:r w:rsidRPr="004F447D">
              <w:rPr>
                <w:rFonts w:ascii="Arial" w:hAnsi="Arial" w:cs="Arial"/>
                <w:sz w:val="18"/>
                <w:szCs w:val="18"/>
              </w:rPr>
              <w:t>Paragraph affected</w:t>
            </w:r>
          </w:p>
        </w:tc>
        <w:tc>
          <w:tcPr>
            <w:tcW w:w="2835" w:type="dxa"/>
          </w:tcPr>
          <w:p w14:paraId="3286F185" w14:textId="77777777" w:rsidR="007E457F" w:rsidRPr="004F447D" w:rsidRDefault="007E457F" w:rsidP="00703B9C">
            <w:pPr>
              <w:pStyle w:val="NoNumBold1"/>
              <w:rPr>
                <w:rFonts w:ascii="Arial" w:hAnsi="Arial" w:cs="Arial"/>
                <w:sz w:val="18"/>
                <w:szCs w:val="18"/>
              </w:rPr>
            </w:pPr>
            <w:r w:rsidRPr="004F447D">
              <w:rPr>
                <w:rFonts w:ascii="Arial" w:hAnsi="Arial" w:cs="Arial"/>
                <w:sz w:val="18"/>
                <w:szCs w:val="18"/>
              </w:rPr>
              <w:t>How affected</w:t>
            </w:r>
          </w:p>
        </w:tc>
        <w:tc>
          <w:tcPr>
            <w:tcW w:w="3289" w:type="dxa"/>
          </w:tcPr>
          <w:p w14:paraId="3286F186" w14:textId="77777777" w:rsidR="007E457F" w:rsidRPr="004F447D" w:rsidRDefault="007E457F" w:rsidP="00703B9C">
            <w:pPr>
              <w:pStyle w:val="NoNumBold1"/>
              <w:rPr>
                <w:rFonts w:ascii="Arial" w:hAnsi="Arial" w:cs="Arial"/>
                <w:sz w:val="18"/>
                <w:szCs w:val="18"/>
              </w:rPr>
            </w:pPr>
            <w:r w:rsidRPr="004F447D">
              <w:rPr>
                <w:rFonts w:ascii="Arial" w:hAnsi="Arial" w:cs="Arial"/>
                <w:sz w:val="18"/>
                <w:szCs w:val="18"/>
              </w:rPr>
              <w:t>By … [paragraph</w:t>
            </w:r>
            <w:r>
              <w:rPr>
                <w:rFonts w:ascii="Arial" w:hAnsi="Arial" w:cs="Arial"/>
                <w:sz w:val="18"/>
                <w:szCs w:val="18"/>
              </w:rPr>
              <w:t>/page</w:t>
            </w:r>
            <w:r w:rsidRPr="004F447D">
              <w:rPr>
                <w:rFonts w:ascii="Arial" w:hAnsi="Arial" w:cs="Arial"/>
                <w:sz w:val="18"/>
                <w:szCs w:val="18"/>
              </w:rPr>
              <w:t>]</w:t>
            </w:r>
          </w:p>
        </w:tc>
      </w:tr>
      <w:tr w:rsidR="0084386A" w:rsidRPr="004F447D" w14:paraId="3390F673" w14:textId="77777777" w:rsidTr="00703B9C">
        <w:tc>
          <w:tcPr>
            <w:tcW w:w="3005" w:type="dxa"/>
          </w:tcPr>
          <w:p w14:paraId="1103C3C6" w14:textId="41AF4DC2" w:rsidR="0084386A" w:rsidRDefault="0084386A" w:rsidP="00703B9C">
            <w:pPr>
              <w:ind w:left="142" w:hanging="142"/>
              <w:rPr>
                <w:rFonts w:ascii="Arial" w:hAnsi="Arial" w:cs="Arial"/>
                <w:sz w:val="18"/>
                <w:szCs w:val="18"/>
              </w:rPr>
            </w:pPr>
            <w:r>
              <w:rPr>
                <w:rFonts w:ascii="Arial" w:hAnsi="Arial" w:cs="Arial"/>
                <w:sz w:val="18"/>
                <w:szCs w:val="18"/>
              </w:rPr>
              <w:t>AusCF1</w:t>
            </w:r>
          </w:p>
        </w:tc>
        <w:tc>
          <w:tcPr>
            <w:tcW w:w="2835" w:type="dxa"/>
          </w:tcPr>
          <w:p w14:paraId="587A2E3D" w14:textId="74C56A4C" w:rsidR="0084386A" w:rsidRDefault="0084386A" w:rsidP="00703B9C">
            <w:pPr>
              <w:rPr>
                <w:rFonts w:ascii="Arial" w:hAnsi="Arial" w:cs="Arial"/>
                <w:sz w:val="18"/>
                <w:szCs w:val="18"/>
              </w:rPr>
            </w:pPr>
            <w:r>
              <w:rPr>
                <w:rFonts w:ascii="Arial" w:hAnsi="Arial" w:cs="Arial"/>
                <w:sz w:val="18"/>
                <w:szCs w:val="18"/>
              </w:rPr>
              <w:t>added</w:t>
            </w:r>
          </w:p>
        </w:tc>
        <w:tc>
          <w:tcPr>
            <w:tcW w:w="3289" w:type="dxa"/>
          </w:tcPr>
          <w:p w14:paraId="624CB38C" w14:textId="23CEAA2F" w:rsidR="0084386A" w:rsidRDefault="0084386A" w:rsidP="00703B9C">
            <w:pPr>
              <w:rPr>
                <w:rFonts w:ascii="Arial" w:hAnsi="Arial" w:cs="Arial"/>
                <w:sz w:val="18"/>
                <w:szCs w:val="18"/>
              </w:rPr>
            </w:pPr>
            <w:r>
              <w:rPr>
                <w:rFonts w:ascii="Arial" w:hAnsi="Arial" w:cs="Arial"/>
                <w:sz w:val="18"/>
                <w:szCs w:val="18"/>
              </w:rPr>
              <w:t>AASB 2019-1 [page</w:t>
            </w:r>
            <w:r w:rsidR="00A45744">
              <w:rPr>
                <w:rFonts w:ascii="Arial" w:hAnsi="Arial" w:cs="Arial"/>
                <w:sz w:val="18"/>
                <w:szCs w:val="18"/>
              </w:rPr>
              <w:t xml:space="preserve"> 19]</w:t>
            </w:r>
          </w:p>
        </w:tc>
      </w:tr>
      <w:tr w:rsidR="007E457F" w:rsidRPr="004F447D" w14:paraId="3286F18B" w14:textId="77777777" w:rsidTr="00703B9C">
        <w:tc>
          <w:tcPr>
            <w:tcW w:w="3005" w:type="dxa"/>
          </w:tcPr>
          <w:p w14:paraId="3286F188" w14:textId="68BFE780" w:rsidR="007E457F" w:rsidRDefault="00250572" w:rsidP="00CE2F07">
            <w:pPr>
              <w:ind w:left="142" w:hanging="142"/>
              <w:rPr>
                <w:rFonts w:ascii="Arial" w:hAnsi="Arial" w:cs="Arial"/>
                <w:sz w:val="18"/>
                <w:szCs w:val="18"/>
              </w:rPr>
            </w:pPr>
            <w:r>
              <w:rPr>
                <w:rFonts w:ascii="Arial" w:hAnsi="Arial" w:cs="Arial"/>
                <w:sz w:val="18"/>
                <w:szCs w:val="18"/>
              </w:rPr>
              <w:t>9</w:t>
            </w:r>
          </w:p>
        </w:tc>
        <w:tc>
          <w:tcPr>
            <w:tcW w:w="2835" w:type="dxa"/>
          </w:tcPr>
          <w:p w14:paraId="3286F189" w14:textId="77777777" w:rsidR="007E457F" w:rsidRDefault="00250572" w:rsidP="00703B9C">
            <w:pPr>
              <w:rPr>
                <w:rFonts w:ascii="Arial" w:hAnsi="Arial" w:cs="Arial"/>
                <w:sz w:val="18"/>
                <w:szCs w:val="18"/>
              </w:rPr>
            </w:pPr>
            <w:r>
              <w:rPr>
                <w:rFonts w:ascii="Arial" w:hAnsi="Arial" w:cs="Arial"/>
                <w:sz w:val="18"/>
                <w:szCs w:val="18"/>
              </w:rPr>
              <w:t>amended</w:t>
            </w:r>
          </w:p>
        </w:tc>
        <w:tc>
          <w:tcPr>
            <w:tcW w:w="3289" w:type="dxa"/>
          </w:tcPr>
          <w:p w14:paraId="3286F18A" w14:textId="77777777" w:rsidR="007E457F" w:rsidRDefault="00E34396" w:rsidP="00703B9C">
            <w:pPr>
              <w:rPr>
                <w:rFonts w:ascii="Arial" w:hAnsi="Arial" w:cs="Arial"/>
                <w:sz w:val="18"/>
                <w:szCs w:val="18"/>
              </w:rPr>
            </w:pPr>
            <w:r>
              <w:rPr>
                <w:rFonts w:ascii="Arial" w:hAnsi="Arial" w:cs="Arial"/>
                <w:sz w:val="18"/>
                <w:szCs w:val="18"/>
              </w:rPr>
              <w:t>AASB 2017-5 [24</w:t>
            </w:r>
            <w:r w:rsidR="00250572">
              <w:rPr>
                <w:rFonts w:ascii="Arial" w:hAnsi="Arial" w:cs="Arial"/>
                <w:sz w:val="18"/>
                <w:szCs w:val="18"/>
              </w:rPr>
              <w:t>]</w:t>
            </w:r>
          </w:p>
        </w:tc>
      </w:tr>
      <w:tr w:rsidR="00987937" w:rsidRPr="004F447D" w14:paraId="6C8F8614" w14:textId="77777777" w:rsidTr="00703B9C">
        <w:tc>
          <w:tcPr>
            <w:tcW w:w="3005" w:type="dxa"/>
          </w:tcPr>
          <w:p w14:paraId="79280F60" w14:textId="6B966175" w:rsidR="00987937" w:rsidRDefault="008655E0" w:rsidP="00703B9C">
            <w:pPr>
              <w:ind w:left="142" w:hanging="142"/>
              <w:rPr>
                <w:rFonts w:ascii="Arial" w:hAnsi="Arial" w:cs="Arial"/>
                <w:sz w:val="18"/>
                <w:szCs w:val="18"/>
              </w:rPr>
            </w:pPr>
            <w:r>
              <w:rPr>
                <w:rFonts w:ascii="Arial" w:hAnsi="Arial" w:cs="Arial"/>
                <w:sz w:val="18"/>
                <w:szCs w:val="18"/>
              </w:rPr>
              <w:t>21</w:t>
            </w:r>
          </w:p>
        </w:tc>
        <w:tc>
          <w:tcPr>
            <w:tcW w:w="2835" w:type="dxa"/>
          </w:tcPr>
          <w:p w14:paraId="10E2BC61" w14:textId="37D1CECA" w:rsidR="00987937" w:rsidRDefault="001F09CE" w:rsidP="00703B9C">
            <w:pPr>
              <w:rPr>
                <w:rFonts w:ascii="Arial" w:hAnsi="Arial" w:cs="Arial"/>
                <w:sz w:val="18"/>
                <w:szCs w:val="18"/>
              </w:rPr>
            </w:pPr>
            <w:r>
              <w:rPr>
                <w:rFonts w:ascii="Arial" w:hAnsi="Arial" w:cs="Arial"/>
                <w:sz w:val="18"/>
                <w:szCs w:val="18"/>
              </w:rPr>
              <w:t>amended</w:t>
            </w:r>
          </w:p>
        </w:tc>
        <w:tc>
          <w:tcPr>
            <w:tcW w:w="3289" w:type="dxa"/>
          </w:tcPr>
          <w:p w14:paraId="65619B4B" w14:textId="16C832FA" w:rsidR="00987937" w:rsidRDefault="001F09CE" w:rsidP="00703B9C">
            <w:pPr>
              <w:rPr>
                <w:rFonts w:ascii="Arial" w:hAnsi="Arial" w:cs="Arial"/>
                <w:sz w:val="18"/>
                <w:szCs w:val="18"/>
              </w:rPr>
            </w:pPr>
            <w:r>
              <w:rPr>
                <w:rFonts w:ascii="Arial" w:hAnsi="Arial" w:cs="Arial"/>
                <w:sz w:val="18"/>
                <w:szCs w:val="18"/>
              </w:rPr>
              <w:t xml:space="preserve">AASB 2018-7 [page </w:t>
            </w:r>
            <w:r w:rsidR="00057BFC">
              <w:rPr>
                <w:rFonts w:ascii="Arial" w:hAnsi="Arial" w:cs="Arial"/>
                <w:sz w:val="18"/>
                <w:szCs w:val="18"/>
              </w:rPr>
              <w:t>8]</w:t>
            </w:r>
          </w:p>
        </w:tc>
      </w:tr>
      <w:tr w:rsidR="008655E0" w:rsidRPr="004F447D" w14:paraId="78B8DB50" w14:textId="77777777" w:rsidTr="00703B9C">
        <w:tc>
          <w:tcPr>
            <w:tcW w:w="3005" w:type="dxa"/>
          </w:tcPr>
          <w:p w14:paraId="08CB4517" w14:textId="4C1F69F9" w:rsidR="008655E0" w:rsidRDefault="001F09CE" w:rsidP="00703B9C">
            <w:pPr>
              <w:ind w:left="142" w:hanging="142"/>
              <w:rPr>
                <w:rFonts w:ascii="Arial" w:hAnsi="Arial" w:cs="Arial"/>
                <w:sz w:val="18"/>
                <w:szCs w:val="18"/>
              </w:rPr>
            </w:pPr>
            <w:r>
              <w:rPr>
                <w:rFonts w:ascii="Arial" w:hAnsi="Arial" w:cs="Arial"/>
                <w:sz w:val="18"/>
                <w:szCs w:val="18"/>
              </w:rPr>
              <w:t>23C</w:t>
            </w:r>
          </w:p>
        </w:tc>
        <w:tc>
          <w:tcPr>
            <w:tcW w:w="2835" w:type="dxa"/>
          </w:tcPr>
          <w:p w14:paraId="79262658" w14:textId="1813600C" w:rsidR="008655E0" w:rsidRDefault="001F09CE" w:rsidP="00703B9C">
            <w:pPr>
              <w:rPr>
                <w:rFonts w:ascii="Arial" w:hAnsi="Arial" w:cs="Arial"/>
                <w:sz w:val="18"/>
                <w:szCs w:val="18"/>
              </w:rPr>
            </w:pPr>
            <w:r>
              <w:rPr>
                <w:rFonts w:ascii="Arial" w:hAnsi="Arial" w:cs="Arial"/>
                <w:sz w:val="18"/>
                <w:szCs w:val="18"/>
              </w:rPr>
              <w:t>added</w:t>
            </w:r>
          </w:p>
        </w:tc>
        <w:tc>
          <w:tcPr>
            <w:tcW w:w="3289" w:type="dxa"/>
          </w:tcPr>
          <w:p w14:paraId="4799F781" w14:textId="0C4653E0" w:rsidR="008655E0" w:rsidRDefault="001F09CE" w:rsidP="00703B9C">
            <w:pPr>
              <w:rPr>
                <w:rFonts w:ascii="Arial" w:hAnsi="Arial" w:cs="Arial"/>
                <w:sz w:val="18"/>
                <w:szCs w:val="18"/>
              </w:rPr>
            </w:pPr>
            <w:r>
              <w:rPr>
                <w:rFonts w:ascii="Arial" w:hAnsi="Arial" w:cs="Arial"/>
                <w:sz w:val="18"/>
                <w:szCs w:val="18"/>
              </w:rPr>
              <w:t>AASB 2018-7</w:t>
            </w:r>
            <w:r w:rsidR="00057BFC">
              <w:rPr>
                <w:rFonts w:ascii="Arial" w:hAnsi="Arial" w:cs="Arial"/>
                <w:sz w:val="18"/>
                <w:szCs w:val="18"/>
              </w:rPr>
              <w:t xml:space="preserve"> [page 8]</w:t>
            </w:r>
          </w:p>
        </w:tc>
      </w:tr>
      <w:tr w:rsidR="00C60600" w:rsidRPr="004F447D" w14:paraId="7CB0EE82" w14:textId="77777777" w:rsidTr="00703B9C">
        <w:tc>
          <w:tcPr>
            <w:tcW w:w="3005" w:type="dxa"/>
          </w:tcPr>
          <w:p w14:paraId="565B6305" w14:textId="2D67E2BF" w:rsidR="00C60600" w:rsidRDefault="003648FF" w:rsidP="00703B9C">
            <w:pPr>
              <w:ind w:left="142" w:hanging="142"/>
              <w:rPr>
                <w:rFonts w:ascii="Arial" w:hAnsi="Arial" w:cs="Arial"/>
                <w:sz w:val="18"/>
                <w:szCs w:val="18"/>
              </w:rPr>
            </w:pPr>
            <w:r w:rsidRPr="003648FF">
              <w:rPr>
                <w:rFonts w:ascii="Arial" w:hAnsi="Arial" w:cs="Arial"/>
                <w:sz w:val="18"/>
                <w:szCs w:val="18"/>
              </w:rPr>
              <w:t>Aus</w:t>
            </w:r>
            <w:r w:rsidR="000E5961">
              <w:rPr>
                <w:rFonts w:ascii="Arial" w:hAnsi="Arial" w:cs="Arial"/>
                <w:sz w:val="18"/>
                <w:szCs w:val="18"/>
              </w:rPr>
              <w:t>24.1</w:t>
            </w:r>
          </w:p>
        </w:tc>
        <w:tc>
          <w:tcPr>
            <w:tcW w:w="2835" w:type="dxa"/>
          </w:tcPr>
          <w:p w14:paraId="0AF2AAE2" w14:textId="4EDF8ADA" w:rsidR="00C60600" w:rsidRDefault="000E5961" w:rsidP="00703B9C">
            <w:pPr>
              <w:rPr>
                <w:rFonts w:ascii="Arial" w:hAnsi="Arial" w:cs="Arial"/>
                <w:sz w:val="18"/>
                <w:szCs w:val="18"/>
              </w:rPr>
            </w:pPr>
            <w:r>
              <w:rPr>
                <w:rFonts w:ascii="Arial" w:hAnsi="Arial" w:cs="Arial"/>
                <w:sz w:val="18"/>
                <w:szCs w:val="18"/>
              </w:rPr>
              <w:t>repealed</w:t>
            </w:r>
          </w:p>
        </w:tc>
        <w:tc>
          <w:tcPr>
            <w:tcW w:w="3289" w:type="dxa"/>
          </w:tcPr>
          <w:p w14:paraId="1A926171" w14:textId="3D65E9E9" w:rsidR="00C60600" w:rsidRDefault="003648FF" w:rsidP="00703B9C">
            <w:pPr>
              <w:rPr>
                <w:rFonts w:ascii="Arial" w:hAnsi="Arial" w:cs="Arial"/>
                <w:sz w:val="18"/>
                <w:szCs w:val="18"/>
              </w:rPr>
            </w:pPr>
            <w:r w:rsidRPr="000E5961">
              <w:rPr>
                <w:rFonts w:ascii="Arial" w:hAnsi="Arial" w:cs="Arial"/>
                <w:i/>
                <w:iCs/>
                <w:sz w:val="18"/>
                <w:szCs w:val="18"/>
              </w:rPr>
              <w:t>Legislation Act 2003</w:t>
            </w:r>
            <w:r w:rsidRPr="003648FF">
              <w:rPr>
                <w:rFonts w:ascii="Arial" w:hAnsi="Arial" w:cs="Arial"/>
                <w:sz w:val="18"/>
                <w:szCs w:val="18"/>
              </w:rPr>
              <w:t>, s. 48D</w:t>
            </w:r>
          </w:p>
        </w:tc>
      </w:tr>
      <w:tr w:rsidR="000E5961" w:rsidRPr="004F447D" w14:paraId="7194B94F" w14:textId="77777777" w:rsidTr="00703B9C">
        <w:tc>
          <w:tcPr>
            <w:tcW w:w="3005" w:type="dxa"/>
          </w:tcPr>
          <w:p w14:paraId="3821C741" w14:textId="345A5474" w:rsidR="000E5961" w:rsidRPr="003648FF" w:rsidRDefault="00806434" w:rsidP="00703B9C">
            <w:pPr>
              <w:ind w:left="142" w:hanging="142"/>
              <w:rPr>
                <w:rFonts w:ascii="Arial" w:hAnsi="Arial" w:cs="Arial"/>
                <w:sz w:val="18"/>
                <w:szCs w:val="18"/>
              </w:rPr>
            </w:pPr>
            <w:r>
              <w:rPr>
                <w:rFonts w:ascii="Arial" w:hAnsi="Arial" w:cs="Arial"/>
                <w:sz w:val="18"/>
                <w:szCs w:val="18"/>
              </w:rPr>
              <w:t>Appendix A</w:t>
            </w:r>
          </w:p>
        </w:tc>
        <w:tc>
          <w:tcPr>
            <w:tcW w:w="2835" w:type="dxa"/>
          </w:tcPr>
          <w:p w14:paraId="02E5DEC9" w14:textId="5760ED85" w:rsidR="000E5961" w:rsidRDefault="00806434" w:rsidP="00703B9C">
            <w:pPr>
              <w:rPr>
                <w:rFonts w:ascii="Arial" w:hAnsi="Arial" w:cs="Arial"/>
                <w:sz w:val="18"/>
                <w:szCs w:val="18"/>
              </w:rPr>
            </w:pPr>
            <w:r>
              <w:rPr>
                <w:rFonts w:ascii="Arial" w:hAnsi="Arial" w:cs="Arial"/>
                <w:sz w:val="18"/>
                <w:szCs w:val="18"/>
              </w:rPr>
              <w:t>replaced</w:t>
            </w:r>
          </w:p>
        </w:tc>
        <w:tc>
          <w:tcPr>
            <w:tcW w:w="3289" w:type="dxa"/>
          </w:tcPr>
          <w:p w14:paraId="47A07426" w14:textId="4C243CA7" w:rsidR="000E5961" w:rsidRPr="00806434" w:rsidRDefault="00806434" w:rsidP="00703B9C">
            <w:pPr>
              <w:rPr>
                <w:rFonts w:ascii="Arial" w:hAnsi="Arial" w:cs="Arial"/>
                <w:sz w:val="18"/>
                <w:szCs w:val="18"/>
              </w:rPr>
            </w:pPr>
            <w:r>
              <w:rPr>
                <w:rFonts w:ascii="Arial" w:hAnsi="Arial" w:cs="Arial"/>
                <w:sz w:val="18"/>
                <w:szCs w:val="18"/>
              </w:rPr>
              <w:t xml:space="preserve">AASB 1060 [page </w:t>
            </w:r>
            <w:r w:rsidR="009933A3">
              <w:rPr>
                <w:rFonts w:ascii="Arial" w:hAnsi="Arial" w:cs="Arial"/>
                <w:sz w:val="18"/>
                <w:szCs w:val="18"/>
              </w:rPr>
              <w:t>62]</w:t>
            </w:r>
          </w:p>
        </w:tc>
      </w:tr>
    </w:tbl>
    <w:p w14:paraId="3286F18C" w14:textId="77777777" w:rsidR="007E457F" w:rsidRDefault="007E457F" w:rsidP="00BE0284">
      <w:pPr>
        <w:spacing w:before="100"/>
      </w:pPr>
    </w:p>
    <w:p w14:paraId="3286F18D" w14:textId="77777777" w:rsidR="00240322" w:rsidRDefault="00240322" w:rsidP="00BE0284">
      <w:pPr>
        <w:spacing w:before="100"/>
        <w:sectPr w:rsidR="00240322" w:rsidSect="00240322">
          <w:footerReference w:type="default" r:id="rId26"/>
          <w:pgSz w:w="11907" w:h="16839"/>
          <w:pgMar w:top="1440" w:right="1440" w:bottom="1440" w:left="1440" w:header="709" w:footer="709" w:gutter="0"/>
          <w:cols w:space="708"/>
          <w:docGrid w:linePitch="360"/>
        </w:sectPr>
      </w:pPr>
    </w:p>
    <w:p w14:paraId="3286F18E" w14:textId="77777777" w:rsidR="00240322" w:rsidRDefault="00240322" w:rsidP="00703B9C">
      <w:pPr>
        <w:pStyle w:val="ConvSectionTitle"/>
      </w:pPr>
      <w:r>
        <w:lastRenderedPageBreak/>
        <w:t xml:space="preserve">Deleted </w:t>
      </w:r>
      <w:r>
        <w:fldChar w:fldCharType="begin" w:fldLock="1"/>
      </w:r>
      <w:r>
        <w:instrText xml:space="preserve"> REF IntnlType \* charformat</w:instrText>
      </w:r>
      <w:r>
        <w:fldChar w:fldCharType="separate"/>
      </w:r>
      <w:r w:rsidR="005815FE">
        <w:t>IAS</w:t>
      </w:r>
      <w:r>
        <w:fldChar w:fldCharType="end"/>
      </w:r>
      <w:r>
        <w:t xml:space="preserve"> </w:t>
      </w:r>
      <w:r>
        <w:fldChar w:fldCharType="begin" w:fldLock="1"/>
      </w:r>
      <w:r>
        <w:instrText xml:space="preserve"> REF IntnlNo \* charformat</w:instrText>
      </w:r>
      <w:r>
        <w:fldChar w:fldCharType="separate"/>
      </w:r>
      <w:r w:rsidR="005815FE">
        <w:t>10</w:t>
      </w:r>
      <w:r>
        <w:fldChar w:fldCharType="end"/>
      </w:r>
      <w:r>
        <w:t xml:space="preserve"> </w:t>
      </w:r>
      <w:r w:rsidR="00801AA3">
        <w:t>t</w:t>
      </w:r>
      <w:r>
        <w:t>ext</w:t>
      </w:r>
    </w:p>
    <w:p w14:paraId="3286F18F" w14:textId="77777777" w:rsidR="00240322" w:rsidRDefault="00240322" w:rsidP="00703B9C">
      <w:pPr>
        <w:pStyle w:val="IASBNote"/>
      </w:pPr>
      <w:r>
        <w:t xml:space="preserve">Deleted </w:t>
      </w:r>
      <w:r>
        <w:fldChar w:fldCharType="begin" w:fldLock="1"/>
      </w:r>
      <w:r>
        <w:instrText xml:space="preserve"> REF IntnlType \* charformat</w:instrText>
      </w:r>
      <w:r>
        <w:fldChar w:fldCharType="separate"/>
      </w:r>
      <w:r w:rsidR="005815FE">
        <w:t>IAS</w:t>
      </w:r>
      <w:r>
        <w:fldChar w:fldCharType="end"/>
      </w:r>
      <w:r>
        <w:t xml:space="preserve"> </w:t>
      </w:r>
      <w:r>
        <w:fldChar w:fldCharType="begin" w:fldLock="1"/>
      </w:r>
      <w:r>
        <w:instrText xml:space="preserve"> REF IntnlNo \* charformat</w:instrText>
      </w:r>
      <w:r>
        <w:fldChar w:fldCharType="separate"/>
      </w:r>
      <w:r w:rsidR="005815FE">
        <w:t>10</w:t>
      </w:r>
      <w:r>
        <w:fldChar w:fldCharType="end"/>
      </w:r>
      <w:r>
        <w:t xml:space="preserve"> text is not part of </w:t>
      </w:r>
      <w:r>
        <w:fldChar w:fldCharType="begin" w:fldLock="1"/>
      </w:r>
      <w:r>
        <w:instrText xml:space="preserve"> REF DocTypeAbb \* charformat</w:instrText>
      </w:r>
      <w:r>
        <w:fldChar w:fldCharType="separate"/>
      </w:r>
      <w:r w:rsidR="005815FE">
        <w:t>AASB</w:t>
      </w:r>
      <w:r>
        <w:fldChar w:fldCharType="end"/>
      </w:r>
      <w:r>
        <w:t xml:space="preserve"> </w:t>
      </w:r>
      <w:r>
        <w:fldChar w:fldCharType="begin" w:fldLock="1"/>
      </w:r>
      <w:r>
        <w:instrText xml:space="preserve"> REF DocNo \* charformat</w:instrText>
      </w:r>
      <w:r>
        <w:fldChar w:fldCharType="separate"/>
      </w:r>
      <w:r w:rsidR="005815FE">
        <w:t>110</w:t>
      </w:r>
      <w:r>
        <w:fldChar w:fldCharType="end"/>
      </w:r>
      <w:r>
        <w:t>.</w:t>
      </w:r>
    </w:p>
    <w:p w14:paraId="3286F190" w14:textId="77777777" w:rsidR="00CD196B" w:rsidRDefault="00CD196B" w:rsidP="00AB1889">
      <w:pPr>
        <w:pStyle w:val="IASBNormalnpara"/>
      </w:pPr>
      <w:r w:rsidDel="002E504A">
        <w:t>23A</w:t>
      </w:r>
      <w:r w:rsidDel="002E504A">
        <w:tab/>
        <w:t>IFRS 13, issued in May 2011, amended paragraph 11. An entity shall apply that amendment when it applies IFRS 13.</w:t>
      </w:r>
    </w:p>
    <w:p w14:paraId="3286F191" w14:textId="77777777" w:rsidR="00240322" w:rsidRDefault="001A66B5" w:rsidP="00B16847">
      <w:pPr>
        <w:spacing w:before="100"/>
      </w:pPr>
      <w:r>
        <w:t>24</w:t>
      </w:r>
      <w:r>
        <w:tab/>
        <w:t xml:space="preserve">This Standard supersedes IAS 10 </w:t>
      </w:r>
      <w:r>
        <w:rPr>
          <w:i/>
        </w:rPr>
        <w:t>Events After the Balance Sheet Date</w:t>
      </w:r>
      <w:r>
        <w:t xml:space="preserve"> (revised in 1999). </w:t>
      </w:r>
    </w:p>
    <w:p w14:paraId="3286F192" w14:textId="77777777" w:rsidR="00CD196B" w:rsidRDefault="00CD196B" w:rsidP="00CD196B">
      <w:pPr>
        <w:spacing w:before="100"/>
      </w:pPr>
    </w:p>
    <w:sectPr w:rsidR="00CD196B" w:rsidSect="00240322">
      <w:footerReference w:type="default" r:id="rId27"/>
      <w:headerReference w:type="first" r:id="rId28"/>
      <w:footerReference w:type="first" r:id="rId29"/>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0848" w14:textId="77777777" w:rsidR="00CE3713" w:rsidRDefault="00CE3713">
      <w:r>
        <w:separator/>
      </w:r>
    </w:p>
  </w:endnote>
  <w:endnote w:type="continuationSeparator" w:id="0">
    <w:p w14:paraId="361D1132" w14:textId="77777777" w:rsidR="00CE3713" w:rsidRDefault="00CE3713">
      <w:r>
        <w:continuationSeparator/>
      </w:r>
    </w:p>
  </w:endnote>
  <w:endnote w:type="continuationNotice" w:id="1">
    <w:p w14:paraId="15AFC242" w14:textId="77777777" w:rsidR="00A33DB2" w:rsidRDefault="00A33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F19C" w14:textId="77777777" w:rsidR="00703B9C" w:rsidRDefault="00703B9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F1A9" w14:textId="77777777" w:rsidR="00703B9C" w:rsidRDefault="00703B9C" w:rsidP="00703B9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815FE">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815FE">
      <w:rPr>
        <w:b/>
      </w:rPr>
      <w:t>110</w:t>
    </w:r>
    <w:r w:rsidRPr="00705552">
      <w:rPr>
        <w:b/>
      </w:rPr>
      <w:fldChar w:fldCharType="end"/>
    </w:r>
    <w:r>
      <w:rPr>
        <w:b/>
      </w:rPr>
      <w:t>-compiled</w:t>
    </w:r>
    <w:r>
      <w:tab/>
    </w:r>
    <w:r>
      <w:fldChar w:fldCharType="begin"/>
    </w:r>
    <w:r>
      <w:instrText xml:space="preserve"> page </w:instrText>
    </w:r>
    <w:r>
      <w:fldChar w:fldCharType="separate"/>
    </w:r>
    <w:r w:rsidR="00794A0D">
      <w:rPr>
        <w:noProof/>
      </w:rPr>
      <w:t>10</w:t>
    </w:r>
    <w:r>
      <w:fldChar w:fldCharType="end"/>
    </w:r>
    <w:r>
      <w:tab/>
    </w:r>
    <w:r w:rsidRPr="00814161">
      <w:rPr>
        <w:b/>
      </w:rPr>
      <w:t xml:space="preserve">APPENDIX </w:t>
    </w:r>
    <w:r>
      <w:rPr>
        <w:b/>
      </w:rPr>
      <w:t>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F1AB" w14:textId="77777777" w:rsidR="00703B9C" w:rsidRPr="00240322" w:rsidRDefault="00703B9C" w:rsidP="0024032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F1AC" w14:textId="77777777" w:rsidR="00703B9C" w:rsidRDefault="00703B9C" w:rsidP="00703B9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815FE">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815FE">
      <w:rPr>
        <w:b/>
      </w:rPr>
      <w:t>110</w:t>
    </w:r>
    <w:r w:rsidRPr="00705552">
      <w:rPr>
        <w:b/>
      </w:rPr>
      <w:fldChar w:fldCharType="end"/>
    </w:r>
    <w:r>
      <w:rPr>
        <w:b/>
      </w:rPr>
      <w:t>-compiled</w:t>
    </w:r>
    <w:r>
      <w:tab/>
    </w:r>
    <w:r>
      <w:fldChar w:fldCharType="begin"/>
    </w:r>
    <w:r>
      <w:instrText xml:space="preserve"> page </w:instrText>
    </w:r>
    <w:r>
      <w:fldChar w:fldCharType="separate"/>
    </w:r>
    <w:r w:rsidR="00794A0D">
      <w:rPr>
        <w:noProof/>
      </w:rPr>
      <w:t>11</w:t>
    </w:r>
    <w:r>
      <w:fldChar w:fldCharType="end"/>
    </w:r>
    <w:r>
      <w:tab/>
    </w:r>
    <w:r>
      <w:rPr>
        <w:b/>
      </w:rPr>
      <w:t>COMPILATION DETAILS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F1AD" w14:textId="77777777" w:rsidR="00703B9C" w:rsidRDefault="00703B9C" w:rsidP="00703B9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815FE">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815FE">
      <w:rPr>
        <w:b/>
      </w:rPr>
      <w:t>110</w:t>
    </w:r>
    <w:r w:rsidRPr="00705552">
      <w:rPr>
        <w:b/>
      </w:rPr>
      <w:fldChar w:fldCharType="end"/>
    </w:r>
    <w:r>
      <w:rPr>
        <w:b/>
      </w:rPr>
      <w:t>-compiled</w:t>
    </w:r>
    <w:r>
      <w:tab/>
    </w:r>
    <w:r>
      <w:fldChar w:fldCharType="begin"/>
    </w:r>
    <w:r>
      <w:instrText xml:space="preserve"> page </w:instrText>
    </w:r>
    <w:r>
      <w:fldChar w:fldCharType="separate"/>
    </w:r>
    <w:r w:rsidR="00794A0D">
      <w:rPr>
        <w:noProof/>
      </w:rPr>
      <w:t>12</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5815FE">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5815FE">
      <w:rPr>
        <w:b/>
      </w:rPr>
      <w:t>10</w:t>
    </w:r>
    <w:r>
      <w:rPr>
        <w:b/>
      </w:rPr>
      <w:fldChar w:fldCharType="end"/>
    </w:r>
    <w:r>
      <w:rPr>
        <w:b/>
      </w:rPr>
      <w:t xml:space="preserve"> TEXT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F1AF" w14:textId="77777777" w:rsidR="00703B9C" w:rsidRPr="00240322" w:rsidRDefault="00703B9C" w:rsidP="00240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F19D" w14:textId="77777777" w:rsidR="00703B9C" w:rsidRDefault="00703B9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815FE">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815FE">
      <w:rPr>
        <w:b/>
      </w:rPr>
      <w:t>110</w:t>
    </w:r>
    <w:r w:rsidRPr="00705552">
      <w:rPr>
        <w:b/>
      </w:rPr>
      <w:fldChar w:fldCharType="end"/>
    </w:r>
    <w:r>
      <w:rPr>
        <w:b/>
      </w:rPr>
      <w:t>-compiled</w:t>
    </w:r>
    <w:r>
      <w:tab/>
    </w:r>
    <w:r>
      <w:fldChar w:fldCharType="begin"/>
    </w:r>
    <w:r>
      <w:instrText xml:space="preserve"> page </w:instrText>
    </w:r>
    <w:r>
      <w:fldChar w:fldCharType="separate"/>
    </w:r>
    <w:r w:rsidR="00794A0D">
      <w:rPr>
        <w:noProof/>
      </w:rPr>
      <w:t>2</w:t>
    </w:r>
    <w:r>
      <w:fldChar w:fldCharType="end"/>
    </w:r>
    <w:r>
      <w:tab/>
    </w:r>
    <w:r w:rsidRPr="00705552">
      <w:rPr>
        <w:b/>
      </w:rPr>
      <w:t>COPYRIGHT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F19F" w14:textId="77777777" w:rsidR="00703B9C" w:rsidRDefault="00703B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F1A0" w14:textId="77777777" w:rsidR="00703B9C" w:rsidRPr="00705552" w:rsidRDefault="00703B9C" w:rsidP="00703B9C">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815FE">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815FE">
      <w:rPr>
        <w:b/>
      </w:rPr>
      <w:t>110</w:t>
    </w:r>
    <w:r w:rsidRPr="00705552">
      <w:rPr>
        <w:b/>
      </w:rPr>
      <w:fldChar w:fldCharType="end"/>
    </w:r>
    <w:r>
      <w:rPr>
        <w:b/>
      </w:rPr>
      <w:t>-compiled</w:t>
    </w:r>
    <w:r>
      <w:tab/>
    </w:r>
    <w:r>
      <w:fldChar w:fldCharType="begin"/>
    </w:r>
    <w:r>
      <w:instrText xml:space="preserve"> page </w:instrText>
    </w:r>
    <w:r>
      <w:fldChar w:fldCharType="separate"/>
    </w:r>
    <w:r w:rsidR="00794A0D">
      <w:rPr>
        <w:noProof/>
      </w:rPr>
      <w:t>3</w:t>
    </w:r>
    <w:r>
      <w:fldChar w:fldCharType="end"/>
    </w:r>
    <w:r>
      <w:tab/>
    </w:r>
    <w:r>
      <w:rPr>
        <w:b/>
      </w:rPr>
      <w:t>CONTENTS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F1A2" w14:textId="77777777" w:rsidR="00703B9C" w:rsidRDefault="00703B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F1A3" w14:textId="77777777" w:rsidR="00703B9C" w:rsidRDefault="00703B9C" w:rsidP="00703B9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815FE">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815FE">
      <w:rPr>
        <w:b/>
      </w:rPr>
      <w:t>110</w:t>
    </w:r>
    <w:r w:rsidRPr="00705552">
      <w:rPr>
        <w:b/>
      </w:rPr>
      <w:fldChar w:fldCharType="end"/>
    </w:r>
    <w:r>
      <w:rPr>
        <w:b/>
      </w:rPr>
      <w:t>-compiled</w:t>
    </w:r>
    <w:r>
      <w:tab/>
    </w:r>
    <w:r>
      <w:fldChar w:fldCharType="begin"/>
    </w:r>
    <w:r>
      <w:instrText xml:space="preserve"> page </w:instrText>
    </w:r>
    <w:r>
      <w:fldChar w:fldCharType="separate"/>
    </w:r>
    <w:r w:rsidR="00794A0D">
      <w:rPr>
        <w:noProof/>
      </w:rPr>
      <w:t>4</w:t>
    </w:r>
    <w:r>
      <w:fldChar w:fldCharType="end"/>
    </w:r>
    <w:r>
      <w:tab/>
    </w:r>
    <w:r>
      <w:rPr>
        <w:b/>
      </w:rPr>
      <w:t>COMPARISON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F1A5" w14:textId="77777777" w:rsidR="00703B9C" w:rsidRPr="00240322" w:rsidRDefault="00703B9C" w:rsidP="0024032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F1A6" w14:textId="77777777" w:rsidR="00703B9C" w:rsidRPr="00240322" w:rsidRDefault="00703B9C" w:rsidP="00240322">
    <w:pPr>
      <w:pStyle w:val="Footer"/>
      <w:rPr>
        <w:b/>
      </w:rPr>
    </w:pPr>
    <w:r>
      <w:rPr>
        <w:b/>
      </w:rPr>
      <w:fldChar w:fldCharType="begin" w:fldLock="1"/>
    </w:r>
    <w:r>
      <w:rPr>
        <w:b/>
      </w:rPr>
      <w:instrText xml:space="preserve"> REF DocTypeAbb \* charformat </w:instrText>
    </w:r>
    <w:r>
      <w:rPr>
        <w:b/>
      </w:rPr>
      <w:fldChar w:fldCharType="separate"/>
    </w:r>
    <w:r w:rsidRPr="005815FE">
      <w:rPr>
        <w:b/>
      </w:rPr>
      <w:t>AASB</w:t>
    </w:r>
    <w:r>
      <w:rPr>
        <w:b/>
      </w:rPr>
      <w:fldChar w:fldCharType="end"/>
    </w:r>
    <w:r w:rsidRPr="00240322">
      <w:rPr>
        <w:b/>
      </w:rPr>
      <w:t xml:space="preserve"> </w:t>
    </w:r>
    <w:r>
      <w:rPr>
        <w:b/>
      </w:rPr>
      <w:fldChar w:fldCharType="begin" w:fldLock="1"/>
    </w:r>
    <w:r>
      <w:rPr>
        <w:b/>
      </w:rPr>
      <w:instrText xml:space="preserve"> REF DocNo \* charformat </w:instrText>
    </w:r>
    <w:r>
      <w:rPr>
        <w:b/>
      </w:rPr>
      <w:fldChar w:fldCharType="separate"/>
    </w:r>
    <w:r w:rsidRPr="005815FE">
      <w:rPr>
        <w:b/>
      </w:rPr>
      <w:t>110</w:t>
    </w:r>
    <w:r>
      <w:rPr>
        <w:b/>
      </w:rPr>
      <w:fldChar w:fldCharType="end"/>
    </w:r>
    <w:r>
      <w:rPr>
        <w:b/>
      </w:rPr>
      <w:t>-compiled</w:t>
    </w:r>
    <w:r w:rsidRPr="00240322">
      <w:rPr>
        <w:b/>
      </w:rPr>
      <w:tab/>
    </w:r>
    <w:r>
      <w:fldChar w:fldCharType="begin"/>
    </w:r>
    <w:r>
      <w:instrText xml:space="preserve"> PAGE </w:instrText>
    </w:r>
    <w:r>
      <w:fldChar w:fldCharType="separate"/>
    </w:r>
    <w:r w:rsidR="00794A0D">
      <w:rPr>
        <w:noProof/>
      </w:rPr>
      <w:t>9</w:t>
    </w:r>
    <w:r>
      <w:fldChar w:fldCharType="end"/>
    </w:r>
    <w:r w:rsidRPr="00240322">
      <w:rPr>
        <w:b/>
      </w:rPr>
      <w:tab/>
    </w:r>
    <w:r>
      <w:rPr>
        <w:b/>
      </w:rPr>
      <w:fldChar w:fldCharType="begin" w:fldLock="1"/>
    </w:r>
    <w:r>
      <w:rPr>
        <w:b/>
      </w:rPr>
      <w:instrText xml:space="preserve"> REF DocType \* charformat \* upper </w:instrText>
    </w:r>
    <w:r>
      <w:rPr>
        <w:b/>
      </w:rPr>
      <w:fldChar w:fldCharType="separate"/>
    </w:r>
    <w:r w:rsidRPr="005815FE">
      <w:rPr>
        <w:b/>
      </w:rPr>
      <w:t>STANDARD</w:t>
    </w:r>
    <w:r>
      <w:rPr>
        <w:b/>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F1A8" w14:textId="77777777" w:rsidR="00703B9C" w:rsidRPr="00240322" w:rsidRDefault="00703B9C" w:rsidP="00240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81EB0" w14:textId="77777777" w:rsidR="00CE3713" w:rsidRDefault="00CE3713">
      <w:r>
        <w:separator/>
      </w:r>
    </w:p>
  </w:footnote>
  <w:footnote w:type="continuationSeparator" w:id="0">
    <w:p w14:paraId="22B5B735" w14:textId="77777777" w:rsidR="00CE3713" w:rsidRDefault="00CE3713">
      <w:r>
        <w:continuationSeparator/>
      </w:r>
    </w:p>
  </w:footnote>
  <w:footnote w:type="continuationNotice" w:id="1">
    <w:p w14:paraId="741B76DA" w14:textId="77777777" w:rsidR="00A33DB2" w:rsidRDefault="00A33D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F19A" w14:textId="77777777" w:rsidR="00703B9C" w:rsidRDefault="00703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F19B" w14:textId="77777777" w:rsidR="00703B9C" w:rsidRDefault="00703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F19E" w14:textId="77777777" w:rsidR="00703B9C" w:rsidRDefault="00703B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F1A1" w14:textId="77777777" w:rsidR="00703B9C" w:rsidRDefault="00703B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F1A4" w14:textId="77777777" w:rsidR="00703B9C" w:rsidRPr="00240322" w:rsidRDefault="00703B9C" w:rsidP="002403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F1A7" w14:textId="77777777" w:rsidR="00703B9C" w:rsidRPr="00240322" w:rsidRDefault="00703B9C" w:rsidP="0024032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F1AA" w14:textId="77777777" w:rsidR="00703B9C" w:rsidRPr="00240322" w:rsidRDefault="00703B9C" w:rsidP="0024032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F1AE" w14:textId="77777777" w:rsidR="00703B9C" w:rsidRPr="00240322" w:rsidRDefault="00703B9C" w:rsidP="002403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AAC"/>
    <w:rsid w:val="00003D5D"/>
    <w:rsid w:val="0003384F"/>
    <w:rsid w:val="00044D1D"/>
    <w:rsid w:val="00057BFC"/>
    <w:rsid w:val="000843E6"/>
    <w:rsid w:val="000A6776"/>
    <w:rsid w:val="000B1EB8"/>
    <w:rsid w:val="000B2D52"/>
    <w:rsid w:val="000B4A01"/>
    <w:rsid w:val="000B4EC8"/>
    <w:rsid w:val="000E5961"/>
    <w:rsid w:val="001005C2"/>
    <w:rsid w:val="0010137B"/>
    <w:rsid w:val="00107A60"/>
    <w:rsid w:val="00120A1D"/>
    <w:rsid w:val="001322C5"/>
    <w:rsid w:val="00165E15"/>
    <w:rsid w:val="001713AF"/>
    <w:rsid w:val="00195E62"/>
    <w:rsid w:val="001A66B5"/>
    <w:rsid w:val="001B52C2"/>
    <w:rsid w:val="001D7E46"/>
    <w:rsid w:val="001E48AB"/>
    <w:rsid w:val="001F09CE"/>
    <w:rsid w:val="001F6D6B"/>
    <w:rsid w:val="00235E66"/>
    <w:rsid w:val="00240322"/>
    <w:rsid w:val="00250572"/>
    <w:rsid w:val="0025256A"/>
    <w:rsid w:val="00291FEB"/>
    <w:rsid w:val="002A19AE"/>
    <w:rsid w:val="002B7EB1"/>
    <w:rsid w:val="002E504A"/>
    <w:rsid w:val="002F15D4"/>
    <w:rsid w:val="0030755C"/>
    <w:rsid w:val="00315630"/>
    <w:rsid w:val="003203ED"/>
    <w:rsid w:val="003648FF"/>
    <w:rsid w:val="003670A1"/>
    <w:rsid w:val="003A31FE"/>
    <w:rsid w:val="003B35E3"/>
    <w:rsid w:val="003E1FCB"/>
    <w:rsid w:val="003F2691"/>
    <w:rsid w:val="004618FA"/>
    <w:rsid w:val="0047586D"/>
    <w:rsid w:val="004B2E1E"/>
    <w:rsid w:val="004C5BB4"/>
    <w:rsid w:val="004E1CFE"/>
    <w:rsid w:val="00500C28"/>
    <w:rsid w:val="005040E0"/>
    <w:rsid w:val="0051784C"/>
    <w:rsid w:val="005815FE"/>
    <w:rsid w:val="0058392D"/>
    <w:rsid w:val="00592723"/>
    <w:rsid w:val="005B63A0"/>
    <w:rsid w:val="005C1F25"/>
    <w:rsid w:val="005E615B"/>
    <w:rsid w:val="005F63DE"/>
    <w:rsid w:val="005F7281"/>
    <w:rsid w:val="00612CF6"/>
    <w:rsid w:val="00631317"/>
    <w:rsid w:val="00680F7B"/>
    <w:rsid w:val="006C3C95"/>
    <w:rsid w:val="006C4A66"/>
    <w:rsid w:val="006D136F"/>
    <w:rsid w:val="006D245F"/>
    <w:rsid w:val="006F1D64"/>
    <w:rsid w:val="00703783"/>
    <w:rsid w:val="00703B9C"/>
    <w:rsid w:val="00711896"/>
    <w:rsid w:val="00736422"/>
    <w:rsid w:val="0074640A"/>
    <w:rsid w:val="007527EA"/>
    <w:rsid w:val="00752A68"/>
    <w:rsid w:val="00787D3B"/>
    <w:rsid w:val="00794A0D"/>
    <w:rsid w:val="007B4071"/>
    <w:rsid w:val="007E457F"/>
    <w:rsid w:val="007F5C9A"/>
    <w:rsid w:val="00801AA3"/>
    <w:rsid w:val="00806434"/>
    <w:rsid w:val="00821046"/>
    <w:rsid w:val="00826682"/>
    <w:rsid w:val="00833D3D"/>
    <w:rsid w:val="0084386A"/>
    <w:rsid w:val="00850C0C"/>
    <w:rsid w:val="008517E1"/>
    <w:rsid w:val="00852DEC"/>
    <w:rsid w:val="00854FCF"/>
    <w:rsid w:val="00863B3B"/>
    <w:rsid w:val="008655E0"/>
    <w:rsid w:val="0088129B"/>
    <w:rsid w:val="0088708C"/>
    <w:rsid w:val="00897A45"/>
    <w:rsid w:val="008F3A3C"/>
    <w:rsid w:val="0091154A"/>
    <w:rsid w:val="009142B4"/>
    <w:rsid w:val="0096473A"/>
    <w:rsid w:val="00985617"/>
    <w:rsid w:val="00987937"/>
    <w:rsid w:val="009933A3"/>
    <w:rsid w:val="009A308E"/>
    <w:rsid w:val="00A1743D"/>
    <w:rsid w:val="00A33DB2"/>
    <w:rsid w:val="00A45744"/>
    <w:rsid w:val="00A521E8"/>
    <w:rsid w:val="00A53418"/>
    <w:rsid w:val="00A53EB5"/>
    <w:rsid w:val="00A71064"/>
    <w:rsid w:val="00A81F14"/>
    <w:rsid w:val="00A95554"/>
    <w:rsid w:val="00AB0442"/>
    <w:rsid w:val="00AB11B6"/>
    <w:rsid w:val="00AB12EE"/>
    <w:rsid w:val="00AB1889"/>
    <w:rsid w:val="00B16847"/>
    <w:rsid w:val="00B44797"/>
    <w:rsid w:val="00B615BF"/>
    <w:rsid w:val="00BB62D9"/>
    <w:rsid w:val="00BB6640"/>
    <w:rsid w:val="00BC014F"/>
    <w:rsid w:val="00BD4CE1"/>
    <w:rsid w:val="00BE0284"/>
    <w:rsid w:val="00C05CFE"/>
    <w:rsid w:val="00C139F1"/>
    <w:rsid w:val="00C20419"/>
    <w:rsid w:val="00C379C8"/>
    <w:rsid w:val="00C476BE"/>
    <w:rsid w:val="00C551EC"/>
    <w:rsid w:val="00C60600"/>
    <w:rsid w:val="00C83365"/>
    <w:rsid w:val="00CC2DA0"/>
    <w:rsid w:val="00CD196B"/>
    <w:rsid w:val="00CE2F07"/>
    <w:rsid w:val="00CE3713"/>
    <w:rsid w:val="00D05C2A"/>
    <w:rsid w:val="00D458CF"/>
    <w:rsid w:val="00D743F6"/>
    <w:rsid w:val="00D92AAC"/>
    <w:rsid w:val="00DA4F28"/>
    <w:rsid w:val="00E0672B"/>
    <w:rsid w:val="00E34396"/>
    <w:rsid w:val="00E34C06"/>
    <w:rsid w:val="00E67F5C"/>
    <w:rsid w:val="00E82AC9"/>
    <w:rsid w:val="00E938C0"/>
    <w:rsid w:val="00EC1025"/>
    <w:rsid w:val="00F04E27"/>
    <w:rsid w:val="00F16FCD"/>
    <w:rsid w:val="00F3585B"/>
    <w:rsid w:val="00F4563F"/>
    <w:rsid w:val="00F6777D"/>
    <w:rsid w:val="00F871FC"/>
    <w:rsid w:val="00FB1B23"/>
    <w:rsid w:val="00FC1BE5"/>
    <w:rsid w:val="00FF63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286F0B9"/>
  <w14:defaultImageDpi w14:val="0"/>
  <w15:docId w15:val="{D68E9A8D-7E83-4CDA-961B-08FFDC9E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ja-JP" w:bidi="ar-SA"/>
      </w:rPr>
    </w:rPrDefault>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3E1FCB"/>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88708C"/>
    <w:pPr>
      <w:tabs>
        <w:tab w:val="left" w:pos="4253"/>
      </w:tabs>
      <w:spacing w:before="100" w:after="100"/>
      <w:jc w:val="both"/>
    </w:pPr>
    <w:rPr>
      <w:sz w:val="19"/>
      <w:lang w:eastAsia="en-US"/>
    </w:rPr>
  </w:style>
  <w:style w:type="paragraph" w:customStyle="1" w:styleId="IASBNormalnpara">
    <w:name w:val="IASB Normal npara"/>
    <w:basedOn w:val="IASBNormal"/>
    <w:qFormat/>
    <w:rsid w:val="0088708C"/>
    <w:pPr>
      <w:tabs>
        <w:tab w:val="clear" w:pos="4253"/>
      </w:tabs>
      <w:spacing w:after="0"/>
      <w:ind w:left="782" w:hanging="782"/>
    </w:pPr>
  </w:style>
  <w:style w:type="paragraph" w:customStyle="1" w:styleId="IASBSectionTitle1Ind">
    <w:name w:val="IASB Section Title 1 Ind"/>
    <w:basedOn w:val="Normal"/>
    <w:uiPriority w:val="8"/>
    <w:rsid w:val="0088708C"/>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88708C"/>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88708C"/>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88708C"/>
    <w:pPr>
      <w:spacing w:before="240"/>
      <w:ind w:left="782"/>
    </w:pPr>
  </w:style>
  <w:style w:type="paragraph" w:customStyle="1" w:styleId="IASBSectionTitle3NonInd">
    <w:name w:val="IASB Section Title 3 NonInd"/>
    <w:basedOn w:val="Normal"/>
    <w:uiPriority w:val="8"/>
    <w:rsid w:val="0088708C"/>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88708C"/>
    <w:pPr>
      <w:spacing w:before="240"/>
      <w:ind w:left="782"/>
    </w:pPr>
  </w:style>
  <w:style w:type="paragraph" w:customStyle="1" w:styleId="IASBSectionTitle4NonInd">
    <w:name w:val="IASB Section Title 4 NonInd"/>
    <w:basedOn w:val="Normal"/>
    <w:uiPriority w:val="8"/>
    <w:rsid w:val="0088708C"/>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88708C"/>
    <w:pPr>
      <w:ind w:left="782"/>
    </w:pPr>
  </w:style>
  <w:style w:type="paragraph" w:customStyle="1" w:styleId="IASBSectionTitle5NonInd">
    <w:name w:val="IASB Section Title 5 NonInd"/>
    <w:basedOn w:val="Normal"/>
    <w:uiPriority w:val="8"/>
    <w:rsid w:val="0088708C"/>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88708C"/>
    <w:pPr>
      <w:ind w:left="782"/>
    </w:pPr>
  </w:style>
  <w:style w:type="paragraph" w:customStyle="1" w:styleId="IASBSectionTitle6NonInd">
    <w:name w:val="IASB Section Title 6 NonInd"/>
    <w:basedOn w:val="IASBSectionTitle5NonInd"/>
    <w:uiPriority w:val="8"/>
    <w:rsid w:val="0088708C"/>
    <w:pPr>
      <w:outlineLvl w:val="5"/>
    </w:pPr>
    <w:rPr>
      <w:b w:val="0"/>
      <w:i/>
    </w:rPr>
  </w:style>
  <w:style w:type="paragraph" w:customStyle="1" w:styleId="IASBSectionTitle6Ind">
    <w:name w:val="IASB Section Title 6 Ind"/>
    <w:basedOn w:val="IASBSectionTitle6NonInd"/>
    <w:uiPriority w:val="8"/>
    <w:rsid w:val="0088708C"/>
    <w:pPr>
      <w:ind w:left="782"/>
    </w:pPr>
  </w:style>
  <w:style w:type="paragraph" w:customStyle="1" w:styleId="IASBTitle">
    <w:name w:val="IASB Title"/>
    <w:uiPriority w:val="8"/>
    <w:rsid w:val="0088708C"/>
    <w:pPr>
      <w:keepNext/>
      <w:keepLines/>
      <w:spacing w:before="300" w:after="400"/>
    </w:pPr>
    <w:rPr>
      <w:rFonts w:cs="Arial"/>
      <w:sz w:val="36"/>
      <w:lang w:eastAsia="en-US"/>
    </w:rPr>
  </w:style>
  <w:style w:type="paragraph" w:customStyle="1" w:styleId="IASBNormalnparaL1">
    <w:name w:val="IASB Normal nparaL1"/>
    <w:basedOn w:val="IASBNormalnpara"/>
    <w:rsid w:val="0088708C"/>
    <w:pPr>
      <w:ind w:left="1564"/>
    </w:pPr>
  </w:style>
  <w:style w:type="paragraph" w:customStyle="1" w:styleId="IASBNormalnparaP">
    <w:name w:val="IASB Normal nparaP"/>
    <w:basedOn w:val="IASBNormal"/>
    <w:uiPriority w:val="8"/>
    <w:rsid w:val="0088708C"/>
    <w:pPr>
      <w:ind w:left="782"/>
    </w:pPr>
  </w:style>
  <w:style w:type="paragraph" w:customStyle="1" w:styleId="IASBIdentifier">
    <w:name w:val="IASB Identifier"/>
    <w:basedOn w:val="IASBTitle"/>
    <w:uiPriority w:val="8"/>
    <w:rsid w:val="0088708C"/>
    <w:pPr>
      <w:spacing w:after="200"/>
    </w:pPr>
    <w:rPr>
      <w:rFonts w:ascii="Arial" w:hAnsi="Arial"/>
      <w:b/>
      <w:sz w:val="23"/>
    </w:rPr>
  </w:style>
  <w:style w:type="paragraph" w:customStyle="1" w:styleId="IASBTOCPrimary">
    <w:name w:val="IASB TOC Primary"/>
    <w:basedOn w:val="Normal"/>
    <w:uiPriority w:val="8"/>
    <w:rsid w:val="0088708C"/>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88708C"/>
    <w:pPr>
      <w:spacing w:before="30" w:after="30"/>
    </w:pPr>
    <w:rPr>
      <w:rFonts w:ascii="Arial" w:hAnsi="Arial" w:cs="Arial"/>
      <w:i/>
      <w:sz w:val="18"/>
      <w:szCs w:val="20"/>
    </w:rPr>
  </w:style>
  <w:style w:type="paragraph" w:customStyle="1" w:styleId="IASBTOCSecondary">
    <w:name w:val="IASB TOC Secondary"/>
    <w:basedOn w:val="Normal"/>
    <w:uiPriority w:val="8"/>
    <w:rsid w:val="0088708C"/>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88708C"/>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88708C"/>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88708C"/>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88708C"/>
    <w:rPr>
      <w:i/>
    </w:rPr>
  </w:style>
  <w:style w:type="paragraph" w:customStyle="1" w:styleId="IASBBlockquote">
    <w:name w:val="IASB Blockquote"/>
    <w:basedOn w:val="IASBNormal"/>
    <w:uiPriority w:val="8"/>
    <w:rsid w:val="0088708C"/>
    <w:pPr>
      <w:ind w:left="1565"/>
    </w:pPr>
    <w:rPr>
      <w:sz w:val="16"/>
    </w:rPr>
  </w:style>
  <w:style w:type="character" w:customStyle="1" w:styleId="IASBEduinsert">
    <w:name w:val="IASB Edu insert"/>
    <w:uiPriority w:val="8"/>
    <w:qFormat/>
    <w:rsid w:val="0088708C"/>
  </w:style>
  <w:style w:type="character" w:styleId="FootnoteReference">
    <w:name w:val="footnote reference"/>
    <w:uiPriority w:val="99"/>
    <w:semiHidden/>
    <w:unhideWhenUsed/>
    <w:rsid w:val="0088708C"/>
    <w:rPr>
      <w:vertAlign w:val="superscript"/>
    </w:rPr>
  </w:style>
  <w:style w:type="paragraph" w:styleId="FootnoteText">
    <w:name w:val="footnote text"/>
    <w:basedOn w:val="IASBSectionTitle2Ind"/>
    <w:next w:val="IASBBlockquote"/>
    <w:link w:val="FootnoteTextChar"/>
    <w:uiPriority w:val="99"/>
    <w:semiHidden/>
    <w:rsid w:val="0088708C"/>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88708C"/>
    <w:rPr>
      <w:sz w:val="16"/>
      <w:shd w:val="clear" w:color="auto" w:fill="99CCFF"/>
      <w:lang w:eastAsia="en-US"/>
    </w:rPr>
  </w:style>
  <w:style w:type="paragraph" w:customStyle="1" w:styleId="IASBNormalL1">
    <w:name w:val="IASB Normal L1"/>
    <w:basedOn w:val="IASBNormalnpara"/>
    <w:uiPriority w:val="8"/>
    <w:rsid w:val="0088708C"/>
  </w:style>
  <w:style w:type="paragraph" w:styleId="Header">
    <w:name w:val="header"/>
    <w:basedOn w:val="Normal"/>
    <w:link w:val="HeaderChar"/>
    <w:uiPriority w:val="99"/>
    <w:rsid w:val="0088708C"/>
    <w:pPr>
      <w:tabs>
        <w:tab w:val="center" w:pos="4536"/>
        <w:tab w:val="right" w:pos="9072"/>
      </w:tabs>
    </w:pPr>
    <w:rPr>
      <w:sz w:val="20"/>
    </w:rPr>
  </w:style>
  <w:style w:type="character" w:customStyle="1" w:styleId="HeaderChar">
    <w:name w:val="Header Char"/>
    <w:link w:val="Header"/>
    <w:uiPriority w:val="99"/>
    <w:rsid w:val="0088708C"/>
    <w:rPr>
      <w:szCs w:val="24"/>
      <w:lang w:eastAsia="en-US"/>
    </w:rPr>
  </w:style>
  <w:style w:type="paragraph" w:styleId="Footer">
    <w:name w:val="footer"/>
    <w:basedOn w:val="Normal"/>
    <w:link w:val="FooterChar"/>
    <w:uiPriority w:val="99"/>
    <w:rsid w:val="0088708C"/>
    <w:pPr>
      <w:tabs>
        <w:tab w:val="center" w:pos="4536"/>
        <w:tab w:val="right" w:pos="9072"/>
      </w:tabs>
    </w:pPr>
  </w:style>
  <w:style w:type="character" w:customStyle="1" w:styleId="FooterChar">
    <w:name w:val="Footer Char"/>
    <w:link w:val="Footer"/>
    <w:uiPriority w:val="99"/>
    <w:rsid w:val="0088708C"/>
    <w:rPr>
      <w:sz w:val="19"/>
      <w:szCs w:val="24"/>
      <w:lang w:eastAsia="en-US"/>
    </w:rPr>
  </w:style>
  <w:style w:type="paragraph" w:customStyle="1" w:styleId="IASBRubricL1">
    <w:name w:val="IASB RubricL1"/>
    <w:basedOn w:val="IASBRubric"/>
    <w:uiPriority w:val="8"/>
    <w:rsid w:val="0088708C"/>
    <w:pPr>
      <w:ind w:left="782" w:hanging="782"/>
      <w:jc w:val="left"/>
    </w:pPr>
    <w:rPr>
      <w:lang w:eastAsia="en-GB"/>
    </w:rPr>
  </w:style>
  <w:style w:type="paragraph" w:customStyle="1" w:styleId="IASBRubricL2">
    <w:name w:val="IASB RubricL2"/>
    <w:basedOn w:val="IASBRubricL1"/>
    <w:uiPriority w:val="8"/>
    <w:rsid w:val="0088708C"/>
    <w:pPr>
      <w:tabs>
        <w:tab w:val="left" w:pos="782"/>
      </w:tabs>
      <w:ind w:left="1565" w:hanging="1565"/>
    </w:pPr>
  </w:style>
  <w:style w:type="paragraph" w:customStyle="1" w:styleId="IASBRubricL3">
    <w:name w:val="IASB RubricL3"/>
    <w:basedOn w:val="IASBRubricL2"/>
    <w:uiPriority w:val="8"/>
    <w:rsid w:val="0088708C"/>
    <w:pPr>
      <w:tabs>
        <w:tab w:val="clear" w:pos="782"/>
        <w:tab w:val="left" w:pos="1565"/>
      </w:tabs>
      <w:ind w:left="2347" w:hanging="2347"/>
    </w:pPr>
  </w:style>
  <w:style w:type="paragraph" w:customStyle="1" w:styleId="IASBNormalnparaL2">
    <w:name w:val="IASB Normal nparaL2"/>
    <w:basedOn w:val="IASBNormalnparaL1"/>
    <w:uiPriority w:val="8"/>
    <w:rsid w:val="0088708C"/>
    <w:pPr>
      <w:ind w:left="2347"/>
    </w:pPr>
  </w:style>
  <w:style w:type="paragraph" w:customStyle="1" w:styleId="IASBNormalnparaL3">
    <w:name w:val="IASB Normal nparaL3"/>
    <w:basedOn w:val="IASBNormalnparaL2"/>
    <w:uiPriority w:val="8"/>
    <w:rsid w:val="0088708C"/>
    <w:pPr>
      <w:ind w:left="3129"/>
    </w:pPr>
  </w:style>
  <w:style w:type="paragraph" w:customStyle="1" w:styleId="IASBNormalnparaL4">
    <w:name w:val="IASB Normal nparaL4"/>
    <w:basedOn w:val="IASBNormalnparaL3"/>
    <w:uiPriority w:val="8"/>
    <w:rsid w:val="0088708C"/>
    <w:pPr>
      <w:ind w:left="3912"/>
    </w:pPr>
  </w:style>
  <w:style w:type="paragraph" w:customStyle="1" w:styleId="IASBNormalnparaL5">
    <w:name w:val="IASB Normal nparaL5"/>
    <w:basedOn w:val="IASBNormalnparaL4"/>
    <w:uiPriority w:val="8"/>
    <w:rsid w:val="0088708C"/>
    <w:pPr>
      <w:ind w:left="4694"/>
    </w:pPr>
  </w:style>
  <w:style w:type="paragraph" w:customStyle="1" w:styleId="IASBNormalnparaL1P">
    <w:name w:val="IASB Normal nparaL1P"/>
    <w:basedOn w:val="IASBNormalnparaL2"/>
    <w:uiPriority w:val="8"/>
    <w:rsid w:val="0088708C"/>
    <w:pPr>
      <w:ind w:left="1565" w:firstLine="0"/>
    </w:pPr>
  </w:style>
  <w:style w:type="paragraph" w:customStyle="1" w:styleId="IASBNormalnparaL2P">
    <w:name w:val="IASB Normal nparaL2P"/>
    <w:basedOn w:val="IASBNormalnparaL1P"/>
    <w:uiPriority w:val="8"/>
    <w:rsid w:val="0088708C"/>
    <w:pPr>
      <w:ind w:left="2347"/>
    </w:pPr>
  </w:style>
  <w:style w:type="paragraph" w:customStyle="1" w:styleId="IASBNormalnparaL3P">
    <w:name w:val="IASB Normal nparaL3P"/>
    <w:basedOn w:val="IASBNormalnparaL2P"/>
    <w:uiPriority w:val="8"/>
    <w:rsid w:val="0088708C"/>
    <w:pPr>
      <w:ind w:left="3130"/>
    </w:pPr>
  </w:style>
  <w:style w:type="paragraph" w:customStyle="1" w:styleId="IASBNormalnparaL4P">
    <w:name w:val="IASB Normal nparaL4P"/>
    <w:basedOn w:val="IASBNormalnparaL3P"/>
    <w:uiPriority w:val="8"/>
    <w:rsid w:val="0088708C"/>
    <w:pPr>
      <w:ind w:left="3912"/>
    </w:pPr>
  </w:style>
  <w:style w:type="paragraph" w:customStyle="1" w:styleId="IASBNormalnparaL5P">
    <w:name w:val="IASB Normal nparaL5P"/>
    <w:basedOn w:val="IASBNormalnparaL4P"/>
    <w:uiPriority w:val="8"/>
    <w:rsid w:val="0088708C"/>
    <w:pPr>
      <w:ind w:left="4751"/>
    </w:pPr>
  </w:style>
  <w:style w:type="paragraph" w:customStyle="1" w:styleId="IASBBlockquoteL1">
    <w:name w:val="IASB BlockquoteL1"/>
    <w:basedOn w:val="IASBBlockquote"/>
    <w:uiPriority w:val="8"/>
    <w:rsid w:val="0088708C"/>
    <w:pPr>
      <w:ind w:left="2347" w:hanging="782"/>
    </w:pPr>
  </w:style>
  <w:style w:type="paragraph" w:customStyle="1" w:styleId="IASBBlockquoteL2">
    <w:name w:val="IASB BlockquoteL2"/>
    <w:basedOn w:val="IASBBlockquoteL1"/>
    <w:uiPriority w:val="8"/>
    <w:rsid w:val="0088708C"/>
    <w:pPr>
      <w:ind w:left="3129"/>
    </w:pPr>
  </w:style>
  <w:style w:type="paragraph" w:customStyle="1" w:styleId="IASBNormalL2">
    <w:name w:val="IASB Normal L2"/>
    <w:basedOn w:val="IASBNormalL1"/>
    <w:uiPriority w:val="8"/>
    <w:rsid w:val="0088708C"/>
    <w:pPr>
      <w:ind w:left="1564"/>
    </w:pPr>
  </w:style>
  <w:style w:type="paragraph" w:customStyle="1" w:styleId="IASBTOCQuartery">
    <w:name w:val="IASB TOC Quartery"/>
    <w:basedOn w:val="IASBTOCTertiary"/>
    <w:uiPriority w:val="8"/>
    <w:rsid w:val="0088708C"/>
    <w:pPr>
      <w:ind w:left="851"/>
    </w:pPr>
  </w:style>
  <w:style w:type="paragraph" w:customStyle="1" w:styleId="IASBNoteTitle">
    <w:name w:val="IASB Note Title"/>
    <w:basedOn w:val="IASBTOCPrimary"/>
    <w:uiPriority w:val="8"/>
    <w:rsid w:val="0088708C"/>
    <w:pPr>
      <w:jc w:val="center"/>
    </w:pPr>
    <w:rPr>
      <w:b w:val="0"/>
      <w:caps w:val="0"/>
      <w:sz w:val="24"/>
    </w:rPr>
  </w:style>
  <w:style w:type="paragraph" w:customStyle="1" w:styleId="IASBNormalL1P">
    <w:name w:val="IASB Normal L1P"/>
    <w:basedOn w:val="IASBNormalL1"/>
    <w:uiPriority w:val="8"/>
    <w:qFormat/>
    <w:rsid w:val="0088708C"/>
    <w:pPr>
      <w:ind w:firstLine="0"/>
    </w:pPr>
  </w:style>
  <w:style w:type="paragraph" w:customStyle="1" w:styleId="IASBNormalL2P">
    <w:name w:val="IASB Normal L2P"/>
    <w:basedOn w:val="IASBNormalL1P"/>
    <w:uiPriority w:val="8"/>
    <w:qFormat/>
    <w:rsid w:val="0088708C"/>
    <w:pPr>
      <w:ind w:left="1565"/>
    </w:pPr>
  </w:style>
  <w:style w:type="paragraph" w:customStyle="1" w:styleId="IASBNormalnparaC">
    <w:name w:val="IASB Normal nparaC"/>
    <w:basedOn w:val="IASBNormalnpara"/>
    <w:uiPriority w:val="8"/>
    <w:qFormat/>
    <w:rsid w:val="0088708C"/>
    <w:pPr>
      <w:spacing w:before="0"/>
    </w:pPr>
  </w:style>
  <w:style w:type="paragraph" w:customStyle="1" w:styleId="IASBEdupara">
    <w:name w:val="IASB Edu para"/>
    <w:basedOn w:val="IASBNormal"/>
    <w:uiPriority w:val="8"/>
    <w:qFormat/>
    <w:rsid w:val="0088708C"/>
  </w:style>
  <w:style w:type="paragraph" w:customStyle="1" w:styleId="IASBTableBoldTNR">
    <w:name w:val="IASB Table Bold TNR"/>
    <w:basedOn w:val="Normal"/>
    <w:uiPriority w:val="8"/>
    <w:qFormat/>
    <w:rsid w:val="0088708C"/>
    <w:pPr>
      <w:spacing w:before="120"/>
    </w:pPr>
    <w:rPr>
      <w:b/>
      <w:szCs w:val="20"/>
      <w:lang w:eastAsia="en-GB"/>
    </w:rPr>
  </w:style>
  <w:style w:type="paragraph" w:customStyle="1" w:styleId="IASBTableHeaderTNR">
    <w:name w:val="IASB Table Header TNR"/>
    <w:basedOn w:val="Normal"/>
    <w:uiPriority w:val="8"/>
    <w:qFormat/>
    <w:rsid w:val="0088708C"/>
    <w:pPr>
      <w:keepNext/>
      <w:spacing w:before="120" w:after="200" w:line="276" w:lineRule="auto"/>
    </w:pPr>
    <w:rPr>
      <w:szCs w:val="20"/>
      <w:lang w:eastAsia="en-GB"/>
    </w:rPr>
  </w:style>
  <w:style w:type="paragraph" w:customStyle="1" w:styleId="IASBTableTNR">
    <w:name w:val="IASB Table TNR"/>
    <w:basedOn w:val="Normal"/>
    <w:uiPriority w:val="8"/>
    <w:qFormat/>
    <w:rsid w:val="0088708C"/>
    <w:pPr>
      <w:spacing w:before="120"/>
    </w:pPr>
    <w:rPr>
      <w:szCs w:val="20"/>
      <w:lang w:eastAsia="en-GB"/>
    </w:rPr>
  </w:style>
  <w:style w:type="paragraph" w:customStyle="1" w:styleId="IASBTableArial">
    <w:name w:val="IASB Table Arial"/>
    <w:basedOn w:val="Normal"/>
    <w:uiPriority w:val="8"/>
    <w:rsid w:val="0088708C"/>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88708C"/>
    <w:rPr>
      <w:b/>
    </w:rPr>
  </w:style>
  <w:style w:type="paragraph" w:customStyle="1" w:styleId="IASBTableHeaderArial">
    <w:name w:val="IASB Table Header Arial"/>
    <w:basedOn w:val="IASBTableArial"/>
    <w:uiPriority w:val="8"/>
    <w:qFormat/>
    <w:rsid w:val="0088708C"/>
    <w:pPr>
      <w:keepNext/>
      <w:spacing w:after="200" w:line="276" w:lineRule="auto"/>
    </w:pPr>
  </w:style>
  <w:style w:type="character" w:styleId="EndnoteReference">
    <w:name w:val="endnote reference"/>
    <w:uiPriority w:val="99"/>
    <w:semiHidden/>
    <w:unhideWhenUsed/>
    <w:rsid w:val="0088708C"/>
    <w:rPr>
      <w:vertAlign w:val="superscript"/>
    </w:rPr>
  </w:style>
  <w:style w:type="paragraph" w:customStyle="1" w:styleId="ConvSectionTitle">
    <w:name w:val="Conv Section Title"/>
    <w:basedOn w:val="IASBSectionTitle1NonInd"/>
    <w:uiPriority w:val="9"/>
    <w:qFormat/>
    <w:rsid w:val="0088708C"/>
    <w:pPr>
      <w:pBdr>
        <w:bottom w:val="none" w:sz="0" w:space="0" w:color="auto"/>
      </w:pBdr>
    </w:pPr>
  </w:style>
  <w:style w:type="paragraph" w:customStyle="1" w:styleId="ConvStandardTitle1">
    <w:name w:val="Conv Standard Title 1"/>
    <w:basedOn w:val="Normal"/>
    <w:next w:val="ConvStandardTitle2"/>
    <w:uiPriority w:val="9"/>
    <w:qFormat/>
    <w:rsid w:val="0088708C"/>
    <w:pPr>
      <w:spacing w:before="300"/>
    </w:pPr>
    <w:rPr>
      <w:rFonts w:ascii="Arial" w:hAnsi="Arial"/>
      <w:b/>
      <w:sz w:val="26"/>
    </w:rPr>
  </w:style>
  <w:style w:type="paragraph" w:customStyle="1" w:styleId="ConvStandardTitle2">
    <w:name w:val="Conv Standard Title2"/>
    <w:basedOn w:val="ConvStandardTitle1"/>
    <w:uiPriority w:val="9"/>
    <w:qFormat/>
    <w:rsid w:val="0088708C"/>
    <w:pPr>
      <w:spacing w:before="0" w:after="200"/>
    </w:pPr>
    <w:rPr>
      <w:i/>
    </w:rPr>
  </w:style>
  <w:style w:type="paragraph" w:customStyle="1" w:styleId="AASBBase">
    <w:name w:val="AASB Base"/>
    <w:qFormat/>
    <w:rsid w:val="0088708C"/>
    <w:pPr>
      <w:jc w:val="both"/>
    </w:pPr>
    <w:rPr>
      <w:sz w:val="19"/>
      <w:lang w:eastAsia="en-US"/>
    </w:rPr>
  </w:style>
  <w:style w:type="paragraph" w:customStyle="1" w:styleId="AASBPara">
    <w:name w:val="AASB Para"/>
    <w:basedOn w:val="AASBBase"/>
    <w:qFormat/>
    <w:rsid w:val="0088708C"/>
    <w:pPr>
      <w:spacing w:after="200"/>
    </w:pPr>
  </w:style>
  <w:style w:type="paragraph" w:customStyle="1" w:styleId="AASBStandardCover">
    <w:name w:val="AASB Standard Cover"/>
    <w:semiHidden/>
    <w:qFormat/>
    <w:rsid w:val="0088708C"/>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88708C"/>
    <w:pPr>
      <w:jc w:val="right"/>
    </w:pPr>
    <w:rPr>
      <w:b w:val="0"/>
      <w:sz w:val="24"/>
    </w:rPr>
  </w:style>
  <w:style w:type="paragraph" w:customStyle="1" w:styleId="AASBStandardNumber">
    <w:name w:val="AASB Standard Number"/>
    <w:basedOn w:val="AASBStandardCover"/>
    <w:semiHidden/>
    <w:qFormat/>
    <w:rsid w:val="0088708C"/>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88708C"/>
    <w:pPr>
      <w:spacing w:before="800"/>
    </w:pPr>
    <w:rPr>
      <w:b w:val="0"/>
      <w:sz w:val="50"/>
    </w:rPr>
  </w:style>
  <w:style w:type="paragraph" w:customStyle="1" w:styleId="AASBInterpretationCover">
    <w:name w:val="AASB Interpretation Cover"/>
    <w:basedOn w:val="AASBStandardCover"/>
    <w:semiHidden/>
    <w:qFormat/>
    <w:rsid w:val="0088708C"/>
    <w:rPr>
      <w:color w:val="41AD49"/>
    </w:rPr>
  </w:style>
  <w:style w:type="paragraph" w:customStyle="1" w:styleId="AASBInterpretationDate">
    <w:name w:val="AASB Interpretation Date"/>
    <w:basedOn w:val="AASBStandardDate"/>
    <w:semiHidden/>
    <w:qFormat/>
    <w:rsid w:val="0088708C"/>
    <w:rPr>
      <w:color w:val="41AD49"/>
    </w:rPr>
  </w:style>
  <w:style w:type="paragraph" w:customStyle="1" w:styleId="AASBInterpretationNumber">
    <w:name w:val="AASB Interpretation Number"/>
    <w:basedOn w:val="AASBStandardNumber"/>
    <w:semiHidden/>
    <w:qFormat/>
    <w:rsid w:val="0088708C"/>
    <w:rPr>
      <w:color w:val="41AD49"/>
    </w:rPr>
  </w:style>
  <w:style w:type="paragraph" w:customStyle="1" w:styleId="AASBInterpretationTitle">
    <w:name w:val="AASB Interpretation Title"/>
    <w:basedOn w:val="AASBStandardTitle"/>
    <w:semiHidden/>
    <w:qFormat/>
    <w:rsid w:val="0088708C"/>
    <w:rPr>
      <w:color w:val="41AD49"/>
    </w:rPr>
  </w:style>
  <w:style w:type="table" w:styleId="TableGrid">
    <w:name w:val="Table Grid"/>
    <w:basedOn w:val="TableNormal"/>
    <w:uiPriority w:val="59"/>
    <w:rsid w:val="0088708C"/>
    <w:rPr>
      <w:lang w:eastAsia="en-AU"/>
    </w:rPr>
    <w:tblPr/>
  </w:style>
  <w:style w:type="paragraph" w:customStyle="1" w:styleId="ContentsHeading">
    <w:name w:val="Contents Heading"/>
    <w:basedOn w:val="AASBBase"/>
    <w:next w:val="ContentsLevel1"/>
    <w:qFormat/>
    <w:rsid w:val="0088708C"/>
    <w:pPr>
      <w:spacing w:after="60"/>
      <w:jc w:val="right"/>
    </w:pPr>
    <w:rPr>
      <w:i/>
    </w:rPr>
  </w:style>
  <w:style w:type="paragraph" w:customStyle="1" w:styleId="ContentsLevel1">
    <w:name w:val="Contents Level1"/>
    <w:basedOn w:val="AASBBase"/>
    <w:qFormat/>
    <w:rsid w:val="0088708C"/>
    <w:pPr>
      <w:tabs>
        <w:tab w:val="right" w:pos="9027"/>
      </w:tabs>
      <w:spacing w:after="60"/>
      <w:ind w:right="1134"/>
    </w:pPr>
    <w:rPr>
      <w:b/>
      <w:caps/>
    </w:rPr>
  </w:style>
  <w:style w:type="paragraph" w:customStyle="1" w:styleId="ContentsLevel2">
    <w:name w:val="Contents Level2"/>
    <w:basedOn w:val="ContentsLevel1"/>
    <w:uiPriority w:val="7"/>
    <w:qFormat/>
    <w:rsid w:val="0088708C"/>
    <w:rPr>
      <w:caps w:val="0"/>
    </w:rPr>
  </w:style>
  <w:style w:type="paragraph" w:customStyle="1" w:styleId="ContentsLevel3">
    <w:name w:val="Contents Level3"/>
    <w:basedOn w:val="ContentsLevel2"/>
    <w:uiPriority w:val="7"/>
    <w:qFormat/>
    <w:rsid w:val="0088708C"/>
    <w:pPr>
      <w:ind w:left="510"/>
    </w:pPr>
    <w:rPr>
      <w:b w:val="0"/>
    </w:rPr>
  </w:style>
  <w:style w:type="paragraph" w:customStyle="1" w:styleId="ContentsLevel4">
    <w:name w:val="Contents Level4"/>
    <w:basedOn w:val="ContentsLevel3"/>
    <w:uiPriority w:val="7"/>
    <w:qFormat/>
    <w:rsid w:val="0088708C"/>
    <w:pPr>
      <w:ind w:left="850"/>
    </w:pPr>
  </w:style>
  <w:style w:type="paragraph" w:styleId="BalloonText">
    <w:name w:val="Balloon Text"/>
    <w:basedOn w:val="Normal"/>
    <w:link w:val="BalloonTextChar"/>
    <w:uiPriority w:val="99"/>
    <w:semiHidden/>
    <w:unhideWhenUsed/>
    <w:rsid w:val="00887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08C"/>
    <w:rPr>
      <w:rFonts w:ascii="Segoe UI" w:hAnsi="Segoe UI" w:cs="Segoe UI"/>
      <w:sz w:val="18"/>
      <w:szCs w:val="18"/>
      <w:lang w:eastAsia="en-US"/>
    </w:rPr>
  </w:style>
  <w:style w:type="paragraph" w:customStyle="1" w:styleId="RDRM1">
    <w:name w:val="RDRM1"/>
    <w:basedOn w:val="IASBNormalnpara"/>
    <w:uiPriority w:val="5"/>
    <w:qFormat/>
    <w:rsid w:val="0088708C"/>
    <w:pPr>
      <w:shd w:val="pct15" w:color="auto" w:fill="auto"/>
    </w:pPr>
  </w:style>
  <w:style w:type="paragraph" w:customStyle="1" w:styleId="RDRM2">
    <w:name w:val="RDRM2"/>
    <w:basedOn w:val="RDRM1"/>
    <w:uiPriority w:val="5"/>
    <w:qFormat/>
    <w:rsid w:val="0088708C"/>
    <w:pPr>
      <w:tabs>
        <w:tab w:val="left" w:pos="782"/>
      </w:tabs>
      <w:ind w:left="1565" w:hanging="1565"/>
    </w:pPr>
  </w:style>
  <w:style w:type="paragraph" w:customStyle="1" w:styleId="RDRM3">
    <w:name w:val="RDRM3"/>
    <w:basedOn w:val="RDRM2"/>
    <w:uiPriority w:val="5"/>
    <w:qFormat/>
    <w:rsid w:val="0088708C"/>
    <w:pPr>
      <w:tabs>
        <w:tab w:val="clear" w:pos="782"/>
        <w:tab w:val="left" w:pos="1565"/>
      </w:tabs>
      <w:ind w:left="2347" w:hanging="2347"/>
    </w:pPr>
  </w:style>
  <w:style w:type="paragraph" w:customStyle="1" w:styleId="RDRM4">
    <w:name w:val="RDRM4"/>
    <w:basedOn w:val="RDRM3"/>
    <w:uiPriority w:val="5"/>
    <w:qFormat/>
    <w:rsid w:val="0088708C"/>
    <w:pPr>
      <w:tabs>
        <w:tab w:val="clear" w:pos="1565"/>
        <w:tab w:val="left" w:pos="2347"/>
      </w:tabs>
      <w:ind w:left="3130" w:hanging="3130"/>
    </w:pPr>
  </w:style>
  <w:style w:type="paragraph" w:customStyle="1" w:styleId="AusPlain">
    <w:name w:val="Aus Plain"/>
    <w:basedOn w:val="IASBNormalnpara"/>
    <w:uiPriority w:val="1"/>
    <w:qFormat/>
    <w:rsid w:val="0088708C"/>
    <w:pPr>
      <w:ind w:left="1565" w:hanging="1565"/>
    </w:pPr>
  </w:style>
  <w:style w:type="paragraph" w:customStyle="1" w:styleId="AusBold">
    <w:name w:val="Aus Bold"/>
    <w:basedOn w:val="AusPlain"/>
    <w:uiPriority w:val="2"/>
    <w:qFormat/>
    <w:rsid w:val="0088708C"/>
    <w:rPr>
      <w:b/>
    </w:rPr>
  </w:style>
  <w:style w:type="paragraph" w:customStyle="1" w:styleId="AusPlainRDR">
    <w:name w:val="Aus Plain RDR"/>
    <w:basedOn w:val="AusPlain"/>
    <w:uiPriority w:val="3"/>
    <w:qFormat/>
    <w:rsid w:val="0088708C"/>
    <w:pPr>
      <w:shd w:val="pct15" w:color="auto" w:fill="auto"/>
    </w:pPr>
  </w:style>
  <w:style w:type="paragraph" w:customStyle="1" w:styleId="AusBoldRDR">
    <w:name w:val="Aus Bold RDR"/>
    <w:basedOn w:val="AusBold"/>
    <w:uiPriority w:val="4"/>
    <w:qFormat/>
    <w:rsid w:val="0088708C"/>
    <w:pPr>
      <w:shd w:val="pct15" w:color="auto" w:fill="auto"/>
    </w:pPr>
  </w:style>
  <w:style w:type="paragraph" w:customStyle="1" w:styleId="RDR11">
    <w:name w:val="RDR11"/>
    <w:basedOn w:val="IASBNormalnparaL1"/>
    <w:uiPriority w:val="6"/>
    <w:qFormat/>
    <w:rsid w:val="0088708C"/>
    <w:pPr>
      <w:shd w:val="pct15" w:color="auto" w:fill="auto"/>
    </w:pPr>
  </w:style>
  <w:style w:type="paragraph" w:customStyle="1" w:styleId="RDR12">
    <w:name w:val="RDR12"/>
    <w:basedOn w:val="RDR11"/>
    <w:uiPriority w:val="6"/>
    <w:qFormat/>
    <w:rsid w:val="0088708C"/>
    <w:pPr>
      <w:tabs>
        <w:tab w:val="left" w:pos="1565"/>
      </w:tabs>
      <w:ind w:left="2347" w:hanging="1565"/>
    </w:pPr>
  </w:style>
  <w:style w:type="paragraph" w:customStyle="1" w:styleId="RDR13">
    <w:name w:val="RDR13"/>
    <w:basedOn w:val="RDR12"/>
    <w:uiPriority w:val="6"/>
    <w:qFormat/>
    <w:rsid w:val="0088708C"/>
    <w:pPr>
      <w:tabs>
        <w:tab w:val="clear" w:pos="1565"/>
        <w:tab w:val="left" w:pos="2347"/>
      </w:tabs>
      <w:ind w:left="3129" w:hanging="2347"/>
    </w:pPr>
  </w:style>
  <w:style w:type="paragraph" w:customStyle="1" w:styleId="RDR21">
    <w:name w:val="RDR21"/>
    <w:basedOn w:val="IASBNormalnparaL2"/>
    <w:uiPriority w:val="6"/>
    <w:qFormat/>
    <w:rsid w:val="0088708C"/>
    <w:pPr>
      <w:shd w:val="pct15" w:color="auto" w:fill="auto"/>
    </w:pPr>
  </w:style>
  <w:style w:type="paragraph" w:customStyle="1" w:styleId="RDR22">
    <w:name w:val="RDR22"/>
    <w:basedOn w:val="RDR21"/>
    <w:uiPriority w:val="6"/>
    <w:qFormat/>
    <w:rsid w:val="0088708C"/>
    <w:pPr>
      <w:tabs>
        <w:tab w:val="left" w:pos="2347"/>
      </w:tabs>
      <w:ind w:left="3130" w:hanging="1565"/>
    </w:pPr>
  </w:style>
  <w:style w:type="table" w:styleId="TableGrid1">
    <w:name w:val="Table Grid 1"/>
    <w:basedOn w:val="TableNormal"/>
    <w:uiPriority w:val="99"/>
    <w:semiHidden/>
    <w:unhideWhenUsed/>
    <w:rsid w:val="0088708C"/>
    <w:rPr>
      <w:lang w:eastAsia="en-AU"/>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821046"/>
    <w:pPr>
      <w:tabs>
        <w:tab w:val="clear" w:pos="4253"/>
        <w:tab w:val="left" w:pos="782"/>
      </w:tabs>
    </w:pPr>
  </w:style>
  <w:style w:type="paragraph" w:customStyle="1" w:styleId="NoNumBold1">
    <w:name w:val="NoNum Bold1"/>
    <w:basedOn w:val="Normal"/>
    <w:qFormat/>
    <w:rsid w:val="007E457F"/>
    <w:pPr>
      <w:spacing w:after="200"/>
    </w:pPr>
    <w:rPr>
      <w:b/>
    </w:rPr>
  </w:style>
  <w:style w:type="paragraph" w:customStyle="1" w:styleId="NumPlain1">
    <w:name w:val="Num Plain1"/>
    <w:basedOn w:val="Normal"/>
    <w:link w:val="NumPlain1Char"/>
    <w:rsid w:val="007E457F"/>
    <w:pPr>
      <w:spacing w:after="200" w:line="200" w:lineRule="exact"/>
      <w:ind w:left="510" w:hanging="510"/>
    </w:pPr>
    <w:rPr>
      <w:sz w:val="20"/>
      <w:szCs w:val="20"/>
    </w:rPr>
  </w:style>
  <w:style w:type="character" w:customStyle="1" w:styleId="NumPlain1Char">
    <w:name w:val="Num Plain1 Char"/>
    <w:link w:val="NumPlain1"/>
    <w:rsid w:val="007E457F"/>
    <w:rPr>
      <w:lang w:eastAsia="en-US"/>
    </w:rPr>
  </w:style>
  <w:style w:type="character" w:styleId="PlaceholderText">
    <w:name w:val="Placeholder Text"/>
    <w:basedOn w:val="DefaultParagraphFont"/>
    <w:uiPriority w:val="99"/>
    <w:semiHidden/>
    <w:rsid w:val="001D7E46"/>
    <w:rPr>
      <w:color w:val="808080"/>
    </w:rPr>
  </w:style>
  <w:style w:type="character" w:styleId="CommentReference">
    <w:name w:val="annotation reference"/>
    <w:basedOn w:val="DefaultParagraphFont"/>
    <w:uiPriority w:val="99"/>
    <w:semiHidden/>
    <w:unhideWhenUsed/>
    <w:rsid w:val="00BC014F"/>
    <w:rPr>
      <w:sz w:val="16"/>
      <w:szCs w:val="16"/>
    </w:rPr>
  </w:style>
  <w:style w:type="paragraph" w:styleId="CommentText">
    <w:name w:val="annotation text"/>
    <w:basedOn w:val="Normal"/>
    <w:link w:val="CommentTextChar"/>
    <w:uiPriority w:val="99"/>
    <w:semiHidden/>
    <w:unhideWhenUsed/>
    <w:rsid w:val="00BC014F"/>
    <w:rPr>
      <w:sz w:val="20"/>
      <w:szCs w:val="20"/>
    </w:rPr>
  </w:style>
  <w:style w:type="character" w:customStyle="1" w:styleId="CommentTextChar">
    <w:name w:val="Comment Text Char"/>
    <w:basedOn w:val="DefaultParagraphFont"/>
    <w:link w:val="CommentText"/>
    <w:uiPriority w:val="99"/>
    <w:semiHidden/>
    <w:rsid w:val="00BC014F"/>
    <w:rPr>
      <w:lang w:eastAsia="en-US"/>
    </w:rPr>
  </w:style>
  <w:style w:type="paragraph" w:styleId="CommentSubject">
    <w:name w:val="annotation subject"/>
    <w:basedOn w:val="CommentText"/>
    <w:next w:val="CommentText"/>
    <w:link w:val="CommentSubjectChar"/>
    <w:uiPriority w:val="99"/>
    <w:semiHidden/>
    <w:unhideWhenUsed/>
    <w:rsid w:val="00BC014F"/>
    <w:rPr>
      <w:b/>
      <w:bCs/>
    </w:rPr>
  </w:style>
  <w:style w:type="character" w:customStyle="1" w:styleId="CommentSubjectChar">
    <w:name w:val="Comment Subject Char"/>
    <w:basedOn w:val="CommentTextChar"/>
    <w:link w:val="CommentSubject"/>
    <w:uiPriority w:val="99"/>
    <w:semiHidden/>
    <w:rsid w:val="00BC014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1904219128">
      <w:bodyDiv w:val="1"/>
      <w:marLeft w:val="0"/>
      <w:marRight w:val="0"/>
      <w:marTop w:val="0"/>
      <w:marBottom w:val="0"/>
      <w:divBdr>
        <w:top w:val="none" w:sz="0" w:space="0" w:color="auto"/>
        <w:left w:val="none" w:sz="0" w:space="0" w:color="auto"/>
        <w:bottom w:val="none" w:sz="0" w:space="0" w:color="auto"/>
        <w:right w:val="none" w:sz="0" w:space="0" w:color="auto"/>
      </w:divBdr>
    </w:div>
    <w:div w:id="20682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6A083-15C3-49FD-A73F-C55A6CD4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3472</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Compiled AASB 110 (Mar 2020)</vt:lpstr>
    </vt:vector>
  </TitlesOfParts>
  <Company>IFRS</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110 (Mar 2020)</dc:title>
  <dc:subject/>
  <dc:creator>.</dc:creator>
  <cp:keywords/>
  <cp:lastModifiedBy>Clark Anstis</cp:lastModifiedBy>
  <cp:revision>103</cp:revision>
  <dcterms:created xsi:type="dcterms:W3CDTF">2015-06-26T03:02:00Z</dcterms:created>
  <dcterms:modified xsi:type="dcterms:W3CDTF">2021-08-25T02:00:00Z</dcterms:modified>
</cp:coreProperties>
</file>