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723596" w:rsidTr="00C50203">
        <w:trPr>
          <w:tblHeader/>
        </w:trPr>
        <w:tc>
          <w:tcPr>
            <w:tcW w:w="4508" w:type="dxa"/>
          </w:tcPr>
          <w:p w:rsidR="00723596" w:rsidRDefault="00723596" w:rsidP="00F27E21">
            <w:pPr>
              <w:pStyle w:val="AASBStandardCover"/>
            </w:pPr>
            <w:bookmarkStart w:id="0" w:name="_GoBack"/>
            <w:bookmarkEnd w:id="0"/>
            <w:r>
              <w:t xml:space="preserve">AASB </w:t>
            </w:r>
            <w:bookmarkStart w:id="1" w:name="DocType"/>
            <w:r w:rsidRPr="00CB4C3F">
              <w:t>Standard</w:t>
            </w:r>
            <w:bookmarkEnd w:id="1"/>
          </w:p>
        </w:tc>
        <w:tc>
          <w:tcPr>
            <w:tcW w:w="4509" w:type="dxa"/>
          </w:tcPr>
          <w:p w:rsidR="00723596" w:rsidRPr="000E7AF9" w:rsidRDefault="00723596" w:rsidP="00F27E21">
            <w:pPr>
              <w:pStyle w:val="AASBStandardNumber"/>
              <w:rPr>
                <w:rFonts w:ascii="HelveticaNeueLT Std" w:hAnsi="HelveticaNeueLT Std"/>
                <w:b/>
              </w:rPr>
            </w:pPr>
            <w:bookmarkStart w:id="2" w:name="DocTypeAbb"/>
            <w:r w:rsidRPr="000E7AF9">
              <w:rPr>
                <w:rFonts w:ascii="HelveticaNeueLT Std" w:hAnsi="HelveticaNeueLT Std"/>
                <w:b/>
              </w:rPr>
              <w:t>AASB</w:t>
            </w:r>
            <w:bookmarkEnd w:id="2"/>
            <w:r w:rsidRPr="000E7AF9">
              <w:rPr>
                <w:rFonts w:ascii="HelveticaNeueLT Std" w:hAnsi="HelveticaNeueLT Std"/>
                <w:b/>
              </w:rPr>
              <w:t xml:space="preserve"> </w:t>
            </w:r>
            <w:bookmarkStart w:id="3" w:name="DocNo"/>
            <w:r w:rsidRPr="000E7AF9">
              <w:rPr>
                <w:rFonts w:ascii="HelveticaNeueLT Std" w:hAnsi="HelveticaNeueLT Std"/>
                <w:b/>
              </w:rPr>
              <w:t>139</w:t>
            </w:r>
            <w:bookmarkEnd w:id="3"/>
          </w:p>
          <w:p w:rsidR="00723596" w:rsidRDefault="00293FDB" w:rsidP="00F27E21">
            <w:pPr>
              <w:pStyle w:val="AASBStandardDate"/>
            </w:pPr>
            <w:bookmarkStart w:id="4" w:name="DocDate"/>
            <w:r>
              <w:t>August</w:t>
            </w:r>
            <w:r w:rsidR="006635EA">
              <w:t xml:space="preserve"> 2015</w:t>
            </w:r>
            <w:bookmarkEnd w:id="4"/>
          </w:p>
        </w:tc>
      </w:tr>
    </w:tbl>
    <w:p w:rsidR="00723596" w:rsidRDefault="00723596" w:rsidP="00F27E21">
      <w:pPr>
        <w:pStyle w:val="AASBStandardTitle"/>
      </w:pPr>
      <w:bookmarkStart w:id="5" w:name="DocTitle"/>
      <w:r>
        <w:t>Financial Instruments: Recognition and Measurement</w:t>
      </w:r>
      <w:bookmarkEnd w:id="5"/>
    </w:p>
    <w:p w:rsidR="00723596" w:rsidRDefault="00723596" w:rsidP="00F27E21">
      <w:pPr>
        <w:pStyle w:val="AASBBase"/>
      </w:pPr>
      <w:r w:rsidRPr="0024411C">
        <w:rPr>
          <w:noProof/>
          <w:lang w:eastAsia="en-AU"/>
        </w:rPr>
        <w:drawing>
          <wp:anchor distT="0" distB="0" distL="114300" distR="114300" simplePos="0" relativeHeight="251659264" behindDoc="0" locked="1" layoutInCell="1" allowOverlap="1" wp14:anchorId="12690411" wp14:editId="61CDCA6E">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596" w:rsidRDefault="00723596" w:rsidP="00F27E21">
      <w:pPr>
        <w:pStyle w:val="AASBBase"/>
        <w:sectPr w:rsidR="00723596" w:rsidSect="00F27E21">
          <w:headerReference w:type="default" r:id="rId9"/>
          <w:pgSz w:w="11907" w:h="16839" w:code="9"/>
          <w:pgMar w:top="1440" w:right="1440" w:bottom="1440" w:left="1440" w:header="709" w:footer="709" w:gutter="0"/>
          <w:cols w:space="708"/>
          <w:docGrid w:linePitch="360"/>
        </w:sectPr>
      </w:pPr>
    </w:p>
    <w:p w:rsidR="00723596" w:rsidRDefault="00723596" w:rsidP="00F27E21">
      <w:pPr>
        <w:pStyle w:val="IASBSectionTitle2NonInd"/>
      </w:pPr>
      <w:r>
        <w:lastRenderedPageBreak/>
        <w:t xml:space="preserve">Obtaining a </w:t>
      </w:r>
      <w:r w:rsidR="00B559A2">
        <w:t>c</w:t>
      </w:r>
      <w:r>
        <w:t xml:space="preserve">opy of this Accounting </w:t>
      </w:r>
      <w:r w:rsidR="00763C7B">
        <w:fldChar w:fldCharType="begin" w:fldLock="1"/>
      </w:r>
      <w:r w:rsidR="00763C7B">
        <w:instrText xml:space="preserve"> REF DocType </w:instrText>
      </w:r>
      <w:r w:rsidR="00763C7B">
        <w:fldChar w:fldCharType="separate"/>
      </w:r>
      <w:r w:rsidR="006635EA" w:rsidRPr="00CB4C3F">
        <w:t>Standard</w:t>
      </w:r>
      <w:r w:rsidR="00763C7B">
        <w:fldChar w:fldCharType="end"/>
      </w:r>
    </w:p>
    <w:p w:rsidR="00723596" w:rsidRDefault="00723596" w:rsidP="00F27E21">
      <w:pPr>
        <w:pStyle w:val="AASBBase"/>
      </w:pPr>
      <w:r>
        <w:t xml:space="preserve">This </w:t>
      </w:r>
      <w:r w:rsidR="00763C7B">
        <w:fldChar w:fldCharType="begin" w:fldLock="1"/>
      </w:r>
      <w:r w:rsidR="00763C7B">
        <w:instrText xml:space="preserve"> REF DocType </w:instrText>
      </w:r>
      <w:r w:rsidR="00763C7B">
        <w:fldChar w:fldCharType="separate"/>
      </w:r>
      <w:r w:rsidR="006635EA" w:rsidRPr="00CB4C3F">
        <w:t>Standard</w:t>
      </w:r>
      <w:r w:rsidR="00763C7B">
        <w:fldChar w:fldCharType="end"/>
      </w:r>
      <w:r>
        <w:t xml:space="preserve"> is available on the AASB website: www.aasb.gov.au.</w:t>
      </w:r>
    </w:p>
    <w:p w:rsidR="00723596" w:rsidRDefault="00723596" w:rsidP="00F27E21">
      <w:pPr>
        <w:pStyle w:val="AASBBase"/>
      </w:pPr>
    </w:p>
    <w:p w:rsidR="00723596" w:rsidRDefault="00723596" w:rsidP="00F27E21">
      <w:pPr>
        <w:pStyle w:val="AASBBase"/>
      </w:pPr>
      <w:r>
        <w:t>Australian Accounting Standards Board</w:t>
      </w:r>
    </w:p>
    <w:p w:rsidR="00723596" w:rsidRDefault="00723596" w:rsidP="00F27E21">
      <w:pPr>
        <w:pStyle w:val="AASBBase"/>
      </w:pPr>
      <w:r>
        <w:t>PO Box 204</w:t>
      </w:r>
    </w:p>
    <w:p w:rsidR="00723596" w:rsidRDefault="00723596" w:rsidP="00F27E21">
      <w:pPr>
        <w:pStyle w:val="AASBBase"/>
      </w:pPr>
      <w:r>
        <w:t>Collins Street West</w:t>
      </w:r>
    </w:p>
    <w:p w:rsidR="00723596" w:rsidRDefault="00723596" w:rsidP="00F27E21">
      <w:pPr>
        <w:pStyle w:val="AASBBase"/>
      </w:pPr>
      <w:r>
        <w:t>Victoria   8007</w:t>
      </w:r>
    </w:p>
    <w:p w:rsidR="00723596" w:rsidRDefault="00723596" w:rsidP="00F27E21">
      <w:pPr>
        <w:pStyle w:val="AASBPara"/>
      </w:pPr>
      <w:r>
        <w:t>AUSTRALIA</w:t>
      </w:r>
    </w:p>
    <w:p w:rsidR="00723596" w:rsidRDefault="00723596" w:rsidP="00E9072E">
      <w:pPr>
        <w:pStyle w:val="AASBBase"/>
        <w:tabs>
          <w:tab w:val="left" w:pos="907"/>
        </w:tabs>
      </w:pPr>
      <w:r>
        <w:t>Phone:</w:t>
      </w:r>
      <w:r>
        <w:tab/>
        <w:t>(03) 9617 7637</w:t>
      </w:r>
    </w:p>
    <w:p w:rsidR="00723596" w:rsidRDefault="00723596" w:rsidP="00E9072E">
      <w:pPr>
        <w:pStyle w:val="AASBBase"/>
        <w:tabs>
          <w:tab w:val="left" w:pos="907"/>
        </w:tabs>
      </w:pPr>
      <w:r>
        <w:t>E-mail:</w:t>
      </w:r>
      <w:r>
        <w:tab/>
        <w:t>publications@aasb.gov.au</w:t>
      </w:r>
    </w:p>
    <w:p w:rsidR="00723596" w:rsidRDefault="00723596" w:rsidP="00E9072E">
      <w:pPr>
        <w:pStyle w:val="AASBPara"/>
        <w:tabs>
          <w:tab w:val="left" w:pos="907"/>
        </w:tabs>
      </w:pPr>
      <w:r>
        <w:t>Website:</w:t>
      </w:r>
      <w:r>
        <w:tab/>
        <w:t>www.aasb.gov.au</w:t>
      </w:r>
    </w:p>
    <w:p w:rsidR="00723596" w:rsidRDefault="00723596" w:rsidP="00F27E21">
      <w:pPr>
        <w:pStyle w:val="IASBSectionTitle2NonInd"/>
      </w:pPr>
      <w:r>
        <w:t xml:space="preserve">Other </w:t>
      </w:r>
      <w:r w:rsidR="00B559A2">
        <w:t>e</w:t>
      </w:r>
      <w:r>
        <w:t>nquiries</w:t>
      </w:r>
    </w:p>
    <w:p w:rsidR="00723596" w:rsidRDefault="00723596" w:rsidP="00E9072E">
      <w:pPr>
        <w:pStyle w:val="AASBBase"/>
        <w:tabs>
          <w:tab w:val="left" w:pos="907"/>
        </w:tabs>
      </w:pPr>
      <w:r>
        <w:t>Phone:</w:t>
      </w:r>
      <w:r>
        <w:tab/>
        <w:t>(03) 9617 7600</w:t>
      </w:r>
    </w:p>
    <w:p w:rsidR="00723596" w:rsidRDefault="00723596" w:rsidP="00E9072E">
      <w:pPr>
        <w:pStyle w:val="AASBBase"/>
        <w:tabs>
          <w:tab w:val="left" w:pos="907"/>
        </w:tabs>
      </w:pPr>
      <w:r>
        <w:t>E-mail:</w:t>
      </w:r>
      <w:r>
        <w:tab/>
        <w:t>standard@aasb.gov.au</w:t>
      </w:r>
    </w:p>
    <w:p w:rsidR="00723596" w:rsidRDefault="00723596" w:rsidP="00F27E21">
      <w:pPr>
        <w:pStyle w:val="AASBPara"/>
        <w:spacing w:before="5520"/>
      </w:pPr>
      <w:r>
        <w:t>COPYRIGHT</w:t>
      </w:r>
    </w:p>
    <w:p w:rsidR="00723596" w:rsidRDefault="00723596" w:rsidP="00F27E21">
      <w:pPr>
        <w:pStyle w:val="AASBPara"/>
      </w:pPr>
      <w:r>
        <w:t xml:space="preserve">© Commonwealth of Australia </w:t>
      </w:r>
      <w:bookmarkStart w:id="6" w:name="Year"/>
      <w:r w:rsidR="006635EA">
        <w:t>2015</w:t>
      </w:r>
      <w:bookmarkEnd w:id="6"/>
    </w:p>
    <w:p w:rsidR="00723596" w:rsidRDefault="00723596" w:rsidP="00F27E21">
      <w:pPr>
        <w:pStyle w:val="AASBPara"/>
      </w:pPr>
      <w:r>
        <w:t xml:space="preserve">This AASB </w:t>
      </w:r>
      <w:r w:rsidR="00763C7B">
        <w:fldChar w:fldCharType="begin" w:fldLock="1"/>
      </w:r>
      <w:r w:rsidR="00763C7B">
        <w:instrText xml:space="preserve"> REF DocType </w:instrText>
      </w:r>
      <w:r w:rsidR="00763C7B">
        <w:fldChar w:fldCharType="separate"/>
      </w:r>
      <w:r w:rsidR="006635EA" w:rsidRPr="00CB4C3F">
        <w:t>Standard</w:t>
      </w:r>
      <w:r w:rsidR="00763C7B">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723596" w:rsidRDefault="00723596" w:rsidP="00F27E21">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723596" w:rsidRDefault="00723596" w:rsidP="00F27E21">
      <w:pPr>
        <w:pStyle w:val="AASBBase"/>
      </w:pPr>
      <w:r>
        <w:t xml:space="preserve">ISSN </w:t>
      </w:r>
      <w:bookmarkStart w:id="7" w:name="ISSN"/>
      <w:r>
        <w:t>1036-4803</w:t>
      </w:r>
      <w:bookmarkEnd w:id="7"/>
    </w:p>
    <w:p w:rsidR="00723596" w:rsidRDefault="00723596" w:rsidP="00F27E21">
      <w:pPr>
        <w:pStyle w:val="AASBBase"/>
        <w:sectPr w:rsidR="00723596" w:rsidSect="009D7809">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723596" w:rsidRDefault="00723596" w:rsidP="00F27E21">
      <w:pPr>
        <w:pStyle w:val="ConvSectionTitle"/>
      </w:pPr>
      <w:r>
        <w:lastRenderedPageBreak/>
        <w:t>Contents</w:t>
      </w:r>
    </w:p>
    <w:p w:rsidR="00723596" w:rsidRDefault="00723596" w:rsidP="00E9072E">
      <w:pPr>
        <w:pStyle w:val="AASBPara"/>
        <w:spacing w:before="400"/>
      </w:pPr>
      <w:r>
        <w:t xml:space="preserve">COMPARISON WITH </w:t>
      </w:r>
      <w:bookmarkStart w:id="8" w:name="IntnlType"/>
      <w:r>
        <w:t>IAS</w:t>
      </w:r>
      <w:bookmarkEnd w:id="8"/>
      <w:r>
        <w:t xml:space="preserve"> </w:t>
      </w:r>
      <w:bookmarkStart w:id="9" w:name="IntnlNo"/>
      <w:r>
        <w:t>39</w:t>
      </w:r>
      <w:bookmarkEnd w:id="9"/>
    </w:p>
    <w:p w:rsidR="00723596" w:rsidRPr="000C31B3" w:rsidRDefault="00723596" w:rsidP="00F27E21">
      <w:pPr>
        <w:pStyle w:val="AASBBase"/>
        <w:rPr>
          <w:b/>
        </w:rPr>
      </w:pPr>
      <w:bookmarkStart w:id="10" w:name="TOCTopStandard"/>
      <w:r w:rsidRPr="000C31B3">
        <w:rPr>
          <w:b/>
        </w:rPr>
        <w:t>ACCOUNTING STANDARD</w:t>
      </w:r>
    </w:p>
    <w:p w:rsidR="00723596" w:rsidRPr="000C31B3" w:rsidRDefault="00723596" w:rsidP="00F27E21">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6635EA" w:rsidRPr="006635EA">
        <w:rPr>
          <w:b/>
        </w:rPr>
        <w:t>139</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6635EA" w:rsidRPr="006635EA">
        <w:rPr>
          <w:b/>
          <w:i/>
        </w:rPr>
        <w:t>FINANCIAL INSTRUMENTS: RECOGNITION AND MEASUREMENT</w:t>
      </w:r>
      <w:r w:rsidRPr="000C31B3">
        <w:rPr>
          <w:b/>
          <w:i/>
        </w:rPr>
        <w:fldChar w:fldCharType="end"/>
      </w:r>
    </w:p>
    <w:bookmarkEnd w:id="10"/>
    <w:p w:rsidR="00723596" w:rsidRDefault="00723596" w:rsidP="00F27E21">
      <w:pPr>
        <w:pStyle w:val="ContentsHeading"/>
      </w:pPr>
      <w:r>
        <w:t>from paragraph</w:t>
      </w:r>
    </w:p>
    <w:p w:rsidR="00EC6207" w:rsidRDefault="00EC6207" w:rsidP="00EC6207">
      <w:pPr>
        <w:pStyle w:val="ContentsLevel1"/>
      </w:pPr>
      <w:bookmarkStart w:id="11" w:name="TOCRange"/>
      <w:bookmarkStart w:id="12" w:name="TOCBottomStandard"/>
      <w:r>
        <w:t>Scope</w:t>
      </w:r>
      <w:r>
        <w:tab/>
        <w:t>2</w:t>
      </w:r>
    </w:p>
    <w:p w:rsidR="00EC6207" w:rsidRDefault="00EC6207" w:rsidP="00EC6207">
      <w:pPr>
        <w:pStyle w:val="ContentsLevel1"/>
      </w:pPr>
      <w:r>
        <w:t>Definitions</w:t>
      </w:r>
      <w:r>
        <w:tab/>
        <w:t>8</w:t>
      </w:r>
    </w:p>
    <w:p w:rsidR="00EC6207" w:rsidRDefault="00EC6207" w:rsidP="00EC6207">
      <w:pPr>
        <w:pStyle w:val="ContentsLevel1"/>
      </w:pPr>
      <w:r>
        <w:t>Hedging</w:t>
      </w:r>
      <w:r>
        <w:tab/>
        <w:t>71</w:t>
      </w:r>
    </w:p>
    <w:p w:rsidR="00EC6207" w:rsidRDefault="00EC6207" w:rsidP="00EC6207">
      <w:pPr>
        <w:pStyle w:val="ContentsLevel2"/>
      </w:pPr>
      <w:r>
        <w:t>Hedging instruments</w:t>
      </w:r>
    </w:p>
    <w:p w:rsidR="00EC6207" w:rsidRDefault="00EC6207" w:rsidP="00EC6207">
      <w:pPr>
        <w:pStyle w:val="ContentsLevel3"/>
      </w:pPr>
      <w:r>
        <w:t>Qualifying instruments</w:t>
      </w:r>
      <w:r>
        <w:tab/>
        <w:t>72</w:t>
      </w:r>
    </w:p>
    <w:p w:rsidR="00EC6207" w:rsidRDefault="00EC6207" w:rsidP="00EC6207">
      <w:pPr>
        <w:pStyle w:val="ContentsLevel3"/>
      </w:pPr>
      <w:r>
        <w:t>Designation of hedging instruments</w:t>
      </w:r>
      <w:r>
        <w:tab/>
        <w:t>74</w:t>
      </w:r>
    </w:p>
    <w:p w:rsidR="00EC6207" w:rsidRDefault="00EC6207" w:rsidP="00EC6207">
      <w:pPr>
        <w:pStyle w:val="ContentsLevel2"/>
      </w:pPr>
      <w:r>
        <w:t>Hedged items</w:t>
      </w:r>
    </w:p>
    <w:p w:rsidR="00EC6207" w:rsidRDefault="00EC6207" w:rsidP="00EC6207">
      <w:pPr>
        <w:pStyle w:val="ContentsLevel3"/>
      </w:pPr>
      <w:r>
        <w:t>Qualifying items</w:t>
      </w:r>
      <w:r>
        <w:tab/>
        <w:t>78</w:t>
      </w:r>
    </w:p>
    <w:p w:rsidR="00EC6207" w:rsidRDefault="00EC6207" w:rsidP="00EC6207">
      <w:pPr>
        <w:pStyle w:val="ContentsLevel3"/>
      </w:pPr>
      <w:r>
        <w:t>Designation of financial items as hedged items</w:t>
      </w:r>
      <w:r>
        <w:tab/>
        <w:t>81</w:t>
      </w:r>
    </w:p>
    <w:p w:rsidR="00EC6207" w:rsidRDefault="00EC6207" w:rsidP="00EC6207">
      <w:pPr>
        <w:pStyle w:val="ContentsLevel3"/>
      </w:pPr>
      <w:r>
        <w:t>Designation of non-financial items as hedged items</w:t>
      </w:r>
      <w:r>
        <w:tab/>
        <w:t>82</w:t>
      </w:r>
    </w:p>
    <w:p w:rsidR="00EC6207" w:rsidRDefault="00EC6207" w:rsidP="00EC6207">
      <w:pPr>
        <w:pStyle w:val="ContentsLevel3"/>
      </w:pPr>
      <w:r>
        <w:t>Designation of groups of items as hedged items</w:t>
      </w:r>
      <w:r>
        <w:tab/>
        <w:t>83</w:t>
      </w:r>
    </w:p>
    <w:p w:rsidR="00EC6207" w:rsidRDefault="00EC6207" w:rsidP="00EC6207">
      <w:pPr>
        <w:pStyle w:val="ContentsLevel2"/>
      </w:pPr>
      <w:r>
        <w:t>Hedge accounting</w:t>
      </w:r>
      <w:r>
        <w:tab/>
        <w:t>85</w:t>
      </w:r>
    </w:p>
    <w:p w:rsidR="00EC6207" w:rsidRDefault="00EC6207" w:rsidP="00EC6207">
      <w:pPr>
        <w:pStyle w:val="ContentsLevel3"/>
      </w:pPr>
      <w:r>
        <w:t>Fair value hedges</w:t>
      </w:r>
      <w:r>
        <w:tab/>
        <w:t>89</w:t>
      </w:r>
    </w:p>
    <w:p w:rsidR="00EC6207" w:rsidRDefault="00EC6207" w:rsidP="00EC6207">
      <w:pPr>
        <w:pStyle w:val="ContentsLevel3"/>
      </w:pPr>
      <w:r>
        <w:t>Cash flow hedges</w:t>
      </w:r>
      <w:r>
        <w:tab/>
        <w:t>95</w:t>
      </w:r>
    </w:p>
    <w:p w:rsidR="00EC6207" w:rsidRDefault="00EC6207" w:rsidP="00EC6207">
      <w:pPr>
        <w:pStyle w:val="ContentsLevel3"/>
      </w:pPr>
      <w:r>
        <w:t>Hedges of a net investment</w:t>
      </w:r>
      <w:r>
        <w:tab/>
        <w:t>102</w:t>
      </w:r>
    </w:p>
    <w:p w:rsidR="00EC6207" w:rsidRDefault="00EC6207" w:rsidP="00EC6207">
      <w:pPr>
        <w:pStyle w:val="ContentsLevel1"/>
      </w:pPr>
      <w:r>
        <w:t>Effective date and transition</w:t>
      </w:r>
      <w:r>
        <w:tab/>
        <w:t>103</w:t>
      </w:r>
    </w:p>
    <w:p w:rsidR="00EC6207" w:rsidRDefault="00EC6207" w:rsidP="00EC6207">
      <w:pPr>
        <w:pStyle w:val="ContentsLevel1"/>
      </w:pPr>
      <w:r>
        <w:t>Withdr</w:t>
      </w:r>
      <w:r w:rsidR="009D3774">
        <w:t>awal of other pronouncements</w:t>
      </w:r>
      <w:r w:rsidR="009D3774">
        <w:tab/>
        <w:t>109</w:t>
      </w:r>
    </w:p>
    <w:p w:rsidR="00EC6207" w:rsidRDefault="00EC6207" w:rsidP="00EC6207">
      <w:pPr>
        <w:pStyle w:val="ContentsLevel1"/>
      </w:pPr>
      <w:r>
        <w:t>Commencement of the legislative instrument</w:t>
      </w:r>
      <w:r>
        <w:tab/>
      </w:r>
      <w:r w:rsidRPr="00EC6207">
        <w:rPr>
          <w:caps w:val="0"/>
        </w:rPr>
        <w:t>Aus</w:t>
      </w:r>
      <w:r>
        <w:t>110.1</w:t>
      </w:r>
    </w:p>
    <w:p w:rsidR="00EC6207" w:rsidRDefault="00EC6207" w:rsidP="00EC6207">
      <w:pPr>
        <w:pStyle w:val="ContentsLevel1"/>
      </w:pPr>
      <w:r>
        <w:t>Withdrawal of AASB pronouncements</w:t>
      </w:r>
      <w:r>
        <w:tab/>
      </w:r>
      <w:r w:rsidRPr="00EC6207">
        <w:rPr>
          <w:caps w:val="0"/>
        </w:rPr>
        <w:t>Aus</w:t>
      </w:r>
      <w:r>
        <w:t>110.2</w:t>
      </w:r>
    </w:p>
    <w:p w:rsidR="00EC6207" w:rsidRDefault="00EB7025" w:rsidP="00EC6207">
      <w:pPr>
        <w:pStyle w:val="ContentsLevel1"/>
      </w:pPr>
      <w:r>
        <w:t>Appendix</w:t>
      </w:r>
    </w:p>
    <w:p w:rsidR="00EC6207" w:rsidRPr="00EC6207" w:rsidRDefault="00EB7025" w:rsidP="00EC6207">
      <w:pPr>
        <w:pStyle w:val="ContentsLevel1"/>
        <w:rPr>
          <w:caps w:val="0"/>
        </w:rPr>
      </w:pPr>
      <w:r>
        <w:rPr>
          <w:caps w:val="0"/>
        </w:rPr>
        <w:t xml:space="preserve">A </w:t>
      </w:r>
      <w:r w:rsidR="00EC6207" w:rsidRPr="00EC6207">
        <w:rPr>
          <w:caps w:val="0"/>
        </w:rPr>
        <w:t>Application guidance</w:t>
      </w:r>
    </w:p>
    <w:p w:rsidR="00EC6207" w:rsidRDefault="00EC6207" w:rsidP="00EC6207">
      <w:pPr>
        <w:pStyle w:val="ContentsLevel1"/>
      </w:pPr>
      <w:r>
        <w:t>Illustrative Example</w:t>
      </w:r>
    </w:p>
    <w:p w:rsidR="00EC6207" w:rsidRDefault="00EC6207" w:rsidP="00EC6207">
      <w:pPr>
        <w:pStyle w:val="ContentsLevel1"/>
      </w:pPr>
      <w:r>
        <w:t>Deleted IAS 39 text</w:t>
      </w:r>
    </w:p>
    <w:bookmarkEnd w:id="11"/>
    <w:p w:rsidR="00723596" w:rsidRDefault="00723596" w:rsidP="00F27E21">
      <w:pPr>
        <w:pStyle w:val="ContentsLevel1"/>
      </w:pPr>
    </w:p>
    <w:p w:rsidR="00723596" w:rsidRDefault="00723596" w:rsidP="00F27E21">
      <w:pPr>
        <w:pStyle w:val="ContentsLevel1"/>
      </w:pPr>
    </w:p>
    <w:p w:rsidR="00EC6207" w:rsidRDefault="00EC6207" w:rsidP="00EC6207">
      <w:pPr>
        <w:pStyle w:val="ContentsLevel1"/>
      </w:pPr>
      <w:r>
        <w:t>Available on the AASB website</w:t>
      </w:r>
    </w:p>
    <w:p w:rsidR="009D3774" w:rsidRPr="00EC6207" w:rsidRDefault="009D3774" w:rsidP="009D3774">
      <w:pPr>
        <w:pStyle w:val="ContentsLevel1"/>
        <w:rPr>
          <w:caps w:val="0"/>
        </w:rPr>
      </w:pPr>
      <w:r>
        <w:rPr>
          <w:caps w:val="0"/>
        </w:rPr>
        <w:t>Implementation guidance on IAS 39</w:t>
      </w:r>
    </w:p>
    <w:p w:rsidR="00EC6207" w:rsidRDefault="00EC6207" w:rsidP="00EC6207">
      <w:pPr>
        <w:pStyle w:val="ContentsLevel1"/>
      </w:pPr>
      <w:r>
        <w:rPr>
          <w:caps w:val="0"/>
        </w:rPr>
        <w:t>Basis for Conclusions on</w:t>
      </w:r>
      <w:r w:rsidR="009D3774">
        <w:rPr>
          <w:caps w:val="0"/>
        </w:rPr>
        <w:t xml:space="preserve"> IAS 39</w:t>
      </w:r>
    </w:p>
    <w:p w:rsidR="00EC6207" w:rsidRDefault="00EC6207" w:rsidP="00F27E21">
      <w:pPr>
        <w:pStyle w:val="ContentsLevel1"/>
      </w:pPr>
    </w:p>
    <w:p w:rsidR="00E9072E" w:rsidRDefault="00E9072E" w:rsidP="00F27E21">
      <w:pPr>
        <w:pStyle w:val="ContentsLevel1"/>
      </w:pPr>
    </w:p>
    <w:p w:rsidR="00723596" w:rsidRDefault="00723596" w:rsidP="00F27E21">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6635EA">
        <w:t>139</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6635EA" w:rsidRPr="006635EA">
        <w:rPr>
          <w:i/>
        </w:rPr>
        <w:t>Financial Instruments: Recognition and Measurement</w:t>
      </w:r>
      <w:r w:rsidRPr="00103CE9">
        <w:rPr>
          <w:i/>
        </w:rPr>
        <w:fldChar w:fldCharType="end"/>
      </w:r>
      <w:r>
        <w:t xml:space="preserve"> is set out in paragraphs </w:t>
      </w:r>
      <w:r w:rsidR="006635EA">
        <w:t>2 – Aus110.2</w:t>
      </w:r>
      <w:r>
        <w:t xml:space="preserve"> and Appendi</w:t>
      </w:r>
      <w:r w:rsidR="00EC6207">
        <w:t>x</w:t>
      </w:r>
      <w:r>
        <w:t xml:space="preserve"> </w:t>
      </w:r>
      <w:r w:rsidR="00EC6207">
        <w:t>A</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6635EA">
        <w:t>139</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9612C5">
        <w:t xml:space="preserve">, and AASB 1057 </w:t>
      </w:r>
      <w:r w:rsidR="009612C5"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723596" w:rsidRDefault="00723596" w:rsidP="00F27E21">
      <w:pPr>
        <w:pStyle w:val="AASBBase"/>
      </w:pPr>
    </w:p>
    <w:bookmarkEnd w:id="12"/>
    <w:p w:rsidR="00723596" w:rsidRDefault="00723596" w:rsidP="00F27E21">
      <w:pPr>
        <w:pStyle w:val="AASBBase"/>
      </w:pPr>
    </w:p>
    <w:p w:rsidR="00723596" w:rsidRDefault="00723596" w:rsidP="00F27E21">
      <w:pPr>
        <w:pStyle w:val="AASBBase"/>
        <w:sectPr w:rsidR="00723596" w:rsidSect="00F27E21">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723596" w:rsidRDefault="00723596" w:rsidP="00F27E21">
      <w:pPr>
        <w:pStyle w:val="ConvSectionTitle"/>
      </w:pPr>
      <w:r>
        <w:lastRenderedPageBreak/>
        <w:t xml:space="preserve">Comparison with </w:t>
      </w:r>
      <w:r>
        <w:fldChar w:fldCharType="begin" w:fldLock="1"/>
      </w:r>
      <w:r>
        <w:instrText xml:space="preserve"> REF IntnlType \* charformat</w:instrText>
      </w:r>
      <w:r>
        <w:fldChar w:fldCharType="separate"/>
      </w:r>
      <w:r w:rsidR="006635EA">
        <w:t>IAS</w:t>
      </w:r>
      <w:r>
        <w:fldChar w:fldCharType="end"/>
      </w:r>
      <w:r>
        <w:t xml:space="preserve"> </w:t>
      </w:r>
      <w:r>
        <w:fldChar w:fldCharType="begin" w:fldLock="1"/>
      </w:r>
      <w:r>
        <w:instrText xml:space="preserve"> REF IntnlNo \* charformat</w:instrText>
      </w:r>
      <w:r>
        <w:fldChar w:fldCharType="separate"/>
      </w:r>
      <w:r w:rsidR="006635EA">
        <w:t>39</w:t>
      </w:r>
      <w:r>
        <w:fldChar w:fldCharType="end"/>
      </w:r>
    </w:p>
    <w:p w:rsidR="00723596" w:rsidRDefault="00723596" w:rsidP="00F27E21">
      <w:pPr>
        <w:pStyle w:val="IASBNormal"/>
      </w:pPr>
      <w:r>
        <w:t xml:space="preserve">AASB </w:t>
      </w:r>
      <w:r>
        <w:fldChar w:fldCharType="begin" w:fldLock="1"/>
      </w:r>
      <w:r>
        <w:instrText xml:space="preserve"> REF DocNo \* charformat</w:instrText>
      </w:r>
      <w:r>
        <w:fldChar w:fldCharType="separate"/>
      </w:r>
      <w:r w:rsidR="006635EA">
        <w:t>139</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6635EA" w:rsidRPr="006635EA">
        <w:rPr>
          <w:i/>
        </w:rPr>
        <w:t>Financial Instruments: Recognition and Measurement</w:t>
      </w:r>
      <w:r w:rsidRPr="00137A58">
        <w:rPr>
          <w:i/>
        </w:rPr>
        <w:fldChar w:fldCharType="end"/>
      </w:r>
      <w:r>
        <w:t xml:space="preserve"> incorporates </w:t>
      </w:r>
      <w:r>
        <w:fldChar w:fldCharType="begin" w:fldLock="1"/>
      </w:r>
      <w:r>
        <w:instrText xml:space="preserve"> REF IntnlType \* charformat</w:instrText>
      </w:r>
      <w:r>
        <w:fldChar w:fldCharType="separate"/>
      </w:r>
      <w:r w:rsidR="006635EA">
        <w:t>IAS</w:t>
      </w:r>
      <w:r>
        <w:fldChar w:fldCharType="end"/>
      </w:r>
      <w:r>
        <w:t> </w:t>
      </w:r>
      <w:r>
        <w:fldChar w:fldCharType="begin" w:fldLock="1"/>
      </w:r>
      <w:r>
        <w:instrText xml:space="preserve"> REF IntnlNo \* charformat</w:instrText>
      </w:r>
      <w:r>
        <w:fldChar w:fldCharType="separate"/>
      </w:r>
      <w:r w:rsidR="006635EA">
        <w:t>39</w:t>
      </w:r>
      <w:r>
        <w:fldChar w:fldCharType="end"/>
      </w:r>
      <w:r>
        <w:t xml:space="preserve"> </w:t>
      </w:r>
      <w:bookmarkStart w:id="13" w:name="IntnlTitle"/>
      <w:r w:rsidRPr="00723596">
        <w:rPr>
          <w:i/>
        </w:rPr>
        <w:t>Financial Instruments: Recognition and Measurement</w:t>
      </w:r>
      <w:bookmarkEnd w:id="13"/>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6635EA">
        <w:t>IAS</w:t>
      </w:r>
      <w:r>
        <w:fldChar w:fldCharType="end"/>
      </w:r>
      <w:r>
        <w:t> </w:t>
      </w:r>
      <w:r>
        <w:fldChar w:fldCharType="begin" w:fldLock="1"/>
      </w:r>
      <w:r>
        <w:instrText xml:space="preserve"> REF IntnlNo \* charformat</w:instrText>
      </w:r>
      <w:r>
        <w:fldChar w:fldCharType="separate"/>
      </w:r>
      <w:r w:rsidR="006635EA">
        <w:t>39</w:t>
      </w:r>
      <w:r>
        <w:fldChar w:fldCharType="end"/>
      </w:r>
      <w:r>
        <w:t>) are identified with the prefix “</w:t>
      </w:r>
      <w:proofErr w:type="spellStart"/>
      <w:r>
        <w:t>Aus</w:t>
      </w:r>
      <w:proofErr w:type="spellEnd"/>
      <w:r>
        <w:t>”.  Paragraphs that apply only to not-for-profit entities begin by identifying their limited applicability.</w:t>
      </w:r>
    </w:p>
    <w:p w:rsidR="00542719" w:rsidRPr="00865045" w:rsidRDefault="00542719" w:rsidP="00542719">
      <w:pPr>
        <w:pStyle w:val="ConvStandardTitle1"/>
      </w:pPr>
      <w:r w:rsidRPr="00865045">
        <w:t>Tier 1</w:t>
      </w:r>
    </w:p>
    <w:p w:rsidR="00723596" w:rsidRDefault="00723596" w:rsidP="00F27E21">
      <w:pPr>
        <w:pStyle w:val="IASBNormal"/>
      </w:pPr>
      <w:r>
        <w:t xml:space="preserve">For-profit entities complying with AASB </w:t>
      </w:r>
      <w:r>
        <w:fldChar w:fldCharType="begin" w:fldLock="1"/>
      </w:r>
      <w:r>
        <w:instrText xml:space="preserve"> REF DocNo \* charformat</w:instrText>
      </w:r>
      <w:r>
        <w:fldChar w:fldCharType="separate"/>
      </w:r>
      <w:r w:rsidR="006635EA">
        <w:t>139</w:t>
      </w:r>
      <w:r>
        <w:fldChar w:fldCharType="end"/>
      </w:r>
      <w:r>
        <w:t xml:space="preserve"> also comply with </w:t>
      </w:r>
      <w:r>
        <w:fldChar w:fldCharType="begin" w:fldLock="1"/>
      </w:r>
      <w:r>
        <w:instrText xml:space="preserve"> REF IntnlType \* charformat</w:instrText>
      </w:r>
      <w:r>
        <w:fldChar w:fldCharType="separate"/>
      </w:r>
      <w:r w:rsidR="006635EA">
        <w:t>IAS</w:t>
      </w:r>
      <w:r>
        <w:fldChar w:fldCharType="end"/>
      </w:r>
      <w:r>
        <w:t xml:space="preserve"> </w:t>
      </w:r>
      <w:r>
        <w:fldChar w:fldCharType="begin" w:fldLock="1"/>
      </w:r>
      <w:r>
        <w:instrText xml:space="preserve"> REF IntnlNo \* charformat</w:instrText>
      </w:r>
      <w:r>
        <w:fldChar w:fldCharType="separate"/>
      </w:r>
      <w:r w:rsidR="006635EA">
        <w:t>39</w:t>
      </w:r>
      <w:r>
        <w:fldChar w:fldCharType="end"/>
      </w:r>
      <w:r>
        <w:t>.</w:t>
      </w:r>
    </w:p>
    <w:p w:rsidR="00723596" w:rsidRDefault="00723596" w:rsidP="00F27E21">
      <w:pPr>
        <w:pStyle w:val="IASBNormal"/>
      </w:pPr>
      <w:r>
        <w:t xml:space="preserve">Not-for-profit entities’ compliance with </w:t>
      </w:r>
      <w:r>
        <w:fldChar w:fldCharType="begin" w:fldLock="1"/>
      </w:r>
      <w:r>
        <w:instrText xml:space="preserve"> REF IntnlType \* charformat</w:instrText>
      </w:r>
      <w:r>
        <w:fldChar w:fldCharType="separate"/>
      </w:r>
      <w:r w:rsidR="006635EA">
        <w:t>IAS</w:t>
      </w:r>
      <w:r>
        <w:fldChar w:fldCharType="end"/>
      </w:r>
      <w:r>
        <w:t xml:space="preserve"> </w:t>
      </w:r>
      <w:r>
        <w:fldChar w:fldCharType="begin" w:fldLock="1"/>
      </w:r>
      <w:r>
        <w:instrText xml:space="preserve"> REF IntnlNo \* charformat</w:instrText>
      </w:r>
      <w:r>
        <w:fldChar w:fldCharType="separate"/>
      </w:r>
      <w:r w:rsidR="006635EA">
        <w:t>39</w:t>
      </w:r>
      <w:r>
        <w:fldChar w:fldCharType="end"/>
      </w:r>
      <w:r>
        <w:t xml:space="preserve"> will depend on whether any “</w:t>
      </w:r>
      <w:proofErr w:type="spellStart"/>
      <w:r>
        <w:t>Aus</w:t>
      </w:r>
      <w:proofErr w:type="spellEnd"/>
      <w:r>
        <w:t xml:space="preserve">”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6635EA">
        <w:t>IAS</w:t>
      </w:r>
      <w:r>
        <w:fldChar w:fldCharType="end"/>
      </w:r>
      <w:r>
        <w:t> </w:t>
      </w:r>
      <w:r>
        <w:fldChar w:fldCharType="begin" w:fldLock="1"/>
      </w:r>
      <w:r>
        <w:instrText xml:space="preserve"> REF IntnlNo \* charformat</w:instrText>
      </w:r>
      <w:r>
        <w:fldChar w:fldCharType="separate"/>
      </w:r>
      <w:r w:rsidR="006635EA">
        <w:t>39</w:t>
      </w:r>
      <w:r>
        <w:fldChar w:fldCharType="end"/>
      </w:r>
      <w:r>
        <w:t>.</w:t>
      </w:r>
    </w:p>
    <w:p w:rsidR="00542719" w:rsidRPr="00F83914" w:rsidRDefault="00542719" w:rsidP="00542719">
      <w:pPr>
        <w:pStyle w:val="IASBNormal"/>
      </w:pPr>
      <w:r w:rsidRPr="00865045">
        <w:t xml:space="preserve">AASB 1053 </w:t>
      </w:r>
      <w:r w:rsidRPr="00865045">
        <w:rPr>
          <w:i/>
        </w:rPr>
        <w:t>Application of Tiers of Australian Accounting Standards</w:t>
      </w:r>
      <w:r w:rsidRPr="00865045">
        <w:t xml:space="preserve"> explains the two tiers of reporting requirements.</w:t>
      </w:r>
    </w:p>
    <w:p w:rsidR="00723596" w:rsidRDefault="00723596" w:rsidP="00F27E21">
      <w:pPr>
        <w:pStyle w:val="AASBBase"/>
      </w:pPr>
    </w:p>
    <w:p w:rsidR="00723596" w:rsidRDefault="00723596" w:rsidP="00F27E21">
      <w:pPr>
        <w:pStyle w:val="AASBBase"/>
        <w:sectPr w:rsidR="00723596" w:rsidSect="00F27E21">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723596" w:rsidRDefault="00723596" w:rsidP="00F27E21">
      <w:pPr>
        <w:pStyle w:val="ConvSectionTitle"/>
      </w:pPr>
      <w:r>
        <w:t xml:space="preserve">Accounting Standard AASB </w:t>
      </w:r>
      <w:r>
        <w:fldChar w:fldCharType="begin" w:fldLock="1"/>
      </w:r>
      <w:r>
        <w:instrText xml:space="preserve"> REF DocNo \* charformat</w:instrText>
      </w:r>
      <w:r>
        <w:fldChar w:fldCharType="separate"/>
      </w:r>
      <w:r w:rsidR="006635EA">
        <w:t>139</w:t>
      </w:r>
      <w:r>
        <w:fldChar w:fldCharType="end"/>
      </w:r>
    </w:p>
    <w:p w:rsidR="00723596" w:rsidRDefault="00723596" w:rsidP="00F27E21">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6635EA">
        <w:t>139</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6635EA" w:rsidRPr="006635EA">
        <w:rPr>
          <w:i/>
        </w:rPr>
        <w:t>Financial Instruments: Recognition and Measurement</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723596" w:rsidTr="00C50203">
        <w:trPr>
          <w:tblHeader/>
        </w:trPr>
        <w:tc>
          <w:tcPr>
            <w:tcW w:w="4508" w:type="dxa"/>
          </w:tcPr>
          <w:p w:rsidR="00723596" w:rsidRDefault="00723596" w:rsidP="00F27E21">
            <w:pPr>
              <w:pStyle w:val="AASBBase"/>
            </w:pPr>
          </w:p>
        </w:tc>
        <w:tc>
          <w:tcPr>
            <w:tcW w:w="4509" w:type="dxa"/>
          </w:tcPr>
          <w:p w:rsidR="00723596" w:rsidRDefault="00723596" w:rsidP="00F27E21">
            <w:pPr>
              <w:pStyle w:val="AASBBase"/>
              <w:jc w:val="right"/>
            </w:pPr>
            <w:r>
              <w:t>Kris Peach</w:t>
            </w:r>
          </w:p>
        </w:tc>
      </w:tr>
      <w:tr w:rsidR="00723596" w:rsidTr="00F27E21">
        <w:tc>
          <w:tcPr>
            <w:tcW w:w="4508" w:type="dxa"/>
          </w:tcPr>
          <w:p w:rsidR="00723596" w:rsidRDefault="00723596" w:rsidP="00293FDB">
            <w:pPr>
              <w:pStyle w:val="AASBBase"/>
            </w:pPr>
            <w:r>
              <w:t xml:space="preserve">Dated </w:t>
            </w:r>
            <w:bookmarkStart w:id="14" w:name="MakeDate"/>
            <w:r w:rsidR="005773B7">
              <w:t>14</w:t>
            </w:r>
            <w:r w:rsidR="006635EA">
              <w:t xml:space="preserve"> </w:t>
            </w:r>
            <w:r w:rsidR="00293FDB">
              <w:t>August</w:t>
            </w:r>
            <w:r w:rsidR="006635EA">
              <w:t xml:space="preserve"> 2015</w:t>
            </w:r>
            <w:bookmarkEnd w:id="14"/>
          </w:p>
        </w:tc>
        <w:tc>
          <w:tcPr>
            <w:tcW w:w="4509" w:type="dxa"/>
          </w:tcPr>
          <w:p w:rsidR="00723596" w:rsidRDefault="00723596" w:rsidP="00F27E21">
            <w:pPr>
              <w:pStyle w:val="AASBBase"/>
              <w:jc w:val="right"/>
            </w:pPr>
            <w:r>
              <w:t>Chair – AASB</w:t>
            </w:r>
          </w:p>
        </w:tc>
      </w:tr>
    </w:tbl>
    <w:p w:rsidR="00723596" w:rsidRDefault="00723596" w:rsidP="00F27E21">
      <w:pPr>
        <w:pStyle w:val="ConvStandardTitle1"/>
      </w:pPr>
      <w:r>
        <w:t xml:space="preserve">Accounting Standard AASB </w:t>
      </w:r>
      <w:r>
        <w:fldChar w:fldCharType="begin" w:fldLock="1"/>
      </w:r>
      <w:r>
        <w:instrText xml:space="preserve"> REF DocNo \* charformat</w:instrText>
      </w:r>
      <w:r>
        <w:fldChar w:fldCharType="separate"/>
      </w:r>
      <w:r w:rsidR="006635EA">
        <w:t>139</w:t>
      </w:r>
      <w:r>
        <w:fldChar w:fldCharType="end"/>
      </w:r>
    </w:p>
    <w:p w:rsidR="00723596" w:rsidRPr="00844AB3" w:rsidRDefault="00723596" w:rsidP="00F27E21">
      <w:pPr>
        <w:pStyle w:val="ConvStandardTitle2"/>
      </w:pPr>
      <w:r>
        <w:fldChar w:fldCharType="begin" w:fldLock="1"/>
      </w:r>
      <w:r>
        <w:instrText xml:space="preserve"> REF DocTitle \* charformat</w:instrText>
      </w:r>
      <w:r>
        <w:fldChar w:fldCharType="separate"/>
      </w:r>
      <w:r w:rsidR="006635EA">
        <w:t>Financial Instruments: Recognition and Measurement</w:t>
      </w:r>
      <w:r>
        <w:fldChar w:fldCharType="end"/>
      </w:r>
    </w:p>
    <w:p w:rsidR="00C226BC" w:rsidRDefault="00C226BC">
      <w:pPr>
        <w:pStyle w:val="IASBNormalnpara"/>
      </w:pPr>
      <w:r>
        <w:t>1</w:t>
      </w:r>
      <w:r>
        <w:tab/>
        <w:t>[Deleted]</w:t>
      </w:r>
    </w:p>
    <w:p w:rsidR="00C226BC" w:rsidRDefault="00C226BC">
      <w:pPr>
        <w:pStyle w:val="IASBSectionTitle1NonInd"/>
      </w:pPr>
      <w:r>
        <w:t>Scope</w:t>
      </w:r>
    </w:p>
    <w:p w:rsidR="00C226BC" w:rsidRDefault="00C226BC">
      <w:pPr>
        <w:pStyle w:val="IASBNormalnpara"/>
        <w:rPr>
          <w:b/>
        </w:rPr>
      </w:pPr>
      <w:r>
        <w:rPr>
          <w:b/>
        </w:rPr>
        <w:t>2</w:t>
      </w:r>
      <w:r>
        <w:rPr>
          <w:b/>
        </w:rPr>
        <w:tab/>
        <w:t>This Standard shall be applied by all entities to all financial instruments within the scope of</w:t>
      </w:r>
      <w:r w:rsidR="00723596">
        <w:rPr>
          <w:b/>
        </w:rPr>
        <w:t xml:space="preserve"> AASB 9</w:t>
      </w:r>
      <w:r>
        <w:rPr>
          <w:b/>
        </w:rPr>
        <w:t xml:space="preserve"> </w:t>
      </w:r>
      <w:r>
        <w:rPr>
          <w:b/>
          <w:i/>
        </w:rPr>
        <w:t>Financial Instruments</w:t>
      </w:r>
      <w:r>
        <w:rPr>
          <w:b/>
        </w:rPr>
        <w:t xml:space="preserve"> if, and to the extent that:</w:t>
      </w:r>
    </w:p>
    <w:p w:rsidR="00C226BC" w:rsidRDefault="00C226BC">
      <w:pPr>
        <w:pStyle w:val="IASBNormalnparaL1"/>
      </w:pPr>
      <w:r>
        <w:rPr>
          <w:b/>
        </w:rPr>
        <w:t>(a)</w:t>
      </w:r>
      <w:r>
        <w:tab/>
      </w:r>
      <w:r w:rsidR="00723596">
        <w:rPr>
          <w:b/>
        </w:rPr>
        <w:t>AASB 9</w:t>
      </w:r>
      <w:r>
        <w:rPr>
          <w:b/>
        </w:rPr>
        <w:t xml:space="preserve"> permits the hedge accounting requirements of this Standard to be applied; and</w:t>
      </w:r>
    </w:p>
    <w:p w:rsidR="00C226BC" w:rsidRDefault="00C226BC">
      <w:pPr>
        <w:pStyle w:val="IASBNormalnparaL1"/>
      </w:pPr>
      <w:r>
        <w:rPr>
          <w:b/>
        </w:rPr>
        <w:t>(b)</w:t>
      </w:r>
      <w:r>
        <w:tab/>
      </w:r>
      <w:r>
        <w:rPr>
          <w:b/>
        </w:rPr>
        <w:t>the financial instrument is part of a hedging relationship that qualifies for hedge accounting in accordance with this Standard.</w:t>
      </w:r>
    </w:p>
    <w:p w:rsidR="00C226BC" w:rsidRDefault="00C226BC">
      <w:pPr>
        <w:pStyle w:val="IASBNormalnpara"/>
      </w:pPr>
      <w:r>
        <w:t>2A–</w:t>
      </w:r>
    </w:p>
    <w:p w:rsidR="00C226BC" w:rsidRDefault="00C226BC">
      <w:pPr>
        <w:pStyle w:val="IASBNormalnparaC"/>
      </w:pPr>
      <w:r>
        <w:t>7</w:t>
      </w:r>
      <w:r>
        <w:tab/>
        <w:t>[Deleted]</w:t>
      </w:r>
    </w:p>
    <w:p w:rsidR="00C226BC" w:rsidRDefault="00C226BC">
      <w:pPr>
        <w:pStyle w:val="IASBSectionTitle1NonInd"/>
      </w:pPr>
      <w:r>
        <w:t>Definitions</w:t>
      </w:r>
    </w:p>
    <w:p w:rsidR="00C226BC" w:rsidRDefault="00C226BC">
      <w:pPr>
        <w:pStyle w:val="IASBNormalnpara"/>
      </w:pPr>
      <w:r>
        <w:t>8</w:t>
      </w:r>
      <w:r>
        <w:tab/>
        <w:t>The terms defined in</w:t>
      </w:r>
      <w:r w:rsidR="00723596">
        <w:t xml:space="preserve"> AASB 13</w:t>
      </w:r>
      <w:r>
        <w:t>,</w:t>
      </w:r>
      <w:r w:rsidR="00723596">
        <w:t xml:space="preserve"> AASB 9</w:t>
      </w:r>
      <w:r>
        <w:t xml:space="preserve"> and</w:t>
      </w:r>
      <w:r w:rsidR="00723596">
        <w:t xml:space="preserve"> AASB 132</w:t>
      </w:r>
      <w:r>
        <w:t xml:space="preserve"> are used in this Standard with the meanings specified in Appendix A of</w:t>
      </w:r>
      <w:r w:rsidR="00723596">
        <w:t xml:space="preserve"> AASB 13</w:t>
      </w:r>
      <w:r>
        <w:t>, Appendix A of</w:t>
      </w:r>
      <w:r w:rsidR="00723596">
        <w:t xml:space="preserve"> AASB 9</w:t>
      </w:r>
      <w:r>
        <w:t xml:space="preserve"> and paragraph 11 of</w:t>
      </w:r>
      <w:r w:rsidR="00723596">
        <w:t xml:space="preserve"> AASB 132</w:t>
      </w:r>
      <w:r>
        <w:t>.</w:t>
      </w:r>
      <w:r w:rsidR="00723596">
        <w:t xml:space="preserve"> AASB 13</w:t>
      </w:r>
      <w:r>
        <w:t>,</w:t>
      </w:r>
      <w:r w:rsidR="00723596">
        <w:t xml:space="preserve"> AASB 9</w:t>
      </w:r>
      <w:r>
        <w:t xml:space="preserve"> and</w:t>
      </w:r>
      <w:r w:rsidR="00723596">
        <w:t xml:space="preserve"> AASB 132</w:t>
      </w:r>
      <w:r>
        <w:t xml:space="preserve"> define the following terms:</w:t>
      </w:r>
    </w:p>
    <w:p w:rsidR="00C226BC" w:rsidRDefault="00C226BC">
      <w:pPr>
        <w:pStyle w:val="IASBNormalnparaL1"/>
      </w:pPr>
      <w:r>
        <w:t>•</w:t>
      </w:r>
      <w:r>
        <w:tab/>
        <w:t>amortised cost of a financial asset or financial liability</w:t>
      </w:r>
    </w:p>
    <w:p w:rsidR="00C226BC" w:rsidRDefault="00C226BC">
      <w:pPr>
        <w:pStyle w:val="IASBNormalnparaL1"/>
      </w:pPr>
      <w:r>
        <w:t>•</w:t>
      </w:r>
      <w:r>
        <w:tab/>
      </w:r>
      <w:proofErr w:type="spellStart"/>
      <w:r>
        <w:t>derecognition</w:t>
      </w:r>
      <w:proofErr w:type="spellEnd"/>
    </w:p>
    <w:p w:rsidR="00C226BC" w:rsidRDefault="00C226BC">
      <w:pPr>
        <w:pStyle w:val="IASBNormalnparaL1"/>
      </w:pPr>
      <w:r>
        <w:t>•</w:t>
      </w:r>
      <w:r>
        <w:tab/>
        <w:t>derivative</w:t>
      </w:r>
    </w:p>
    <w:p w:rsidR="00C226BC" w:rsidRDefault="00C226BC">
      <w:pPr>
        <w:pStyle w:val="IASBNormalnparaL1"/>
      </w:pPr>
      <w:r>
        <w:t>•</w:t>
      </w:r>
      <w:r>
        <w:tab/>
        <w:t>effective interest method</w:t>
      </w:r>
    </w:p>
    <w:p w:rsidR="00C226BC" w:rsidRDefault="00C226BC">
      <w:pPr>
        <w:pStyle w:val="IASBNormalnparaL1"/>
      </w:pPr>
      <w:r>
        <w:t>•</w:t>
      </w:r>
      <w:r>
        <w:tab/>
        <w:t>effective interest rate</w:t>
      </w:r>
    </w:p>
    <w:p w:rsidR="00C226BC" w:rsidRDefault="00C226BC">
      <w:pPr>
        <w:pStyle w:val="IASBNormalnparaL1"/>
      </w:pPr>
      <w:r>
        <w:t>•</w:t>
      </w:r>
      <w:r>
        <w:tab/>
        <w:t>equity instrument</w:t>
      </w:r>
    </w:p>
    <w:p w:rsidR="00C226BC" w:rsidRDefault="00C226BC">
      <w:pPr>
        <w:pStyle w:val="IASBNormalnparaL1"/>
      </w:pPr>
      <w:r>
        <w:t>•</w:t>
      </w:r>
      <w:r>
        <w:tab/>
        <w:t>fair value</w:t>
      </w:r>
    </w:p>
    <w:p w:rsidR="00C226BC" w:rsidRDefault="00C226BC">
      <w:pPr>
        <w:pStyle w:val="IASBNormalnparaL1"/>
      </w:pPr>
      <w:r>
        <w:t>•</w:t>
      </w:r>
      <w:r>
        <w:tab/>
        <w:t>financial asset</w:t>
      </w:r>
    </w:p>
    <w:p w:rsidR="00C226BC" w:rsidRDefault="00C226BC">
      <w:pPr>
        <w:pStyle w:val="IASBNormalnparaL1"/>
      </w:pPr>
      <w:r>
        <w:t>•</w:t>
      </w:r>
      <w:r>
        <w:tab/>
        <w:t>financial instrument</w:t>
      </w:r>
    </w:p>
    <w:p w:rsidR="00C226BC" w:rsidRDefault="00C226BC">
      <w:pPr>
        <w:pStyle w:val="IASBNormalnparaL1"/>
      </w:pPr>
      <w:r>
        <w:t>•</w:t>
      </w:r>
      <w:r>
        <w:tab/>
        <w:t>financial liability</w:t>
      </w:r>
    </w:p>
    <w:p w:rsidR="00C226BC" w:rsidRDefault="00C226BC">
      <w:pPr>
        <w:pStyle w:val="IASBNormalnparaP"/>
      </w:pPr>
      <w:r>
        <w:t>and provide guidance on applying those definitions.</w:t>
      </w:r>
    </w:p>
    <w:p w:rsidR="00C226BC" w:rsidRDefault="00C226BC">
      <w:pPr>
        <w:pStyle w:val="IASBNormalnpara"/>
        <w:rPr>
          <w:b/>
        </w:rPr>
      </w:pPr>
      <w:r>
        <w:rPr>
          <w:b/>
        </w:rPr>
        <w:t>9</w:t>
      </w:r>
      <w:r>
        <w:rPr>
          <w:b/>
        </w:rPr>
        <w:tab/>
        <w:t>The following terms are used in this Standard with the meanings specified:</w:t>
      </w:r>
    </w:p>
    <w:p w:rsidR="00C226BC" w:rsidRDefault="00C226BC">
      <w:pPr>
        <w:pStyle w:val="IASBSectionTitle3Ind"/>
      </w:pPr>
      <w:r>
        <w:t>Definitions relating to hedge accounting</w:t>
      </w:r>
    </w:p>
    <w:p w:rsidR="00C226BC" w:rsidRDefault="00C226BC">
      <w:pPr>
        <w:pStyle w:val="IASBNormalnpara"/>
        <w:rPr>
          <w:b/>
        </w:rPr>
      </w:pPr>
      <w:r>
        <w:rPr>
          <w:b/>
        </w:rPr>
        <w:tab/>
        <w:t xml:space="preserve">A </w:t>
      </w:r>
      <w:r>
        <w:rPr>
          <w:b/>
          <w:i/>
        </w:rPr>
        <w:t>firm commitment</w:t>
      </w:r>
      <w:r>
        <w:rPr>
          <w:b/>
        </w:rPr>
        <w:t xml:space="preserve"> is a binding agreement for the exchange of a specified quantity of resources at a specified price on a specified future date or dates. </w:t>
      </w:r>
    </w:p>
    <w:p w:rsidR="00C226BC" w:rsidRDefault="00C226BC">
      <w:pPr>
        <w:pStyle w:val="IASBNormalnpara"/>
        <w:rPr>
          <w:b/>
        </w:rPr>
      </w:pPr>
      <w:r>
        <w:rPr>
          <w:b/>
        </w:rPr>
        <w:tab/>
        <w:t xml:space="preserve">A </w:t>
      </w:r>
      <w:r>
        <w:rPr>
          <w:b/>
          <w:i/>
        </w:rPr>
        <w:t>forecast transaction</w:t>
      </w:r>
      <w:r>
        <w:rPr>
          <w:b/>
        </w:rPr>
        <w:t xml:space="preserve"> is an uncommitted but anticipated future transaction. </w:t>
      </w:r>
    </w:p>
    <w:p w:rsidR="00C226BC" w:rsidRDefault="00C226BC">
      <w:pPr>
        <w:pStyle w:val="IASBNormalnpara"/>
        <w:rPr>
          <w:b/>
        </w:rPr>
      </w:pPr>
      <w:r>
        <w:rPr>
          <w:b/>
        </w:rPr>
        <w:tab/>
        <w:t xml:space="preserve">A </w:t>
      </w:r>
      <w:r>
        <w:rPr>
          <w:b/>
          <w:i/>
        </w:rPr>
        <w:t>hedging instrument</w:t>
      </w:r>
      <w:r>
        <w:rPr>
          <w:b/>
        </w:rPr>
        <w:t xml:space="preserve"> is a designated derivative or (for a hedge of the risk of changes in foreign currency exchange rates only) a designated non-derivative financial asset or non-derivative financial liability whose fair value or cash flows are expected to offset changes in the fair value or cash flows of a designated hedged item (paragraphs 72–77 and Appendix A paragraphs AG94–AG97 elaborate on the definition of a hedging instrument). </w:t>
      </w:r>
    </w:p>
    <w:p w:rsidR="00C226BC" w:rsidRDefault="00C226BC">
      <w:pPr>
        <w:pStyle w:val="IASBNormalnpara"/>
        <w:rPr>
          <w:b/>
        </w:rPr>
      </w:pPr>
      <w:r>
        <w:rPr>
          <w:b/>
        </w:rPr>
        <w:tab/>
        <w:t xml:space="preserve">A </w:t>
      </w:r>
      <w:r>
        <w:rPr>
          <w:b/>
          <w:i/>
        </w:rPr>
        <w:t>hedged item</w:t>
      </w:r>
      <w:r>
        <w:rPr>
          <w:b/>
        </w:rPr>
        <w:t xml:space="preserve"> is an asset, liability, firm commitment, highly probable forecast transaction or net investment in a foreign operation that (a) exposes the entity to risk of changes in fair value or future cash flows and (b) is designated as being hedged (paragraphs 78–84 and Appendix A paragraphs AG98–AG101 elaborate on the definition of hedged items). </w:t>
      </w:r>
    </w:p>
    <w:p w:rsidR="00C226BC" w:rsidRDefault="00C226BC">
      <w:pPr>
        <w:pStyle w:val="IASBNormalnpara"/>
        <w:rPr>
          <w:b/>
        </w:rPr>
      </w:pPr>
      <w:r>
        <w:rPr>
          <w:b/>
        </w:rPr>
        <w:tab/>
      </w:r>
      <w:r>
        <w:rPr>
          <w:b/>
          <w:i/>
        </w:rPr>
        <w:t>Hedge effectiveness</w:t>
      </w:r>
      <w:r>
        <w:rPr>
          <w:b/>
        </w:rPr>
        <w:t xml:space="preserve"> is the degree to which changes in the fair value or cash flows of the hedged item that are attributable to a hedged risk are offset by changes in the fair value or cash flows of the hedging instrument (see Appendix A paragraphs AG105–AG113A). </w:t>
      </w:r>
    </w:p>
    <w:p w:rsidR="00C226BC" w:rsidRDefault="00C226BC">
      <w:pPr>
        <w:pStyle w:val="IASBNormalnpara"/>
      </w:pPr>
      <w:r>
        <w:t>10–</w:t>
      </w:r>
    </w:p>
    <w:p w:rsidR="00C226BC" w:rsidRDefault="00C226BC">
      <w:pPr>
        <w:pStyle w:val="IASBNormalnparaC"/>
      </w:pPr>
      <w:r>
        <w:t>70</w:t>
      </w:r>
      <w:r>
        <w:tab/>
        <w:t>[Deleted]</w:t>
      </w:r>
    </w:p>
    <w:p w:rsidR="00C226BC" w:rsidRDefault="00C226BC">
      <w:pPr>
        <w:pStyle w:val="IASBSectionTitle1NonInd"/>
      </w:pPr>
      <w:r>
        <w:t>Hedging</w:t>
      </w:r>
    </w:p>
    <w:p w:rsidR="00C226BC" w:rsidRDefault="00C226BC">
      <w:pPr>
        <w:pStyle w:val="IASBNormalnpara"/>
        <w:rPr>
          <w:b/>
        </w:rPr>
      </w:pPr>
      <w:r>
        <w:rPr>
          <w:b/>
        </w:rPr>
        <w:t>71</w:t>
      </w:r>
      <w:r>
        <w:rPr>
          <w:b/>
        </w:rPr>
        <w:tab/>
        <w:t>If an entity applies</w:t>
      </w:r>
      <w:r w:rsidR="00723596">
        <w:rPr>
          <w:b/>
        </w:rPr>
        <w:t xml:space="preserve"> AASB 9</w:t>
      </w:r>
      <w:r>
        <w:rPr>
          <w:b/>
        </w:rPr>
        <w:t xml:space="preserve"> and has not chosen as its accounting policy to continue to apply the hedge accounting requirements of this Standard (see paragraph 7.2.21 of</w:t>
      </w:r>
      <w:r w:rsidR="00723596">
        <w:rPr>
          <w:b/>
        </w:rPr>
        <w:t xml:space="preserve"> AASB 9</w:t>
      </w:r>
      <w:r>
        <w:rPr>
          <w:b/>
        </w:rPr>
        <w:t>), it shall apply the hedge accounting requirements in Chapter 6 of</w:t>
      </w:r>
      <w:r w:rsidR="00723596">
        <w:rPr>
          <w:b/>
        </w:rPr>
        <w:t xml:space="preserve"> AASB 9</w:t>
      </w:r>
      <w:r>
        <w:rPr>
          <w:b/>
        </w:rPr>
        <w:t>. However, for a fair value hedge of the interest rate exposure of a portion of a portfolio of financial assets or financial liabilities, an entity may, in accordance with paragraph 6.1.3 of</w:t>
      </w:r>
      <w:r w:rsidR="00723596">
        <w:rPr>
          <w:b/>
        </w:rPr>
        <w:t xml:space="preserve"> AASB 9</w:t>
      </w:r>
      <w:r>
        <w:rPr>
          <w:b/>
        </w:rPr>
        <w:t>, apply the hedge accounting requirements in this Standard instead of those in</w:t>
      </w:r>
      <w:r w:rsidR="00723596">
        <w:rPr>
          <w:b/>
        </w:rPr>
        <w:t xml:space="preserve"> AASB 9</w:t>
      </w:r>
      <w:r>
        <w:rPr>
          <w:b/>
        </w:rPr>
        <w:t xml:space="preserve">. In that case the entity must also apply the specific requirements for fair value hedge accounting for a portfolio hedge of interest rate risk (see paragraphs 81A, 89A and AG114–AG132). </w:t>
      </w:r>
    </w:p>
    <w:p w:rsidR="00C226BC" w:rsidRDefault="00C226BC">
      <w:pPr>
        <w:pStyle w:val="IASBSectionTitle2Ind"/>
      </w:pPr>
      <w:r>
        <w:t>Hedging instruments</w:t>
      </w:r>
    </w:p>
    <w:p w:rsidR="00C226BC" w:rsidRDefault="00C226BC">
      <w:pPr>
        <w:pStyle w:val="IASBSectionTitle3Ind"/>
      </w:pPr>
      <w:r>
        <w:t>Qualifying instruments</w:t>
      </w:r>
    </w:p>
    <w:p w:rsidR="00C226BC" w:rsidRDefault="00C226BC">
      <w:pPr>
        <w:pStyle w:val="IASBNormalnpara"/>
      </w:pPr>
      <w:r>
        <w:t>72</w:t>
      </w:r>
      <w:r>
        <w:tab/>
        <w:t>This Standard does not restrict the circumstances in which a derivative may be designated as a hedging instrument provided the conditions in paragraph 88 are met, except for some written options (see Appendix A paragraph AG94). However, a non-derivative financial asset or non-derivative financial liability may be designated as a hedging instrument only for a hedge of a foreign currency risk.</w:t>
      </w:r>
    </w:p>
    <w:p w:rsidR="00C226BC" w:rsidRDefault="00C226BC">
      <w:pPr>
        <w:pStyle w:val="IASBNormalnpara"/>
      </w:pPr>
      <w:r>
        <w:t>73</w:t>
      </w:r>
      <w:r>
        <w:tab/>
        <w:t>For hedge accounting purposes, only instruments that involve a party external to the reporting entity (</w:t>
      </w:r>
      <w:proofErr w:type="spellStart"/>
      <w:r>
        <w:t>ie</w:t>
      </w:r>
      <w:proofErr w:type="spellEnd"/>
      <w:r>
        <w:t xml:space="preserve"> external to the group or individual entity that is being reported on) can be designated as hedging instruments. Although individual entities within a consolidated group or divisions within an entity may enter into hedging transactions with other entities within the group or divisions within the entity, any such intragroup transactions are eliminated on consolidation. Therefore, such hedging transactions do not qualify for hedge accounting in the consolidated financial statements of the group. However, they may qualify for hedge accounting in the individual or separate financial statements of individual entities within the group provided that they are external to the individual entity that is being reported on.</w:t>
      </w:r>
    </w:p>
    <w:p w:rsidR="00C226BC" w:rsidRDefault="00C226BC">
      <w:pPr>
        <w:pStyle w:val="IASBSectionTitle3Ind"/>
      </w:pPr>
      <w:r>
        <w:t>Designation of hedging instruments</w:t>
      </w:r>
    </w:p>
    <w:p w:rsidR="00C226BC" w:rsidRDefault="00C226BC">
      <w:pPr>
        <w:pStyle w:val="IASBNormalnpara"/>
      </w:pPr>
      <w:r>
        <w:t>74</w:t>
      </w:r>
      <w:r>
        <w:tab/>
        <w:t xml:space="preserve">There is normally a single fair value measure for a hedging instrument in its entirety, and the factors that cause changes in fair value are co-dependent. Thus, a hedging relationship is designated by an entity for a hedging instrument in its entirety. The only exceptions permitted are: </w:t>
      </w:r>
    </w:p>
    <w:p w:rsidR="00C226BC" w:rsidRDefault="00C226BC">
      <w:pPr>
        <w:pStyle w:val="IASBNormalnparaL1"/>
      </w:pPr>
      <w:r>
        <w:t>(a)</w:t>
      </w:r>
      <w:r>
        <w:tab/>
        <w:t>separating the intrinsic value and time value of an option contract and designating as the hedging instrument only the change in intrinsic value of an option and excluding change in its time value; and</w:t>
      </w:r>
    </w:p>
    <w:p w:rsidR="00C226BC" w:rsidRDefault="00C226BC">
      <w:pPr>
        <w:pStyle w:val="IASBNormalnparaL1"/>
      </w:pPr>
      <w:r>
        <w:t>(b)</w:t>
      </w:r>
      <w:r>
        <w:tab/>
        <w:t>separating the interest element and the spot price of a forward contract.</w:t>
      </w:r>
    </w:p>
    <w:p w:rsidR="00C226BC" w:rsidRDefault="00C226BC">
      <w:pPr>
        <w:pStyle w:val="IASBNormalnparaP"/>
      </w:pPr>
      <w:r>
        <w:t>These exceptions are permitted because the intrinsic value of the option and the premium on the forward can generally be measured separately. A dynamic hedging strategy that assesses both the intrinsic value and time value of an option contract can qualify for hedge accounting.</w:t>
      </w:r>
    </w:p>
    <w:p w:rsidR="00C226BC" w:rsidRDefault="00C226BC">
      <w:pPr>
        <w:pStyle w:val="IASBNormalnpara"/>
      </w:pPr>
      <w:r>
        <w:t>75</w:t>
      </w:r>
      <w:r>
        <w:tab/>
        <w:t xml:space="preserve">A proportion of the entire hedging instrument, such as 50 per cent of the notional amount, may be designated as the hedging instrument in a hedging relationship. However, a hedging relationship may not be designated for only a portion of the time period during which a hedging instrument remains outstanding. </w:t>
      </w:r>
    </w:p>
    <w:p w:rsidR="00C226BC" w:rsidRDefault="00C226BC">
      <w:pPr>
        <w:pStyle w:val="IASBNormalnpara"/>
      </w:pPr>
      <w:r>
        <w:t>76</w:t>
      </w:r>
      <w:r>
        <w:tab/>
        <w:t>A single hedging instrument may be designated as a hedge of more than one type of risk provided that (a) the risks hedged can be identified clearly; (b) the effectiveness of the hedge can be demonstrated; and (c) it is possible to ensure that there is specific designation of the hedging instrument and different risk positions.</w:t>
      </w:r>
    </w:p>
    <w:p w:rsidR="00C226BC" w:rsidRDefault="00C226BC">
      <w:pPr>
        <w:pStyle w:val="IASBNormalnpara"/>
      </w:pPr>
      <w:r>
        <w:t>77</w:t>
      </w:r>
      <w:r>
        <w:tab/>
        <w:t>Two or more derivatives, or proportions of them (or, in the case of a hedge of currency risk, two or more non-derivatives or proportions of them, or a combination of derivatives and non-derivatives or proportions of them), may be viewed in combination and jointly designated as the hedging instrument, including when the risk(s) arising from some derivatives offset(s) those arising from others. However, an interest rate collar or other derivative instrument that combines a written option and a purchased option does not qualify as a hedging instrument if it is, in effect, a net written option (for which a net premium is received). Similarly, two or more instruments (or proportions of them) may be designated as the hedging instrument only if none of them is a written option or a net written option.</w:t>
      </w:r>
    </w:p>
    <w:p w:rsidR="00C226BC" w:rsidRDefault="00C226BC">
      <w:pPr>
        <w:pStyle w:val="IASBSectionTitle2Ind"/>
      </w:pPr>
      <w:r>
        <w:t>Hedged items</w:t>
      </w:r>
    </w:p>
    <w:p w:rsidR="00C226BC" w:rsidRDefault="00C226BC">
      <w:pPr>
        <w:pStyle w:val="IASBSectionTitle3Ind"/>
      </w:pPr>
      <w:r>
        <w:t>Qualifying items</w:t>
      </w:r>
    </w:p>
    <w:p w:rsidR="00C226BC" w:rsidRDefault="00C226BC">
      <w:pPr>
        <w:pStyle w:val="IASBNormalnpara"/>
      </w:pPr>
      <w:r>
        <w:t>78</w:t>
      </w:r>
      <w:r>
        <w:tab/>
        <w:t>A hedged item can be a recognised asset or liability, an unrecognised firm commitment, a highly probable forecast transaction or a net investment in a foreign operation. The hedged item can be (a) a single asset, liability, firm commitment, highly probable forecast transaction or net investment in a foreign operation, (b) a group of assets, liabilities, firm commitments, highly probable forecast transactions or net investments in foreign operations with similar risk characteristics or (c) in a portfolio hedge of interest rate risk only, a portion of the portfolio of financial assets or financial liabilities that share the risk being hedged.</w:t>
      </w:r>
    </w:p>
    <w:p w:rsidR="00C226BC" w:rsidRDefault="00C226BC">
      <w:pPr>
        <w:pStyle w:val="IASBNormalnpara"/>
      </w:pPr>
      <w:r>
        <w:t>79</w:t>
      </w:r>
      <w:r>
        <w:tab/>
        <w:t>[Deleted]</w:t>
      </w:r>
    </w:p>
    <w:p w:rsidR="00C226BC" w:rsidRDefault="00C226BC">
      <w:pPr>
        <w:pStyle w:val="IASBNormalnpara"/>
      </w:pPr>
      <w:r>
        <w:t>80</w:t>
      </w:r>
      <w:r>
        <w:tab/>
        <w:t>For hedge accounting purposes, only assets, liabilities, firm commitments or highly probable forecast transactions that involve a party external to the entity can be designated as hedged items. It follows that hedge accounting can be applied to transactions between entities in the same group only in the individual or separate financial statements of those entities and not in the consolidated financial statements of the group, except for the consolidated financial statements of an investment entity, as defined in</w:t>
      </w:r>
      <w:r w:rsidR="00723596">
        <w:t xml:space="preserve"> AASB 10</w:t>
      </w:r>
      <w:r>
        <w:t>, where transactions between an investment entity and its subsidiaries measured at fair value through profit or loss will not be eliminated in the consolidated financial statements. As an exception, the foreign currency risk of an intragroup monetary item (</w:t>
      </w:r>
      <w:proofErr w:type="spellStart"/>
      <w:r>
        <w:t>eg</w:t>
      </w:r>
      <w:proofErr w:type="spellEnd"/>
      <w:r>
        <w:t xml:space="preserve"> a payable/receivable between two subsidiaries) may qualify as a hedged item in the consolidated financial statements if it results in an exposure to foreign exchange rate gains or losses that are not fully eliminated on consolidation in accordance with</w:t>
      </w:r>
      <w:r w:rsidR="00723596">
        <w:t xml:space="preserve"> AASB 121</w:t>
      </w:r>
      <w:r>
        <w:t xml:space="preserve"> </w:t>
      </w:r>
      <w:r>
        <w:rPr>
          <w:i/>
        </w:rPr>
        <w:t>The Effects of Changes in Foreign Exchange Rates</w:t>
      </w:r>
      <w:r>
        <w:t>. In accordance with</w:t>
      </w:r>
      <w:r w:rsidR="00723596">
        <w:t xml:space="preserve"> AASB 121</w:t>
      </w:r>
      <w:r>
        <w:t>, foreign exchange rate gains and losses on intragroup monetary items are not fully eliminated on consolidation when the intragroup monetary item is transacted between two group entities that have different functional currencies. In addition, the foreign currency risk of a highly probable forecast intragroup transaction may qualify as a hedged item in consolidated financial statements provided that the transaction is denominated in a currency other than the functional currency of the entity entering into that transaction and the foreign currency risk will affect consolidated profit or loss.</w:t>
      </w:r>
    </w:p>
    <w:p w:rsidR="00C226BC" w:rsidRDefault="00C226BC">
      <w:pPr>
        <w:pStyle w:val="IASBSectionTitle3Ind"/>
      </w:pPr>
      <w:r>
        <w:t>Designation of financial items as hedged items</w:t>
      </w:r>
    </w:p>
    <w:p w:rsidR="00C226BC" w:rsidRDefault="00C226BC">
      <w:pPr>
        <w:pStyle w:val="IASBNormalnpara"/>
      </w:pPr>
      <w:r>
        <w:t>81</w:t>
      </w:r>
      <w:r>
        <w:tab/>
        <w:t>If the hedged item is a financial asset or financial liability, it may be a hedged item with respect to the risks associated with only a portion of its cash flows or fair value (such as one or more selected contractual cash flows or portions of them or a percentage of the fair value) provided that effectiveness can be measured. For example, an identifiable and separately measurable portion of the interest rate exposure of an interest-bearing asset or interest-bearing liability may be designated as the hedged risk (such as a risk-free interest rate or benchmark interest rate component of the total interest rate exposure of a hedged financial instrument).</w:t>
      </w:r>
    </w:p>
    <w:p w:rsidR="00C226BC" w:rsidRDefault="00C226BC">
      <w:pPr>
        <w:pStyle w:val="IASBNormalnpara"/>
      </w:pPr>
      <w:r>
        <w:t>81A</w:t>
      </w:r>
      <w:r>
        <w:tab/>
        <w:t>In a fair value hedge of the interest rate exposure of a portfolio of financial assets or financial liabilities (and only in such a hedge), the portion hedged may be designated in terms of an amount of a currency (</w:t>
      </w:r>
      <w:proofErr w:type="spellStart"/>
      <w:r>
        <w:t>eg</w:t>
      </w:r>
      <w:proofErr w:type="spellEnd"/>
      <w:r>
        <w:t xml:space="preserve"> an amount of dollars, euro, pounds or rand) rather than as individual assets (or liabilities). Although the portfolio may, for risk management purposes, include assets and liabilities, the amount designated is an amount of assets or an amount of liabilities. Designation of a net amount including assets and liabilities is not permitted. The entity may hedge a portion of the interest rate risk associated with this designated amount. For example, in the case of a hedge of a portfolio containing prepayable assets, the entity may hedge the change in fair value that is attributable to a change in the hedged interest rate on the basis of expected, rather than contractual, repricing dates. When the portion hedged is based on expected repricing dates, the effect that changes in the hedged interest rate have on those expected repricing dates shall be included when determining the change in the fair value of the hedged item. Consequently, if a portfolio that contains prepayable items is hedged with a non-prepayable derivative, ineffectiveness arises if the dates on which items in the hedged portfolio are expected to prepay are revised, or actual prepayment dates differ from those expected.</w:t>
      </w:r>
    </w:p>
    <w:p w:rsidR="00C226BC" w:rsidRDefault="00C226BC">
      <w:pPr>
        <w:pStyle w:val="IASBSectionTitle3Ind"/>
      </w:pPr>
      <w:r>
        <w:t>Designation of non-financial items as hedged items</w:t>
      </w:r>
    </w:p>
    <w:p w:rsidR="00C226BC" w:rsidRDefault="00C226BC">
      <w:pPr>
        <w:pStyle w:val="IASBNormalnpara"/>
        <w:rPr>
          <w:b/>
        </w:rPr>
      </w:pPr>
      <w:r>
        <w:rPr>
          <w:b/>
        </w:rPr>
        <w:t>82</w:t>
      </w:r>
      <w:r>
        <w:rPr>
          <w:b/>
        </w:rPr>
        <w:tab/>
        <w:t>If the hedged item is a non-financial asset or non-financial liability, it shall be designated as a hedged item (a) for foreign currency risks, or (b) in its entirety for all risks, because of the difficulty of isolating and measuring the appropriate portion of the cash flows or fair value changes attributable to specific risks other than foreign currency risks.</w:t>
      </w:r>
    </w:p>
    <w:p w:rsidR="00C226BC" w:rsidRDefault="00C226BC">
      <w:pPr>
        <w:pStyle w:val="IASBSectionTitle3Ind"/>
      </w:pPr>
      <w:r>
        <w:t>Designation of groups of items as hedged items</w:t>
      </w:r>
    </w:p>
    <w:p w:rsidR="00C226BC" w:rsidRDefault="00C226BC">
      <w:pPr>
        <w:pStyle w:val="IASBNormalnpara"/>
      </w:pPr>
      <w:r>
        <w:t>83</w:t>
      </w:r>
      <w:r>
        <w:tab/>
        <w:t>Similar assets or similar liabilities shall be aggregated and hedged as a group only if the individual assets or individual liabilities in the group share the risk exposure that is designated as being hedged. Furthermore, the change in fair value attributable to the hedged risk for each individual item in the group shall be expected to be approximately proportional to the overall change in fair value attributable to the hedged risk of the group of items.</w:t>
      </w:r>
    </w:p>
    <w:p w:rsidR="00C226BC" w:rsidRDefault="00C226BC">
      <w:pPr>
        <w:pStyle w:val="IASBNormalnpara"/>
      </w:pPr>
      <w:r>
        <w:t>84</w:t>
      </w:r>
      <w:r>
        <w:tab/>
        <w:t>Because an entity assesses hedge effectiveness by comparing the change in the fair value or cash flow of a hedging instrument (or group of similar hedging instruments) and a hedged item (or group of similar hedged items), comparing a hedging instrument with an overall net position (</w:t>
      </w:r>
      <w:proofErr w:type="spellStart"/>
      <w:r>
        <w:t>eg</w:t>
      </w:r>
      <w:proofErr w:type="spellEnd"/>
      <w:r>
        <w:t xml:space="preserve"> the net of all fixed rate assets and fixed rate liabilities with similar maturities), rather than with a specific hedged item, does not qualify for hedge accounting.</w:t>
      </w:r>
    </w:p>
    <w:p w:rsidR="00C226BC" w:rsidRDefault="00C226BC">
      <w:pPr>
        <w:pStyle w:val="IASBSectionTitle2Ind"/>
      </w:pPr>
      <w:r>
        <w:t>Hedge accounting</w:t>
      </w:r>
    </w:p>
    <w:p w:rsidR="00C226BC" w:rsidRDefault="00C226BC">
      <w:pPr>
        <w:pStyle w:val="IASBNormalnpara"/>
      </w:pPr>
      <w:r>
        <w:t>85</w:t>
      </w:r>
      <w:r>
        <w:tab/>
        <w:t>Hedge accounting recognises the offsetting effects on profit or loss of changes in the fair values of the hedging instrument and the hedged item.</w:t>
      </w:r>
    </w:p>
    <w:p w:rsidR="00C226BC" w:rsidRDefault="00C226BC">
      <w:pPr>
        <w:pStyle w:val="IASBNormalnpara"/>
        <w:rPr>
          <w:b/>
        </w:rPr>
      </w:pPr>
      <w:r>
        <w:rPr>
          <w:b/>
        </w:rPr>
        <w:t>86</w:t>
      </w:r>
      <w:r>
        <w:rPr>
          <w:b/>
        </w:rPr>
        <w:tab/>
        <w:t xml:space="preserve">Hedging relationships are of three types: </w:t>
      </w:r>
    </w:p>
    <w:p w:rsidR="00C226BC" w:rsidRDefault="00C226BC">
      <w:pPr>
        <w:pStyle w:val="IASBNormalnparaL1"/>
      </w:pPr>
      <w:r>
        <w:rPr>
          <w:b/>
        </w:rPr>
        <w:t>(a)</w:t>
      </w:r>
      <w:r>
        <w:tab/>
      </w:r>
      <w:r>
        <w:rPr>
          <w:b/>
          <w:i/>
        </w:rPr>
        <w:t>fair value hedge</w:t>
      </w:r>
      <w:r>
        <w:rPr>
          <w:b/>
        </w:rPr>
        <w:t xml:space="preserve">: a hedge of the exposure to changes in fair value of a recognised asset or liability or an unrecognised firm commitment, or an identified portion of such an asset, liability or firm commitment, that is attributable to a particular risk and could affect profit or loss. </w:t>
      </w:r>
    </w:p>
    <w:p w:rsidR="00C226BC" w:rsidRDefault="00C226BC">
      <w:pPr>
        <w:pStyle w:val="IASBNormalnparaL1"/>
      </w:pPr>
      <w:r>
        <w:rPr>
          <w:b/>
        </w:rPr>
        <w:t>(b)</w:t>
      </w:r>
      <w:r>
        <w:tab/>
      </w:r>
      <w:r>
        <w:rPr>
          <w:b/>
          <w:i/>
        </w:rPr>
        <w:t>cash flow hedge</w:t>
      </w:r>
      <w:r>
        <w:rPr>
          <w:b/>
        </w:rPr>
        <w:t>: a hedge of the exposure to variability in cash flows that (</w:t>
      </w:r>
      <w:proofErr w:type="spellStart"/>
      <w:r>
        <w:rPr>
          <w:b/>
        </w:rPr>
        <w:t>i</w:t>
      </w:r>
      <w:proofErr w:type="spellEnd"/>
      <w:r>
        <w:rPr>
          <w:b/>
        </w:rPr>
        <w:t xml:space="preserve">) is attributable to a particular risk associated with a recognised asset or liability (such as all or some future interest payments on variable rate debt) or a highly probable forecast transaction and (ii) could affect profit or loss. </w:t>
      </w:r>
    </w:p>
    <w:p w:rsidR="00C226BC" w:rsidRDefault="00C226BC">
      <w:pPr>
        <w:pStyle w:val="IASBNormalnparaL1"/>
      </w:pPr>
      <w:r>
        <w:rPr>
          <w:b/>
        </w:rPr>
        <w:t>(c)</w:t>
      </w:r>
      <w:r>
        <w:tab/>
      </w:r>
      <w:r>
        <w:rPr>
          <w:b/>
          <w:i/>
        </w:rPr>
        <w:t>hedge of a net investment in a foreign operation</w:t>
      </w:r>
      <w:r>
        <w:rPr>
          <w:b/>
        </w:rPr>
        <w:t xml:space="preserve"> as defined in</w:t>
      </w:r>
      <w:r w:rsidR="00723596">
        <w:rPr>
          <w:b/>
        </w:rPr>
        <w:t xml:space="preserve"> AASB 121</w:t>
      </w:r>
      <w:r>
        <w:rPr>
          <w:b/>
        </w:rPr>
        <w:t xml:space="preserve">. </w:t>
      </w:r>
    </w:p>
    <w:p w:rsidR="00C226BC" w:rsidRDefault="00C226BC">
      <w:pPr>
        <w:pStyle w:val="IASBNormalnpara"/>
      </w:pPr>
      <w:r>
        <w:t>87</w:t>
      </w:r>
      <w:r>
        <w:tab/>
        <w:t>A hedge of the foreign currency risk of a firm commitment may be accounted for as a fair value hedge or as a cash flow hedge.</w:t>
      </w:r>
    </w:p>
    <w:p w:rsidR="00C226BC" w:rsidRDefault="00C226BC">
      <w:pPr>
        <w:pStyle w:val="IASBNormalnpara"/>
        <w:rPr>
          <w:b/>
        </w:rPr>
      </w:pPr>
      <w:r>
        <w:rPr>
          <w:b/>
        </w:rPr>
        <w:t>88</w:t>
      </w:r>
      <w:r>
        <w:rPr>
          <w:b/>
        </w:rPr>
        <w:tab/>
        <w:t>A hedging relationship qualifies for hedge accounting under paragraphs 89–102 if, and only if, all of the following conditions are met.</w:t>
      </w:r>
    </w:p>
    <w:p w:rsidR="00C226BC" w:rsidRDefault="00C226BC">
      <w:pPr>
        <w:pStyle w:val="IASBNormalnparaL1"/>
      </w:pPr>
      <w:r>
        <w:rPr>
          <w:b/>
        </w:rPr>
        <w:t>(a)</w:t>
      </w:r>
      <w:r>
        <w:tab/>
      </w:r>
      <w:r>
        <w:rPr>
          <w:b/>
        </w:rPr>
        <w:t>At the inception of the hedge there is formal designation and documentation of the hedging relationship and the entity’s risk management objective and strategy for undertaking the hedge. That documentation shall include identification of the hedging instrument, the hedged item or transaction, the nature of the risk being hedged and how the entity will assess the hedging instrument’s effectiveness in offsetting the exposure to changes in the hedged item’s fair value or cash flows attributable to the hedged risk.</w:t>
      </w:r>
    </w:p>
    <w:p w:rsidR="00C226BC" w:rsidRDefault="00C226BC">
      <w:pPr>
        <w:pStyle w:val="IASBNormalnparaL1"/>
      </w:pPr>
      <w:r>
        <w:rPr>
          <w:b/>
        </w:rPr>
        <w:t>(b)</w:t>
      </w:r>
      <w:r>
        <w:tab/>
      </w:r>
      <w:r>
        <w:rPr>
          <w:b/>
        </w:rPr>
        <w:t>The hedge is expected to be highly effective (see Appendix A paragraphs AG105–AG113A) in achieving offsetting changes in fair value or cash flows attributable to the hedged risk, consistently with the originally documented risk management strategy for that particular hedging relationship.</w:t>
      </w:r>
    </w:p>
    <w:p w:rsidR="00C226BC" w:rsidRDefault="00C226BC">
      <w:pPr>
        <w:pStyle w:val="IASBNormalnparaL1"/>
      </w:pPr>
      <w:r>
        <w:rPr>
          <w:b/>
        </w:rPr>
        <w:t>(c)</w:t>
      </w:r>
      <w:r>
        <w:tab/>
      </w:r>
      <w:r>
        <w:rPr>
          <w:b/>
        </w:rPr>
        <w:t>For cash flow hedges, a forecast transaction that is the subject of the hedge must be highly probable and must present an exposure to variations in cash flows that could ultimately affect profit or loss.</w:t>
      </w:r>
    </w:p>
    <w:p w:rsidR="00C226BC" w:rsidRDefault="00C226BC">
      <w:pPr>
        <w:pStyle w:val="IASBNormalnparaL1"/>
        <w:rPr>
          <w:b/>
        </w:rPr>
      </w:pPr>
      <w:r>
        <w:rPr>
          <w:b/>
        </w:rPr>
        <w:t>(d)</w:t>
      </w:r>
      <w:r>
        <w:rPr>
          <w:b/>
        </w:rPr>
        <w:tab/>
        <w:t xml:space="preserve">The effectiveness of the hedge can be reliably measured, </w:t>
      </w:r>
      <w:proofErr w:type="spellStart"/>
      <w:r>
        <w:rPr>
          <w:b/>
        </w:rPr>
        <w:t>ie</w:t>
      </w:r>
      <w:proofErr w:type="spellEnd"/>
      <w:r>
        <w:rPr>
          <w:b/>
        </w:rPr>
        <w:t xml:space="preserve"> the fair value or cash flows of the hedged item that are attributable to the hedged risk and the fair value of the hedging instrument can be reliably measured.</w:t>
      </w:r>
    </w:p>
    <w:p w:rsidR="00C226BC" w:rsidRDefault="00C226BC">
      <w:pPr>
        <w:pStyle w:val="IASBNormalnparaL1"/>
      </w:pPr>
      <w:r>
        <w:rPr>
          <w:b/>
        </w:rPr>
        <w:t>(e)</w:t>
      </w:r>
      <w:r>
        <w:tab/>
      </w:r>
      <w:r>
        <w:rPr>
          <w:b/>
        </w:rPr>
        <w:t>The hedge is assessed on an ongoing basis and determined actually to have been highly effective throughout the financial reporting periods for which the hedge was designated.</w:t>
      </w:r>
    </w:p>
    <w:p w:rsidR="00C226BC" w:rsidRDefault="00C226BC">
      <w:pPr>
        <w:pStyle w:val="IASBSectionTitle3Ind"/>
      </w:pPr>
      <w:r>
        <w:t>Fair value hedges</w:t>
      </w:r>
    </w:p>
    <w:p w:rsidR="00C226BC" w:rsidRDefault="00C226BC">
      <w:pPr>
        <w:pStyle w:val="IASBNormalnpara"/>
        <w:rPr>
          <w:b/>
        </w:rPr>
      </w:pPr>
      <w:r>
        <w:rPr>
          <w:b/>
        </w:rPr>
        <w:t>89</w:t>
      </w:r>
      <w:r>
        <w:rPr>
          <w:b/>
        </w:rPr>
        <w:tab/>
        <w:t>If a fair value hedge meets the conditions in paragraph 88 during the period, it shall be accounted for as follows:</w:t>
      </w:r>
    </w:p>
    <w:p w:rsidR="00C226BC" w:rsidRDefault="00C226BC">
      <w:pPr>
        <w:pStyle w:val="IASBNormalnparaL1"/>
        <w:rPr>
          <w:b/>
        </w:rPr>
      </w:pPr>
      <w:r>
        <w:rPr>
          <w:b/>
        </w:rPr>
        <w:t>(a)</w:t>
      </w:r>
      <w:r>
        <w:rPr>
          <w:b/>
        </w:rPr>
        <w:tab/>
        <w:t>the gain or loss from remeasuring the hedging instrument at fair value (for a derivative hedging instrument) or the foreign currency component of its carrying amount measured in accordance with</w:t>
      </w:r>
      <w:r w:rsidR="00723596">
        <w:rPr>
          <w:b/>
        </w:rPr>
        <w:t xml:space="preserve"> AASB 121</w:t>
      </w:r>
      <w:r>
        <w:rPr>
          <w:b/>
        </w:rPr>
        <w:t xml:space="preserve"> (for a non-derivative hedging instrument) shall be recognised in profit or loss; and</w:t>
      </w:r>
    </w:p>
    <w:p w:rsidR="00C226BC" w:rsidRDefault="00C226BC">
      <w:pPr>
        <w:pStyle w:val="IASBNormalnparaL1"/>
        <w:rPr>
          <w:b/>
        </w:rPr>
      </w:pPr>
      <w:r>
        <w:rPr>
          <w:b/>
        </w:rPr>
        <w:t>(b)</w:t>
      </w:r>
      <w:r>
        <w:rPr>
          <w:b/>
        </w:rPr>
        <w:tab/>
        <w:t>the gain or loss on the hedged item attributable to the hedged risk shall adjust the carrying amount of the hedged item and be recognised in profit or loss. This applies if the hedged item is otherwise measured at cost. Recognition of the gain or loss attributable to the hedged risk in profit or loss applies if the hedged item is a financial asset measured at fair value through other comprehensive income in accordance with paragraph 4.1.2A of</w:t>
      </w:r>
      <w:r w:rsidR="00723596">
        <w:rPr>
          <w:b/>
        </w:rPr>
        <w:t xml:space="preserve"> AASB 9</w:t>
      </w:r>
      <w:r>
        <w:rPr>
          <w:b/>
        </w:rPr>
        <w:t>.</w:t>
      </w:r>
    </w:p>
    <w:p w:rsidR="00C226BC" w:rsidRDefault="00C226BC">
      <w:pPr>
        <w:pStyle w:val="IASBNormalnpara"/>
      </w:pPr>
      <w:r>
        <w:t>89A</w:t>
      </w:r>
      <w:r>
        <w:tab/>
        <w:t xml:space="preserve">For a fair value hedge of the interest rate exposure of a portion of a portfolio of financial assets or financial liabilities (and only in such a hedge), the requirement in paragraph 89(b) may be met by presenting the gain or loss attributable to the hedged item either: </w:t>
      </w:r>
    </w:p>
    <w:p w:rsidR="00C226BC" w:rsidRDefault="00C226BC">
      <w:pPr>
        <w:pStyle w:val="IASBNormalnparaL1"/>
      </w:pPr>
      <w:r>
        <w:t>(a)</w:t>
      </w:r>
      <w:r>
        <w:tab/>
        <w:t>in a single separate line item within assets, for those repricing time periods for which the hedged item is an asset; or</w:t>
      </w:r>
    </w:p>
    <w:p w:rsidR="00C226BC" w:rsidRDefault="00C226BC">
      <w:pPr>
        <w:pStyle w:val="IASBNormalnparaL1"/>
      </w:pPr>
      <w:r>
        <w:t>(b)</w:t>
      </w:r>
      <w:r>
        <w:tab/>
        <w:t>in a single separate line item within liabilities, for those repricing time periods for which the hedged item is a liability.</w:t>
      </w:r>
    </w:p>
    <w:p w:rsidR="00C226BC" w:rsidRDefault="00C226BC">
      <w:pPr>
        <w:pStyle w:val="IASBNormalnparaP"/>
      </w:pPr>
      <w:r>
        <w:t>The separate line items referred to in (a) and (b) above shall be presented next to financial assets or financial liabilities. Amounts included in these line items shall be removed from the statement of financial position when the assets or liabilities to which they relate are derecognised.</w:t>
      </w:r>
    </w:p>
    <w:p w:rsidR="00C226BC" w:rsidRDefault="00C226BC">
      <w:pPr>
        <w:pStyle w:val="IASBNormalnpara"/>
      </w:pPr>
      <w:r>
        <w:t>90</w:t>
      </w:r>
      <w:r>
        <w:tab/>
        <w:t>If only particular risks attributable to a hedged item are hedged, recognised changes in the fair value of the hedged item unrelated to the hedged risk are recognised as set out in paragraph 5.7.1 of</w:t>
      </w:r>
      <w:r w:rsidR="00723596">
        <w:t xml:space="preserve"> AASB 9</w:t>
      </w:r>
      <w:r>
        <w:t xml:space="preserve">. </w:t>
      </w:r>
    </w:p>
    <w:p w:rsidR="00C226BC" w:rsidRDefault="00C226BC">
      <w:pPr>
        <w:pStyle w:val="IASBNormalnpara"/>
        <w:rPr>
          <w:b/>
        </w:rPr>
      </w:pPr>
      <w:r>
        <w:rPr>
          <w:b/>
        </w:rPr>
        <w:t>91</w:t>
      </w:r>
      <w:r>
        <w:rPr>
          <w:b/>
        </w:rPr>
        <w:tab/>
        <w:t xml:space="preserve">An entity shall discontinue prospectively the hedge accounting specified in paragraph 89 if: </w:t>
      </w:r>
    </w:p>
    <w:p w:rsidR="00C226BC" w:rsidRDefault="00C226BC">
      <w:pPr>
        <w:pStyle w:val="IASBNormalnparaL1"/>
      </w:pPr>
      <w:r>
        <w:rPr>
          <w:b/>
        </w:rPr>
        <w:t>(a)</w:t>
      </w:r>
      <w:r>
        <w:tab/>
      </w:r>
      <w:r>
        <w:rPr>
          <w:b/>
        </w:rPr>
        <w:t>the hedging instrument expires or is sold, terminated or exercised. For this purpose, the replacement or rollover of a hedging instrument into another hedging instrument is not an expiration or termination if such replacement or rollover is part of the entity’s documented hedging strategy. Additionally, for this purpose there is not an expiration or termination of the hedging instrument if:</w:t>
      </w:r>
    </w:p>
    <w:p w:rsidR="00C226BC" w:rsidRDefault="00C226BC">
      <w:pPr>
        <w:pStyle w:val="IASBNormalnparaL2"/>
        <w:rPr>
          <w:b/>
        </w:rPr>
      </w:pPr>
      <w:r>
        <w:rPr>
          <w:b/>
        </w:rPr>
        <w:t>(</w:t>
      </w:r>
      <w:proofErr w:type="spellStart"/>
      <w:r>
        <w:rPr>
          <w:b/>
        </w:rPr>
        <w:t>i</w:t>
      </w:r>
      <w:proofErr w:type="spellEnd"/>
      <w:r>
        <w:rPr>
          <w:b/>
        </w:rPr>
        <w:t>)</w:t>
      </w:r>
      <w:r>
        <w:rPr>
          <w:b/>
        </w:rPr>
        <w:tab/>
        <w:t>as a consequence of laws or regulations or the introduction of laws or regulations, the parties to the hedging instrument agree that one or more clearing counterparties replace their original counterparty to become the new counterparty to each of the parties. For this purpose, a clearing counterparty is a central counterparty (sometimes called a ‘clearing organisation’ or ‘clearing agency’) or an entity or entities, for example, a clearing member of a clearing organisation or a client of a clearing member of a clearing organisation, that are acting as counterparty in order to effect clearing by a central counterparty. However, when the parties to the hedging instrument replace their original counterparties with different counterparties this paragraph shall apply only if each of those parties effects clearing with the same central counterparty.</w:t>
      </w:r>
    </w:p>
    <w:p w:rsidR="00C226BC" w:rsidRDefault="00C226BC">
      <w:pPr>
        <w:pStyle w:val="IASBNormalnparaL2"/>
        <w:rPr>
          <w:b/>
        </w:rPr>
      </w:pPr>
      <w:r>
        <w:rPr>
          <w:b/>
        </w:rPr>
        <w:t>(ii)</w:t>
      </w:r>
      <w:r>
        <w:rPr>
          <w:b/>
        </w:rPr>
        <w:tab/>
        <w:t>other changes, if any, to the hedging instrument are limited to those that are necessary to effect such a replacement of the counterparty. Such changes are limited to those that are consistent with the terms that would be expected if the hedging instrument were originally cleared with the clearing counterparty. These changes include changes in the collateral requirements, rights to offset receivables and payables balances, and charges levied.</w:t>
      </w:r>
    </w:p>
    <w:p w:rsidR="00C226BC" w:rsidRDefault="00C226BC">
      <w:pPr>
        <w:pStyle w:val="IASBNormalnparaL1"/>
      </w:pPr>
      <w:r>
        <w:rPr>
          <w:b/>
        </w:rPr>
        <w:t>(b)</w:t>
      </w:r>
      <w:r>
        <w:tab/>
      </w:r>
      <w:r>
        <w:rPr>
          <w:b/>
        </w:rPr>
        <w:t>the hedge no longer meets the criteria for hedge accounting in paragraph 88; or</w:t>
      </w:r>
    </w:p>
    <w:p w:rsidR="00C226BC" w:rsidRDefault="00C226BC">
      <w:pPr>
        <w:pStyle w:val="IASBNormalnparaL1"/>
      </w:pPr>
      <w:r>
        <w:rPr>
          <w:b/>
        </w:rPr>
        <w:t>(c)</w:t>
      </w:r>
      <w:r>
        <w:tab/>
      </w:r>
      <w:r>
        <w:rPr>
          <w:b/>
        </w:rPr>
        <w:t>the entity revokes the designation.</w:t>
      </w:r>
    </w:p>
    <w:p w:rsidR="00C226BC" w:rsidRDefault="00C226BC">
      <w:pPr>
        <w:pStyle w:val="IASBNormalnpara"/>
        <w:rPr>
          <w:b/>
        </w:rPr>
      </w:pPr>
      <w:r>
        <w:rPr>
          <w:b/>
        </w:rPr>
        <w:t>92</w:t>
      </w:r>
      <w:r>
        <w:rPr>
          <w:b/>
        </w:rPr>
        <w:tab/>
        <w:t xml:space="preserve">Any adjustment arising from paragraph 89(b) to the carrying amount of a hedged financial instrument for which the effective interest method is used (or, in the case of a portfolio hedge of interest rate risk, to the separate line item in the statement of financial position described in paragraph 89A) shall be amortised to profit or loss. Amortisation may begin as soon as an adjustment exists and shall begin no later than when the hedged item ceases to be adjusted for changes in its fair value attributable to the risk being hedged. The adjustment is based on a recalculated effective interest rate at the date amortisation begins. However, if, in the case of a fair value hedge of the interest rate exposure of a portfolio of financial assets or financial liabilities (and only in such a hedge), amortising using a recalculated effective interest rate is not practicable, the adjustment shall be amortised using a straight-line method. The adjustment shall be amortised fully by maturity of the financial instrument or, in the case of a portfolio hedge of interest rate risk, by expiry of the relevant repricing time period. </w:t>
      </w:r>
    </w:p>
    <w:p w:rsidR="00C226BC" w:rsidRDefault="00C226BC">
      <w:pPr>
        <w:pStyle w:val="IASBNormalnpara"/>
      </w:pPr>
      <w:r>
        <w:t>93</w:t>
      </w:r>
      <w:r>
        <w:tab/>
        <w:t xml:space="preserve">When an unrecognised firm commitment is designated as a hedged item, the subsequent cumulative change in the fair value of the firm commitment attributable to the hedged risk is recognised as an asset or liability with a corresponding gain or loss recognised in profit or loss (see paragraph 89(b)). The changes in the fair value of the hedging instrument are also recognised in profit or loss. </w:t>
      </w:r>
    </w:p>
    <w:p w:rsidR="00C226BC" w:rsidRDefault="00C226BC">
      <w:pPr>
        <w:pStyle w:val="IASBNormalnpara"/>
      </w:pPr>
      <w:r>
        <w:t>94</w:t>
      </w:r>
      <w:r>
        <w:tab/>
        <w:t>When an entity enters into a firm commitment to acquire an asset or assume a liability that is a hedged item in a fair value hedge, the initial carrying amount of the asset or liability that results from the entity meeting the firm commitment is adjusted to include the cumulative change in the fair value of the firm commitment attributable to the hedged risk that was recognised in the statement of financial position.</w:t>
      </w:r>
    </w:p>
    <w:p w:rsidR="00C226BC" w:rsidRDefault="00C226BC">
      <w:pPr>
        <w:pStyle w:val="IASBSectionTitle3Ind"/>
      </w:pPr>
      <w:r>
        <w:t>Cash flow hedges</w:t>
      </w:r>
    </w:p>
    <w:p w:rsidR="00C226BC" w:rsidRDefault="00C226BC">
      <w:pPr>
        <w:pStyle w:val="IASBNormalnpara"/>
        <w:rPr>
          <w:b/>
        </w:rPr>
      </w:pPr>
      <w:r>
        <w:rPr>
          <w:b/>
        </w:rPr>
        <w:t>95</w:t>
      </w:r>
      <w:r>
        <w:rPr>
          <w:b/>
        </w:rPr>
        <w:tab/>
        <w:t xml:space="preserve">If a cash flow hedge meets the conditions in paragraph 88 during the period, it shall be accounted for as follows: </w:t>
      </w:r>
    </w:p>
    <w:p w:rsidR="00C226BC" w:rsidRDefault="00C226BC">
      <w:pPr>
        <w:pStyle w:val="IASBNormalnparaL1"/>
      </w:pPr>
      <w:r>
        <w:rPr>
          <w:b/>
        </w:rPr>
        <w:t>(a)</w:t>
      </w:r>
      <w:r>
        <w:tab/>
      </w:r>
      <w:r>
        <w:rPr>
          <w:b/>
        </w:rPr>
        <w:t>the portion of the gain or loss on the hedging instrument that is determined to be an effective hedge (see paragraph 88) shall be recognised in other comprehensive income; and</w:t>
      </w:r>
    </w:p>
    <w:p w:rsidR="00C226BC" w:rsidRDefault="00C226BC">
      <w:pPr>
        <w:pStyle w:val="IASBNormalnparaL1"/>
      </w:pPr>
      <w:r>
        <w:rPr>
          <w:b/>
        </w:rPr>
        <w:t>(b)</w:t>
      </w:r>
      <w:r>
        <w:tab/>
      </w:r>
      <w:r>
        <w:rPr>
          <w:b/>
        </w:rPr>
        <w:t>the ineffective portion of the gain or loss on the hedging instrument shall be recognised in profit or loss.</w:t>
      </w:r>
    </w:p>
    <w:p w:rsidR="00C226BC" w:rsidRDefault="00C226BC">
      <w:pPr>
        <w:pStyle w:val="IASBNormalnpara"/>
      </w:pPr>
      <w:r>
        <w:t>96</w:t>
      </w:r>
      <w:r>
        <w:tab/>
        <w:t xml:space="preserve">More specifically, a cash flow hedge is accounted for as follows: </w:t>
      </w:r>
    </w:p>
    <w:p w:rsidR="00C226BC" w:rsidRDefault="00C226BC">
      <w:pPr>
        <w:pStyle w:val="IASBNormalnparaL1"/>
      </w:pPr>
      <w:r>
        <w:t>(a)</w:t>
      </w:r>
      <w:r>
        <w:tab/>
        <w:t>the separate component of equity associated with the hedged item is adjusted to the lesser of the following (in absolute amounts):</w:t>
      </w:r>
    </w:p>
    <w:p w:rsidR="00C226BC" w:rsidRDefault="00C226BC">
      <w:pPr>
        <w:pStyle w:val="IASBNormalnparaL2"/>
      </w:pPr>
      <w:r>
        <w:t>(</w:t>
      </w:r>
      <w:proofErr w:type="spellStart"/>
      <w:r>
        <w:t>i</w:t>
      </w:r>
      <w:proofErr w:type="spellEnd"/>
      <w:r>
        <w:t>)</w:t>
      </w:r>
      <w:r>
        <w:tab/>
        <w:t>the cumulative gain or loss on the hedging instrument from inception of the hedge; and</w:t>
      </w:r>
    </w:p>
    <w:p w:rsidR="00C226BC" w:rsidRDefault="00C226BC">
      <w:pPr>
        <w:pStyle w:val="IASBNormalnparaL2"/>
      </w:pPr>
      <w:r>
        <w:t>(ii)</w:t>
      </w:r>
      <w:r>
        <w:tab/>
        <w:t>the cumulative change in fair value (present value) of the expected future cash flows on the hedged item from inception of the hedge;</w:t>
      </w:r>
    </w:p>
    <w:p w:rsidR="00C226BC" w:rsidRDefault="00C226BC">
      <w:pPr>
        <w:pStyle w:val="IASBNormalnparaL1"/>
      </w:pPr>
      <w:r>
        <w:t>(b)</w:t>
      </w:r>
      <w:r>
        <w:tab/>
        <w:t>any remaining gain or loss on the hedging instrument or designated component of it (that is not an effective hedge) is recognised in profit or loss; and</w:t>
      </w:r>
    </w:p>
    <w:p w:rsidR="00C226BC" w:rsidRDefault="00C226BC">
      <w:pPr>
        <w:pStyle w:val="IASBNormalnparaL1"/>
      </w:pPr>
      <w:r>
        <w:t>(c)</w:t>
      </w:r>
      <w:r>
        <w:tab/>
        <w:t>if an entity’s documented risk management strategy for a particular hedging relationship excludes from the assessment of hedge effectiveness a specific component of the gain or loss or related cash flows on the hedging instrument (see paragraphs 74, 75 and 88(a)), that excluded component of gain or loss is recognised in accordance with paragraph 5.7.1 of</w:t>
      </w:r>
      <w:r w:rsidR="00723596">
        <w:t xml:space="preserve"> AASB 9</w:t>
      </w:r>
      <w:r>
        <w:t>.</w:t>
      </w:r>
    </w:p>
    <w:p w:rsidR="00C226BC" w:rsidRDefault="00C226BC">
      <w:pPr>
        <w:pStyle w:val="IASBNormalnpara"/>
        <w:rPr>
          <w:b/>
        </w:rPr>
      </w:pPr>
      <w:r>
        <w:rPr>
          <w:b/>
        </w:rPr>
        <w:t>97</w:t>
      </w:r>
      <w:r>
        <w:rPr>
          <w:b/>
        </w:rPr>
        <w:tab/>
        <w:t>If a hedge of a forecast transaction subsequently results in the recognition of a financial asset or a financial liability, the associated gains or losses that were recognised in other comprehensive income in accordance with paragraph 95 shall be reclassified from equity to profit or loss as a reclassification adjustment (see</w:t>
      </w:r>
      <w:r w:rsidR="00723596">
        <w:rPr>
          <w:b/>
        </w:rPr>
        <w:t xml:space="preserve"> AASB 101</w:t>
      </w:r>
      <w:r>
        <w:rPr>
          <w:b/>
        </w:rPr>
        <w:t xml:space="preserve">) in the same period or periods during which the hedged forecast cash flows affect profit or loss (such as in the periods that interest income or interest expense is recognised). However, if an entity expects that all or a portion of a loss recognised in other comprehensive income will not be recovered in one or more future periods, it shall reclassify into profit or loss as a reclassification adjustment the amount that is not expected to be recovered. </w:t>
      </w:r>
    </w:p>
    <w:p w:rsidR="00C226BC" w:rsidRDefault="00C226BC">
      <w:pPr>
        <w:pStyle w:val="IASBNormalnpara"/>
        <w:rPr>
          <w:b/>
        </w:rPr>
      </w:pPr>
      <w:r>
        <w:rPr>
          <w:b/>
        </w:rPr>
        <w:t>98</w:t>
      </w:r>
      <w:r>
        <w:rPr>
          <w:b/>
        </w:rPr>
        <w:tab/>
        <w:t xml:space="preserve">If a hedge of a forecast transaction subsequently results in the recognition of a non-financial asset or a non-financial liability, or a forecast transaction for a non-financial asset or non-financial liability becomes a firm commitment for which fair value hedge accounting is applied, then the entity shall adopt (a) or (b) below: </w:t>
      </w:r>
    </w:p>
    <w:p w:rsidR="00C226BC" w:rsidRDefault="00C226BC">
      <w:pPr>
        <w:pStyle w:val="IASBNormalnparaL1"/>
      </w:pPr>
      <w:r>
        <w:rPr>
          <w:b/>
        </w:rPr>
        <w:t>(a)</w:t>
      </w:r>
      <w:r>
        <w:tab/>
      </w:r>
      <w:r>
        <w:rPr>
          <w:b/>
        </w:rPr>
        <w:t>It reclassifies the associated gains and losses that were recognised in other comprehensive income</w:t>
      </w:r>
      <w:r>
        <w:t xml:space="preserve"> </w:t>
      </w:r>
      <w:r>
        <w:rPr>
          <w:b/>
        </w:rPr>
        <w:t>in accordance with paragraph 95 to profit or loss as a reclassification adjustment (see</w:t>
      </w:r>
      <w:r w:rsidR="00723596">
        <w:rPr>
          <w:b/>
        </w:rPr>
        <w:t xml:space="preserve"> AASB 101</w:t>
      </w:r>
      <w:r>
        <w:rPr>
          <w:b/>
        </w:rPr>
        <w:t>) in the same period or periods during which the asset acquired or liability assumed affects profit or loss (such as in the periods that depreciation</w:t>
      </w:r>
      <w:r>
        <w:t xml:space="preserve"> </w:t>
      </w:r>
      <w:r>
        <w:rPr>
          <w:b/>
        </w:rPr>
        <w:t xml:space="preserve">expense or cost of sales is recognised). However, if an entity expects that all or a portion of a loss recognised in other comprehensive income will not be recovered in one or more future periods, it shall reclassify from equity to profit or loss as a reclassification adjustment the amount that is not expected to be recovered. </w:t>
      </w:r>
    </w:p>
    <w:p w:rsidR="00C226BC" w:rsidRDefault="00C226BC">
      <w:pPr>
        <w:pStyle w:val="IASBNormalnparaL1"/>
      </w:pPr>
      <w:r>
        <w:rPr>
          <w:b/>
        </w:rPr>
        <w:t>(b)</w:t>
      </w:r>
      <w:r>
        <w:tab/>
      </w:r>
      <w:r>
        <w:rPr>
          <w:b/>
        </w:rPr>
        <w:t>It removes the associated gains and losses that were recognised in other comprehensive income in accordance with paragraph 95, and includes them in the initial cost or other carrying amount</w:t>
      </w:r>
      <w:r>
        <w:t xml:space="preserve"> </w:t>
      </w:r>
      <w:r>
        <w:rPr>
          <w:b/>
        </w:rPr>
        <w:t>of the asset or liability.</w:t>
      </w:r>
    </w:p>
    <w:p w:rsidR="00C226BC" w:rsidRDefault="00C226BC">
      <w:pPr>
        <w:pStyle w:val="IASBNormalnpara"/>
        <w:rPr>
          <w:b/>
        </w:rPr>
      </w:pPr>
      <w:r>
        <w:rPr>
          <w:b/>
        </w:rPr>
        <w:t>99</w:t>
      </w:r>
      <w:r>
        <w:rPr>
          <w:b/>
        </w:rPr>
        <w:tab/>
        <w:t xml:space="preserve">An entity shall adopt either (a) or (b) in paragraph 98 as its accounting policy and shall apply it consistently to all hedges to which paragraph 98 relates. </w:t>
      </w:r>
    </w:p>
    <w:p w:rsidR="00C226BC" w:rsidRDefault="00C226BC">
      <w:pPr>
        <w:pStyle w:val="IASBNormalnpara"/>
        <w:rPr>
          <w:b/>
        </w:rPr>
      </w:pPr>
      <w:r>
        <w:rPr>
          <w:b/>
        </w:rPr>
        <w:t>100</w:t>
      </w:r>
      <w:r>
        <w:rPr>
          <w:b/>
        </w:rPr>
        <w:tab/>
        <w:t>For cash flow hedges other than those covered by paragraphs 97 and 98, amounts that had been recognised in other comprehensive income shall be reclassified from equity to profit or loss as a reclassification adjustment (see</w:t>
      </w:r>
      <w:r w:rsidR="00723596">
        <w:rPr>
          <w:b/>
        </w:rPr>
        <w:t xml:space="preserve"> AASB 101</w:t>
      </w:r>
      <w:r>
        <w:rPr>
          <w:b/>
        </w:rPr>
        <w:t>) in the same period or periods during which the hedged forecast cash flows affect profit or loss (for example, when a forecast sale occurs).</w:t>
      </w:r>
    </w:p>
    <w:p w:rsidR="00C226BC" w:rsidRDefault="00C226BC">
      <w:pPr>
        <w:pStyle w:val="IASBNormalnpara"/>
        <w:rPr>
          <w:b/>
        </w:rPr>
      </w:pPr>
      <w:r>
        <w:rPr>
          <w:b/>
        </w:rPr>
        <w:t>101</w:t>
      </w:r>
      <w:r>
        <w:rPr>
          <w:b/>
        </w:rPr>
        <w:tab/>
        <w:t xml:space="preserve">In any of the following circumstances an entity shall discontinue prospectively the hedge accounting specified in paragraphs 95–100: </w:t>
      </w:r>
    </w:p>
    <w:p w:rsidR="00C226BC" w:rsidRDefault="00C226BC">
      <w:pPr>
        <w:pStyle w:val="IASBNormalnparaL1"/>
      </w:pPr>
      <w:r>
        <w:rPr>
          <w:b/>
        </w:rPr>
        <w:t>(a)</w:t>
      </w:r>
      <w:r>
        <w:tab/>
      </w:r>
      <w:r>
        <w:rPr>
          <w:b/>
        </w:rPr>
        <w:t>The hedging instrument expires or is sold, terminated or exercised. In this case, the cumulative gain or loss on the hedging instrument that has been recognised in other comprehensive income from the period when the hedge was effective (see paragraph 95(a)) shall remain separately in equity until the forecast transaction occurs. When the transaction occurs, paragraph 97, 98 or 100 applies. For the purpose of this subparagraph, the replacement or rollover of a hedging instrument into another hedging instrument is not an expiration or termination if such replacement or rollover is part of the entity’s documented hedging strategy. Additionally, for the purpose of this subparagraph there is not an expiration or termination of the hedging instrument if:</w:t>
      </w:r>
    </w:p>
    <w:p w:rsidR="00C226BC" w:rsidRDefault="00C226BC">
      <w:pPr>
        <w:pStyle w:val="IASBNormalnparaL2"/>
        <w:rPr>
          <w:b/>
        </w:rPr>
      </w:pPr>
      <w:r>
        <w:rPr>
          <w:b/>
        </w:rPr>
        <w:t>(</w:t>
      </w:r>
      <w:proofErr w:type="spellStart"/>
      <w:r>
        <w:rPr>
          <w:b/>
        </w:rPr>
        <w:t>i</w:t>
      </w:r>
      <w:proofErr w:type="spellEnd"/>
      <w:r>
        <w:rPr>
          <w:b/>
        </w:rPr>
        <w:t>)</w:t>
      </w:r>
      <w:r>
        <w:rPr>
          <w:b/>
        </w:rPr>
        <w:tab/>
        <w:t>as a consequence of laws or regulations or the introduction of laws or regulations, the parties to the hedging instrument agree that one or more clearing counterparties replace their original counterparty to become the new counterparty to each of the parties. For this purpose, a clearing counterparty is a central counterparty (sometimes called a ‘clearing organisation’ or ‘clearing agency’) or an entity or entities, for example, a clearing member of a clearing organisation or a client of a clearing member of a clearing organisation, that are acting as counterparty in order to effect clearing by a central counterparty. However, when the parties to the hedging instrument replace their original counterparties with different counterparties this paragraph shall apply only if each of those parties effects clearing with the same central counterparty.</w:t>
      </w:r>
    </w:p>
    <w:p w:rsidR="00C226BC" w:rsidRDefault="00C226BC">
      <w:pPr>
        <w:pStyle w:val="IASBNormalnparaL2"/>
        <w:rPr>
          <w:b/>
        </w:rPr>
      </w:pPr>
      <w:r>
        <w:rPr>
          <w:b/>
        </w:rPr>
        <w:t>(ii)</w:t>
      </w:r>
      <w:r>
        <w:rPr>
          <w:b/>
        </w:rPr>
        <w:tab/>
        <w:t>other changes, if any, to the hedging instrument are limited to those that are necessary to effect such a replacement of the counterparty. Such changes are limited to those that are consistent with the terms that would be expected if the hedging instrument were originally cleared with the clearing counterparty. These changes include changes in the collateral requirements, rights to offset receivables and payables balances, and charges levied.</w:t>
      </w:r>
    </w:p>
    <w:p w:rsidR="00C226BC" w:rsidRDefault="00C226BC">
      <w:pPr>
        <w:pStyle w:val="IASBNormalnparaL1"/>
      </w:pPr>
      <w:r>
        <w:rPr>
          <w:b/>
        </w:rPr>
        <w:t>(b)</w:t>
      </w:r>
      <w:r>
        <w:tab/>
      </w:r>
      <w:r>
        <w:rPr>
          <w:b/>
        </w:rPr>
        <w:t xml:space="preserve">The hedge no longer meets the criteria for hedge accounting in paragraph 88. In this case, the cumulative gain or loss on the hedging instrument that has been recognised in other comprehensive income from the period when the hedge was effective (see paragraph 95(a)) shall remain separately in equity until the forecast transaction occurs. When the transaction occurs, paragraph 97, 98 or 100 applies. </w:t>
      </w:r>
    </w:p>
    <w:p w:rsidR="00C226BC" w:rsidRDefault="00C226BC">
      <w:pPr>
        <w:pStyle w:val="IASBNormalnparaL1"/>
      </w:pPr>
      <w:r>
        <w:rPr>
          <w:b/>
        </w:rPr>
        <w:t>(c)</w:t>
      </w:r>
      <w:r>
        <w:tab/>
      </w:r>
      <w:r>
        <w:rPr>
          <w:b/>
        </w:rPr>
        <w:t>The forecast transaction is no longer expected to occur, in which case any related cumulative gain or loss on the hedging instrument that has been recognised in other comprehensive income from the period when the hedge was effective (see paragraph 95(a)) shall be reclassified from equity to profit or loss</w:t>
      </w:r>
      <w:r>
        <w:t xml:space="preserve"> </w:t>
      </w:r>
      <w:r>
        <w:rPr>
          <w:b/>
        </w:rPr>
        <w:t xml:space="preserve">as a reclassification adjustment. A forecast transaction that is no longer highly probable (see paragraph 88(c)) may still be expected to occur. </w:t>
      </w:r>
    </w:p>
    <w:p w:rsidR="00C226BC" w:rsidRDefault="00C226BC">
      <w:pPr>
        <w:pStyle w:val="IASBNormalnparaL1"/>
      </w:pPr>
      <w:r>
        <w:rPr>
          <w:b/>
        </w:rPr>
        <w:t>(d)</w:t>
      </w:r>
      <w:r>
        <w:tab/>
      </w:r>
      <w:r>
        <w:rPr>
          <w:b/>
        </w:rPr>
        <w:t xml:space="preserve">The entity revokes the designation. For hedges of a forecast transaction, the cumulative gain or loss on the hedging instrument that has been recognised in other comprehensive income from the period when the hedge was effective (see paragraph 95(a)) shall remain separately in equity until the forecast transaction occurs or is no longer expected to occur. When the transaction occurs, paragraph 97, 98 or 100 applies. If the transaction is no longer expected to occur, the cumulative gain or loss that had been recognised in other comprehensive income shall be reclassified from equity to profit or loss as a reclassification adjustment. </w:t>
      </w:r>
    </w:p>
    <w:p w:rsidR="00C226BC" w:rsidRDefault="00C226BC">
      <w:pPr>
        <w:pStyle w:val="IASBSectionTitle3Ind"/>
      </w:pPr>
      <w:r>
        <w:t>Hedges of a net investment</w:t>
      </w:r>
    </w:p>
    <w:p w:rsidR="00C226BC" w:rsidRDefault="00C226BC">
      <w:pPr>
        <w:pStyle w:val="IASBNormalnpara"/>
        <w:rPr>
          <w:b/>
        </w:rPr>
      </w:pPr>
      <w:r>
        <w:rPr>
          <w:b/>
        </w:rPr>
        <w:t>102</w:t>
      </w:r>
      <w:r>
        <w:rPr>
          <w:b/>
        </w:rPr>
        <w:tab/>
        <w:t>Hedges of a net investment in a foreign operation, including a hedge of a monetary item that is accounted for as part of the net investment (see</w:t>
      </w:r>
      <w:r w:rsidR="00723596">
        <w:rPr>
          <w:b/>
        </w:rPr>
        <w:t xml:space="preserve"> AASB 121</w:t>
      </w:r>
      <w:r>
        <w:rPr>
          <w:b/>
        </w:rPr>
        <w:t xml:space="preserve">), shall be accounted for similarly to cash flow hedges: </w:t>
      </w:r>
    </w:p>
    <w:p w:rsidR="00C226BC" w:rsidRDefault="00C226BC">
      <w:pPr>
        <w:pStyle w:val="IASBNormalnparaL1"/>
      </w:pPr>
      <w:r>
        <w:rPr>
          <w:b/>
        </w:rPr>
        <w:t>(a)</w:t>
      </w:r>
      <w:r>
        <w:tab/>
      </w:r>
      <w:r>
        <w:rPr>
          <w:b/>
        </w:rPr>
        <w:t>the portion of the gain or loss on the hedging instrument that is determined to be an effective hedge (see paragraph 88) shall be recognised in other comprehensive income; and</w:t>
      </w:r>
    </w:p>
    <w:p w:rsidR="00C226BC" w:rsidRDefault="00C226BC">
      <w:pPr>
        <w:pStyle w:val="IASBNormalnparaL1"/>
      </w:pPr>
      <w:r>
        <w:rPr>
          <w:b/>
        </w:rPr>
        <w:t>(b)</w:t>
      </w:r>
      <w:r>
        <w:tab/>
      </w:r>
      <w:r>
        <w:rPr>
          <w:b/>
        </w:rPr>
        <w:t>the ineffective portion shall be recognised in profit or loss.</w:t>
      </w:r>
    </w:p>
    <w:p w:rsidR="00C226BC" w:rsidRDefault="00C226BC">
      <w:pPr>
        <w:pStyle w:val="IASBNormalnparaP"/>
      </w:pPr>
      <w:r>
        <w:rPr>
          <w:b/>
        </w:rPr>
        <w:t>The gain or loss on the hedging instrument relating to the effective portion of the hedge that has been recognised in other comprehensive income</w:t>
      </w:r>
      <w:r>
        <w:t xml:space="preserve"> </w:t>
      </w:r>
      <w:r>
        <w:rPr>
          <w:b/>
        </w:rPr>
        <w:t>shall be reclassified from equity to profit or loss</w:t>
      </w:r>
      <w:r>
        <w:t xml:space="preserve"> </w:t>
      </w:r>
      <w:r>
        <w:rPr>
          <w:b/>
        </w:rPr>
        <w:t>as a reclassification adjustment (see</w:t>
      </w:r>
      <w:r w:rsidR="00723596">
        <w:rPr>
          <w:b/>
        </w:rPr>
        <w:t xml:space="preserve"> AASB 101</w:t>
      </w:r>
      <w:r>
        <w:rPr>
          <w:b/>
        </w:rPr>
        <w:t>) in accordance with paragraphs 48–49 of</w:t>
      </w:r>
      <w:r w:rsidR="00723596">
        <w:rPr>
          <w:b/>
        </w:rPr>
        <w:t xml:space="preserve"> AASB 121</w:t>
      </w:r>
      <w:r>
        <w:rPr>
          <w:b/>
        </w:rPr>
        <w:t xml:space="preserve"> on the disposal or partial disposal of the foreign operation.</w:t>
      </w:r>
    </w:p>
    <w:p w:rsidR="00C226BC" w:rsidRDefault="00C226BC">
      <w:pPr>
        <w:pStyle w:val="IASBSectionTitle1NonInd"/>
      </w:pPr>
      <w:r>
        <w:t>Effective date and transition</w:t>
      </w:r>
    </w:p>
    <w:p w:rsidR="00C226BC" w:rsidRDefault="00C226BC">
      <w:pPr>
        <w:pStyle w:val="IASBNormalnpara"/>
      </w:pPr>
      <w:r>
        <w:t>103</w:t>
      </w:r>
      <w:r>
        <w:tab/>
        <w:t>An entity shall apply this Standard for annual periods beginning on or after</w:t>
      </w:r>
      <w:r w:rsidR="009D7809">
        <w:t xml:space="preserve"> 1 January 2018</w:t>
      </w:r>
      <w:r>
        <w:t>. Earlier application is permitted</w:t>
      </w:r>
      <w:r w:rsidR="00012D8C">
        <w:t xml:space="preserve"> for periods beginning after 24 July 2014 but before 1 January 2018</w:t>
      </w:r>
      <w:r>
        <w:t>. If an entity applies this Standard for a period beginning before</w:t>
      </w:r>
      <w:r w:rsidR="009D7809">
        <w:t xml:space="preserve"> 1 January 2018</w:t>
      </w:r>
      <w:r>
        <w:t>, it shall disclose that fact.</w:t>
      </w:r>
    </w:p>
    <w:p w:rsidR="00F27E21" w:rsidRPr="00E27871" w:rsidRDefault="00F27E21">
      <w:pPr>
        <w:pStyle w:val="IASBNormalnpara"/>
      </w:pPr>
      <w:r w:rsidRPr="00E27871">
        <w:t>103A</w:t>
      </w:r>
      <w:r w:rsidRPr="00E27871">
        <w:tab/>
        <w:t>[Deleted by the AASB]</w:t>
      </w:r>
    </w:p>
    <w:p w:rsidR="00C226BC" w:rsidRPr="00E27871" w:rsidRDefault="00C226BC">
      <w:pPr>
        <w:pStyle w:val="IASBNormalnpara"/>
      </w:pPr>
      <w:r w:rsidRPr="00E27871">
        <w:t>103B</w:t>
      </w:r>
      <w:r w:rsidRPr="00E27871">
        <w:tab/>
        <w:t>[Deleted]</w:t>
      </w:r>
    </w:p>
    <w:p w:rsidR="00F27E21" w:rsidRPr="00E27871" w:rsidRDefault="00F27E21" w:rsidP="00F27E21">
      <w:pPr>
        <w:pStyle w:val="IASBNormalnpara"/>
      </w:pPr>
      <w:r w:rsidRPr="00E27871">
        <w:t>103C</w:t>
      </w:r>
      <w:r w:rsidRPr="00E27871">
        <w:tab/>
        <w:t>[Deleted by the AASB]</w:t>
      </w:r>
    </w:p>
    <w:p w:rsidR="00C226BC" w:rsidRPr="00E27871" w:rsidRDefault="00C226BC">
      <w:pPr>
        <w:pStyle w:val="IASBNormalnpara"/>
      </w:pPr>
      <w:r w:rsidRPr="00E27871">
        <w:t>103D</w:t>
      </w:r>
      <w:r w:rsidRPr="00E27871">
        <w:tab/>
        <w:t>[Deleted]</w:t>
      </w:r>
    </w:p>
    <w:p w:rsidR="00F27E21" w:rsidRPr="00E27871" w:rsidRDefault="00F27E21" w:rsidP="00F27E21">
      <w:pPr>
        <w:pStyle w:val="IASBNormalnpara"/>
      </w:pPr>
      <w:r w:rsidRPr="00E27871">
        <w:t>103E</w:t>
      </w:r>
      <w:r w:rsidRPr="00E27871">
        <w:tab/>
        <w:t>[Deleted by the AASB]</w:t>
      </w:r>
    </w:p>
    <w:p w:rsidR="00C226BC" w:rsidRPr="00E27871" w:rsidRDefault="00C226BC">
      <w:pPr>
        <w:pStyle w:val="IASBNormalnpara"/>
      </w:pPr>
      <w:r w:rsidRPr="00E27871">
        <w:t>103F</w:t>
      </w:r>
      <w:r w:rsidRPr="00E27871">
        <w:tab/>
        <w:t>[Deleted]</w:t>
      </w:r>
    </w:p>
    <w:p w:rsidR="00F27E21" w:rsidRPr="00E27871" w:rsidRDefault="00F27E21" w:rsidP="00F27E21">
      <w:pPr>
        <w:pStyle w:val="IASBNormalnpara"/>
      </w:pPr>
      <w:r w:rsidRPr="00E27871">
        <w:t>103G</w:t>
      </w:r>
      <w:r w:rsidRPr="00E27871">
        <w:tab/>
        <w:t>[Deleted by the AASB]</w:t>
      </w:r>
    </w:p>
    <w:p w:rsidR="00C226BC" w:rsidRPr="00E27871" w:rsidRDefault="00C226BC">
      <w:pPr>
        <w:pStyle w:val="IASBNormalnpara"/>
      </w:pPr>
      <w:r w:rsidRPr="00E27871">
        <w:t>103H–</w:t>
      </w:r>
    </w:p>
    <w:p w:rsidR="00C226BC" w:rsidRPr="00E27871" w:rsidRDefault="00C226BC">
      <w:pPr>
        <w:pStyle w:val="IASBNormalnparaC"/>
      </w:pPr>
      <w:r w:rsidRPr="00E27871">
        <w:t>103J</w:t>
      </w:r>
      <w:r w:rsidRPr="00E27871">
        <w:tab/>
        <w:t>[Deleted]</w:t>
      </w:r>
    </w:p>
    <w:p w:rsidR="00C226BC" w:rsidDel="00F27E21" w:rsidRDefault="00C226BC">
      <w:pPr>
        <w:pStyle w:val="IASBNormalnpara"/>
      </w:pPr>
      <w:r w:rsidDel="00F27E21">
        <w:t>103K</w:t>
      </w:r>
      <w:r w:rsidDel="00F27E21">
        <w:tab/>
      </w:r>
      <w:r w:rsidR="005C3A09" w:rsidRPr="003D65F4">
        <w:rPr>
          <w:iCs/>
        </w:rPr>
        <w:t xml:space="preserve">AASB 2009-5 </w:t>
      </w:r>
      <w:r w:rsidR="005C3A09">
        <w:rPr>
          <w:i/>
          <w:iCs/>
        </w:rPr>
        <w:t>Further Amendments to Australian Accounting Standards arising from the Annual Improvements Project</w:t>
      </w:r>
      <w:r w:rsidR="005C3A09">
        <w:t xml:space="preserve">, issued in May 2009, </w:t>
      </w:r>
      <w:r w:rsidDel="00F27E21">
        <w:t>amended paragraphs 2(g), 97 and 100</w:t>
      </w:r>
      <w:r w:rsidR="005C3A09">
        <w:t xml:space="preserve"> in the previous version of this Standard</w:t>
      </w:r>
      <w:r w:rsidDel="00F27E21">
        <w:t>. An entity shall apply the amendments to those paragraphs prospectively to all unexpired contracts for annual periods beginning on or after 1 January 2010. Earlier application is permitted. If an entity applies the amendments for an earlier period it shall disclose that fact.</w:t>
      </w:r>
    </w:p>
    <w:p w:rsidR="00C226BC" w:rsidRPr="00E27871" w:rsidRDefault="00C226BC">
      <w:pPr>
        <w:pStyle w:val="IASBNormalnpara"/>
      </w:pPr>
      <w:r w:rsidRPr="00E27871">
        <w:t>103L–</w:t>
      </w:r>
    </w:p>
    <w:p w:rsidR="00C226BC" w:rsidRPr="00E27871" w:rsidRDefault="00C226BC">
      <w:pPr>
        <w:pStyle w:val="IASBNormalnparaC"/>
      </w:pPr>
      <w:r w:rsidRPr="00E27871">
        <w:t>103P</w:t>
      </w:r>
      <w:r w:rsidRPr="00E27871">
        <w:tab/>
        <w:t>[Deleted]</w:t>
      </w:r>
    </w:p>
    <w:p w:rsidR="005C3A09" w:rsidRDefault="005C3A09" w:rsidP="005C3A09">
      <w:pPr>
        <w:pStyle w:val="IASBNormalnpara"/>
      </w:pPr>
      <w:r>
        <w:t>103Q–</w:t>
      </w:r>
    </w:p>
    <w:p w:rsidR="005C3A09" w:rsidRDefault="005C3A09" w:rsidP="005C3A09">
      <w:pPr>
        <w:pStyle w:val="IASBNormalnparaC"/>
      </w:pPr>
      <w:r>
        <w:t>103R</w:t>
      </w:r>
      <w:r>
        <w:tab/>
        <w:t>[Deleted by the AASB]</w:t>
      </w:r>
    </w:p>
    <w:p w:rsidR="00C226BC" w:rsidRPr="00E27871" w:rsidRDefault="00C226BC">
      <w:pPr>
        <w:pStyle w:val="IASBNormalnpara"/>
      </w:pPr>
      <w:r w:rsidRPr="00E27871">
        <w:t>103S</w:t>
      </w:r>
      <w:r w:rsidRPr="00E27871">
        <w:tab/>
        <w:t>[Deleted]</w:t>
      </w:r>
    </w:p>
    <w:p w:rsidR="00C226BC" w:rsidDel="00DA20BC" w:rsidRDefault="00C226BC">
      <w:pPr>
        <w:pStyle w:val="IASBNormalnpara"/>
      </w:pPr>
      <w:r w:rsidDel="00DA20BC">
        <w:t>103T</w:t>
      </w:r>
      <w:r w:rsidDel="00DA20BC">
        <w:tab/>
      </w:r>
      <w:r w:rsidR="00571DEA">
        <w:rPr>
          <w:lang w:val="en-GB"/>
        </w:rPr>
        <w:t>AASB 2014-5</w:t>
      </w:r>
      <w:r w:rsidR="00571DEA" w:rsidRPr="009C5836">
        <w:rPr>
          <w:lang w:val="en-GB"/>
        </w:rPr>
        <w:t xml:space="preserve"> </w:t>
      </w:r>
      <w:r w:rsidR="00571DEA" w:rsidRPr="009C5836">
        <w:rPr>
          <w:i/>
        </w:rPr>
        <w:t>Amendments to Australian Accounting Standards arising from AASB 15</w:t>
      </w:r>
      <w:r w:rsidR="00571DEA" w:rsidRPr="009C5836">
        <w:t xml:space="preserve">, issued in </w:t>
      </w:r>
      <w:r w:rsidR="00571DEA">
        <w:t>December</w:t>
      </w:r>
      <w:r w:rsidR="00571DEA" w:rsidRPr="009C5836">
        <w:t xml:space="preserve"> 2014</w:t>
      </w:r>
      <w:r w:rsidR="00571DEA" w:rsidRPr="009C5836">
        <w:rPr>
          <w:lang w:val="en-GB"/>
        </w:rPr>
        <w:t xml:space="preserve">, </w:t>
      </w:r>
      <w:r w:rsidR="00571DEA">
        <w:t xml:space="preserve">amended the previous version of this Standard as follows: </w:t>
      </w:r>
      <w:r w:rsidDel="00DA20BC">
        <w:t xml:space="preserve">amended paragraphs 2, 9, 43, 47, 55, AG2, AG4 and AG48 and added paragraphs 2A, 44A, 55A and AG8A–AG8C. An entity shall apply those amendments when it applies </w:t>
      </w:r>
      <w:r w:rsidR="00571DEA">
        <w:t>AASB </w:t>
      </w:r>
      <w:r w:rsidDel="00DA20BC">
        <w:t>15.</w:t>
      </w:r>
    </w:p>
    <w:p w:rsidR="00C226BC" w:rsidDel="00F27E21" w:rsidRDefault="00C226BC">
      <w:pPr>
        <w:pStyle w:val="IASBNormalnpara"/>
      </w:pPr>
      <w:r w:rsidDel="00F27E21">
        <w:t>103U</w:t>
      </w:r>
      <w:r w:rsidDel="00F27E21">
        <w:tab/>
      </w:r>
      <w:r w:rsidR="00571DEA" w:rsidRPr="004A061D">
        <w:t xml:space="preserve">AASB 2010-7 </w:t>
      </w:r>
      <w:r w:rsidR="00571DEA" w:rsidRPr="004A061D">
        <w:rPr>
          <w:i/>
        </w:rPr>
        <w:t>Amendments to Australian Accounting Standards arising from AASB 9 (December 2010)</w:t>
      </w:r>
      <w:r w:rsidR="00571DEA" w:rsidRPr="004A061D">
        <w:t xml:space="preserve"> (as amended), AASB 2014-1 </w:t>
      </w:r>
      <w:r w:rsidR="00571DEA" w:rsidRPr="004A061D">
        <w:rPr>
          <w:i/>
        </w:rPr>
        <w:t>Amendments to Australian Accounting Standards</w:t>
      </w:r>
      <w:r w:rsidR="00571DEA" w:rsidRPr="004A061D">
        <w:t xml:space="preserve"> and </w:t>
      </w:r>
      <w:r w:rsidR="00571DEA">
        <w:t>AASB 2014-7</w:t>
      </w:r>
      <w:r w:rsidR="00571DEA" w:rsidRPr="004A061D">
        <w:t xml:space="preserve"> </w:t>
      </w:r>
      <w:r w:rsidR="00571DEA" w:rsidRPr="004A061D">
        <w:rPr>
          <w:i/>
        </w:rPr>
        <w:t xml:space="preserve">Amendments to Australian Accounting Standards arising from AASB 9 (December 2014) </w:t>
      </w:r>
      <w:r w:rsidR="00571DEA">
        <w:t xml:space="preserve">amended the previous version of this Standard as follows: </w:t>
      </w:r>
      <w:r w:rsidDel="00F27E21">
        <w:t xml:space="preserve">amended paragraphs 2, 8, 9, 71, 88–90, 96, AG95, AG114, AG118 and the headings above AG133 and deleted paragraphs 1, 4–7, 10–70, 79, 103B, 103D, 103F, 103H–103J, 103L–103P, 103S, 105–107A, 108E–108F, AG1–AG93 and AG96. An entity shall apply those amendments when it applies </w:t>
      </w:r>
      <w:r w:rsidR="00571DEA">
        <w:t>AASB </w:t>
      </w:r>
      <w:r w:rsidDel="00F27E21">
        <w:t>9.</w:t>
      </w:r>
    </w:p>
    <w:p w:rsidR="00C226BC" w:rsidRDefault="00C226BC">
      <w:pPr>
        <w:pStyle w:val="IASBNormalnpara"/>
      </w:pPr>
      <w:r>
        <w:t>104</w:t>
      </w:r>
      <w:r>
        <w:tab/>
        <w:t>This Standard shall be applied retrospectively except as specified in paragraph 108. The opening balance of retained earnings for the earliest prior period presented and all other comparative amounts shall be adjusted as if this Standard had always been in use unless restating the information would be impracticable. If restatement is impracticable, the entity shall disclose that fact and indicate the extent to which the information was restated.</w:t>
      </w:r>
    </w:p>
    <w:p w:rsidR="00287BA9" w:rsidRDefault="00287BA9" w:rsidP="00717EDF">
      <w:pPr>
        <w:pStyle w:val="AusPlain"/>
      </w:pPr>
      <w:r>
        <w:t>Aus104.1</w:t>
      </w:r>
      <w:r>
        <w:tab/>
      </w:r>
      <w:r w:rsidR="00717EDF">
        <w:t>Paragraph 108 shall not be applied by an entity that has previously applied AASB </w:t>
      </w:r>
      <w:r w:rsidR="0054685A">
        <w:t>139</w:t>
      </w:r>
      <w:r w:rsidR="00717EDF">
        <w:t>, unless required to do so by another Standard.</w:t>
      </w:r>
    </w:p>
    <w:p w:rsidR="00C226BC" w:rsidRPr="00E27871" w:rsidRDefault="00C226BC">
      <w:pPr>
        <w:pStyle w:val="IASBNormalnpara"/>
      </w:pPr>
      <w:r w:rsidRPr="00E27871">
        <w:t>105–</w:t>
      </w:r>
    </w:p>
    <w:p w:rsidR="00C226BC" w:rsidRPr="00E27871" w:rsidRDefault="00C226BC">
      <w:pPr>
        <w:pStyle w:val="IASBNormalnparaC"/>
      </w:pPr>
      <w:r w:rsidRPr="00E27871">
        <w:t>107A</w:t>
      </w:r>
      <w:r w:rsidRPr="00E27871">
        <w:tab/>
        <w:t>[Deleted]</w:t>
      </w:r>
    </w:p>
    <w:p w:rsidR="00C226BC" w:rsidRDefault="00C226BC">
      <w:pPr>
        <w:pStyle w:val="IASBNormalnpara"/>
      </w:pPr>
      <w:r>
        <w:t>108</w:t>
      </w:r>
      <w:r>
        <w:tab/>
        <w:t>An entity shall not adjust the carrying amount of non-financial assets and non-financial liabilities to exclude gains and losses related to cash flow hedges that were included in the carrying amount before the beginning of the financial year in which this Standard is first applied. At the beginning of the financial period in which this Standard is first applied, any amount recognised outside profit or loss (in other comprehensive income or directly in equity) for a hedge of a firm commitment that under this Standard is accounted for as a fair value hedge shall be reclassified as an asset or liability, except for a hedge of foreign currency risk that continues to be treated as a cash flow hedge.</w:t>
      </w:r>
    </w:p>
    <w:p w:rsidR="00C226BC" w:rsidRDefault="00C226BC">
      <w:pPr>
        <w:pStyle w:val="IASBNormalnpara"/>
      </w:pPr>
      <w:r>
        <w:t>108A</w:t>
      </w:r>
      <w:r>
        <w:tab/>
        <w:t xml:space="preserve">An entity shall apply the last sentence of paragraph 80, and paragraphs AG99A and AG99B, for annual periods beginning on or after 1 January 2006. Earlier application is encouraged. If an entity has designated as the hedged item an external forecast transaction that </w:t>
      </w:r>
    </w:p>
    <w:p w:rsidR="00C226BC" w:rsidRDefault="00C226BC">
      <w:pPr>
        <w:pStyle w:val="IASBNormalnparaL1"/>
      </w:pPr>
      <w:r>
        <w:t>(a)</w:t>
      </w:r>
      <w:r>
        <w:tab/>
        <w:t>is denominated in the functional currency of the entity entering into the transaction,</w:t>
      </w:r>
    </w:p>
    <w:p w:rsidR="00C226BC" w:rsidRDefault="00C226BC">
      <w:pPr>
        <w:pStyle w:val="IASBNormalnparaL1"/>
      </w:pPr>
      <w:r>
        <w:t>(b)</w:t>
      </w:r>
      <w:r>
        <w:tab/>
        <w:t>gives rise to an exposure that will have an effect on consolidated profit or loss (</w:t>
      </w:r>
      <w:proofErr w:type="spellStart"/>
      <w:r>
        <w:t>ie</w:t>
      </w:r>
      <w:proofErr w:type="spellEnd"/>
      <w:r>
        <w:t xml:space="preserve"> is denominated in a currency other than the group’s presentation currency), and</w:t>
      </w:r>
    </w:p>
    <w:p w:rsidR="00C226BC" w:rsidRDefault="00C226BC">
      <w:pPr>
        <w:pStyle w:val="IASBNormalnparaL1"/>
      </w:pPr>
      <w:r>
        <w:t>(c)</w:t>
      </w:r>
      <w:r>
        <w:tab/>
        <w:t>would have qualified for hedge accounting had it not been denominated in the functional currency of the entity entering into it,</w:t>
      </w:r>
    </w:p>
    <w:p w:rsidR="00C226BC" w:rsidRDefault="00C226BC">
      <w:pPr>
        <w:pStyle w:val="IASBNormalnparaP"/>
      </w:pPr>
      <w:r>
        <w:t>it may apply hedge accounting in the consolidated financial statements in the period(s) before the date of application of the last sentence of paragraph 80, and paragraphs AG99A and AG99B.</w:t>
      </w:r>
    </w:p>
    <w:p w:rsidR="00C226BC" w:rsidRDefault="00C226BC">
      <w:pPr>
        <w:pStyle w:val="IASBNormalnpara"/>
      </w:pPr>
      <w:r>
        <w:t>108B</w:t>
      </w:r>
      <w:r>
        <w:tab/>
        <w:t>An entity need not apply paragraph AG99B to comparative information relating to periods before the date of application of the last sentence of paragraph 80 and paragraph AG99A.</w:t>
      </w:r>
    </w:p>
    <w:p w:rsidR="009D7809" w:rsidRDefault="009D7809" w:rsidP="009D7809">
      <w:pPr>
        <w:pStyle w:val="IASBNormalnpara"/>
      </w:pPr>
      <w:r>
        <w:t>108C–</w:t>
      </w:r>
    </w:p>
    <w:p w:rsidR="009D7809" w:rsidRDefault="009D7809" w:rsidP="009D7809">
      <w:pPr>
        <w:pStyle w:val="IASBNormalnparaC"/>
      </w:pPr>
      <w:r>
        <w:t>108D</w:t>
      </w:r>
      <w:r>
        <w:tab/>
        <w:t>[Deleted by the AASB]</w:t>
      </w:r>
    </w:p>
    <w:p w:rsidR="00C226BC" w:rsidRPr="00E27871" w:rsidRDefault="00C226BC">
      <w:pPr>
        <w:pStyle w:val="IASBNormalnpara"/>
      </w:pPr>
      <w:r w:rsidRPr="00E27871">
        <w:t>108E–</w:t>
      </w:r>
    </w:p>
    <w:p w:rsidR="00C226BC" w:rsidRPr="00E27871" w:rsidRDefault="00C226BC">
      <w:pPr>
        <w:pStyle w:val="IASBNormalnparaC"/>
      </w:pPr>
      <w:r w:rsidRPr="00E27871">
        <w:t>108F</w:t>
      </w:r>
      <w:r w:rsidRPr="00E27871">
        <w:tab/>
        <w:t>[Deleted]</w:t>
      </w:r>
    </w:p>
    <w:p w:rsidR="00C226BC" w:rsidRDefault="00C226BC">
      <w:pPr>
        <w:pStyle w:val="IASBSectionTitle1NonInd"/>
      </w:pPr>
      <w:r>
        <w:t>Withdrawal of other pronouncements</w:t>
      </w:r>
    </w:p>
    <w:p w:rsidR="00FA36C9" w:rsidRDefault="00FA36C9" w:rsidP="00FA36C9">
      <w:pPr>
        <w:pStyle w:val="IASBNormalnpara"/>
      </w:pPr>
      <w:r>
        <w:t>109–</w:t>
      </w:r>
    </w:p>
    <w:p w:rsidR="00FA36C9" w:rsidRDefault="00FA36C9" w:rsidP="00D81987">
      <w:pPr>
        <w:pStyle w:val="IASBNormalnpara"/>
        <w:spacing w:before="0"/>
      </w:pPr>
      <w:r>
        <w:t>110</w:t>
      </w:r>
      <w:r>
        <w:tab/>
        <w:t>[Deleted by the AASB]</w:t>
      </w:r>
    </w:p>
    <w:p w:rsidR="00723596" w:rsidRDefault="00723596" w:rsidP="00F27E21">
      <w:pPr>
        <w:pStyle w:val="IASBSectionTitle1NonInd"/>
      </w:pPr>
      <w:bookmarkStart w:id="15" w:name="CommenceHeading"/>
      <w:r>
        <w:t>Commencement of the legislative instrument</w:t>
      </w:r>
    </w:p>
    <w:p w:rsidR="00B345F5" w:rsidRDefault="00B345F5" w:rsidP="00B345F5">
      <w:pPr>
        <w:pStyle w:val="AusPlain"/>
      </w:pPr>
      <w:bookmarkStart w:id="16" w:name="SSHeading"/>
      <w:bookmarkEnd w:id="15"/>
      <w:r>
        <w:t>Aus110.1</w:t>
      </w:r>
      <w:r>
        <w:tab/>
      </w:r>
      <w:r w:rsidRPr="00562E7C">
        <w:t>For legal purposes, this legislative instrument commences on</w:t>
      </w:r>
      <w:r>
        <w:t xml:space="preserve"> </w:t>
      </w:r>
      <w:bookmarkStart w:id="17" w:name="CommenceDate"/>
      <w:r>
        <w:t>31 December 2017</w:t>
      </w:r>
      <w:bookmarkEnd w:id="17"/>
      <w:r>
        <w:t>.</w:t>
      </w:r>
    </w:p>
    <w:p w:rsidR="00723596" w:rsidRDefault="00723596" w:rsidP="00F27E21">
      <w:pPr>
        <w:pStyle w:val="IASBSectionTitle1NonInd"/>
      </w:pPr>
      <w:r>
        <w:t xml:space="preserve">Withdrawal of </w:t>
      </w:r>
      <w:r w:rsidR="006635EA">
        <w:t>AASB</w:t>
      </w:r>
      <w:r>
        <w:t xml:space="preserve"> pronouncements</w:t>
      </w:r>
    </w:p>
    <w:bookmarkEnd w:id="16"/>
    <w:p w:rsidR="00EB7025" w:rsidRDefault="00EB7025" w:rsidP="00EB7025">
      <w:pPr>
        <w:pStyle w:val="AusPlain"/>
      </w:pPr>
      <w:r>
        <w:t>Aus110.2</w:t>
      </w:r>
      <w:r>
        <w:tab/>
        <w:t xml:space="preserve">This Standard repeals </w:t>
      </w:r>
      <w:bookmarkStart w:id="18" w:name="SSInt"/>
      <w:r>
        <w:t>AASB</w:t>
      </w:r>
      <w:bookmarkEnd w:id="18"/>
      <w:r>
        <w:t xml:space="preserve"> </w:t>
      </w:r>
      <w:bookmarkStart w:id="19" w:name="SSAASBNo"/>
      <w:r>
        <w:t>139</w:t>
      </w:r>
      <w:bookmarkEnd w:id="19"/>
      <w:r>
        <w:t xml:space="preserve"> </w:t>
      </w:r>
      <w:bookmarkStart w:id="20" w:name="SSAASBTitle"/>
      <w:r w:rsidRPr="00723596">
        <w:rPr>
          <w:i/>
        </w:rPr>
        <w:t>Financial Instruments: Recognition and Measurement</w:t>
      </w:r>
      <w:bookmarkEnd w:id="20"/>
      <w:r>
        <w:t xml:space="preserve"> issued in </w:t>
      </w:r>
      <w:bookmarkStart w:id="21" w:name="SSAASBDate"/>
      <w:r>
        <w:t>July 2004</w:t>
      </w:r>
      <w:bookmarkEnd w:id="21"/>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EB7025" w:rsidRDefault="00EB7025" w:rsidP="00EB7025">
      <w:pPr>
        <w:pStyle w:val="IASBNormalnparaL1P"/>
      </w:pPr>
      <w:r>
        <w:t>[Note: When this Standard applies under section 334 of the Corporations Act (either generally or in relation to an individual entity), it supersedes the application of the repealed Standard.]</w:t>
      </w:r>
    </w:p>
    <w:p w:rsidR="00EB7025" w:rsidRDefault="00EB7025" w:rsidP="00EB7025">
      <w:pPr>
        <w:pStyle w:val="AusPlain"/>
      </w:pPr>
    </w:p>
    <w:p w:rsidR="00723596" w:rsidRDefault="00723596">
      <w:pPr>
        <w:widowControl w:val="0"/>
        <w:autoSpaceDE w:val="0"/>
        <w:autoSpaceDN w:val="0"/>
        <w:adjustRightInd w:val="0"/>
        <w:rPr>
          <w:lang w:eastAsia="en-GB"/>
        </w:rPr>
        <w:sectPr w:rsidR="00723596" w:rsidSect="003A4362">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rsidR="00C226BC" w:rsidRDefault="00C226BC">
      <w:pPr>
        <w:pStyle w:val="IASBSectionTitle1NonInd"/>
        <w:pBdr>
          <w:bottom w:val="none" w:sz="0" w:space="0" w:color="auto"/>
        </w:pBdr>
      </w:pPr>
      <w:r>
        <w:t>Appendix A</w:t>
      </w:r>
      <w:r>
        <w:br/>
        <w:t>Application guidance</w:t>
      </w:r>
    </w:p>
    <w:p w:rsidR="00C226BC" w:rsidRDefault="00C226BC">
      <w:pPr>
        <w:pStyle w:val="IASBNote"/>
      </w:pPr>
      <w:r>
        <w:t>This appendix is an integral part of the Standard.</w:t>
      </w:r>
    </w:p>
    <w:p w:rsidR="00C226BC" w:rsidRDefault="00C226BC">
      <w:pPr>
        <w:pStyle w:val="IASBNormalnpara"/>
      </w:pPr>
      <w:r>
        <w:t>AG1–</w:t>
      </w:r>
    </w:p>
    <w:p w:rsidR="00C226BC" w:rsidRDefault="00C226BC">
      <w:pPr>
        <w:pStyle w:val="IASBNormalnparaC"/>
      </w:pPr>
      <w:r>
        <w:t>AG93</w:t>
      </w:r>
      <w:r>
        <w:tab/>
        <w:t>[Deleted]</w:t>
      </w:r>
    </w:p>
    <w:p w:rsidR="00C226BC" w:rsidRDefault="00C226BC">
      <w:pPr>
        <w:pStyle w:val="IASBSectionTitle1NonInd"/>
      </w:pPr>
      <w:r>
        <w:t>Hedging (paragraphs 71–102)</w:t>
      </w:r>
    </w:p>
    <w:p w:rsidR="00C226BC" w:rsidRDefault="00C226BC">
      <w:pPr>
        <w:pStyle w:val="IASBSectionTitle2Ind"/>
      </w:pPr>
      <w:r>
        <w:t>Hedging instruments (paragraphs 72–77)</w:t>
      </w:r>
    </w:p>
    <w:p w:rsidR="00C226BC" w:rsidRDefault="00C226BC">
      <w:pPr>
        <w:pStyle w:val="IASBSectionTitle3Ind"/>
      </w:pPr>
      <w:r>
        <w:t>Qualifying instruments (paragraphs 72 and 73)</w:t>
      </w:r>
    </w:p>
    <w:p w:rsidR="00C226BC" w:rsidRDefault="00C226BC">
      <w:pPr>
        <w:pStyle w:val="IASBNormalnpara"/>
      </w:pPr>
      <w:r>
        <w:t>AG94</w:t>
      </w:r>
      <w:r>
        <w:tab/>
        <w:t>The potential loss on an option that an entity writes could be significantly greater than the potential gain in value of a related hedged item. In other words, a written option is not effective in reducing the profit or loss exposure of a hedged item. Therefore, a written option does not qualify as a hedging instrument unless it is designated as an offset to a purchased option, including one that is embedded in another financial instrument (for example, a written call option used to hedge a callable liability). In contrast, a purchased option has potential gains equal to or greater than losses and therefore has the potential to reduce profit or loss exposure from changes in fair values or cash flows. Accordingly, it can qualify as a hedging instrument.</w:t>
      </w:r>
    </w:p>
    <w:p w:rsidR="00C226BC" w:rsidRDefault="00C226BC">
      <w:pPr>
        <w:pStyle w:val="IASBNormalnpara"/>
      </w:pPr>
      <w:r>
        <w:t>AG95</w:t>
      </w:r>
      <w:r>
        <w:tab/>
        <w:t>A financial asset measured at amortised cost may be designated as a hedging instrument in a hedge of foreign currency risk.</w:t>
      </w:r>
    </w:p>
    <w:p w:rsidR="00C226BC" w:rsidRDefault="00C226BC">
      <w:pPr>
        <w:pStyle w:val="IASBNormalnpara"/>
      </w:pPr>
      <w:r>
        <w:t>AG96</w:t>
      </w:r>
      <w:r>
        <w:tab/>
        <w:t>[Deleted]</w:t>
      </w:r>
    </w:p>
    <w:p w:rsidR="00C226BC" w:rsidRDefault="00C226BC">
      <w:pPr>
        <w:pStyle w:val="IASBNormalnpara"/>
      </w:pPr>
      <w:r>
        <w:t>AG97</w:t>
      </w:r>
      <w:r>
        <w:tab/>
        <w:t>An entity’s own equity instruments are not financial assets or financial liabilities of the entity and therefore cannot be designated as hedging instruments.</w:t>
      </w:r>
    </w:p>
    <w:p w:rsidR="00C226BC" w:rsidRDefault="00C226BC">
      <w:pPr>
        <w:pStyle w:val="IASBSectionTitle2Ind"/>
      </w:pPr>
      <w:r>
        <w:t>Hedged items (paragraphs 78–84)</w:t>
      </w:r>
    </w:p>
    <w:p w:rsidR="00C226BC" w:rsidRDefault="00C226BC">
      <w:pPr>
        <w:pStyle w:val="IASBSectionTitle3Ind"/>
      </w:pPr>
      <w:r>
        <w:t>Qualifying items (paragraphs 78–80)</w:t>
      </w:r>
    </w:p>
    <w:p w:rsidR="00C226BC" w:rsidRDefault="00C226BC">
      <w:pPr>
        <w:pStyle w:val="IASBNormalnpara"/>
      </w:pPr>
      <w:r>
        <w:t>AG98</w:t>
      </w:r>
      <w:r>
        <w:tab/>
        <w:t>A firm commitment to acquire a business in a business combination cannot be a hedged item, except for foreign exchange risk, because the other risks being hedged cannot be specifically identified and measured. These other risks are general business risks.</w:t>
      </w:r>
    </w:p>
    <w:p w:rsidR="00C226BC" w:rsidRDefault="00C226BC">
      <w:pPr>
        <w:pStyle w:val="IASBNormalnpara"/>
      </w:pPr>
      <w:r>
        <w:t>AG99</w:t>
      </w:r>
      <w:r>
        <w:tab/>
        <w:t>An equity method investment cannot be a hedged item in a fair value hedge because the equity method recognises in profit or loss the investor’s share of the associate’s profit or loss, rather than changes in the investment’s fair value. For a similar reason, an investment in a consolidated subsidiary cannot be a hedged item in a fair value hedge because consolidation recognises in profit or loss the subsidiary’s profit or loss, rather than changes in the investment’s fair value. A hedge of a net investment in a foreign operation is different because it is a hedge of the foreign currency exposure, not a fair value hedge of the change in the value of the investment.</w:t>
      </w:r>
    </w:p>
    <w:p w:rsidR="00C226BC" w:rsidRDefault="00C226BC">
      <w:pPr>
        <w:pStyle w:val="IASBNormalnpara"/>
      </w:pPr>
      <w:r>
        <w:t>AG99A</w:t>
      </w:r>
      <w:r>
        <w:tab/>
        <w:t>Paragraph 80 states that in consolidated financial statements the foreign currency risk of a highly probable forecast intragroup transaction may qualify as a hedged item in a cash flow hedge, provided the transaction is denominated in a currency other than the functional currency of the entity entering into that transaction and the foreign currency risk will affect consolidated profit or loss. For this purpose an entity can be a parent, subsidiary, associate, joint venture or branch. If the foreign currency risk of a forecast intragroup transaction does not affect consolidated profit or loss, the intragroup transaction cannot qualify as a hedged item. This is usually the case for royalty payments, interest payments or management charges between members of the same group unless there is a related external transaction. However, when the foreign currency risk of a forecast intragroup transaction will affect consolidated profit or loss, the intragroup transaction can qualify as a hedged item. An example is forecast sales or purchases of inventories between members of the same group if there is an onward sale of the inventory to a party external to the group. Similarly, a forecast intragroup sale of plant and equipment from the group entity that manufactured it to a group entity that will use the plant and equipment in its operations may affect consolidated profit or loss. This could occur, for example, because the plant and equipment will be depreciated by the purchasing entity and the amount initially recognised for the plant and equipment may change if the forecast intragroup transaction is denominated in a currency other than the functional currency of the purchasing entity.</w:t>
      </w:r>
    </w:p>
    <w:p w:rsidR="00C226BC" w:rsidRDefault="00C226BC">
      <w:pPr>
        <w:pStyle w:val="IASBNormalnpara"/>
      </w:pPr>
      <w:r>
        <w:t>AG99B</w:t>
      </w:r>
      <w:r>
        <w:tab/>
        <w:t>If a hedge of a forecast intragroup transaction qualifies for hedge accounting, any gain or loss that is recognised in other comprehensive income in accordance with paragraph 95(a) shall be reclassified from equity to profit or loss as a reclassification adjustment in the same period or periods during which the foreign currency risk of the hedged transaction affects consolidated profit or loss.</w:t>
      </w:r>
    </w:p>
    <w:p w:rsidR="00C226BC" w:rsidRDefault="00C226BC">
      <w:pPr>
        <w:pStyle w:val="IASBNormalnpara"/>
      </w:pPr>
      <w:r>
        <w:t>AG99BA</w:t>
      </w:r>
      <w:r>
        <w:tab/>
        <w:t xml:space="preserve">An entity can designate all changes in the cash flows or fair value of a hedged item in a hedging relationship. An entity can also designate only changes in the cash flows or fair value of a hedged item above or below a specified price or other variable (a one-sided risk). The intrinsic value of a purchased option hedging instrument (assuming that it has the same principal terms as the designated risk), but not its time value, reflects a one-sided risk in a hedged item. For example, an entity can designate the variability of future cash flow outcomes resulting from a price increase of a forecast commodity purchase. In such a situation, only cash flow losses that result from an increase in the price above the specified level are designated. The hedged risk does not include the time value of a purchased option because the time value is not a component of the forecast transaction that affects profit or loss (paragraph 86(b)). </w:t>
      </w:r>
    </w:p>
    <w:p w:rsidR="00C226BC" w:rsidRDefault="00C226BC">
      <w:pPr>
        <w:pStyle w:val="IASBSectionTitle3Ind"/>
      </w:pPr>
      <w:r>
        <w:t xml:space="preserve">Designation of financial items as hedged items </w:t>
      </w:r>
      <w:r>
        <w:br/>
        <w:t>(paragraphs 81 and 81A)</w:t>
      </w:r>
    </w:p>
    <w:p w:rsidR="00C226BC" w:rsidRDefault="00C226BC">
      <w:pPr>
        <w:pStyle w:val="IASBNormalnpara"/>
      </w:pPr>
      <w:r>
        <w:t>AG99C</w:t>
      </w:r>
      <w:r>
        <w:tab/>
        <w:t>If a portion of the cash flows of a financial asset or financial liability is designated as the hedged item, that designated portion must be less than the total cash flows of the asset or liability. For example, in the case of a liability whose effective interest rate is below LIBOR, an entity cannot designate (a) a portion of the liability equal to the principal amount plus interest at LIBOR and (b) a negative residual portion. However, the entity may designate all of the cash flows of the entire financial asset or financial liability as the hedged item and hedge them for only one particular risk (</w:t>
      </w:r>
      <w:proofErr w:type="spellStart"/>
      <w:r>
        <w:t>eg</w:t>
      </w:r>
      <w:proofErr w:type="spellEnd"/>
      <w:r>
        <w:t xml:space="preserve"> only for changes that are attributable to changes in LIBOR). For example, in the case of a financial liability whose effective interest rate is 100 basis points below LIBOR, an entity can designate as the hedged item the entire liability (</w:t>
      </w:r>
      <w:proofErr w:type="spellStart"/>
      <w:r>
        <w:t>ie</w:t>
      </w:r>
      <w:proofErr w:type="spellEnd"/>
      <w:r>
        <w:t xml:space="preserve"> principal plus interest at LIBOR minus 100 basis points) and hedge the change in the fair value or cash flows of that entire liability that is attributable to changes in LIBOR. The entity may also choose a hedge ratio of other than one to one in order to improve the effectiveness of the hedge as described in paragraph AG100.</w:t>
      </w:r>
    </w:p>
    <w:p w:rsidR="00C226BC" w:rsidRDefault="00C226BC">
      <w:pPr>
        <w:pStyle w:val="IASBNormalnpara"/>
      </w:pPr>
      <w:r>
        <w:t>AG99D</w:t>
      </w:r>
      <w:r>
        <w:tab/>
        <w:t xml:space="preserve">In addition, if a fixed rate financial instrument is hedged </w:t>
      </w:r>
      <w:proofErr w:type="spellStart"/>
      <w:r>
        <w:t>some time</w:t>
      </w:r>
      <w:proofErr w:type="spellEnd"/>
      <w:r>
        <w:t xml:space="preserve"> after its origination and interest rates have changed in the meantime, the entity can designate a portion equal to a benchmark rate that is higher than the contractual rate paid on the item. The entity can do so provided that the benchmark rate is less than the effective interest rate calculated on the assumption that the entity had purchased the instrument on the day it first designates the hedged item. For example, assume an entity originates a fixed rate financial asset of CU100 that has an effective interest rate of 6 per cent at a time when LIBOR is 4 per cent. It begins to hedge that asset some time later when LIBOR has increased to 8 per cent and the fair value of the asset has decreased to CU90. The entity calculates that if it had purchased the asset on the date it first designates it as the hedged item for its then fair value of CU90, the effective yield would have been 9.5 per cent. Because LIBOR is less than this effective yield, the entity can designate a LIBOR portion of 8 per cent that consists partly of the contractual interest cash flows and partly of the difference between the current fair value (</w:t>
      </w:r>
      <w:proofErr w:type="spellStart"/>
      <w:r>
        <w:t>ie</w:t>
      </w:r>
      <w:proofErr w:type="spellEnd"/>
      <w:r>
        <w:t xml:space="preserve"> CU90) and the amount repayable on maturity (</w:t>
      </w:r>
      <w:proofErr w:type="spellStart"/>
      <w:r>
        <w:t>ie</w:t>
      </w:r>
      <w:proofErr w:type="spellEnd"/>
      <w:r>
        <w:t xml:space="preserve"> CU100).</w:t>
      </w:r>
    </w:p>
    <w:p w:rsidR="00C226BC" w:rsidRDefault="00C226BC">
      <w:pPr>
        <w:pStyle w:val="IASBNormalnpara"/>
      </w:pPr>
      <w:r>
        <w:t>AG99E</w:t>
      </w:r>
      <w:r>
        <w:tab/>
        <w:t>Paragraph 81 permits an entity to designate something other than the entire fair value change or cash flow variability of a financial instrument. For example:</w:t>
      </w:r>
    </w:p>
    <w:p w:rsidR="00C226BC" w:rsidRDefault="00C226BC">
      <w:pPr>
        <w:pStyle w:val="IASBNormalnparaL1"/>
      </w:pPr>
      <w:r>
        <w:t>(a)</w:t>
      </w:r>
      <w:r>
        <w:tab/>
        <w:t>all of the cash flows of a financial instrument may be designated for cash flow or fair value changes attributable to some (but not all) risks; or</w:t>
      </w:r>
    </w:p>
    <w:p w:rsidR="00C226BC" w:rsidRDefault="00C226BC">
      <w:pPr>
        <w:pStyle w:val="IASBNormalnparaL1"/>
      </w:pPr>
      <w:r>
        <w:t>(b)</w:t>
      </w:r>
      <w:r>
        <w:tab/>
        <w:t>some (but not all) of the cash flows of a financial instrument may be designated for cash flow or fair value changes attributable to all or only some risks (</w:t>
      </w:r>
      <w:proofErr w:type="spellStart"/>
      <w:r>
        <w:t>ie</w:t>
      </w:r>
      <w:proofErr w:type="spellEnd"/>
      <w:r>
        <w:t xml:space="preserve"> a ‘portion’ of the cash flows of the financial instrument may be designated for changes attributable to all or only some risks).</w:t>
      </w:r>
    </w:p>
    <w:p w:rsidR="00C226BC" w:rsidRDefault="00C226BC">
      <w:pPr>
        <w:pStyle w:val="IASBNormalnpara"/>
      </w:pPr>
      <w:r>
        <w:t>AG99F</w:t>
      </w:r>
      <w:r>
        <w:tab/>
        <w:t>To be eligible for hedge accounting, the designated risks and portions must be separately identifiable components of the financial instrument, and changes in the cash flows or fair value of the entire financial instrument arising from changes in the designated risks and portions must be reliably measurable. For example:</w:t>
      </w:r>
    </w:p>
    <w:p w:rsidR="00C226BC" w:rsidRDefault="00C226BC">
      <w:pPr>
        <w:pStyle w:val="IASBNormalnparaL1"/>
      </w:pPr>
      <w:r>
        <w:t>(a)</w:t>
      </w:r>
      <w:r>
        <w:tab/>
        <w:t>for a fixed rate financial instrument hedged for changes in fair value attributable to changes in a risk-free or benchmark interest rate, the risk-free or benchmark rate is normally regarded as both a separately identifiable component of the financial instrument and reliably measurable.</w:t>
      </w:r>
    </w:p>
    <w:p w:rsidR="00C226BC" w:rsidRDefault="00C226BC">
      <w:pPr>
        <w:pStyle w:val="IASBNormalnparaL1"/>
      </w:pPr>
      <w:r>
        <w:t>(b)</w:t>
      </w:r>
      <w:r>
        <w:tab/>
        <w:t>inflation is not separately identifiable and reliably measurable and cannot be designated as a risk or a portion of a financial instrument unless the requirements in (c) are met.</w:t>
      </w:r>
    </w:p>
    <w:p w:rsidR="00C226BC" w:rsidRDefault="00C226BC">
      <w:pPr>
        <w:pStyle w:val="IASBNormalnparaL1"/>
      </w:pPr>
      <w:r>
        <w:t>(c)</w:t>
      </w:r>
      <w:r>
        <w:tab/>
        <w:t>a contractually specified inflation portion of the cash flows of a recognised inflation-linked bond (assuming there is no requirement to account for an embedded derivative separately) is separately identifiable and reliably measurable as long as other cash flows of the instrument are not affected by the inflation portion.</w:t>
      </w:r>
    </w:p>
    <w:p w:rsidR="00C226BC" w:rsidRDefault="00C226BC">
      <w:pPr>
        <w:pStyle w:val="IASBSectionTitle3Ind"/>
      </w:pPr>
      <w:r>
        <w:t>Designation of non-financial items as hedged items (paragraph 82)</w:t>
      </w:r>
    </w:p>
    <w:p w:rsidR="00C226BC" w:rsidRDefault="00C226BC">
      <w:pPr>
        <w:pStyle w:val="IASBNormalnpara"/>
      </w:pPr>
      <w:r>
        <w:t>AG100</w:t>
      </w:r>
      <w:r>
        <w:tab/>
        <w:t>Changes in the price of an ingredient or component of a non-financial asset or non-financial liability generally do not have a predictable, separately measurable effect on the price of the item that is comparable to the effect of, say, a change in market interest rates on the price of a bond. Thus, a non-financial asset or non-financial liability is a hedged item only in its entirety or for foreign exchange risk. If there is a difference between the terms of the hedging instrument and the hedged item (such as for a hedge of the forecast purchase of Brazilian coffee using a forward contract to purchase Colombian coffee on otherwise similar terms), the hedging relationship nonetheless can qualify as a hedge relationship provided all the conditions in paragraph 88 are met, including that the hedge is expected to be highly effective. For this purpose, the amount of the hedging instrument may be greater or less than that of the hedged item if this improves the effectiveness of the hedging relationship. For example, a regression analysis could be performed to establish a statistical relationship between the hedged item (</w:t>
      </w:r>
      <w:proofErr w:type="spellStart"/>
      <w:r>
        <w:t>eg</w:t>
      </w:r>
      <w:proofErr w:type="spellEnd"/>
      <w:r>
        <w:t xml:space="preserve"> a transaction in Brazilian coffee) and the hedging instrument (</w:t>
      </w:r>
      <w:proofErr w:type="spellStart"/>
      <w:r>
        <w:t>eg</w:t>
      </w:r>
      <w:proofErr w:type="spellEnd"/>
      <w:r>
        <w:t xml:space="preserve"> a transaction in Colombian coffee). If there is a valid statistical relationship between the two variables (</w:t>
      </w:r>
      <w:proofErr w:type="spellStart"/>
      <w:r>
        <w:t>ie</w:t>
      </w:r>
      <w:proofErr w:type="spellEnd"/>
      <w:r>
        <w:t xml:space="preserve"> between the unit prices of Brazilian coffee and Colombian coffee), the slope of the regression line can be used to establish the hedge ratio that will maximise expected effectiveness. For example, if the slope of the regression line is 1.02, a hedge ratio based on 0.98 quantities of hedged items to 1.00 quantities of the hedging instrument maximises expected effectiveness. However, the hedging relationship may result in ineffectiveness that is recognised in profit or loss during the term of the hedging relationship.</w:t>
      </w:r>
    </w:p>
    <w:p w:rsidR="00C226BC" w:rsidRDefault="00C226BC">
      <w:pPr>
        <w:pStyle w:val="IASBSectionTitle3Ind"/>
      </w:pPr>
      <w:r>
        <w:t xml:space="preserve">Designation of groups of items as hedged items </w:t>
      </w:r>
      <w:r>
        <w:br/>
        <w:t>(paragraphs 83 and 84)</w:t>
      </w:r>
    </w:p>
    <w:p w:rsidR="00C226BC" w:rsidRDefault="00C226BC">
      <w:pPr>
        <w:pStyle w:val="IASBNormalnpara"/>
      </w:pPr>
      <w:r>
        <w:t>AG101</w:t>
      </w:r>
      <w:r>
        <w:tab/>
        <w:t>A hedge of an overall net position (</w:t>
      </w:r>
      <w:proofErr w:type="spellStart"/>
      <w:r>
        <w:t>eg</w:t>
      </w:r>
      <w:proofErr w:type="spellEnd"/>
      <w:r>
        <w:t xml:space="preserve"> the net of all fixed rate assets and fixed rate liabilities with similar maturities), rather than of a specific hedged item, does not qualify for hedge accounting. However, almost the same effect on profit or loss of hedge accounting for this type of hedging relationship can be achieved by designating as the hedged item part of the underlying items. For example, if a bank has CU100 of assets and CU90 of liabilities with risks and terms of a similar nature and hedges the net CU10 exposure, it can designate as the hedged item CU10 of those assets. This designation can be used if such assets and liabilities are fixed rate instruments, in which case it is a fair value hedge, or if they are variable rate instruments, in which case it is a cash flow hedge. Similarly, if an entity has a firm commitment to make a purchase in a foreign currency of CU100 and a firm commitment to make a sale in the foreign currency of CU90, it can hedge the net amount of CU10 by acquiring a derivative and designating it as a hedging instrument associated with CU10 of the firm purchase commitment of CU100.</w:t>
      </w:r>
    </w:p>
    <w:p w:rsidR="00C226BC" w:rsidRDefault="00C226BC">
      <w:pPr>
        <w:pStyle w:val="IASBSectionTitle2Ind"/>
      </w:pPr>
      <w:r>
        <w:t>Hedge accounting (paragraphs 85–102)</w:t>
      </w:r>
    </w:p>
    <w:p w:rsidR="00C226BC" w:rsidRDefault="00C226BC">
      <w:pPr>
        <w:pStyle w:val="IASBNormalnpara"/>
      </w:pPr>
      <w:r>
        <w:t>AG102</w:t>
      </w:r>
      <w:r>
        <w:tab/>
        <w:t>An example of a fair value hedge is a hedge of exposure to changes in the fair value of a fixed rate debt instrument as a result of changes in interest rates. Such a hedge could be entered into by the issuer or by the holder.</w:t>
      </w:r>
    </w:p>
    <w:p w:rsidR="00C226BC" w:rsidRDefault="00C226BC">
      <w:pPr>
        <w:pStyle w:val="IASBNormalnpara"/>
      </w:pPr>
      <w:r>
        <w:t>AG103</w:t>
      </w:r>
      <w:r>
        <w:tab/>
        <w:t>An example of a cash flow hedge is the use of a swap to change floating rate debt to fixed rate debt (</w:t>
      </w:r>
      <w:proofErr w:type="spellStart"/>
      <w:r>
        <w:t>ie</w:t>
      </w:r>
      <w:proofErr w:type="spellEnd"/>
      <w:r>
        <w:t xml:space="preserve"> a hedge of a future transaction where the future cash flows being hedged are the future interest payments).</w:t>
      </w:r>
    </w:p>
    <w:p w:rsidR="00C226BC" w:rsidRDefault="00C226BC">
      <w:pPr>
        <w:pStyle w:val="IASBNormalnpara"/>
      </w:pPr>
      <w:r>
        <w:t>AG104</w:t>
      </w:r>
      <w:r>
        <w:tab/>
        <w:t>A hedge of a firm commitment (</w:t>
      </w:r>
      <w:proofErr w:type="spellStart"/>
      <w:r>
        <w:t>eg</w:t>
      </w:r>
      <w:proofErr w:type="spellEnd"/>
      <w:r>
        <w:t xml:space="preserve"> a hedge of the change in fuel price relating to an unrecognised contractual commitment by an electric utility to purchase fuel at a fixed price) is a hedge of an exposure to a change in fair value. Accordingly, such a hedge is a fair value hedge. However, under paragraph 87 a hedge of the foreign currency risk of a firm commitment could alternatively be accounted for as a cash flow hedge.</w:t>
      </w:r>
    </w:p>
    <w:p w:rsidR="00C226BC" w:rsidRDefault="00C226BC">
      <w:pPr>
        <w:pStyle w:val="IASBSectionTitle3Ind"/>
      </w:pPr>
      <w:r>
        <w:t>Assessing hedge effectiveness</w:t>
      </w:r>
    </w:p>
    <w:p w:rsidR="00C226BC" w:rsidRDefault="00C226BC">
      <w:pPr>
        <w:pStyle w:val="IASBNormalnpara"/>
      </w:pPr>
      <w:r>
        <w:t>AG105</w:t>
      </w:r>
      <w:r>
        <w:tab/>
        <w:t xml:space="preserve">A hedge is regarded as highly effective only if both of the following conditions are met: </w:t>
      </w:r>
    </w:p>
    <w:p w:rsidR="00C226BC" w:rsidRDefault="00C226BC">
      <w:pPr>
        <w:pStyle w:val="IASBNormalnparaL1"/>
      </w:pPr>
      <w:r>
        <w:t>(a)</w:t>
      </w:r>
      <w:r>
        <w:tab/>
        <w:t>At the inception of the hedge and in subsequent periods, the hedge is expected to be highly effective in achieving offsetting changes in fair value or cash flows attributable to the hedged risk during the period for which the hedge is designated. Such an expectation can be demonstrated in various ways, including a comparison of past changes in the fair value or cash flows of the hedged item that are attributable to the hedged risk with past changes in the fair value or cash flows of the hedging instrument, or by demonstrating a high statistical correlation between the fair value or cash flows of the hedged item and those of the hedging instrument. The entity may choose a hedge ratio of other than one to one in order to improve the effectiveness of the hedge as described in paragraph AG100.</w:t>
      </w:r>
    </w:p>
    <w:p w:rsidR="00C226BC" w:rsidRDefault="00C226BC">
      <w:pPr>
        <w:pStyle w:val="IASBNormalnparaL1"/>
      </w:pPr>
      <w:r>
        <w:t>(b)</w:t>
      </w:r>
      <w:r>
        <w:tab/>
        <w:t>The actual results of the hedge are within a range of 80–125 per cent. For example, if actual results are such that the loss on the hedging instrument is CU120 and the gain on the cash instrument is CU100, offset can be measured by 120/100, which is 120 per cent, or by 100/120, which is 83 per cent. In this example, assuming the hedge meets the condition in (a), the entity would conclude that the hedge has been highly effective.</w:t>
      </w:r>
    </w:p>
    <w:p w:rsidR="00C226BC" w:rsidRDefault="00C226BC">
      <w:pPr>
        <w:pStyle w:val="IASBNormalnpara"/>
      </w:pPr>
      <w:r>
        <w:t>AG106</w:t>
      </w:r>
      <w:r>
        <w:tab/>
        <w:t>Effectiveness is assessed, at a minimum, at the time an entity prepares its annual or interim financial statements.</w:t>
      </w:r>
    </w:p>
    <w:p w:rsidR="00C226BC" w:rsidRDefault="00C226BC">
      <w:pPr>
        <w:pStyle w:val="IASBNormalnpara"/>
      </w:pPr>
      <w:r>
        <w:t>AG107</w:t>
      </w:r>
      <w:r>
        <w:tab/>
        <w:t>This Standard does not specify a single method for assessing hedge effectiveness. The method an entity adopts for assessing hedge effectiveness depends on its risk management strategy. For example, if the entity’s risk management strategy is to adjust the amount of the hedging instrument periodically to reflect changes in the hedged position, the entity needs to demonstrate that the hedge is expected to be highly effective only for the period until the amount of the hedging instrument is next adjusted. In some cases, an entity adopts different methods for different types of hedges. An entity’s documentation of its hedging strategy includes its procedures for assessing effectiveness. Those procedures state whether the assessment includes all of the gain or loss on a hedging instrument or whether the instrument’s time value is excluded.</w:t>
      </w:r>
    </w:p>
    <w:p w:rsidR="00C226BC" w:rsidRDefault="00C226BC">
      <w:pPr>
        <w:pStyle w:val="IASBNormalnpara"/>
      </w:pPr>
      <w:r>
        <w:t>AG107A</w:t>
      </w:r>
      <w:r>
        <w:tab/>
        <w:t>If an entity hedges less than 100 per cent of the exposure on an item, such as 85 per cent, it shall designate the hedged item as being 85 per cent of the exposure and shall measure ineffectiveness based on the change in that designated 85 per cent exposure. However, when hedging the designated 85 per cent exposure, the entity may use a hedge ratio of other than one to one if that improves the expected effectiveness of the hedge, as explained in paragraph AG100.</w:t>
      </w:r>
    </w:p>
    <w:p w:rsidR="00C226BC" w:rsidRDefault="00C226BC">
      <w:pPr>
        <w:pStyle w:val="IASBNormalnpara"/>
      </w:pPr>
      <w:r>
        <w:t>AG108</w:t>
      </w:r>
      <w:r>
        <w:tab/>
        <w:t>If the principal terms of the hedging instrument and of the hedged asset, liability, firm commitment or highly probable forecast transaction are the same, the changes in fair value and cash flows attributable to the risk being hedged may be likely to offset each other fully, both when the hedge is entered into and afterwards. For example, an interest rate swap is likely to be an effective hedge if the notional and principal amounts, term, repricing dates, dates of interest and principal receipts and payments, and basis for measuring interest rates are the same for the hedging instrument and the hedged item. In addition, a hedge of a highly probable forecast purchase of a commodity with a forward contract is likely to be highly effective if:</w:t>
      </w:r>
    </w:p>
    <w:p w:rsidR="00C226BC" w:rsidRDefault="00C226BC">
      <w:pPr>
        <w:pStyle w:val="IASBNormalnparaL1"/>
      </w:pPr>
      <w:r>
        <w:t>(a)</w:t>
      </w:r>
      <w:r>
        <w:tab/>
        <w:t>the forward contract is for the purchase of the same quantity of the same commodity at the same time and location as the hedged forecast purchase;</w:t>
      </w:r>
    </w:p>
    <w:p w:rsidR="00C226BC" w:rsidRDefault="00C226BC">
      <w:pPr>
        <w:pStyle w:val="IASBNormalnparaL1"/>
      </w:pPr>
      <w:r>
        <w:t>(b)</w:t>
      </w:r>
      <w:r>
        <w:tab/>
        <w:t>the fair value of the forward contract at inception is zero; and</w:t>
      </w:r>
    </w:p>
    <w:p w:rsidR="00C226BC" w:rsidRDefault="00C226BC">
      <w:pPr>
        <w:pStyle w:val="IASBNormalnparaL1"/>
      </w:pPr>
      <w:r>
        <w:t>(c)</w:t>
      </w:r>
      <w:r>
        <w:tab/>
        <w:t>either the change in the discount or premium on the forward contract is excluded from the assessment of effectiveness and recognised in profit or loss or the change in expected cash flows on the highly probable forecast transaction is based on the forward price for the commodity.</w:t>
      </w:r>
    </w:p>
    <w:p w:rsidR="00C226BC" w:rsidRDefault="00C226BC">
      <w:pPr>
        <w:pStyle w:val="IASBNormalnpara"/>
      </w:pPr>
      <w:r>
        <w:t>AG109</w:t>
      </w:r>
      <w:r>
        <w:tab/>
        <w:t>Sometimes the hedging instrument offsets only part of the hedged risk. For example, a hedge would not be fully effective if the hedging instrument and hedged item are denominated in different currencies that do not move in tandem. Also, a hedge of interest rate risk using a derivative would not be fully effective if part of the change in the fair value of the derivative is attributable to the counterparty’s credit risk.</w:t>
      </w:r>
    </w:p>
    <w:p w:rsidR="00C226BC" w:rsidRDefault="00C226BC">
      <w:pPr>
        <w:pStyle w:val="IASBNormalnpara"/>
      </w:pPr>
      <w:r>
        <w:t>AG110</w:t>
      </w:r>
      <w:r>
        <w:tab/>
        <w:t>To qualify for hedge accounting, the hedge must relate to a specific identified and designated risk, and not merely to the entity’s general business risks, and must ultimately affect the entity’s profit or loss. A hedge of the risk of obsolescence of a physical asset or the risk of expropriation of property by a government is not eligible for hedge accounting; effectiveness cannot be measured because those risks are not measurable reliably.</w:t>
      </w:r>
    </w:p>
    <w:p w:rsidR="00C226BC" w:rsidRDefault="00C226BC">
      <w:pPr>
        <w:pStyle w:val="IASBNormalnpara"/>
      </w:pPr>
      <w:r>
        <w:t>AG110A</w:t>
      </w:r>
      <w:r>
        <w:tab/>
        <w:t>Paragraph 74(a) permits an entity to separate the intrinsic value and time value of an option contract and designate as the hedging instrument only the change in the intrinsic value of the option contract. Such a designation may result in a hedging relationship that is perfectly effective in achieving offsetting changes in cash flows attributable to a hedged one-sided risk of a forecast transaction, if the principal terms of the forecast transaction and hedging instrument are the same.</w:t>
      </w:r>
    </w:p>
    <w:p w:rsidR="00C226BC" w:rsidRDefault="00C226BC">
      <w:pPr>
        <w:pStyle w:val="IASBNormalnpara"/>
      </w:pPr>
      <w:r>
        <w:t>AG110B</w:t>
      </w:r>
      <w:r>
        <w:tab/>
        <w:t xml:space="preserve">If an entity designates a purchased option in its entirety as the hedging instrument of a one-sided risk arising from a forecast transaction, the hedging relationship will not be perfectly effective. This is because the premium paid for the option includes time value and, as stated in paragraph AG99BA, a designated one-sided risk does not include the time value of an option. Therefore, in this situation, there will be no offset between the cash flows relating to the time value of the option premium paid and the designated hedged risk. </w:t>
      </w:r>
    </w:p>
    <w:p w:rsidR="00C226BC" w:rsidRDefault="00C226BC">
      <w:pPr>
        <w:pStyle w:val="IASBNormalnpara"/>
      </w:pPr>
      <w:r>
        <w:t>AG111</w:t>
      </w:r>
      <w:r>
        <w:tab/>
        <w:t>In the case of interest rate risk, hedge effectiveness may be assessed by preparing a maturity schedule for financial assets and financial liabilities that shows the net interest rate exposure for each time period, provided that the net exposure is associated with a specific asset or liability (or a specific group of assets or liabilities or a specific portion of them) giving rise to the net exposure, and hedge effectiveness is assessed against that asset or liability.</w:t>
      </w:r>
    </w:p>
    <w:p w:rsidR="00C226BC" w:rsidRDefault="00C226BC">
      <w:pPr>
        <w:pStyle w:val="IASBNormalnpara"/>
      </w:pPr>
      <w:r>
        <w:t>AG112</w:t>
      </w:r>
      <w:r>
        <w:tab/>
        <w:t>In assessing the effectiveness of a hedge, an entity generally considers the time value of money. The fixed interest rate on a hedged item need not exactly match the fixed interest rate on a swap designated as a fair value hedge. Nor does the variable interest rate on an interest-bearing asset or liability need to be the same as the variable interest rate on a swap designated as a cash flow hedge. A swap’s fair value derives from its net settlements. The fixed and variable rates on a swap can be changed without affecting the net settlement if both are changed by the same amount.</w:t>
      </w:r>
    </w:p>
    <w:p w:rsidR="00C226BC" w:rsidRDefault="00C226BC">
      <w:pPr>
        <w:pStyle w:val="IASBNormalnpara"/>
      </w:pPr>
      <w:r>
        <w:t>AG113</w:t>
      </w:r>
      <w:r>
        <w:tab/>
        <w:t>If an entity does not meet hedge effectiveness criteria, the entity discontinues hedge accounting from the last date on which compliance with hedge effectiveness was demonstrated. However, if the entity identifies the event or change in circumstances that caused the hedging relationship to fail the effectiveness criteria, and demonstrates that the hedge was effective before the event or change in circumstances occurred, the entity discontinues hedge accounting from the date of the event or change in circumstances.</w:t>
      </w:r>
    </w:p>
    <w:p w:rsidR="00C226BC" w:rsidRDefault="00C226BC">
      <w:pPr>
        <w:pStyle w:val="IASBNormalnpara"/>
      </w:pPr>
      <w:r>
        <w:t>AG113A</w:t>
      </w:r>
      <w:r>
        <w:tab/>
        <w:t>For the avoidance of doubt, the effects of replacing the original counterparty with a clearing counterparty and making the associated changes as described in paragraphs 91(a)(ii) and 101(a)(ii) shall be reflected in the measurement of the hedging instrument and therefore in the assessment of hedge effectiveness and the measurement of hedge effectiveness.</w:t>
      </w:r>
    </w:p>
    <w:p w:rsidR="00C226BC" w:rsidRDefault="00C226BC">
      <w:pPr>
        <w:pStyle w:val="IASBSectionTitle3Ind"/>
      </w:pPr>
      <w:r>
        <w:t>Fair value hedge accounting for a portfolio hedge of interest rate risk</w:t>
      </w:r>
    </w:p>
    <w:p w:rsidR="00C226BC" w:rsidRDefault="00C226BC">
      <w:pPr>
        <w:pStyle w:val="IASBNormalnpara"/>
      </w:pPr>
      <w:r>
        <w:t>AG114</w:t>
      </w:r>
      <w:r>
        <w:tab/>
        <w:t>For a fair value hedge of interest rate risk associated with a portfolio of financial assets or financial liabilities, an entity would meet the requirements of this Standard if it complies with the procedures set out in (a)–(</w:t>
      </w:r>
      <w:proofErr w:type="spellStart"/>
      <w:r>
        <w:t>i</w:t>
      </w:r>
      <w:proofErr w:type="spellEnd"/>
      <w:r>
        <w:t>) and paragraphs AG115–AG132 below.</w:t>
      </w:r>
    </w:p>
    <w:p w:rsidR="00C226BC" w:rsidRDefault="00C226BC">
      <w:pPr>
        <w:pStyle w:val="IASBNormalnparaL1"/>
      </w:pPr>
      <w:r>
        <w:t>(a)</w:t>
      </w:r>
      <w:r>
        <w:tab/>
        <w:t>As part of its risk management process the entity identifies a portfolio of items whose interest rate risk it wishes to hedge. The portfolio may comprise only assets, only liabilities or both assets and liabilities. The entity may identify two or more portfolios, in which case it applies the guidance below to each portfolio separately.</w:t>
      </w:r>
    </w:p>
    <w:p w:rsidR="00C226BC" w:rsidRDefault="00C226BC">
      <w:pPr>
        <w:pStyle w:val="IASBNormalnparaL1"/>
      </w:pPr>
      <w:r>
        <w:t>(b)</w:t>
      </w:r>
      <w:r>
        <w:tab/>
        <w:t>The entity analyses the portfolio into repricing time periods based on expected, rather than contractual, repricing dates. The analysis into repricing time periods may be performed in various ways including scheduling cash flows into the periods in which they are expected to occur, or scheduling notional principal amounts into all periods until repricing is expected to occur.</w:t>
      </w:r>
    </w:p>
    <w:p w:rsidR="00C226BC" w:rsidRDefault="00C226BC">
      <w:pPr>
        <w:pStyle w:val="IASBNormalnparaL1"/>
      </w:pPr>
      <w:r>
        <w:t>(c)</w:t>
      </w:r>
      <w:r>
        <w:tab/>
        <w:t>On the basis of this analysis, the entity decides the amount it wishes to hedge. The entity designates as the hedged item an amount of assets or liabilities (but not a net amount) from the identified portfolio equal to the amount it wishes to designate as being hedged. This amount also determines the percentage measure that is used for testing effectiveness in accordance with paragraph AG126(b).</w:t>
      </w:r>
    </w:p>
    <w:p w:rsidR="00C226BC" w:rsidRDefault="00C226BC">
      <w:pPr>
        <w:pStyle w:val="IASBNormalnparaL1"/>
      </w:pPr>
      <w:r>
        <w:t>(d)</w:t>
      </w:r>
      <w:r>
        <w:tab/>
        <w:t>The entity designates the interest rate risk it is hedging. This risk could be a portion of the interest rate risk in each of the items in the hedged position, such as a benchmark interest rate (</w:t>
      </w:r>
      <w:proofErr w:type="spellStart"/>
      <w:r>
        <w:t>eg</w:t>
      </w:r>
      <w:proofErr w:type="spellEnd"/>
      <w:r>
        <w:t xml:space="preserve"> LIBOR).</w:t>
      </w:r>
    </w:p>
    <w:p w:rsidR="00C226BC" w:rsidRDefault="00C226BC">
      <w:pPr>
        <w:pStyle w:val="IASBNormalnparaL1"/>
      </w:pPr>
      <w:r>
        <w:t>(e)</w:t>
      </w:r>
      <w:r>
        <w:tab/>
        <w:t>The entity designates one or more hedging instruments for each repricing time period.</w:t>
      </w:r>
    </w:p>
    <w:p w:rsidR="00C226BC" w:rsidRDefault="00C226BC">
      <w:pPr>
        <w:pStyle w:val="IASBNormalnparaL1"/>
      </w:pPr>
      <w:r>
        <w:t>(f)</w:t>
      </w:r>
      <w:r>
        <w:tab/>
        <w:t>Using the designations made in (c)–(e) above, the entity assesses at inception and in subsequent periods, whether the hedge is expected to be highly effective during the period for which the hedge is designated.</w:t>
      </w:r>
    </w:p>
    <w:p w:rsidR="00C226BC" w:rsidRDefault="00C226BC">
      <w:pPr>
        <w:pStyle w:val="IASBNormalnparaL1"/>
      </w:pPr>
      <w:r>
        <w:t>(g)</w:t>
      </w:r>
      <w:r>
        <w:tab/>
        <w:t>Periodically, the entity measures the change in the fair value of the hedged item (as designated in (c)) that is attributable to the hedged risk (as designated in (d)), on the basis of the expected repricing dates determined in (b). Provided that the hedge is determined actually to have been highly effective when assessed using the entity’s documented method of assessing effectiveness, the entity recognises the change in fair value of the hedged item as a gain or loss in profit or loss and in one of two line items in the statement of financial position as described in paragraph 89A. The change in fair value need not be allocated to individual assets or liabilities.</w:t>
      </w:r>
    </w:p>
    <w:p w:rsidR="00C226BC" w:rsidRDefault="00C226BC">
      <w:pPr>
        <w:pStyle w:val="IASBNormalnparaL1"/>
      </w:pPr>
      <w:r>
        <w:t>(h)</w:t>
      </w:r>
      <w:r>
        <w:tab/>
        <w:t>The entity measures the change in fair value of the hedging instrument(s) (as designated in (e)) and recognises it as a gain or loss in profit or loss. The fair value of the hedging instrument(s) is recognised as an asset or liability in the statement of financial position.</w:t>
      </w:r>
    </w:p>
    <w:p w:rsidR="00C226BC" w:rsidRDefault="00C226BC">
      <w:pPr>
        <w:pStyle w:val="IASBNormalnparaL1"/>
      </w:pPr>
      <w:r>
        <w:t>(</w:t>
      </w:r>
      <w:proofErr w:type="spellStart"/>
      <w:r>
        <w:t>i</w:t>
      </w:r>
      <w:proofErr w:type="spellEnd"/>
      <w:r>
        <w:t>)</w:t>
      </w:r>
      <w:r>
        <w:tab/>
        <w:t>Any ineffectiveness</w:t>
      </w:r>
      <w:r w:rsidR="005F7281" w:rsidRPr="00C8638B">
        <w:rPr>
          <w:rStyle w:val="FootnoteReference"/>
        </w:rPr>
        <w:footnoteReference w:id="1"/>
      </w:r>
      <w:r w:rsidR="005037CA">
        <w:t xml:space="preserve"> </w:t>
      </w:r>
      <w:r>
        <w:t>will be recognised in profit or loss as the difference between the change in fair value referred to in (g) and that referred to in (h).</w:t>
      </w:r>
    </w:p>
    <w:p w:rsidR="00C226BC" w:rsidRDefault="00C226BC">
      <w:pPr>
        <w:pStyle w:val="IASBNormalnpara"/>
      </w:pPr>
      <w:r>
        <w:t>AG115</w:t>
      </w:r>
      <w:r>
        <w:tab/>
        <w:t>This approach is described in more detail below. The approach shall be applied only to a fair value hedge of the interest rate risk associated with a portfolio of financial assets or financial liabilities.</w:t>
      </w:r>
    </w:p>
    <w:p w:rsidR="00C226BC" w:rsidRDefault="00C226BC">
      <w:pPr>
        <w:pStyle w:val="IASBNormalnpara"/>
      </w:pPr>
      <w:r>
        <w:t>AG116</w:t>
      </w:r>
      <w:r>
        <w:tab/>
        <w:t>The portfolio identified in paragraph AG114(a) could contain assets and liabilities. Alternatively, it could be a portfolio containing only assets, or only liabilities. The portfolio is used to determine the amount of the assets or liabilities the entity wishes to hedge. However, the portfolio is not itself designated as the hedged item.</w:t>
      </w:r>
    </w:p>
    <w:p w:rsidR="00C226BC" w:rsidRDefault="00C226BC">
      <w:pPr>
        <w:pStyle w:val="IASBNormalnpara"/>
      </w:pPr>
      <w:r>
        <w:t>AG117</w:t>
      </w:r>
      <w:r>
        <w:tab/>
        <w:t>In applying paragraph AG114(b), the entity determines the expected repricing date of an item as the earlier of the dates when that item is expected to mature or to reprice to market rates. The expected repricing dates are estimated at the inception of the hedge and throughout the term of the hedge, based on historical experience and other available information, including information and expectations regarding prepayment rates, interest rates and the interaction between them. Entities that have no entity-specific experience or insufficient experience use peer group experience for comparable financial instruments. These estimates are reviewed periodically and updated in the light of experience. In the case of a fixed rate item that is prepayable, the expected repricing date is the date on which the item is expected to prepay unless it reprices to market rates on an earlier date. For a group of similar items, the analysis into time periods based on expected repricing dates may take the form of allocating a percentage of the group, rather than individual items, to each time period. An entity may apply other methodologies for such allocation purposes. For example, it may use a prepayment rate multiplier for allocating amortising loans to time periods based on expected repricing dates. However, the methodology for such an allocation shall be in accordance with the entity’s risk management procedures and objectives.</w:t>
      </w:r>
    </w:p>
    <w:p w:rsidR="00C226BC" w:rsidRDefault="00C226BC">
      <w:pPr>
        <w:pStyle w:val="IASBNormalnpara"/>
      </w:pPr>
      <w:r>
        <w:t>AG118</w:t>
      </w:r>
      <w:r>
        <w:tab/>
        <w:t>As an example of the designation set out in paragraph AG114(c), if in a particular repricing time period an entity estimates that it has fixed rate assets of CU100 and fixed rate liabilities of CU80 and decides to hedge all of the net position of CU20, it designates as the hedged item assets in the amount of CU20 (a portion of the assets).</w:t>
      </w:r>
      <w:r w:rsidR="005F7281" w:rsidRPr="00C8638B">
        <w:rPr>
          <w:rStyle w:val="FootnoteReference"/>
        </w:rPr>
        <w:footnoteReference w:id="2"/>
      </w:r>
      <w:r w:rsidR="005037CA">
        <w:t xml:space="preserve"> </w:t>
      </w:r>
      <w:r>
        <w:t>The designation is expressed as an ‘amount of a currency’ (</w:t>
      </w:r>
      <w:proofErr w:type="spellStart"/>
      <w:r>
        <w:t>eg</w:t>
      </w:r>
      <w:proofErr w:type="spellEnd"/>
      <w:r>
        <w:t xml:space="preserve"> an amount of dollars, euro, pounds or rand) rather than as individual assets. It follows that all of the assets (or liabilities) from which the hedged amount is drawn—</w:t>
      </w:r>
      <w:proofErr w:type="spellStart"/>
      <w:r>
        <w:t>ie</w:t>
      </w:r>
      <w:proofErr w:type="spellEnd"/>
      <w:r>
        <w:t xml:space="preserve"> all of the CU100 of assets in the above example—must be:</w:t>
      </w:r>
    </w:p>
    <w:p w:rsidR="00C226BC" w:rsidRDefault="00C226BC">
      <w:pPr>
        <w:pStyle w:val="IASBNormalnparaL1"/>
      </w:pPr>
      <w:r>
        <w:t>(a)</w:t>
      </w:r>
      <w:r>
        <w:tab/>
        <w:t>items whose fair value changes in response to changes in the interest rate being hedged; and</w:t>
      </w:r>
    </w:p>
    <w:p w:rsidR="00C226BC" w:rsidRDefault="00C226BC">
      <w:pPr>
        <w:pStyle w:val="IASBNormalnparaL1"/>
      </w:pPr>
      <w:r>
        <w:t>(b)</w:t>
      </w:r>
      <w:r>
        <w:tab/>
        <w:t>items that could have qualified for fair value hedge accounting if they had been designated as hedged individually. In particular, because</w:t>
      </w:r>
      <w:r w:rsidR="00723596">
        <w:t xml:space="preserve"> AASB 13</w:t>
      </w:r>
      <w:r>
        <w:t xml:space="preserve"> specifies that the fair value of a financial liability with a demand feature (such as demand deposits and some types of time deposits) is not less than the amount payable on demand, discounted from the first date that the amount could be required to be paid, such an item cannot qualify for fair value hedge accounting for any time period beyond the shortest period in which the holder can demand payment. In the above example, the hedged position is an amount of assets. Hence, such liabilities are not a part of the designated hedged item, but are used by the entity to determine the amount of the asset that is designated as being hedged. If the position the entity wished to hedge was an amount of liabilities, the amount representing the designated hedged item must be drawn from fixed rate liabilities other than liabilities that the entity can be required to repay in an earlier time period, and the percentage measure used for assessing hedge effectiveness in accordance with paragraph AG126(b) would be calculated as a percentage of these other liabilities. For example, assume that an entity estimates that in a particular repricing time period it has fixed rate liabilities of CU100, comprising CU40 of demand deposits and CU60 of liabilities with no demand feature, and CU70 of fixed rate assets. If the entity decides to hedge all of the net position of CU30, it designates as the hedged item liabilities of CU30 or 50 per cent of the liabilities</w:t>
      </w:r>
      <w:r w:rsidR="005F7281" w:rsidRPr="00C8638B">
        <w:rPr>
          <w:rStyle w:val="FootnoteReference"/>
        </w:rPr>
        <w:footnoteReference w:id="3"/>
      </w:r>
      <w:r w:rsidR="005037CA">
        <w:t xml:space="preserve"> </w:t>
      </w:r>
      <w:r>
        <w:t>with no demand feature.</w:t>
      </w:r>
    </w:p>
    <w:p w:rsidR="00C226BC" w:rsidRDefault="00C226BC">
      <w:pPr>
        <w:pStyle w:val="IASBNormalnpara"/>
      </w:pPr>
      <w:r>
        <w:t>AG119</w:t>
      </w:r>
      <w:r>
        <w:tab/>
        <w:t xml:space="preserve">The entity also complies with the other designation and documentation requirements set out in paragraph 88(a). For a portfolio hedge of interest rate risk, this designation and documentation specifies the entity’s policy for all of the variables that are used to identify the amount that is hedged and how effectiveness is measured, including the following: </w:t>
      </w:r>
    </w:p>
    <w:p w:rsidR="00C226BC" w:rsidRDefault="00C226BC">
      <w:pPr>
        <w:pStyle w:val="IASBNormalnparaL1"/>
      </w:pPr>
      <w:r>
        <w:t>(a)</w:t>
      </w:r>
      <w:r>
        <w:tab/>
        <w:t>which assets and liabilities are to be included in the portfolio hedge and the basis to be used for removing them from the portfolio.</w:t>
      </w:r>
    </w:p>
    <w:p w:rsidR="00C226BC" w:rsidRDefault="00C226BC">
      <w:pPr>
        <w:pStyle w:val="IASBNormalnparaL1"/>
      </w:pPr>
      <w:r>
        <w:t>(b)</w:t>
      </w:r>
      <w:r>
        <w:tab/>
        <w:t>how the entity estimates repricing dates, including what interest rate assumptions underlie estimates of prepayment rates and the basis for changing those estimates. The same method is used for both the initial estimates made at the time an asset or liability is included in the hedged portfolio and for any later revisions to those estimates.</w:t>
      </w:r>
    </w:p>
    <w:p w:rsidR="00C226BC" w:rsidRDefault="00C226BC">
      <w:pPr>
        <w:pStyle w:val="IASBNormalnparaL1"/>
      </w:pPr>
      <w:r>
        <w:t>(c)</w:t>
      </w:r>
      <w:r>
        <w:tab/>
        <w:t>the number and duration of repricing time periods.</w:t>
      </w:r>
    </w:p>
    <w:p w:rsidR="00C226BC" w:rsidRDefault="00C226BC">
      <w:pPr>
        <w:pStyle w:val="IASBNormalnparaL1"/>
      </w:pPr>
      <w:r>
        <w:t>(d)</w:t>
      </w:r>
      <w:r>
        <w:tab/>
        <w:t>how often the entity will test effectiveness and which of the two methods in paragraph AG126 it will use.</w:t>
      </w:r>
    </w:p>
    <w:p w:rsidR="00C226BC" w:rsidRDefault="00C226BC">
      <w:pPr>
        <w:pStyle w:val="IASBNormalnparaL1"/>
      </w:pPr>
      <w:r>
        <w:t>(e)</w:t>
      </w:r>
      <w:r>
        <w:tab/>
        <w:t>the methodology used by the entity to determine the amount of assets or liabilities that are designated as the hedged item and, accordingly, the percentage measure used when the entity tests effectiveness using the method described in paragraph AG126(b).</w:t>
      </w:r>
    </w:p>
    <w:p w:rsidR="00C226BC" w:rsidRDefault="00C226BC">
      <w:pPr>
        <w:pStyle w:val="IASBNormalnparaL1"/>
      </w:pPr>
      <w:r>
        <w:t>(f)</w:t>
      </w:r>
      <w:r>
        <w:tab/>
        <w:t>when the entity tests effectiveness using the method described in paragraph AG126(b), whether the entity will test effectiveness for each repricing time period individually, for all time periods in aggregate, or by using some combination of the two.</w:t>
      </w:r>
    </w:p>
    <w:p w:rsidR="00C226BC" w:rsidRDefault="00C226BC">
      <w:pPr>
        <w:pStyle w:val="IASBNormalnparaP"/>
      </w:pPr>
      <w:r>
        <w:t>The policies specified in designating and documenting the hedging relationship shall be in accordance with the entity’s risk management procedures and objectives. Changes in policies shall not be made arbitrarily. They shall be justified on the basis of changes in market conditions and other factors and be founded on and consistent with the entity’s risk management procedures and objectives.</w:t>
      </w:r>
    </w:p>
    <w:p w:rsidR="00C226BC" w:rsidRDefault="00C226BC">
      <w:pPr>
        <w:pStyle w:val="IASBNormalnpara"/>
      </w:pPr>
      <w:r>
        <w:t>AG120</w:t>
      </w:r>
      <w:r>
        <w:tab/>
        <w:t>The hedging instrument referred to in paragraph AG114(e) may be a single derivative or a portfolio of derivatives all of which contain exposure to the hedged interest rate risk designated in paragraph AG114(d) (</w:t>
      </w:r>
      <w:proofErr w:type="spellStart"/>
      <w:r>
        <w:t>eg</w:t>
      </w:r>
      <w:proofErr w:type="spellEnd"/>
      <w:r>
        <w:t xml:space="preserve"> a portfolio of interest rate swaps all of which contain exposure to LIBOR). Such a portfolio of derivatives may contain offsetting risk positions. However, it may not include written options or net written options, because the Standard</w:t>
      </w:r>
      <w:r w:rsidR="005F7281" w:rsidRPr="00C8638B">
        <w:rPr>
          <w:rStyle w:val="FootnoteReference"/>
        </w:rPr>
        <w:footnoteReference w:id="4"/>
      </w:r>
      <w:r w:rsidR="005037CA">
        <w:t xml:space="preserve"> </w:t>
      </w:r>
      <w:r>
        <w:t>does not permit such options to be designated as hedging instruments (except when a written option is designated as an offset to a purchased option). If the hedging instrument hedges the amount designated in paragraph AG114(c) for more than one repricing time period, it is allocated to all of the time periods that it hedges. However, the whole of the hedging instrument must be allocated to those repricing time periods because the Standard</w:t>
      </w:r>
      <w:r w:rsidR="005F7281" w:rsidRPr="00C8638B">
        <w:rPr>
          <w:rStyle w:val="FootnoteReference"/>
        </w:rPr>
        <w:footnoteReference w:id="5"/>
      </w:r>
      <w:r w:rsidR="005037CA">
        <w:t xml:space="preserve"> </w:t>
      </w:r>
      <w:r>
        <w:t>does not permit a hedging relationship to be designated for only a portion of the time period during which a hedging instrument remains outstanding.</w:t>
      </w:r>
    </w:p>
    <w:p w:rsidR="00C226BC" w:rsidRDefault="00C226BC">
      <w:pPr>
        <w:pStyle w:val="IASBNormalnpara"/>
      </w:pPr>
      <w:r>
        <w:t>AG121</w:t>
      </w:r>
      <w:r>
        <w:tab/>
        <w:t xml:space="preserve">When the entity measures the change in the fair value of a prepayable item in accordance with paragraph AG114(g), a change in interest rates affects the fair value of the prepayable item in two ways: it affects the fair value of the contractual cash flows and the fair value of the prepayment option that is contained in a prepayable item. Paragraph 81 of the Standard permits an entity to designate a portion of a financial asset or financial liability, sharing a common risk exposure, as the hedged item, provided effectiveness can be measured. For prepayable items, paragraph 81A permits this to be achieved by designating the hedged item in terms of the change in the fair value that is attributable to changes in the designated interest rate on the basis of </w:t>
      </w:r>
      <w:r>
        <w:rPr>
          <w:i/>
        </w:rPr>
        <w:t>expected</w:t>
      </w:r>
      <w:r>
        <w:t xml:space="preserve">, rather than </w:t>
      </w:r>
      <w:r>
        <w:rPr>
          <w:i/>
        </w:rPr>
        <w:t>contractual</w:t>
      </w:r>
      <w:r>
        <w:t>, repricing dates. However, the effect that changes in the hedged interest rate have on those expected repricing dates shall be included when determining the change in the fair value of the hedged item. Consequently, if the expected repricing dates are revised (</w:t>
      </w:r>
      <w:proofErr w:type="spellStart"/>
      <w:r>
        <w:t>eg</w:t>
      </w:r>
      <w:proofErr w:type="spellEnd"/>
      <w:r>
        <w:t xml:space="preserve"> to reflect a change in expected prepayments), or if actual repricing dates differ from those expected, ineffectiveness will arise as described in paragraph AG126. Conversely, changes in expected repricing dates that (a) clearly arise from factors other than changes in the hedged interest rate, (b) are uncorrelated with changes in the hedged interest rate and (c) can be reliably separated from changes that are attributable to the hedged interest rate (</w:t>
      </w:r>
      <w:proofErr w:type="spellStart"/>
      <w:r>
        <w:t>eg</w:t>
      </w:r>
      <w:proofErr w:type="spellEnd"/>
      <w:r>
        <w:t xml:space="preserve"> changes in prepayment rates clearly arising from a change in demographic factors or tax regulations rather than changes in interest rate) are excluded when determining the change in the fair value of the hedged item, because they are not attributable to the hedged risk. If there is uncertainty about the factor that gave rise to the change in expected repricing dates or the entity is not able to separate reliably the changes that arise from the hedged interest rate from those that arise from other factors, the change is assumed to arise from changes in the hedged interest rate.</w:t>
      </w:r>
    </w:p>
    <w:p w:rsidR="00C226BC" w:rsidRDefault="00C226BC">
      <w:pPr>
        <w:pStyle w:val="IASBNormalnpara"/>
      </w:pPr>
      <w:r>
        <w:t>AG122</w:t>
      </w:r>
      <w:r>
        <w:tab/>
        <w:t>The Standard does not specify the techniques used to determine the amount referred to in paragraph AG114(g), namely the change in the fair value of the hedged item that is attributable to the hedged risk. If statistical or other estimation techniques are used for such measurement, management must expect the result to approximate closely that which would have been obtained from measurement of all the individual assets or liabilities that constitute the hedged item. It is not appropriate to assume that changes in the fair value of the hedged item equal changes in the value of the hedging instrument.</w:t>
      </w:r>
    </w:p>
    <w:p w:rsidR="00C226BC" w:rsidRDefault="00C226BC">
      <w:pPr>
        <w:pStyle w:val="IASBNormalnpara"/>
      </w:pPr>
      <w:r>
        <w:t>AG123</w:t>
      </w:r>
      <w:r>
        <w:tab/>
        <w:t>Paragraph 89A requires that if the hedged item for a particular repricing time period is an asset, the change in its value is presented in a separate line item within assets. Conversely, if the hedged item for a particular repricing time period is a liability, the change in its value is presented in a separate line item within liabilities. These are the separate line items referred to in paragraph AG114(g). Specific allocation to individual assets (or liabilities) is not required.</w:t>
      </w:r>
    </w:p>
    <w:p w:rsidR="00C226BC" w:rsidRDefault="00C226BC">
      <w:pPr>
        <w:pStyle w:val="IASBNormalnpara"/>
      </w:pPr>
      <w:r>
        <w:t>AG124</w:t>
      </w:r>
      <w:r>
        <w:tab/>
        <w:t>Paragraph AG114(</w:t>
      </w:r>
      <w:proofErr w:type="spellStart"/>
      <w:r>
        <w:t>i</w:t>
      </w:r>
      <w:proofErr w:type="spellEnd"/>
      <w:r>
        <w:t xml:space="preserve">) notes that ineffectiveness arises to the extent that the change in the fair value of the hedged item that is attributable to the hedged risk differs from the change in the fair value of the hedging derivative. Such a difference may arise for a number of reasons, including: </w:t>
      </w:r>
    </w:p>
    <w:p w:rsidR="00C226BC" w:rsidRDefault="00C226BC">
      <w:pPr>
        <w:pStyle w:val="IASBNormalnparaL1"/>
      </w:pPr>
      <w:r>
        <w:t>(a)</w:t>
      </w:r>
      <w:r>
        <w:tab/>
        <w:t>actual repricing dates being different from those expected, or expected repricing dates being revised;</w:t>
      </w:r>
    </w:p>
    <w:p w:rsidR="00C226BC" w:rsidRDefault="00C226BC">
      <w:pPr>
        <w:pStyle w:val="IASBNormalnparaL1"/>
      </w:pPr>
      <w:r>
        <w:t>(b)</w:t>
      </w:r>
      <w:r>
        <w:tab/>
        <w:t>items in the hedged portfolio becoming impaired or being derecognised;</w:t>
      </w:r>
    </w:p>
    <w:p w:rsidR="00C226BC" w:rsidRDefault="00C226BC">
      <w:pPr>
        <w:pStyle w:val="IASBNormalnparaL1"/>
      </w:pPr>
      <w:r>
        <w:t>(c)</w:t>
      </w:r>
      <w:r>
        <w:tab/>
        <w:t>the payment dates of the hedging instrument and the hedged item being different; and</w:t>
      </w:r>
    </w:p>
    <w:p w:rsidR="00C226BC" w:rsidRDefault="00C226BC">
      <w:pPr>
        <w:pStyle w:val="IASBNormalnparaL1"/>
      </w:pPr>
      <w:r>
        <w:t>(d)</w:t>
      </w:r>
      <w:r>
        <w:tab/>
        <w:t>other causes (</w:t>
      </w:r>
      <w:proofErr w:type="spellStart"/>
      <w:r>
        <w:t>eg</w:t>
      </w:r>
      <w:proofErr w:type="spellEnd"/>
      <w:r>
        <w:t xml:space="preserve"> when a few of the hedged items bear interest at a rate below the benchmark rate for which they are designated as being hedged, and the resulting ineffectiveness is not so great that the portfolio as a whole fails to qualify for hedge accounting).</w:t>
      </w:r>
    </w:p>
    <w:p w:rsidR="00C226BC" w:rsidRDefault="00C226BC">
      <w:pPr>
        <w:pStyle w:val="IASBNormalnparaP"/>
      </w:pPr>
      <w:r>
        <w:t>Such ineffectiveness</w:t>
      </w:r>
      <w:r w:rsidR="005F7281" w:rsidRPr="00C8638B">
        <w:rPr>
          <w:rStyle w:val="FootnoteReference"/>
        </w:rPr>
        <w:footnoteReference w:id="6"/>
      </w:r>
      <w:r w:rsidR="005037CA">
        <w:t xml:space="preserve"> </w:t>
      </w:r>
      <w:r>
        <w:t>shall be identified and recognised in profit or loss.</w:t>
      </w:r>
    </w:p>
    <w:p w:rsidR="00C226BC" w:rsidRDefault="00C226BC">
      <w:pPr>
        <w:pStyle w:val="IASBNormalnpara"/>
      </w:pPr>
      <w:r>
        <w:t>AG125</w:t>
      </w:r>
      <w:r>
        <w:tab/>
        <w:t xml:space="preserve">Generally, the effectiveness of the hedge will be improved: </w:t>
      </w:r>
    </w:p>
    <w:p w:rsidR="00C226BC" w:rsidRDefault="00C226BC">
      <w:pPr>
        <w:pStyle w:val="IASBNormalnparaL1"/>
      </w:pPr>
      <w:r>
        <w:t>(a)</w:t>
      </w:r>
      <w:r>
        <w:tab/>
        <w:t>if the entity schedules items with different prepayment characteristics in a way that takes account of the differences in prepayment behaviour.</w:t>
      </w:r>
    </w:p>
    <w:p w:rsidR="00C226BC" w:rsidRDefault="00C226BC">
      <w:pPr>
        <w:pStyle w:val="IASBNormalnparaL1"/>
      </w:pPr>
      <w:r>
        <w:t>(b)</w:t>
      </w:r>
      <w:r>
        <w:tab/>
        <w:t>when the number of items in the portfolio is larger. When only a few items are contained in the portfolio, relatively high ineffectiveness is likely if one of the items prepays earlier or later than expected. Conversely, when the portfolio contains many items, the prepayment behaviour can be predicted more accurately.</w:t>
      </w:r>
    </w:p>
    <w:p w:rsidR="00C226BC" w:rsidRDefault="00C226BC">
      <w:pPr>
        <w:pStyle w:val="IASBNormalnparaL1"/>
      </w:pPr>
      <w:r>
        <w:t>(c)</w:t>
      </w:r>
      <w:r>
        <w:tab/>
        <w:t>when the repricing time periods used are narrower (</w:t>
      </w:r>
      <w:proofErr w:type="spellStart"/>
      <w:r>
        <w:t>eg</w:t>
      </w:r>
      <w:proofErr w:type="spellEnd"/>
      <w:r>
        <w:t xml:space="preserve"> 1-month as opposed to 3-month repricing time periods). Narrower repricing time periods reduce the effect of any mismatch between the repricing and payment dates (within the repricing time period) of the hedged item and those of the hedging instrument.</w:t>
      </w:r>
    </w:p>
    <w:p w:rsidR="00C226BC" w:rsidRDefault="00C226BC">
      <w:pPr>
        <w:pStyle w:val="IASBNormalnparaL1"/>
      </w:pPr>
      <w:r>
        <w:t>(d)</w:t>
      </w:r>
      <w:r>
        <w:tab/>
        <w:t>the greater the frequency with which the amount of the hedging instrument is adjusted to reflect changes in the hedged item (</w:t>
      </w:r>
      <w:proofErr w:type="spellStart"/>
      <w:r>
        <w:t>eg</w:t>
      </w:r>
      <w:proofErr w:type="spellEnd"/>
      <w:r>
        <w:t xml:space="preserve"> because of changes in prepayment expectations).</w:t>
      </w:r>
    </w:p>
    <w:p w:rsidR="00C226BC" w:rsidRDefault="00C226BC">
      <w:pPr>
        <w:pStyle w:val="IASBNormalnpara"/>
      </w:pPr>
      <w:r>
        <w:t>AG126</w:t>
      </w:r>
      <w:r>
        <w:tab/>
        <w:t xml:space="preserve">An entity tests effectiveness periodically. If estimates of repricing dates change between one date on which an entity assesses effectiveness and the next, it shall calculate the amount of effectiveness either: </w:t>
      </w:r>
    </w:p>
    <w:p w:rsidR="00C226BC" w:rsidRDefault="00C226BC">
      <w:pPr>
        <w:pStyle w:val="IASBNormalnparaL1"/>
      </w:pPr>
      <w:r>
        <w:t>(a)</w:t>
      </w:r>
      <w:r>
        <w:tab/>
        <w:t>as the difference between the change in the fair value of the hedging instrument (see paragraph AG114(h)) and the change in the value of the entire hedged item that is attributable to changes in the hedged interest rate (including the effect that changes in the hedged interest rate have on the fair value of any embedded prepayment option); or</w:t>
      </w:r>
    </w:p>
    <w:p w:rsidR="00C226BC" w:rsidRDefault="00C226BC">
      <w:pPr>
        <w:pStyle w:val="IASBNormalnparaL1"/>
      </w:pPr>
      <w:r>
        <w:t>(b)</w:t>
      </w:r>
      <w:r>
        <w:tab/>
        <w:t>using the following approximation. The entity:</w:t>
      </w:r>
    </w:p>
    <w:p w:rsidR="00C226BC" w:rsidRDefault="00C226BC">
      <w:pPr>
        <w:pStyle w:val="IASBNormalnparaL2"/>
      </w:pPr>
      <w:r>
        <w:t>(</w:t>
      </w:r>
      <w:proofErr w:type="spellStart"/>
      <w:r>
        <w:t>i</w:t>
      </w:r>
      <w:proofErr w:type="spellEnd"/>
      <w:r>
        <w:t>)</w:t>
      </w:r>
      <w:r>
        <w:tab/>
        <w:t>calculates the percentage of the assets (or liabilities) in each repricing time period that was hedged, on the basis of the estimated repricing dates at the last date it tested effectiveness.</w:t>
      </w:r>
    </w:p>
    <w:p w:rsidR="00C226BC" w:rsidRDefault="00C226BC">
      <w:pPr>
        <w:pStyle w:val="IASBNormalnparaL2"/>
      </w:pPr>
      <w:r>
        <w:t>(ii)</w:t>
      </w:r>
      <w:r>
        <w:tab/>
        <w:t>applies this percentage to its revised estimate of the amount in that repricing time period to calculate the amount of the hedged item based on its revised estimate.</w:t>
      </w:r>
    </w:p>
    <w:p w:rsidR="00C226BC" w:rsidRDefault="00C226BC">
      <w:pPr>
        <w:pStyle w:val="IASBNormalnparaL2"/>
      </w:pPr>
      <w:r>
        <w:t>(iii)</w:t>
      </w:r>
      <w:r>
        <w:tab/>
        <w:t>calculates the change in the fair value of its revised estimate of the hedged item that is attributable to the hedged risk and presents it as set out in paragraph AG114(g).</w:t>
      </w:r>
    </w:p>
    <w:p w:rsidR="00C226BC" w:rsidRDefault="00C226BC">
      <w:pPr>
        <w:pStyle w:val="IASBNormalnparaL2"/>
      </w:pPr>
      <w:r>
        <w:t>(iv)</w:t>
      </w:r>
      <w:r>
        <w:tab/>
        <w:t>recognises ineffectiveness equal to the difference between the amount determined in (iii) and the change in the fair value of the hedging instrument (see paragraph AG114(h)).</w:t>
      </w:r>
    </w:p>
    <w:p w:rsidR="00C226BC" w:rsidRDefault="00C226BC">
      <w:pPr>
        <w:pStyle w:val="IASBNormalnpara"/>
      </w:pPr>
      <w:r>
        <w:t>AG127</w:t>
      </w:r>
      <w:r>
        <w:tab/>
        <w:t>When measuring effectiveness, the entity distinguishes revisions to the estimated repricing dates of existing assets (or liabilities) from the origination of new assets (or liabilities), with only the former giving rise to ineffectiveness. All revisions to estimated repricing dates (other than those excluded in accordance with paragraph AG121), including any reallocation of existing items between time periods, are included when revising the estimated amount in a time period in accordance with paragraph AG126(b)(ii) and hence when measuring effectiveness. Once ineffectiveness has been recognised as set out above, the entity establishes a new estimate of the total assets (or liabilities) in each repricing time period, including new assets (or liabilities) that have been originated since it last tested effectiveness, and designates a new amount as the hedged item and a new percentage as the hedged percentage. The procedures set out in paragraph AG126(b) are then repeated at the next date it tests effectiveness.</w:t>
      </w:r>
    </w:p>
    <w:p w:rsidR="00C226BC" w:rsidRDefault="00C226BC">
      <w:pPr>
        <w:pStyle w:val="IASBNormalnpara"/>
      </w:pPr>
      <w:r>
        <w:t>AG128</w:t>
      </w:r>
      <w:r>
        <w:tab/>
        <w:t xml:space="preserve">Items that were originally scheduled into a repricing time period may be derecognised because of earlier than expected prepayment or write-offs caused by impairment or sale. When this occurs, the amount of change in fair value included in the separate line item referred to in paragraph AG114(g) that relates to the derecognised item shall be removed from the statement of financial position, and included in the gain or loss that arises on </w:t>
      </w:r>
      <w:proofErr w:type="spellStart"/>
      <w:r>
        <w:t>derecognition</w:t>
      </w:r>
      <w:proofErr w:type="spellEnd"/>
      <w:r>
        <w:t xml:space="preserve"> of the item. For this purpose, it is necessary to know the repricing time period(s) into which the derecognised item was scheduled, because this determines the repricing time period(s) from which to remove it and hence the amount to remove from the separate line item referred to in paragraph AG114(g). When an item is derecognised, if it can be determined in which time period it was included, it is removed from that time period. If not, it is removed from the earliest time period if the </w:t>
      </w:r>
      <w:proofErr w:type="spellStart"/>
      <w:r>
        <w:t>derecognition</w:t>
      </w:r>
      <w:proofErr w:type="spellEnd"/>
      <w:r>
        <w:t xml:space="preserve"> resulted from higher than expected prepayments, or allocated to all time periods containing the derecognised item on a systematic and rational basis if the item was sold or became impaired.</w:t>
      </w:r>
    </w:p>
    <w:p w:rsidR="00C226BC" w:rsidRDefault="00C226BC">
      <w:pPr>
        <w:pStyle w:val="IASBNormalnpara"/>
      </w:pPr>
      <w:r>
        <w:t>AG129</w:t>
      </w:r>
      <w:r>
        <w:tab/>
        <w:t>In addition, any amount relating to a particular time period that has not been derecognised when the time period expires is recognised in profit or loss at that time (see paragraph 89A). For example, assume an entity schedules items into three repricing time periods. At the previous redesignation, the change in fair value reported in the single line item in the statement of financial position was an asset of CU25. That amount represents amounts attributable to periods 1, 2 and 3 of CU7, CU8 and CU10, respectively. At the next redesignation, the assets attributable to period 1 have been either realised or rescheduled into other periods. Therefore, CU7 is derecognised from the statement of financial position and recognised in profit or loss. CU8 and CU10 are now attributable to periods 1 and 2, respectively. These remaining periods are then adjusted, as necessary, for changes in fair value as described in paragraph AG114(g).</w:t>
      </w:r>
    </w:p>
    <w:p w:rsidR="00C226BC" w:rsidRDefault="00C226BC">
      <w:pPr>
        <w:pStyle w:val="IASBNormalnpara"/>
      </w:pPr>
      <w:r>
        <w:t>AG130</w:t>
      </w:r>
      <w:r>
        <w:tab/>
        <w:t>As an illustration of the requirements of the previous two paragraphs, assume that an entity scheduled assets by allocating a percentage of the portfolio into each repricing time period. Assume also that it scheduled CU100 into each of the first two time periods. When the first repricing time period expires, CU110 of assets are derecognised because of expected and unexpected repayments. In this case, all of the amount contained in the separate line item referred to in paragraph AG114(g) that relates to the first time period is removed from the statement of financial position, plus 10 per cent of the amount that relates to the second time period.</w:t>
      </w:r>
    </w:p>
    <w:p w:rsidR="00C226BC" w:rsidRDefault="00C226BC">
      <w:pPr>
        <w:pStyle w:val="IASBNormalnpara"/>
      </w:pPr>
      <w:r>
        <w:t>AG131</w:t>
      </w:r>
      <w:r>
        <w:tab/>
        <w:t>If the hedged amount for a repricing time period is reduced without the related assets (or liabilities) being derecognised, the amount included in the separate line item referred to in paragraph AG114(g) that relates to the reduction shall be amortised in accordance with paragraph 92.</w:t>
      </w:r>
    </w:p>
    <w:p w:rsidR="00C226BC" w:rsidRDefault="00C226BC">
      <w:pPr>
        <w:pStyle w:val="IASBNormalnpara"/>
      </w:pPr>
      <w:r>
        <w:t>AG132</w:t>
      </w:r>
      <w:r>
        <w:tab/>
        <w:t>An entity may wish to apply the approach set out in paragraphs AG114–AG131 to a portfolio hedge that had previously been accounted for as a cash flow hedge in accordance with</w:t>
      </w:r>
      <w:r w:rsidR="00723596">
        <w:t xml:space="preserve"> AASB 139</w:t>
      </w:r>
      <w:r>
        <w:t>. Such an entity would revoke the previous designation of a cash flow hedge in accordance with paragraph 101(d), and apply the requirements set out in that paragraph. It would also redesignate the hedge as a fair value hedge and apply the approach set out in paragraphs AG114–AG131 prospectively to subsequent accounting periods.</w:t>
      </w:r>
    </w:p>
    <w:p w:rsidR="00C226BC" w:rsidRDefault="00C226BC">
      <w:pPr>
        <w:pStyle w:val="IASBSectionTitle1NonInd"/>
      </w:pPr>
      <w:r>
        <w:t>Transition (paragraphs 103–108C)</w:t>
      </w:r>
    </w:p>
    <w:p w:rsidR="00C226BC" w:rsidRDefault="00C226BC">
      <w:pPr>
        <w:pStyle w:val="IASBNormalnpara"/>
      </w:pPr>
      <w:r>
        <w:t>AG133</w:t>
      </w:r>
      <w:r>
        <w:tab/>
        <w:t>An entity may have designated a forecast intragroup transaction as a hedged item at the start of an annual period beginning on or after 1 January 2005 (or, for the purpose of restating comparative information, the start of an earlier comparative period) in a hedge that would qualify for hedge accounting in accordance with this Standard (as amended by the last sentence of paragraph 80). Such an entity may use that designation to apply hedge accounting in consolidated financial statements from the start of the annual period beginning on or after 1 January 2005 (or the start of the earlier comparative period). Such an entity shall also apply paragraphs AG99A and AG99B from the start of the annual period beginning on or after 1</w:t>
      </w:r>
      <w:r w:rsidR="0017650C">
        <w:t> </w:t>
      </w:r>
      <w:r>
        <w:t>January 2005. However, in accordance with paragraph 108B, it need not apply paragraph AG99B to comparative information for earlier periods.</w:t>
      </w:r>
      <w:r w:rsidR="00700E26">
        <w:t xml:space="preserve"> </w:t>
      </w:r>
    </w:p>
    <w:p w:rsidR="00DF7C18" w:rsidRDefault="00DF7C18" w:rsidP="00DF7C18">
      <w:pPr>
        <w:pStyle w:val="IASBNormalnpara"/>
      </w:pPr>
    </w:p>
    <w:p w:rsidR="00DF7C18" w:rsidRDefault="00DF7C18" w:rsidP="00DF7C18">
      <w:pPr>
        <w:pStyle w:val="IASBSectionTitle2NonInd"/>
        <w:sectPr w:rsidR="00DF7C18" w:rsidSect="003A4362">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rsidR="00DF7C18" w:rsidRDefault="00DF7C18" w:rsidP="00DF7C18">
      <w:pPr>
        <w:pStyle w:val="IASBSectionTitle1NonInd"/>
        <w:pBdr>
          <w:bottom w:val="none" w:sz="0" w:space="0" w:color="auto"/>
        </w:pBdr>
      </w:pPr>
      <w:r>
        <w:t>Illustrative example</w:t>
      </w:r>
    </w:p>
    <w:p w:rsidR="00DF7C18" w:rsidRDefault="00DF7C18" w:rsidP="00DF7C18">
      <w:pPr>
        <w:pStyle w:val="IASBNote"/>
      </w:pPr>
      <w:r>
        <w:t>This example accompanies, but is not part of,</w:t>
      </w:r>
      <w:r w:rsidR="00723596">
        <w:t xml:space="preserve"> AASB 139</w:t>
      </w:r>
      <w:r>
        <w:t>.</w:t>
      </w:r>
    </w:p>
    <w:p w:rsidR="00DF7C18" w:rsidRDefault="00DF7C18" w:rsidP="00DF7C18">
      <w:pPr>
        <w:pStyle w:val="IASBSectionTitle1NonInd"/>
      </w:pPr>
      <w:r>
        <w:t>Facts</w:t>
      </w:r>
    </w:p>
    <w:p w:rsidR="00DF7C18" w:rsidRDefault="00DF7C18" w:rsidP="00DF7C18">
      <w:pPr>
        <w:pStyle w:val="IASBNormalnpara"/>
      </w:pPr>
      <w:r>
        <w:t>IE1</w:t>
      </w:r>
      <w:r>
        <w:tab/>
        <w:t xml:space="preserve">On 1 January 20X1, Entity A identifies a portfolio comprising assets and liabilities whose interest rate risk it wishes to hedge. The liabilities include demandable deposit liabilities that the depositor may withdraw at any time without notice. For risk management purposes, the entity views all of the items in the portfolio as fixed rate items. </w:t>
      </w:r>
    </w:p>
    <w:p w:rsidR="00DF7C18" w:rsidRDefault="00DF7C18" w:rsidP="00DF7C18">
      <w:pPr>
        <w:pStyle w:val="IASBNormalnpara"/>
      </w:pPr>
      <w:r>
        <w:t>IE2</w:t>
      </w:r>
      <w:r>
        <w:tab/>
        <w:t>For risk management purposes, Entity A analyses the assets and liabilities in the portfolio into repricing time periods based on expected repricing dates. The entity uses monthly time periods and schedules items for the next five years (</w:t>
      </w:r>
      <w:proofErr w:type="spellStart"/>
      <w:r>
        <w:t>ie</w:t>
      </w:r>
      <w:proofErr w:type="spellEnd"/>
      <w:r>
        <w:t xml:space="preserve"> it has 60 separate monthly time periods).</w:t>
      </w:r>
      <w:r w:rsidRPr="005C6676">
        <w:rPr>
          <w:rStyle w:val="FootnoteReference"/>
        </w:rPr>
        <w:footnoteReference w:id="7"/>
      </w:r>
      <w:r w:rsidR="005037CA">
        <w:t xml:space="preserve"> </w:t>
      </w:r>
      <w:r>
        <w:t>The assets in the portfolio are prepayable assets that Entity A allocates into time periods based on the expected prepayment dates, by allocating a percentage of all of the assets, rather than individual items, into each time period. The portfolio also includes demandable liabilities that the entity expects, on a portfolio basis, to repay between one month and five years and, for risk management purposes, are scheduled into time periods on this basis. On the basis of this analysis, Entity A decides what amount it wishes to hedge in each time period.</w:t>
      </w:r>
    </w:p>
    <w:p w:rsidR="00DF7C18" w:rsidRDefault="00DF7C18" w:rsidP="00DF7C18">
      <w:pPr>
        <w:pStyle w:val="IASBNormalnpara"/>
      </w:pPr>
      <w:r>
        <w:t>IE3</w:t>
      </w:r>
      <w:r>
        <w:tab/>
        <w:t xml:space="preserve">This example deals only with the repricing time period expiring in three months’ time, </w:t>
      </w:r>
      <w:proofErr w:type="spellStart"/>
      <w:r>
        <w:t>ie</w:t>
      </w:r>
      <w:proofErr w:type="spellEnd"/>
      <w:r>
        <w:t xml:space="preserve"> the time period maturing on 31 March 20X1 (a similar procedure would be applied for each of the other 59 time periods). Entity A has scheduled assets of CU100 million</w:t>
      </w:r>
      <w:r w:rsidRPr="005C6676">
        <w:rPr>
          <w:rStyle w:val="FootnoteReference"/>
        </w:rPr>
        <w:footnoteReference w:id="8"/>
      </w:r>
      <w:r w:rsidR="005037CA">
        <w:t xml:space="preserve"> </w:t>
      </w:r>
      <w:r>
        <w:t xml:space="preserve">and liabilities of CU80 million into this time period. All of the liabilities are repayable on demand. </w:t>
      </w:r>
    </w:p>
    <w:p w:rsidR="00DF7C18" w:rsidRDefault="00DF7C18" w:rsidP="00DF7C18">
      <w:pPr>
        <w:pStyle w:val="IASBNormalnpara"/>
      </w:pPr>
      <w:r>
        <w:t>IE4</w:t>
      </w:r>
      <w:r>
        <w:tab/>
        <w:t>Entity A decides, for risk management purposes, to hedge the net position of CU20 million and accordingly enters into an interest rate swap</w:t>
      </w:r>
      <w:r w:rsidRPr="005C6676">
        <w:rPr>
          <w:rStyle w:val="FootnoteReference"/>
        </w:rPr>
        <w:footnoteReference w:id="9"/>
      </w:r>
      <w:r w:rsidR="005037CA">
        <w:t xml:space="preserve"> </w:t>
      </w:r>
      <w:r>
        <w:t xml:space="preserve">on 1 January 20X1 to pay a fixed rate and receive LIBOR, with a notional principal amount of CU20 million and a fixed life of three months. </w:t>
      </w:r>
    </w:p>
    <w:p w:rsidR="00DF7C18" w:rsidRDefault="00DF7C18" w:rsidP="00DF7C18">
      <w:pPr>
        <w:pStyle w:val="IASBNormalnpara"/>
      </w:pPr>
      <w:r>
        <w:t>IE5</w:t>
      </w:r>
      <w:r>
        <w:tab/>
        <w:t xml:space="preserve">This example makes the following simplifying assumptions: </w:t>
      </w:r>
    </w:p>
    <w:p w:rsidR="00DF7C18" w:rsidRDefault="00DF7C18" w:rsidP="00DF7C18">
      <w:pPr>
        <w:pStyle w:val="IASBNormalnparaL1"/>
      </w:pPr>
      <w:r>
        <w:t>(a)</w:t>
      </w:r>
      <w:r>
        <w:tab/>
        <w:t>the coupon on the fixed leg of the swap is equal to the fixed coupon on the asset;</w:t>
      </w:r>
    </w:p>
    <w:p w:rsidR="00DF7C18" w:rsidRDefault="00DF7C18" w:rsidP="00DF7C18">
      <w:pPr>
        <w:pStyle w:val="IASBNormalnparaL1"/>
      </w:pPr>
      <w:r>
        <w:t>(b)</w:t>
      </w:r>
      <w:r>
        <w:tab/>
        <w:t>the coupon on the fixed leg of the swap becomes payable on the same dates as the interest payments on the asset; and</w:t>
      </w:r>
    </w:p>
    <w:p w:rsidR="00DF7C18" w:rsidRDefault="00DF7C18" w:rsidP="00DF7C18">
      <w:pPr>
        <w:pStyle w:val="IASBNormalnparaL1"/>
      </w:pPr>
      <w:r>
        <w:t>(c)</w:t>
      </w:r>
      <w:r>
        <w:tab/>
        <w:t>the interest on the variable leg of the swap is the overnight LIBOR rate. As a result, the entire fair value change of the swap arises from the fixed leg only, because the variable leg is not exposed to changes in fair value due to changes in interest rates.</w:t>
      </w:r>
    </w:p>
    <w:p w:rsidR="00DF7C18" w:rsidRDefault="00DF7C18" w:rsidP="00DF7C18">
      <w:pPr>
        <w:pStyle w:val="IASBNormalnparaP"/>
      </w:pPr>
      <w:r>
        <w:t>In cases when these simplifying assumptions do not hold, greater ineffectiveness will arise. (The ineffectiveness arising from (a) could be eliminated by designating as the hedged item a portion of the cash flows on the asset that are equivalent to the fixed leg of the swap.)</w:t>
      </w:r>
    </w:p>
    <w:p w:rsidR="00DF7C18" w:rsidRDefault="00DF7C18" w:rsidP="00DF7C18">
      <w:pPr>
        <w:pStyle w:val="IASBNormalnpara"/>
      </w:pPr>
      <w:r>
        <w:t>IE6</w:t>
      </w:r>
      <w:r>
        <w:tab/>
        <w:t>It is also assumed that Entity A tests effectiveness on a monthly basis.</w:t>
      </w:r>
    </w:p>
    <w:p w:rsidR="00DF7C18" w:rsidRDefault="00DF7C18" w:rsidP="00DF7C18">
      <w:pPr>
        <w:pStyle w:val="IASBNormalnpara"/>
      </w:pPr>
      <w:r>
        <w:t>IE7</w:t>
      </w:r>
      <w:r>
        <w:tab/>
        <w:t>The fair value of an equivalent non-prepayable asset of CU20 million, ignoring changes in value that are not attributable to interest rate movements, at various times during the period of the hedge is as follows:</w:t>
      </w:r>
    </w:p>
    <w:p w:rsidR="00DF7C18" w:rsidRDefault="00DF7C18" w:rsidP="00DF7C18">
      <w:pPr>
        <w:pStyle w:val="IASBNormalnpara"/>
      </w:pPr>
    </w:p>
    <w:tbl>
      <w:tblPr>
        <w:tblW w:w="0" w:type="auto"/>
        <w:tblInd w:w="964" w:type="dxa"/>
        <w:tblLayout w:type="fixed"/>
        <w:tblLook w:val="0000" w:firstRow="0" w:lastRow="0" w:firstColumn="0" w:lastColumn="0" w:noHBand="0" w:noVBand="0"/>
        <w:tblCaption w:val="AASB 139 Table 1"/>
      </w:tblPr>
      <w:tblGrid>
        <w:gridCol w:w="1271"/>
        <w:gridCol w:w="1149"/>
        <w:gridCol w:w="1456"/>
        <w:gridCol w:w="1456"/>
        <w:gridCol w:w="1456"/>
        <w:gridCol w:w="1456"/>
      </w:tblGrid>
      <w:tr w:rsidR="00DF7C18" w:rsidTr="00C55000">
        <w:trPr>
          <w:cantSplit/>
          <w:tblHeader/>
        </w:trPr>
        <w:tc>
          <w:tcPr>
            <w:tcW w:w="1271" w:type="dxa"/>
            <w:vAlign w:val="bottom"/>
          </w:tcPr>
          <w:p w:rsidR="00DF7C18" w:rsidRDefault="00DF7C18" w:rsidP="00C55000">
            <w:pPr>
              <w:pStyle w:val="IASBTableHeaderArial"/>
            </w:pPr>
          </w:p>
        </w:tc>
        <w:tc>
          <w:tcPr>
            <w:tcW w:w="1149" w:type="dxa"/>
            <w:tcBorders>
              <w:left w:val="nil"/>
            </w:tcBorders>
          </w:tcPr>
          <w:p w:rsidR="00DF7C18" w:rsidRDefault="00DF7C18" w:rsidP="00C55000">
            <w:pPr>
              <w:pStyle w:val="IASBTableHeaderArial"/>
              <w:jc w:val="right"/>
            </w:pPr>
            <w:r>
              <w:rPr>
                <w:b/>
              </w:rPr>
              <w:t>1 Jan</w:t>
            </w:r>
            <w:r>
              <w:rPr>
                <w:b/>
              </w:rPr>
              <w:br/>
              <w:t>20X1</w:t>
            </w:r>
          </w:p>
        </w:tc>
        <w:tc>
          <w:tcPr>
            <w:tcW w:w="1456" w:type="dxa"/>
            <w:tcBorders>
              <w:left w:val="nil"/>
            </w:tcBorders>
          </w:tcPr>
          <w:p w:rsidR="00DF7C18" w:rsidRDefault="00DF7C18" w:rsidP="00C55000">
            <w:pPr>
              <w:pStyle w:val="IASBTableHeaderArial"/>
              <w:jc w:val="right"/>
            </w:pPr>
            <w:r>
              <w:rPr>
                <w:b/>
              </w:rPr>
              <w:t>31 Jan</w:t>
            </w:r>
            <w:r>
              <w:rPr>
                <w:b/>
              </w:rPr>
              <w:br/>
              <w:t>20X1</w:t>
            </w:r>
          </w:p>
        </w:tc>
        <w:tc>
          <w:tcPr>
            <w:tcW w:w="1456" w:type="dxa"/>
            <w:tcBorders>
              <w:left w:val="nil"/>
            </w:tcBorders>
          </w:tcPr>
          <w:p w:rsidR="00DF7C18" w:rsidRDefault="00DF7C18" w:rsidP="00C55000">
            <w:pPr>
              <w:pStyle w:val="IASBTableHeaderArial"/>
              <w:jc w:val="right"/>
            </w:pPr>
            <w:r>
              <w:rPr>
                <w:b/>
              </w:rPr>
              <w:t>1 Feb</w:t>
            </w:r>
            <w:r>
              <w:rPr>
                <w:b/>
              </w:rPr>
              <w:br/>
              <w:t>20X1</w:t>
            </w:r>
          </w:p>
        </w:tc>
        <w:tc>
          <w:tcPr>
            <w:tcW w:w="1456" w:type="dxa"/>
            <w:tcBorders>
              <w:left w:val="nil"/>
            </w:tcBorders>
          </w:tcPr>
          <w:p w:rsidR="00DF7C18" w:rsidRDefault="00DF7C18" w:rsidP="00C55000">
            <w:pPr>
              <w:pStyle w:val="IASBTableHeaderArial"/>
              <w:jc w:val="right"/>
            </w:pPr>
            <w:r>
              <w:rPr>
                <w:b/>
              </w:rPr>
              <w:t>28 Feb</w:t>
            </w:r>
            <w:r>
              <w:rPr>
                <w:b/>
              </w:rPr>
              <w:br/>
              <w:t>20X1</w:t>
            </w:r>
          </w:p>
        </w:tc>
        <w:tc>
          <w:tcPr>
            <w:tcW w:w="1456" w:type="dxa"/>
            <w:tcBorders>
              <w:left w:val="nil"/>
            </w:tcBorders>
          </w:tcPr>
          <w:p w:rsidR="00DF7C18" w:rsidRDefault="00DF7C18" w:rsidP="00C55000">
            <w:pPr>
              <w:pStyle w:val="IASBTableHeaderArial"/>
              <w:jc w:val="right"/>
            </w:pPr>
            <w:r>
              <w:rPr>
                <w:b/>
              </w:rPr>
              <w:t>31 Mar</w:t>
            </w:r>
            <w:r>
              <w:rPr>
                <w:b/>
              </w:rPr>
              <w:br/>
              <w:t>20X1</w:t>
            </w:r>
          </w:p>
        </w:tc>
      </w:tr>
      <w:tr w:rsidR="00DF7C18" w:rsidTr="00C55000">
        <w:trPr>
          <w:cantSplit/>
        </w:trPr>
        <w:tc>
          <w:tcPr>
            <w:tcW w:w="1271" w:type="dxa"/>
            <w:tcBorders>
              <w:top w:val="nil"/>
            </w:tcBorders>
            <w:vAlign w:val="bottom"/>
          </w:tcPr>
          <w:p w:rsidR="00DF7C18" w:rsidRDefault="00DF7C18" w:rsidP="00C55000">
            <w:pPr>
              <w:pStyle w:val="IASBTableArial"/>
            </w:pPr>
            <w:r>
              <w:t>Fair value (asset) (CU)</w:t>
            </w:r>
          </w:p>
        </w:tc>
        <w:tc>
          <w:tcPr>
            <w:tcW w:w="1149" w:type="dxa"/>
            <w:tcBorders>
              <w:top w:val="nil"/>
              <w:left w:val="nil"/>
            </w:tcBorders>
            <w:vAlign w:val="bottom"/>
          </w:tcPr>
          <w:p w:rsidR="00DF7C18" w:rsidRDefault="00DF7C18" w:rsidP="00C55000">
            <w:pPr>
              <w:pStyle w:val="IASBTableArial"/>
              <w:jc w:val="right"/>
            </w:pPr>
            <w:r>
              <w:t>20,000,000</w:t>
            </w:r>
          </w:p>
        </w:tc>
        <w:tc>
          <w:tcPr>
            <w:tcW w:w="1456" w:type="dxa"/>
            <w:tcBorders>
              <w:top w:val="nil"/>
              <w:left w:val="nil"/>
            </w:tcBorders>
            <w:vAlign w:val="bottom"/>
          </w:tcPr>
          <w:p w:rsidR="00DF7C18" w:rsidRDefault="00DF7C18" w:rsidP="00C55000">
            <w:pPr>
              <w:pStyle w:val="IASBTableArial"/>
              <w:jc w:val="right"/>
            </w:pPr>
            <w:r>
              <w:t>20,047,408</w:t>
            </w:r>
          </w:p>
        </w:tc>
        <w:tc>
          <w:tcPr>
            <w:tcW w:w="1456" w:type="dxa"/>
            <w:tcBorders>
              <w:top w:val="nil"/>
              <w:left w:val="nil"/>
            </w:tcBorders>
            <w:vAlign w:val="bottom"/>
          </w:tcPr>
          <w:p w:rsidR="00DF7C18" w:rsidRDefault="00DF7C18" w:rsidP="00C55000">
            <w:pPr>
              <w:pStyle w:val="IASBTableArial"/>
              <w:jc w:val="right"/>
            </w:pPr>
            <w:r>
              <w:t>20,047,408</w:t>
            </w:r>
          </w:p>
        </w:tc>
        <w:tc>
          <w:tcPr>
            <w:tcW w:w="1456" w:type="dxa"/>
            <w:tcBorders>
              <w:top w:val="nil"/>
              <w:left w:val="nil"/>
            </w:tcBorders>
            <w:vAlign w:val="bottom"/>
          </w:tcPr>
          <w:p w:rsidR="00DF7C18" w:rsidRDefault="00DF7C18" w:rsidP="00C55000">
            <w:pPr>
              <w:pStyle w:val="IASBTableArial"/>
              <w:jc w:val="right"/>
            </w:pPr>
            <w:r>
              <w:t>20,023,795</w:t>
            </w:r>
          </w:p>
        </w:tc>
        <w:tc>
          <w:tcPr>
            <w:tcW w:w="1456" w:type="dxa"/>
            <w:tcBorders>
              <w:top w:val="nil"/>
              <w:left w:val="nil"/>
            </w:tcBorders>
            <w:vAlign w:val="bottom"/>
          </w:tcPr>
          <w:p w:rsidR="00DF7C18" w:rsidRDefault="00DF7C18" w:rsidP="00C55000">
            <w:pPr>
              <w:pStyle w:val="IASBTableArial"/>
              <w:jc w:val="right"/>
            </w:pPr>
            <w:r>
              <w:t>Nil</w:t>
            </w:r>
          </w:p>
        </w:tc>
      </w:tr>
    </w:tbl>
    <w:p w:rsidR="00DF7C18" w:rsidRDefault="00DF7C18" w:rsidP="00DF7C18">
      <w:pPr>
        <w:pStyle w:val="IASBNormalnpara"/>
      </w:pPr>
    </w:p>
    <w:p w:rsidR="00DF7C18" w:rsidRDefault="00DF7C18" w:rsidP="00E36279">
      <w:pPr>
        <w:pStyle w:val="IASBNormalnpara"/>
        <w:pageBreakBefore/>
      </w:pPr>
      <w:r>
        <w:t>IE8</w:t>
      </w:r>
      <w:r>
        <w:tab/>
        <w:t>The fair value of the swap at various times during the period of the hedge is as follows:</w:t>
      </w:r>
    </w:p>
    <w:p w:rsidR="00DF7C18" w:rsidRDefault="00DF7C18" w:rsidP="00DF7C18">
      <w:pPr>
        <w:pStyle w:val="IASBNormalnpara"/>
      </w:pPr>
    </w:p>
    <w:tbl>
      <w:tblPr>
        <w:tblW w:w="0" w:type="auto"/>
        <w:tblInd w:w="964" w:type="dxa"/>
        <w:tblLayout w:type="fixed"/>
        <w:tblLook w:val="0000" w:firstRow="0" w:lastRow="0" w:firstColumn="0" w:lastColumn="0" w:noHBand="0" w:noVBand="0"/>
        <w:tblCaption w:val="AASB 139 Table 2"/>
      </w:tblPr>
      <w:tblGrid>
        <w:gridCol w:w="1271"/>
        <w:gridCol w:w="1149"/>
        <w:gridCol w:w="1456"/>
        <w:gridCol w:w="1456"/>
        <w:gridCol w:w="1456"/>
        <w:gridCol w:w="1456"/>
      </w:tblGrid>
      <w:tr w:rsidR="00DF7C18" w:rsidTr="00C55000">
        <w:trPr>
          <w:cantSplit/>
          <w:tblHeader/>
        </w:trPr>
        <w:tc>
          <w:tcPr>
            <w:tcW w:w="1271" w:type="dxa"/>
            <w:vAlign w:val="bottom"/>
          </w:tcPr>
          <w:p w:rsidR="00DF7C18" w:rsidRDefault="00DF7C18" w:rsidP="00C55000">
            <w:pPr>
              <w:pStyle w:val="IASBTableHeaderArial"/>
            </w:pPr>
          </w:p>
        </w:tc>
        <w:tc>
          <w:tcPr>
            <w:tcW w:w="1149" w:type="dxa"/>
            <w:tcBorders>
              <w:left w:val="nil"/>
            </w:tcBorders>
          </w:tcPr>
          <w:p w:rsidR="00DF7C18" w:rsidRDefault="00DF7C18" w:rsidP="00C55000">
            <w:pPr>
              <w:pStyle w:val="IASBTableHeaderArial"/>
              <w:jc w:val="right"/>
            </w:pPr>
            <w:r>
              <w:rPr>
                <w:b/>
              </w:rPr>
              <w:t>1 Jan</w:t>
            </w:r>
            <w:r>
              <w:rPr>
                <w:b/>
              </w:rPr>
              <w:br/>
              <w:t>20X1</w:t>
            </w:r>
          </w:p>
        </w:tc>
        <w:tc>
          <w:tcPr>
            <w:tcW w:w="1456" w:type="dxa"/>
            <w:tcBorders>
              <w:left w:val="nil"/>
            </w:tcBorders>
          </w:tcPr>
          <w:p w:rsidR="00DF7C18" w:rsidRDefault="00DF7C18" w:rsidP="00C55000">
            <w:pPr>
              <w:pStyle w:val="IASBTableHeaderArial"/>
              <w:jc w:val="right"/>
            </w:pPr>
            <w:r>
              <w:rPr>
                <w:b/>
              </w:rPr>
              <w:t>31 Jan</w:t>
            </w:r>
            <w:r>
              <w:rPr>
                <w:b/>
              </w:rPr>
              <w:br/>
              <w:t>20X1</w:t>
            </w:r>
          </w:p>
        </w:tc>
        <w:tc>
          <w:tcPr>
            <w:tcW w:w="1456" w:type="dxa"/>
            <w:tcBorders>
              <w:left w:val="nil"/>
            </w:tcBorders>
          </w:tcPr>
          <w:p w:rsidR="00DF7C18" w:rsidRDefault="00DF7C18" w:rsidP="00C55000">
            <w:pPr>
              <w:pStyle w:val="IASBTableHeaderArial"/>
              <w:jc w:val="right"/>
            </w:pPr>
            <w:r>
              <w:rPr>
                <w:b/>
              </w:rPr>
              <w:t>1 Feb</w:t>
            </w:r>
            <w:r>
              <w:rPr>
                <w:b/>
              </w:rPr>
              <w:br/>
              <w:t>20X1</w:t>
            </w:r>
          </w:p>
        </w:tc>
        <w:tc>
          <w:tcPr>
            <w:tcW w:w="1456" w:type="dxa"/>
            <w:tcBorders>
              <w:left w:val="nil"/>
            </w:tcBorders>
          </w:tcPr>
          <w:p w:rsidR="00DF7C18" w:rsidRDefault="00DF7C18" w:rsidP="00C55000">
            <w:pPr>
              <w:pStyle w:val="IASBTableHeaderArial"/>
              <w:jc w:val="right"/>
            </w:pPr>
            <w:r>
              <w:rPr>
                <w:b/>
              </w:rPr>
              <w:t>28 Feb</w:t>
            </w:r>
            <w:r>
              <w:rPr>
                <w:b/>
              </w:rPr>
              <w:br/>
              <w:t>20X1</w:t>
            </w:r>
          </w:p>
        </w:tc>
        <w:tc>
          <w:tcPr>
            <w:tcW w:w="1456" w:type="dxa"/>
            <w:tcBorders>
              <w:left w:val="nil"/>
            </w:tcBorders>
          </w:tcPr>
          <w:p w:rsidR="00DF7C18" w:rsidRDefault="00DF7C18" w:rsidP="00C55000">
            <w:pPr>
              <w:pStyle w:val="IASBTableHeaderArial"/>
              <w:jc w:val="right"/>
            </w:pPr>
            <w:r>
              <w:rPr>
                <w:b/>
              </w:rPr>
              <w:t>31 Mar</w:t>
            </w:r>
            <w:r>
              <w:rPr>
                <w:b/>
              </w:rPr>
              <w:br/>
              <w:t>20X1</w:t>
            </w:r>
          </w:p>
        </w:tc>
      </w:tr>
      <w:tr w:rsidR="00DF7C18" w:rsidTr="00C55000">
        <w:trPr>
          <w:cantSplit/>
        </w:trPr>
        <w:tc>
          <w:tcPr>
            <w:tcW w:w="1271" w:type="dxa"/>
            <w:tcBorders>
              <w:top w:val="nil"/>
            </w:tcBorders>
            <w:vAlign w:val="bottom"/>
          </w:tcPr>
          <w:p w:rsidR="00DF7C18" w:rsidRDefault="00DF7C18" w:rsidP="00C55000">
            <w:pPr>
              <w:pStyle w:val="IASBTableArial"/>
            </w:pPr>
            <w:r>
              <w:t>Fair value (liability) (CU)</w:t>
            </w:r>
          </w:p>
        </w:tc>
        <w:tc>
          <w:tcPr>
            <w:tcW w:w="1149" w:type="dxa"/>
            <w:tcBorders>
              <w:top w:val="nil"/>
              <w:left w:val="nil"/>
            </w:tcBorders>
            <w:vAlign w:val="bottom"/>
          </w:tcPr>
          <w:p w:rsidR="00DF7C18" w:rsidRDefault="00DF7C18" w:rsidP="00C55000">
            <w:pPr>
              <w:pStyle w:val="IASBTableArial"/>
              <w:jc w:val="right"/>
            </w:pPr>
            <w:r>
              <w:t>Nil</w:t>
            </w:r>
          </w:p>
        </w:tc>
        <w:tc>
          <w:tcPr>
            <w:tcW w:w="1456" w:type="dxa"/>
            <w:tcBorders>
              <w:top w:val="nil"/>
              <w:left w:val="nil"/>
            </w:tcBorders>
            <w:vAlign w:val="bottom"/>
          </w:tcPr>
          <w:p w:rsidR="00DF7C18" w:rsidRDefault="00DF7C18" w:rsidP="00C55000">
            <w:pPr>
              <w:pStyle w:val="IASBTableArial"/>
              <w:jc w:val="right"/>
            </w:pPr>
            <w:r>
              <w:t>(47,408)</w:t>
            </w:r>
          </w:p>
        </w:tc>
        <w:tc>
          <w:tcPr>
            <w:tcW w:w="1456" w:type="dxa"/>
            <w:tcBorders>
              <w:top w:val="nil"/>
              <w:left w:val="nil"/>
            </w:tcBorders>
            <w:vAlign w:val="bottom"/>
          </w:tcPr>
          <w:p w:rsidR="00DF7C18" w:rsidRDefault="00DF7C18" w:rsidP="00C55000">
            <w:pPr>
              <w:pStyle w:val="IASBTableArial"/>
              <w:jc w:val="right"/>
            </w:pPr>
            <w:r>
              <w:t>(47,408)</w:t>
            </w:r>
          </w:p>
        </w:tc>
        <w:tc>
          <w:tcPr>
            <w:tcW w:w="1456" w:type="dxa"/>
            <w:tcBorders>
              <w:top w:val="nil"/>
              <w:left w:val="nil"/>
            </w:tcBorders>
            <w:vAlign w:val="bottom"/>
          </w:tcPr>
          <w:p w:rsidR="00DF7C18" w:rsidRDefault="00DF7C18" w:rsidP="00C55000">
            <w:pPr>
              <w:pStyle w:val="IASBTableArial"/>
              <w:jc w:val="right"/>
            </w:pPr>
            <w:r>
              <w:t>(23,795)</w:t>
            </w:r>
          </w:p>
        </w:tc>
        <w:tc>
          <w:tcPr>
            <w:tcW w:w="1456" w:type="dxa"/>
            <w:tcBorders>
              <w:top w:val="nil"/>
              <w:left w:val="nil"/>
            </w:tcBorders>
            <w:vAlign w:val="bottom"/>
          </w:tcPr>
          <w:p w:rsidR="00DF7C18" w:rsidRDefault="00DF7C18" w:rsidP="00C55000">
            <w:pPr>
              <w:pStyle w:val="IASBTableArial"/>
              <w:jc w:val="right"/>
            </w:pPr>
            <w:r>
              <w:t>Nil</w:t>
            </w:r>
          </w:p>
        </w:tc>
      </w:tr>
    </w:tbl>
    <w:p w:rsidR="00DF7C18" w:rsidRDefault="00DF7C18" w:rsidP="00DF7C18">
      <w:pPr>
        <w:pStyle w:val="IASBNormalnpara"/>
      </w:pPr>
    </w:p>
    <w:p w:rsidR="00DF7C18" w:rsidRDefault="00DF7C18" w:rsidP="00DF7C18">
      <w:pPr>
        <w:pStyle w:val="IASBSectionTitle1NonInd"/>
      </w:pPr>
      <w:r>
        <w:t>Accounting treatment</w:t>
      </w:r>
    </w:p>
    <w:p w:rsidR="00DF7C18" w:rsidRDefault="00DF7C18" w:rsidP="00DF7C18">
      <w:pPr>
        <w:pStyle w:val="IASBNormalnpara"/>
      </w:pPr>
      <w:r>
        <w:t>IE9</w:t>
      </w:r>
      <w:r>
        <w:tab/>
        <w:t>On 1 January 20X1, Entity A designates as the hedged item an amount of CU20 million of assets in the three-month time period. It designates as the hedged risk the change in the value of the hedged item (</w:t>
      </w:r>
      <w:proofErr w:type="spellStart"/>
      <w:r>
        <w:t>ie</w:t>
      </w:r>
      <w:proofErr w:type="spellEnd"/>
      <w:r>
        <w:t xml:space="preserve"> the CU20 million of assets) that is attributable to changes in LIBOR. It also complies with the other designation requirements set out in paragraphs 88(d) and AG119 of the Standard. </w:t>
      </w:r>
    </w:p>
    <w:p w:rsidR="00DF7C18" w:rsidRDefault="00DF7C18" w:rsidP="00DF7C18">
      <w:pPr>
        <w:pStyle w:val="IASBNormalnpara"/>
      </w:pPr>
      <w:r>
        <w:t>IE10</w:t>
      </w:r>
      <w:r>
        <w:tab/>
        <w:t xml:space="preserve">Entity A designates as the hedging instrument the interest rate swap described in paragraph IE4. </w:t>
      </w:r>
    </w:p>
    <w:p w:rsidR="00DF7C18" w:rsidRDefault="00DF7C18" w:rsidP="00DF7C18">
      <w:pPr>
        <w:pStyle w:val="IASBNormalnpara"/>
      </w:pPr>
      <w:r>
        <w:tab/>
      </w:r>
      <w:r>
        <w:rPr>
          <w:b/>
        </w:rPr>
        <w:t>End of month 1 (31 January 20X1)</w:t>
      </w:r>
    </w:p>
    <w:p w:rsidR="00DF7C18" w:rsidRDefault="00DF7C18" w:rsidP="00DF7C18">
      <w:pPr>
        <w:pStyle w:val="IASBNormalnpara"/>
      </w:pPr>
      <w:r>
        <w:t>IE11</w:t>
      </w:r>
      <w:r>
        <w:tab/>
        <w:t xml:space="preserve">On 31 January 20X1 (at the end of month 1) when Entity A tests effectiveness, LIBOR has decreased. Based on historical prepayment experience, Entity A estimates that, as a consequence, prepayments will occur faster than previously estimated. As a result it re-estimates the amount of assets scheduled into this time period (excluding new assets originated during the month) as CU96 million. </w:t>
      </w:r>
    </w:p>
    <w:p w:rsidR="00DF7C18" w:rsidRDefault="00DF7C18" w:rsidP="00DF7C18">
      <w:pPr>
        <w:pStyle w:val="IASBNormalnpara"/>
      </w:pPr>
      <w:r>
        <w:t>IE12</w:t>
      </w:r>
      <w:r>
        <w:tab/>
        <w:t>The fair value of the designated interest rate swap with a notional principal of CU20 million is (CU47,408)</w:t>
      </w:r>
      <w:r w:rsidRPr="005C6676">
        <w:rPr>
          <w:rStyle w:val="FootnoteReference"/>
        </w:rPr>
        <w:footnoteReference w:id="10"/>
      </w:r>
      <w:r w:rsidR="005037CA">
        <w:t xml:space="preserve"> </w:t>
      </w:r>
      <w:r>
        <w:t xml:space="preserve">(the swap is a liability). </w:t>
      </w:r>
    </w:p>
    <w:p w:rsidR="00DF7C18" w:rsidRDefault="00DF7C18" w:rsidP="00DF7C18">
      <w:pPr>
        <w:pStyle w:val="IASBNormalnpara"/>
      </w:pPr>
      <w:r>
        <w:t>IE13</w:t>
      </w:r>
      <w:r>
        <w:tab/>
        <w:t xml:space="preserve">Entity A computes the change in the fair value of the hedged item, taking into account the change in estimated prepayments, as follows. </w:t>
      </w:r>
    </w:p>
    <w:p w:rsidR="00DF7C18" w:rsidRDefault="00DF7C18" w:rsidP="00DF7C18">
      <w:pPr>
        <w:pStyle w:val="IASBNormalnparaL1"/>
      </w:pPr>
      <w:r>
        <w:t>(a)</w:t>
      </w:r>
      <w:r>
        <w:tab/>
        <w:t>First, it calculates the percentage of the initial estimate of the assets in the time period that was hedged. This is 20 per cent (CU20 million ÷ CU100 million).</w:t>
      </w:r>
    </w:p>
    <w:p w:rsidR="00DF7C18" w:rsidRDefault="00DF7C18" w:rsidP="00DF7C18">
      <w:pPr>
        <w:pStyle w:val="IASBNormalnparaL1"/>
      </w:pPr>
      <w:r>
        <w:t>(b)</w:t>
      </w:r>
      <w:r>
        <w:tab/>
        <w:t>Second, it applies this percentage (20 per cent) to its revised estimate of the amount in that time period (CU96 million) to calculate the amount that is the hedged item based on its revised estimate. This is CU19.2 million.</w:t>
      </w:r>
    </w:p>
    <w:p w:rsidR="00DF7C18" w:rsidRDefault="00DF7C18" w:rsidP="00DF7C18">
      <w:pPr>
        <w:pStyle w:val="IASBNormalnparaL1"/>
      </w:pPr>
      <w:r>
        <w:t>(c)</w:t>
      </w:r>
      <w:r>
        <w:tab/>
        <w:t>Third, it calculates the change in the fair value of this revised estimate of the hedged item (CU19.2 million) that is attributable to changes in LIBOR. This is CU45,511 (CU47,408</w:t>
      </w:r>
      <w:r w:rsidRPr="005C6676">
        <w:rPr>
          <w:rStyle w:val="FootnoteReference"/>
        </w:rPr>
        <w:footnoteReference w:id="11"/>
      </w:r>
      <w:r w:rsidR="005037CA">
        <w:t xml:space="preserve"> </w:t>
      </w:r>
      <w:r>
        <w:t>× (CU19.2 million ÷ CU20 million)).</w:t>
      </w:r>
    </w:p>
    <w:p w:rsidR="00DF7C18" w:rsidRDefault="00DF7C18" w:rsidP="00DF7C18">
      <w:pPr>
        <w:pStyle w:val="IASBNormalnpara"/>
      </w:pPr>
      <w:r>
        <w:t>IE14</w:t>
      </w:r>
      <w:r>
        <w:tab/>
        <w:t>Entity A makes the following accounting entries relating to this time period:</w:t>
      </w:r>
    </w:p>
    <w:p w:rsidR="00DF7C18" w:rsidRDefault="00DF7C18" w:rsidP="00DF7C18">
      <w:pPr>
        <w:pStyle w:val="IASBNormalnpara"/>
      </w:pPr>
    </w:p>
    <w:tbl>
      <w:tblPr>
        <w:tblW w:w="8284" w:type="dxa"/>
        <w:tblInd w:w="964" w:type="dxa"/>
        <w:tblLayout w:type="fixed"/>
        <w:tblLook w:val="0000" w:firstRow="0" w:lastRow="0" w:firstColumn="0" w:lastColumn="0" w:noHBand="0" w:noVBand="0"/>
        <w:tblCaption w:val="AASB 139 Table 3"/>
      </w:tblPr>
      <w:tblGrid>
        <w:gridCol w:w="704"/>
        <w:gridCol w:w="567"/>
        <w:gridCol w:w="283"/>
        <w:gridCol w:w="3090"/>
        <w:gridCol w:w="1820"/>
        <w:gridCol w:w="1820"/>
      </w:tblGrid>
      <w:tr w:rsidR="00DF7C18" w:rsidTr="00C55000">
        <w:trPr>
          <w:cantSplit/>
        </w:trPr>
        <w:tc>
          <w:tcPr>
            <w:tcW w:w="704" w:type="dxa"/>
            <w:vAlign w:val="bottom"/>
          </w:tcPr>
          <w:p w:rsidR="00DF7C18" w:rsidRDefault="00DF7C18" w:rsidP="00C55000">
            <w:pPr>
              <w:pStyle w:val="IASBTableArial"/>
            </w:pPr>
            <w:r>
              <w:t>Dr</w:t>
            </w:r>
          </w:p>
        </w:tc>
        <w:tc>
          <w:tcPr>
            <w:tcW w:w="3940" w:type="dxa"/>
            <w:gridSpan w:val="3"/>
            <w:tcBorders>
              <w:left w:val="nil"/>
            </w:tcBorders>
            <w:vAlign w:val="bottom"/>
          </w:tcPr>
          <w:p w:rsidR="00DF7C18" w:rsidRDefault="00DF7C18" w:rsidP="00C55000">
            <w:pPr>
              <w:pStyle w:val="IASBTableArial"/>
            </w:pPr>
            <w:r>
              <w:t>Cash</w:t>
            </w:r>
          </w:p>
        </w:tc>
        <w:tc>
          <w:tcPr>
            <w:tcW w:w="1820" w:type="dxa"/>
            <w:tcBorders>
              <w:left w:val="nil"/>
            </w:tcBorders>
            <w:vAlign w:val="bottom"/>
          </w:tcPr>
          <w:p w:rsidR="00DF7C18" w:rsidRDefault="00DF7C18" w:rsidP="00C55000">
            <w:pPr>
              <w:pStyle w:val="IASBTableArial"/>
              <w:jc w:val="right"/>
            </w:pPr>
            <w:r>
              <w:t>CU172,097</w:t>
            </w:r>
          </w:p>
        </w:tc>
        <w:tc>
          <w:tcPr>
            <w:tcW w:w="1820" w:type="dxa"/>
            <w:tcBorders>
              <w:left w:val="nil"/>
            </w:tcBorders>
          </w:tcPr>
          <w:p w:rsidR="00DF7C18" w:rsidRDefault="00DF7C18" w:rsidP="00C55000">
            <w:pPr>
              <w:pStyle w:val="IASBTableArial"/>
            </w:pPr>
          </w:p>
        </w:tc>
      </w:tr>
      <w:tr w:rsidR="00DF7C18" w:rsidTr="00C55000">
        <w:trPr>
          <w:cantSplit/>
        </w:trPr>
        <w:tc>
          <w:tcPr>
            <w:tcW w:w="704" w:type="dxa"/>
            <w:tcBorders>
              <w:top w:val="nil"/>
            </w:tcBorders>
            <w:vAlign w:val="bottom"/>
          </w:tcPr>
          <w:p w:rsidR="00DF7C18" w:rsidRDefault="00DF7C18" w:rsidP="00C55000">
            <w:pPr>
              <w:pStyle w:val="IASBTableArial"/>
            </w:pPr>
          </w:p>
        </w:tc>
        <w:tc>
          <w:tcPr>
            <w:tcW w:w="850" w:type="dxa"/>
            <w:gridSpan w:val="2"/>
            <w:tcBorders>
              <w:top w:val="nil"/>
              <w:left w:val="nil"/>
            </w:tcBorders>
            <w:vAlign w:val="bottom"/>
          </w:tcPr>
          <w:p w:rsidR="00DF7C18" w:rsidRDefault="00DF7C18" w:rsidP="00C55000">
            <w:pPr>
              <w:pStyle w:val="IASBTableArial"/>
            </w:pPr>
            <w:r>
              <w:t>Cr</w:t>
            </w:r>
          </w:p>
        </w:tc>
        <w:tc>
          <w:tcPr>
            <w:tcW w:w="3090" w:type="dxa"/>
            <w:tcBorders>
              <w:top w:val="nil"/>
              <w:left w:val="nil"/>
            </w:tcBorders>
            <w:vAlign w:val="bottom"/>
          </w:tcPr>
          <w:p w:rsidR="00DF7C18" w:rsidRDefault="00DF7C18" w:rsidP="00C55000">
            <w:pPr>
              <w:pStyle w:val="IASBTableArial"/>
            </w:pPr>
            <w:r>
              <w:t>Profit or loss (interest income)</w:t>
            </w:r>
            <w:r>
              <w:rPr>
                <w:vertAlign w:val="superscript"/>
              </w:rPr>
              <w:t>(a)</w:t>
            </w:r>
          </w:p>
        </w:tc>
        <w:tc>
          <w:tcPr>
            <w:tcW w:w="1820" w:type="dxa"/>
            <w:tcBorders>
              <w:top w:val="nil"/>
              <w:left w:val="nil"/>
            </w:tcBorders>
            <w:vAlign w:val="bottom"/>
          </w:tcPr>
          <w:p w:rsidR="00DF7C18" w:rsidRDefault="00DF7C18" w:rsidP="00C55000">
            <w:pPr>
              <w:pStyle w:val="IASBTableArial"/>
            </w:pPr>
          </w:p>
        </w:tc>
        <w:tc>
          <w:tcPr>
            <w:tcW w:w="1820" w:type="dxa"/>
            <w:tcBorders>
              <w:top w:val="nil"/>
              <w:left w:val="nil"/>
            </w:tcBorders>
            <w:vAlign w:val="bottom"/>
          </w:tcPr>
          <w:p w:rsidR="00DF7C18" w:rsidRDefault="00DF7C18" w:rsidP="00C55000">
            <w:pPr>
              <w:pStyle w:val="IASBTableArial"/>
              <w:jc w:val="right"/>
            </w:pPr>
            <w:r>
              <w:t>CU172,097</w:t>
            </w:r>
          </w:p>
        </w:tc>
      </w:tr>
      <w:tr w:rsidR="00DF7C18" w:rsidTr="00C55000">
        <w:trPr>
          <w:cantSplit/>
        </w:trPr>
        <w:tc>
          <w:tcPr>
            <w:tcW w:w="8284" w:type="dxa"/>
            <w:gridSpan w:val="6"/>
            <w:tcBorders>
              <w:top w:val="nil"/>
            </w:tcBorders>
            <w:vAlign w:val="bottom"/>
          </w:tcPr>
          <w:p w:rsidR="00DF7C18" w:rsidRDefault="00DF7C18" w:rsidP="00C55000">
            <w:pPr>
              <w:pStyle w:val="IASBTableArial"/>
            </w:pPr>
            <w:r>
              <w:rPr>
                <w:i/>
              </w:rPr>
              <w:t>To recognise the interest received on the hedged amount (CU19.2 million).</w:t>
            </w:r>
          </w:p>
        </w:tc>
      </w:tr>
      <w:tr w:rsidR="00DF7C18" w:rsidTr="00C55000">
        <w:trPr>
          <w:gridAfter w:val="1"/>
          <w:wAfter w:w="1820" w:type="dxa"/>
          <w:cantSplit/>
        </w:trPr>
        <w:tc>
          <w:tcPr>
            <w:tcW w:w="704" w:type="dxa"/>
            <w:tcBorders>
              <w:top w:val="nil"/>
            </w:tcBorders>
          </w:tcPr>
          <w:p w:rsidR="00DF7C18" w:rsidRDefault="00DF7C18" w:rsidP="00C55000">
            <w:pPr>
              <w:pStyle w:val="IASBTableArial"/>
            </w:pPr>
            <w:r>
              <w:t>Dr</w:t>
            </w:r>
          </w:p>
        </w:tc>
        <w:tc>
          <w:tcPr>
            <w:tcW w:w="3940" w:type="dxa"/>
            <w:gridSpan w:val="3"/>
            <w:tcBorders>
              <w:top w:val="nil"/>
              <w:left w:val="nil"/>
            </w:tcBorders>
            <w:vAlign w:val="bottom"/>
          </w:tcPr>
          <w:p w:rsidR="00DF7C18" w:rsidRDefault="00DF7C18" w:rsidP="00C55000">
            <w:pPr>
              <w:pStyle w:val="IASBTableArial"/>
            </w:pPr>
            <w:r>
              <w:t>Profit or loss (interest expense)</w:t>
            </w:r>
          </w:p>
        </w:tc>
        <w:tc>
          <w:tcPr>
            <w:tcW w:w="1820" w:type="dxa"/>
            <w:tcBorders>
              <w:top w:val="nil"/>
              <w:left w:val="nil"/>
            </w:tcBorders>
            <w:vAlign w:val="bottom"/>
          </w:tcPr>
          <w:p w:rsidR="00DF7C18" w:rsidRDefault="00DF7C18" w:rsidP="00C55000">
            <w:pPr>
              <w:pStyle w:val="IASBTableArial"/>
              <w:jc w:val="right"/>
            </w:pPr>
            <w:r>
              <w:t>CU179,268</w:t>
            </w:r>
          </w:p>
        </w:tc>
      </w:tr>
      <w:tr w:rsidR="00DF7C18" w:rsidTr="00C55000">
        <w:trPr>
          <w:cantSplit/>
        </w:trPr>
        <w:tc>
          <w:tcPr>
            <w:tcW w:w="704" w:type="dxa"/>
            <w:tcBorders>
              <w:top w:val="nil"/>
            </w:tcBorders>
            <w:vAlign w:val="bottom"/>
          </w:tcPr>
          <w:p w:rsidR="00DF7C18" w:rsidRDefault="00DF7C18" w:rsidP="00C55000">
            <w:pPr>
              <w:pStyle w:val="IASBTableArial"/>
            </w:pPr>
          </w:p>
        </w:tc>
        <w:tc>
          <w:tcPr>
            <w:tcW w:w="850" w:type="dxa"/>
            <w:gridSpan w:val="2"/>
            <w:tcBorders>
              <w:top w:val="nil"/>
              <w:left w:val="nil"/>
            </w:tcBorders>
            <w:vAlign w:val="bottom"/>
          </w:tcPr>
          <w:p w:rsidR="00DF7C18" w:rsidRDefault="00DF7C18" w:rsidP="00C55000">
            <w:pPr>
              <w:pStyle w:val="IASBTableArial"/>
            </w:pPr>
            <w:r>
              <w:t>Cr</w:t>
            </w:r>
          </w:p>
        </w:tc>
        <w:tc>
          <w:tcPr>
            <w:tcW w:w="3090" w:type="dxa"/>
            <w:tcBorders>
              <w:top w:val="nil"/>
              <w:left w:val="nil"/>
            </w:tcBorders>
            <w:vAlign w:val="bottom"/>
          </w:tcPr>
          <w:p w:rsidR="00DF7C18" w:rsidRDefault="00DF7C18" w:rsidP="00C55000">
            <w:pPr>
              <w:pStyle w:val="IASBTableArial"/>
            </w:pPr>
            <w:r>
              <w:t>Profit or loss (interest income)</w:t>
            </w:r>
          </w:p>
        </w:tc>
        <w:tc>
          <w:tcPr>
            <w:tcW w:w="1820" w:type="dxa"/>
            <w:tcBorders>
              <w:top w:val="nil"/>
              <w:left w:val="nil"/>
            </w:tcBorders>
            <w:vAlign w:val="bottom"/>
          </w:tcPr>
          <w:p w:rsidR="00DF7C18" w:rsidRDefault="00DF7C18" w:rsidP="00C55000">
            <w:pPr>
              <w:pStyle w:val="IASBTableArial"/>
            </w:pPr>
          </w:p>
        </w:tc>
        <w:tc>
          <w:tcPr>
            <w:tcW w:w="1820" w:type="dxa"/>
            <w:tcBorders>
              <w:top w:val="nil"/>
              <w:left w:val="nil"/>
            </w:tcBorders>
            <w:vAlign w:val="bottom"/>
          </w:tcPr>
          <w:p w:rsidR="00DF7C18" w:rsidRDefault="00DF7C18" w:rsidP="00C55000">
            <w:pPr>
              <w:pStyle w:val="IASBTableArial"/>
              <w:jc w:val="right"/>
            </w:pPr>
            <w:r>
              <w:t>CU179,268</w:t>
            </w:r>
          </w:p>
        </w:tc>
      </w:tr>
      <w:tr w:rsidR="00DF7C18" w:rsidTr="00C55000">
        <w:trPr>
          <w:cantSplit/>
        </w:trPr>
        <w:tc>
          <w:tcPr>
            <w:tcW w:w="704" w:type="dxa"/>
            <w:tcBorders>
              <w:top w:val="nil"/>
            </w:tcBorders>
            <w:vAlign w:val="bottom"/>
          </w:tcPr>
          <w:p w:rsidR="00DF7C18" w:rsidRDefault="00DF7C18" w:rsidP="00C55000">
            <w:pPr>
              <w:pStyle w:val="IASBTableArial"/>
            </w:pPr>
          </w:p>
        </w:tc>
        <w:tc>
          <w:tcPr>
            <w:tcW w:w="850" w:type="dxa"/>
            <w:gridSpan w:val="2"/>
            <w:tcBorders>
              <w:top w:val="nil"/>
              <w:left w:val="nil"/>
            </w:tcBorders>
            <w:vAlign w:val="bottom"/>
          </w:tcPr>
          <w:p w:rsidR="00DF7C18" w:rsidRDefault="00DF7C18" w:rsidP="00C55000">
            <w:pPr>
              <w:pStyle w:val="IASBTableArial"/>
            </w:pPr>
            <w:r>
              <w:t>Cr</w:t>
            </w:r>
          </w:p>
        </w:tc>
        <w:tc>
          <w:tcPr>
            <w:tcW w:w="3090" w:type="dxa"/>
            <w:tcBorders>
              <w:top w:val="nil"/>
              <w:left w:val="nil"/>
            </w:tcBorders>
            <w:vAlign w:val="bottom"/>
          </w:tcPr>
          <w:p w:rsidR="00DF7C18" w:rsidRDefault="00DF7C18" w:rsidP="00C55000">
            <w:pPr>
              <w:pStyle w:val="IASBTableArial"/>
            </w:pPr>
            <w:r>
              <w:t>Cash</w:t>
            </w:r>
          </w:p>
        </w:tc>
        <w:tc>
          <w:tcPr>
            <w:tcW w:w="1820" w:type="dxa"/>
            <w:tcBorders>
              <w:top w:val="nil"/>
              <w:left w:val="nil"/>
            </w:tcBorders>
            <w:vAlign w:val="bottom"/>
          </w:tcPr>
          <w:p w:rsidR="00DF7C18" w:rsidRDefault="00DF7C18" w:rsidP="00C55000">
            <w:pPr>
              <w:pStyle w:val="IASBTableArial"/>
            </w:pPr>
          </w:p>
        </w:tc>
        <w:tc>
          <w:tcPr>
            <w:tcW w:w="1820" w:type="dxa"/>
            <w:tcBorders>
              <w:top w:val="nil"/>
              <w:left w:val="nil"/>
            </w:tcBorders>
            <w:vAlign w:val="bottom"/>
          </w:tcPr>
          <w:p w:rsidR="00DF7C18" w:rsidRDefault="00DF7C18" w:rsidP="00C55000">
            <w:pPr>
              <w:pStyle w:val="IASBTableArial"/>
              <w:jc w:val="right"/>
            </w:pPr>
            <w:r>
              <w:t>Nil</w:t>
            </w:r>
          </w:p>
        </w:tc>
      </w:tr>
      <w:tr w:rsidR="00DF7C18" w:rsidTr="00C55000">
        <w:trPr>
          <w:cantSplit/>
        </w:trPr>
        <w:tc>
          <w:tcPr>
            <w:tcW w:w="8284" w:type="dxa"/>
            <w:gridSpan w:val="6"/>
            <w:tcBorders>
              <w:top w:val="nil"/>
            </w:tcBorders>
            <w:vAlign w:val="bottom"/>
          </w:tcPr>
          <w:p w:rsidR="00DF7C18" w:rsidRDefault="00DF7C18" w:rsidP="00C55000">
            <w:pPr>
              <w:pStyle w:val="IASBTableArial"/>
            </w:pPr>
            <w:r>
              <w:rPr>
                <w:i/>
              </w:rPr>
              <w:t>To recognise the interest received and paid on the swap designated as the hedging instrument.</w:t>
            </w:r>
          </w:p>
        </w:tc>
      </w:tr>
      <w:tr w:rsidR="00DF7C18" w:rsidTr="00C55000">
        <w:trPr>
          <w:gridAfter w:val="1"/>
          <w:wAfter w:w="1820" w:type="dxa"/>
          <w:cantSplit/>
        </w:trPr>
        <w:tc>
          <w:tcPr>
            <w:tcW w:w="704" w:type="dxa"/>
            <w:tcBorders>
              <w:top w:val="nil"/>
            </w:tcBorders>
          </w:tcPr>
          <w:p w:rsidR="00DF7C18" w:rsidRDefault="00DF7C18" w:rsidP="00C55000">
            <w:pPr>
              <w:pStyle w:val="IASBTableArial"/>
            </w:pPr>
            <w:r>
              <w:t>Dr</w:t>
            </w:r>
          </w:p>
        </w:tc>
        <w:tc>
          <w:tcPr>
            <w:tcW w:w="3940" w:type="dxa"/>
            <w:gridSpan w:val="3"/>
            <w:tcBorders>
              <w:top w:val="nil"/>
              <w:left w:val="nil"/>
            </w:tcBorders>
            <w:vAlign w:val="bottom"/>
          </w:tcPr>
          <w:p w:rsidR="00DF7C18" w:rsidRDefault="00DF7C18" w:rsidP="00C55000">
            <w:pPr>
              <w:pStyle w:val="IASBTableArial"/>
            </w:pPr>
            <w:r>
              <w:t>Profit or loss (loss)</w:t>
            </w:r>
          </w:p>
        </w:tc>
        <w:tc>
          <w:tcPr>
            <w:tcW w:w="1820" w:type="dxa"/>
            <w:tcBorders>
              <w:top w:val="nil"/>
              <w:left w:val="nil"/>
            </w:tcBorders>
            <w:vAlign w:val="bottom"/>
          </w:tcPr>
          <w:p w:rsidR="00DF7C18" w:rsidRDefault="00DF7C18" w:rsidP="00C55000">
            <w:pPr>
              <w:pStyle w:val="IASBTableArial"/>
              <w:jc w:val="right"/>
            </w:pPr>
            <w:r>
              <w:t>CU47,408</w:t>
            </w:r>
          </w:p>
        </w:tc>
      </w:tr>
      <w:tr w:rsidR="00DF7C18" w:rsidTr="00C55000">
        <w:trPr>
          <w:cantSplit/>
        </w:trPr>
        <w:tc>
          <w:tcPr>
            <w:tcW w:w="704" w:type="dxa"/>
            <w:tcBorders>
              <w:top w:val="nil"/>
            </w:tcBorders>
            <w:vAlign w:val="bottom"/>
          </w:tcPr>
          <w:p w:rsidR="00DF7C18" w:rsidRDefault="00DF7C18" w:rsidP="00C55000">
            <w:pPr>
              <w:pStyle w:val="IASBTableArial"/>
            </w:pPr>
          </w:p>
        </w:tc>
        <w:tc>
          <w:tcPr>
            <w:tcW w:w="567" w:type="dxa"/>
            <w:tcBorders>
              <w:top w:val="nil"/>
              <w:left w:val="nil"/>
            </w:tcBorders>
            <w:vAlign w:val="bottom"/>
          </w:tcPr>
          <w:p w:rsidR="00DF7C18" w:rsidRDefault="00DF7C18" w:rsidP="00C55000">
            <w:pPr>
              <w:pStyle w:val="IASBTableArial"/>
            </w:pPr>
            <w:r>
              <w:t>Cr</w:t>
            </w:r>
          </w:p>
        </w:tc>
        <w:tc>
          <w:tcPr>
            <w:tcW w:w="3373" w:type="dxa"/>
            <w:gridSpan w:val="2"/>
            <w:tcBorders>
              <w:top w:val="nil"/>
              <w:left w:val="nil"/>
            </w:tcBorders>
            <w:vAlign w:val="bottom"/>
          </w:tcPr>
          <w:p w:rsidR="00DF7C18" w:rsidRDefault="00DF7C18" w:rsidP="00C55000">
            <w:pPr>
              <w:pStyle w:val="IASBTableArial"/>
            </w:pPr>
            <w:r>
              <w:t>Derivative liability</w:t>
            </w:r>
          </w:p>
        </w:tc>
        <w:tc>
          <w:tcPr>
            <w:tcW w:w="1820" w:type="dxa"/>
            <w:tcBorders>
              <w:top w:val="nil"/>
              <w:left w:val="nil"/>
            </w:tcBorders>
            <w:vAlign w:val="bottom"/>
          </w:tcPr>
          <w:p w:rsidR="00DF7C18" w:rsidRDefault="00DF7C18" w:rsidP="00C55000">
            <w:pPr>
              <w:pStyle w:val="IASBTableArial"/>
            </w:pPr>
          </w:p>
        </w:tc>
        <w:tc>
          <w:tcPr>
            <w:tcW w:w="1820" w:type="dxa"/>
            <w:tcBorders>
              <w:top w:val="nil"/>
              <w:left w:val="nil"/>
            </w:tcBorders>
            <w:vAlign w:val="bottom"/>
          </w:tcPr>
          <w:p w:rsidR="00DF7C18" w:rsidRDefault="00DF7C18" w:rsidP="00C55000">
            <w:pPr>
              <w:pStyle w:val="IASBTableArial"/>
              <w:jc w:val="right"/>
            </w:pPr>
            <w:r>
              <w:t>CU47,408</w:t>
            </w:r>
          </w:p>
        </w:tc>
      </w:tr>
      <w:tr w:rsidR="00DF7C18" w:rsidTr="00C55000">
        <w:trPr>
          <w:cantSplit/>
        </w:trPr>
        <w:tc>
          <w:tcPr>
            <w:tcW w:w="8284" w:type="dxa"/>
            <w:gridSpan w:val="6"/>
            <w:tcBorders>
              <w:top w:val="nil"/>
            </w:tcBorders>
            <w:vAlign w:val="bottom"/>
          </w:tcPr>
          <w:p w:rsidR="00DF7C18" w:rsidRPr="00EE6CA5" w:rsidRDefault="00DF7C18" w:rsidP="00EE6CA5">
            <w:pPr>
              <w:pStyle w:val="IASBTableArial"/>
              <w:rPr>
                <w:i/>
              </w:rPr>
            </w:pPr>
            <w:r w:rsidRPr="00EE6CA5">
              <w:rPr>
                <w:i/>
              </w:rPr>
              <w:t>To recognise the change in the fair value of the swap.</w:t>
            </w:r>
          </w:p>
        </w:tc>
      </w:tr>
      <w:tr w:rsidR="00DF7C18" w:rsidTr="00C55000">
        <w:trPr>
          <w:gridAfter w:val="1"/>
          <w:wAfter w:w="1820" w:type="dxa"/>
          <w:cantSplit/>
        </w:trPr>
        <w:tc>
          <w:tcPr>
            <w:tcW w:w="704" w:type="dxa"/>
            <w:tcBorders>
              <w:top w:val="nil"/>
            </w:tcBorders>
          </w:tcPr>
          <w:p w:rsidR="00DF7C18" w:rsidRDefault="00DF7C18" w:rsidP="00C55000">
            <w:pPr>
              <w:pStyle w:val="IASBTableArial"/>
            </w:pPr>
            <w:r>
              <w:t>Dr</w:t>
            </w:r>
          </w:p>
        </w:tc>
        <w:tc>
          <w:tcPr>
            <w:tcW w:w="3940" w:type="dxa"/>
            <w:gridSpan w:val="3"/>
            <w:tcBorders>
              <w:top w:val="nil"/>
              <w:left w:val="nil"/>
            </w:tcBorders>
            <w:vAlign w:val="bottom"/>
          </w:tcPr>
          <w:p w:rsidR="00DF7C18" w:rsidRDefault="00DF7C18" w:rsidP="00C55000">
            <w:pPr>
              <w:pStyle w:val="IASBTableArial"/>
            </w:pPr>
            <w:r>
              <w:t>Separate line item in the statement of financial position</w:t>
            </w:r>
          </w:p>
        </w:tc>
        <w:tc>
          <w:tcPr>
            <w:tcW w:w="1820" w:type="dxa"/>
            <w:tcBorders>
              <w:top w:val="nil"/>
              <w:left w:val="nil"/>
            </w:tcBorders>
            <w:vAlign w:val="bottom"/>
          </w:tcPr>
          <w:p w:rsidR="00DF7C18" w:rsidRDefault="00DF7C18" w:rsidP="00C55000">
            <w:pPr>
              <w:pStyle w:val="IASBTableArial"/>
              <w:jc w:val="right"/>
            </w:pPr>
            <w:r>
              <w:t>CU45,511</w:t>
            </w:r>
          </w:p>
        </w:tc>
      </w:tr>
      <w:tr w:rsidR="00DF7C18" w:rsidTr="00C55000">
        <w:trPr>
          <w:cantSplit/>
        </w:trPr>
        <w:tc>
          <w:tcPr>
            <w:tcW w:w="704" w:type="dxa"/>
            <w:tcBorders>
              <w:top w:val="nil"/>
            </w:tcBorders>
            <w:vAlign w:val="bottom"/>
          </w:tcPr>
          <w:p w:rsidR="00DF7C18" w:rsidRDefault="00DF7C18" w:rsidP="00C55000">
            <w:pPr>
              <w:pStyle w:val="IASBTableArial"/>
            </w:pPr>
          </w:p>
        </w:tc>
        <w:tc>
          <w:tcPr>
            <w:tcW w:w="567" w:type="dxa"/>
            <w:tcBorders>
              <w:top w:val="nil"/>
              <w:left w:val="nil"/>
            </w:tcBorders>
            <w:vAlign w:val="bottom"/>
          </w:tcPr>
          <w:p w:rsidR="00DF7C18" w:rsidRDefault="00DF7C18" w:rsidP="00C55000">
            <w:pPr>
              <w:pStyle w:val="IASBTableArial"/>
            </w:pPr>
            <w:r>
              <w:t>Cr</w:t>
            </w:r>
          </w:p>
        </w:tc>
        <w:tc>
          <w:tcPr>
            <w:tcW w:w="3373" w:type="dxa"/>
            <w:gridSpan w:val="2"/>
            <w:tcBorders>
              <w:top w:val="nil"/>
              <w:left w:val="nil"/>
            </w:tcBorders>
            <w:vAlign w:val="bottom"/>
          </w:tcPr>
          <w:p w:rsidR="00DF7C18" w:rsidRDefault="00DF7C18" w:rsidP="00C55000">
            <w:pPr>
              <w:pStyle w:val="IASBTableArial"/>
            </w:pPr>
            <w:r>
              <w:t>Profit or loss (gain)</w:t>
            </w:r>
          </w:p>
        </w:tc>
        <w:tc>
          <w:tcPr>
            <w:tcW w:w="1820" w:type="dxa"/>
            <w:tcBorders>
              <w:top w:val="nil"/>
              <w:left w:val="nil"/>
            </w:tcBorders>
            <w:vAlign w:val="bottom"/>
          </w:tcPr>
          <w:p w:rsidR="00DF7C18" w:rsidRDefault="00DF7C18" w:rsidP="00C55000">
            <w:pPr>
              <w:pStyle w:val="IASBTableArial"/>
            </w:pPr>
          </w:p>
        </w:tc>
        <w:tc>
          <w:tcPr>
            <w:tcW w:w="1820" w:type="dxa"/>
            <w:tcBorders>
              <w:top w:val="nil"/>
              <w:left w:val="nil"/>
            </w:tcBorders>
            <w:vAlign w:val="bottom"/>
          </w:tcPr>
          <w:p w:rsidR="00DF7C18" w:rsidRDefault="00DF7C18" w:rsidP="00C55000">
            <w:pPr>
              <w:pStyle w:val="IASBTableArial"/>
              <w:jc w:val="right"/>
            </w:pPr>
            <w:r>
              <w:t>CU45,511</w:t>
            </w:r>
          </w:p>
        </w:tc>
      </w:tr>
      <w:tr w:rsidR="00DF7C18" w:rsidTr="00C55000">
        <w:trPr>
          <w:cantSplit/>
        </w:trPr>
        <w:tc>
          <w:tcPr>
            <w:tcW w:w="8284" w:type="dxa"/>
            <w:gridSpan w:val="6"/>
            <w:tcBorders>
              <w:top w:val="nil"/>
            </w:tcBorders>
            <w:vAlign w:val="bottom"/>
          </w:tcPr>
          <w:p w:rsidR="00DF7C18" w:rsidRPr="00AC5287" w:rsidRDefault="00DF7C18" w:rsidP="00AC5287">
            <w:pPr>
              <w:pStyle w:val="IASBTableArial"/>
              <w:rPr>
                <w:i/>
              </w:rPr>
            </w:pPr>
            <w:r w:rsidRPr="00AC5287">
              <w:rPr>
                <w:i/>
              </w:rPr>
              <w:t>To recognise the change in the fair value of the hedged amount.</w:t>
            </w:r>
          </w:p>
        </w:tc>
      </w:tr>
      <w:tr w:rsidR="00DF7C18" w:rsidTr="00C55000">
        <w:trPr>
          <w:cantSplit/>
        </w:trPr>
        <w:tc>
          <w:tcPr>
            <w:tcW w:w="8284" w:type="dxa"/>
            <w:gridSpan w:val="6"/>
            <w:tcBorders>
              <w:top w:val="nil"/>
            </w:tcBorders>
            <w:vAlign w:val="bottom"/>
          </w:tcPr>
          <w:p w:rsidR="00DF7C18" w:rsidRDefault="00DF7C18" w:rsidP="00AC5287">
            <w:pPr>
              <w:pStyle w:val="IASBTableTNR"/>
              <w:ind w:left="397" w:hanging="397"/>
            </w:pPr>
            <w:r>
              <w:rPr>
                <w:rStyle w:val="FootnoteReference"/>
                <w:sz w:val="16"/>
                <w:vertAlign w:val="baseline"/>
              </w:rPr>
              <w:t>(a)</w:t>
            </w:r>
            <w:r>
              <w:rPr>
                <w:rStyle w:val="FootnoteReference"/>
                <w:sz w:val="16"/>
                <w:vertAlign w:val="baseline"/>
              </w:rPr>
              <w:tab/>
              <w:t>This example does not show how amounts of interest income and interest expense are calculated.</w:t>
            </w:r>
          </w:p>
        </w:tc>
      </w:tr>
    </w:tbl>
    <w:p w:rsidR="00DF7C18" w:rsidRDefault="00DF7C18" w:rsidP="00DF7C18">
      <w:pPr>
        <w:pStyle w:val="IASBNormalnpara"/>
      </w:pPr>
    </w:p>
    <w:p w:rsidR="00DF7C18" w:rsidRDefault="00DF7C18" w:rsidP="00DF7C18">
      <w:pPr>
        <w:pStyle w:val="IASBNormalnpara"/>
      </w:pPr>
      <w:r>
        <w:t>IE15</w:t>
      </w:r>
      <w:r>
        <w:tab/>
        <w:t>The net result on profit or loss (excluding interest income and interest expense) is to recognise a loss of (CU1,897). This represents ineffectiveness in the hedging relationship that arises from the change in estimated prepayment dates.</w:t>
      </w:r>
    </w:p>
    <w:p w:rsidR="00DF7C18" w:rsidRDefault="00DF7C18" w:rsidP="00DF7C18">
      <w:pPr>
        <w:pStyle w:val="IASBNormalnpara"/>
      </w:pPr>
      <w:r>
        <w:tab/>
      </w:r>
      <w:r>
        <w:rPr>
          <w:b/>
        </w:rPr>
        <w:t>Beginning of month 2</w:t>
      </w:r>
    </w:p>
    <w:p w:rsidR="00DF7C18" w:rsidRDefault="00DF7C18" w:rsidP="00DF7C18">
      <w:pPr>
        <w:pStyle w:val="IASBNormalnpara"/>
      </w:pPr>
      <w:r>
        <w:t>IE16</w:t>
      </w:r>
      <w:r>
        <w:tab/>
        <w:t>On 1 February 20X1 Entity A sells a proportion of the assets in the various time periods. Entity A calculates that it has sold 8</w:t>
      </w:r>
      <w:r>
        <w:rPr>
          <w:vertAlign w:val="superscript"/>
        </w:rPr>
        <w:t>1</w:t>
      </w:r>
      <w:r>
        <w:t>/</w:t>
      </w:r>
      <w:r>
        <w:rPr>
          <w:vertAlign w:val="subscript"/>
        </w:rPr>
        <w:t>3</w:t>
      </w:r>
      <w:r>
        <w:t xml:space="preserve"> per cent of the entire portfolio of assets. Because the assets were allocated into time periods by allocating a percentage of the assets (rather than individual assets) into each time period, Entity A determines that it cannot ascertain into which specific time periods the sold assets were scheduled. Hence it uses a systematic and rational basis of allocation. Based on the fact that it sold a representative selection of the assets in the portfolio, Entity A allocates the sale proportionately over all time periods.</w:t>
      </w:r>
    </w:p>
    <w:p w:rsidR="00DF7C18" w:rsidRDefault="00DF7C18" w:rsidP="00DF7C18">
      <w:pPr>
        <w:pStyle w:val="IASBNormalnpara"/>
      </w:pPr>
      <w:r>
        <w:t>IE17</w:t>
      </w:r>
      <w:r>
        <w:tab/>
        <w:t>On this basis, Entity A computes that it has sold 8</w:t>
      </w:r>
      <w:r>
        <w:rPr>
          <w:vertAlign w:val="superscript"/>
        </w:rPr>
        <w:t>1</w:t>
      </w:r>
      <w:r>
        <w:t>/</w:t>
      </w:r>
      <w:r>
        <w:rPr>
          <w:vertAlign w:val="subscript"/>
        </w:rPr>
        <w:t>3</w:t>
      </w:r>
      <w:r>
        <w:t xml:space="preserve"> per cent of the assets allocated to the three-month time period, </w:t>
      </w:r>
      <w:proofErr w:type="spellStart"/>
      <w:r>
        <w:t>ie</w:t>
      </w:r>
      <w:proofErr w:type="spellEnd"/>
      <w:r>
        <w:t xml:space="preserve"> CU8 million (8</w:t>
      </w:r>
      <w:r>
        <w:rPr>
          <w:vertAlign w:val="superscript"/>
        </w:rPr>
        <w:t>1</w:t>
      </w:r>
      <w:r>
        <w:t>/</w:t>
      </w:r>
      <w:r>
        <w:rPr>
          <w:vertAlign w:val="subscript"/>
        </w:rPr>
        <w:t>3</w:t>
      </w:r>
      <w:r>
        <w:t xml:space="preserve"> per cent of CU96 million). The proceeds received are CU8,018,400, equal to the fair value of the assets.</w:t>
      </w:r>
      <w:r w:rsidRPr="005C6676">
        <w:rPr>
          <w:rStyle w:val="FootnoteReference"/>
        </w:rPr>
        <w:footnoteReference w:id="12"/>
      </w:r>
      <w:r w:rsidR="005037CA">
        <w:t xml:space="preserve"> </w:t>
      </w:r>
      <w:r>
        <w:t xml:space="preserve">On </w:t>
      </w:r>
      <w:proofErr w:type="spellStart"/>
      <w:r>
        <w:t>derecognition</w:t>
      </w:r>
      <w:proofErr w:type="spellEnd"/>
      <w:r>
        <w:t xml:space="preserve"> of the assets, Entity A also removes from the separate line item in the statement of financial position an amount that represents the change in the fair value of the hedged assets that it has now sold. This is 8</w:t>
      </w:r>
      <w:r>
        <w:rPr>
          <w:vertAlign w:val="superscript"/>
        </w:rPr>
        <w:t>1</w:t>
      </w:r>
      <w:r>
        <w:t>/</w:t>
      </w:r>
      <w:r>
        <w:rPr>
          <w:vertAlign w:val="subscript"/>
        </w:rPr>
        <w:t>3</w:t>
      </w:r>
      <w:r>
        <w:t xml:space="preserve"> per cent of the total line item balance of CU45,511, </w:t>
      </w:r>
      <w:proofErr w:type="spellStart"/>
      <w:r>
        <w:t>ie</w:t>
      </w:r>
      <w:proofErr w:type="spellEnd"/>
      <w:r>
        <w:t xml:space="preserve"> CU3,793.</w:t>
      </w:r>
    </w:p>
    <w:p w:rsidR="00DF7C18" w:rsidRDefault="00DF7C18" w:rsidP="00DF7C18">
      <w:pPr>
        <w:pStyle w:val="IASBNormalnpara"/>
      </w:pPr>
      <w:r>
        <w:t>IE18</w:t>
      </w:r>
      <w:r>
        <w:tab/>
        <w:t>Entity A makes the following accounting entries to recognise the sale of the asset and the removal of part of the balance in the separate line item in the statement of financial position:</w:t>
      </w:r>
    </w:p>
    <w:p w:rsidR="00DF7C18" w:rsidRDefault="00DF7C18" w:rsidP="00DF7C18">
      <w:pPr>
        <w:pStyle w:val="IASBNormalnpara"/>
      </w:pPr>
    </w:p>
    <w:tbl>
      <w:tblPr>
        <w:tblW w:w="8284" w:type="dxa"/>
        <w:tblInd w:w="964" w:type="dxa"/>
        <w:tblLayout w:type="fixed"/>
        <w:tblLook w:val="0000" w:firstRow="0" w:lastRow="0" w:firstColumn="0" w:lastColumn="0" w:noHBand="0" w:noVBand="0"/>
        <w:tblCaption w:val="AASB 139 Table 4"/>
      </w:tblPr>
      <w:tblGrid>
        <w:gridCol w:w="704"/>
        <w:gridCol w:w="567"/>
        <w:gridCol w:w="4252"/>
        <w:gridCol w:w="1418"/>
        <w:gridCol w:w="1343"/>
      </w:tblGrid>
      <w:tr w:rsidR="00DF7C18" w:rsidTr="00C55000">
        <w:trPr>
          <w:gridAfter w:val="1"/>
          <w:wAfter w:w="1343" w:type="dxa"/>
          <w:cantSplit/>
        </w:trPr>
        <w:tc>
          <w:tcPr>
            <w:tcW w:w="704" w:type="dxa"/>
            <w:vAlign w:val="bottom"/>
          </w:tcPr>
          <w:p w:rsidR="00DF7C18" w:rsidRDefault="00DF7C18" w:rsidP="00C55000">
            <w:pPr>
              <w:pStyle w:val="IASBTableArial"/>
            </w:pPr>
            <w:r>
              <w:t>Dr</w:t>
            </w:r>
          </w:p>
        </w:tc>
        <w:tc>
          <w:tcPr>
            <w:tcW w:w="4819" w:type="dxa"/>
            <w:gridSpan w:val="2"/>
            <w:tcBorders>
              <w:left w:val="nil"/>
            </w:tcBorders>
          </w:tcPr>
          <w:p w:rsidR="00DF7C18" w:rsidRDefault="00DF7C18" w:rsidP="00C55000">
            <w:pPr>
              <w:pStyle w:val="IASBTableArial"/>
            </w:pPr>
            <w:r>
              <w:t>Cash</w:t>
            </w:r>
          </w:p>
        </w:tc>
        <w:tc>
          <w:tcPr>
            <w:tcW w:w="1418" w:type="dxa"/>
            <w:tcBorders>
              <w:left w:val="nil"/>
            </w:tcBorders>
            <w:vAlign w:val="bottom"/>
          </w:tcPr>
          <w:p w:rsidR="00DF7C18" w:rsidRDefault="00DF7C18" w:rsidP="00C55000">
            <w:pPr>
              <w:pStyle w:val="IASBTableArial"/>
              <w:jc w:val="right"/>
            </w:pPr>
            <w:r>
              <w:t>CU8,018,400</w:t>
            </w:r>
          </w:p>
        </w:tc>
      </w:tr>
      <w:tr w:rsidR="00DF7C18" w:rsidTr="00C55000">
        <w:trPr>
          <w:cantSplit/>
        </w:trPr>
        <w:tc>
          <w:tcPr>
            <w:tcW w:w="704" w:type="dxa"/>
            <w:tcBorders>
              <w:top w:val="nil"/>
            </w:tcBorders>
            <w:vAlign w:val="bottom"/>
          </w:tcPr>
          <w:p w:rsidR="00DF7C18" w:rsidRDefault="00DF7C18" w:rsidP="00C55000">
            <w:pPr>
              <w:pStyle w:val="IASBTableArial"/>
            </w:pPr>
          </w:p>
        </w:tc>
        <w:tc>
          <w:tcPr>
            <w:tcW w:w="567" w:type="dxa"/>
            <w:tcBorders>
              <w:top w:val="nil"/>
              <w:left w:val="nil"/>
            </w:tcBorders>
          </w:tcPr>
          <w:p w:rsidR="00DF7C18" w:rsidRDefault="00DF7C18" w:rsidP="00C55000">
            <w:pPr>
              <w:pStyle w:val="IASBTableArial"/>
            </w:pPr>
            <w:r>
              <w:t>Cr</w:t>
            </w:r>
          </w:p>
        </w:tc>
        <w:tc>
          <w:tcPr>
            <w:tcW w:w="4252" w:type="dxa"/>
            <w:tcBorders>
              <w:top w:val="nil"/>
              <w:left w:val="nil"/>
            </w:tcBorders>
          </w:tcPr>
          <w:p w:rsidR="00DF7C18" w:rsidRDefault="00DF7C18" w:rsidP="00C55000">
            <w:pPr>
              <w:pStyle w:val="IASBTableArial"/>
            </w:pPr>
            <w:r>
              <w:t>Asset</w:t>
            </w:r>
          </w:p>
        </w:tc>
        <w:tc>
          <w:tcPr>
            <w:tcW w:w="1418" w:type="dxa"/>
            <w:tcBorders>
              <w:top w:val="nil"/>
              <w:left w:val="nil"/>
            </w:tcBorders>
            <w:vAlign w:val="bottom"/>
          </w:tcPr>
          <w:p w:rsidR="00DF7C18" w:rsidRDefault="00DF7C18" w:rsidP="00C55000">
            <w:pPr>
              <w:pStyle w:val="IASBTableArial"/>
            </w:pPr>
          </w:p>
        </w:tc>
        <w:tc>
          <w:tcPr>
            <w:tcW w:w="1343" w:type="dxa"/>
            <w:tcBorders>
              <w:top w:val="nil"/>
              <w:left w:val="nil"/>
            </w:tcBorders>
            <w:vAlign w:val="bottom"/>
          </w:tcPr>
          <w:p w:rsidR="00DF7C18" w:rsidRDefault="00DF7C18" w:rsidP="00C55000">
            <w:pPr>
              <w:pStyle w:val="IASBTableArial"/>
              <w:jc w:val="right"/>
            </w:pPr>
            <w:r>
              <w:t>CU8,000,000</w:t>
            </w:r>
          </w:p>
        </w:tc>
      </w:tr>
      <w:tr w:rsidR="00DF7C18" w:rsidTr="00C55000">
        <w:trPr>
          <w:cantSplit/>
        </w:trPr>
        <w:tc>
          <w:tcPr>
            <w:tcW w:w="704" w:type="dxa"/>
            <w:tcBorders>
              <w:top w:val="nil"/>
            </w:tcBorders>
            <w:vAlign w:val="bottom"/>
          </w:tcPr>
          <w:p w:rsidR="00DF7C18" w:rsidRDefault="00DF7C18" w:rsidP="00C55000">
            <w:pPr>
              <w:pStyle w:val="IASBTableArial"/>
            </w:pPr>
          </w:p>
        </w:tc>
        <w:tc>
          <w:tcPr>
            <w:tcW w:w="567" w:type="dxa"/>
            <w:tcBorders>
              <w:top w:val="nil"/>
              <w:left w:val="nil"/>
            </w:tcBorders>
          </w:tcPr>
          <w:p w:rsidR="00DF7C18" w:rsidRDefault="00DF7C18" w:rsidP="00C55000">
            <w:pPr>
              <w:pStyle w:val="IASBTableArial"/>
            </w:pPr>
            <w:r>
              <w:t>Cr</w:t>
            </w:r>
          </w:p>
        </w:tc>
        <w:tc>
          <w:tcPr>
            <w:tcW w:w="4252" w:type="dxa"/>
            <w:tcBorders>
              <w:top w:val="nil"/>
              <w:left w:val="nil"/>
            </w:tcBorders>
          </w:tcPr>
          <w:p w:rsidR="00DF7C18" w:rsidRDefault="00DF7C18" w:rsidP="00C55000">
            <w:pPr>
              <w:pStyle w:val="IASBTableArial"/>
            </w:pPr>
            <w:r>
              <w:t>Separate line item in the statement of financial position</w:t>
            </w:r>
          </w:p>
        </w:tc>
        <w:tc>
          <w:tcPr>
            <w:tcW w:w="1418" w:type="dxa"/>
            <w:tcBorders>
              <w:top w:val="nil"/>
              <w:left w:val="nil"/>
            </w:tcBorders>
            <w:vAlign w:val="bottom"/>
          </w:tcPr>
          <w:p w:rsidR="00DF7C18" w:rsidRDefault="00DF7C18" w:rsidP="00C55000">
            <w:pPr>
              <w:pStyle w:val="IASBTableArial"/>
            </w:pPr>
          </w:p>
        </w:tc>
        <w:tc>
          <w:tcPr>
            <w:tcW w:w="1343" w:type="dxa"/>
            <w:tcBorders>
              <w:top w:val="nil"/>
              <w:left w:val="nil"/>
            </w:tcBorders>
            <w:vAlign w:val="bottom"/>
          </w:tcPr>
          <w:p w:rsidR="00DF7C18" w:rsidRDefault="00DF7C18" w:rsidP="00C55000">
            <w:pPr>
              <w:pStyle w:val="IASBTableArial"/>
              <w:jc w:val="right"/>
            </w:pPr>
            <w:r>
              <w:t>CU3,793</w:t>
            </w:r>
          </w:p>
        </w:tc>
      </w:tr>
      <w:tr w:rsidR="00DF7C18" w:rsidTr="00C55000">
        <w:trPr>
          <w:cantSplit/>
        </w:trPr>
        <w:tc>
          <w:tcPr>
            <w:tcW w:w="704" w:type="dxa"/>
            <w:tcBorders>
              <w:top w:val="nil"/>
            </w:tcBorders>
            <w:vAlign w:val="bottom"/>
          </w:tcPr>
          <w:p w:rsidR="00DF7C18" w:rsidRDefault="00DF7C18" w:rsidP="00C55000">
            <w:pPr>
              <w:pStyle w:val="IASBTableArial"/>
            </w:pPr>
          </w:p>
        </w:tc>
        <w:tc>
          <w:tcPr>
            <w:tcW w:w="567" w:type="dxa"/>
            <w:tcBorders>
              <w:top w:val="nil"/>
              <w:left w:val="nil"/>
            </w:tcBorders>
          </w:tcPr>
          <w:p w:rsidR="00DF7C18" w:rsidRDefault="00DF7C18" w:rsidP="00C55000">
            <w:pPr>
              <w:pStyle w:val="IASBTableArial"/>
            </w:pPr>
            <w:r>
              <w:t>Cr</w:t>
            </w:r>
          </w:p>
        </w:tc>
        <w:tc>
          <w:tcPr>
            <w:tcW w:w="4252" w:type="dxa"/>
            <w:tcBorders>
              <w:top w:val="nil"/>
              <w:left w:val="nil"/>
            </w:tcBorders>
          </w:tcPr>
          <w:p w:rsidR="00DF7C18" w:rsidRDefault="00DF7C18" w:rsidP="00C55000">
            <w:pPr>
              <w:pStyle w:val="IASBTableArial"/>
            </w:pPr>
            <w:r>
              <w:t>Profit or loss (gain)</w:t>
            </w:r>
          </w:p>
        </w:tc>
        <w:tc>
          <w:tcPr>
            <w:tcW w:w="1418" w:type="dxa"/>
            <w:tcBorders>
              <w:top w:val="nil"/>
              <w:left w:val="nil"/>
            </w:tcBorders>
            <w:vAlign w:val="bottom"/>
          </w:tcPr>
          <w:p w:rsidR="00DF7C18" w:rsidRDefault="00DF7C18" w:rsidP="00C55000">
            <w:pPr>
              <w:pStyle w:val="IASBTableArial"/>
            </w:pPr>
          </w:p>
        </w:tc>
        <w:tc>
          <w:tcPr>
            <w:tcW w:w="1343" w:type="dxa"/>
            <w:tcBorders>
              <w:top w:val="nil"/>
              <w:left w:val="nil"/>
            </w:tcBorders>
            <w:vAlign w:val="bottom"/>
          </w:tcPr>
          <w:p w:rsidR="00DF7C18" w:rsidRDefault="00DF7C18" w:rsidP="00C55000">
            <w:pPr>
              <w:pStyle w:val="IASBTableArial"/>
              <w:jc w:val="right"/>
            </w:pPr>
            <w:r>
              <w:t>CU14,607</w:t>
            </w:r>
          </w:p>
        </w:tc>
      </w:tr>
      <w:tr w:rsidR="00DF7C18" w:rsidTr="00C55000">
        <w:trPr>
          <w:cantSplit/>
        </w:trPr>
        <w:tc>
          <w:tcPr>
            <w:tcW w:w="8284" w:type="dxa"/>
            <w:gridSpan w:val="5"/>
            <w:tcBorders>
              <w:top w:val="nil"/>
            </w:tcBorders>
            <w:vAlign w:val="bottom"/>
          </w:tcPr>
          <w:p w:rsidR="00DF7C18" w:rsidRDefault="00DF7C18" w:rsidP="00C55000">
            <w:pPr>
              <w:pStyle w:val="IASBTableArial"/>
            </w:pPr>
            <w:r>
              <w:rPr>
                <w:i/>
              </w:rPr>
              <w:t>To recognise the sale of the asset at fair value and to recognise a gain on sale.</w:t>
            </w:r>
          </w:p>
        </w:tc>
      </w:tr>
    </w:tbl>
    <w:p w:rsidR="00DF7C18" w:rsidRDefault="00DF7C18" w:rsidP="00DF7C18">
      <w:pPr>
        <w:pStyle w:val="IASBNormalnpara"/>
      </w:pPr>
    </w:p>
    <w:p w:rsidR="00DF7C18" w:rsidRDefault="00DF7C18" w:rsidP="00DF7C18">
      <w:pPr>
        <w:pStyle w:val="IASBNormalnparaP"/>
      </w:pPr>
      <w:r>
        <w:t>Because the change in the amount of the assets is not attributable to a change in the hedged interest rate no ineffectiveness arises.</w:t>
      </w:r>
    </w:p>
    <w:p w:rsidR="00DF7C18" w:rsidRDefault="00DF7C18" w:rsidP="00DF7C18">
      <w:pPr>
        <w:pStyle w:val="IASBNormalnpara"/>
      </w:pPr>
      <w:r>
        <w:t>IE19</w:t>
      </w:r>
      <w:r>
        <w:tab/>
        <w:t xml:space="preserve">Entity A now has CU88 million of assets and CU80 </w:t>
      </w:r>
      <w:proofErr w:type="spellStart"/>
      <w:r>
        <w:t>million</w:t>
      </w:r>
      <w:proofErr w:type="spellEnd"/>
      <w:r>
        <w:t xml:space="preserve"> of liabilities in this time period. Hence the net amount Entity A wants to hedge is now CU8 million and, accordingly, it designates CU8 million as the hedged amount.</w:t>
      </w:r>
    </w:p>
    <w:p w:rsidR="00DF7C18" w:rsidRDefault="00DF7C18" w:rsidP="00DF7C18">
      <w:pPr>
        <w:pStyle w:val="IASBNormalnpara"/>
      </w:pPr>
      <w:r>
        <w:t>IE20</w:t>
      </w:r>
      <w:r>
        <w:tab/>
        <w:t>Entity A decides to adjust the hedging instrument by designating only a proportion of the original swap as the hedging instrument. Accordingly, it designates as the hedging instrument CU8 million or 40 per cent of the notional amount of the original swap with a remaining life of two months and a fair value of CU18,963.</w:t>
      </w:r>
      <w:r w:rsidRPr="005C6676">
        <w:rPr>
          <w:rStyle w:val="FootnoteReference"/>
        </w:rPr>
        <w:footnoteReference w:id="13"/>
      </w:r>
      <w:r>
        <w:t xml:space="preserve">  It also complies with the other designation requirements in paragraphs 88(a) and AG119 of the Standard. The CU12 million of the notional amount of the swap that is no longer designated as the hedging instrument is either classified as held for trading with changes in fair value recognised in profit or loss, or is designated as the hedging instrument in a different hedge.</w:t>
      </w:r>
      <w:r w:rsidRPr="005C6676">
        <w:rPr>
          <w:rStyle w:val="FootnoteReference"/>
        </w:rPr>
        <w:footnoteReference w:id="14"/>
      </w:r>
    </w:p>
    <w:p w:rsidR="00DF7C18" w:rsidRDefault="00DF7C18" w:rsidP="00DF7C18">
      <w:pPr>
        <w:pStyle w:val="IASBNormalnpara"/>
      </w:pPr>
      <w:r>
        <w:t>IE21</w:t>
      </w:r>
      <w:r>
        <w:tab/>
        <w:t>As at 1 February 20X1 and after accounting for the sale of assets, the separate line item in the statement of financial position is CU41,718 (CU45,511 – CU3,793), which represents the cumulative change in fair value of CU17.6 million</w:t>
      </w:r>
      <w:r w:rsidRPr="005C6676">
        <w:rPr>
          <w:rStyle w:val="FootnoteReference"/>
        </w:rPr>
        <w:footnoteReference w:id="15"/>
      </w:r>
      <w:r w:rsidR="005037CA">
        <w:t xml:space="preserve"> </w:t>
      </w:r>
      <w:r>
        <w:t>of assets. However, as at 1 February 20X1, Entity A is hedging only CU8 million of assets that have a cumulative change in fair value of CU18,963.</w:t>
      </w:r>
      <w:r w:rsidRPr="005C6676">
        <w:rPr>
          <w:rStyle w:val="FootnoteReference"/>
        </w:rPr>
        <w:footnoteReference w:id="16"/>
      </w:r>
      <w:r w:rsidR="005037CA">
        <w:t xml:space="preserve"> </w:t>
      </w:r>
      <w:r>
        <w:t>The remaining separate line item in the statement of financial position of CU22,755</w:t>
      </w:r>
      <w:r w:rsidRPr="005C6676">
        <w:rPr>
          <w:rStyle w:val="FootnoteReference"/>
        </w:rPr>
        <w:footnoteReference w:id="17"/>
      </w:r>
      <w:r w:rsidR="005037CA">
        <w:t xml:space="preserve"> </w:t>
      </w:r>
      <w:r>
        <w:t xml:space="preserve">relates to an amount of assets that Entity A still holds but is no longer hedging. Accordingly Entity A amortises this amount over the remaining life of the time period, </w:t>
      </w:r>
      <w:proofErr w:type="spellStart"/>
      <w:r>
        <w:t>ie</w:t>
      </w:r>
      <w:proofErr w:type="spellEnd"/>
      <w:r>
        <w:t xml:space="preserve"> it amortises CU22,755 over two months. </w:t>
      </w:r>
    </w:p>
    <w:p w:rsidR="00DF7C18" w:rsidRDefault="00DF7C18" w:rsidP="00DF7C18">
      <w:pPr>
        <w:pStyle w:val="IASBNormalnpara"/>
      </w:pPr>
      <w:r>
        <w:t>IE22</w:t>
      </w:r>
      <w:r>
        <w:tab/>
        <w:t xml:space="preserve">Entity A determines that it is not practicable to use a method of amortisation based on a recalculated effective yield and hence uses a straight-line method. </w:t>
      </w:r>
    </w:p>
    <w:p w:rsidR="00DF7C18" w:rsidRDefault="00DF7C18" w:rsidP="00DF7C18">
      <w:pPr>
        <w:pStyle w:val="IASBNormalnpara"/>
      </w:pPr>
      <w:r>
        <w:tab/>
      </w:r>
      <w:r>
        <w:rPr>
          <w:b/>
        </w:rPr>
        <w:t>End of month 2 (28 February 20X1)</w:t>
      </w:r>
    </w:p>
    <w:p w:rsidR="00DF7C18" w:rsidRDefault="00DF7C18" w:rsidP="00DF7C18">
      <w:pPr>
        <w:pStyle w:val="IASBNormalnpara"/>
      </w:pPr>
      <w:r>
        <w:t>IE23</w:t>
      </w:r>
      <w:r>
        <w:tab/>
        <w:t>On 28 February 20X1 when Entity A next tests effectiveness, LIBOR is unchanged. Entity A does not revise its prepayment expectations. The fair value of the designated interest rate swap with a notional principal of CU8 million is (CU9,518)</w:t>
      </w:r>
      <w:r w:rsidRPr="005C6676">
        <w:rPr>
          <w:rStyle w:val="FootnoteReference"/>
        </w:rPr>
        <w:footnoteReference w:id="18"/>
      </w:r>
      <w:r w:rsidR="005037CA">
        <w:t xml:space="preserve"> </w:t>
      </w:r>
      <w:r>
        <w:t>(the swap is a liability). Also, Entity A calculates the fair value of the CU8 million of the hedged assets as at 28 February 20X1 as CU8,009,518.</w:t>
      </w:r>
      <w:r w:rsidRPr="005C6676">
        <w:rPr>
          <w:rStyle w:val="FootnoteReference"/>
        </w:rPr>
        <w:footnoteReference w:id="19"/>
      </w:r>
    </w:p>
    <w:p w:rsidR="00DF7C18" w:rsidRDefault="00DF7C18" w:rsidP="00DF7C18">
      <w:pPr>
        <w:pStyle w:val="IASBNormalnpara"/>
      </w:pPr>
      <w:r>
        <w:t>IE24</w:t>
      </w:r>
      <w:r>
        <w:tab/>
        <w:t>Entity A makes the following accounting entries relating to the hedge in this time period:</w:t>
      </w:r>
    </w:p>
    <w:p w:rsidR="00DF7C18" w:rsidRDefault="00DF7C18" w:rsidP="00DF7C18">
      <w:pPr>
        <w:pStyle w:val="IASBNormalnpara"/>
      </w:pPr>
    </w:p>
    <w:tbl>
      <w:tblPr>
        <w:tblW w:w="8284" w:type="dxa"/>
        <w:tblInd w:w="964" w:type="dxa"/>
        <w:tblLayout w:type="fixed"/>
        <w:tblLook w:val="0000" w:firstRow="0" w:lastRow="0" w:firstColumn="0" w:lastColumn="0" w:noHBand="0" w:noVBand="0"/>
        <w:tblCaption w:val="AASB 139 Table 5"/>
      </w:tblPr>
      <w:tblGrid>
        <w:gridCol w:w="704"/>
        <w:gridCol w:w="567"/>
        <w:gridCol w:w="3373"/>
        <w:gridCol w:w="1820"/>
        <w:gridCol w:w="1820"/>
      </w:tblGrid>
      <w:tr w:rsidR="00DF7C18" w:rsidTr="00C55000">
        <w:trPr>
          <w:gridAfter w:val="1"/>
          <w:wAfter w:w="1820" w:type="dxa"/>
          <w:cantSplit/>
        </w:trPr>
        <w:tc>
          <w:tcPr>
            <w:tcW w:w="704" w:type="dxa"/>
            <w:vAlign w:val="bottom"/>
          </w:tcPr>
          <w:p w:rsidR="00DF7C18" w:rsidRDefault="00DF7C18" w:rsidP="00C55000">
            <w:pPr>
              <w:pStyle w:val="IASBTableArial"/>
            </w:pPr>
            <w:r>
              <w:t>Dr</w:t>
            </w:r>
          </w:p>
        </w:tc>
        <w:tc>
          <w:tcPr>
            <w:tcW w:w="3940" w:type="dxa"/>
            <w:gridSpan w:val="2"/>
            <w:tcBorders>
              <w:left w:val="nil"/>
            </w:tcBorders>
          </w:tcPr>
          <w:p w:rsidR="00DF7C18" w:rsidRDefault="00DF7C18" w:rsidP="00C55000">
            <w:pPr>
              <w:pStyle w:val="IASBTableArial"/>
            </w:pPr>
            <w:r>
              <w:t>Cash</w:t>
            </w:r>
          </w:p>
        </w:tc>
        <w:tc>
          <w:tcPr>
            <w:tcW w:w="1820" w:type="dxa"/>
            <w:tcBorders>
              <w:left w:val="nil"/>
            </w:tcBorders>
            <w:vAlign w:val="bottom"/>
          </w:tcPr>
          <w:p w:rsidR="00DF7C18" w:rsidRDefault="00DF7C18" w:rsidP="00C55000">
            <w:pPr>
              <w:pStyle w:val="IASBTableArial"/>
              <w:jc w:val="right"/>
            </w:pPr>
            <w:r>
              <w:t>CU71,707</w:t>
            </w:r>
          </w:p>
        </w:tc>
      </w:tr>
      <w:tr w:rsidR="00DF7C18" w:rsidTr="00C55000">
        <w:trPr>
          <w:cantSplit/>
        </w:trPr>
        <w:tc>
          <w:tcPr>
            <w:tcW w:w="704" w:type="dxa"/>
            <w:tcBorders>
              <w:top w:val="nil"/>
            </w:tcBorders>
            <w:vAlign w:val="bottom"/>
          </w:tcPr>
          <w:p w:rsidR="00DF7C18" w:rsidRDefault="00DF7C18" w:rsidP="00C55000">
            <w:pPr>
              <w:pStyle w:val="IASBTableArial"/>
            </w:pPr>
          </w:p>
        </w:tc>
        <w:tc>
          <w:tcPr>
            <w:tcW w:w="567" w:type="dxa"/>
            <w:tcBorders>
              <w:top w:val="nil"/>
              <w:left w:val="nil"/>
            </w:tcBorders>
            <w:vAlign w:val="bottom"/>
          </w:tcPr>
          <w:p w:rsidR="00DF7C18" w:rsidRDefault="00DF7C18" w:rsidP="00C55000">
            <w:pPr>
              <w:pStyle w:val="IASBTableArial"/>
            </w:pPr>
            <w:r>
              <w:t>Cr</w:t>
            </w:r>
          </w:p>
        </w:tc>
        <w:tc>
          <w:tcPr>
            <w:tcW w:w="3373" w:type="dxa"/>
            <w:tcBorders>
              <w:top w:val="nil"/>
              <w:left w:val="nil"/>
            </w:tcBorders>
          </w:tcPr>
          <w:p w:rsidR="00DF7C18" w:rsidRDefault="00DF7C18" w:rsidP="00C55000">
            <w:pPr>
              <w:pStyle w:val="IASBTableArial"/>
            </w:pPr>
            <w:r>
              <w:t>Profit or loss (interest income)</w:t>
            </w:r>
          </w:p>
        </w:tc>
        <w:tc>
          <w:tcPr>
            <w:tcW w:w="1820" w:type="dxa"/>
            <w:tcBorders>
              <w:top w:val="nil"/>
              <w:left w:val="nil"/>
            </w:tcBorders>
            <w:vAlign w:val="bottom"/>
          </w:tcPr>
          <w:p w:rsidR="00DF7C18" w:rsidRDefault="00DF7C18" w:rsidP="00C55000">
            <w:pPr>
              <w:pStyle w:val="IASBTableArial"/>
            </w:pPr>
          </w:p>
        </w:tc>
        <w:tc>
          <w:tcPr>
            <w:tcW w:w="1820" w:type="dxa"/>
            <w:tcBorders>
              <w:top w:val="nil"/>
              <w:left w:val="nil"/>
            </w:tcBorders>
            <w:vAlign w:val="bottom"/>
          </w:tcPr>
          <w:p w:rsidR="00DF7C18" w:rsidRDefault="00DF7C18" w:rsidP="00C55000">
            <w:pPr>
              <w:pStyle w:val="IASBTableArial"/>
              <w:jc w:val="right"/>
            </w:pPr>
            <w:r>
              <w:t>CU71,707</w:t>
            </w:r>
          </w:p>
        </w:tc>
      </w:tr>
      <w:tr w:rsidR="00DF7C18" w:rsidTr="00C55000">
        <w:trPr>
          <w:cantSplit/>
        </w:trPr>
        <w:tc>
          <w:tcPr>
            <w:tcW w:w="8284" w:type="dxa"/>
            <w:gridSpan w:val="5"/>
            <w:tcBorders>
              <w:top w:val="nil"/>
            </w:tcBorders>
            <w:vAlign w:val="bottom"/>
          </w:tcPr>
          <w:p w:rsidR="00DF7C18" w:rsidRDefault="00DF7C18" w:rsidP="00C55000">
            <w:pPr>
              <w:pStyle w:val="IASBTableArial"/>
            </w:pPr>
            <w:r>
              <w:rPr>
                <w:i/>
              </w:rPr>
              <w:t>To recognise the interest received on the hedged amount (CU8 million).</w:t>
            </w:r>
          </w:p>
        </w:tc>
      </w:tr>
      <w:tr w:rsidR="00DF7C18" w:rsidTr="00C55000">
        <w:trPr>
          <w:gridAfter w:val="1"/>
          <w:wAfter w:w="1820" w:type="dxa"/>
          <w:cantSplit/>
        </w:trPr>
        <w:tc>
          <w:tcPr>
            <w:tcW w:w="704" w:type="dxa"/>
            <w:tcBorders>
              <w:top w:val="nil"/>
            </w:tcBorders>
            <w:vAlign w:val="bottom"/>
          </w:tcPr>
          <w:p w:rsidR="00DF7C18" w:rsidRDefault="00DF7C18" w:rsidP="00C55000">
            <w:pPr>
              <w:pStyle w:val="IASBTableArial"/>
            </w:pPr>
            <w:r>
              <w:t>Dr</w:t>
            </w:r>
          </w:p>
        </w:tc>
        <w:tc>
          <w:tcPr>
            <w:tcW w:w="3940" w:type="dxa"/>
            <w:gridSpan w:val="2"/>
            <w:tcBorders>
              <w:top w:val="nil"/>
              <w:left w:val="nil"/>
            </w:tcBorders>
          </w:tcPr>
          <w:p w:rsidR="00DF7C18" w:rsidRDefault="00DF7C18" w:rsidP="00C55000">
            <w:pPr>
              <w:pStyle w:val="IASBTableArial"/>
            </w:pPr>
            <w:r>
              <w:t>Profit or loss (interest expense)</w:t>
            </w:r>
          </w:p>
        </w:tc>
        <w:tc>
          <w:tcPr>
            <w:tcW w:w="1820" w:type="dxa"/>
            <w:tcBorders>
              <w:top w:val="nil"/>
              <w:left w:val="nil"/>
            </w:tcBorders>
            <w:vAlign w:val="bottom"/>
          </w:tcPr>
          <w:p w:rsidR="00DF7C18" w:rsidRDefault="00DF7C18" w:rsidP="00C55000">
            <w:pPr>
              <w:pStyle w:val="IASBTableArial"/>
              <w:jc w:val="right"/>
            </w:pPr>
            <w:r>
              <w:t>CU71,707</w:t>
            </w:r>
          </w:p>
        </w:tc>
      </w:tr>
      <w:tr w:rsidR="00DF7C18" w:rsidTr="00C55000">
        <w:trPr>
          <w:cantSplit/>
        </w:trPr>
        <w:tc>
          <w:tcPr>
            <w:tcW w:w="704" w:type="dxa"/>
            <w:tcBorders>
              <w:top w:val="nil"/>
            </w:tcBorders>
            <w:vAlign w:val="bottom"/>
          </w:tcPr>
          <w:p w:rsidR="00DF7C18" w:rsidRDefault="00DF7C18" w:rsidP="00C55000">
            <w:pPr>
              <w:pStyle w:val="IASBTableArial"/>
            </w:pPr>
          </w:p>
        </w:tc>
        <w:tc>
          <w:tcPr>
            <w:tcW w:w="567" w:type="dxa"/>
            <w:tcBorders>
              <w:top w:val="nil"/>
              <w:left w:val="nil"/>
            </w:tcBorders>
            <w:vAlign w:val="bottom"/>
          </w:tcPr>
          <w:p w:rsidR="00DF7C18" w:rsidRDefault="00DF7C18" w:rsidP="00C55000">
            <w:pPr>
              <w:pStyle w:val="IASBTableArial"/>
            </w:pPr>
            <w:r>
              <w:t>Cr</w:t>
            </w:r>
          </w:p>
        </w:tc>
        <w:tc>
          <w:tcPr>
            <w:tcW w:w="3373" w:type="dxa"/>
            <w:tcBorders>
              <w:top w:val="nil"/>
              <w:left w:val="nil"/>
            </w:tcBorders>
          </w:tcPr>
          <w:p w:rsidR="00DF7C18" w:rsidRDefault="00DF7C18" w:rsidP="00C55000">
            <w:pPr>
              <w:pStyle w:val="IASBTableArial"/>
            </w:pPr>
            <w:r>
              <w:t>Profit or loss (interest income)</w:t>
            </w:r>
          </w:p>
        </w:tc>
        <w:tc>
          <w:tcPr>
            <w:tcW w:w="1820" w:type="dxa"/>
            <w:tcBorders>
              <w:top w:val="nil"/>
              <w:left w:val="nil"/>
            </w:tcBorders>
            <w:vAlign w:val="bottom"/>
          </w:tcPr>
          <w:p w:rsidR="00DF7C18" w:rsidRDefault="00DF7C18" w:rsidP="00C55000">
            <w:pPr>
              <w:pStyle w:val="IASBTableArial"/>
            </w:pPr>
          </w:p>
        </w:tc>
        <w:tc>
          <w:tcPr>
            <w:tcW w:w="1820" w:type="dxa"/>
            <w:tcBorders>
              <w:top w:val="nil"/>
              <w:left w:val="nil"/>
            </w:tcBorders>
            <w:vAlign w:val="bottom"/>
          </w:tcPr>
          <w:p w:rsidR="00DF7C18" w:rsidRDefault="00DF7C18" w:rsidP="00C55000">
            <w:pPr>
              <w:pStyle w:val="IASBTableArial"/>
              <w:jc w:val="right"/>
            </w:pPr>
            <w:r>
              <w:t>CU62,115</w:t>
            </w:r>
          </w:p>
        </w:tc>
      </w:tr>
      <w:tr w:rsidR="00DF7C18" w:rsidTr="00C55000">
        <w:trPr>
          <w:cantSplit/>
        </w:trPr>
        <w:tc>
          <w:tcPr>
            <w:tcW w:w="704" w:type="dxa"/>
            <w:tcBorders>
              <w:top w:val="nil"/>
            </w:tcBorders>
            <w:vAlign w:val="bottom"/>
          </w:tcPr>
          <w:p w:rsidR="00DF7C18" w:rsidRDefault="00DF7C18" w:rsidP="00C55000">
            <w:pPr>
              <w:pStyle w:val="IASBTableArial"/>
            </w:pPr>
          </w:p>
        </w:tc>
        <w:tc>
          <w:tcPr>
            <w:tcW w:w="567" w:type="dxa"/>
            <w:tcBorders>
              <w:top w:val="nil"/>
              <w:left w:val="nil"/>
            </w:tcBorders>
            <w:vAlign w:val="bottom"/>
          </w:tcPr>
          <w:p w:rsidR="00DF7C18" w:rsidRDefault="00DF7C18" w:rsidP="00C55000">
            <w:pPr>
              <w:pStyle w:val="IASBTableArial"/>
            </w:pPr>
            <w:r>
              <w:t>Cr</w:t>
            </w:r>
          </w:p>
        </w:tc>
        <w:tc>
          <w:tcPr>
            <w:tcW w:w="3373" w:type="dxa"/>
            <w:tcBorders>
              <w:top w:val="nil"/>
              <w:left w:val="nil"/>
            </w:tcBorders>
          </w:tcPr>
          <w:p w:rsidR="00DF7C18" w:rsidRDefault="00DF7C18" w:rsidP="00C55000">
            <w:pPr>
              <w:pStyle w:val="IASBTableArial"/>
            </w:pPr>
            <w:r>
              <w:t>Cash</w:t>
            </w:r>
          </w:p>
        </w:tc>
        <w:tc>
          <w:tcPr>
            <w:tcW w:w="1820" w:type="dxa"/>
            <w:tcBorders>
              <w:top w:val="nil"/>
              <w:left w:val="nil"/>
            </w:tcBorders>
            <w:vAlign w:val="bottom"/>
          </w:tcPr>
          <w:p w:rsidR="00DF7C18" w:rsidRDefault="00DF7C18" w:rsidP="00C55000">
            <w:pPr>
              <w:pStyle w:val="IASBTableArial"/>
            </w:pPr>
          </w:p>
        </w:tc>
        <w:tc>
          <w:tcPr>
            <w:tcW w:w="1820" w:type="dxa"/>
            <w:tcBorders>
              <w:top w:val="nil"/>
              <w:left w:val="nil"/>
            </w:tcBorders>
            <w:vAlign w:val="bottom"/>
          </w:tcPr>
          <w:p w:rsidR="00DF7C18" w:rsidRDefault="00DF7C18" w:rsidP="00C55000">
            <w:pPr>
              <w:pStyle w:val="IASBTableArial"/>
              <w:jc w:val="right"/>
            </w:pPr>
            <w:r>
              <w:t>CU9,592</w:t>
            </w:r>
          </w:p>
        </w:tc>
      </w:tr>
      <w:tr w:rsidR="00DF7C18" w:rsidTr="00C55000">
        <w:trPr>
          <w:cantSplit/>
        </w:trPr>
        <w:tc>
          <w:tcPr>
            <w:tcW w:w="8284" w:type="dxa"/>
            <w:gridSpan w:val="5"/>
            <w:tcBorders>
              <w:top w:val="nil"/>
            </w:tcBorders>
            <w:vAlign w:val="bottom"/>
          </w:tcPr>
          <w:p w:rsidR="00DF7C18" w:rsidRDefault="00DF7C18" w:rsidP="00C55000">
            <w:pPr>
              <w:pStyle w:val="IASBTableArial"/>
            </w:pPr>
            <w:r>
              <w:rPr>
                <w:i/>
              </w:rPr>
              <w:t>To recognise the interest received and paid on the portion of the swap designated as the hedging instrument (CU8 million).</w:t>
            </w:r>
          </w:p>
        </w:tc>
      </w:tr>
      <w:tr w:rsidR="00DF7C18" w:rsidTr="00C55000">
        <w:trPr>
          <w:gridAfter w:val="1"/>
          <w:wAfter w:w="1820" w:type="dxa"/>
          <w:cantSplit/>
        </w:trPr>
        <w:tc>
          <w:tcPr>
            <w:tcW w:w="704" w:type="dxa"/>
            <w:tcBorders>
              <w:top w:val="nil"/>
            </w:tcBorders>
            <w:vAlign w:val="bottom"/>
          </w:tcPr>
          <w:p w:rsidR="00DF7C18" w:rsidRDefault="00DF7C18" w:rsidP="00C55000">
            <w:pPr>
              <w:pStyle w:val="IASBTableArial"/>
            </w:pPr>
            <w:r>
              <w:t>Dr</w:t>
            </w:r>
          </w:p>
        </w:tc>
        <w:tc>
          <w:tcPr>
            <w:tcW w:w="3940" w:type="dxa"/>
            <w:gridSpan w:val="2"/>
            <w:tcBorders>
              <w:top w:val="nil"/>
              <w:left w:val="nil"/>
            </w:tcBorders>
          </w:tcPr>
          <w:p w:rsidR="00DF7C18" w:rsidRDefault="00DF7C18" w:rsidP="00C55000">
            <w:pPr>
              <w:pStyle w:val="IASBTableArial"/>
            </w:pPr>
            <w:r>
              <w:t>Derivative liability</w:t>
            </w:r>
          </w:p>
        </w:tc>
        <w:tc>
          <w:tcPr>
            <w:tcW w:w="1820" w:type="dxa"/>
            <w:tcBorders>
              <w:top w:val="nil"/>
              <w:left w:val="nil"/>
            </w:tcBorders>
            <w:vAlign w:val="bottom"/>
          </w:tcPr>
          <w:p w:rsidR="00DF7C18" w:rsidRDefault="00DF7C18" w:rsidP="00C55000">
            <w:pPr>
              <w:pStyle w:val="IASBTableArial"/>
              <w:jc w:val="right"/>
            </w:pPr>
            <w:r>
              <w:t>CU9,445</w:t>
            </w:r>
          </w:p>
        </w:tc>
      </w:tr>
      <w:tr w:rsidR="00DF7C18" w:rsidTr="00C55000">
        <w:trPr>
          <w:cantSplit/>
        </w:trPr>
        <w:tc>
          <w:tcPr>
            <w:tcW w:w="704" w:type="dxa"/>
            <w:tcBorders>
              <w:top w:val="nil"/>
            </w:tcBorders>
            <w:vAlign w:val="bottom"/>
          </w:tcPr>
          <w:p w:rsidR="00DF7C18" w:rsidRDefault="00DF7C18" w:rsidP="00C55000">
            <w:pPr>
              <w:pStyle w:val="IASBTableArial"/>
            </w:pPr>
          </w:p>
        </w:tc>
        <w:tc>
          <w:tcPr>
            <w:tcW w:w="567" w:type="dxa"/>
            <w:tcBorders>
              <w:top w:val="nil"/>
              <w:left w:val="nil"/>
            </w:tcBorders>
            <w:vAlign w:val="bottom"/>
          </w:tcPr>
          <w:p w:rsidR="00DF7C18" w:rsidRDefault="00DF7C18" w:rsidP="00C55000">
            <w:pPr>
              <w:pStyle w:val="IASBTableArial"/>
            </w:pPr>
            <w:r>
              <w:t>Cr</w:t>
            </w:r>
          </w:p>
        </w:tc>
        <w:tc>
          <w:tcPr>
            <w:tcW w:w="3373" w:type="dxa"/>
            <w:tcBorders>
              <w:top w:val="nil"/>
              <w:left w:val="nil"/>
            </w:tcBorders>
          </w:tcPr>
          <w:p w:rsidR="00DF7C18" w:rsidRDefault="00DF7C18" w:rsidP="00C55000">
            <w:pPr>
              <w:pStyle w:val="IASBTableArial"/>
            </w:pPr>
            <w:r>
              <w:t>Profit or loss (gain)</w:t>
            </w:r>
          </w:p>
        </w:tc>
        <w:tc>
          <w:tcPr>
            <w:tcW w:w="1820" w:type="dxa"/>
            <w:tcBorders>
              <w:top w:val="nil"/>
              <w:left w:val="nil"/>
            </w:tcBorders>
            <w:vAlign w:val="bottom"/>
          </w:tcPr>
          <w:p w:rsidR="00DF7C18" w:rsidRDefault="00DF7C18" w:rsidP="00C55000">
            <w:pPr>
              <w:pStyle w:val="IASBTableArial"/>
            </w:pPr>
          </w:p>
        </w:tc>
        <w:tc>
          <w:tcPr>
            <w:tcW w:w="1820" w:type="dxa"/>
            <w:tcBorders>
              <w:top w:val="nil"/>
              <w:left w:val="nil"/>
            </w:tcBorders>
            <w:vAlign w:val="bottom"/>
          </w:tcPr>
          <w:p w:rsidR="00DF7C18" w:rsidRDefault="00DF7C18" w:rsidP="00C55000">
            <w:pPr>
              <w:pStyle w:val="IASBTableArial"/>
              <w:jc w:val="right"/>
            </w:pPr>
            <w:r>
              <w:t>CU9,445</w:t>
            </w:r>
          </w:p>
        </w:tc>
      </w:tr>
      <w:tr w:rsidR="00DF7C18" w:rsidTr="00C55000">
        <w:trPr>
          <w:cantSplit/>
        </w:trPr>
        <w:tc>
          <w:tcPr>
            <w:tcW w:w="8284" w:type="dxa"/>
            <w:gridSpan w:val="5"/>
            <w:tcBorders>
              <w:top w:val="nil"/>
            </w:tcBorders>
            <w:vAlign w:val="bottom"/>
          </w:tcPr>
          <w:p w:rsidR="00DF7C18" w:rsidRPr="008112BF" w:rsidRDefault="00DF7C18" w:rsidP="008112BF">
            <w:pPr>
              <w:pStyle w:val="IASBTableArial"/>
              <w:rPr>
                <w:i/>
              </w:rPr>
            </w:pPr>
            <w:r>
              <w:rPr>
                <w:i/>
              </w:rPr>
              <w:t>To recognise the change in the fair value of the portion of the swap designated as the hedging instrument (CU8 million) (CU9,518 – CU18,963).</w:t>
            </w:r>
          </w:p>
        </w:tc>
      </w:tr>
      <w:tr w:rsidR="00DF7C18" w:rsidTr="00C55000">
        <w:trPr>
          <w:gridAfter w:val="1"/>
          <w:wAfter w:w="1820" w:type="dxa"/>
          <w:cantSplit/>
        </w:trPr>
        <w:tc>
          <w:tcPr>
            <w:tcW w:w="704" w:type="dxa"/>
            <w:tcBorders>
              <w:top w:val="nil"/>
            </w:tcBorders>
            <w:vAlign w:val="bottom"/>
          </w:tcPr>
          <w:p w:rsidR="00DF7C18" w:rsidRDefault="00DF7C18" w:rsidP="00C55000">
            <w:pPr>
              <w:pStyle w:val="IASBTableArial"/>
            </w:pPr>
            <w:r>
              <w:t>Dr</w:t>
            </w:r>
          </w:p>
        </w:tc>
        <w:tc>
          <w:tcPr>
            <w:tcW w:w="3940" w:type="dxa"/>
            <w:gridSpan w:val="2"/>
            <w:tcBorders>
              <w:top w:val="nil"/>
              <w:left w:val="nil"/>
            </w:tcBorders>
          </w:tcPr>
          <w:p w:rsidR="00DF7C18" w:rsidRDefault="00DF7C18" w:rsidP="00C55000">
            <w:pPr>
              <w:pStyle w:val="IASBTableArial"/>
            </w:pPr>
            <w:r>
              <w:t>Profit or loss (loss)</w:t>
            </w:r>
          </w:p>
        </w:tc>
        <w:tc>
          <w:tcPr>
            <w:tcW w:w="1820" w:type="dxa"/>
            <w:tcBorders>
              <w:top w:val="nil"/>
              <w:left w:val="nil"/>
            </w:tcBorders>
            <w:vAlign w:val="bottom"/>
          </w:tcPr>
          <w:p w:rsidR="00DF7C18" w:rsidRDefault="00DF7C18" w:rsidP="00C55000">
            <w:pPr>
              <w:pStyle w:val="IASBTableArial"/>
              <w:jc w:val="right"/>
            </w:pPr>
            <w:r>
              <w:t>CU9,445</w:t>
            </w:r>
          </w:p>
        </w:tc>
      </w:tr>
      <w:tr w:rsidR="00DF7C18" w:rsidTr="00C55000">
        <w:trPr>
          <w:cantSplit/>
        </w:trPr>
        <w:tc>
          <w:tcPr>
            <w:tcW w:w="704" w:type="dxa"/>
            <w:tcBorders>
              <w:top w:val="nil"/>
            </w:tcBorders>
            <w:vAlign w:val="bottom"/>
          </w:tcPr>
          <w:p w:rsidR="00DF7C18" w:rsidRDefault="00DF7C18" w:rsidP="00C55000">
            <w:pPr>
              <w:pStyle w:val="IASBTableArial"/>
            </w:pPr>
          </w:p>
        </w:tc>
        <w:tc>
          <w:tcPr>
            <w:tcW w:w="567" w:type="dxa"/>
            <w:tcBorders>
              <w:top w:val="nil"/>
              <w:left w:val="nil"/>
            </w:tcBorders>
          </w:tcPr>
          <w:p w:rsidR="00DF7C18" w:rsidRDefault="00DF7C18" w:rsidP="00C55000">
            <w:pPr>
              <w:pStyle w:val="IASBTableArial"/>
            </w:pPr>
            <w:r>
              <w:t>Cr</w:t>
            </w:r>
          </w:p>
        </w:tc>
        <w:tc>
          <w:tcPr>
            <w:tcW w:w="3373" w:type="dxa"/>
            <w:tcBorders>
              <w:top w:val="nil"/>
              <w:left w:val="nil"/>
            </w:tcBorders>
          </w:tcPr>
          <w:p w:rsidR="00DF7C18" w:rsidRDefault="00DF7C18" w:rsidP="00C55000">
            <w:pPr>
              <w:pStyle w:val="IASBTableArial"/>
            </w:pPr>
            <w:r>
              <w:t>Separate line item in the statement of financial position</w:t>
            </w:r>
          </w:p>
        </w:tc>
        <w:tc>
          <w:tcPr>
            <w:tcW w:w="1820" w:type="dxa"/>
            <w:tcBorders>
              <w:top w:val="nil"/>
              <w:left w:val="nil"/>
            </w:tcBorders>
            <w:vAlign w:val="bottom"/>
          </w:tcPr>
          <w:p w:rsidR="00DF7C18" w:rsidRDefault="00DF7C18" w:rsidP="00C55000">
            <w:pPr>
              <w:pStyle w:val="IASBTableArial"/>
            </w:pPr>
          </w:p>
        </w:tc>
        <w:tc>
          <w:tcPr>
            <w:tcW w:w="1820" w:type="dxa"/>
            <w:tcBorders>
              <w:top w:val="nil"/>
              <w:left w:val="nil"/>
            </w:tcBorders>
            <w:vAlign w:val="bottom"/>
          </w:tcPr>
          <w:p w:rsidR="00DF7C18" w:rsidRDefault="00DF7C18" w:rsidP="00C55000">
            <w:pPr>
              <w:pStyle w:val="IASBTableArial"/>
              <w:jc w:val="right"/>
            </w:pPr>
            <w:r>
              <w:t>CU9,445</w:t>
            </w:r>
          </w:p>
        </w:tc>
      </w:tr>
      <w:tr w:rsidR="00DF7C18" w:rsidTr="00C55000">
        <w:trPr>
          <w:cantSplit/>
        </w:trPr>
        <w:tc>
          <w:tcPr>
            <w:tcW w:w="8284" w:type="dxa"/>
            <w:gridSpan w:val="5"/>
            <w:tcBorders>
              <w:top w:val="nil"/>
            </w:tcBorders>
            <w:vAlign w:val="bottom"/>
          </w:tcPr>
          <w:p w:rsidR="00DF7C18" w:rsidRPr="008112BF" w:rsidRDefault="00DF7C18" w:rsidP="008112BF">
            <w:pPr>
              <w:pStyle w:val="IASBTableArial"/>
              <w:rPr>
                <w:i/>
              </w:rPr>
            </w:pPr>
            <w:r>
              <w:rPr>
                <w:i/>
              </w:rPr>
              <w:t>To recognise the change in the fair value of the hedged amount (CU8,009,518 – CU8,018,963).</w:t>
            </w:r>
          </w:p>
        </w:tc>
      </w:tr>
    </w:tbl>
    <w:p w:rsidR="00DF7C18" w:rsidRDefault="00DF7C18" w:rsidP="00DF7C18">
      <w:pPr>
        <w:pStyle w:val="IASBNormalnpara"/>
      </w:pPr>
    </w:p>
    <w:p w:rsidR="00DF7C18" w:rsidRDefault="00DF7C18" w:rsidP="00DF7C18">
      <w:pPr>
        <w:pStyle w:val="IASBNormalnpara"/>
      </w:pPr>
      <w:r>
        <w:t>IE25</w:t>
      </w:r>
      <w:r>
        <w:tab/>
        <w:t>The net effect on profit or loss (excluding interest income and interest expense) is nil reflecting that the hedge is fully effective.</w:t>
      </w:r>
    </w:p>
    <w:p w:rsidR="00DF7C18" w:rsidRDefault="00DF7C18" w:rsidP="00DF7C18">
      <w:pPr>
        <w:pStyle w:val="IASBNormalnpara"/>
      </w:pPr>
      <w:r>
        <w:t>IE26</w:t>
      </w:r>
      <w:r>
        <w:tab/>
        <w:t>Entity A makes the following accounting entry to amortise the line item balance for this time period:</w:t>
      </w:r>
    </w:p>
    <w:p w:rsidR="00DF7C18" w:rsidRDefault="00DF7C18" w:rsidP="00DF7C18">
      <w:pPr>
        <w:pStyle w:val="IASBNormalnpara"/>
      </w:pPr>
    </w:p>
    <w:tbl>
      <w:tblPr>
        <w:tblW w:w="8284" w:type="dxa"/>
        <w:tblInd w:w="964" w:type="dxa"/>
        <w:tblLayout w:type="fixed"/>
        <w:tblLook w:val="0000" w:firstRow="0" w:lastRow="0" w:firstColumn="0" w:lastColumn="0" w:noHBand="0" w:noVBand="0"/>
        <w:tblCaption w:val="AASB 139 Table 6"/>
      </w:tblPr>
      <w:tblGrid>
        <w:gridCol w:w="704"/>
        <w:gridCol w:w="567"/>
        <w:gridCol w:w="3373"/>
        <w:gridCol w:w="1820"/>
        <w:gridCol w:w="1820"/>
      </w:tblGrid>
      <w:tr w:rsidR="00DF7C18" w:rsidTr="00C55000">
        <w:trPr>
          <w:gridAfter w:val="1"/>
          <w:wAfter w:w="1820" w:type="dxa"/>
          <w:cantSplit/>
        </w:trPr>
        <w:tc>
          <w:tcPr>
            <w:tcW w:w="704" w:type="dxa"/>
            <w:vAlign w:val="bottom"/>
          </w:tcPr>
          <w:p w:rsidR="00DF7C18" w:rsidRDefault="00DF7C18" w:rsidP="00C55000">
            <w:pPr>
              <w:pStyle w:val="IASBTableArial"/>
            </w:pPr>
            <w:r>
              <w:t>Dr</w:t>
            </w:r>
          </w:p>
        </w:tc>
        <w:tc>
          <w:tcPr>
            <w:tcW w:w="3940" w:type="dxa"/>
            <w:gridSpan w:val="2"/>
            <w:tcBorders>
              <w:left w:val="nil"/>
            </w:tcBorders>
          </w:tcPr>
          <w:p w:rsidR="00DF7C18" w:rsidRDefault="00DF7C18" w:rsidP="00C55000">
            <w:pPr>
              <w:pStyle w:val="IASBTableArial"/>
            </w:pPr>
            <w:r>
              <w:t>Profit or loss (loss)</w:t>
            </w:r>
          </w:p>
        </w:tc>
        <w:tc>
          <w:tcPr>
            <w:tcW w:w="1820" w:type="dxa"/>
            <w:tcBorders>
              <w:left w:val="nil"/>
            </w:tcBorders>
            <w:vAlign w:val="bottom"/>
          </w:tcPr>
          <w:p w:rsidR="00DF7C18" w:rsidRDefault="00DF7C18" w:rsidP="00C55000">
            <w:pPr>
              <w:pStyle w:val="IASBTableArial"/>
              <w:jc w:val="right"/>
            </w:pPr>
            <w:r>
              <w:t>CU11,378</w:t>
            </w:r>
          </w:p>
        </w:tc>
      </w:tr>
      <w:tr w:rsidR="00DF7C18" w:rsidTr="00C55000">
        <w:trPr>
          <w:cantSplit/>
        </w:trPr>
        <w:tc>
          <w:tcPr>
            <w:tcW w:w="704" w:type="dxa"/>
            <w:tcBorders>
              <w:top w:val="nil"/>
            </w:tcBorders>
            <w:vAlign w:val="bottom"/>
          </w:tcPr>
          <w:p w:rsidR="00DF7C18" w:rsidRDefault="00DF7C18" w:rsidP="00C55000">
            <w:pPr>
              <w:pStyle w:val="IASBTableArial"/>
            </w:pPr>
          </w:p>
        </w:tc>
        <w:tc>
          <w:tcPr>
            <w:tcW w:w="567" w:type="dxa"/>
            <w:tcBorders>
              <w:top w:val="nil"/>
              <w:left w:val="nil"/>
            </w:tcBorders>
          </w:tcPr>
          <w:p w:rsidR="00DF7C18" w:rsidRDefault="00DF7C18" w:rsidP="00C55000">
            <w:pPr>
              <w:pStyle w:val="IASBTableArial"/>
            </w:pPr>
            <w:r>
              <w:t>Cr</w:t>
            </w:r>
          </w:p>
        </w:tc>
        <w:tc>
          <w:tcPr>
            <w:tcW w:w="3373" w:type="dxa"/>
            <w:tcBorders>
              <w:top w:val="nil"/>
              <w:left w:val="nil"/>
            </w:tcBorders>
          </w:tcPr>
          <w:p w:rsidR="00DF7C18" w:rsidRDefault="00DF7C18" w:rsidP="00C55000">
            <w:pPr>
              <w:pStyle w:val="IASBTableArial"/>
            </w:pPr>
            <w:r>
              <w:t>Separate line item in the statement of financial position</w:t>
            </w:r>
          </w:p>
        </w:tc>
        <w:tc>
          <w:tcPr>
            <w:tcW w:w="1820" w:type="dxa"/>
            <w:tcBorders>
              <w:top w:val="nil"/>
              <w:left w:val="nil"/>
            </w:tcBorders>
            <w:vAlign w:val="bottom"/>
          </w:tcPr>
          <w:p w:rsidR="00DF7C18" w:rsidRDefault="00DF7C18" w:rsidP="00C55000">
            <w:pPr>
              <w:pStyle w:val="IASBTableArial"/>
            </w:pPr>
          </w:p>
        </w:tc>
        <w:tc>
          <w:tcPr>
            <w:tcW w:w="1820" w:type="dxa"/>
            <w:tcBorders>
              <w:top w:val="nil"/>
              <w:left w:val="nil"/>
            </w:tcBorders>
            <w:vAlign w:val="bottom"/>
          </w:tcPr>
          <w:p w:rsidR="00DF7C18" w:rsidRDefault="00DF7C18" w:rsidP="00C55000">
            <w:pPr>
              <w:pStyle w:val="IASBTableArial"/>
              <w:jc w:val="right"/>
            </w:pPr>
            <w:r>
              <w:t>CU11,378</w:t>
            </w:r>
            <w:r>
              <w:rPr>
                <w:vertAlign w:val="superscript"/>
              </w:rPr>
              <w:t>(a)</w:t>
            </w:r>
          </w:p>
        </w:tc>
      </w:tr>
      <w:tr w:rsidR="00DF7C18" w:rsidTr="00C55000">
        <w:trPr>
          <w:cantSplit/>
        </w:trPr>
        <w:tc>
          <w:tcPr>
            <w:tcW w:w="8284" w:type="dxa"/>
            <w:gridSpan w:val="5"/>
            <w:tcBorders>
              <w:top w:val="nil"/>
            </w:tcBorders>
            <w:vAlign w:val="bottom"/>
          </w:tcPr>
          <w:p w:rsidR="00DF7C18" w:rsidRPr="008112BF" w:rsidRDefault="00DF7C18" w:rsidP="008112BF">
            <w:pPr>
              <w:pStyle w:val="IASBTableArial"/>
              <w:rPr>
                <w:i/>
              </w:rPr>
            </w:pPr>
            <w:r>
              <w:rPr>
                <w:i/>
              </w:rPr>
              <w:t>To recognise the amortisation charge for the period.</w:t>
            </w:r>
          </w:p>
        </w:tc>
      </w:tr>
      <w:tr w:rsidR="00DF7C18" w:rsidTr="00C55000">
        <w:trPr>
          <w:cantSplit/>
        </w:trPr>
        <w:tc>
          <w:tcPr>
            <w:tcW w:w="8284" w:type="dxa"/>
            <w:gridSpan w:val="5"/>
            <w:tcBorders>
              <w:top w:val="nil"/>
            </w:tcBorders>
            <w:vAlign w:val="bottom"/>
          </w:tcPr>
          <w:p w:rsidR="00DF7C18" w:rsidRDefault="00DF7C18" w:rsidP="008112BF">
            <w:pPr>
              <w:pStyle w:val="IASBTableTNR"/>
              <w:ind w:left="397" w:hanging="397"/>
            </w:pPr>
            <w:r>
              <w:rPr>
                <w:rStyle w:val="FootnoteReference"/>
                <w:sz w:val="16"/>
                <w:vertAlign w:val="baseline"/>
              </w:rPr>
              <w:t>(a)</w:t>
            </w:r>
            <w:r>
              <w:rPr>
                <w:rStyle w:val="FootnoteReference"/>
                <w:sz w:val="16"/>
                <w:vertAlign w:val="baseline"/>
              </w:rPr>
              <w:tab/>
              <w:t>CU22,755 ÷ 2</w:t>
            </w:r>
          </w:p>
        </w:tc>
      </w:tr>
    </w:tbl>
    <w:p w:rsidR="00DF7C18" w:rsidRDefault="00DF7C18" w:rsidP="00DF7C18">
      <w:pPr>
        <w:pStyle w:val="IASBNormalnpara"/>
      </w:pPr>
    </w:p>
    <w:p w:rsidR="00DF7C18" w:rsidRDefault="00DF7C18" w:rsidP="00DF7C18">
      <w:pPr>
        <w:pStyle w:val="IASBNormalnpara"/>
      </w:pPr>
      <w:r>
        <w:tab/>
      </w:r>
      <w:r>
        <w:rPr>
          <w:b/>
        </w:rPr>
        <w:t>End of month 3</w:t>
      </w:r>
    </w:p>
    <w:p w:rsidR="00DF7C18" w:rsidRDefault="00DF7C18" w:rsidP="00DF7C18">
      <w:pPr>
        <w:pStyle w:val="IASBNormalnpara"/>
      </w:pPr>
      <w:r>
        <w:t>IE27</w:t>
      </w:r>
      <w:r>
        <w:tab/>
        <w:t>During the third month there is no further change in the amount of assets or liabilities in the three-month time period. On 31 March 20X1 the assets and the swap mature and all balances are recognised in profit or loss.</w:t>
      </w:r>
    </w:p>
    <w:p w:rsidR="00DF7C18" w:rsidRDefault="00DF7C18" w:rsidP="00E36279">
      <w:pPr>
        <w:pStyle w:val="IASBNormalnpara"/>
        <w:keepNext/>
      </w:pPr>
      <w:r>
        <w:t>IE28</w:t>
      </w:r>
      <w:r>
        <w:tab/>
        <w:t>Entity A makes the following accounting entries relating to this time period:</w:t>
      </w:r>
    </w:p>
    <w:p w:rsidR="00DF7C18" w:rsidRDefault="00DF7C18" w:rsidP="00DF7C18">
      <w:pPr>
        <w:pStyle w:val="IASBNormalnpara"/>
      </w:pPr>
    </w:p>
    <w:tbl>
      <w:tblPr>
        <w:tblW w:w="8752" w:type="dxa"/>
        <w:tblInd w:w="964" w:type="dxa"/>
        <w:tblLayout w:type="fixed"/>
        <w:tblLook w:val="0000" w:firstRow="0" w:lastRow="0" w:firstColumn="0" w:lastColumn="0" w:noHBand="0" w:noVBand="0"/>
        <w:tblCaption w:val="AASB 139 Table 7"/>
      </w:tblPr>
      <w:tblGrid>
        <w:gridCol w:w="703"/>
        <w:gridCol w:w="567"/>
        <w:gridCol w:w="141"/>
        <w:gridCol w:w="3232"/>
        <w:gridCol w:w="468"/>
        <w:gridCol w:w="1339"/>
        <w:gridCol w:w="13"/>
        <w:gridCol w:w="15"/>
        <w:gridCol w:w="453"/>
        <w:gridCol w:w="1339"/>
        <w:gridCol w:w="14"/>
        <w:gridCol w:w="29"/>
        <w:gridCol w:w="439"/>
      </w:tblGrid>
      <w:tr w:rsidR="00DF7C18" w:rsidTr="00C55000">
        <w:trPr>
          <w:gridAfter w:val="6"/>
          <w:wAfter w:w="2289" w:type="dxa"/>
          <w:cantSplit/>
        </w:trPr>
        <w:tc>
          <w:tcPr>
            <w:tcW w:w="703" w:type="dxa"/>
            <w:vAlign w:val="bottom"/>
          </w:tcPr>
          <w:p w:rsidR="00DF7C18" w:rsidRDefault="00DF7C18" w:rsidP="00C55000">
            <w:pPr>
              <w:pStyle w:val="IASBTableArial"/>
            </w:pPr>
            <w:r>
              <w:t>Dr</w:t>
            </w:r>
          </w:p>
        </w:tc>
        <w:tc>
          <w:tcPr>
            <w:tcW w:w="3940" w:type="dxa"/>
            <w:gridSpan w:val="3"/>
            <w:tcBorders>
              <w:left w:val="nil"/>
            </w:tcBorders>
          </w:tcPr>
          <w:p w:rsidR="00DF7C18" w:rsidRDefault="00DF7C18" w:rsidP="00C55000">
            <w:pPr>
              <w:pStyle w:val="IASBTableArial"/>
            </w:pPr>
            <w:r>
              <w:t>Cash</w:t>
            </w:r>
          </w:p>
        </w:tc>
        <w:tc>
          <w:tcPr>
            <w:tcW w:w="1820" w:type="dxa"/>
            <w:gridSpan w:val="3"/>
            <w:tcBorders>
              <w:left w:val="nil"/>
            </w:tcBorders>
            <w:vAlign w:val="bottom"/>
          </w:tcPr>
          <w:p w:rsidR="00DF7C18" w:rsidRDefault="00DF7C18" w:rsidP="00C55000">
            <w:pPr>
              <w:pStyle w:val="IASBTableArial"/>
              <w:jc w:val="right"/>
            </w:pPr>
            <w:r>
              <w:t>CU8,071,707</w:t>
            </w:r>
          </w:p>
        </w:tc>
      </w:tr>
      <w:tr w:rsidR="00DF7C18" w:rsidTr="00C55000">
        <w:trPr>
          <w:cantSplit/>
        </w:trPr>
        <w:tc>
          <w:tcPr>
            <w:tcW w:w="703" w:type="dxa"/>
            <w:tcBorders>
              <w:top w:val="nil"/>
            </w:tcBorders>
            <w:vAlign w:val="bottom"/>
          </w:tcPr>
          <w:p w:rsidR="00DF7C18" w:rsidRDefault="00DF7C18" w:rsidP="00C55000">
            <w:pPr>
              <w:pStyle w:val="IASBTableArial"/>
            </w:pPr>
          </w:p>
        </w:tc>
        <w:tc>
          <w:tcPr>
            <w:tcW w:w="567" w:type="dxa"/>
            <w:tcBorders>
              <w:top w:val="nil"/>
              <w:left w:val="nil"/>
            </w:tcBorders>
            <w:vAlign w:val="bottom"/>
          </w:tcPr>
          <w:p w:rsidR="00DF7C18" w:rsidRDefault="00DF7C18" w:rsidP="00C55000">
            <w:pPr>
              <w:pStyle w:val="IASBTableArial"/>
            </w:pPr>
            <w:r>
              <w:t>Cr</w:t>
            </w:r>
          </w:p>
        </w:tc>
        <w:tc>
          <w:tcPr>
            <w:tcW w:w="3841" w:type="dxa"/>
            <w:gridSpan w:val="3"/>
            <w:tcBorders>
              <w:top w:val="nil"/>
              <w:left w:val="nil"/>
            </w:tcBorders>
          </w:tcPr>
          <w:p w:rsidR="00DF7C18" w:rsidRDefault="00DF7C18" w:rsidP="00C55000">
            <w:pPr>
              <w:pStyle w:val="IASBTableArial"/>
            </w:pPr>
            <w:r>
              <w:t>Asset (statement of financial position)</w:t>
            </w:r>
          </w:p>
        </w:tc>
        <w:tc>
          <w:tcPr>
            <w:tcW w:w="1820" w:type="dxa"/>
            <w:gridSpan w:val="4"/>
            <w:tcBorders>
              <w:top w:val="nil"/>
              <w:left w:val="nil"/>
            </w:tcBorders>
            <w:vAlign w:val="bottom"/>
          </w:tcPr>
          <w:p w:rsidR="00DF7C18" w:rsidRDefault="00DF7C18" w:rsidP="00C55000">
            <w:pPr>
              <w:pStyle w:val="IASBTableArial"/>
            </w:pPr>
          </w:p>
        </w:tc>
        <w:tc>
          <w:tcPr>
            <w:tcW w:w="1821" w:type="dxa"/>
            <w:gridSpan w:val="4"/>
            <w:tcBorders>
              <w:top w:val="nil"/>
              <w:left w:val="nil"/>
            </w:tcBorders>
            <w:vAlign w:val="bottom"/>
          </w:tcPr>
          <w:p w:rsidR="00DF7C18" w:rsidRDefault="00DF7C18" w:rsidP="00C55000">
            <w:pPr>
              <w:pStyle w:val="IASBTableArial"/>
              <w:jc w:val="right"/>
            </w:pPr>
            <w:r>
              <w:t>CU8,000,000</w:t>
            </w:r>
          </w:p>
        </w:tc>
      </w:tr>
      <w:tr w:rsidR="00DF7C18" w:rsidTr="00C55000">
        <w:trPr>
          <w:cantSplit/>
        </w:trPr>
        <w:tc>
          <w:tcPr>
            <w:tcW w:w="703" w:type="dxa"/>
            <w:tcBorders>
              <w:top w:val="nil"/>
            </w:tcBorders>
            <w:vAlign w:val="bottom"/>
          </w:tcPr>
          <w:p w:rsidR="00DF7C18" w:rsidRDefault="00DF7C18" w:rsidP="00C55000">
            <w:pPr>
              <w:pStyle w:val="IASBTableArial"/>
            </w:pPr>
          </w:p>
        </w:tc>
        <w:tc>
          <w:tcPr>
            <w:tcW w:w="567" w:type="dxa"/>
            <w:tcBorders>
              <w:top w:val="nil"/>
              <w:left w:val="nil"/>
            </w:tcBorders>
            <w:vAlign w:val="bottom"/>
          </w:tcPr>
          <w:p w:rsidR="00DF7C18" w:rsidRDefault="00DF7C18" w:rsidP="00C55000">
            <w:pPr>
              <w:pStyle w:val="IASBTableArial"/>
            </w:pPr>
            <w:r>
              <w:t>Cr</w:t>
            </w:r>
          </w:p>
        </w:tc>
        <w:tc>
          <w:tcPr>
            <w:tcW w:w="3841" w:type="dxa"/>
            <w:gridSpan w:val="3"/>
            <w:tcBorders>
              <w:top w:val="nil"/>
              <w:left w:val="nil"/>
            </w:tcBorders>
          </w:tcPr>
          <w:p w:rsidR="00DF7C18" w:rsidRDefault="00DF7C18" w:rsidP="00C55000">
            <w:pPr>
              <w:pStyle w:val="IASBTableArial"/>
            </w:pPr>
            <w:r>
              <w:t>Profit or loss (interest income)</w:t>
            </w:r>
          </w:p>
        </w:tc>
        <w:tc>
          <w:tcPr>
            <w:tcW w:w="1820" w:type="dxa"/>
            <w:gridSpan w:val="4"/>
            <w:tcBorders>
              <w:top w:val="nil"/>
              <w:left w:val="nil"/>
            </w:tcBorders>
            <w:vAlign w:val="bottom"/>
          </w:tcPr>
          <w:p w:rsidR="00DF7C18" w:rsidRDefault="00DF7C18" w:rsidP="00C55000">
            <w:pPr>
              <w:pStyle w:val="IASBTableArial"/>
            </w:pPr>
          </w:p>
        </w:tc>
        <w:tc>
          <w:tcPr>
            <w:tcW w:w="1821" w:type="dxa"/>
            <w:gridSpan w:val="4"/>
            <w:tcBorders>
              <w:top w:val="nil"/>
              <w:left w:val="nil"/>
            </w:tcBorders>
            <w:vAlign w:val="bottom"/>
          </w:tcPr>
          <w:p w:rsidR="00DF7C18" w:rsidRDefault="00DF7C18" w:rsidP="00C55000">
            <w:pPr>
              <w:pStyle w:val="IASBTableArial"/>
              <w:jc w:val="right"/>
            </w:pPr>
            <w:r>
              <w:t>CU71,707</w:t>
            </w:r>
          </w:p>
        </w:tc>
      </w:tr>
      <w:tr w:rsidR="00DF7C18" w:rsidTr="00C55000">
        <w:trPr>
          <w:gridAfter w:val="2"/>
          <w:wAfter w:w="468" w:type="dxa"/>
          <w:cantSplit/>
        </w:trPr>
        <w:tc>
          <w:tcPr>
            <w:tcW w:w="8284" w:type="dxa"/>
            <w:gridSpan w:val="11"/>
            <w:tcBorders>
              <w:top w:val="nil"/>
            </w:tcBorders>
            <w:vAlign w:val="bottom"/>
          </w:tcPr>
          <w:p w:rsidR="00DF7C18" w:rsidRDefault="00DF7C18" w:rsidP="00C55000">
            <w:pPr>
              <w:pStyle w:val="IASBTableArial"/>
            </w:pPr>
            <w:r>
              <w:rPr>
                <w:i/>
              </w:rPr>
              <w:t>To recognise the interest and cash received on maturity of the hedged amount (CU8 million).</w:t>
            </w:r>
          </w:p>
        </w:tc>
      </w:tr>
      <w:tr w:rsidR="00DF7C18" w:rsidTr="00C55000">
        <w:trPr>
          <w:gridAfter w:val="6"/>
          <w:wAfter w:w="2289" w:type="dxa"/>
          <w:cantSplit/>
        </w:trPr>
        <w:tc>
          <w:tcPr>
            <w:tcW w:w="703" w:type="dxa"/>
            <w:tcBorders>
              <w:top w:val="nil"/>
            </w:tcBorders>
            <w:vAlign w:val="bottom"/>
          </w:tcPr>
          <w:p w:rsidR="00DF7C18" w:rsidRDefault="00DF7C18" w:rsidP="00C55000">
            <w:pPr>
              <w:pStyle w:val="IASBTableArial"/>
            </w:pPr>
            <w:r>
              <w:t>Dr</w:t>
            </w:r>
          </w:p>
        </w:tc>
        <w:tc>
          <w:tcPr>
            <w:tcW w:w="3940" w:type="dxa"/>
            <w:gridSpan w:val="3"/>
            <w:tcBorders>
              <w:top w:val="nil"/>
              <w:left w:val="nil"/>
            </w:tcBorders>
          </w:tcPr>
          <w:p w:rsidR="00DF7C18" w:rsidRDefault="00DF7C18" w:rsidP="00C55000">
            <w:pPr>
              <w:pStyle w:val="IASBTableArial"/>
            </w:pPr>
            <w:r>
              <w:t>Profit or loss (interest expense)</w:t>
            </w:r>
          </w:p>
        </w:tc>
        <w:tc>
          <w:tcPr>
            <w:tcW w:w="1820" w:type="dxa"/>
            <w:gridSpan w:val="3"/>
            <w:tcBorders>
              <w:top w:val="nil"/>
              <w:left w:val="nil"/>
            </w:tcBorders>
            <w:vAlign w:val="bottom"/>
          </w:tcPr>
          <w:p w:rsidR="00DF7C18" w:rsidRDefault="00DF7C18" w:rsidP="00C55000">
            <w:pPr>
              <w:pStyle w:val="IASBTableArial"/>
              <w:jc w:val="right"/>
            </w:pPr>
            <w:r>
              <w:t>CU71,707</w:t>
            </w:r>
          </w:p>
        </w:tc>
      </w:tr>
      <w:tr w:rsidR="00DF7C18" w:rsidTr="00C55000">
        <w:trPr>
          <w:gridAfter w:val="3"/>
          <w:wAfter w:w="482" w:type="dxa"/>
          <w:cantSplit/>
        </w:trPr>
        <w:tc>
          <w:tcPr>
            <w:tcW w:w="703" w:type="dxa"/>
            <w:tcBorders>
              <w:top w:val="nil"/>
            </w:tcBorders>
            <w:vAlign w:val="bottom"/>
          </w:tcPr>
          <w:p w:rsidR="00DF7C18" w:rsidRDefault="00DF7C18" w:rsidP="00C55000">
            <w:pPr>
              <w:pStyle w:val="IASBTableArial"/>
            </w:pPr>
          </w:p>
        </w:tc>
        <w:tc>
          <w:tcPr>
            <w:tcW w:w="708" w:type="dxa"/>
            <w:gridSpan w:val="2"/>
            <w:tcBorders>
              <w:top w:val="nil"/>
              <w:left w:val="nil"/>
            </w:tcBorders>
            <w:vAlign w:val="bottom"/>
          </w:tcPr>
          <w:p w:rsidR="00DF7C18" w:rsidRDefault="00DF7C18" w:rsidP="00C55000">
            <w:pPr>
              <w:pStyle w:val="IASBTableArial"/>
            </w:pPr>
            <w:r>
              <w:t>Cr</w:t>
            </w:r>
          </w:p>
        </w:tc>
        <w:tc>
          <w:tcPr>
            <w:tcW w:w="3700" w:type="dxa"/>
            <w:gridSpan w:val="2"/>
            <w:tcBorders>
              <w:top w:val="nil"/>
              <w:left w:val="nil"/>
            </w:tcBorders>
          </w:tcPr>
          <w:p w:rsidR="00DF7C18" w:rsidRDefault="00DF7C18" w:rsidP="00C55000">
            <w:pPr>
              <w:pStyle w:val="IASBTableArial"/>
            </w:pPr>
            <w:r>
              <w:t>Profit or loss (interest income)</w:t>
            </w:r>
          </w:p>
        </w:tc>
        <w:tc>
          <w:tcPr>
            <w:tcW w:w="1367" w:type="dxa"/>
            <w:gridSpan w:val="3"/>
            <w:tcBorders>
              <w:top w:val="nil"/>
              <w:left w:val="nil"/>
            </w:tcBorders>
            <w:vAlign w:val="bottom"/>
          </w:tcPr>
          <w:p w:rsidR="00DF7C18" w:rsidRDefault="00DF7C18" w:rsidP="00C55000">
            <w:pPr>
              <w:pStyle w:val="IASBTableArial"/>
            </w:pPr>
          </w:p>
        </w:tc>
        <w:tc>
          <w:tcPr>
            <w:tcW w:w="1792" w:type="dxa"/>
            <w:gridSpan w:val="2"/>
            <w:tcBorders>
              <w:top w:val="nil"/>
              <w:left w:val="nil"/>
            </w:tcBorders>
            <w:vAlign w:val="bottom"/>
          </w:tcPr>
          <w:p w:rsidR="00DF7C18" w:rsidRDefault="00DF7C18" w:rsidP="00C55000">
            <w:pPr>
              <w:pStyle w:val="IASBTableArial"/>
              <w:jc w:val="right"/>
            </w:pPr>
            <w:r>
              <w:t>CU62,115</w:t>
            </w:r>
          </w:p>
        </w:tc>
      </w:tr>
      <w:tr w:rsidR="00DF7C18" w:rsidTr="00C55000">
        <w:trPr>
          <w:gridAfter w:val="3"/>
          <w:wAfter w:w="482" w:type="dxa"/>
          <w:cantSplit/>
        </w:trPr>
        <w:tc>
          <w:tcPr>
            <w:tcW w:w="703" w:type="dxa"/>
            <w:tcBorders>
              <w:top w:val="nil"/>
            </w:tcBorders>
            <w:vAlign w:val="bottom"/>
          </w:tcPr>
          <w:p w:rsidR="00DF7C18" w:rsidRDefault="00DF7C18" w:rsidP="00C55000">
            <w:pPr>
              <w:pStyle w:val="IASBTableArial"/>
            </w:pPr>
          </w:p>
        </w:tc>
        <w:tc>
          <w:tcPr>
            <w:tcW w:w="708" w:type="dxa"/>
            <w:gridSpan w:val="2"/>
            <w:tcBorders>
              <w:top w:val="nil"/>
              <w:left w:val="nil"/>
            </w:tcBorders>
            <w:vAlign w:val="bottom"/>
          </w:tcPr>
          <w:p w:rsidR="00DF7C18" w:rsidRDefault="00DF7C18" w:rsidP="00C55000">
            <w:pPr>
              <w:pStyle w:val="IASBTableArial"/>
            </w:pPr>
            <w:r>
              <w:t>Cr</w:t>
            </w:r>
          </w:p>
        </w:tc>
        <w:tc>
          <w:tcPr>
            <w:tcW w:w="3700" w:type="dxa"/>
            <w:gridSpan w:val="2"/>
            <w:tcBorders>
              <w:top w:val="nil"/>
              <w:left w:val="nil"/>
            </w:tcBorders>
          </w:tcPr>
          <w:p w:rsidR="00DF7C18" w:rsidRDefault="00DF7C18" w:rsidP="00C55000">
            <w:pPr>
              <w:pStyle w:val="IASBTableArial"/>
            </w:pPr>
            <w:r>
              <w:t>Cash</w:t>
            </w:r>
          </w:p>
        </w:tc>
        <w:tc>
          <w:tcPr>
            <w:tcW w:w="1367" w:type="dxa"/>
            <w:gridSpan w:val="3"/>
            <w:tcBorders>
              <w:top w:val="nil"/>
              <w:left w:val="nil"/>
            </w:tcBorders>
            <w:vAlign w:val="bottom"/>
          </w:tcPr>
          <w:p w:rsidR="00DF7C18" w:rsidRDefault="00DF7C18" w:rsidP="00C55000">
            <w:pPr>
              <w:pStyle w:val="IASBTableArial"/>
            </w:pPr>
          </w:p>
        </w:tc>
        <w:tc>
          <w:tcPr>
            <w:tcW w:w="1792" w:type="dxa"/>
            <w:gridSpan w:val="2"/>
            <w:tcBorders>
              <w:top w:val="nil"/>
              <w:left w:val="nil"/>
            </w:tcBorders>
            <w:vAlign w:val="bottom"/>
          </w:tcPr>
          <w:p w:rsidR="00DF7C18" w:rsidRDefault="00DF7C18" w:rsidP="00C55000">
            <w:pPr>
              <w:pStyle w:val="IASBTableArial"/>
              <w:jc w:val="right"/>
            </w:pPr>
            <w:r>
              <w:t>CU9,592</w:t>
            </w:r>
          </w:p>
        </w:tc>
      </w:tr>
      <w:tr w:rsidR="00DF7C18" w:rsidTr="00C55000">
        <w:trPr>
          <w:gridAfter w:val="2"/>
          <w:wAfter w:w="468" w:type="dxa"/>
          <w:cantSplit/>
        </w:trPr>
        <w:tc>
          <w:tcPr>
            <w:tcW w:w="8284" w:type="dxa"/>
            <w:gridSpan w:val="11"/>
            <w:tcBorders>
              <w:top w:val="nil"/>
            </w:tcBorders>
            <w:vAlign w:val="bottom"/>
          </w:tcPr>
          <w:p w:rsidR="00DF7C18" w:rsidRDefault="00DF7C18" w:rsidP="00C55000">
            <w:pPr>
              <w:pStyle w:val="IASBTableArial"/>
            </w:pPr>
            <w:r>
              <w:rPr>
                <w:i/>
              </w:rPr>
              <w:t>To recognise the interest received and paid on the portion of the swap designated as the hedging instrument (CU8 million).</w:t>
            </w:r>
          </w:p>
        </w:tc>
      </w:tr>
      <w:tr w:rsidR="00DF7C18" w:rsidTr="00C55000">
        <w:trPr>
          <w:gridAfter w:val="6"/>
          <w:wAfter w:w="2289" w:type="dxa"/>
          <w:cantSplit/>
        </w:trPr>
        <w:tc>
          <w:tcPr>
            <w:tcW w:w="703" w:type="dxa"/>
            <w:tcBorders>
              <w:top w:val="nil"/>
            </w:tcBorders>
            <w:vAlign w:val="bottom"/>
          </w:tcPr>
          <w:p w:rsidR="00DF7C18" w:rsidRDefault="00DF7C18" w:rsidP="00C55000">
            <w:pPr>
              <w:pStyle w:val="IASBTableArial"/>
            </w:pPr>
            <w:r>
              <w:t>Dr</w:t>
            </w:r>
          </w:p>
        </w:tc>
        <w:tc>
          <w:tcPr>
            <w:tcW w:w="3940" w:type="dxa"/>
            <w:gridSpan w:val="3"/>
            <w:tcBorders>
              <w:top w:val="nil"/>
              <w:left w:val="nil"/>
            </w:tcBorders>
          </w:tcPr>
          <w:p w:rsidR="00DF7C18" w:rsidRDefault="00DF7C18" w:rsidP="00C55000">
            <w:pPr>
              <w:pStyle w:val="IASBTableArial"/>
            </w:pPr>
            <w:r>
              <w:t>Derivative liability</w:t>
            </w:r>
          </w:p>
        </w:tc>
        <w:tc>
          <w:tcPr>
            <w:tcW w:w="1820" w:type="dxa"/>
            <w:gridSpan w:val="3"/>
            <w:tcBorders>
              <w:top w:val="nil"/>
              <w:left w:val="nil"/>
            </w:tcBorders>
            <w:vAlign w:val="bottom"/>
          </w:tcPr>
          <w:p w:rsidR="00DF7C18" w:rsidRDefault="00DF7C18" w:rsidP="00C55000">
            <w:pPr>
              <w:pStyle w:val="IASBTableArial"/>
              <w:jc w:val="right"/>
            </w:pPr>
            <w:r>
              <w:t>CU9,518</w:t>
            </w:r>
          </w:p>
        </w:tc>
      </w:tr>
      <w:tr w:rsidR="00DF7C18" w:rsidTr="00C55000">
        <w:trPr>
          <w:gridAfter w:val="2"/>
          <w:wAfter w:w="468" w:type="dxa"/>
          <w:cantSplit/>
        </w:trPr>
        <w:tc>
          <w:tcPr>
            <w:tcW w:w="703" w:type="dxa"/>
            <w:tcBorders>
              <w:top w:val="nil"/>
            </w:tcBorders>
            <w:vAlign w:val="bottom"/>
          </w:tcPr>
          <w:p w:rsidR="00DF7C18" w:rsidRDefault="00DF7C18" w:rsidP="00C55000">
            <w:pPr>
              <w:pStyle w:val="IASBTableArial"/>
            </w:pPr>
          </w:p>
        </w:tc>
        <w:tc>
          <w:tcPr>
            <w:tcW w:w="708" w:type="dxa"/>
            <w:gridSpan w:val="2"/>
            <w:tcBorders>
              <w:top w:val="nil"/>
              <w:left w:val="nil"/>
            </w:tcBorders>
            <w:vAlign w:val="bottom"/>
          </w:tcPr>
          <w:p w:rsidR="00DF7C18" w:rsidRDefault="00DF7C18" w:rsidP="00C55000">
            <w:pPr>
              <w:pStyle w:val="IASBTableArial"/>
            </w:pPr>
            <w:r>
              <w:t>Cr</w:t>
            </w:r>
          </w:p>
        </w:tc>
        <w:tc>
          <w:tcPr>
            <w:tcW w:w="3700" w:type="dxa"/>
            <w:gridSpan w:val="2"/>
            <w:tcBorders>
              <w:top w:val="nil"/>
              <w:left w:val="nil"/>
            </w:tcBorders>
          </w:tcPr>
          <w:p w:rsidR="00DF7C18" w:rsidRDefault="00DF7C18" w:rsidP="00C55000">
            <w:pPr>
              <w:pStyle w:val="IASBTableArial"/>
            </w:pPr>
            <w:r>
              <w:t>Profit or loss (gain)</w:t>
            </w:r>
          </w:p>
        </w:tc>
        <w:tc>
          <w:tcPr>
            <w:tcW w:w="1339" w:type="dxa"/>
            <w:tcBorders>
              <w:top w:val="nil"/>
              <w:left w:val="nil"/>
            </w:tcBorders>
            <w:vAlign w:val="bottom"/>
          </w:tcPr>
          <w:p w:rsidR="00DF7C18" w:rsidRDefault="00DF7C18" w:rsidP="00C55000">
            <w:pPr>
              <w:pStyle w:val="IASBTableArial"/>
            </w:pPr>
          </w:p>
        </w:tc>
        <w:tc>
          <w:tcPr>
            <w:tcW w:w="1834" w:type="dxa"/>
            <w:gridSpan w:val="5"/>
            <w:tcBorders>
              <w:top w:val="nil"/>
              <w:left w:val="nil"/>
            </w:tcBorders>
            <w:vAlign w:val="bottom"/>
          </w:tcPr>
          <w:p w:rsidR="00DF7C18" w:rsidRDefault="00DF7C18" w:rsidP="00C55000">
            <w:pPr>
              <w:pStyle w:val="IASBTableArial"/>
              <w:jc w:val="right"/>
            </w:pPr>
            <w:r>
              <w:t>CU9,518</w:t>
            </w:r>
          </w:p>
        </w:tc>
      </w:tr>
      <w:tr w:rsidR="00DF7C18" w:rsidTr="00C55000">
        <w:trPr>
          <w:gridAfter w:val="2"/>
          <w:wAfter w:w="468" w:type="dxa"/>
          <w:cantSplit/>
        </w:trPr>
        <w:tc>
          <w:tcPr>
            <w:tcW w:w="8284" w:type="dxa"/>
            <w:gridSpan w:val="11"/>
            <w:tcBorders>
              <w:top w:val="nil"/>
            </w:tcBorders>
            <w:vAlign w:val="bottom"/>
          </w:tcPr>
          <w:p w:rsidR="00DF7C18" w:rsidRPr="008112BF" w:rsidRDefault="00DF7C18" w:rsidP="008112BF">
            <w:pPr>
              <w:pStyle w:val="IASBTableArial"/>
              <w:rPr>
                <w:i/>
              </w:rPr>
            </w:pPr>
            <w:r>
              <w:rPr>
                <w:i/>
              </w:rPr>
              <w:t>To recognise the expiry of the portion of the swap designated as the hedging instrument (CU8 million).</w:t>
            </w:r>
          </w:p>
        </w:tc>
      </w:tr>
      <w:tr w:rsidR="00DF7C18" w:rsidTr="00C55000">
        <w:trPr>
          <w:gridAfter w:val="6"/>
          <w:wAfter w:w="2289" w:type="dxa"/>
          <w:cantSplit/>
        </w:trPr>
        <w:tc>
          <w:tcPr>
            <w:tcW w:w="703" w:type="dxa"/>
            <w:tcBorders>
              <w:top w:val="nil"/>
            </w:tcBorders>
            <w:vAlign w:val="bottom"/>
          </w:tcPr>
          <w:p w:rsidR="00DF7C18" w:rsidRDefault="00DF7C18" w:rsidP="00C55000">
            <w:pPr>
              <w:pStyle w:val="IASBTableArial"/>
            </w:pPr>
            <w:r>
              <w:t>Dr</w:t>
            </w:r>
          </w:p>
        </w:tc>
        <w:tc>
          <w:tcPr>
            <w:tcW w:w="3940" w:type="dxa"/>
            <w:gridSpan w:val="3"/>
            <w:tcBorders>
              <w:top w:val="nil"/>
              <w:left w:val="nil"/>
            </w:tcBorders>
          </w:tcPr>
          <w:p w:rsidR="00DF7C18" w:rsidRDefault="00DF7C18" w:rsidP="00C55000">
            <w:pPr>
              <w:pStyle w:val="IASBTableArial"/>
            </w:pPr>
            <w:r>
              <w:t>Profit or loss (loss)</w:t>
            </w:r>
          </w:p>
        </w:tc>
        <w:tc>
          <w:tcPr>
            <w:tcW w:w="1820" w:type="dxa"/>
            <w:gridSpan w:val="3"/>
            <w:tcBorders>
              <w:top w:val="nil"/>
              <w:left w:val="nil"/>
            </w:tcBorders>
            <w:vAlign w:val="bottom"/>
          </w:tcPr>
          <w:p w:rsidR="00DF7C18" w:rsidRDefault="00DF7C18" w:rsidP="00C55000">
            <w:pPr>
              <w:pStyle w:val="IASBTableArial"/>
              <w:jc w:val="right"/>
            </w:pPr>
            <w:r>
              <w:t>CU9,518</w:t>
            </w:r>
          </w:p>
        </w:tc>
      </w:tr>
      <w:tr w:rsidR="00DF7C18" w:rsidTr="00C55000">
        <w:trPr>
          <w:gridAfter w:val="1"/>
          <w:wAfter w:w="439" w:type="dxa"/>
          <w:cantSplit/>
        </w:trPr>
        <w:tc>
          <w:tcPr>
            <w:tcW w:w="703" w:type="dxa"/>
            <w:tcBorders>
              <w:top w:val="nil"/>
            </w:tcBorders>
            <w:vAlign w:val="bottom"/>
          </w:tcPr>
          <w:p w:rsidR="00DF7C18" w:rsidRDefault="00DF7C18" w:rsidP="00C55000">
            <w:pPr>
              <w:pStyle w:val="IASBTableArial"/>
            </w:pPr>
          </w:p>
        </w:tc>
        <w:tc>
          <w:tcPr>
            <w:tcW w:w="708" w:type="dxa"/>
            <w:gridSpan w:val="2"/>
            <w:tcBorders>
              <w:top w:val="nil"/>
              <w:left w:val="nil"/>
            </w:tcBorders>
          </w:tcPr>
          <w:p w:rsidR="00DF7C18" w:rsidRDefault="00DF7C18" w:rsidP="00C55000">
            <w:pPr>
              <w:pStyle w:val="IASBTableArial"/>
            </w:pPr>
            <w:r>
              <w:t>Cr</w:t>
            </w:r>
          </w:p>
        </w:tc>
        <w:tc>
          <w:tcPr>
            <w:tcW w:w="3700" w:type="dxa"/>
            <w:gridSpan w:val="2"/>
            <w:tcBorders>
              <w:top w:val="nil"/>
              <w:left w:val="nil"/>
            </w:tcBorders>
          </w:tcPr>
          <w:p w:rsidR="00DF7C18" w:rsidRDefault="00DF7C18" w:rsidP="00C55000">
            <w:pPr>
              <w:pStyle w:val="IASBTableArial"/>
            </w:pPr>
            <w:r>
              <w:t>Separate line item in the statement of financial position</w:t>
            </w:r>
          </w:p>
        </w:tc>
        <w:tc>
          <w:tcPr>
            <w:tcW w:w="1339" w:type="dxa"/>
            <w:tcBorders>
              <w:top w:val="nil"/>
              <w:left w:val="nil"/>
            </w:tcBorders>
            <w:vAlign w:val="bottom"/>
          </w:tcPr>
          <w:p w:rsidR="00DF7C18" w:rsidRDefault="00DF7C18" w:rsidP="00C55000">
            <w:pPr>
              <w:pStyle w:val="IASBTableArial"/>
            </w:pPr>
          </w:p>
        </w:tc>
        <w:tc>
          <w:tcPr>
            <w:tcW w:w="1863" w:type="dxa"/>
            <w:gridSpan w:val="6"/>
            <w:tcBorders>
              <w:top w:val="nil"/>
              <w:left w:val="nil"/>
            </w:tcBorders>
            <w:vAlign w:val="bottom"/>
          </w:tcPr>
          <w:p w:rsidR="00DF7C18" w:rsidRDefault="00DF7C18" w:rsidP="00C55000">
            <w:pPr>
              <w:pStyle w:val="IASBTableArial"/>
              <w:jc w:val="right"/>
            </w:pPr>
            <w:r>
              <w:t>CU9,518</w:t>
            </w:r>
          </w:p>
        </w:tc>
      </w:tr>
      <w:tr w:rsidR="00DF7C18" w:rsidTr="00C55000">
        <w:trPr>
          <w:gridAfter w:val="2"/>
          <w:wAfter w:w="468" w:type="dxa"/>
          <w:cantSplit/>
        </w:trPr>
        <w:tc>
          <w:tcPr>
            <w:tcW w:w="8284" w:type="dxa"/>
            <w:gridSpan w:val="11"/>
            <w:tcBorders>
              <w:top w:val="nil"/>
            </w:tcBorders>
            <w:vAlign w:val="bottom"/>
          </w:tcPr>
          <w:p w:rsidR="00DF7C18" w:rsidRPr="008112BF" w:rsidRDefault="00DF7C18" w:rsidP="008112BF">
            <w:pPr>
              <w:pStyle w:val="IASBTableArial"/>
              <w:rPr>
                <w:i/>
              </w:rPr>
            </w:pPr>
            <w:r>
              <w:rPr>
                <w:i/>
              </w:rPr>
              <w:t>To remove the remaining line item balance on expiry of the time period.</w:t>
            </w:r>
          </w:p>
        </w:tc>
      </w:tr>
    </w:tbl>
    <w:p w:rsidR="00DF7C18" w:rsidRDefault="00DF7C18" w:rsidP="00DF7C18">
      <w:pPr>
        <w:pStyle w:val="IASBNormalnpara"/>
      </w:pPr>
    </w:p>
    <w:p w:rsidR="00DF7C18" w:rsidRDefault="00DF7C18" w:rsidP="00DF7C18">
      <w:pPr>
        <w:pStyle w:val="IASBNormalnpara"/>
      </w:pPr>
      <w:r>
        <w:t>IE29</w:t>
      </w:r>
      <w:r>
        <w:tab/>
        <w:t>The net effect on profit or loss (excluding interest income and interest expense) is nil reflecting that the hedge is fully effective.</w:t>
      </w:r>
    </w:p>
    <w:p w:rsidR="00DF7C18" w:rsidRDefault="00DF7C18" w:rsidP="00DF7C18">
      <w:pPr>
        <w:pStyle w:val="IASBNormalnpara"/>
      </w:pPr>
      <w:r>
        <w:t>IE30</w:t>
      </w:r>
      <w:r>
        <w:tab/>
        <w:t>Entity A makes the following accounting entry to amortise the line item balance for this time period:</w:t>
      </w:r>
    </w:p>
    <w:p w:rsidR="00DF7C18" w:rsidRDefault="00DF7C18" w:rsidP="00DF7C18">
      <w:pPr>
        <w:pStyle w:val="IASBNormalnpara"/>
      </w:pPr>
    </w:p>
    <w:tbl>
      <w:tblPr>
        <w:tblW w:w="8284" w:type="dxa"/>
        <w:tblInd w:w="964" w:type="dxa"/>
        <w:tblLayout w:type="fixed"/>
        <w:tblLook w:val="0000" w:firstRow="0" w:lastRow="0" w:firstColumn="0" w:lastColumn="0" w:noHBand="0" w:noVBand="0"/>
        <w:tblCaption w:val="AASB 139 Table 8"/>
      </w:tblPr>
      <w:tblGrid>
        <w:gridCol w:w="704"/>
        <w:gridCol w:w="567"/>
        <w:gridCol w:w="1842"/>
        <w:gridCol w:w="1999"/>
        <w:gridCol w:w="1545"/>
        <w:gridCol w:w="1614"/>
        <w:gridCol w:w="13"/>
      </w:tblGrid>
      <w:tr w:rsidR="00DF7C18" w:rsidTr="00C55000">
        <w:trPr>
          <w:gridAfter w:val="2"/>
          <w:wAfter w:w="1627" w:type="dxa"/>
          <w:cantSplit/>
        </w:trPr>
        <w:tc>
          <w:tcPr>
            <w:tcW w:w="704" w:type="dxa"/>
            <w:vAlign w:val="bottom"/>
          </w:tcPr>
          <w:p w:rsidR="00DF7C18" w:rsidRDefault="00DF7C18" w:rsidP="00C55000">
            <w:pPr>
              <w:pStyle w:val="IASBTableArial"/>
            </w:pPr>
            <w:r>
              <w:t>Dr</w:t>
            </w:r>
          </w:p>
        </w:tc>
        <w:tc>
          <w:tcPr>
            <w:tcW w:w="2409" w:type="dxa"/>
            <w:gridSpan w:val="2"/>
            <w:tcBorders>
              <w:left w:val="nil"/>
            </w:tcBorders>
          </w:tcPr>
          <w:p w:rsidR="00DF7C18" w:rsidRDefault="00DF7C18" w:rsidP="00C55000">
            <w:pPr>
              <w:pStyle w:val="IASBTableArial"/>
            </w:pPr>
            <w:r>
              <w:t>Profit or loss (loss)</w:t>
            </w:r>
          </w:p>
        </w:tc>
        <w:tc>
          <w:tcPr>
            <w:tcW w:w="3544" w:type="dxa"/>
            <w:gridSpan w:val="2"/>
            <w:tcBorders>
              <w:left w:val="nil"/>
            </w:tcBorders>
            <w:vAlign w:val="bottom"/>
          </w:tcPr>
          <w:p w:rsidR="00DF7C18" w:rsidRDefault="00DF7C18" w:rsidP="00C55000">
            <w:pPr>
              <w:pStyle w:val="IASBTableArial"/>
              <w:jc w:val="right"/>
            </w:pPr>
            <w:r>
              <w:t>CU11,377</w:t>
            </w:r>
          </w:p>
        </w:tc>
      </w:tr>
      <w:tr w:rsidR="00DF7C18" w:rsidTr="00C55000">
        <w:trPr>
          <w:gridAfter w:val="1"/>
          <w:wAfter w:w="13" w:type="dxa"/>
          <w:cantSplit/>
        </w:trPr>
        <w:tc>
          <w:tcPr>
            <w:tcW w:w="704" w:type="dxa"/>
            <w:tcBorders>
              <w:top w:val="nil"/>
            </w:tcBorders>
            <w:vAlign w:val="bottom"/>
          </w:tcPr>
          <w:p w:rsidR="00DF7C18" w:rsidRDefault="00DF7C18" w:rsidP="00C55000">
            <w:pPr>
              <w:pStyle w:val="IASBTableArial"/>
            </w:pPr>
          </w:p>
        </w:tc>
        <w:tc>
          <w:tcPr>
            <w:tcW w:w="567" w:type="dxa"/>
            <w:tcBorders>
              <w:top w:val="nil"/>
              <w:left w:val="nil"/>
            </w:tcBorders>
          </w:tcPr>
          <w:p w:rsidR="00DF7C18" w:rsidRDefault="00DF7C18" w:rsidP="00C55000">
            <w:pPr>
              <w:pStyle w:val="IASBTableArial"/>
            </w:pPr>
            <w:r>
              <w:t>Cr</w:t>
            </w:r>
          </w:p>
        </w:tc>
        <w:tc>
          <w:tcPr>
            <w:tcW w:w="3841" w:type="dxa"/>
            <w:gridSpan w:val="2"/>
            <w:tcBorders>
              <w:top w:val="nil"/>
              <w:left w:val="nil"/>
            </w:tcBorders>
          </w:tcPr>
          <w:p w:rsidR="00DF7C18" w:rsidRDefault="00DF7C18" w:rsidP="00C55000">
            <w:pPr>
              <w:pStyle w:val="IASBTableArial"/>
            </w:pPr>
            <w:r>
              <w:t>Separate line item in the statement of financial position</w:t>
            </w:r>
          </w:p>
        </w:tc>
        <w:tc>
          <w:tcPr>
            <w:tcW w:w="1545" w:type="dxa"/>
            <w:tcBorders>
              <w:top w:val="nil"/>
              <w:left w:val="nil"/>
            </w:tcBorders>
            <w:vAlign w:val="bottom"/>
          </w:tcPr>
          <w:p w:rsidR="00DF7C18" w:rsidRDefault="00DF7C18" w:rsidP="00C55000">
            <w:pPr>
              <w:pStyle w:val="IASBTableArial"/>
            </w:pPr>
          </w:p>
        </w:tc>
        <w:tc>
          <w:tcPr>
            <w:tcW w:w="1614" w:type="dxa"/>
            <w:tcBorders>
              <w:top w:val="nil"/>
              <w:left w:val="nil"/>
            </w:tcBorders>
            <w:vAlign w:val="bottom"/>
          </w:tcPr>
          <w:p w:rsidR="00DF7C18" w:rsidRDefault="00DF7C18" w:rsidP="00C55000">
            <w:pPr>
              <w:pStyle w:val="IASBTableArial"/>
              <w:jc w:val="right"/>
            </w:pPr>
            <w:r>
              <w:t>CU11,377</w:t>
            </w:r>
            <w:r>
              <w:rPr>
                <w:vertAlign w:val="superscript"/>
              </w:rPr>
              <w:t>(a)</w:t>
            </w:r>
          </w:p>
        </w:tc>
      </w:tr>
      <w:tr w:rsidR="00DF7C18" w:rsidTr="008112BF">
        <w:trPr>
          <w:cantSplit/>
        </w:trPr>
        <w:tc>
          <w:tcPr>
            <w:tcW w:w="8284" w:type="dxa"/>
            <w:gridSpan w:val="7"/>
            <w:tcBorders>
              <w:top w:val="nil"/>
            </w:tcBorders>
            <w:vAlign w:val="bottom"/>
          </w:tcPr>
          <w:p w:rsidR="00DF7C18" w:rsidRPr="008112BF" w:rsidRDefault="00DF7C18" w:rsidP="008112BF">
            <w:pPr>
              <w:pStyle w:val="IASBTableArial"/>
              <w:rPr>
                <w:i/>
              </w:rPr>
            </w:pPr>
            <w:r>
              <w:rPr>
                <w:i/>
              </w:rPr>
              <w:t>To recognise the amortisation charge for the period.</w:t>
            </w:r>
          </w:p>
        </w:tc>
      </w:tr>
      <w:tr w:rsidR="00DF7C18" w:rsidTr="00C55000">
        <w:trPr>
          <w:cantSplit/>
        </w:trPr>
        <w:tc>
          <w:tcPr>
            <w:tcW w:w="8284" w:type="dxa"/>
            <w:gridSpan w:val="7"/>
            <w:tcBorders>
              <w:top w:val="nil"/>
            </w:tcBorders>
            <w:vAlign w:val="bottom"/>
          </w:tcPr>
          <w:p w:rsidR="00DF7C18" w:rsidRDefault="00DF7C18" w:rsidP="008112BF">
            <w:pPr>
              <w:pStyle w:val="IASBTableTNR"/>
              <w:ind w:left="397" w:hanging="397"/>
            </w:pPr>
            <w:r>
              <w:rPr>
                <w:rStyle w:val="FootnoteReference"/>
                <w:sz w:val="16"/>
                <w:vertAlign w:val="baseline"/>
              </w:rPr>
              <w:t>(a)</w:t>
            </w:r>
            <w:r>
              <w:rPr>
                <w:rStyle w:val="FootnoteReference"/>
                <w:sz w:val="16"/>
                <w:vertAlign w:val="baseline"/>
              </w:rPr>
              <w:tab/>
              <w:t>CU22,755 ÷ 2</w:t>
            </w:r>
          </w:p>
        </w:tc>
      </w:tr>
    </w:tbl>
    <w:p w:rsidR="00DF7C18" w:rsidRDefault="00DF7C18" w:rsidP="00DF7C18">
      <w:pPr>
        <w:pStyle w:val="IASBSectionTitle1NonInd"/>
      </w:pPr>
      <w:r>
        <w:t>Summary</w:t>
      </w:r>
    </w:p>
    <w:p w:rsidR="00DF7C18" w:rsidRDefault="00DF7C18" w:rsidP="00DF7C18">
      <w:pPr>
        <w:pStyle w:val="IASBNormalnpara"/>
      </w:pPr>
      <w:r>
        <w:t>IE31</w:t>
      </w:r>
      <w:r>
        <w:tab/>
        <w:t xml:space="preserve">The tables below summarise: </w:t>
      </w:r>
    </w:p>
    <w:p w:rsidR="00DF7C18" w:rsidRDefault="00DF7C18" w:rsidP="00DF7C18">
      <w:pPr>
        <w:pStyle w:val="IASBNormalnparaL1"/>
      </w:pPr>
      <w:r>
        <w:t>(a)</w:t>
      </w:r>
      <w:r>
        <w:tab/>
        <w:t>changes in the separate line item in the statement of financial position;</w:t>
      </w:r>
    </w:p>
    <w:p w:rsidR="00DF7C18" w:rsidRDefault="00DF7C18" w:rsidP="00DF7C18">
      <w:pPr>
        <w:pStyle w:val="IASBNormalnparaL1"/>
      </w:pPr>
      <w:r>
        <w:t>(b)</w:t>
      </w:r>
      <w:r>
        <w:tab/>
        <w:t>the fair value of the derivative;</w:t>
      </w:r>
    </w:p>
    <w:p w:rsidR="00DF7C18" w:rsidRDefault="00DF7C18" w:rsidP="00DF7C18">
      <w:pPr>
        <w:pStyle w:val="IASBNormalnparaL1"/>
      </w:pPr>
      <w:r>
        <w:t>(c)</w:t>
      </w:r>
      <w:r>
        <w:tab/>
        <w:t>the profit or loss effect of the hedge for the entire three-month period of the hedge; and</w:t>
      </w:r>
    </w:p>
    <w:p w:rsidR="00DF7C18" w:rsidRDefault="00DF7C18" w:rsidP="00DF7C18">
      <w:pPr>
        <w:pStyle w:val="IASBNormalnparaL1"/>
      </w:pPr>
      <w:r>
        <w:t>(d)</w:t>
      </w:r>
      <w:r>
        <w:tab/>
        <w:t>interest income and interest expense relating to the amount designated as hedged.</w:t>
      </w:r>
    </w:p>
    <w:p w:rsidR="00DF7C18" w:rsidRDefault="00DF7C18" w:rsidP="00DF7C18">
      <w:pPr>
        <w:pStyle w:val="IASBNormalnpara"/>
      </w:pPr>
      <w:r>
        <w:br w:type="page"/>
      </w:r>
    </w:p>
    <w:tbl>
      <w:tblPr>
        <w:tblW w:w="0" w:type="auto"/>
        <w:tblInd w:w="220" w:type="dxa"/>
        <w:tblLayout w:type="fixed"/>
        <w:tblLook w:val="0000" w:firstRow="0" w:lastRow="0" w:firstColumn="0" w:lastColumn="0" w:noHBand="0" w:noVBand="0"/>
        <w:tblCaption w:val="AASB 139 Table 9"/>
      </w:tblPr>
      <w:tblGrid>
        <w:gridCol w:w="314"/>
        <w:gridCol w:w="22"/>
        <w:gridCol w:w="14"/>
        <w:gridCol w:w="28"/>
        <w:gridCol w:w="14"/>
        <w:gridCol w:w="14"/>
        <w:gridCol w:w="1231"/>
        <w:gridCol w:w="236"/>
        <w:gridCol w:w="992"/>
        <w:gridCol w:w="66"/>
        <w:gridCol w:w="236"/>
        <w:gridCol w:w="1058"/>
        <w:gridCol w:w="100"/>
        <w:gridCol w:w="136"/>
        <w:gridCol w:w="1058"/>
        <w:gridCol w:w="236"/>
        <w:gridCol w:w="1058"/>
        <w:gridCol w:w="236"/>
        <w:gridCol w:w="1058"/>
      </w:tblGrid>
      <w:tr w:rsidR="00DF7C18" w:rsidTr="00C55000">
        <w:trPr>
          <w:cantSplit/>
        </w:trPr>
        <w:tc>
          <w:tcPr>
            <w:tcW w:w="1637" w:type="dxa"/>
            <w:gridSpan w:val="7"/>
          </w:tcPr>
          <w:p w:rsidR="00DF7C18" w:rsidRDefault="00DF7C18" w:rsidP="00C55000">
            <w:pPr>
              <w:pStyle w:val="IASBTableArial"/>
            </w:pPr>
            <w:r>
              <w:rPr>
                <w:b/>
                <w:sz w:val="15"/>
              </w:rPr>
              <w:t>Description</w:t>
            </w:r>
          </w:p>
        </w:tc>
        <w:tc>
          <w:tcPr>
            <w:tcW w:w="236" w:type="dxa"/>
            <w:tcBorders>
              <w:left w:val="nil"/>
            </w:tcBorders>
            <w:vAlign w:val="bottom"/>
          </w:tcPr>
          <w:p w:rsidR="00DF7C18" w:rsidRDefault="00DF7C18" w:rsidP="00C55000">
            <w:pPr>
              <w:pStyle w:val="IASBTableArial"/>
              <w:jc w:val="right"/>
            </w:pPr>
          </w:p>
        </w:tc>
        <w:tc>
          <w:tcPr>
            <w:tcW w:w="1058" w:type="dxa"/>
            <w:gridSpan w:val="2"/>
            <w:tcBorders>
              <w:left w:val="nil"/>
            </w:tcBorders>
          </w:tcPr>
          <w:p w:rsidR="00DF7C18" w:rsidRDefault="00DF7C18" w:rsidP="00C55000">
            <w:pPr>
              <w:pStyle w:val="IASBTableArial"/>
              <w:jc w:val="right"/>
            </w:pPr>
            <w:r>
              <w:rPr>
                <w:b/>
                <w:sz w:val="15"/>
              </w:rPr>
              <w:t>1 Jan</w:t>
            </w:r>
            <w:r>
              <w:rPr>
                <w:b/>
                <w:sz w:val="15"/>
              </w:rPr>
              <w:br/>
              <w:t>20X1</w:t>
            </w:r>
          </w:p>
        </w:tc>
        <w:tc>
          <w:tcPr>
            <w:tcW w:w="236" w:type="dxa"/>
            <w:tcBorders>
              <w:left w:val="nil"/>
            </w:tcBorders>
          </w:tcPr>
          <w:p w:rsidR="00DF7C18" w:rsidRDefault="00DF7C18" w:rsidP="00C55000">
            <w:pPr>
              <w:pStyle w:val="IASBTableArial"/>
              <w:jc w:val="right"/>
            </w:pPr>
          </w:p>
        </w:tc>
        <w:tc>
          <w:tcPr>
            <w:tcW w:w="1058" w:type="dxa"/>
            <w:tcBorders>
              <w:left w:val="nil"/>
            </w:tcBorders>
          </w:tcPr>
          <w:p w:rsidR="00DF7C18" w:rsidRDefault="00DF7C18" w:rsidP="00C55000">
            <w:pPr>
              <w:pStyle w:val="IASBTableArial"/>
              <w:jc w:val="right"/>
            </w:pPr>
            <w:r>
              <w:rPr>
                <w:b/>
                <w:sz w:val="15"/>
              </w:rPr>
              <w:t>31 Jan</w:t>
            </w:r>
            <w:r>
              <w:rPr>
                <w:b/>
                <w:sz w:val="15"/>
              </w:rPr>
              <w:br/>
              <w:t>20X1</w:t>
            </w:r>
          </w:p>
        </w:tc>
        <w:tc>
          <w:tcPr>
            <w:tcW w:w="236" w:type="dxa"/>
            <w:gridSpan w:val="2"/>
            <w:tcBorders>
              <w:left w:val="nil"/>
            </w:tcBorders>
          </w:tcPr>
          <w:p w:rsidR="00DF7C18" w:rsidRDefault="00DF7C18" w:rsidP="00C55000">
            <w:pPr>
              <w:pStyle w:val="IASBTableArial"/>
              <w:jc w:val="right"/>
            </w:pPr>
          </w:p>
        </w:tc>
        <w:tc>
          <w:tcPr>
            <w:tcW w:w="1058" w:type="dxa"/>
            <w:tcBorders>
              <w:left w:val="nil"/>
            </w:tcBorders>
          </w:tcPr>
          <w:p w:rsidR="00DF7C18" w:rsidRDefault="00DF7C18" w:rsidP="00C55000">
            <w:pPr>
              <w:pStyle w:val="IASBTableArial"/>
              <w:jc w:val="right"/>
            </w:pPr>
            <w:r>
              <w:rPr>
                <w:b/>
                <w:sz w:val="15"/>
              </w:rPr>
              <w:t>1 Feb</w:t>
            </w:r>
            <w:r>
              <w:rPr>
                <w:b/>
                <w:sz w:val="15"/>
              </w:rPr>
              <w:br/>
              <w:t>20X1</w:t>
            </w:r>
          </w:p>
        </w:tc>
        <w:tc>
          <w:tcPr>
            <w:tcW w:w="236" w:type="dxa"/>
            <w:tcBorders>
              <w:left w:val="nil"/>
            </w:tcBorders>
          </w:tcPr>
          <w:p w:rsidR="00DF7C18" w:rsidRDefault="00DF7C18" w:rsidP="00C55000">
            <w:pPr>
              <w:pStyle w:val="IASBTableArial"/>
              <w:jc w:val="right"/>
            </w:pPr>
          </w:p>
        </w:tc>
        <w:tc>
          <w:tcPr>
            <w:tcW w:w="1058" w:type="dxa"/>
            <w:tcBorders>
              <w:left w:val="nil"/>
            </w:tcBorders>
          </w:tcPr>
          <w:p w:rsidR="00DF7C18" w:rsidRDefault="00DF7C18" w:rsidP="00C55000">
            <w:pPr>
              <w:pStyle w:val="IASBTableArial"/>
              <w:jc w:val="right"/>
            </w:pPr>
            <w:r>
              <w:rPr>
                <w:b/>
                <w:sz w:val="15"/>
              </w:rPr>
              <w:t>28 Feb</w:t>
            </w:r>
            <w:r>
              <w:rPr>
                <w:b/>
                <w:sz w:val="15"/>
              </w:rPr>
              <w:br/>
              <w:t>20X1</w:t>
            </w:r>
          </w:p>
        </w:tc>
        <w:tc>
          <w:tcPr>
            <w:tcW w:w="236" w:type="dxa"/>
            <w:tcBorders>
              <w:left w:val="nil"/>
            </w:tcBorders>
          </w:tcPr>
          <w:p w:rsidR="00DF7C18" w:rsidRDefault="00DF7C18" w:rsidP="00C55000">
            <w:pPr>
              <w:pStyle w:val="IASBTableArial"/>
              <w:jc w:val="right"/>
            </w:pPr>
          </w:p>
        </w:tc>
        <w:tc>
          <w:tcPr>
            <w:tcW w:w="1058" w:type="dxa"/>
            <w:tcBorders>
              <w:left w:val="nil"/>
            </w:tcBorders>
          </w:tcPr>
          <w:p w:rsidR="00DF7C18" w:rsidRDefault="00DF7C18" w:rsidP="00C55000">
            <w:pPr>
              <w:pStyle w:val="IASBTableArial"/>
              <w:jc w:val="right"/>
            </w:pPr>
            <w:r>
              <w:rPr>
                <w:b/>
                <w:sz w:val="15"/>
              </w:rPr>
              <w:t>31 Mar</w:t>
            </w:r>
            <w:r>
              <w:rPr>
                <w:b/>
                <w:sz w:val="15"/>
              </w:rPr>
              <w:br/>
              <w:t>20X1</w:t>
            </w:r>
          </w:p>
        </w:tc>
      </w:tr>
      <w:tr w:rsidR="00DF7C18" w:rsidTr="00C55000">
        <w:trPr>
          <w:cantSplit/>
        </w:trPr>
        <w:tc>
          <w:tcPr>
            <w:tcW w:w="314" w:type="dxa"/>
            <w:tcBorders>
              <w:top w:val="nil"/>
            </w:tcBorders>
            <w:vAlign w:val="bottom"/>
          </w:tcPr>
          <w:p w:rsidR="00DF7C18" w:rsidRDefault="00DF7C18" w:rsidP="00C55000">
            <w:pPr>
              <w:pStyle w:val="IASBTableArial"/>
            </w:pPr>
          </w:p>
        </w:tc>
        <w:tc>
          <w:tcPr>
            <w:tcW w:w="1323" w:type="dxa"/>
            <w:gridSpan w:val="6"/>
            <w:tcBorders>
              <w:top w:val="nil"/>
              <w:left w:val="nil"/>
            </w:tcBorders>
            <w:vAlign w:val="center"/>
          </w:tcPr>
          <w:p w:rsidR="00DF7C18" w:rsidRDefault="00DF7C18" w:rsidP="00C55000">
            <w:pPr>
              <w:pStyle w:val="IASBTableArial"/>
            </w:pPr>
          </w:p>
        </w:tc>
        <w:tc>
          <w:tcPr>
            <w:tcW w:w="236" w:type="dxa"/>
            <w:tcBorders>
              <w:top w:val="nil"/>
              <w:left w:val="nil"/>
            </w:tcBorders>
            <w:vAlign w:val="bottom"/>
          </w:tcPr>
          <w:p w:rsidR="00DF7C18" w:rsidRDefault="00DF7C18" w:rsidP="00C55000">
            <w:pPr>
              <w:pStyle w:val="IASBTableArial"/>
              <w:jc w:val="right"/>
            </w:pPr>
          </w:p>
        </w:tc>
        <w:tc>
          <w:tcPr>
            <w:tcW w:w="1058" w:type="dxa"/>
            <w:gridSpan w:val="2"/>
            <w:tcBorders>
              <w:top w:val="nil"/>
              <w:left w:val="nil"/>
            </w:tcBorders>
          </w:tcPr>
          <w:p w:rsidR="00DF7C18" w:rsidRDefault="00DF7C18" w:rsidP="00C55000">
            <w:pPr>
              <w:pStyle w:val="IASBTableArial"/>
              <w:jc w:val="right"/>
            </w:pPr>
            <w:r>
              <w:rPr>
                <w:b/>
                <w:sz w:val="15"/>
              </w:rPr>
              <w:t>CU</w:t>
            </w:r>
          </w:p>
        </w:tc>
        <w:tc>
          <w:tcPr>
            <w:tcW w:w="236" w:type="dxa"/>
            <w:tcBorders>
              <w:top w:val="nil"/>
              <w:left w:val="nil"/>
            </w:tcBorders>
          </w:tcPr>
          <w:p w:rsidR="00DF7C18" w:rsidRDefault="00DF7C18" w:rsidP="00C55000">
            <w:pPr>
              <w:pStyle w:val="IASBTableArial"/>
              <w:jc w:val="right"/>
            </w:pPr>
          </w:p>
        </w:tc>
        <w:tc>
          <w:tcPr>
            <w:tcW w:w="1058" w:type="dxa"/>
            <w:tcBorders>
              <w:top w:val="nil"/>
              <w:left w:val="nil"/>
            </w:tcBorders>
          </w:tcPr>
          <w:p w:rsidR="00DF7C18" w:rsidRDefault="00DF7C18" w:rsidP="00C55000">
            <w:pPr>
              <w:pStyle w:val="IASBTableArial"/>
              <w:jc w:val="right"/>
            </w:pPr>
            <w:r>
              <w:rPr>
                <w:b/>
                <w:sz w:val="15"/>
              </w:rPr>
              <w:t>CU</w:t>
            </w:r>
          </w:p>
        </w:tc>
        <w:tc>
          <w:tcPr>
            <w:tcW w:w="236" w:type="dxa"/>
            <w:gridSpan w:val="2"/>
            <w:tcBorders>
              <w:top w:val="nil"/>
              <w:left w:val="nil"/>
            </w:tcBorders>
          </w:tcPr>
          <w:p w:rsidR="00DF7C18" w:rsidRDefault="00DF7C18" w:rsidP="00C55000">
            <w:pPr>
              <w:pStyle w:val="IASBTableArial"/>
              <w:jc w:val="right"/>
            </w:pPr>
          </w:p>
        </w:tc>
        <w:tc>
          <w:tcPr>
            <w:tcW w:w="1058" w:type="dxa"/>
            <w:tcBorders>
              <w:top w:val="nil"/>
              <w:left w:val="nil"/>
            </w:tcBorders>
          </w:tcPr>
          <w:p w:rsidR="00DF7C18" w:rsidRDefault="00DF7C18" w:rsidP="00C55000">
            <w:pPr>
              <w:pStyle w:val="IASBTableArial"/>
              <w:jc w:val="right"/>
            </w:pPr>
            <w:r>
              <w:rPr>
                <w:b/>
                <w:sz w:val="15"/>
              </w:rPr>
              <w:t>CU</w:t>
            </w:r>
          </w:p>
        </w:tc>
        <w:tc>
          <w:tcPr>
            <w:tcW w:w="236" w:type="dxa"/>
            <w:tcBorders>
              <w:top w:val="nil"/>
              <w:left w:val="nil"/>
            </w:tcBorders>
          </w:tcPr>
          <w:p w:rsidR="00DF7C18" w:rsidRDefault="00DF7C18" w:rsidP="00C55000">
            <w:pPr>
              <w:pStyle w:val="IASBTableArial"/>
              <w:jc w:val="right"/>
            </w:pPr>
          </w:p>
        </w:tc>
        <w:tc>
          <w:tcPr>
            <w:tcW w:w="1058" w:type="dxa"/>
            <w:tcBorders>
              <w:top w:val="nil"/>
              <w:left w:val="nil"/>
            </w:tcBorders>
          </w:tcPr>
          <w:p w:rsidR="00DF7C18" w:rsidRDefault="00DF7C18" w:rsidP="00C55000">
            <w:pPr>
              <w:pStyle w:val="IASBTableArial"/>
              <w:jc w:val="right"/>
            </w:pPr>
            <w:r>
              <w:rPr>
                <w:b/>
                <w:sz w:val="15"/>
              </w:rPr>
              <w:t>CU</w:t>
            </w:r>
          </w:p>
        </w:tc>
        <w:tc>
          <w:tcPr>
            <w:tcW w:w="236" w:type="dxa"/>
            <w:tcBorders>
              <w:top w:val="nil"/>
              <w:left w:val="nil"/>
            </w:tcBorders>
          </w:tcPr>
          <w:p w:rsidR="00DF7C18" w:rsidRDefault="00DF7C18" w:rsidP="00C55000">
            <w:pPr>
              <w:pStyle w:val="IASBTableArial"/>
              <w:jc w:val="right"/>
            </w:pPr>
          </w:p>
        </w:tc>
        <w:tc>
          <w:tcPr>
            <w:tcW w:w="1058" w:type="dxa"/>
            <w:tcBorders>
              <w:top w:val="nil"/>
              <w:left w:val="nil"/>
            </w:tcBorders>
          </w:tcPr>
          <w:p w:rsidR="00DF7C18" w:rsidRDefault="00DF7C18" w:rsidP="00C55000">
            <w:pPr>
              <w:pStyle w:val="IASBTableArial"/>
              <w:jc w:val="right"/>
            </w:pPr>
            <w:r>
              <w:rPr>
                <w:b/>
                <w:sz w:val="15"/>
              </w:rPr>
              <w:t>CU</w:t>
            </w:r>
          </w:p>
        </w:tc>
      </w:tr>
      <w:tr w:rsidR="00DF7C18" w:rsidTr="00C55000">
        <w:trPr>
          <w:cantSplit/>
        </w:trPr>
        <w:tc>
          <w:tcPr>
            <w:tcW w:w="1873" w:type="dxa"/>
            <w:gridSpan w:val="8"/>
            <w:tcBorders>
              <w:top w:val="nil"/>
            </w:tcBorders>
            <w:vAlign w:val="bottom"/>
          </w:tcPr>
          <w:p w:rsidR="00DF7C18" w:rsidRDefault="00DF7C18" w:rsidP="00C55000">
            <w:pPr>
              <w:pStyle w:val="IASBTableArial"/>
            </w:pPr>
            <w:r>
              <w:rPr>
                <w:b/>
                <w:sz w:val="15"/>
              </w:rPr>
              <w:t>Amount of asset hedged</w:t>
            </w:r>
          </w:p>
        </w:tc>
        <w:tc>
          <w:tcPr>
            <w:tcW w:w="1058" w:type="dxa"/>
            <w:gridSpan w:val="2"/>
            <w:tcBorders>
              <w:top w:val="nil"/>
              <w:left w:val="nil"/>
            </w:tcBorders>
            <w:vAlign w:val="bottom"/>
          </w:tcPr>
          <w:p w:rsidR="00DF7C18" w:rsidRDefault="00DF7C18" w:rsidP="00C55000">
            <w:pPr>
              <w:pStyle w:val="IASBTableArial"/>
              <w:jc w:val="right"/>
            </w:pPr>
            <w:r>
              <w:rPr>
                <w:b/>
                <w:sz w:val="15"/>
              </w:rPr>
              <w:t>20,000,000</w:t>
            </w:r>
          </w:p>
        </w:tc>
        <w:tc>
          <w:tcPr>
            <w:tcW w:w="1294" w:type="dxa"/>
            <w:gridSpan w:val="2"/>
            <w:tcBorders>
              <w:top w:val="nil"/>
              <w:left w:val="nil"/>
            </w:tcBorders>
            <w:vAlign w:val="bottom"/>
          </w:tcPr>
          <w:p w:rsidR="00DF7C18" w:rsidRDefault="00DF7C18" w:rsidP="00C55000">
            <w:pPr>
              <w:pStyle w:val="IASBTableArial"/>
              <w:jc w:val="right"/>
            </w:pPr>
            <w:r>
              <w:rPr>
                <w:b/>
                <w:sz w:val="15"/>
              </w:rPr>
              <w:t>19,200,000</w:t>
            </w:r>
          </w:p>
        </w:tc>
        <w:tc>
          <w:tcPr>
            <w:tcW w:w="1294" w:type="dxa"/>
            <w:gridSpan w:val="3"/>
            <w:tcBorders>
              <w:top w:val="nil"/>
              <w:left w:val="nil"/>
            </w:tcBorders>
            <w:vAlign w:val="bottom"/>
          </w:tcPr>
          <w:p w:rsidR="00DF7C18" w:rsidRDefault="00DF7C18" w:rsidP="00C55000">
            <w:pPr>
              <w:pStyle w:val="IASBTableArial"/>
              <w:jc w:val="right"/>
            </w:pPr>
            <w:r>
              <w:rPr>
                <w:b/>
                <w:sz w:val="15"/>
              </w:rPr>
              <w:t>8,000,000</w:t>
            </w:r>
          </w:p>
        </w:tc>
        <w:tc>
          <w:tcPr>
            <w:tcW w:w="1294" w:type="dxa"/>
            <w:gridSpan w:val="2"/>
            <w:tcBorders>
              <w:top w:val="nil"/>
              <w:left w:val="nil"/>
            </w:tcBorders>
            <w:vAlign w:val="bottom"/>
          </w:tcPr>
          <w:p w:rsidR="00DF7C18" w:rsidRDefault="00DF7C18" w:rsidP="00C55000">
            <w:pPr>
              <w:pStyle w:val="IASBTableArial"/>
              <w:jc w:val="right"/>
            </w:pPr>
            <w:r>
              <w:rPr>
                <w:b/>
                <w:sz w:val="15"/>
              </w:rPr>
              <w:t>8,000,000</w:t>
            </w:r>
          </w:p>
        </w:tc>
        <w:tc>
          <w:tcPr>
            <w:tcW w:w="1294" w:type="dxa"/>
            <w:gridSpan w:val="2"/>
            <w:tcBorders>
              <w:top w:val="nil"/>
              <w:left w:val="nil"/>
            </w:tcBorders>
            <w:vAlign w:val="bottom"/>
          </w:tcPr>
          <w:p w:rsidR="00DF7C18" w:rsidRDefault="00DF7C18" w:rsidP="00C55000">
            <w:pPr>
              <w:pStyle w:val="IASBTableArial"/>
              <w:jc w:val="right"/>
            </w:pPr>
            <w:r>
              <w:rPr>
                <w:b/>
                <w:sz w:val="15"/>
              </w:rPr>
              <w:t>8,000,000</w:t>
            </w:r>
          </w:p>
        </w:tc>
      </w:tr>
      <w:tr w:rsidR="00DF7C18" w:rsidTr="00C55000">
        <w:trPr>
          <w:cantSplit/>
        </w:trPr>
        <w:tc>
          <w:tcPr>
            <w:tcW w:w="8107" w:type="dxa"/>
            <w:gridSpan w:val="19"/>
            <w:tcBorders>
              <w:top w:val="nil"/>
            </w:tcBorders>
            <w:vAlign w:val="bottom"/>
          </w:tcPr>
          <w:p w:rsidR="00DF7C18" w:rsidRDefault="00DF7C18" w:rsidP="00C55000">
            <w:pPr>
              <w:pStyle w:val="IASBTableArial"/>
            </w:pPr>
            <w:r>
              <w:rPr>
                <w:b/>
                <w:sz w:val="15"/>
              </w:rPr>
              <w:t>(a) Changes in the separate line item in the statement of financial position</w:t>
            </w:r>
          </w:p>
        </w:tc>
      </w:tr>
      <w:tr w:rsidR="007908DE" w:rsidTr="007908DE">
        <w:trPr>
          <w:cantSplit/>
        </w:trPr>
        <w:tc>
          <w:tcPr>
            <w:tcW w:w="1873" w:type="dxa"/>
            <w:gridSpan w:val="8"/>
            <w:tcBorders>
              <w:top w:val="nil"/>
            </w:tcBorders>
            <w:vAlign w:val="bottom"/>
          </w:tcPr>
          <w:p w:rsidR="007908DE" w:rsidRDefault="007908DE" w:rsidP="00C55000">
            <w:pPr>
              <w:pStyle w:val="IASBTableArial"/>
            </w:pPr>
            <w:r>
              <w:rPr>
                <w:sz w:val="15"/>
              </w:rPr>
              <w:t>Brought forward:</w:t>
            </w:r>
          </w:p>
        </w:tc>
        <w:tc>
          <w:tcPr>
            <w:tcW w:w="992" w:type="dxa"/>
            <w:tcBorders>
              <w:top w:val="nil"/>
              <w:left w:val="nil"/>
            </w:tcBorders>
            <w:vAlign w:val="bottom"/>
          </w:tcPr>
          <w:p w:rsidR="007908DE" w:rsidRDefault="007908DE" w:rsidP="00C55000">
            <w:pPr>
              <w:pStyle w:val="IASBTableArial"/>
            </w:pPr>
          </w:p>
        </w:tc>
        <w:tc>
          <w:tcPr>
            <w:tcW w:w="302" w:type="dxa"/>
            <w:gridSpan w:val="2"/>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pPr>
          </w:p>
        </w:tc>
        <w:tc>
          <w:tcPr>
            <w:tcW w:w="236" w:type="dxa"/>
            <w:gridSpan w:val="2"/>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pPr>
          </w:p>
        </w:tc>
        <w:tc>
          <w:tcPr>
            <w:tcW w:w="236" w:type="dxa"/>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pPr>
          </w:p>
        </w:tc>
        <w:tc>
          <w:tcPr>
            <w:tcW w:w="236" w:type="dxa"/>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pPr>
          </w:p>
        </w:tc>
      </w:tr>
      <w:tr w:rsidR="007908DE" w:rsidTr="007908DE">
        <w:trPr>
          <w:cantSplit/>
        </w:trPr>
        <w:tc>
          <w:tcPr>
            <w:tcW w:w="336" w:type="dxa"/>
            <w:gridSpan w:val="2"/>
            <w:tcBorders>
              <w:top w:val="nil"/>
            </w:tcBorders>
            <w:vAlign w:val="bottom"/>
          </w:tcPr>
          <w:p w:rsidR="007908DE" w:rsidRDefault="007908DE" w:rsidP="00C55000">
            <w:pPr>
              <w:pStyle w:val="IASBTableArial"/>
            </w:pPr>
          </w:p>
        </w:tc>
        <w:tc>
          <w:tcPr>
            <w:tcW w:w="1537" w:type="dxa"/>
            <w:gridSpan w:val="6"/>
            <w:tcBorders>
              <w:top w:val="nil"/>
              <w:left w:val="nil"/>
            </w:tcBorders>
            <w:vAlign w:val="bottom"/>
          </w:tcPr>
          <w:p w:rsidR="007908DE" w:rsidRDefault="007908DE" w:rsidP="00C55000">
            <w:pPr>
              <w:pStyle w:val="IASBTableArial"/>
            </w:pPr>
            <w:r>
              <w:rPr>
                <w:sz w:val="15"/>
              </w:rPr>
              <w:t>Balance to be amortised</w:t>
            </w:r>
          </w:p>
        </w:tc>
        <w:tc>
          <w:tcPr>
            <w:tcW w:w="992" w:type="dxa"/>
            <w:tcBorders>
              <w:top w:val="nil"/>
              <w:left w:val="nil"/>
            </w:tcBorders>
            <w:vAlign w:val="bottom"/>
          </w:tcPr>
          <w:p w:rsidR="007908DE" w:rsidRDefault="007908DE" w:rsidP="00C55000">
            <w:pPr>
              <w:pStyle w:val="IASBTableArial"/>
              <w:jc w:val="right"/>
            </w:pPr>
            <w:r>
              <w:rPr>
                <w:sz w:val="15"/>
              </w:rPr>
              <w:t>Nil</w:t>
            </w:r>
          </w:p>
        </w:tc>
        <w:tc>
          <w:tcPr>
            <w:tcW w:w="302" w:type="dxa"/>
            <w:gridSpan w:val="2"/>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Nil</w:t>
            </w:r>
          </w:p>
        </w:tc>
        <w:tc>
          <w:tcPr>
            <w:tcW w:w="236" w:type="dxa"/>
            <w:gridSpan w:val="2"/>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Nil</w:t>
            </w:r>
          </w:p>
        </w:tc>
        <w:tc>
          <w:tcPr>
            <w:tcW w:w="236" w:type="dxa"/>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22,755</w:t>
            </w:r>
          </w:p>
        </w:tc>
        <w:tc>
          <w:tcPr>
            <w:tcW w:w="236" w:type="dxa"/>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11,377</w:t>
            </w:r>
          </w:p>
        </w:tc>
      </w:tr>
      <w:tr w:rsidR="007908DE" w:rsidTr="007908DE">
        <w:trPr>
          <w:cantSplit/>
        </w:trPr>
        <w:tc>
          <w:tcPr>
            <w:tcW w:w="336" w:type="dxa"/>
            <w:gridSpan w:val="2"/>
            <w:tcBorders>
              <w:top w:val="nil"/>
            </w:tcBorders>
            <w:vAlign w:val="bottom"/>
          </w:tcPr>
          <w:p w:rsidR="007908DE" w:rsidRDefault="007908DE" w:rsidP="00C55000">
            <w:pPr>
              <w:pStyle w:val="IASBTableArial"/>
            </w:pPr>
          </w:p>
        </w:tc>
        <w:tc>
          <w:tcPr>
            <w:tcW w:w="1537" w:type="dxa"/>
            <w:gridSpan w:val="6"/>
            <w:tcBorders>
              <w:top w:val="nil"/>
              <w:left w:val="nil"/>
            </w:tcBorders>
            <w:vAlign w:val="bottom"/>
          </w:tcPr>
          <w:p w:rsidR="007908DE" w:rsidRDefault="007908DE" w:rsidP="00C55000">
            <w:pPr>
              <w:pStyle w:val="IASBTableArial"/>
            </w:pPr>
            <w:r>
              <w:rPr>
                <w:sz w:val="15"/>
              </w:rPr>
              <w:t>Remaining balance</w:t>
            </w:r>
          </w:p>
        </w:tc>
        <w:tc>
          <w:tcPr>
            <w:tcW w:w="992" w:type="dxa"/>
            <w:tcBorders>
              <w:top w:val="nil"/>
              <w:left w:val="nil"/>
            </w:tcBorders>
            <w:vAlign w:val="bottom"/>
          </w:tcPr>
          <w:p w:rsidR="007908DE" w:rsidRDefault="007908DE" w:rsidP="00C55000">
            <w:pPr>
              <w:pStyle w:val="IASBTableArial"/>
              <w:jc w:val="right"/>
            </w:pPr>
            <w:r>
              <w:rPr>
                <w:sz w:val="15"/>
              </w:rPr>
              <w:t>Nil</w:t>
            </w:r>
          </w:p>
        </w:tc>
        <w:tc>
          <w:tcPr>
            <w:tcW w:w="302" w:type="dxa"/>
            <w:gridSpan w:val="2"/>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Nil</w:t>
            </w:r>
          </w:p>
        </w:tc>
        <w:tc>
          <w:tcPr>
            <w:tcW w:w="236" w:type="dxa"/>
            <w:gridSpan w:val="2"/>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45,511</w:t>
            </w:r>
          </w:p>
        </w:tc>
        <w:tc>
          <w:tcPr>
            <w:tcW w:w="236" w:type="dxa"/>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18,963</w:t>
            </w:r>
          </w:p>
        </w:tc>
        <w:tc>
          <w:tcPr>
            <w:tcW w:w="236" w:type="dxa"/>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9,518</w:t>
            </w:r>
          </w:p>
        </w:tc>
      </w:tr>
      <w:tr w:rsidR="007908DE" w:rsidTr="007908DE">
        <w:trPr>
          <w:cantSplit/>
        </w:trPr>
        <w:tc>
          <w:tcPr>
            <w:tcW w:w="1873" w:type="dxa"/>
            <w:gridSpan w:val="8"/>
            <w:tcBorders>
              <w:top w:val="nil"/>
            </w:tcBorders>
            <w:vAlign w:val="bottom"/>
          </w:tcPr>
          <w:p w:rsidR="007908DE" w:rsidRDefault="007908DE" w:rsidP="00C55000">
            <w:pPr>
              <w:pStyle w:val="IASBTableArial"/>
            </w:pPr>
            <w:r>
              <w:rPr>
                <w:sz w:val="15"/>
              </w:rPr>
              <w:t>Less: Adjustment on sale of asset</w:t>
            </w:r>
          </w:p>
        </w:tc>
        <w:tc>
          <w:tcPr>
            <w:tcW w:w="992" w:type="dxa"/>
            <w:tcBorders>
              <w:top w:val="nil"/>
              <w:left w:val="nil"/>
            </w:tcBorders>
            <w:vAlign w:val="bottom"/>
          </w:tcPr>
          <w:p w:rsidR="007908DE" w:rsidRDefault="007908DE" w:rsidP="00C55000">
            <w:pPr>
              <w:pStyle w:val="IASBTableArial"/>
              <w:jc w:val="right"/>
            </w:pPr>
            <w:r>
              <w:rPr>
                <w:sz w:val="15"/>
              </w:rPr>
              <w:t>Nil</w:t>
            </w:r>
          </w:p>
        </w:tc>
        <w:tc>
          <w:tcPr>
            <w:tcW w:w="302" w:type="dxa"/>
            <w:gridSpan w:val="2"/>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Nil</w:t>
            </w:r>
          </w:p>
        </w:tc>
        <w:tc>
          <w:tcPr>
            <w:tcW w:w="236" w:type="dxa"/>
            <w:gridSpan w:val="2"/>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(3,793)</w:t>
            </w:r>
          </w:p>
        </w:tc>
        <w:tc>
          <w:tcPr>
            <w:tcW w:w="236" w:type="dxa"/>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Nil</w:t>
            </w:r>
          </w:p>
        </w:tc>
        <w:tc>
          <w:tcPr>
            <w:tcW w:w="236" w:type="dxa"/>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Nil</w:t>
            </w:r>
          </w:p>
        </w:tc>
      </w:tr>
      <w:tr w:rsidR="007908DE" w:rsidTr="007908DE">
        <w:trPr>
          <w:cantSplit/>
        </w:trPr>
        <w:tc>
          <w:tcPr>
            <w:tcW w:w="1873" w:type="dxa"/>
            <w:gridSpan w:val="8"/>
            <w:tcBorders>
              <w:top w:val="nil"/>
            </w:tcBorders>
            <w:vAlign w:val="bottom"/>
          </w:tcPr>
          <w:p w:rsidR="007908DE" w:rsidRDefault="007908DE" w:rsidP="00C55000">
            <w:pPr>
              <w:pStyle w:val="IASBTableArial"/>
            </w:pPr>
            <w:r>
              <w:rPr>
                <w:sz w:val="15"/>
              </w:rPr>
              <w:t>Adjustment for change in fair value of the hedged asset</w:t>
            </w:r>
          </w:p>
        </w:tc>
        <w:tc>
          <w:tcPr>
            <w:tcW w:w="992" w:type="dxa"/>
            <w:tcBorders>
              <w:top w:val="nil"/>
              <w:left w:val="nil"/>
            </w:tcBorders>
            <w:vAlign w:val="bottom"/>
          </w:tcPr>
          <w:p w:rsidR="007908DE" w:rsidRDefault="007908DE" w:rsidP="00C55000">
            <w:pPr>
              <w:pStyle w:val="IASBTableArial"/>
              <w:jc w:val="right"/>
            </w:pPr>
            <w:r>
              <w:rPr>
                <w:sz w:val="15"/>
              </w:rPr>
              <w:t>Nil</w:t>
            </w:r>
          </w:p>
        </w:tc>
        <w:tc>
          <w:tcPr>
            <w:tcW w:w="302" w:type="dxa"/>
            <w:gridSpan w:val="2"/>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45,511</w:t>
            </w:r>
          </w:p>
        </w:tc>
        <w:tc>
          <w:tcPr>
            <w:tcW w:w="236" w:type="dxa"/>
            <w:gridSpan w:val="2"/>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Nil</w:t>
            </w:r>
          </w:p>
        </w:tc>
        <w:tc>
          <w:tcPr>
            <w:tcW w:w="236" w:type="dxa"/>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(9,445)</w:t>
            </w:r>
          </w:p>
        </w:tc>
        <w:tc>
          <w:tcPr>
            <w:tcW w:w="236" w:type="dxa"/>
            <w:tcBorders>
              <w:top w:val="nil"/>
              <w:left w:val="nil"/>
            </w:tcBorders>
            <w:vAlign w:val="bottom"/>
          </w:tcPr>
          <w:p w:rsidR="007908DE" w:rsidRDefault="007908DE" w:rsidP="00C55000">
            <w:pPr>
              <w:pStyle w:val="IASBTableArial"/>
            </w:pPr>
          </w:p>
        </w:tc>
        <w:tc>
          <w:tcPr>
            <w:tcW w:w="1058" w:type="dxa"/>
            <w:tcBorders>
              <w:top w:val="nil"/>
              <w:left w:val="nil"/>
            </w:tcBorders>
            <w:vAlign w:val="bottom"/>
          </w:tcPr>
          <w:p w:rsidR="007908DE" w:rsidRDefault="007908DE" w:rsidP="00C55000">
            <w:pPr>
              <w:pStyle w:val="IASBTableArial"/>
              <w:jc w:val="right"/>
            </w:pPr>
            <w:r>
              <w:rPr>
                <w:sz w:val="15"/>
              </w:rPr>
              <w:t>(9,518)</w:t>
            </w:r>
          </w:p>
        </w:tc>
      </w:tr>
      <w:tr w:rsidR="007908DE" w:rsidTr="007908DE">
        <w:trPr>
          <w:cantSplit/>
        </w:trPr>
        <w:tc>
          <w:tcPr>
            <w:tcW w:w="1873" w:type="dxa"/>
            <w:gridSpan w:val="8"/>
            <w:tcBorders>
              <w:top w:val="nil"/>
            </w:tcBorders>
            <w:vAlign w:val="bottom"/>
          </w:tcPr>
          <w:p w:rsidR="007908DE" w:rsidRDefault="007908DE" w:rsidP="00C55000">
            <w:pPr>
              <w:pStyle w:val="IASBTableArial"/>
            </w:pPr>
            <w:r>
              <w:rPr>
                <w:sz w:val="15"/>
              </w:rPr>
              <w:t>Amortisation</w:t>
            </w:r>
          </w:p>
        </w:tc>
        <w:tc>
          <w:tcPr>
            <w:tcW w:w="992" w:type="dxa"/>
            <w:tcBorders>
              <w:top w:val="nil"/>
              <w:left w:val="nil"/>
              <w:bottom w:val="single" w:sz="4" w:space="0" w:color="auto"/>
            </w:tcBorders>
            <w:vAlign w:val="bottom"/>
          </w:tcPr>
          <w:p w:rsidR="007908DE" w:rsidRDefault="007908DE" w:rsidP="00C55000">
            <w:pPr>
              <w:pStyle w:val="IASBTableArial"/>
              <w:jc w:val="right"/>
            </w:pPr>
            <w:r>
              <w:rPr>
                <w:sz w:val="15"/>
              </w:rPr>
              <w:t>Nil</w:t>
            </w:r>
          </w:p>
        </w:tc>
        <w:tc>
          <w:tcPr>
            <w:tcW w:w="302" w:type="dxa"/>
            <w:gridSpan w:val="2"/>
            <w:tcBorders>
              <w:top w:val="nil"/>
              <w:left w:val="nil"/>
            </w:tcBorders>
            <w:vAlign w:val="bottom"/>
          </w:tcPr>
          <w:p w:rsidR="007908DE" w:rsidRDefault="007908DE" w:rsidP="00C55000">
            <w:pPr>
              <w:pStyle w:val="IASBTableArial"/>
            </w:pPr>
          </w:p>
        </w:tc>
        <w:tc>
          <w:tcPr>
            <w:tcW w:w="1058" w:type="dxa"/>
            <w:tcBorders>
              <w:top w:val="nil"/>
              <w:left w:val="nil"/>
              <w:bottom w:val="single" w:sz="4" w:space="0" w:color="auto"/>
            </w:tcBorders>
            <w:vAlign w:val="bottom"/>
          </w:tcPr>
          <w:p w:rsidR="007908DE" w:rsidRDefault="007908DE" w:rsidP="00C55000">
            <w:pPr>
              <w:pStyle w:val="IASBTableArial"/>
              <w:jc w:val="right"/>
            </w:pPr>
            <w:r>
              <w:rPr>
                <w:sz w:val="15"/>
              </w:rPr>
              <w:t>Nil</w:t>
            </w:r>
          </w:p>
        </w:tc>
        <w:tc>
          <w:tcPr>
            <w:tcW w:w="236" w:type="dxa"/>
            <w:gridSpan w:val="2"/>
            <w:tcBorders>
              <w:top w:val="nil"/>
              <w:left w:val="nil"/>
            </w:tcBorders>
            <w:vAlign w:val="bottom"/>
          </w:tcPr>
          <w:p w:rsidR="007908DE" w:rsidRDefault="007908DE" w:rsidP="00C55000">
            <w:pPr>
              <w:pStyle w:val="IASBTableArial"/>
            </w:pPr>
          </w:p>
        </w:tc>
        <w:tc>
          <w:tcPr>
            <w:tcW w:w="1058" w:type="dxa"/>
            <w:tcBorders>
              <w:top w:val="nil"/>
              <w:left w:val="nil"/>
              <w:bottom w:val="single" w:sz="4" w:space="0" w:color="auto"/>
            </w:tcBorders>
            <w:vAlign w:val="bottom"/>
          </w:tcPr>
          <w:p w:rsidR="007908DE" w:rsidRDefault="007908DE" w:rsidP="00C55000">
            <w:pPr>
              <w:pStyle w:val="IASBTableArial"/>
              <w:jc w:val="right"/>
            </w:pPr>
            <w:r>
              <w:rPr>
                <w:sz w:val="15"/>
              </w:rPr>
              <w:t>Nil</w:t>
            </w:r>
          </w:p>
        </w:tc>
        <w:tc>
          <w:tcPr>
            <w:tcW w:w="236" w:type="dxa"/>
            <w:tcBorders>
              <w:top w:val="nil"/>
              <w:left w:val="nil"/>
            </w:tcBorders>
            <w:vAlign w:val="bottom"/>
          </w:tcPr>
          <w:p w:rsidR="007908DE" w:rsidRDefault="007908DE" w:rsidP="00C55000">
            <w:pPr>
              <w:pStyle w:val="IASBTableArial"/>
            </w:pPr>
          </w:p>
        </w:tc>
        <w:tc>
          <w:tcPr>
            <w:tcW w:w="1058" w:type="dxa"/>
            <w:tcBorders>
              <w:top w:val="nil"/>
              <w:left w:val="nil"/>
              <w:bottom w:val="single" w:sz="4" w:space="0" w:color="auto"/>
            </w:tcBorders>
            <w:vAlign w:val="bottom"/>
          </w:tcPr>
          <w:p w:rsidR="007908DE" w:rsidRDefault="007908DE" w:rsidP="00C55000">
            <w:pPr>
              <w:pStyle w:val="IASBTableArial"/>
              <w:jc w:val="right"/>
            </w:pPr>
            <w:r>
              <w:rPr>
                <w:sz w:val="15"/>
              </w:rPr>
              <w:t>(11,378)</w:t>
            </w:r>
          </w:p>
        </w:tc>
        <w:tc>
          <w:tcPr>
            <w:tcW w:w="236" w:type="dxa"/>
            <w:tcBorders>
              <w:top w:val="nil"/>
              <w:left w:val="nil"/>
            </w:tcBorders>
            <w:vAlign w:val="bottom"/>
          </w:tcPr>
          <w:p w:rsidR="007908DE" w:rsidRDefault="007908DE" w:rsidP="00C55000">
            <w:pPr>
              <w:pStyle w:val="IASBTableArial"/>
            </w:pPr>
          </w:p>
        </w:tc>
        <w:tc>
          <w:tcPr>
            <w:tcW w:w="1058" w:type="dxa"/>
            <w:tcBorders>
              <w:top w:val="nil"/>
              <w:left w:val="nil"/>
              <w:bottom w:val="single" w:sz="4" w:space="0" w:color="auto"/>
            </w:tcBorders>
            <w:vAlign w:val="bottom"/>
          </w:tcPr>
          <w:p w:rsidR="007908DE" w:rsidRDefault="007908DE" w:rsidP="00C55000">
            <w:pPr>
              <w:pStyle w:val="IASBTableArial"/>
              <w:jc w:val="right"/>
            </w:pPr>
            <w:r>
              <w:rPr>
                <w:sz w:val="15"/>
              </w:rPr>
              <w:t>(11,377)</w:t>
            </w:r>
          </w:p>
        </w:tc>
      </w:tr>
      <w:tr w:rsidR="00DF7C18" w:rsidTr="00C55000">
        <w:trPr>
          <w:cantSplit/>
        </w:trPr>
        <w:tc>
          <w:tcPr>
            <w:tcW w:w="1637" w:type="dxa"/>
            <w:gridSpan w:val="7"/>
            <w:tcBorders>
              <w:top w:val="nil"/>
            </w:tcBorders>
            <w:vAlign w:val="bottom"/>
          </w:tcPr>
          <w:p w:rsidR="00DF7C18" w:rsidRDefault="00DF7C18" w:rsidP="00C55000">
            <w:pPr>
              <w:pStyle w:val="IASBTableArial"/>
            </w:pPr>
            <w:r>
              <w:rPr>
                <w:b/>
                <w:sz w:val="15"/>
              </w:rPr>
              <w:t>Carried forward:</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tcBorders>
            <w:vAlign w:val="bottom"/>
          </w:tcPr>
          <w:p w:rsidR="00DF7C18" w:rsidRDefault="00DF7C18" w:rsidP="00C55000">
            <w:pPr>
              <w:pStyle w:val="IASBTableArial"/>
            </w:pP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pP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pP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pP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pPr>
          </w:p>
        </w:tc>
      </w:tr>
      <w:tr w:rsidR="00DF7C18" w:rsidTr="00C55000">
        <w:trPr>
          <w:cantSplit/>
        </w:trPr>
        <w:tc>
          <w:tcPr>
            <w:tcW w:w="350" w:type="dxa"/>
            <w:gridSpan w:val="3"/>
            <w:tcBorders>
              <w:top w:val="nil"/>
            </w:tcBorders>
            <w:vAlign w:val="bottom"/>
          </w:tcPr>
          <w:p w:rsidR="00DF7C18" w:rsidRDefault="00DF7C18" w:rsidP="00C55000">
            <w:pPr>
              <w:pStyle w:val="IASBTableArial"/>
            </w:pPr>
          </w:p>
        </w:tc>
        <w:tc>
          <w:tcPr>
            <w:tcW w:w="1287" w:type="dxa"/>
            <w:gridSpan w:val="4"/>
            <w:tcBorders>
              <w:top w:val="nil"/>
              <w:left w:val="nil"/>
            </w:tcBorders>
            <w:vAlign w:val="bottom"/>
          </w:tcPr>
          <w:p w:rsidR="00DF7C18" w:rsidRDefault="00DF7C18" w:rsidP="00C55000">
            <w:pPr>
              <w:pStyle w:val="IASBTableArial"/>
            </w:pPr>
            <w:r>
              <w:rPr>
                <w:b/>
                <w:sz w:val="15"/>
              </w:rPr>
              <w:t>Balance to be amortised</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tcBorders>
            <w:vAlign w:val="bottom"/>
          </w:tcPr>
          <w:p w:rsidR="00DF7C18" w:rsidRDefault="00DF7C18" w:rsidP="00C55000">
            <w:pPr>
              <w:pStyle w:val="IASBTableArial"/>
              <w:jc w:val="right"/>
            </w:pPr>
            <w:r>
              <w:rPr>
                <w:b/>
                <w:sz w:val="15"/>
              </w:rPr>
              <w:t>Nil</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Nil</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22,755</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11,377</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Nil</w:t>
            </w:r>
          </w:p>
        </w:tc>
      </w:tr>
      <w:tr w:rsidR="00DF7C18" w:rsidTr="00C55000">
        <w:trPr>
          <w:cantSplit/>
        </w:trPr>
        <w:tc>
          <w:tcPr>
            <w:tcW w:w="350" w:type="dxa"/>
            <w:gridSpan w:val="3"/>
            <w:tcBorders>
              <w:top w:val="nil"/>
            </w:tcBorders>
            <w:vAlign w:val="bottom"/>
          </w:tcPr>
          <w:p w:rsidR="00DF7C18" w:rsidRDefault="00DF7C18" w:rsidP="00C55000">
            <w:pPr>
              <w:pStyle w:val="IASBTableArial"/>
            </w:pPr>
          </w:p>
        </w:tc>
        <w:tc>
          <w:tcPr>
            <w:tcW w:w="1287" w:type="dxa"/>
            <w:gridSpan w:val="4"/>
            <w:tcBorders>
              <w:top w:val="nil"/>
              <w:left w:val="nil"/>
            </w:tcBorders>
            <w:vAlign w:val="bottom"/>
          </w:tcPr>
          <w:p w:rsidR="00DF7C18" w:rsidRDefault="00DF7C18" w:rsidP="00C55000">
            <w:pPr>
              <w:pStyle w:val="IASBTableArial"/>
            </w:pPr>
            <w:r>
              <w:rPr>
                <w:b/>
                <w:sz w:val="15"/>
              </w:rPr>
              <w:t>Remaining balance</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bottom w:val="single" w:sz="4" w:space="0" w:color="auto"/>
            </w:tcBorders>
            <w:vAlign w:val="bottom"/>
          </w:tcPr>
          <w:p w:rsidR="00DF7C18" w:rsidRDefault="00DF7C18" w:rsidP="00C55000">
            <w:pPr>
              <w:pStyle w:val="IASBTableArial"/>
              <w:jc w:val="right"/>
            </w:pPr>
            <w:r>
              <w:rPr>
                <w:b/>
                <w:sz w:val="15"/>
              </w:rPr>
              <w:t>Nil</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45,511</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18,963</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9,518</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Nil</w:t>
            </w:r>
          </w:p>
        </w:tc>
      </w:tr>
      <w:tr w:rsidR="00DF7C18" w:rsidTr="00C55000">
        <w:trPr>
          <w:cantSplit/>
        </w:trPr>
        <w:tc>
          <w:tcPr>
            <w:tcW w:w="350" w:type="dxa"/>
            <w:gridSpan w:val="3"/>
            <w:tcBorders>
              <w:top w:val="nil"/>
            </w:tcBorders>
            <w:vAlign w:val="bottom"/>
          </w:tcPr>
          <w:p w:rsidR="00DF7C18" w:rsidRDefault="00DF7C18" w:rsidP="00C55000">
            <w:pPr>
              <w:pStyle w:val="IASBTableArial"/>
            </w:pPr>
          </w:p>
        </w:tc>
        <w:tc>
          <w:tcPr>
            <w:tcW w:w="1287" w:type="dxa"/>
            <w:gridSpan w:val="4"/>
            <w:tcBorders>
              <w:top w:val="nil"/>
              <w:left w:val="nil"/>
            </w:tcBorders>
            <w:vAlign w:val="center"/>
          </w:tcPr>
          <w:p w:rsidR="00DF7C18" w:rsidRDefault="00DF7C18" w:rsidP="00C55000">
            <w:pPr>
              <w:pStyle w:val="IASBTableArial"/>
            </w:pPr>
          </w:p>
        </w:tc>
        <w:tc>
          <w:tcPr>
            <w:tcW w:w="236" w:type="dxa"/>
            <w:tcBorders>
              <w:top w:val="nil"/>
              <w:left w:val="nil"/>
            </w:tcBorders>
            <w:vAlign w:val="center"/>
          </w:tcPr>
          <w:p w:rsidR="00DF7C18" w:rsidRDefault="00DF7C18" w:rsidP="00C55000">
            <w:pPr>
              <w:pStyle w:val="IASBTableArial"/>
            </w:pPr>
          </w:p>
        </w:tc>
        <w:tc>
          <w:tcPr>
            <w:tcW w:w="1058" w:type="dxa"/>
            <w:gridSpan w:val="2"/>
            <w:tcBorders>
              <w:top w:val="nil"/>
              <w:left w:val="nil"/>
            </w:tcBorders>
            <w:vAlign w:val="center"/>
          </w:tcPr>
          <w:p w:rsidR="00DF7C18" w:rsidRDefault="00DF7C18" w:rsidP="00C55000">
            <w:pPr>
              <w:pStyle w:val="IASBTableArial"/>
            </w:pPr>
          </w:p>
        </w:tc>
        <w:tc>
          <w:tcPr>
            <w:tcW w:w="236" w:type="dxa"/>
            <w:tcBorders>
              <w:top w:val="nil"/>
              <w:left w:val="nil"/>
            </w:tcBorders>
            <w:vAlign w:val="center"/>
          </w:tcPr>
          <w:p w:rsidR="00DF7C18" w:rsidRDefault="00DF7C18" w:rsidP="00C55000">
            <w:pPr>
              <w:pStyle w:val="IASBTableArial"/>
            </w:pPr>
          </w:p>
        </w:tc>
        <w:tc>
          <w:tcPr>
            <w:tcW w:w="1058" w:type="dxa"/>
            <w:tcBorders>
              <w:top w:val="nil"/>
              <w:left w:val="nil"/>
            </w:tcBorders>
            <w:vAlign w:val="center"/>
          </w:tcPr>
          <w:p w:rsidR="00DF7C18" w:rsidRDefault="00DF7C18" w:rsidP="00C55000">
            <w:pPr>
              <w:pStyle w:val="IASBTableArial"/>
            </w:pPr>
          </w:p>
        </w:tc>
        <w:tc>
          <w:tcPr>
            <w:tcW w:w="236" w:type="dxa"/>
            <w:gridSpan w:val="2"/>
            <w:tcBorders>
              <w:top w:val="nil"/>
              <w:left w:val="nil"/>
            </w:tcBorders>
            <w:vAlign w:val="center"/>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pP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pP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pPr>
          </w:p>
        </w:tc>
      </w:tr>
      <w:tr w:rsidR="00DF7C18" w:rsidTr="007908DE">
        <w:trPr>
          <w:cantSplit/>
          <w:trHeight w:val="170"/>
        </w:trPr>
        <w:tc>
          <w:tcPr>
            <w:tcW w:w="8107" w:type="dxa"/>
            <w:gridSpan w:val="19"/>
            <w:tcBorders>
              <w:top w:val="nil"/>
            </w:tcBorders>
            <w:vAlign w:val="bottom"/>
          </w:tcPr>
          <w:p w:rsidR="00DF7C18" w:rsidRDefault="00DF7C18" w:rsidP="007908DE">
            <w:pPr>
              <w:pStyle w:val="IASBTableArial"/>
              <w:spacing w:before="0"/>
            </w:pPr>
            <w:r>
              <w:rPr>
                <w:b/>
                <w:sz w:val="15"/>
              </w:rPr>
              <w:t>(b) The fair value of the derivative</w:t>
            </w:r>
          </w:p>
        </w:tc>
      </w:tr>
      <w:tr w:rsidR="00DF7C18" w:rsidTr="00C55000">
        <w:trPr>
          <w:cantSplit/>
        </w:trPr>
        <w:tc>
          <w:tcPr>
            <w:tcW w:w="350" w:type="dxa"/>
            <w:gridSpan w:val="3"/>
            <w:tcBorders>
              <w:top w:val="nil"/>
            </w:tcBorders>
            <w:vAlign w:val="bottom"/>
          </w:tcPr>
          <w:p w:rsidR="00DF7C18" w:rsidRDefault="00DF7C18" w:rsidP="00C55000">
            <w:pPr>
              <w:pStyle w:val="IASBTableArial"/>
            </w:pPr>
          </w:p>
        </w:tc>
        <w:tc>
          <w:tcPr>
            <w:tcW w:w="1287" w:type="dxa"/>
            <w:gridSpan w:val="4"/>
            <w:tcBorders>
              <w:top w:val="nil"/>
              <w:left w:val="nil"/>
            </w:tcBorders>
            <w:vAlign w:val="bottom"/>
          </w:tcPr>
          <w:p w:rsidR="00DF7C18" w:rsidRDefault="00DF7C18" w:rsidP="00C55000">
            <w:pPr>
              <w:pStyle w:val="IASBTableArial"/>
            </w:pPr>
          </w:p>
        </w:tc>
        <w:tc>
          <w:tcPr>
            <w:tcW w:w="236" w:type="dxa"/>
            <w:tcBorders>
              <w:top w:val="nil"/>
              <w:left w:val="nil"/>
            </w:tcBorders>
          </w:tcPr>
          <w:p w:rsidR="00DF7C18" w:rsidRDefault="00DF7C18" w:rsidP="00C55000">
            <w:pPr>
              <w:pStyle w:val="IASBTableArial"/>
            </w:pPr>
          </w:p>
        </w:tc>
        <w:tc>
          <w:tcPr>
            <w:tcW w:w="1058" w:type="dxa"/>
            <w:gridSpan w:val="2"/>
            <w:tcBorders>
              <w:top w:val="nil"/>
              <w:left w:val="nil"/>
            </w:tcBorders>
            <w:vAlign w:val="bottom"/>
          </w:tcPr>
          <w:p w:rsidR="00DF7C18" w:rsidRDefault="00DF7C18" w:rsidP="00C55000">
            <w:pPr>
              <w:pStyle w:val="IASBTableArial"/>
              <w:jc w:val="right"/>
            </w:pPr>
            <w:r>
              <w:rPr>
                <w:b/>
                <w:sz w:val="15"/>
              </w:rPr>
              <w:t>1 Jan</w:t>
            </w:r>
            <w:r>
              <w:rPr>
                <w:b/>
                <w:sz w:val="15"/>
              </w:rPr>
              <w:br/>
              <w:t>20X1</w:t>
            </w:r>
          </w:p>
        </w:tc>
        <w:tc>
          <w:tcPr>
            <w:tcW w:w="236" w:type="dxa"/>
            <w:tcBorders>
              <w:top w:val="nil"/>
              <w:left w:val="nil"/>
            </w:tcBorders>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31 Jan</w:t>
            </w:r>
            <w:r>
              <w:rPr>
                <w:b/>
                <w:sz w:val="15"/>
              </w:rPr>
              <w:br/>
              <w:t>20X1</w:t>
            </w:r>
          </w:p>
        </w:tc>
        <w:tc>
          <w:tcPr>
            <w:tcW w:w="236" w:type="dxa"/>
            <w:gridSpan w:val="2"/>
            <w:tcBorders>
              <w:top w:val="nil"/>
              <w:left w:val="nil"/>
            </w:tcBorders>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1 Feb</w:t>
            </w:r>
            <w:r>
              <w:rPr>
                <w:b/>
                <w:sz w:val="15"/>
              </w:rPr>
              <w:br/>
              <w:t>20X1</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28 Feb</w:t>
            </w:r>
            <w:r>
              <w:rPr>
                <w:b/>
                <w:sz w:val="15"/>
              </w:rPr>
              <w:br/>
              <w:t>20X1</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31 Mar</w:t>
            </w:r>
            <w:r>
              <w:rPr>
                <w:b/>
                <w:sz w:val="15"/>
              </w:rPr>
              <w:br/>
              <w:t>20X1</w:t>
            </w:r>
          </w:p>
        </w:tc>
      </w:tr>
      <w:tr w:rsidR="00DF7C18" w:rsidTr="00C55000">
        <w:trPr>
          <w:cantSplit/>
        </w:trPr>
        <w:tc>
          <w:tcPr>
            <w:tcW w:w="1637" w:type="dxa"/>
            <w:gridSpan w:val="7"/>
            <w:tcBorders>
              <w:top w:val="nil"/>
            </w:tcBorders>
            <w:vAlign w:val="bottom"/>
          </w:tcPr>
          <w:p w:rsidR="00DF7C18" w:rsidRDefault="00DF7C18" w:rsidP="00C55000">
            <w:pPr>
              <w:pStyle w:val="IASBTableArial"/>
            </w:pPr>
            <w:r>
              <w:rPr>
                <w:sz w:val="15"/>
              </w:rPr>
              <w:t>CU20,000,000</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tcBorders>
            <w:vAlign w:val="bottom"/>
          </w:tcPr>
          <w:p w:rsidR="00DF7C18" w:rsidRDefault="00DF7C18" w:rsidP="00C55000">
            <w:pPr>
              <w:pStyle w:val="IASBTableArial"/>
              <w:jc w:val="right"/>
            </w:pPr>
            <w:r>
              <w:rPr>
                <w:sz w:val="15"/>
              </w:rPr>
              <w:t>Nil</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sz w:val="15"/>
              </w:rPr>
              <w:t>47,408</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t>–</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t>–</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center"/>
          </w:tcPr>
          <w:p w:rsidR="00DF7C18" w:rsidRDefault="00DF7C18" w:rsidP="00C55000">
            <w:pPr>
              <w:pStyle w:val="IASBTableArial"/>
              <w:jc w:val="right"/>
            </w:pPr>
            <w:r>
              <w:t>–</w:t>
            </w:r>
          </w:p>
        </w:tc>
      </w:tr>
      <w:tr w:rsidR="00DF7C18" w:rsidTr="00C55000">
        <w:trPr>
          <w:cantSplit/>
        </w:trPr>
        <w:tc>
          <w:tcPr>
            <w:tcW w:w="1637" w:type="dxa"/>
            <w:gridSpan w:val="7"/>
            <w:tcBorders>
              <w:top w:val="nil"/>
            </w:tcBorders>
            <w:vAlign w:val="bottom"/>
          </w:tcPr>
          <w:p w:rsidR="00DF7C18" w:rsidRDefault="00DF7C18" w:rsidP="00C55000">
            <w:pPr>
              <w:pStyle w:val="IASBTableArial"/>
            </w:pPr>
            <w:r>
              <w:rPr>
                <w:sz w:val="15"/>
              </w:rPr>
              <w:t>CU12,000,000</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tcBorders>
            <w:vAlign w:val="bottom"/>
          </w:tcPr>
          <w:p w:rsidR="00DF7C18" w:rsidRDefault="00DF7C18" w:rsidP="00C55000">
            <w:pPr>
              <w:pStyle w:val="IASBTableArial"/>
              <w:jc w:val="right"/>
            </w:pPr>
            <w:r>
              <w:rPr>
                <w:sz w:val="15"/>
              </w:rPr>
              <w:t>Nil</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t>–</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sz w:val="15"/>
              </w:rPr>
              <w:t>28,445</w:t>
            </w:r>
          </w:p>
        </w:tc>
        <w:tc>
          <w:tcPr>
            <w:tcW w:w="236" w:type="dxa"/>
            <w:tcBorders>
              <w:top w:val="nil"/>
              <w:left w:val="nil"/>
            </w:tcBorders>
            <w:vAlign w:val="bottom"/>
          </w:tcPr>
          <w:p w:rsidR="00DF7C18" w:rsidRDefault="00DF7C18" w:rsidP="00C55000">
            <w:pPr>
              <w:pStyle w:val="IASBTableArial"/>
            </w:pPr>
          </w:p>
        </w:tc>
        <w:tc>
          <w:tcPr>
            <w:tcW w:w="2352" w:type="dxa"/>
            <w:gridSpan w:val="3"/>
            <w:tcBorders>
              <w:top w:val="nil"/>
              <w:left w:val="nil"/>
            </w:tcBorders>
            <w:vAlign w:val="bottom"/>
          </w:tcPr>
          <w:p w:rsidR="00DF7C18" w:rsidRDefault="00DF7C18" w:rsidP="00C55000">
            <w:pPr>
              <w:pStyle w:val="IASBTableArial"/>
              <w:jc w:val="center"/>
            </w:pPr>
            <w:r>
              <w:rPr>
                <w:sz w:val="15"/>
              </w:rPr>
              <w:t>No longer designated as the hedging instrument.</w:t>
            </w:r>
          </w:p>
        </w:tc>
      </w:tr>
      <w:tr w:rsidR="00DF7C18" w:rsidTr="00C55000">
        <w:trPr>
          <w:cantSplit/>
        </w:trPr>
        <w:tc>
          <w:tcPr>
            <w:tcW w:w="1637" w:type="dxa"/>
            <w:gridSpan w:val="7"/>
            <w:tcBorders>
              <w:top w:val="nil"/>
            </w:tcBorders>
            <w:vAlign w:val="bottom"/>
          </w:tcPr>
          <w:p w:rsidR="00DF7C18" w:rsidRDefault="00DF7C18" w:rsidP="00C55000">
            <w:pPr>
              <w:pStyle w:val="IASBTableArial"/>
            </w:pPr>
            <w:r>
              <w:rPr>
                <w:sz w:val="15"/>
              </w:rPr>
              <w:t>CU8,000,000</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bottom w:val="single" w:sz="4" w:space="0" w:color="auto"/>
            </w:tcBorders>
            <w:vAlign w:val="bottom"/>
          </w:tcPr>
          <w:p w:rsidR="00DF7C18" w:rsidRDefault="00DF7C18" w:rsidP="00C55000">
            <w:pPr>
              <w:pStyle w:val="IASBTableArial"/>
              <w:jc w:val="right"/>
            </w:pPr>
            <w:r>
              <w:rPr>
                <w:sz w:val="15"/>
              </w:rPr>
              <w:t>Nil</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t>–</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sz w:val="15"/>
              </w:rPr>
              <w:t>18,963</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sz w:val="15"/>
              </w:rPr>
              <w:t>9,518</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sz w:val="15"/>
              </w:rPr>
              <w:t>Nil</w:t>
            </w:r>
          </w:p>
        </w:tc>
      </w:tr>
      <w:tr w:rsidR="00DF7C18" w:rsidTr="00C55000">
        <w:trPr>
          <w:cantSplit/>
        </w:trPr>
        <w:tc>
          <w:tcPr>
            <w:tcW w:w="1637" w:type="dxa"/>
            <w:gridSpan w:val="7"/>
            <w:tcBorders>
              <w:top w:val="nil"/>
            </w:tcBorders>
            <w:vAlign w:val="bottom"/>
          </w:tcPr>
          <w:p w:rsidR="00DF7C18" w:rsidRDefault="00DF7C18" w:rsidP="00C55000">
            <w:pPr>
              <w:pStyle w:val="IASBTableArial"/>
            </w:pPr>
            <w:r>
              <w:rPr>
                <w:b/>
                <w:sz w:val="15"/>
              </w:rPr>
              <w:t>Total</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bottom w:val="single" w:sz="4" w:space="0" w:color="auto"/>
            </w:tcBorders>
            <w:vAlign w:val="bottom"/>
          </w:tcPr>
          <w:p w:rsidR="00DF7C18" w:rsidRDefault="00DF7C18" w:rsidP="00C55000">
            <w:pPr>
              <w:pStyle w:val="IASBTableArial"/>
              <w:jc w:val="right"/>
            </w:pPr>
            <w:r>
              <w:rPr>
                <w:b/>
                <w:sz w:val="15"/>
              </w:rPr>
              <w:t>Nil</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47,408</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47,408</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9,518</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Nil</w:t>
            </w:r>
          </w:p>
        </w:tc>
      </w:tr>
      <w:tr w:rsidR="00DF7C18" w:rsidTr="00C55000">
        <w:trPr>
          <w:cantSplit/>
        </w:trPr>
        <w:tc>
          <w:tcPr>
            <w:tcW w:w="378" w:type="dxa"/>
            <w:gridSpan w:val="4"/>
            <w:tcBorders>
              <w:top w:val="nil"/>
            </w:tcBorders>
            <w:vAlign w:val="bottom"/>
          </w:tcPr>
          <w:p w:rsidR="00DF7C18" w:rsidRDefault="00DF7C18" w:rsidP="00C55000">
            <w:pPr>
              <w:pStyle w:val="IASBTableArial"/>
            </w:pPr>
          </w:p>
        </w:tc>
        <w:tc>
          <w:tcPr>
            <w:tcW w:w="1259" w:type="dxa"/>
            <w:gridSpan w:val="3"/>
            <w:tcBorders>
              <w:top w:val="nil"/>
              <w:left w:val="nil"/>
            </w:tcBorders>
            <w:vAlign w:val="center"/>
          </w:tcPr>
          <w:p w:rsidR="00DF7C18" w:rsidRDefault="00DF7C18" w:rsidP="00C55000">
            <w:pPr>
              <w:pStyle w:val="IASBTableArial"/>
            </w:pPr>
          </w:p>
        </w:tc>
        <w:tc>
          <w:tcPr>
            <w:tcW w:w="236" w:type="dxa"/>
            <w:tcBorders>
              <w:top w:val="nil"/>
              <w:left w:val="nil"/>
            </w:tcBorders>
            <w:vAlign w:val="center"/>
          </w:tcPr>
          <w:p w:rsidR="00DF7C18" w:rsidRDefault="00DF7C18" w:rsidP="00C55000">
            <w:pPr>
              <w:pStyle w:val="IASBTableArial"/>
            </w:pPr>
          </w:p>
        </w:tc>
        <w:tc>
          <w:tcPr>
            <w:tcW w:w="1058" w:type="dxa"/>
            <w:gridSpan w:val="2"/>
            <w:tcBorders>
              <w:top w:val="nil"/>
              <w:left w:val="nil"/>
            </w:tcBorders>
            <w:vAlign w:val="center"/>
          </w:tcPr>
          <w:p w:rsidR="00DF7C18" w:rsidRDefault="00DF7C18" w:rsidP="00C55000">
            <w:pPr>
              <w:pStyle w:val="IASBTableArial"/>
            </w:pPr>
          </w:p>
        </w:tc>
        <w:tc>
          <w:tcPr>
            <w:tcW w:w="236" w:type="dxa"/>
            <w:tcBorders>
              <w:top w:val="nil"/>
              <w:left w:val="nil"/>
            </w:tcBorders>
            <w:vAlign w:val="center"/>
          </w:tcPr>
          <w:p w:rsidR="00DF7C18" w:rsidRDefault="00DF7C18" w:rsidP="00C55000">
            <w:pPr>
              <w:pStyle w:val="IASBTableArial"/>
            </w:pPr>
          </w:p>
        </w:tc>
        <w:tc>
          <w:tcPr>
            <w:tcW w:w="1058" w:type="dxa"/>
            <w:tcBorders>
              <w:top w:val="nil"/>
              <w:left w:val="nil"/>
            </w:tcBorders>
            <w:vAlign w:val="center"/>
          </w:tcPr>
          <w:p w:rsidR="00DF7C18" w:rsidRDefault="00DF7C18" w:rsidP="00C55000">
            <w:pPr>
              <w:pStyle w:val="IASBTableArial"/>
            </w:pPr>
          </w:p>
        </w:tc>
        <w:tc>
          <w:tcPr>
            <w:tcW w:w="236" w:type="dxa"/>
            <w:gridSpan w:val="2"/>
            <w:tcBorders>
              <w:top w:val="nil"/>
              <w:left w:val="nil"/>
            </w:tcBorders>
            <w:vAlign w:val="center"/>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pP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pP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pPr>
          </w:p>
        </w:tc>
      </w:tr>
      <w:tr w:rsidR="00DF7C18" w:rsidTr="007908DE">
        <w:trPr>
          <w:cantSplit/>
          <w:trHeight w:val="170"/>
        </w:trPr>
        <w:tc>
          <w:tcPr>
            <w:tcW w:w="8107" w:type="dxa"/>
            <w:gridSpan w:val="19"/>
            <w:tcBorders>
              <w:top w:val="nil"/>
            </w:tcBorders>
            <w:vAlign w:val="bottom"/>
          </w:tcPr>
          <w:p w:rsidR="00DF7C18" w:rsidRDefault="00DF7C18" w:rsidP="007908DE">
            <w:pPr>
              <w:pStyle w:val="IASBTableArial"/>
              <w:spacing w:before="0"/>
            </w:pPr>
            <w:r>
              <w:rPr>
                <w:b/>
                <w:sz w:val="15"/>
              </w:rPr>
              <w:t>(c) Profit or loss effect of the hedge</w:t>
            </w:r>
          </w:p>
        </w:tc>
      </w:tr>
      <w:tr w:rsidR="00DF7C18" w:rsidTr="00C55000">
        <w:trPr>
          <w:cantSplit/>
        </w:trPr>
        <w:tc>
          <w:tcPr>
            <w:tcW w:w="378" w:type="dxa"/>
            <w:gridSpan w:val="4"/>
            <w:tcBorders>
              <w:top w:val="nil"/>
            </w:tcBorders>
            <w:vAlign w:val="bottom"/>
          </w:tcPr>
          <w:p w:rsidR="00DF7C18" w:rsidRDefault="00DF7C18" w:rsidP="00C55000">
            <w:pPr>
              <w:pStyle w:val="IASBTableArial"/>
            </w:pPr>
          </w:p>
        </w:tc>
        <w:tc>
          <w:tcPr>
            <w:tcW w:w="1259" w:type="dxa"/>
            <w:gridSpan w:val="3"/>
            <w:tcBorders>
              <w:top w:val="nil"/>
              <w:left w:val="nil"/>
            </w:tcBorders>
            <w:vAlign w:val="bottom"/>
          </w:tcPr>
          <w:p w:rsidR="00DF7C18" w:rsidRDefault="00DF7C18" w:rsidP="00C55000">
            <w:pPr>
              <w:pStyle w:val="IASBTableArial"/>
            </w:pPr>
          </w:p>
        </w:tc>
        <w:tc>
          <w:tcPr>
            <w:tcW w:w="236" w:type="dxa"/>
            <w:tcBorders>
              <w:top w:val="nil"/>
              <w:left w:val="nil"/>
            </w:tcBorders>
          </w:tcPr>
          <w:p w:rsidR="00DF7C18" w:rsidRDefault="00DF7C18" w:rsidP="00C55000">
            <w:pPr>
              <w:pStyle w:val="IASBTableArial"/>
            </w:pPr>
          </w:p>
        </w:tc>
        <w:tc>
          <w:tcPr>
            <w:tcW w:w="1058" w:type="dxa"/>
            <w:gridSpan w:val="2"/>
            <w:tcBorders>
              <w:top w:val="nil"/>
              <w:left w:val="nil"/>
            </w:tcBorders>
            <w:vAlign w:val="bottom"/>
          </w:tcPr>
          <w:p w:rsidR="00DF7C18" w:rsidRDefault="00DF7C18" w:rsidP="00C55000">
            <w:pPr>
              <w:pStyle w:val="IASBTableArial"/>
              <w:jc w:val="right"/>
            </w:pPr>
            <w:r>
              <w:rPr>
                <w:b/>
                <w:sz w:val="15"/>
              </w:rPr>
              <w:t>1 Jan</w:t>
            </w:r>
            <w:r>
              <w:rPr>
                <w:b/>
                <w:sz w:val="15"/>
              </w:rPr>
              <w:br/>
              <w:t>20X1</w:t>
            </w:r>
          </w:p>
        </w:tc>
        <w:tc>
          <w:tcPr>
            <w:tcW w:w="236" w:type="dxa"/>
            <w:tcBorders>
              <w:top w:val="nil"/>
              <w:left w:val="nil"/>
            </w:tcBorders>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31 Jan</w:t>
            </w:r>
            <w:r>
              <w:rPr>
                <w:b/>
                <w:sz w:val="15"/>
              </w:rPr>
              <w:br/>
              <w:t>20X1</w:t>
            </w:r>
          </w:p>
        </w:tc>
        <w:tc>
          <w:tcPr>
            <w:tcW w:w="236" w:type="dxa"/>
            <w:gridSpan w:val="2"/>
            <w:tcBorders>
              <w:top w:val="nil"/>
              <w:left w:val="nil"/>
            </w:tcBorders>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1 Feb</w:t>
            </w:r>
            <w:r>
              <w:rPr>
                <w:b/>
                <w:sz w:val="15"/>
              </w:rPr>
              <w:br/>
              <w:t>20X1</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28 Feb</w:t>
            </w:r>
            <w:r>
              <w:rPr>
                <w:b/>
                <w:sz w:val="15"/>
              </w:rPr>
              <w:br/>
              <w:t>20X1</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31 Mar</w:t>
            </w:r>
            <w:r>
              <w:rPr>
                <w:b/>
                <w:sz w:val="15"/>
              </w:rPr>
              <w:br/>
              <w:t>20X1</w:t>
            </w:r>
          </w:p>
        </w:tc>
      </w:tr>
      <w:tr w:rsidR="00DF7C18" w:rsidTr="00C55000">
        <w:trPr>
          <w:cantSplit/>
        </w:trPr>
        <w:tc>
          <w:tcPr>
            <w:tcW w:w="1637" w:type="dxa"/>
            <w:gridSpan w:val="7"/>
            <w:tcBorders>
              <w:top w:val="nil"/>
            </w:tcBorders>
            <w:vAlign w:val="bottom"/>
          </w:tcPr>
          <w:p w:rsidR="00DF7C18" w:rsidRDefault="00DF7C18" w:rsidP="00C55000">
            <w:pPr>
              <w:pStyle w:val="IASBTableArial"/>
            </w:pPr>
            <w:r>
              <w:rPr>
                <w:sz w:val="15"/>
              </w:rPr>
              <w:t>Change in line item: asset</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tcBorders>
            <w:vAlign w:val="bottom"/>
          </w:tcPr>
          <w:p w:rsidR="00DF7C18" w:rsidRDefault="00DF7C18" w:rsidP="00C55000">
            <w:pPr>
              <w:pStyle w:val="IASBTableArial"/>
              <w:jc w:val="right"/>
            </w:pPr>
            <w:r>
              <w:rPr>
                <w:sz w:val="15"/>
              </w:rPr>
              <w:t>Nil</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sz w:val="15"/>
              </w:rPr>
              <w:t>45,511</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sz w:val="15"/>
              </w:rPr>
              <w:t>N/A</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sz w:val="15"/>
              </w:rPr>
              <w:t>(9,445)</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sz w:val="15"/>
              </w:rPr>
              <w:t>(9,518)</w:t>
            </w:r>
          </w:p>
        </w:tc>
      </w:tr>
      <w:tr w:rsidR="00DF7C18" w:rsidTr="00C55000">
        <w:trPr>
          <w:cantSplit/>
        </w:trPr>
        <w:tc>
          <w:tcPr>
            <w:tcW w:w="1637" w:type="dxa"/>
            <w:gridSpan w:val="7"/>
            <w:tcBorders>
              <w:top w:val="nil"/>
            </w:tcBorders>
            <w:vAlign w:val="bottom"/>
          </w:tcPr>
          <w:p w:rsidR="00DF7C18" w:rsidRDefault="00DF7C18" w:rsidP="00C55000">
            <w:pPr>
              <w:pStyle w:val="IASBTableArial"/>
            </w:pPr>
            <w:r>
              <w:rPr>
                <w:sz w:val="15"/>
              </w:rPr>
              <w:t>Change in derivative fair value</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bottom w:val="single" w:sz="4" w:space="0" w:color="auto"/>
            </w:tcBorders>
            <w:vAlign w:val="bottom"/>
          </w:tcPr>
          <w:p w:rsidR="00DF7C18" w:rsidRDefault="00DF7C18" w:rsidP="00C55000">
            <w:pPr>
              <w:pStyle w:val="IASBTableArial"/>
              <w:jc w:val="right"/>
            </w:pPr>
            <w:r>
              <w:rPr>
                <w:sz w:val="15"/>
              </w:rPr>
              <w:t>Nil</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sz w:val="15"/>
              </w:rPr>
              <w:t>(47,408)</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sz w:val="15"/>
              </w:rPr>
              <w:t>N/A</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sz w:val="15"/>
              </w:rPr>
              <w:t>9,445</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sz w:val="15"/>
              </w:rPr>
              <w:t>9,518</w:t>
            </w:r>
          </w:p>
        </w:tc>
      </w:tr>
      <w:tr w:rsidR="00DF7C18" w:rsidTr="00C55000">
        <w:trPr>
          <w:cantSplit/>
        </w:trPr>
        <w:tc>
          <w:tcPr>
            <w:tcW w:w="1637" w:type="dxa"/>
            <w:gridSpan w:val="7"/>
            <w:tcBorders>
              <w:top w:val="nil"/>
            </w:tcBorders>
            <w:vAlign w:val="bottom"/>
          </w:tcPr>
          <w:p w:rsidR="00DF7C18" w:rsidRDefault="00DF7C18" w:rsidP="00C55000">
            <w:pPr>
              <w:pStyle w:val="IASBTableArial"/>
            </w:pPr>
            <w:r>
              <w:rPr>
                <w:b/>
                <w:sz w:val="15"/>
              </w:rPr>
              <w:t>Net effect</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bottom w:val="single" w:sz="4" w:space="0" w:color="auto"/>
            </w:tcBorders>
            <w:vAlign w:val="bottom"/>
          </w:tcPr>
          <w:p w:rsidR="00DF7C18" w:rsidRDefault="00DF7C18" w:rsidP="00C55000">
            <w:pPr>
              <w:pStyle w:val="IASBTableArial"/>
              <w:jc w:val="right"/>
            </w:pPr>
            <w:r>
              <w:rPr>
                <w:b/>
                <w:sz w:val="15"/>
              </w:rPr>
              <w:t>Nil</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(1,897)</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N/A</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Nil</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Nil</w:t>
            </w:r>
          </w:p>
        </w:tc>
      </w:tr>
      <w:tr w:rsidR="00DF7C18" w:rsidTr="00C55000">
        <w:trPr>
          <w:cantSplit/>
        </w:trPr>
        <w:tc>
          <w:tcPr>
            <w:tcW w:w="1637" w:type="dxa"/>
            <w:gridSpan w:val="7"/>
            <w:tcBorders>
              <w:top w:val="nil"/>
            </w:tcBorders>
            <w:vAlign w:val="bottom"/>
          </w:tcPr>
          <w:p w:rsidR="00DF7C18" w:rsidRDefault="00DF7C18" w:rsidP="00C55000">
            <w:pPr>
              <w:pStyle w:val="IASBTableArial"/>
            </w:pPr>
            <w:r>
              <w:rPr>
                <w:b/>
                <w:sz w:val="15"/>
              </w:rPr>
              <w:t>Amortisation</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bottom w:val="single" w:sz="4" w:space="0" w:color="auto"/>
            </w:tcBorders>
            <w:vAlign w:val="bottom"/>
          </w:tcPr>
          <w:p w:rsidR="00DF7C18" w:rsidRDefault="00DF7C18" w:rsidP="00C55000">
            <w:pPr>
              <w:pStyle w:val="IASBTableArial"/>
              <w:jc w:val="right"/>
            </w:pPr>
            <w:r>
              <w:rPr>
                <w:b/>
                <w:sz w:val="15"/>
              </w:rPr>
              <w:t>Nil</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Nil</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N/A</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(11,378)</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bottom w:val="single" w:sz="4" w:space="0" w:color="auto"/>
            </w:tcBorders>
            <w:vAlign w:val="bottom"/>
          </w:tcPr>
          <w:p w:rsidR="00DF7C18" w:rsidRDefault="00DF7C18" w:rsidP="00C55000">
            <w:pPr>
              <w:pStyle w:val="IASBTableArial"/>
              <w:jc w:val="right"/>
            </w:pPr>
            <w:r>
              <w:rPr>
                <w:b/>
                <w:sz w:val="15"/>
              </w:rPr>
              <w:t>(11,377)</w:t>
            </w:r>
          </w:p>
        </w:tc>
      </w:tr>
      <w:tr w:rsidR="00DF7C18" w:rsidTr="007908DE">
        <w:trPr>
          <w:cantSplit/>
          <w:trHeight w:val="170"/>
        </w:trPr>
        <w:tc>
          <w:tcPr>
            <w:tcW w:w="8107" w:type="dxa"/>
            <w:gridSpan w:val="19"/>
            <w:tcBorders>
              <w:top w:val="nil"/>
            </w:tcBorders>
            <w:vAlign w:val="bottom"/>
          </w:tcPr>
          <w:p w:rsidR="00DF7C18" w:rsidRDefault="00DF7C18" w:rsidP="007908DE">
            <w:pPr>
              <w:pStyle w:val="IASBTableArial"/>
              <w:spacing w:before="0"/>
            </w:pPr>
          </w:p>
        </w:tc>
      </w:tr>
      <w:tr w:rsidR="00DF7C18" w:rsidTr="00C55000">
        <w:trPr>
          <w:cantSplit/>
        </w:trPr>
        <w:tc>
          <w:tcPr>
            <w:tcW w:w="8107" w:type="dxa"/>
            <w:gridSpan w:val="19"/>
            <w:tcBorders>
              <w:top w:val="nil"/>
            </w:tcBorders>
            <w:vAlign w:val="bottom"/>
          </w:tcPr>
          <w:p w:rsidR="00DF7C18" w:rsidRDefault="00DF7C18" w:rsidP="00C55000">
            <w:pPr>
              <w:pStyle w:val="IASBTableArial"/>
            </w:pPr>
            <w:r>
              <w:rPr>
                <w:sz w:val="15"/>
              </w:rPr>
              <w:t>In addition, there is a gain on sale of assets of CU14,607 at 1 February 20X1.</w:t>
            </w:r>
          </w:p>
        </w:tc>
      </w:tr>
      <w:tr w:rsidR="00DF7C18" w:rsidTr="007908DE">
        <w:trPr>
          <w:cantSplit/>
          <w:trHeight w:val="170"/>
        </w:trPr>
        <w:tc>
          <w:tcPr>
            <w:tcW w:w="392" w:type="dxa"/>
            <w:gridSpan w:val="5"/>
            <w:tcBorders>
              <w:top w:val="nil"/>
            </w:tcBorders>
            <w:vAlign w:val="bottom"/>
          </w:tcPr>
          <w:p w:rsidR="00DF7C18" w:rsidRDefault="00DF7C18" w:rsidP="007908DE">
            <w:pPr>
              <w:pStyle w:val="IASBTableArial"/>
              <w:spacing w:before="0"/>
            </w:pPr>
          </w:p>
        </w:tc>
        <w:tc>
          <w:tcPr>
            <w:tcW w:w="1245" w:type="dxa"/>
            <w:gridSpan w:val="2"/>
            <w:tcBorders>
              <w:top w:val="nil"/>
              <w:left w:val="nil"/>
            </w:tcBorders>
            <w:vAlign w:val="center"/>
          </w:tcPr>
          <w:p w:rsidR="00DF7C18" w:rsidRDefault="00DF7C18" w:rsidP="007908DE">
            <w:pPr>
              <w:pStyle w:val="IASBTableArial"/>
              <w:spacing w:before="0"/>
            </w:pPr>
          </w:p>
        </w:tc>
        <w:tc>
          <w:tcPr>
            <w:tcW w:w="236" w:type="dxa"/>
            <w:tcBorders>
              <w:top w:val="nil"/>
              <w:left w:val="nil"/>
            </w:tcBorders>
            <w:vAlign w:val="center"/>
          </w:tcPr>
          <w:p w:rsidR="00DF7C18" w:rsidRDefault="00DF7C18" w:rsidP="007908DE">
            <w:pPr>
              <w:pStyle w:val="IASBTableArial"/>
              <w:spacing w:before="0"/>
            </w:pPr>
          </w:p>
        </w:tc>
        <w:tc>
          <w:tcPr>
            <w:tcW w:w="1058" w:type="dxa"/>
            <w:gridSpan w:val="2"/>
            <w:tcBorders>
              <w:top w:val="nil"/>
              <w:left w:val="nil"/>
            </w:tcBorders>
            <w:vAlign w:val="center"/>
          </w:tcPr>
          <w:p w:rsidR="00DF7C18" w:rsidRDefault="00DF7C18" w:rsidP="007908DE">
            <w:pPr>
              <w:pStyle w:val="IASBTableArial"/>
              <w:spacing w:before="0"/>
            </w:pPr>
          </w:p>
        </w:tc>
        <w:tc>
          <w:tcPr>
            <w:tcW w:w="236" w:type="dxa"/>
            <w:tcBorders>
              <w:top w:val="nil"/>
              <w:left w:val="nil"/>
            </w:tcBorders>
            <w:vAlign w:val="center"/>
          </w:tcPr>
          <w:p w:rsidR="00DF7C18" w:rsidRDefault="00DF7C18" w:rsidP="007908DE">
            <w:pPr>
              <w:pStyle w:val="IASBTableArial"/>
              <w:spacing w:before="0"/>
            </w:pPr>
          </w:p>
        </w:tc>
        <w:tc>
          <w:tcPr>
            <w:tcW w:w="1058" w:type="dxa"/>
            <w:tcBorders>
              <w:top w:val="nil"/>
              <w:left w:val="nil"/>
            </w:tcBorders>
            <w:vAlign w:val="center"/>
          </w:tcPr>
          <w:p w:rsidR="00DF7C18" w:rsidRDefault="00DF7C18" w:rsidP="007908DE">
            <w:pPr>
              <w:pStyle w:val="IASBTableArial"/>
              <w:spacing w:before="0"/>
            </w:pPr>
          </w:p>
        </w:tc>
        <w:tc>
          <w:tcPr>
            <w:tcW w:w="236" w:type="dxa"/>
            <w:gridSpan w:val="2"/>
            <w:tcBorders>
              <w:top w:val="nil"/>
              <w:left w:val="nil"/>
            </w:tcBorders>
            <w:vAlign w:val="center"/>
          </w:tcPr>
          <w:p w:rsidR="00DF7C18" w:rsidRDefault="00DF7C18" w:rsidP="007908DE">
            <w:pPr>
              <w:pStyle w:val="IASBTableArial"/>
              <w:spacing w:before="0"/>
            </w:pPr>
          </w:p>
        </w:tc>
        <w:tc>
          <w:tcPr>
            <w:tcW w:w="1058" w:type="dxa"/>
            <w:tcBorders>
              <w:top w:val="nil"/>
              <w:left w:val="nil"/>
            </w:tcBorders>
            <w:vAlign w:val="bottom"/>
          </w:tcPr>
          <w:p w:rsidR="00DF7C18" w:rsidRDefault="00DF7C18" w:rsidP="007908DE">
            <w:pPr>
              <w:pStyle w:val="IASBTableArial"/>
              <w:spacing w:before="0"/>
            </w:pPr>
          </w:p>
        </w:tc>
        <w:tc>
          <w:tcPr>
            <w:tcW w:w="236" w:type="dxa"/>
            <w:tcBorders>
              <w:top w:val="nil"/>
              <w:left w:val="nil"/>
            </w:tcBorders>
            <w:vAlign w:val="bottom"/>
          </w:tcPr>
          <w:p w:rsidR="00DF7C18" w:rsidRDefault="00DF7C18" w:rsidP="007908DE">
            <w:pPr>
              <w:pStyle w:val="IASBTableArial"/>
              <w:spacing w:before="0"/>
            </w:pPr>
          </w:p>
        </w:tc>
        <w:tc>
          <w:tcPr>
            <w:tcW w:w="1058" w:type="dxa"/>
            <w:tcBorders>
              <w:top w:val="nil"/>
              <w:left w:val="nil"/>
            </w:tcBorders>
            <w:vAlign w:val="bottom"/>
          </w:tcPr>
          <w:p w:rsidR="00DF7C18" w:rsidRDefault="00DF7C18" w:rsidP="007908DE">
            <w:pPr>
              <w:pStyle w:val="IASBTableArial"/>
              <w:spacing w:before="0"/>
            </w:pPr>
          </w:p>
        </w:tc>
        <w:tc>
          <w:tcPr>
            <w:tcW w:w="236" w:type="dxa"/>
            <w:tcBorders>
              <w:top w:val="nil"/>
              <w:left w:val="nil"/>
            </w:tcBorders>
            <w:vAlign w:val="bottom"/>
          </w:tcPr>
          <w:p w:rsidR="00DF7C18" w:rsidRDefault="00DF7C18" w:rsidP="007908DE">
            <w:pPr>
              <w:pStyle w:val="IASBTableArial"/>
              <w:spacing w:before="0"/>
            </w:pPr>
          </w:p>
        </w:tc>
        <w:tc>
          <w:tcPr>
            <w:tcW w:w="1058" w:type="dxa"/>
            <w:tcBorders>
              <w:top w:val="nil"/>
              <w:left w:val="nil"/>
            </w:tcBorders>
            <w:vAlign w:val="bottom"/>
          </w:tcPr>
          <w:p w:rsidR="00DF7C18" w:rsidRDefault="00DF7C18" w:rsidP="007908DE">
            <w:pPr>
              <w:pStyle w:val="IASBTableArial"/>
              <w:spacing w:before="0"/>
            </w:pPr>
          </w:p>
        </w:tc>
      </w:tr>
      <w:tr w:rsidR="00DF7C18" w:rsidTr="007908DE">
        <w:trPr>
          <w:cantSplit/>
          <w:trHeight w:val="170"/>
        </w:trPr>
        <w:tc>
          <w:tcPr>
            <w:tcW w:w="8107" w:type="dxa"/>
            <w:gridSpan w:val="19"/>
            <w:tcBorders>
              <w:top w:val="nil"/>
            </w:tcBorders>
            <w:vAlign w:val="bottom"/>
          </w:tcPr>
          <w:p w:rsidR="00DF7C18" w:rsidRDefault="00DF7C18" w:rsidP="007908DE">
            <w:pPr>
              <w:pStyle w:val="IASBTableArial"/>
              <w:spacing w:before="0"/>
            </w:pPr>
            <w:r>
              <w:rPr>
                <w:b/>
                <w:sz w:val="15"/>
              </w:rPr>
              <w:t>(d) Interest income and interest expense relating to the amount designated as hedged</w:t>
            </w:r>
          </w:p>
        </w:tc>
      </w:tr>
      <w:tr w:rsidR="00DF7C18" w:rsidTr="00C55000">
        <w:trPr>
          <w:cantSplit/>
        </w:trPr>
        <w:tc>
          <w:tcPr>
            <w:tcW w:w="1637" w:type="dxa"/>
            <w:gridSpan w:val="7"/>
            <w:tcBorders>
              <w:top w:val="nil"/>
            </w:tcBorders>
            <w:vAlign w:val="bottom"/>
          </w:tcPr>
          <w:p w:rsidR="00DF7C18" w:rsidRDefault="00DF7C18" w:rsidP="00C55000">
            <w:pPr>
              <w:pStyle w:val="IASBTableArial"/>
            </w:pPr>
            <w:r>
              <w:rPr>
                <w:b/>
                <w:sz w:val="15"/>
              </w:rPr>
              <w:t>Profit or loss recognised for the amount hedged</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tcBorders>
            <w:vAlign w:val="bottom"/>
          </w:tcPr>
          <w:p w:rsidR="00DF7C18" w:rsidRDefault="00DF7C18" w:rsidP="00C55000">
            <w:pPr>
              <w:pStyle w:val="IASBTableArial"/>
              <w:jc w:val="right"/>
            </w:pPr>
            <w:r>
              <w:rPr>
                <w:b/>
                <w:sz w:val="15"/>
              </w:rPr>
              <w:t>1 Jan</w:t>
            </w:r>
            <w:r>
              <w:rPr>
                <w:b/>
                <w:sz w:val="15"/>
              </w:rPr>
              <w:br/>
              <w:t>20X1</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31 Jan</w:t>
            </w:r>
            <w:r>
              <w:rPr>
                <w:b/>
                <w:sz w:val="15"/>
              </w:rPr>
              <w:br/>
              <w:t>20X1</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1 Feb</w:t>
            </w:r>
            <w:r>
              <w:rPr>
                <w:b/>
                <w:sz w:val="15"/>
              </w:rPr>
              <w:br/>
              <w:t>20X1</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28 Feb</w:t>
            </w:r>
            <w:r>
              <w:rPr>
                <w:b/>
                <w:sz w:val="15"/>
              </w:rPr>
              <w:br/>
              <w:t>20X1</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b/>
                <w:sz w:val="15"/>
              </w:rPr>
              <w:t>31 Mar</w:t>
            </w:r>
            <w:r>
              <w:rPr>
                <w:b/>
                <w:sz w:val="15"/>
              </w:rPr>
              <w:br/>
              <w:t>20X1</w:t>
            </w:r>
          </w:p>
        </w:tc>
      </w:tr>
      <w:tr w:rsidR="00DF7C18" w:rsidTr="00C55000">
        <w:trPr>
          <w:cantSplit/>
        </w:trPr>
        <w:tc>
          <w:tcPr>
            <w:tcW w:w="4325" w:type="dxa"/>
            <w:gridSpan w:val="13"/>
            <w:tcBorders>
              <w:top w:val="nil"/>
            </w:tcBorders>
            <w:vAlign w:val="bottom"/>
          </w:tcPr>
          <w:p w:rsidR="00DF7C18" w:rsidRDefault="00DF7C18" w:rsidP="00C55000">
            <w:pPr>
              <w:pStyle w:val="IASBTableArial"/>
            </w:pPr>
            <w:r>
              <w:rPr>
                <w:b/>
                <w:sz w:val="15"/>
              </w:rPr>
              <w:t>Interest income</w:t>
            </w:r>
          </w:p>
        </w:tc>
        <w:tc>
          <w:tcPr>
            <w:tcW w:w="1194" w:type="dxa"/>
            <w:gridSpan w:val="2"/>
            <w:tcBorders>
              <w:top w:val="nil"/>
              <w:left w:val="nil"/>
            </w:tcBorders>
            <w:vAlign w:val="center"/>
          </w:tcPr>
          <w:p w:rsidR="00DF7C18" w:rsidRDefault="00DF7C18" w:rsidP="00C55000">
            <w:pPr>
              <w:pStyle w:val="IASBTableArial"/>
            </w:pP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center"/>
          </w:tcPr>
          <w:p w:rsidR="00DF7C18" w:rsidRDefault="00DF7C18" w:rsidP="00C55000">
            <w:pPr>
              <w:pStyle w:val="IASBTableArial"/>
            </w:pP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center"/>
          </w:tcPr>
          <w:p w:rsidR="00DF7C18" w:rsidRDefault="00DF7C18" w:rsidP="00C55000">
            <w:pPr>
              <w:pStyle w:val="IASBTableArial"/>
            </w:pPr>
          </w:p>
        </w:tc>
      </w:tr>
      <w:tr w:rsidR="00DF7C18" w:rsidTr="00C55000">
        <w:trPr>
          <w:cantSplit/>
        </w:trPr>
        <w:tc>
          <w:tcPr>
            <w:tcW w:w="406" w:type="dxa"/>
            <w:gridSpan w:val="6"/>
            <w:tcBorders>
              <w:top w:val="nil"/>
            </w:tcBorders>
            <w:vAlign w:val="bottom"/>
          </w:tcPr>
          <w:p w:rsidR="00DF7C18" w:rsidRDefault="00DF7C18" w:rsidP="00C55000">
            <w:pPr>
              <w:pStyle w:val="IASBTableArial"/>
            </w:pPr>
          </w:p>
        </w:tc>
        <w:tc>
          <w:tcPr>
            <w:tcW w:w="1231" w:type="dxa"/>
            <w:tcBorders>
              <w:top w:val="nil"/>
              <w:left w:val="nil"/>
            </w:tcBorders>
            <w:vAlign w:val="bottom"/>
          </w:tcPr>
          <w:p w:rsidR="00DF7C18" w:rsidRDefault="00DF7C18" w:rsidP="00C55000">
            <w:pPr>
              <w:pStyle w:val="IASBTableArial"/>
            </w:pPr>
            <w:r>
              <w:rPr>
                <w:sz w:val="15"/>
              </w:rPr>
              <w:t>– on the asset</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tcBorders>
            <w:vAlign w:val="bottom"/>
          </w:tcPr>
          <w:p w:rsidR="00DF7C18" w:rsidRDefault="00DF7C18" w:rsidP="00C55000">
            <w:pPr>
              <w:pStyle w:val="IASBTableArial"/>
              <w:jc w:val="right"/>
            </w:pPr>
            <w:r>
              <w:rPr>
                <w:sz w:val="15"/>
              </w:rPr>
              <w:t>Nil</w:t>
            </w:r>
          </w:p>
        </w:tc>
        <w:tc>
          <w:tcPr>
            <w:tcW w:w="1294" w:type="dxa"/>
            <w:gridSpan w:val="2"/>
            <w:tcBorders>
              <w:top w:val="nil"/>
              <w:left w:val="nil"/>
            </w:tcBorders>
            <w:vAlign w:val="bottom"/>
          </w:tcPr>
          <w:p w:rsidR="00DF7C18" w:rsidRDefault="00DF7C18" w:rsidP="00C55000">
            <w:pPr>
              <w:pStyle w:val="IASBTableArial"/>
              <w:jc w:val="right"/>
            </w:pPr>
            <w:r>
              <w:rPr>
                <w:sz w:val="15"/>
              </w:rPr>
              <w:t>172,097</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sz w:val="15"/>
              </w:rPr>
              <w:t>N/A</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sz w:val="15"/>
              </w:rPr>
              <w:t>71,707</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sz w:val="15"/>
              </w:rPr>
              <w:t>71,707</w:t>
            </w:r>
          </w:p>
        </w:tc>
      </w:tr>
      <w:tr w:rsidR="00DF7C18" w:rsidTr="00C55000">
        <w:trPr>
          <w:cantSplit/>
        </w:trPr>
        <w:tc>
          <w:tcPr>
            <w:tcW w:w="406" w:type="dxa"/>
            <w:gridSpan w:val="6"/>
            <w:tcBorders>
              <w:top w:val="nil"/>
            </w:tcBorders>
            <w:vAlign w:val="bottom"/>
          </w:tcPr>
          <w:p w:rsidR="00DF7C18" w:rsidRDefault="00DF7C18" w:rsidP="00C55000">
            <w:pPr>
              <w:pStyle w:val="IASBTableArial"/>
            </w:pPr>
          </w:p>
        </w:tc>
        <w:tc>
          <w:tcPr>
            <w:tcW w:w="1231" w:type="dxa"/>
            <w:tcBorders>
              <w:top w:val="nil"/>
              <w:left w:val="nil"/>
            </w:tcBorders>
            <w:vAlign w:val="bottom"/>
          </w:tcPr>
          <w:p w:rsidR="00DF7C18" w:rsidRDefault="00DF7C18" w:rsidP="00C55000">
            <w:pPr>
              <w:pStyle w:val="IASBTableArial"/>
            </w:pPr>
            <w:r>
              <w:rPr>
                <w:sz w:val="15"/>
              </w:rPr>
              <w:t>– on the swap</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tcBorders>
            <w:vAlign w:val="bottom"/>
          </w:tcPr>
          <w:p w:rsidR="00DF7C18" w:rsidRDefault="00DF7C18" w:rsidP="00C55000">
            <w:pPr>
              <w:pStyle w:val="IASBTableArial"/>
              <w:jc w:val="right"/>
            </w:pPr>
            <w:r>
              <w:rPr>
                <w:sz w:val="15"/>
              </w:rPr>
              <w:t>Nil</w:t>
            </w:r>
          </w:p>
        </w:tc>
        <w:tc>
          <w:tcPr>
            <w:tcW w:w="1294" w:type="dxa"/>
            <w:gridSpan w:val="2"/>
            <w:tcBorders>
              <w:top w:val="nil"/>
              <w:left w:val="nil"/>
            </w:tcBorders>
            <w:vAlign w:val="bottom"/>
          </w:tcPr>
          <w:p w:rsidR="00DF7C18" w:rsidRDefault="00DF7C18" w:rsidP="00C55000">
            <w:pPr>
              <w:pStyle w:val="IASBTableArial"/>
              <w:jc w:val="right"/>
            </w:pPr>
            <w:r>
              <w:rPr>
                <w:sz w:val="15"/>
              </w:rPr>
              <w:t>179,268</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sz w:val="15"/>
              </w:rPr>
              <w:t>N/A</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sz w:val="15"/>
              </w:rPr>
              <w:t>62,115</w:t>
            </w: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sz w:val="15"/>
              </w:rPr>
              <w:t>62,115</w:t>
            </w:r>
          </w:p>
        </w:tc>
      </w:tr>
      <w:tr w:rsidR="00DF7C18" w:rsidTr="00C55000">
        <w:trPr>
          <w:cantSplit/>
        </w:trPr>
        <w:tc>
          <w:tcPr>
            <w:tcW w:w="4325" w:type="dxa"/>
            <w:gridSpan w:val="13"/>
            <w:tcBorders>
              <w:top w:val="nil"/>
            </w:tcBorders>
            <w:vAlign w:val="bottom"/>
          </w:tcPr>
          <w:p w:rsidR="00DF7C18" w:rsidRDefault="00DF7C18" w:rsidP="00C55000">
            <w:pPr>
              <w:pStyle w:val="IASBTableArial"/>
            </w:pPr>
            <w:r>
              <w:rPr>
                <w:b/>
                <w:sz w:val="15"/>
              </w:rPr>
              <w:t>Interest expense</w:t>
            </w:r>
          </w:p>
        </w:tc>
        <w:tc>
          <w:tcPr>
            <w:tcW w:w="1194" w:type="dxa"/>
            <w:gridSpan w:val="2"/>
            <w:tcBorders>
              <w:top w:val="nil"/>
              <w:left w:val="nil"/>
            </w:tcBorders>
            <w:vAlign w:val="center"/>
          </w:tcPr>
          <w:p w:rsidR="00DF7C18" w:rsidRDefault="00DF7C18" w:rsidP="00C55000">
            <w:pPr>
              <w:pStyle w:val="IASBTableArial"/>
            </w:pP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center"/>
          </w:tcPr>
          <w:p w:rsidR="00DF7C18" w:rsidRDefault="00DF7C18" w:rsidP="00C55000">
            <w:pPr>
              <w:pStyle w:val="IASBTableArial"/>
            </w:pPr>
          </w:p>
        </w:tc>
        <w:tc>
          <w:tcPr>
            <w:tcW w:w="236" w:type="dxa"/>
            <w:tcBorders>
              <w:top w:val="nil"/>
              <w:left w:val="nil"/>
            </w:tcBorders>
            <w:vAlign w:val="bottom"/>
          </w:tcPr>
          <w:p w:rsidR="00DF7C18" w:rsidRDefault="00DF7C18" w:rsidP="00C55000">
            <w:pPr>
              <w:pStyle w:val="IASBTableArial"/>
            </w:pPr>
          </w:p>
        </w:tc>
        <w:tc>
          <w:tcPr>
            <w:tcW w:w="1058" w:type="dxa"/>
            <w:tcBorders>
              <w:top w:val="nil"/>
              <w:left w:val="nil"/>
            </w:tcBorders>
            <w:vAlign w:val="center"/>
          </w:tcPr>
          <w:p w:rsidR="00DF7C18" w:rsidRDefault="00DF7C18" w:rsidP="00C55000">
            <w:pPr>
              <w:pStyle w:val="IASBTableArial"/>
            </w:pPr>
          </w:p>
        </w:tc>
      </w:tr>
      <w:tr w:rsidR="00DF7C18" w:rsidTr="00C55000">
        <w:trPr>
          <w:cantSplit/>
        </w:trPr>
        <w:tc>
          <w:tcPr>
            <w:tcW w:w="406" w:type="dxa"/>
            <w:gridSpan w:val="6"/>
            <w:tcBorders>
              <w:top w:val="nil"/>
            </w:tcBorders>
            <w:vAlign w:val="bottom"/>
          </w:tcPr>
          <w:p w:rsidR="00DF7C18" w:rsidRDefault="00DF7C18" w:rsidP="00C55000">
            <w:pPr>
              <w:pStyle w:val="IASBTableArial"/>
            </w:pPr>
          </w:p>
        </w:tc>
        <w:tc>
          <w:tcPr>
            <w:tcW w:w="1231" w:type="dxa"/>
            <w:tcBorders>
              <w:top w:val="nil"/>
              <w:left w:val="nil"/>
            </w:tcBorders>
            <w:vAlign w:val="bottom"/>
          </w:tcPr>
          <w:p w:rsidR="00DF7C18" w:rsidRDefault="00DF7C18" w:rsidP="00C55000">
            <w:pPr>
              <w:pStyle w:val="IASBTableArial"/>
            </w:pPr>
            <w:r>
              <w:rPr>
                <w:sz w:val="15"/>
              </w:rPr>
              <w:t>– on the swap</w:t>
            </w:r>
          </w:p>
        </w:tc>
        <w:tc>
          <w:tcPr>
            <w:tcW w:w="236" w:type="dxa"/>
            <w:tcBorders>
              <w:top w:val="nil"/>
              <w:left w:val="nil"/>
            </w:tcBorders>
            <w:vAlign w:val="bottom"/>
          </w:tcPr>
          <w:p w:rsidR="00DF7C18" w:rsidRDefault="00DF7C18" w:rsidP="00C55000">
            <w:pPr>
              <w:pStyle w:val="IASBTableArial"/>
            </w:pPr>
          </w:p>
        </w:tc>
        <w:tc>
          <w:tcPr>
            <w:tcW w:w="1058" w:type="dxa"/>
            <w:gridSpan w:val="2"/>
            <w:tcBorders>
              <w:top w:val="nil"/>
              <w:left w:val="nil"/>
            </w:tcBorders>
            <w:vAlign w:val="bottom"/>
          </w:tcPr>
          <w:p w:rsidR="00DF7C18" w:rsidRDefault="00DF7C18" w:rsidP="00C55000">
            <w:pPr>
              <w:pStyle w:val="IASBTableArial"/>
              <w:jc w:val="right"/>
            </w:pPr>
            <w:r>
              <w:rPr>
                <w:sz w:val="15"/>
              </w:rPr>
              <w:t>Nil</w:t>
            </w:r>
          </w:p>
        </w:tc>
        <w:tc>
          <w:tcPr>
            <w:tcW w:w="1294" w:type="dxa"/>
            <w:gridSpan w:val="2"/>
            <w:tcBorders>
              <w:top w:val="nil"/>
              <w:left w:val="nil"/>
            </w:tcBorders>
            <w:vAlign w:val="bottom"/>
          </w:tcPr>
          <w:p w:rsidR="00DF7C18" w:rsidRDefault="00DF7C18" w:rsidP="00C55000">
            <w:pPr>
              <w:pStyle w:val="IASBTableArial"/>
              <w:jc w:val="right"/>
            </w:pPr>
            <w:r>
              <w:rPr>
                <w:sz w:val="15"/>
              </w:rPr>
              <w:t>(179,268)</w:t>
            </w:r>
          </w:p>
        </w:tc>
        <w:tc>
          <w:tcPr>
            <w:tcW w:w="236" w:type="dxa"/>
            <w:gridSpan w:val="2"/>
            <w:tcBorders>
              <w:top w:val="nil"/>
              <w:left w:val="nil"/>
            </w:tcBorders>
            <w:vAlign w:val="bottom"/>
          </w:tcPr>
          <w:p w:rsidR="00DF7C18" w:rsidRDefault="00DF7C18" w:rsidP="00C55000">
            <w:pPr>
              <w:pStyle w:val="IASBTableArial"/>
            </w:pPr>
          </w:p>
        </w:tc>
        <w:tc>
          <w:tcPr>
            <w:tcW w:w="1058" w:type="dxa"/>
            <w:tcBorders>
              <w:top w:val="nil"/>
              <w:left w:val="nil"/>
            </w:tcBorders>
            <w:vAlign w:val="bottom"/>
          </w:tcPr>
          <w:p w:rsidR="00DF7C18" w:rsidRDefault="00DF7C18" w:rsidP="00C55000">
            <w:pPr>
              <w:pStyle w:val="IASBTableArial"/>
              <w:jc w:val="right"/>
            </w:pPr>
            <w:r>
              <w:rPr>
                <w:sz w:val="15"/>
              </w:rPr>
              <w:t>N/A</w:t>
            </w:r>
          </w:p>
        </w:tc>
        <w:tc>
          <w:tcPr>
            <w:tcW w:w="1294" w:type="dxa"/>
            <w:gridSpan w:val="2"/>
            <w:tcBorders>
              <w:top w:val="nil"/>
              <w:left w:val="nil"/>
            </w:tcBorders>
            <w:vAlign w:val="bottom"/>
          </w:tcPr>
          <w:p w:rsidR="00DF7C18" w:rsidRDefault="00DF7C18" w:rsidP="00C55000">
            <w:pPr>
              <w:pStyle w:val="IASBTableArial"/>
              <w:jc w:val="right"/>
            </w:pPr>
            <w:r>
              <w:rPr>
                <w:sz w:val="15"/>
              </w:rPr>
              <w:t>(71,707)</w:t>
            </w:r>
          </w:p>
        </w:tc>
        <w:tc>
          <w:tcPr>
            <w:tcW w:w="1294" w:type="dxa"/>
            <w:gridSpan w:val="2"/>
            <w:tcBorders>
              <w:top w:val="nil"/>
              <w:left w:val="nil"/>
            </w:tcBorders>
            <w:vAlign w:val="bottom"/>
          </w:tcPr>
          <w:p w:rsidR="00DF7C18" w:rsidRDefault="00DF7C18" w:rsidP="00C55000">
            <w:pPr>
              <w:pStyle w:val="IASBTableArial"/>
              <w:jc w:val="right"/>
            </w:pPr>
            <w:r>
              <w:rPr>
                <w:sz w:val="15"/>
              </w:rPr>
              <w:t>(71,707)</w:t>
            </w:r>
          </w:p>
        </w:tc>
      </w:tr>
    </w:tbl>
    <w:p w:rsidR="00DF7C18" w:rsidRDefault="00DF7C18" w:rsidP="007908DE">
      <w:pPr>
        <w:pStyle w:val="IASBNormalnpara"/>
        <w:spacing w:before="0"/>
      </w:pPr>
    </w:p>
    <w:p w:rsidR="00DF7C18" w:rsidRDefault="00DF7C18" w:rsidP="007908DE">
      <w:pPr>
        <w:pStyle w:val="IASBSectionTitle1NonInd"/>
        <w:pBdr>
          <w:bottom w:val="none" w:sz="0" w:space="0" w:color="auto"/>
        </w:pBdr>
        <w:spacing w:before="0" w:after="0"/>
        <w:sectPr w:rsidR="00DF7C18" w:rsidSect="003A4362">
          <w:headerReference w:type="even" r:id="rId30"/>
          <w:footerReference w:type="even" r:id="rId31"/>
          <w:footerReference w:type="default" r:id="rId32"/>
          <w:headerReference w:type="first" r:id="rId33"/>
          <w:footerReference w:type="first" r:id="rId34"/>
          <w:pgSz w:w="11907" w:h="16839"/>
          <w:pgMar w:top="1440" w:right="1440" w:bottom="1440" w:left="1440" w:header="720" w:footer="720" w:gutter="0"/>
          <w:cols w:space="708"/>
          <w:docGrid w:linePitch="360"/>
        </w:sectPr>
      </w:pPr>
    </w:p>
    <w:p w:rsidR="00723596" w:rsidRDefault="00723596" w:rsidP="00F27E21">
      <w:pPr>
        <w:pStyle w:val="ConvSectionTitle"/>
      </w:pPr>
      <w:r>
        <w:t xml:space="preserve">Deleted </w:t>
      </w:r>
      <w:r>
        <w:fldChar w:fldCharType="begin" w:fldLock="1"/>
      </w:r>
      <w:r>
        <w:instrText xml:space="preserve"> REF IntnlType \* charformat</w:instrText>
      </w:r>
      <w:r>
        <w:fldChar w:fldCharType="separate"/>
      </w:r>
      <w:r w:rsidR="006635EA">
        <w:t>IAS</w:t>
      </w:r>
      <w:r>
        <w:fldChar w:fldCharType="end"/>
      </w:r>
      <w:r>
        <w:t xml:space="preserve"> </w:t>
      </w:r>
      <w:r>
        <w:fldChar w:fldCharType="begin" w:fldLock="1"/>
      </w:r>
      <w:r>
        <w:instrText xml:space="preserve"> REF IntnlNo \* charformat</w:instrText>
      </w:r>
      <w:r>
        <w:fldChar w:fldCharType="separate"/>
      </w:r>
      <w:r w:rsidR="006635EA">
        <w:t>39</w:t>
      </w:r>
      <w:r>
        <w:fldChar w:fldCharType="end"/>
      </w:r>
      <w:r w:rsidR="00E923AF">
        <w:t xml:space="preserve"> t</w:t>
      </w:r>
      <w:r>
        <w:t>ext</w:t>
      </w:r>
    </w:p>
    <w:p w:rsidR="00723596" w:rsidRDefault="00723596" w:rsidP="00F27E21">
      <w:pPr>
        <w:pStyle w:val="IASBNote"/>
      </w:pPr>
      <w:r>
        <w:t xml:space="preserve">Deleted </w:t>
      </w:r>
      <w:r>
        <w:fldChar w:fldCharType="begin" w:fldLock="1"/>
      </w:r>
      <w:r>
        <w:instrText xml:space="preserve"> REF IntnlType \* charformat</w:instrText>
      </w:r>
      <w:r>
        <w:fldChar w:fldCharType="separate"/>
      </w:r>
      <w:r w:rsidR="006635EA">
        <w:t>IAS</w:t>
      </w:r>
      <w:r>
        <w:fldChar w:fldCharType="end"/>
      </w:r>
      <w:r>
        <w:t xml:space="preserve"> </w:t>
      </w:r>
      <w:r>
        <w:fldChar w:fldCharType="begin" w:fldLock="1"/>
      </w:r>
      <w:r>
        <w:instrText xml:space="preserve"> REF IntnlNo \* charformat</w:instrText>
      </w:r>
      <w:r>
        <w:fldChar w:fldCharType="separate"/>
      </w:r>
      <w:r w:rsidR="006635EA">
        <w:t>39</w:t>
      </w:r>
      <w:r>
        <w:fldChar w:fldCharType="end"/>
      </w:r>
      <w:r>
        <w:t xml:space="preserve"> text is not part of </w:t>
      </w:r>
      <w:r>
        <w:fldChar w:fldCharType="begin" w:fldLock="1"/>
      </w:r>
      <w:r>
        <w:instrText xml:space="preserve"> REF DocTypeAbb \* charformat</w:instrText>
      </w:r>
      <w:r>
        <w:fldChar w:fldCharType="separate"/>
      </w:r>
      <w:r w:rsidR="006635EA">
        <w:t>AASB</w:t>
      </w:r>
      <w:r>
        <w:fldChar w:fldCharType="end"/>
      </w:r>
      <w:r>
        <w:t xml:space="preserve"> </w:t>
      </w:r>
      <w:r>
        <w:fldChar w:fldCharType="begin" w:fldLock="1"/>
      </w:r>
      <w:r>
        <w:instrText xml:space="preserve"> REF DocNo \* charformat</w:instrText>
      </w:r>
      <w:r>
        <w:fldChar w:fldCharType="separate"/>
      </w:r>
      <w:r w:rsidR="006635EA">
        <w:t>139</w:t>
      </w:r>
      <w:r>
        <w:fldChar w:fldCharType="end"/>
      </w:r>
      <w:r>
        <w:t>.</w:t>
      </w:r>
    </w:p>
    <w:p w:rsidR="00F27E21" w:rsidRDefault="00F27E21" w:rsidP="00F27E21">
      <w:pPr>
        <w:pStyle w:val="IASBNormalnpara"/>
      </w:pPr>
      <w:r>
        <w:t>103A</w:t>
      </w:r>
      <w:r>
        <w:tab/>
        <w:t xml:space="preserve">An entity shall apply the amendment in paragraph 2(j) for annual periods beginning on or after 1 January 2006. If an entity applies IFRIC 5 </w:t>
      </w:r>
      <w:r>
        <w:rPr>
          <w:i/>
        </w:rPr>
        <w:t>Rights to Interests arising from Decommissioning, Restoration and Environmental Rehabilitation Funds</w:t>
      </w:r>
      <w:r>
        <w:t xml:space="preserve"> for an earlier period, this amendment shall be applied for that earlier period.</w:t>
      </w:r>
    </w:p>
    <w:p w:rsidR="00F27E21" w:rsidRDefault="00F27E21" w:rsidP="00F27E21">
      <w:pPr>
        <w:pStyle w:val="IASBNormalnpara"/>
      </w:pPr>
      <w:r>
        <w:t>103C</w:t>
      </w:r>
      <w:r>
        <w:tab/>
        <w:t>IAS 1 (as revised in 2007) amended the terminology used throughout IFRSs. In addition it amended paragraphs 95(a), 97, 98, 100, 102, 108 and AG99B. An entity shall apply those amendments for annual periods beginning on or after 1 January 2009. If an entity applies IAS 1 (revised 2007) for an earlier period, the amendments shall be applied for that earlier period.</w:t>
      </w:r>
    </w:p>
    <w:p w:rsidR="00F27E21" w:rsidRDefault="00F27E21" w:rsidP="00F27E21">
      <w:pPr>
        <w:pStyle w:val="IASBNormalnpara"/>
      </w:pPr>
      <w:r>
        <w:t>103E</w:t>
      </w:r>
      <w:r>
        <w:tab/>
        <w:t>IAS 27 (as amended in 2008) amended paragraph 102. An entity shall apply that amendment for annual periods beginning on or after 1 July 2009. If an entity applies IAS 27 (amended 2008) for an earlier period, the amendment shall be applied for that earlier period.</w:t>
      </w:r>
    </w:p>
    <w:p w:rsidR="00F27E21" w:rsidRDefault="00F27E21" w:rsidP="00F27E21">
      <w:pPr>
        <w:pStyle w:val="IASBNormalnpara"/>
      </w:pPr>
      <w:r>
        <w:t>103G</w:t>
      </w:r>
      <w:r>
        <w:tab/>
        <w:t xml:space="preserve">An entity shall apply paragraphs AG99BA, AG99E, AG99F, AG110A and AG110B retrospectively for annual periods beginning on or after 1 July 2009, in accordance with IAS 8 </w:t>
      </w:r>
      <w:r>
        <w:rPr>
          <w:i/>
        </w:rPr>
        <w:t>Accounting Policies, Changes in Accounting Estimates and Errors</w:t>
      </w:r>
      <w:r>
        <w:t xml:space="preserve">. Earlier application is permitted. If an entity applies </w:t>
      </w:r>
      <w:r>
        <w:rPr>
          <w:i/>
        </w:rPr>
        <w:t>Eligible Hedged Items</w:t>
      </w:r>
      <w:r>
        <w:t xml:space="preserve"> (Amendment to IAS 39) for periods beginning before 1 July 2009, it shall disclose that fact.</w:t>
      </w:r>
    </w:p>
    <w:p w:rsidR="00F27E21" w:rsidRDefault="00F27E21" w:rsidP="00F27E21">
      <w:pPr>
        <w:pStyle w:val="IASBNormalnpara"/>
      </w:pPr>
      <w:r>
        <w:t>103Q</w:t>
      </w:r>
      <w:r>
        <w:tab/>
        <w:t xml:space="preserve">IFRS 13, issued in May 2011, amended paragraphs 9, 13, 28, 47, 88, AG46, AG52, AG64, AG76, AG76A, AG80, AG81 and AG96, added paragraph 43A and deleted paragraphs 48–49, AG69–AG75, AG77–AG79 and AG82. An entity shall apply those amendments when it applies IFRS 13. </w:t>
      </w:r>
    </w:p>
    <w:p w:rsidR="00F27E21" w:rsidRDefault="00F27E21" w:rsidP="00F27E21">
      <w:pPr>
        <w:pStyle w:val="IASBNormalnpara"/>
      </w:pPr>
      <w:r>
        <w:t>103R</w:t>
      </w:r>
      <w:r>
        <w:tab/>
      </w:r>
      <w:r>
        <w:rPr>
          <w:i/>
        </w:rPr>
        <w:t>Investment Entities</w:t>
      </w:r>
      <w:r>
        <w:t xml:space="preserve"> (Amendments to IFRS 10, IFRS 12 and IAS 27), issued in October 2012, amended paragraphs 2 and 80. An entity shall apply those amendments for annual periods beginning on or after 1</w:t>
      </w:r>
      <w:r w:rsidR="005C3A09">
        <w:t> </w:t>
      </w:r>
      <w:r>
        <w:t xml:space="preserve">January 2014. Earlier application of </w:t>
      </w:r>
      <w:r>
        <w:rPr>
          <w:i/>
        </w:rPr>
        <w:t>Investment Entities</w:t>
      </w:r>
      <w:r>
        <w:t xml:space="preserve"> is permitted. If an entity applies those amendments earlier it shall also apply all amendments included in </w:t>
      </w:r>
      <w:r>
        <w:rPr>
          <w:i/>
        </w:rPr>
        <w:t>Investment Entities</w:t>
      </w:r>
      <w:r>
        <w:t xml:space="preserve"> at the same time.</w:t>
      </w:r>
    </w:p>
    <w:p w:rsidR="00FA36C9" w:rsidRDefault="00FA36C9" w:rsidP="00FA36C9">
      <w:pPr>
        <w:pStyle w:val="IASBNormalnpara"/>
      </w:pPr>
      <w:r>
        <w:t>108C</w:t>
      </w:r>
      <w:r>
        <w:tab/>
        <w:t xml:space="preserve">Paragraphs 73 and AG8 were amended by </w:t>
      </w:r>
      <w:r>
        <w:rPr>
          <w:i/>
        </w:rPr>
        <w:t>Improvements to IFRSs</w:t>
      </w:r>
      <w:r>
        <w:t xml:space="preserve">, issued in May 2008. Paragraph 80 was amended by </w:t>
      </w:r>
      <w:r>
        <w:rPr>
          <w:i/>
        </w:rPr>
        <w:t>Improvements to IFRSs</w:t>
      </w:r>
      <w:r>
        <w:t>, issued in April 2009. An entity shall apply those amendments for annual periods beginning on or after 1 January 2009. Earlier application of all the amendments is permitted. If an entity applies the amendments for an earlier period it shall disclose that fact.</w:t>
      </w:r>
    </w:p>
    <w:p w:rsidR="00FA36C9" w:rsidRDefault="00FA36C9" w:rsidP="00FA36C9">
      <w:pPr>
        <w:pStyle w:val="IASBNormalnpara"/>
      </w:pPr>
      <w:r>
        <w:t>108D</w:t>
      </w:r>
      <w:r>
        <w:tab/>
      </w:r>
      <w:r>
        <w:rPr>
          <w:i/>
        </w:rPr>
        <w:t>Novation of Derivatives and Continuation of Hedge Accounting</w:t>
      </w:r>
      <w:r>
        <w:t xml:space="preserve"> (Amendments to IAS 39), issued in June 2013, amended paragraphs 91 and 101 and added paragraph AG113A. An entity shall apply those paragraphs for annual periods beginning on or after 1 January 2014. An entity shall apply those amendments retrospectively in accordance with IAS 8 </w:t>
      </w:r>
      <w:r>
        <w:rPr>
          <w:i/>
        </w:rPr>
        <w:t>Accounting Policies, Changes in Accounting Estimates and Errors</w:t>
      </w:r>
      <w:r>
        <w:t>. Earlier application is permitted. If an entity applies those amendments for an earlier period it shall disclose that fact.</w:t>
      </w:r>
    </w:p>
    <w:p w:rsidR="00FA36C9" w:rsidRDefault="00FA36C9" w:rsidP="00FA36C9">
      <w:pPr>
        <w:pStyle w:val="IASBNormalnpara"/>
      </w:pPr>
      <w:r>
        <w:t>109</w:t>
      </w:r>
      <w:r>
        <w:tab/>
        <w:t xml:space="preserve">This Standard supersedes IAS 39 </w:t>
      </w:r>
      <w:r>
        <w:rPr>
          <w:i/>
        </w:rPr>
        <w:t>Financial Instruments: Recognition and Measurement</w:t>
      </w:r>
      <w:r>
        <w:t xml:space="preserve"> revised in October 2000. </w:t>
      </w:r>
    </w:p>
    <w:p w:rsidR="00FA36C9" w:rsidRDefault="00FA36C9" w:rsidP="00FA36C9">
      <w:pPr>
        <w:pStyle w:val="IASBNormalnpara"/>
      </w:pPr>
      <w:r>
        <w:t>110</w:t>
      </w:r>
      <w:r>
        <w:tab/>
        <w:t>This Standard and the accompanying Implementation Guidance supersede the Implementation Guidance issued by the IAS 39 Implementation Guidance Committee, established by the former IASC.</w:t>
      </w:r>
    </w:p>
    <w:sectPr w:rsidR="00FA36C9" w:rsidSect="00EC6207">
      <w:footerReference w:type="default" r:id="rId35"/>
      <w:headerReference w:type="first" r:id="rId36"/>
      <w:footerReference w:type="first" r:id="rId37"/>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03" w:rsidRDefault="00C50203">
      <w:r>
        <w:separator/>
      </w:r>
    </w:p>
  </w:endnote>
  <w:endnote w:type="continuationSeparator" w:id="0">
    <w:p w:rsidR="00C50203" w:rsidRDefault="00C5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Default="00C5020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Footer"/>
      <w:rPr>
        <w:b/>
      </w:rPr>
    </w:pPr>
    <w:r>
      <w:rPr>
        <w:b/>
      </w:rPr>
      <w:fldChar w:fldCharType="begin" w:fldLock="1"/>
    </w:r>
    <w:r>
      <w:rPr>
        <w:b/>
      </w:rPr>
      <w:instrText xml:space="preserve"> REF DocTypeAbb \* charformat </w:instrText>
    </w:r>
    <w:r>
      <w:rPr>
        <w:b/>
      </w:rPr>
      <w:fldChar w:fldCharType="separate"/>
    </w:r>
    <w:r w:rsidRPr="006635EA">
      <w:rPr>
        <w:b/>
      </w:rPr>
      <w:t>AASB</w:t>
    </w:r>
    <w:r>
      <w:rPr>
        <w:b/>
      </w:rPr>
      <w:fldChar w:fldCharType="end"/>
    </w:r>
    <w:r w:rsidRPr="00723596">
      <w:rPr>
        <w:b/>
      </w:rPr>
      <w:t xml:space="preserve"> </w:t>
    </w:r>
    <w:r>
      <w:rPr>
        <w:b/>
      </w:rPr>
      <w:fldChar w:fldCharType="begin" w:fldLock="1"/>
    </w:r>
    <w:r>
      <w:rPr>
        <w:b/>
      </w:rPr>
      <w:instrText xml:space="preserve"> REF DocNo \* charformat </w:instrText>
    </w:r>
    <w:r>
      <w:rPr>
        <w:b/>
      </w:rPr>
      <w:fldChar w:fldCharType="separate"/>
    </w:r>
    <w:r w:rsidRPr="006635EA">
      <w:rPr>
        <w:b/>
      </w:rPr>
      <w:t>139</w:t>
    </w:r>
    <w:r>
      <w:rPr>
        <w:b/>
      </w:rPr>
      <w:fldChar w:fldCharType="end"/>
    </w:r>
    <w:r w:rsidRPr="00723596">
      <w:rPr>
        <w:b/>
      </w:rPr>
      <w:tab/>
    </w:r>
    <w:r>
      <w:fldChar w:fldCharType="begin"/>
    </w:r>
    <w:r>
      <w:instrText xml:space="preserve"> PAGE </w:instrText>
    </w:r>
    <w:r>
      <w:fldChar w:fldCharType="separate"/>
    </w:r>
    <w:r w:rsidR="00763C7B">
      <w:rPr>
        <w:noProof/>
      </w:rPr>
      <w:t>22</w:t>
    </w:r>
    <w:r>
      <w:fldChar w:fldCharType="end"/>
    </w:r>
    <w:r w:rsidRPr="00723596">
      <w:rPr>
        <w:b/>
      </w:rPr>
      <w:tab/>
    </w:r>
    <w:r>
      <w:rPr>
        <w:b/>
      </w:rPr>
      <w:t>APPENDIX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Footer"/>
      <w:rPr>
        <w:b/>
      </w:rPr>
    </w:pPr>
    <w:r>
      <w:rPr>
        <w:b/>
      </w:rPr>
      <w:fldChar w:fldCharType="begin" w:fldLock="1"/>
    </w:r>
    <w:r>
      <w:rPr>
        <w:b/>
      </w:rPr>
      <w:instrText xml:space="preserve"> REF DocTypeAbb \* charformat </w:instrText>
    </w:r>
    <w:r>
      <w:rPr>
        <w:b/>
      </w:rPr>
      <w:fldChar w:fldCharType="separate"/>
    </w:r>
    <w:r w:rsidRPr="006635EA">
      <w:rPr>
        <w:b/>
      </w:rPr>
      <w:t>AASB</w:t>
    </w:r>
    <w:r>
      <w:rPr>
        <w:b/>
      </w:rPr>
      <w:fldChar w:fldCharType="end"/>
    </w:r>
    <w:r w:rsidRPr="00723596">
      <w:rPr>
        <w:b/>
      </w:rPr>
      <w:t xml:space="preserve"> </w:t>
    </w:r>
    <w:r>
      <w:rPr>
        <w:b/>
      </w:rPr>
      <w:fldChar w:fldCharType="begin" w:fldLock="1"/>
    </w:r>
    <w:r>
      <w:rPr>
        <w:b/>
      </w:rPr>
      <w:instrText xml:space="preserve"> REF DocNo \* charformat </w:instrText>
    </w:r>
    <w:r>
      <w:rPr>
        <w:b/>
      </w:rPr>
      <w:fldChar w:fldCharType="separate"/>
    </w:r>
    <w:r w:rsidRPr="006635EA">
      <w:rPr>
        <w:b/>
      </w:rPr>
      <w:t>139</w:t>
    </w:r>
    <w:r>
      <w:rPr>
        <w:b/>
      </w:rPr>
      <w:fldChar w:fldCharType="end"/>
    </w:r>
    <w:r w:rsidRPr="00723596">
      <w:rPr>
        <w:b/>
      </w:rPr>
      <w:tab/>
    </w:r>
    <w:r>
      <w:fldChar w:fldCharType="begin"/>
    </w:r>
    <w:r>
      <w:instrText xml:space="preserve"> PAGE </w:instrText>
    </w:r>
    <w:r>
      <w:fldChar w:fldCharType="separate"/>
    </w:r>
    <w:r w:rsidR="00763C7B">
      <w:rPr>
        <w:noProof/>
      </w:rPr>
      <w:t>28</w:t>
    </w:r>
    <w:r>
      <w:fldChar w:fldCharType="end"/>
    </w:r>
    <w:r w:rsidRPr="00723596">
      <w:rPr>
        <w:b/>
      </w:rPr>
      <w:tab/>
    </w:r>
    <w:r>
      <w:rPr>
        <w:b/>
      </w:rPr>
      <w:t>EXAMPLE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Default="00C50203" w:rsidP="00F27E2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6635EA">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6635EA">
      <w:rPr>
        <w:b/>
      </w:rPr>
      <w:t>139</w:t>
    </w:r>
    <w:r w:rsidRPr="00705552">
      <w:rPr>
        <w:b/>
      </w:rPr>
      <w:fldChar w:fldCharType="end"/>
    </w:r>
    <w:r>
      <w:tab/>
    </w:r>
    <w:r>
      <w:fldChar w:fldCharType="begin"/>
    </w:r>
    <w:r>
      <w:instrText xml:space="preserve"> page </w:instrText>
    </w:r>
    <w:r>
      <w:fldChar w:fldCharType="separate"/>
    </w:r>
    <w:r w:rsidR="00763C7B">
      <w:rPr>
        <w:noProof/>
      </w:rPr>
      <w:t>29</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6635EA">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6635EA">
      <w:rPr>
        <w:b/>
      </w:rPr>
      <w:t>39</w:t>
    </w:r>
    <w:r>
      <w:rPr>
        <w:b/>
      </w:rPr>
      <w:fldChar w:fldCharType="end"/>
    </w:r>
    <w:r>
      <w:rPr>
        <w:b/>
      </w:rPr>
      <w:t xml:space="preserve"> TEXT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Default="00C50203">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6635EA">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6635EA">
      <w:rPr>
        <w:b/>
      </w:rPr>
      <w:t>139</w:t>
    </w:r>
    <w:r w:rsidRPr="00705552">
      <w:rPr>
        <w:b/>
      </w:rPr>
      <w:fldChar w:fldCharType="end"/>
    </w:r>
    <w:r>
      <w:tab/>
    </w:r>
    <w:r>
      <w:fldChar w:fldCharType="begin"/>
    </w:r>
    <w:r>
      <w:instrText xml:space="preserve"> page </w:instrText>
    </w:r>
    <w:r>
      <w:fldChar w:fldCharType="separate"/>
    </w:r>
    <w:r w:rsidR="00763C7B">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Default="00C502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05552" w:rsidRDefault="00C50203" w:rsidP="00F27E21">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6635EA">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6635EA">
      <w:rPr>
        <w:b/>
      </w:rPr>
      <w:t>139</w:t>
    </w:r>
    <w:r w:rsidRPr="00705552">
      <w:rPr>
        <w:b/>
      </w:rPr>
      <w:fldChar w:fldCharType="end"/>
    </w:r>
    <w:r>
      <w:tab/>
    </w:r>
    <w:r>
      <w:fldChar w:fldCharType="begin"/>
    </w:r>
    <w:r>
      <w:instrText xml:space="preserve"> page </w:instrText>
    </w:r>
    <w:r>
      <w:fldChar w:fldCharType="separate"/>
    </w:r>
    <w:r w:rsidR="00763C7B">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Default="00C5020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Default="00C50203" w:rsidP="00F27E2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6635EA">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6635EA">
      <w:rPr>
        <w:b/>
      </w:rPr>
      <w:t>139</w:t>
    </w:r>
    <w:r w:rsidRPr="00705552">
      <w:rPr>
        <w:b/>
      </w:rPr>
      <w:fldChar w:fldCharType="end"/>
    </w:r>
    <w:r>
      <w:tab/>
    </w:r>
    <w:r>
      <w:fldChar w:fldCharType="begin"/>
    </w:r>
    <w:r>
      <w:instrText xml:space="preserve"> page </w:instrText>
    </w:r>
    <w:r>
      <w:fldChar w:fldCharType="separate"/>
    </w:r>
    <w:r w:rsidR="00763C7B">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Footer"/>
      <w:rPr>
        <w:b/>
      </w:rPr>
    </w:pPr>
    <w:r>
      <w:rPr>
        <w:b/>
      </w:rPr>
      <w:fldChar w:fldCharType="begin" w:fldLock="1"/>
    </w:r>
    <w:r>
      <w:rPr>
        <w:b/>
      </w:rPr>
      <w:instrText xml:space="preserve"> REF DocTypeAbb \* charformat </w:instrText>
    </w:r>
    <w:r>
      <w:rPr>
        <w:b/>
      </w:rPr>
      <w:fldChar w:fldCharType="separate"/>
    </w:r>
    <w:r w:rsidRPr="006635EA">
      <w:rPr>
        <w:b/>
      </w:rPr>
      <w:t>AASB</w:t>
    </w:r>
    <w:r>
      <w:rPr>
        <w:b/>
      </w:rPr>
      <w:fldChar w:fldCharType="end"/>
    </w:r>
    <w:r w:rsidRPr="00723596">
      <w:rPr>
        <w:b/>
      </w:rPr>
      <w:t xml:space="preserve"> </w:t>
    </w:r>
    <w:r>
      <w:rPr>
        <w:b/>
      </w:rPr>
      <w:fldChar w:fldCharType="begin" w:fldLock="1"/>
    </w:r>
    <w:r>
      <w:rPr>
        <w:b/>
      </w:rPr>
      <w:instrText xml:space="preserve"> REF DocNo \* charformat </w:instrText>
    </w:r>
    <w:r>
      <w:rPr>
        <w:b/>
      </w:rPr>
      <w:fldChar w:fldCharType="separate"/>
    </w:r>
    <w:r w:rsidRPr="006635EA">
      <w:rPr>
        <w:b/>
      </w:rPr>
      <w:t>139</w:t>
    </w:r>
    <w:r>
      <w:rPr>
        <w:b/>
      </w:rPr>
      <w:fldChar w:fldCharType="end"/>
    </w:r>
    <w:r w:rsidRPr="00723596">
      <w:rPr>
        <w:b/>
      </w:rPr>
      <w:tab/>
    </w:r>
    <w:r>
      <w:fldChar w:fldCharType="begin"/>
    </w:r>
    <w:r>
      <w:instrText xml:space="preserve"> PAGE </w:instrText>
    </w:r>
    <w:r>
      <w:fldChar w:fldCharType="separate"/>
    </w:r>
    <w:r w:rsidR="00763C7B">
      <w:rPr>
        <w:noProof/>
      </w:rPr>
      <w:t>13</w:t>
    </w:r>
    <w:r>
      <w:fldChar w:fldCharType="end"/>
    </w:r>
    <w:r w:rsidRPr="00723596">
      <w:rPr>
        <w:b/>
      </w:rPr>
      <w:tab/>
    </w:r>
    <w:r>
      <w:rPr>
        <w:b/>
      </w:rPr>
      <w:fldChar w:fldCharType="begin" w:fldLock="1"/>
    </w:r>
    <w:r>
      <w:rPr>
        <w:b/>
      </w:rPr>
      <w:instrText xml:space="preserve"> REF DocType \* charformat \* upper </w:instrText>
    </w:r>
    <w:r>
      <w:rPr>
        <w:b/>
      </w:rPr>
      <w:fldChar w:fldCharType="separate"/>
    </w:r>
    <w:r w:rsidRPr="006635EA">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03" w:rsidRDefault="00C50203">
      <w:r>
        <w:separator/>
      </w:r>
    </w:p>
  </w:footnote>
  <w:footnote w:type="continuationSeparator" w:id="0">
    <w:p w:rsidR="00C50203" w:rsidRDefault="00C50203">
      <w:r>
        <w:continuationSeparator/>
      </w:r>
    </w:p>
  </w:footnote>
  <w:footnote w:id="1">
    <w:p w:rsidR="00C50203" w:rsidRPr="00977F98" w:rsidRDefault="00C50203" w:rsidP="00F6520F">
      <w:pPr>
        <w:shd w:val="clear" w:color="auto" w:fill="FFFFFF"/>
        <w:ind w:left="284" w:hanging="284"/>
        <w:jc w:val="both"/>
        <w:rPr>
          <w:rStyle w:val="FootnoteReference"/>
          <w:sz w:val="16"/>
          <w:szCs w:val="16"/>
          <w:vertAlign w:val="baseline"/>
          <w:lang w:val="en-US"/>
        </w:rPr>
      </w:pPr>
      <w:r w:rsidRPr="00977F98">
        <w:rPr>
          <w:rStyle w:val="FootnoteReference"/>
          <w:sz w:val="16"/>
          <w:szCs w:val="16"/>
          <w:vertAlign w:val="baseline"/>
        </w:rPr>
        <w:footnoteRef/>
      </w:r>
      <w:r w:rsidRPr="00977F98">
        <w:rPr>
          <w:sz w:val="16"/>
          <w:szCs w:val="16"/>
        </w:rPr>
        <w:tab/>
      </w:r>
      <w:r w:rsidRPr="00977F98">
        <w:rPr>
          <w:rStyle w:val="FootnoteReference"/>
          <w:sz w:val="16"/>
          <w:szCs w:val="16"/>
          <w:vertAlign w:val="baseline"/>
        </w:rPr>
        <w:t>The same materiality considerations apply in this context as apply throughout</w:t>
      </w:r>
      <w:r>
        <w:rPr>
          <w:rStyle w:val="FootnoteReference"/>
          <w:sz w:val="16"/>
          <w:szCs w:val="16"/>
          <w:vertAlign w:val="baseline"/>
        </w:rPr>
        <w:t xml:space="preserve"> Australian Accounting Standards</w:t>
      </w:r>
      <w:r w:rsidRPr="00977F98">
        <w:rPr>
          <w:rStyle w:val="FootnoteReference"/>
          <w:sz w:val="16"/>
          <w:szCs w:val="16"/>
          <w:vertAlign w:val="baseline"/>
        </w:rPr>
        <w:t>.</w:t>
      </w:r>
    </w:p>
  </w:footnote>
  <w:footnote w:id="2">
    <w:p w:rsidR="00C50203" w:rsidRPr="00977F98" w:rsidRDefault="00C50203" w:rsidP="00F6520F">
      <w:pPr>
        <w:shd w:val="clear" w:color="auto" w:fill="FFFFFF"/>
        <w:ind w:left="284" w:hanging="284"/>
        <w:jc w:val="both"/>
        <w:rPr>
          <w:rStyle w:val="FootnoteReference"/>
          <w:sz w:val="16"/>
          <w:szCs w:val="16"/>
          <w:vertAlign w:val="baseline"/>
          <w:lang w:val="en-US"/>
        </w:rPr>
      </w:pPr>
      <w:r w:rsidRPr="00977F98">
        <w:rPr>
          <w:rStyle w:val="FootnoteReference"/>
          <w:sz w:val="16"/>
          <w:szCs w:val="16"/>
          <w:vertAlign w:val="baseline"/>
        </w:rPr>
        <w:footnoteRef/>
      </w:r>
      <w:r w:rsidRPr="00977F98">
        <w:rPr>
          <w:sz w:val="16"/>
          <w:szCs w:val="16"/>
        </w:rPr>
        <w:tab/>
      </w:r>
      <w:r w:rsidRPr="00977F98">
        <w:rPr>
          <w:rStyle w:val="FootnoteReference"/>
          <w:sz w:val="16"/>
          <w:szCs w:val="16"/>
          <w:vertAlign w:val="baseline"/>
        </w:rPr>
        <w:t xml:space="preserve">The Standard permits an entity to designate any amount of the available qualifying assets or liabilities, </w:t>
      </w:r>
      <w:proofErr w:type="spellStart"/>
      <w:r w:rsidRPr="00977F98">
        <w:rPr>
          <w:rStyle w:val="FootnoteReference"/>
          <w:sz w:val="16"/>
          <w:szCs w:val="16"/>
          <w:vertAlign w:val="baseline"/>
        </w:rPr>
        <w:t>ie</w:t>
      </w:r>
      <w:proofErr w:type="spellEnd"/>
      <w:r w:rsidRPr="00977F98">
        <w:rPr>
          <w:rStyle w:val="FootnoteReference"/>
          <w:sz w:val="16"/>
          <w:szCs w:val="16"/>
          <w:vertAlign w:val="baseline"/>
        </w:rPr>
        <w:t xml:space="preserve"> in this example any amount of assets between CU0 and CU100.</w:t>
      </w:r>
    </w:p>
  </w:footnote>
  <w:footnote w:id="3">
    <w:p w:rsidR="00C50203" w:rsidRPr="00977F98" w:rsidRDefault="00C50203" w:rsidP="00F6520F">
      <w:pPr>
        <w:shd w:val="clear" w:color="auto" w:fill="FFFFFF"/>
        <w:ind w:left="284" w:hanging="284"/>
        <w:jc w:val="both"/>
        <w:rPr>
          <w:rStyle w:val="FootnoteReference"/>
          <w:sz w:val="16"/>
          <w:szCs w:val="16"/>
          <w:vertAlign w:val="baseline"/>
          <w:lang w:val="en-US"/>
        </w:rPr>
      </w:pPr>
      <w:r w:rsidRPr="00977F98">
        <w:rPr>
          <w:rStyle w:val="FootnoteReference"/>
          <w:sz w:val="16"/>
          <w:szCs w:val="16"/>
          <w:vertAlign w:val="baseline"/>
        </w:rPr>
        <w:footnoteRef/>
      </w:r>
      <w:r w:rsidRPr="00977F98">
        <w:rPr>
          <w:sz w:val="16"/>
          <w:szCs w:val="16"/>
        </w:rPr>
        <w:tab/>
      </w:r>
      <w:r w:rsidRPr="00977F98">
        <w:rPr>
          <w:rStyle w:val="FootnoteReference"/>
          <w:sz w:val="16"/>
          <w:szCs w:val="16"/>
          <w:vertAlign w:val="baseline"/>
        </w:rPr>
        <w:t>CU30 ÷ (CU100 – CU40) = 50 per cent</w:t>
      </w:r>
    </w:p>
  </w:footnote>
  <w:footnote w:id="4">
    <w:p w:rsidR="00C50203" w:rsidRPr="00977F98" w:rsidRDefault="00C50203" w:rsidP="00F6520F">
      <w:pPr>
        <w:shd w:val="clear" w:color="auto" w:fill="FFFFFF"/>
        <w:ind w:left="284" w:hanging="284"/>
        <w:jc w:val="both"/>
        <w:rPr>
          <w:rStyle w:val="FootnoteReference"/>
          <w:sz w:val="16"/>
          <w:szCs w:val="16"/>
          <w:vertAlign w:val="baseline"/>
          <w:lang w:val="en-US"/>
        </w:rPr>
      </w:pPr>
      <w:r w:rsidRPr="00977F98">
        <w:rPr>
          <w:rStyle w:val="FootnoteReference"/>
          <w:sz w:val="16"/>
          <w:szCs w:val="16"/>
          <w:vertAlign w:val="baseline"/>
        </w:rPr>
        <w:footnoteRef/>
      </w:r>
      <w:r w:rsidRPr="00977F98">
        <w:rPr>
          <w:sz w:val="16"/>
          <w:szCs w:val="16"/>
        </w:rPr>
        <w:tab/>
      </w:r>
      <w:r w:rsidRPr="00977F98">
        <w:rPr>
          <w:rStyle w:val="FootnoteReference"/>
          <w:sz w:val="16"/>
          <w:szCs w:val="16"/>
          <w:vertAlign w:val="baseline"/>
        </w:rPr>
        <w:t>see paragraphs 77 and AG94</w:t>
      </w:r>
    </w:p>
  </w:footnote>
  <w:footnote w:id="5">
    <w:p w:rsidR="00C50203" w:rsidRPr="00977F98" w:rsidRDefault="00C50203" w:rsidP="00F6520F">
      <w:pPr>
        <w:shd w:val="clear" w:color="auto" w:fill="FFFFFF"/>
        <w:ind w:left="284" w:hanging="284"/>
        <w:jc w:val="both"/>
        <w:rPr>
          <w:rStyle w:val="FootnoteReference"/>
          <w:sz w:val="16"/>
          <w:szCs w:val="16"/>
          <w:vertAlign w:val="baseline"/>
          <w:lang w:val="en-US"/>
        </w:rPr>
      </w:pPr>
      <w:r w:rsidRPr="00977F98">
        <w:rPr>
          <w:rStyle w:val="FootnoteReference"/>
          <w:sz w:val="16"/>
          <w:szCs w:val="16"/>
          <w:vertAlign w:val="baseline"/>
        </w:rPr>
        <w:footnoteRef/>
      </w:r>
      <w:r w:rsidRPr="00977F98">
        <w:rPr>
          <w:sz w:val="16"/>
          <w:szCs w:val="16"/>
        </w:rPr>
        <w:tab/>
      </w:r>
      <w:r w:rsidRPr="00977F98">
        <w:rPr>
          <w:rStyle w:val="FootnoteReference"/>
          <w:sz w:val="16"/>
          <w:szCs w:val="16"/>
          <w:vertAlign w:val="baseline"/>
        </w:rPr>
        <w:t>see paragraph 75</w:t>
      </w:r>
    </w:p>
  </w:footnote>
  <w:footnote w:id="6">
    <w:p w:rsidR="00C50203" w:rsidRPr="00977F98" w:rsidRDefault="00C50203" w:rsidP="00F6520F">
      <w:pPr>
        <w:shd w:val="clear" w:color="auto" w:fill="FFFFFF"/>
        <w:ind w:left="284" w:hanging="284"/>
        <w:jc w:val="both"/>
        <w:rPr>
          <w:rStyle w:val="FootnoteReference"/>
          <w:sz w:val="16"/>
          <w:szCs w:val="16"/>
          <w:vertAlign w:val="baseline"/>
          <w:lang w:val="en-US"/>
        </w:rPr>
      </w:pPr>
      <w:r w:rsidRPr="00977F98">
        <w:rPr>
          <w:rStyle w:val="FootnoteReference"/>
          <w:sz w:val="16"/>
          <w:szCs w:val="16"/>
          <w:vertAlign w:val="baseline"/>
        </w:rPr>
        <w:footnoteRef/>
      </w:r>
      <w:r w:rsidRPr="00977F98">
        <w:rPr>
          <w:sz w:val="16"/>
          <w:szCs w:val="16"/>
        </w:rPr>
        <w:tab/>
      </w:r>
      <w:r w:rsidRPr="00977F98">
        <w:rPr>
          <w:rStyle w:val="FootnoteReference"/>
          <w:sz w:val="16"/>
          <w:szCs w:val="16"/>
          <w:vertAlign w:val="baseline"/>
        </w:rPr>
        <w:t>The same materiality considerations apply in this context as apply throughout</w:t>
      </w:r>
      <w:r>
        <w:rPr>
          <w:rStyle w:val="FootnoteReference"/>
          <w:sz w:val="16"/>
          <w:szCs w:val="16"/>
          <w:vertAlign w:val="baseline"/>
        </w:rPr>
        <w:t xml:space="preserve"> Australian Accounting Standards</w:t>
      </w:r>
      <w:r w:rsidRPr="00977F98">
        <w:rPr>
          <w:rStyle w:val="FootnoteReference"/>
          <w:sz w:val="16"/>
          <w:szCs w:val="16"/>
          <w:vertAlign w:val="baseline"/>
        </w:rPr>
        <w:t>.</w:t>
      </w:r>
    </w:p>
  </w:footnote>
  <w:footnote w:id="7">
    <w:p w:rsidR="00C50203" w:rsidRPr="001213A7" w:rsidRDefault="00C50203" w:rsidP="00F6520F">
      <w:pPr>
        <w:ind w:left="284" w:hanging="284"/>
        <w:jc w:val="both"/>
        <w:rPr>
          <w:sz w:val="16"/>
          <w:szCs w:val="16"/>
        </w:rPr>
      </w:pPr>
      <w:r w:rsidRPr="001213A7">
        <w:rPr>
          <w:rStyle w:val="FootnoteReference"/>
          <w:sz w:val="16"/>
          <w:szCs w:val="16"/>
          <w:vertAlign w:val="baseline"/>
        </w:rPr>
        <w:footnoteRef/>
      </w:r>
      <w:r w:rsidRPr="001213A7">
        <w:rPr>
          <w:sz w:val="16"/>
          <w:szCs w:val="16"/>
        </w:rPr>
        <w:tab/>
      </w:r>
      <w:r w:rsidRPr="001213A7">
        <w:rPr>
          <w:rStyle w:val="FootnoteReference"/>
          <w:sz w:val="16"/>
          <w:szCs w:val="16"/>
          <w:vertAlign w:val="baseline"/>
        </w:rPr>
        <w:t>In this example principal cash flows have been scheduled into time periods but the related interest cash flows have been included when calculating the change in the fair value of the hedged item. Other methods of scheduling assets and liabilities are also possible. Also, in this example, monthly repricing time periods have been used. An entity may choose narrower or wider time periods.</w:t>
      </w:r>
    </w:p>
  </w:footnote>
  <w:footnote w:id="8">
    <w:p w:rsidR="00C50203" w:rsidRPr="001213A7" w:rsidRDefault="00C50203" w:rsidP="00F6520F">
      <w:pPr>
        <w:ind w:left="284" w:hanging="284"/>
        <w:jc w:val="both"/>
        <w:rPr>
          <w:sz w:val="16"/>
          <w:szCs w:val="16"/>
        </w:rPr>
      </w:pPr>
      <w:r w:rsidRPr="001213A7">
        <w:rPr>
          <w:rStyle w:val="FootnoteReference"/>
          <w:sz w:val="16"/>
          <w:szCs w:val="16"/>
          <w:vertAlign w:val="baseline"/>
        </w:rPr>
        <w:footnoteRef/>
      </w:r>
      <w:r w:rsidRPr="001213A7">
        <w:rPr>
          <w:sz w:val="16"/>
          <w:szCs w:val="16"/>
        </w:rPr>
        <w:tab/>
      </w:r>
      <w:r w:rsidRPr="001213A7">
        <w:rPr>
          <w:rStyle w:val="FootnoteReference"/>
          <w:sz w:val="16"/>
          <w:szCs w:val="16"/>
          <w:vertAlign w:val="baseline"/>
        </w:rPr>
        <w:t>In this example monetary amounts are denominated in ‘currency units (CU)’.</w:t>
      </w:r>
    </w:p>
  </w:footnote>
  <w:footnote w:id="9">
    <w:p w:rsidR="00C50203" w:rsidRPr="001213A7" w:rsidRDefault="00C50203" w:rsidP="00F6520F">
      <w:pPr>
        <w:ind w:left="284" w:hanging="284"/>
        <w:jc w:val="both"/>
        <w:rPr>
          <w:sz w:val="16"/>
          <w:szCs w:val="16"/>
        </w:rPr>
      </w:pPr>
      <w:r w:rsidRPr="001213A7">
        <w:rPr>
          <w:rStyle w:val="FootnoteReference"/>
          <w:sz w:val="16"/>
          <w:szCs w:val="16"/>
          <w:vertAlign w:val="baseline"/>
        </w:rPr>
        <w:footnoteRef/>
      </w:r>
      <w:r w:rsidRPr="001213A7">
        <w:rPr>
          <w:sz w:val="16"/>
          <w:szCs w:val="16"/>
        </w:rPr>
        <w:tab/>
      </w:r>
      <w:r w:rsidRPr="001213A7">
        <w:rPr>
          <w:rStyle w:val="FootnoteReference"/>
          <w:sz w:val="16"/>
          <w:szCs w:val="16"/>
          <w:vertAlign w:val="baseline"/>
        </w:rPr>
        <w:t>The example uses a swap as the hedging instrument. An entity may use forward rate agreements or other derivatives as hedging instruments.</w:t>
      </w:r>
    </w:p>
  </w:footnote>
  <w:footnote w:id="10">
    <w:p w:rsidR="00C50203" w:rsidRPr="001213A7" w:rsidRDefault="00C50203" w:rsidP="00F6520F">
      <w:pPr>
        <w:ind w:left="284" w:hanging="284"/>
        <w:jc w:val="both"/>
        <w:rPr>
          <w:sz w:val="16"/>
          <w:szCs w:val="16"/>
        </w:rPr>
      </w:pPr>
      <w:r w:rsidRPr="001213A7">
        <w:rPr>
          <w:rStyle w:val="FootnoteReference"/>
          <w:sz w:val="16"/>
          <w:szCs w:val="16"/>
          <w:vertAlign w:val="baseline"/>
        </w:rPr>
        <w:footnoteRef/>
      </w:r>
      <w:r w:rsidRPr="001213A7">
        <w:rPr>
          <w:sz w:val="16"/>
          <w:szCs w:val="16"/>
        </w:rPr>
        <w:tab/>
      </w:r>
      <w:r w:rsidRPr="001213A7">
        <w:rPr>
          <w:rStyle w:val="FootnoteReference"/>
          <w:sz w:val="16"/>
          <w:szCs w:val="16"/>
          <w:vertAlign w:val="baseline"/>
        </w:rPr>
        <w:t>see paragraph IE8</w:t>
      </w:r>
    </w:p>
  </w:footnote>
  <w:footnote w:id="11">
    <w:p w:rsidR="00C50203" w:rsidRPr="001213A7" w:rsidRDefault="00C50203" w:rsidP="00F6520F">
      <w:pPr>
        <w:ind w:left="284" w:hanging="284"/>
        <w:jc w:val="both"/>
        <w:rPr>
          <w:sz w:val="16"/>
          <w:szCs w:val="16"/>
        </w:rPr>
      </w:pPr>
      <w:r w:rsidRPr="001213A7">
        <w:rPr>
          <w:rStyle w:val="FootnoteReference"/>
          <w:sz w:val="16"/>
          <w:szCs w:val="16"/>
          <w:vertAlign w:val="baseline"/>
        </w:rPr>
        <w:footnoteRef/>
      </w:r>
      <w:r w:rsidRPr="001213A7">
        <w:rPr>
          <w:sz w:val="16"/>
          <w:szCs w:val="16"/>
        </w:rPr>
        <w:tab/>
      </w:r>
      <w:proofErr w:type="spellStart"/>
      <w:r w:rsidRPr="001213A7">
        <w:rPr>
          <w:rStyle w:val="FootnoteReference"/>
          <w:sz w:val="16"/>
          <w:szCs w:val="16"/>
          <w:vertAlign w:val="baseline"/>
        </w:rPr>
        <w:t>ie</w:t>
      </w:r>
      <w:proofErr w:type="spellEnd"/>
      <w:r w:rsidRPr="001213A7">
        <w:rPr>
          <w:rStyle w:val="FootnoteReference"/>
          <w:sz w:val="16"/>
          <w:szCs w:val="16"/>
          <w:vertAlign w:val="baseline"/>
        </w:rPr>
        <w:t xml:space="preserve"> CU20,047,408 – CU20,000,000. See paragraph IE7.</w:t>
      </w:r>
    </w:p>
  </w:footnote>
  <w:footnote w:id="12">
    <w:p w:rsidR="00C50203" w:rsidRPr="001213A7" w:rsidRDefault="00C50203" w:rsidP="00F6520F">
      <w:pPr>
        <w:ind w:left="284" w:hanging="284"/>
        <w:jc w:val="both"/>
        <w:rPr>
          <w:sz w:val="16"/>
          <w:szCs w:val="16"/>
        </w:rPr>
      </w:pPr>
      <w:r w:rsidRPr="001213A7">
        <w:rPr>
          <w:rStyle w:val="FootnoteReference"/>
          <w:sz w:val="16"/>
          <w:szCs w:val="16"/>
          <w:vertAlign w:val="baseline"/>
        </w:rPr>
        <w:footnoteRef/>
      </w:r>
      <w:r w:rsidRPr="001213A7">
        <w:rPr>
          <w:sz w:val="16"/>
          <w:szCs w:val="16"/>
        </w:rPr>
        <w:tab/>
      </w:r>
      <w:r w:rsidRPr="001213A7">
        <w:rPr>
          <w:rStyle w:val="FootnoteReference"/>
          <w:sz w:val="16"/>
          <w:szCs w:val="16"/>
          <w:vertAlign w:val="baseline"/>
        </w:rPr>
        <w:t>The amount realised on sale of the asset is the fair value of a prepayable asset, which is less than the fair value of the equivalent non-prepayable asset shown in paragraph IE7.</w:t>
      </w:r>
    </w:p>
  </w:footnote>
  <w:footnote w:id="13">
    <w:p w:rsidR="00C50203" w:rsidRPr="001213A7" w:rsidRDefault="00C50203" w:rsidP="00F6520F">
      <w:pPr>
        <w:ind w:left="284" w:hanging="284"/>
        <w:jc w:val="both"/>
        <w:rPr>
          <w:sz w:val="16"/>
          <w:szCs w:val="16"/>
        </w:rPr>
      </w:pPr>
      <w:r w:rsidRPr="001213A7">
        <w:rPr>
          <w:rStyle w:val="FootnoteReference"/>
          <w:sz w:val="16"/>
          <w:szCs w:val="16"/>
          <w:vertAlign w:val="baseline"/>
        </w:rPr>
        <w:footnoteRef/>
      </w:r>
      <w:r w:rsidRPr="001213A7">
        <w:rPr>
          <w:sz w:val="16"/>
          <w:szCs w:val="16"/>
        </w:rPr>
        <w:tab/>
      </w:r>
      <w:r w:rsidRPr="001213A7">
        <w:rPr>
          <w:rStyle w:val="FootnoteReference"/>
          <w:sz w:val="16"/>
          <w:szCs w:val="16"/>
          <w:vertAlign w:val="baseline"/>
        </w:rPr>
        <w:t>CU47,408 × 40 per cent</w:t>
      </w:r>
    </w:p>
  </w:footnote>
  <w:footnote w:id="14">
    <w:p w:rsidR="00C50203" w:rsidRPr="001213A7" w:rsidRDefault="00C50203" w:rsidP="00F6520F">
      <w:pPr>
        <w:ind w:left="284" w:hanging="284"/>
        <w:jc w:val="both"/>
        <w:rPr>
          <w:sz w:val="16"/>
          <w:szCs w:val="16"/>
        </w:rPr>
      </w:pPr>
      <w:r w:rsidRPr="001213A7">
        <w:rPr>
          <w:rStyle w:val="FootnoteReference"/>
          <w:sz w:val="16"/>
          <w:szCs w:val="16"/>
          <w:vertAlign w:val="baseline"/>
        </w:rPr>
        <w:footnoteRef/>
      </w:r>
      <w:r w:rsidRPr="001213A7">
        <w:rPr>
          <w:sz w:val="16"/>
          <w:szCs w:val="16"/>
        </w:rPr>
        <w:tab/>
      </w:r>
      <w:r w:rsidRPr="001213A7">
        <w:rPr>
          <w:rStyle w:val="FootnoteReference"/>
          <w:sz w:val="16"/>
          <w:szCs w:val="16"/>
          <w:vertAlign w:val="baseline"/>
        </w:rPr>
        <w:t>The entity could instead enter into an offsetting swap with a notional principal of CU12 million to adjust its position and designate as the hedging instrument all CU20 million of the existing swap and all CU12 million of the new offsetting swap.</w:t>
      </w:r>
    </w:p>
  </w:footnote>
  <w:footnote w:id="15">
    <w:p w:rsidR="00C50203" w:rsidRPr="001213A7" w:rsidRDefault="00C50203" w:rsidP="00F6520F">
      <w:pPr>
        <w:ind w:left="284" w:hanging="284"/>
        <w:jc w:val="both"/>
        <w:rPr>
          <w:sz w:val="16"/>
          <w:szCs w:val="16"/>
        </w:rPr>
      </w:pPr>
      <w:r w:rsidRPr="001213A7">
        <w:rPr>
          <w:rStyle w:val="FootnoteReference"/>
          <w:sz w:val="16"/>
          <w:szCs w:val="16"/>
          <w:vertAlign w:val="baseline"/>
        </w:rPr>
        <w:footnoteRef/>
      </w:r>
      <w:r w:rsidRPr="001213A7">
        <w:rPr>
          <w:sz w:val="16"/>
          <w:szCs w:val="16"/>
        </w:rPr>
        <w:tab/>
      </w:r>
      <w:r w:rsidRPr="001213A7">
        <w:rPr>
          <w:rStyle w:val="FootnoteReference"/>
          <w:sz w:val="16"/>
          <w:szCs w:val="16"/>
          <w:vertAlign w:val="baseline"/>
        </w:rPr>
        <w:t>CU19.2 million – (81/3% × CU19.2 million)</w:t>
      </w:r>
    </w:p>
  </w:footnote>
  <w:footnote w:id="16">
    <w:p w:rsidR="00C50203" w:rsidRPr="001213A7" w:rsidRDefault="00C50203" w:rsidP="00F6520F">
      <w:pPr>
        <w:ind w:left="284" w:hanging="284"/>
        <w:jc w:val="both"/>
        <w:rPr>
          <w:sz w:val="16"/>
          <w:szCs w:val="16"/>
        </w:rPr>
      </w:pPr>
      <w:r w:rsidRPr="001213A7">
        <w:rPr>
          <w:rStyle w:val="FootnoteReference"/>
          <w:sz w:val="16"/>
          <w:szCs w:val="16"/>
          <w:vertAlign w:val="baseline"/>
        </w:rPr>
        <w:footnoteRef/>
      </w:r>
      <w:r w:rsidRPr="001213A7">
        <w:rPr>
          <w:sz w:val="16"/>
          <w:szCs w:val="16"/>
        </w:rPr>
        <w:tab/>
      </w:r>
      <w:r w:rsidRPr="001213A7">
        <w:rPr>
          <w:rStyle w:val="FootnoteReference"/>
          <w:sz w:val="16"/>
          <w:szCs w:val="16"/>
          <w:vertAlign w:val="baseline"/>
        </w:rPr>
        <w:t>CU41,718 × (CU8 million ÷ CU17.6 million)</w:t>
      </w:r>
    </w:p>
  </w:footnote>
  <w:footnote w:id="17">
    <w:p w:rsidR="00C50203" w:rsidRPr="001213A7" w:rsidRDefault="00C50203" w:rsidP="00F6520F">
      <w:pPr>
        <w:ind w:left="284" w:hanging="284"/>
        <w:jc w:val="both"/>
        <w:rPr>
          <w:sz w:val="16"/>
          <w:szCs w:val="16"/>
        </w:rPr>
      </w:pPr>
      <w:r w:rsidRPr="001213A7">
        <w:rPr>
          <w:rStyle w:val="FootnoteReference"/>
          <w:sz w:val="16"/>
          <w:szCs w:val="16"/>
          <w:vertAlign w:val="baseline"/>
        </w:rPr>
        <w:footnoteRef/>
      </w:r>
      <w:r w:rsidRPr="001213A7">
        <w:rPr>
          <w:sz w:val="16"/>
          <w:szCs w:val="16"/>
        </w:rPr>
        <w:tab/>
      </w:r>
      <w:r w:rsidRPr="001213A7">
        <w:rPr>
          <w:rStyle w:val="FootnoteReference"/>
          <w:sz w:val="16"/>
          <w:szCs w:val="16"/>
          <w:vertAlign w:val="baseline"/>
        </w:rPr>
        <w:t>CU41,718 – CU18,963</w:t>
      </w:r>
    </w:p>
  </w:footnote>
  <w:footnote w:id="18">
    <w:p w:rsidR="00C50203" w:rsidRPr="001213A7" w:rsidRDefault="00C50203" w:rsidP="00F6520F">
      <w:pPr>
        <w:ind w:left="284" w:hanging="284"/>
        <w:jc w:val="both"/>
        <w:rPr>
          <w:sz w:val="16"/>
          <w:szCs w:val="16"/>
        </w:rPr>
      </w:pPr>
      <w:r w:rsidRPr="001213A7">
        <w:rPr>
          <w:rStyle w:val="FootnoteReference"/>
          <w:sz w:val="16"/>
          <w:szCs w:val="16"/>
          <w:vertAlign w:val="baseline"/>
        </w:rPr>
        <w:footnoteRef/>
      </w:r>
      <w:r>
        <w:rPr>
          <w:sz w:val="16"/>
          <w:szCs w:val="16"/>
        </w:rPr>
        <w:tab/>
      </w:r>
      <w:r w:rsidRPr="001213A7">
        <w:rPr>
          <w:rStyle w:val="FootnoteReference"/>
          <w:sz w:val="16"/>
          <w:szCs w:val="16"/>
          <w:vertAlign w:val="baseline"/>
        </w:rPr>
        <w:t>CU23,795 [see paragraph IE8] × (CU8 million ÷ CU20 million)</w:t>
      </w:r>
    </w:p>
  </w:footnote>
  <w:footnote w:id="19">
    <w:p w:rsidR="00C50203" w:rsidRPr="001213A7" w:rsidRDefault="00C50203" w:rsidP="00F6520F">
      <w:pPr>
        <w:ind w:left="284" w:hanging="284"/>
        <w:jc w:val="both"/>
        <w:rPr>
          <w:sz w:val="16"/>
          <w:szCs w:val="16"/>
        </w:rPr>
      </w:pPr>
      <w:r w:rsidRPr="001213A7">
        <w:rPr>
          <w:rStyle w:val="FootnoteReference"/>
          <w:sz w:val="16"/>
          <w:szCs w:val="16"/>
          <w:vertAlign w:val="baseline"/>
        </w:rPr>
        <w:footnoteRef/>
      </w:r>
      <w:r>
        <w:rPr>
          <w:rStyle w:val="FootnoteReference"/>
          <w:sz w:val="16"/>
          <w:szCs w:val="16"/>
          <w:vertAlign w:val="baseline"/>
        </w:rPr>
        <w:tab/>
      </w:r>
      <w:r w:rsidRPr="001213A7">
        <w:rPr>
          <w:rStyle w:val="FootnoteReference"/>
          <w:sz w:val="16"/>
          <w:szCs w:val="16"/>
          <w:vertAlign w:val="baseline"/>
        </w:rPr>
        <w:t>CU20,023,795 [see paragraph IE7] × (CU8 million ÷ CU20 million)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Default="00C50203">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Default="00C502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Default="00C502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Default="00C502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Default="00C502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3" w:rsidRPr="00723596" w:rsidRDefault="00C50203" w:rsidP="00723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8B"/>
    <w:rsid w:val="00012D8C"/>
    <w:rsid w:val="00014E4D"/>
    <w:rsid w:val="00076DF6"/>
    <w:rsid w:val="000B4EC8"/>
    <w:rsid w:val="000E2086"/>
    <w:rsid w:val="000E7AF9"/>
    <w:rsid w:val="0017650C"/>
    <w:rsid w:val="001A0FA2"/>
    <w:rsid w:val="001D520B"/>
    <w:rsid w:val="00235F74"/>
    <w:rsid w:val="00287BA9"/>
    <w:rsid w:val="00293FDB"/>
    <w:rsid w:val="003A31FE"/>
    <w:rsid w:val="003A4362"/>
    <w:rsid w:val="00416F94"/>
    <w:rsid w:val="00456006"/>
    <w:rsid w:val="005037CA"/>
    <w:rsid w:val="00505BEF"/>
    <w:rsid w:val="00542719"/>
    <w:rsid w:val="0054685A"/>
    <w:rsid w:val="00571DEA"/>
    <w:rsid w:val="005773B7"/>
    <w:rsid w:val="005815DF"/>
    <w:rsid w:val="005C3A09"/>
    <w:rsid w:val="005F7281"/>
    <w:rsid w:val="006635EA"/>
    <w:rsid w:val="00685FD6"/>
    <w:rsid w:val="00700E26"/>
    <w:rsid w:val="00717EDF"/>
    <w:rsid w:val="00723596"/>
    <w:rsid w:val="00736422"/>
    <w:rsid w:val="00763C7B"/>
    <w:rsid w:val="007805F0"/>
    <w:rsid w:val="007908B9"/>
    <w:rsid w:val="007908DE"/>
    <w:rsid w:val="007E4677"/>
    <w:rsid w:val="008112BF"/>
    <w:rsid w:val="00822D9F"/>
    <w:rsid w:val="0086050D"/>
    <w:rsid w:val="008A0F68"/>
    <w:rsid w:val="008D2F35"/>
    <w:rsid w:val="009612C5"/>
    <w:rsid w:val="00977A33"/>
    <w:rsid w:val="00977F98"/>
    <w:rsid w:val="009A252D"/>
    <w:rsid w:val="009A29A3"/>
    <w:rsid w:val="009B06E6"/>
    <w:rsid w:val="009D3774"/>
    <w:rsid w:val="009D7809"/>
    <w:rsid w:val="009E1F8E"/>
    <w:rsid w:val="00A22785"/>
    <w:rsid w:val="00A573D2"/>
    <w:rsid w:val="00A70920"/>
    <w:rsid w:val="00A7637C"/>
    <w:rsid w:val="00A91A52"/>
    <w:rsid w:val="00AB2D1B"/>
    <w:rsid w:val="00AC16AA"/>
    <w:rsid w:val="00AC5287"/>
    <w:rsid w:val="00B345F5"/>
    <w:rsid w:val="00B559A2"/>
    <w:rsid w:val="00BD0E03"/>
    <w:rsid w:val="00C226BC"/>
    <w:rsid w:val="00C340AB"/>
    <w:rsid w:val="00C50203"/>
    <w:rsid w:val="00C55000"/>
    <w:rsid w:val="00C8638B"/>
    <w:rsid w:val="00CD46EF"/>
    <w:rsid w:val="00D47EFA"/>
    <w:rsid w:val="00D81987"/>
    <w:rsid w:val="00D9160B"/>
    <w:rsid w:val="00D95D69"/>
    <w:rsid w:val="00DA20BC"/>
    <w:rsid w:val="00DE4CA8"/>
    <w:rsid w:val="00DF7C18"/>
    <w:rsid w:val="00E00E58"/>
    <w:rsid w:val="00E27871"/>
    <w:rsid w:val="00E36279"/>
    <w:rsid w:val="00E54131"/>
    <w:rsid w:val="00E7491C"/>
    <w:rsid w:val="00E9072E"/>
    <w:rsid w:val="00E923AF"/>
    <w:rsid w:val="00EB7025"/>
    <w:rsid w:val="00EC6207"/>
    <w:rsid w:val="00EE6CA5"/>
    <w:rsid w:val="00F121E2"/>
    <w:rsid w:val="00F27E21"/>
    <w:rsid w:val="00F40E56"/>
    <w:rsid w:val="00F6520F"/>
    <w:rsid w:val="00FA36C9"/>
    <w:rsid w:val="00FB5E6A"/>
    <w:rsid w:val="00FF5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CD46EF"/>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CD46EF"/>
    <w:pPr>
      <w:tabs>
        <w:tab w:val="left" w:pos="4253"/>
      </w:tabs>
      <w:spacing w:before="100" w:after="100"/>
      <w:jc w:val="both"/>
    </w:pPr>
    <w:rPr>
      <w:sz w:val="19"/>
      <w:lang w:eastAsia="en-US"/>
    </w:rPr>
  </w:style>
  <w:style w:type="paragraph" w:customStyle="1" w:styleId="IASBNormalnpara">
    <w:name w:val="IASB Normal npara"/>
    <w:basedOn w:val="IASBNormal"/>
    <w:uiPriority w:val="8"/>
    <w:rsid w:val="00CD46EF"/>
    <w:pPr>
      <w:tabs>
        <w:tab w:val="clear" w:pos="4253"/>
      </w:tabs>
      <w:spacing w:after="0"/>
      <w:ind w:left="782" w:hanging="782"/>
    </w:pPr>
  </w:style>
  <w:style w:type="paragraph" w:customStyle="1" w:styleId="IASBSectionTitle1Ind">
    <w:name w:val="IASB Section Title 1 Ind"/>
    <w:basedOn w:val="Normal"/>
    <w:uiPriority w:val="8"/>
    <w:rsid w:val="00CD46EF"/>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CD46EF"/>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CD46EF"/>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CD46EF"/>
    <w:pPr>
      <w:spacing w:before="240"/>
      <w:ind w:left="782"/>
    </w:pPr>
  </w:style>
  <w:style w:type="paragraph" w:customStyle="1" w:styleId="IASBSectionTitle3NonInd">
    <w:name w:val="IASB Section Title 3 NonInd"/>
    <w:basedOn w:val="Normal"/>
    <w:uiPriority w:val="8"/>
    <w:rsid w:val="00CD46EF"/>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CD46EF"/>
    <w:pPr>
      <w:spacing w:before="240"/>
      <w:ind w:left="782"/>
    </w:pPr>
  </w:style>
  <w:style w:type="paragraph" w:customStyle="1" w:styleId="IASBSectionTitle4NonInd">
    <w:name w:val="IASB Section Title 4 NonInd"/>
    <w:basedOn w:val="Normal"/>
    <w:uiPriority w:val="8"/>
    <w:rsid w:val="00CD46EF"/>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CD46EF"/>
    <w:pPr>
      <w:ind w:left="782"/>
    </w:pPr>
  </w:style>
  <w:style w:type="paragraph" w:customStyle="1" w:styleId="IASBSectionTitle5NonInd">
    <w:name w:val="IASB Section Title 5 NonInd"/>
    <w:basedOn w:val="Normal"/>
    <w:uiPriority w:val="8"/>
    <w:rsid w:val="00CD46EF"/>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CD46EF"/>
    <w:pPr>
      <w:ind w:left="782"/>
    </w:pPr>
  </w:style>
  <w:style w:type="paragraph" w:customStyle="1" w:styleId="IASBSectionTitle6NonInd">
    <w:name w:val="IASB Section Title 6 NonInd"/>
    <w:basedOn w:val="IASBSectionTitle5NonInd"/>
    <w:uiPriority w:val="8"/>
    <w:rsid w:val="00CD46EF"/>
    <w:pPr>
      <w:outlineLvl w:val="5"/>
    </w:pPr>
    <w:rPr>
      <w:b w:val="0"/>
      <w:i/>
    </w:rPr>
  </w:style>
  <w:style w:type="paragraph" w:customStyle="1" w:styleId="IASBSectionTitle6Ind">
    <w:name w:val="IASB Section Title 6 Ind"/>
    <w:basedOn w:val="IASBSectionTitle6NonInd"/>
    <w:uiPriority w:val="8"/>
    <w:rsid w:val="00CD46EF"/>
    <w:pPr>
      <w:ind w:left="782"/>
    </w:pPr>
  </w:style>
  <w:style w:type="paragraph" w:customStyle="1" w:styleId="IASBTitle">
    <w:name w:val="IASB Title"/>
    <w:uiPriority w:val="8"/>
    <w:rsid w:val="00CD46EF"/>
    <w:pPr>
      <w:keepNext/>
      <w:keepLines/>
      <w:spacing w:before="300" w:after="400"/>
    </w:pPr>
    <w:rPr>
      <w:rFonts w:cs="Arial"/>
      <w:sz w:val="36"/>
      <w:lang w:eastAsia="en-US"/>
    </w:rPr>
  </w:style>
  <w:style w:type="paragraph" w:customStyle="1" w:styleId="IASBNormalnparaL1">
    <w:name w:val="IASB Normal nparaL1"/>
    <w:basedOn w:val="IASBNormalnpara"/>
    <w:uiPriority w:val="8"/>
    <w:rsid w:val="00CD46EF"/>
    <w:pPr>
      <w:ind w:left="1564"/>
    </w:pPr>
  </w:style>
  <w:style w:type="paragraph" w:customStyle="1" w:styleId="IASBNormalnparaP">
    <w:name w:val="IASB Normal nparaP"/>
    <w:basedOn w:val="IASBNormal"/>
    <w:uiPriority w:val="8"/>
    <w:rsid w:val="00CD46EF"/>
    <w:pPr>
      <w:ind w:left="782"/>
    </w:pPr>
  </w:style>
  <w:style w:type="paragraph" w:customStyle="1" w:styleId="IASBIdentifier">
    <w:name w:val="IASB Identifier"/>
    <w:basedOn w:val="IASBTitle"/>
    <w:uiPriority w:val="8"/>
    <w:rsid w:val="00CD46EF"/>
    <w:pPr>
      <w:spacing w:after="200"/>
    </w:pPr>
    <w:rPr>
      <w:rFonts w:ascii="Arial" w:hAnsi="Arial"/>
      <w:b/>
      <w:sz w:val="23"/>
    </w:rPr>
  </w:style>
  <w:style w:type="paragraph" w:customStyle="1" w:styleId="IASBTOCPrimary">
    <w:name w:val="IASB TOC Primary"/>
    <w:basedOn w:val="Normal"/>
    <w:uiPriority w:val="8"/>
    <w:rsid w:val="00CD46EF"/>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CD46EF"/>
    <w:pPr>
      <w:spacing w:before="30" w:after="30"/>
    </w:pPr>
    <w:rPr>
      <w:rFonts w:ascii="Arial" w:hAnsi="Arial" w:cs="Arial"/>
      <w:i/>
      <w:sz w:val="18"/>
      <w:szCs w:val="20"/>
    </w:rPr>
  </w:style>
  <w:style w:type="paragraph" w:customStyle="1" w:styleId="IASBTOCSecondary">
    <w:name w:val="IASB TOC Secondary"/>
    <w:basedOn w:val="Normal"/>
    <w:uiPriority w:val="8"/>
    <w:rsid w:val="00CD46EF"/>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CD46EF"/>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CD46EF"/>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CD46EF"/>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CD46EF"/>
    <w:rPr>
      <w:i/>
    </w:rPr>
  </w:style>
  <w:style w:type="paragraph" w:customStyle="1" w:styleId="IASBBlockquote">
    <w:name w:val="IASB Blockquote"/>
    <w:basedOn w:val="IASBNormal"/>
    <w:uiPriority w:val="8"/>
    <w:rsid w:val="00CD46EF"/>
    <w:pPr>
      <w:ind w:left="1565"/>
    </w:pPr>
    <w:rPr>
      <w:sz w:val="16"/>
    </w:rPr>
  </w:style>
  <w:style w:type="character" w:customStyle="1" w:styleId="IASBEduinsert">
    <w:name w:val="IASB Edu insert"/>
    <w:uiPriority w:val="8"/>
    <w:qFormat/>
    <w:rsid w:val="00CD46EF"/>
  </w:style>
  <w:style w:type="character" w:styleId="FootnoteReference">
    <w:name w:val="footnote reference"/>
    <w:uiPriority w:val="99"/>
    <w:semiHidden/>
    <w:unhideWhenUsed/>
    <w:rsid w:val="00CD46EF"/>
    <w:rPr>
      <w:vertAlign w:val="superscript"/>
    </w:rPr>
  </w:style>
  <w:style w:type="paragraph" w:styleId="FootnoteText">
    <w:name w:val="footnote text"/>
    <w:basedOn w:val="IASBSectionTitle2Ind"/>
    <w:next w:val="IASBBlockquote"/>
    <w:link w:val="FootnoteTextChar"/>
    <w:uiPriority w:val="99"/>
    <w:semiHidden/>
    <w:rsid w:val="00CD46EF"/>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CD46EF"/>
    <w:rPr>
      <w:sz w:val="16"/>
      <w:shd w:val="clear" w:color="auto" w:fill="99CCFF"/>
      <w:lang w:eastAsia="en-US"/>
    </w:rPr>
  </w:style>
  <w:style w:type="paragraph" w:customStyle="1" w:styleId="IASBNormalL1">
    <w:name w:val="IASB Normal L1"/>
    <w:basedOn w:val="IASBNormalnpara"/>
    <w:uiPriority w:val="8"/>
    <w:rsid w:val="00CD46EF"/>
  </w:style>
  <w:style w:type="paragraph" w:styleId="Header">
    <w:name w:val="header"/>
    <w:basedOn w:val="Normal"/>
    <w:link w:val="HeaderChar"/>
    <w:uiPriority w:val="99"/>
    <w:rsid w:val="00CD46EF"/>
    <w:pPr>
      <w:tabs>
        <w:tab w:val="center" w:pos="4536"/>
        <w:tab w:val="right" w:pos="9072"/>
      </w:tabs>
    </w:pPr>
    <w:rPr>
      <w:sz w:val="20"/>
    </w:rPr>
  </w:style>
  <w:style w:type="character" w:customStyle="1" w:styleId="HeaderChar">
    <w:name w:val="Header Char"/>
    <w:link w:val="Header"/>
    <w:uiPriority w:val="99"/>
    <w:rsid w:val="00CD46EF"/>
    <w:rPr>
      <w:szCs w:val="24"/>
      <w:lang w:eastAsia="en-US"/>
    </w:rPr>
  </w:style>
  <w:style w:type="paragraph" w:styleId="Footer">
    <w:name w:val="footer"/>
    <w:basedOn w:val="Normal"/>
    <w:link w:val="FooterChar"/>
    <w:uiPriority w:val="99"/>
    <w:rsid w:val="00CD46EF"/>
    <w:pPr>
      <w:tabs>
        <w:tab w:val="center" w:pos="4536"/>
        <w:tab w:val="right" w:pos="9072"/>
      </w:tabs>
    </w:pPr>
  </w:style>
  <w:style w:type="character" w:customStyle="1" w:styleId="FooterChar">
    <w:name w:val="Footer Char"/>
    <w:link w:val="Footer"/>
    <w:uiPriority w:val="99"/>
    <w:rsid w:val="00CD46EF"/>
    <w:rPr>
      <w:sz w:val="19"/>
      <w:szCs w:val="24"/>
      <w:lang w:eastAsia="en-US"/>
    </w:rPr>
  </w:style>
  <w:style w:type="paragraph" w:customStyle="1" w:styleId="IASBRubricL1">
    <w:name w:val="IASB RubricL1"/>
    <w:basedOn w:val="IASBRubric"/>
    <w:uiPriority w:val="8"/>
    <w:rsid w:val="00CD46EF"/>
    <w:pPr>
      <w:ind w:left="782" w:hanging="782"/>
      <w:jc w:val="left"/>
    </w:pPr>
    <w:rPr>
      <w:lang w:eastAsia="en-GB"/>
    </w:rPr>
  </w:style>
  <w:style w:type="paragraph" w:customStyle="1" w:styleId="IASBRubricL2">
    <w:name w:val="IASB RubricL2"/>
    <w:basedOn w:val="IASBRubricL1"/>
    <w:uiPriority w:val="8"/>
    <w:rsid w:val="00CD46EF"/>
    <w:pPr>
      <w:tabs>
        <w:tab w:val="left" w:pos="782"/>
      </w:tabs>
      <w:ind w:left="1565" w:hanging="1565"/>
    </w:pPr>
  </w:style>
  <w:style w:type="paragraph" w:customStyle="1" w:styleId="IASBRubricL3">
    <w:name w:val="IASB RubricL3"/>
    <w:basedOn w:val="IASBRubricL2"/>
    <w:uiPriority w:val="8"/>
    <w:rsid w:val="00CD46EF"/>
    <w:pPr>
      <w:tabs>
        <w:tab w:val="clear" w:pos="782"/>
        <w:tab w:val="left" w:pos="1565"/>
      </w:tabs>
      <w:ind w:left="2347" w:hanging="2347"/>
    </w:pPr>
  </w:style>
  <w:style w:type="paragraph" w:customStyle="1" w:styleId="IASBNormalnparaL2">
    <w:name w:val="IASB Normal nparaL2"/>
    <w:basedOn w:val="IASBNormalnparaL1"/>
    <w:uiPriority w:val="8"/>
    <w:rsid w:val="00CD46EF"/>
    <w:pPr>
      <w:ind w:left="2347"/>
    </w:pPr>
  </w:style>
  <w:style w:type="paragraph" w:customStyle="1" w:styleId="IASBNormalnparaL3">
    <w:name w:val="IASB Normal nparaL3"/>
    <w:basedOn w:val="IASBNormalnparaL2"/>
    <w:uiPriority w:val="8"/>
    <w:rsid w:val="00CD46EF"/>
    <w:pPr>
      <w:ind w:left="3129"/>
    </w:pPr>
  </w:style>
  <w:style w:type="paragraph" w:customStyle="1" w:styleId="IASBNormalnparaL4">
    <w:name w:val="IASB Normal nparaL4"/>
    <w:basedOn w:val="IASBNormalnparaL3"/>
    <w:uiPriority w:val="8"/>
    <w:rsid w:val="00CD46EF"/>
    <w:pPr>
      <w:ind w:left="3912"/>
    </w:pPr>
  </w:style>
  <w:style w:type="paragraph" w:customStyle="1" w:styleId="IASBNormalnparaL5">
    <w:name w:val="IASB Normal nparaL5"/>
    <w:basedOn w:val="IASBNormalnparaL4"/>
    <w:uiPriority w:val="8"/>
    <w:rsid w:val="00CD46EF"/>
    <w:pPr>
      <w:ind w:left="4694"/>
    </w:pPr>
  </w:style>
  <w:style w:type="paragraph" w:customStyle="1" w:styleId="IASBNormalnparaL1P">
    <w:name w:val="IASB Normal nparaL1P"/>
    <w:basedOn w:val="IASBNormalnparaL2"/>
    <w:uiPriority w:val="8"/>
    <w:rsid w:val="00CD46EF"/>
    <w:pPr>
      <w:ind w:left="1565" w:firstLine="0"/>
    </w:pPr>
  </w:style>
  <w:style w:type="paragraph" w:customStyle="1" w:styleId="IASBNormalnparaL2P">
    <w:name w:val="IASB Normal nparaL2P"/>
    <w:basedOn w:val="IASBNormalnparaL1P"/>
    <w:uiPriority w:val="8"/>
    <w:rsid w:val="00CD46EF"/>
    <w:pPr>
      <w:ind w:left="2347"/>
    </w:pPr>
  </w:style>
  <w:style w:type="paragraph" w:customStyle="1" w:styleId="IASBNormalnparaL3P">
    <w:name w:val="IASB Normal nparaL3P"/>
    <w:basedOn w:val="IASBNormalnparaL2P"/>
    <w:uiPriority w:val="8"/>
    <w:rsid w:val="00CD46EF"/>
    <w:pPr>
      <w:ind w:left="3130"/>
    </w:pPr>
  </w:style>
  <w:style w:type="paragraph" w:customStyle="1" w:styleId="IASBNormalnparaL4P">
    <w:name w:val="IASB Normal nparaL4P"/>
    <w:basedOn w:val="IASBNormalnparaL3P"/>
    <w:uiPriority w:val="8"/>
    <w:rsid w:val="00CD46EF"/>
    <w:pPr>
      <w:ind w:left="3912"/>
    </w:pPr>
  </w:style>
  <w:style w:type="paragraph" w:customStyle="1" w:styleId="IASBNormalnparaL5P">
    <w:name w:val="IASB Normal nparaL5P"/>
    <w:basedOn w:val="IASBNormalnparaL4P"/>
    <w:uiPriority w:val="8"/>
    <w:rsid w:val="00CD46EF"/>
    <w:pPr>
      <w:ind w:left="4751"/>
    </w:pPr>
  </w:style>
  <w:style w:type="paragraph" w:customStyle="1" w:styleId="IASBBlockquoteL1">
    <w:name w:val="IASB BlockquoteL1"/>
    <w:basedOn w:val="IASBBlockquote"/>
    <w:uiPriority w:val="8"/>
    <w:rsid w:val="00CD46EF"/>
    <w:pPr>
      <w:ind w:left="2347" w:hanging="782"/>
    </w:pPr>
  </w:style>
  <w:style w:type="paragraph" w:customStyle="1" w:styleId="IASBBlockquoteL2">
    <w:name w:val="IASB BlockquoteL2"/>
    <w:basedOn w:val="IASBBlockquoteL1"/>
    <w:uiPriority w:val="8"/>
    <w:rsid w:val="00CD46EF"/>
    <w:pPr>
      <w:ind w:left="3129"/>
    </w:pPr>
  </w:style>
  <w:style w:type="paragraph" w:customStyle="1" w:styleId="IASBNormalL2">
    <w:name w:val="IASB Normal L2"/>
    <w:basedOn w:val="IASBNormalL1"/>
    <w:uiPriority w:val="8"/>
    <w:rsid w:val="00CD46EF"/>
    <w:pPr>
      <w:ind w:left="1564"/>
    </w:pPr>
  </w:style>
  <w:style w:type="paragraph" w:customStyle="1" w:styleId="IASBTOCQuartery">
    <w:name w:val="IASB TOC Quartery"/>
    <w:basedOn w:val="IASBTOCTertiary"/>
    <w:uiPriority w:val="8"/>
    <w:rsid w:val="00CD46EF"/>
    <w:pPr>
      <w:ind w:left="851"/>
    </w:pPr>
  </w:style>
  <w:style w:type="paragraph" w:customStyle="1" w:styleId="IASBNoteTitle">
    <w:name w:val="IASB Note Title"/>
    <w:basedOn w:val="IASBTOCPrimary"/>
    <w:uiPriority w:val="8"/>
    <w:rsid w:val="00CD46EF"/>
    <w:pPr>
      <w:jc w:val="center"/>
    </w:pPr>
    <w:rPr>
      <w:b w:val="0"/>
      <w:caps w:val="0"/>
      <w:sz w:val="24"/>
    </w:rPr>
  </w:style>
  <w:style w:type="paragraph" w:customStyle="1" w:styleId="IASBNormalL1P">
    <w:name w:val="IASB Normal L1P"/>
    <w:basedOn w:val="IASBNormalL1"/>
    <w:uiPriority w:val="8"/>
    <w:qFormat/>
    <w:rsid w:val="00CD46EF"/>
    <w:pPr>
      <w:ind w:firstLine="0"/>
    </w:pPr>
  </w:style>
  <w:style w:type="paragraph" w:customStyle="1" w:styleId="IASBNormalL2P">
    <w:name w:val="IASB Normal L2P"/>
    <w:basedOn w:val="IASBNormalL1P"/>
    <w:uiPriority w:val="8"/>
    <w:qFormat/>
    <w:rsid w:val="00CD46EF"/>
    <w:pPr>
      <w:ind w:left="1565"/>
    </w:pPr>
  </w:style>
  <w:style w:type="paragraph" w:customStyle="1" w:styleId="IASBNormalnparaC">
    <w:name w:val="IASB Normal nparaC"/>
    <w:basedOn w:val="IASBNormalnpara"/>
    <w:uiPriority w:val="8"/>
    <w:qFormat/>
    <w:rsid w:val="00CD46EF"/>
    <w:pPr>
      <w:spacing w:before="0"/>
    </w:pPr>
  </w:style>
  <w:style w:type="paragraph" w:customStyle="1" w:styleId="IASBEdupara">
    <w:name w:val="IASB Edu para"/>
    <w:basedOn w:val="IASBNormal"/>
    <w:uiPriority w:val="8"/>
    <w:qFormat/>
    <w:rsid w:val="00CD46EF"/>
  </w:style>
  <w:style w:type="paragraph" w:customStyle="1" w:styleId="IASBTableBoldTNR">
    <w:name w:val="IASB Table Bold TNR"/>
    <w:basedOn w:val="Normal"/>
    <w:uiPriority w:val="8"/>
    <w:qFormat/>
    <w:rsid w:val="00CD46EF"/>
    <w:pPr>
      <w:spacing w:before="120"/>
    </w:pPr>
    <w:rPr>
      <w:b/>
      <w:szCs w:val="20"/>
      <w:lang w:eastAsia="en-GB"/>
    </w:rPr>
  </w:style>
  <w:style w:type="paragraph" w:customStyle="1" w:styleId="IASBTableHeaderTNR">
    <w:name w:val="IASB Table Header TNR"/>
    <w:basedOn w:val="Normal"/>
    <w:uiPriority w:val="8"/>
    <w:qFormat/>
    <w:rsid w:val="00CD46EF"/>
    <w:pPr>
      <w:keepNext/>
      <w:spacing w:before="120" w:after="200" w:line="276" w:lineRule="auto"/>
    </w:pPr>
    <w:rPr>
      <w:szCs w:val="20"/>
      <w:lang w:eastAsia="en-GB"/>
    </w:rPr>
  </w:style>
  <w:style w:type="paragraph" w:customStyle="1" w:styleId="IASBTableTNR">
    <w:name w:val="IASB Table TNR"/>
    <w:basedOn w:val="Normal"/>
    <w:uiPriority w:val="8"/>
    <w:qFormat/>
    <w:rsid w:val="00CD46EF"/>
    <w:pPr>
      <w:spacing w:before="120"/>
    </w:pPr>
    <w:rPr>
      <w:szCs w:val="20"/>
      <w:lang w:eastAsia="en-GB"/>
    </w:rPr>
  </w:style>
  <w:style w:type="paragraph" w:customStyle="1" w:styleId="IASBTableArial">
    <w:name w:val="IASB Table Arial"/>
    <w:basedOn w:val="Normal"/>
    <w:uiPriority w:val="8"/>
    <w:rsid w:val="00CD46EF"/>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CD46EF"/>
    <w:rPr>
      <w:b/>
    </w:rPr>
  </w:style>
  <w:style w:type="paragraph" w:customStyle="1" w:styleId="IASBTableHeaderArial">
    <w:name w:val="IASB Table Header Arial"/>
    <w:basedOn w:val="IASBTableArial"/>
    <w:uiPriority w:val="8"/>
    <w:qFormat/>
    <w:rsid w:val="00CD46EF"/>
    <w:pPr>
      <w:keepNext/>
      <w:spacing w:after="200" w:line="276" w:lineRule="auto"/>
    </w:pPr>
  </w:style>
  <w:style w:type="character" w:styleId="EndnoteReference">
    <w:name w:val="endnote reference"/>
    <w:uiPriority w:val="99"/>
    <w:semiHidden/>
    <w:unhideWhenUsed/>
    <w:rsid w:val="00CD46EF"/>
    <w:rPr>
      <w:vertAlign w:val="superscript"/>
    </w:rPr>
  </w:style>
  <w:style w:type="paragraph" w:customStyle="1" w:styleId="ConvSectionTitle">
    <w:name w:val="Conv Section Title"/>
    <w:basedOn w:val="IASBSectionTitle1NonInd"/>
    <w:uiPriority w:val="9"/>
    <w:qFormat/>
    <w:rsid w:val="00CD46EF"/>
    <w:pPr>
      <w:pBdr>
        <w:bottom w:val="none" w:sz="0" w:space="0" w:color="auto"/>
      </w:pBdr>
    </w:pPr>
  </w:style>
  <w:style w:type="paragraph" w:customStyle="1" w:styleId="ConvStandardTitle1">
    <w:name w:val="Conv Standard Title 1"/>
    <w:basedOn w:val="Normal"/>
    <w:next w:val="ConvStandardTitle2"/>
    <w:uiPriority w:val="9"/>
    <w:qFormat/>
    <w:rsid w:val="00CD46EF"/>
    <w:pPr>
      <w:spacing w:before="300"/>
    </w:pPr>
    <w:rPr>
      <w:rFonts w:ascii="Arial" w:hAnsi="Arial"/>
      <w:b/>
      <w:sz w:val="26"/>
    </w:rPr>
  </w:style>
  <w:style w:type="paragraph" w:customStyle="1" w:styleId="ConvStandardTitle2">
    <w:name w:val="Conv Standard Title2"/>
    <w:basedOn w:val="ConvStandardTitle1"/>
    <w:uiPriority w:val="9"/>
    <w:qFormat/>
    <w:rsid w:val="00CD46EF"/>
    <w:pPr>
      <w:spacing w:before="0" w:after="200"/>
    </w:pPr>
    <w:rPr>
      <w:i/>
    </w:rPr>
  </w:style>
  <w:style w:type="paragraph" w:customStyle="1" w:styleId="AASBBase">
    <w:name w:val="AASB Base"/>
    <w:qFormat/>
    <w:rsid w:val="00CD46EF"/>
    <w:pPr>
      <w:jc w:val="both"/>
    </w:pPr>
    <w:rPr>
      <w:sz w:val="19"/>
      <w:lang w:eastAsia="en-US"/>
    </w:rPr>
  </w:style>
  <w:style w:type="paragraph" w:customStyle="1" w:styleId="AASBPara">
    <w:name w:val="AASB Para"/>
    <w:basedOn w:val="AASBBase"/>
    <w:qFormat/>
    <w:rsid w:val="00CD46EF"/>
    <w:pPr>
      <w:spacing w:after="200"/>
    </w:pPr>
  </w:style>
  <w:style w:type="paragraph" w:customStyle="1" w:styleId="AASBStandardCover">
    <w:name w:val="AASB Standard Cover"/>
    <w:semiHidden/>
    <w:qFormat/>
    <w:rsid w:val="00CD46EF"/>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CD46EF"/>
    <w:pPr>
      <w:jc w:val="right"/>
    </w:pPr>
    <w:rPr>
      <w:b w:val="0"/>
      <w:sz w:val="24"/>
    </w:rPr>
  </w:style>
  <w:style w:type="paragraph" w:customStyle="1" w:styleId="AASBStandardNumber">
    <w:name w:val="AASB Standard Number"/>
    <w:basedOn w:val="AASBStandardCover"/>
    <w:semiHidden/>
    <w:qFormat/>
    <w:rsid w:val="00CD46EF"/>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CD46EF"/>
    <w:pPr>
      <w:spacing w:before="800"/>
    </w:pPr>
    <w:rPr>
      <w:b w:val="0"/>
      <w:sz w:val="50"/>
    </w:rPr>
  </w:style>
  <w:style w:type="paragraph" w:customStyle="1" w:styleId="AASBInterpretationCover">
    <w:name w:val="AASB Interpretation Cover"/>
    <w:basedOn w:val="AASBStandardCover"/>
    <w:semiHidden/>
    <w:qFormat/>
    <w:rsid w:val="00CD46EF"/>
    <w:rPr>
      <w:color w:val="41AD49"/>
    </w:rPr>
  </w:style>
  <w:style w:type="paragraph" w:customStyle="1" w:styleId="AASBInterpretationDate">
    <w:name w:val="AASB Interpretation Date"/>
    <w:basedOn w:val="AASBStandardDate"/>
    <w:semiHidden/>
    <w:qFormat/>
    <w:rsid w:val="00CD46EF"/>
    <w:rPr>
      <w:color w:val="41AD49"/>
    </w:rPr>
  </w:style>
  <w:style w:type="paragraph" w:customStyle="1" w:styleId="AASBInterpretationNumber">
    <w:name w:val="AASB Interpretation Number"/>
    <w:basedOn w:val="AASBStandardNumber"/>
    <w:semiHidden/>
    <w:qFormat/>
    <w:rsid w:val="00CD46EF"/>
    <w:rPr>
      <w:color w:val="41AD49"/>
    </w:rPr>
  </w:style>
  <w:style w:type="paragraph" w:customStyle="1" w:styleId="AASBInterpretationTitle">
    <w:name w:val="AASB Interpretation Title"/>
    <w:basedOn w:val="AASBStandardTitle"/>
    <w:semiHidden/>
    <w:qFormat/>
    <w:rsid w:val="00CD46EF"/>
    <w:rPr>
      <w:color w:val="41AD49"/>
    </w:rPr>
  </w:style>
  <w:style w:type="table" w:styleId="TableGrid">
    <w:name w:val="Table Grid"/>
    <w:basedOn w:val="TableNormal"/>
    <w:uiPriority w:val="59"/>
    <w:rsid w:val="00CD46EF"/>
    <w:tblPr/>
  </w:style>
  <w:style w:type="paragraph" w:customStyle="1" w:styleId="ContentsHeading">
    <w:name w:val="Contents Heading"/>
    <w:basedOn w:val="AASBBase"/>
    <w:next w:val="ContentsLevel1"/>
    <w:qFormat/>
    <w:rsid w:val="00CD46EF"/>
    <w:pPr>
      <w:spacing w:after="60"/>
      <w:jc w:val="right"/>
    </w:pPr>
    <w:rPr>
      <w:i/>
    </w:rPr>
  </w:style>
  <w:style w:type="paragraph" w:customStyle="1" w:styleId="ContentsLevel1">
    <w:name w:val="Contents Level1"/>
    <w:basedOn w:val="AASBBase"/>
    <w:qFormat/>
    <w:rsid w:val="00CD46EF"/>
    <w:pPr>
      <w:tabs>
        <w:tab w:val="right" w:pos="9027"/>
      </w:tabs>
      <w:spacing w:after="60"/>
      <w:ind w:right="1134"/>
    </w:pPr>
    <w:rPr>
      <w:b/>
      <w:caps/>
    </w:rPr>
  </w:style>
  <w:style w:type="paragraph" w:customStyle="1" w:styleId="ContentsLevel2">
    <w:name w:val="Contents Level2"/>
    <w:basedOn w:val="ContentsLevel1"/>
    <w:uiPriority w:val="7"/>
    <w:qFormat/>
    <w:rsid w:val="00CD46EF"/>
    <w:rPr>
      <w:caps w:val="0"/>
    </w:rPr>
  </w:style>
  <w:style w:type="paragraph" w:customStyle="1" w:styleId="ContentsLevel3">
    <w:name w:val="Contents Level3"/>
    <w:basedOn w:val="ContentsLevel2"/>
    <w:uiPriority w:val="7"/>
    <w:qFormat/>
    <w:rsid w:val="00CD46EF"/>
    <w:pPr>
      <w:ind w:left="510"/>
    </w:pPr>
    <w:rPr>
      <w:b w:val="0"/>
    </w:rPr>
  </w:style>
  <w:style w:type="paragraph" w:customStyle="1" w:styleId="ContentsLevel4">
    <w:name w:val="Contents Level4"/>
    <w:basedOn w:val="ContentsLevel3"/>
    <w:uiPriority w:val="7"/>
    <w:qFormat/>
    <w:rsid w:val="00CD46EF"/>
    <w:pPr>
      <w:ind w:left="850"/>
    </w:pPr>
  </w:style>
  <w:style w:type="paragraph" w:styleId="BalloonText">
    <w:name w:val="Balloon Text"/>
    <w:basedOn w:val="Normal"/>
    <w:link w:val="BalloonTextChar"/>
    <w:uiPriority w:val="99"/>
    <w:semiHidden/>
    <w:unhideWhenUsed/>
    <w:rsid w:val="00CD46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6EF"/>
    <w:rPr>
      <w:rFonts w:ascii="Segoe UI" w:hAnsi="Segoe UI" w:cs="Segoe UI"/>
      <w:sz w:val="18"/>
      <w:szCs w:val="18"/>
      <w:lang w:eastAsia="en-US"/>
    </w:rPr>
  </w:style>
  <w:style w:type="paragraph" w:customStyle="1" w:styleId="RDRM1">
    <w:name w:val="RDRM1"/>
    <w:basedOn w:val="IASBNormalnpara"/>
    <w:uiPriority w:val="5"/>
    <w:qFormat/>
    <w:rsid w:val="00CD46EF"/>
    <w:pPr>
      <w:shd w:val="pct15" w:color="auto" w:fill="auto"/>
    </w:pPr>
  </w:style>
  <w:style w:type="paragraph" w:customStyle="1" w:styleId="RDRM2">
    <w:name w:val="RDRM2"/>
    <w:basedOn w:val="RDRM1"/>
    <w:uiPriority w:val="5"/>
    <w:qFormat/>
    <w:rsid w:val="00CD46EF"/>
    <w:pPr>
      <w:tabs>
        <w:tab w:val="left" w:pos="782"/>
      </w:tabs>
      <w:ind w:left="1565" w:hanging="1565"/>
    </w:pPr>
  </w:style>
  <w:style w:type="paragraph" w:customStyle="1" w:styleId="RDRM3">
    <w:name w:val="RDRM3"/>
    <w:basedOn w:val="RDRM2"/>
    <w:uiPriority w:val="5"/>
    <w:qFormat/>
    <w:rsid w:val="00CD46EF"/>
    <w:pPr>
      <w:tabs>
        <w:tab w:val="clear" w:pos="782"/>
        <w:tab w:val="left" w:pos="1565"/>
      </w:tabs>
      <w:ind w:left="2347" w:hanging="2347"/>
    </w:pPr>
  </w:style>
  <w:style w:type="paragraph" w:customStyle="1" w:styleId="RDRM4">
    <w:name w:val="RDRM4"/>
    <w:basedOn w:val="RDRM3"/>
    <w:uiPriority w:val="5"/>
    <w:qFormat/>
    <w:rsid w:val="00CD46EF"/>
    <w:pPr>
      <w:tabs>
        <w:tab w:val="clear" w:pos="1565"/>
        <w:tab w:val="left" w:pos="2347"/>
      </w:tabs>
      <w:ind w:left="3130" w:hanging="3130"/>
    </w:pPr>
  </w:style>
  <w:style w:type="paragraph" w:customStyle="1" w:styleId="AusPlain">
    <w:name w:val="Aus Plain"/>
    <w:basedOn w:val="IASBNormalnpara"/>
    <w:uiPriority w:val="1"/>
    <w:qFormat/>
    <w:rsid w:val="00CD46EF"/>
    <w:pPr>
      <w:ind w:left="1565" w:hanging="1565"/>
    </w:pPr>
  </w:style>
  <w:style w:type="paragraph" w:customStyle="1" w:styleId="AusBold">
    <w:name w:val="Aus Bold"/>
    <w:basedOn w:val="AusPlain"/>
    <w:uiPriority w:val="2"/>
    <w:qFormat/>
    <w:rsid w:val="00CD46EF"/>
    <w:rPr>
      <w:b/>
    </w:rPr>
  </w:style>
  <w:style w:type="paragraph" w:customStyle="1" w:styleId="AusPlainRDR">
    <w:name w:val="Aus Plain RDR"/>
    <w:basedOn w:val="AusPlain"/>
    <w:uiPriority w:val="3"/>
    <w:qFormat/>
    <w:rsid w:val="00CD46EF"/>
    <w:pPr>
      <w:shd w:val="pct15" w:color="auto" w:fill="auto"/>
    </w:pPr>
  </w:style>
  <w:style w:type="paragraph" w:customStyle="1" w:styleId="AusBoldRDR">
    <w:name w:val="Aus Bold RDR"/>
    <w:basedOn w:val="AusBold"/>
    <w:uiPriority w:val="4"/>
    <w:qFormat/>
    <w:rsid w:val="00CD46EF"/>
    <w:pPr>
      <w:shd w:val="pct15" w:color="auto" w:fill="auto"/>
    </w:pPr>
  </w:style>
  <w:style w:type="paragraph" w:customStyle="1" w:styleId="RDR11">
    <w:name w:val="RDR11"/>
    <w:basedOn w:val="IASBNormalnparaL1"/>
    <w:uiPriority w:val="6"/>
    <w:qFormat/>
    <w:rsid w:val="00CD46EF"/>
    <w:pPr>
      <w:shd w:val="pct15" w:color="auto" w:fill="auto"/>
    </w:pPr>
  </w:style>
  <w:style w:type="paragraph" w:customStyle="1" w:styleId="RDR12">
    <w:name w:val="RDR12"/>
    <w:basedOn w:val="RDR11"/>
    <w:uiPriority w:val="6"/>
    <w:qFormat/>
    <w:rsid w:val="00CD46EF"/>
    <w:pPr>
      <w:tabs>
        <w:tab w:val="left" w:pos="1565"/>
      </w:tabs>
      <w:ind w:left="2347" w:hanging="1565"/>
    </w:pPr>
  </w:style>
  <w:style w:type="paragraph" w:customStyle="1" w:styleId="RDR13">
    <w:name w:val="RDR13"/>
    <w:basedOn w:val="RDR12"/>
    <w:uiPriority w:val="6"/>
    <w:qFormat/>
    <w:rsid w:val="00CD46EF"/>
    <w:pPr>
      <w:tabs>
        <w:tab w:val="clear" w:pos="1565"/>
        <w:tab w:val="left" w:pos="2347"/>
      </w:tabs>
      <w:ind w:left="3129" w:hanging="2347"/>
    </w:pPr>
  </w:style>
  <w:style w:type="paragraph" w:customStyle="1" w:styleId="RDR21">
    <w:name w:val="RDR21"/>
    <w:basedOn w:val="IASBNormalnparaL2"/>
    <w:uiPriority w:val="6"/>
    <w:qFormat/>
    <w:rsid w:val="00CD46EF"/>
    <w:pPr>
      <w:shd w:val="pct15" w:color="auto" w:fill="auto"/>
    </w:pPr>
  </w:style>
  <w:style w:type="paragraph" w:customStyle="1" w:styleId="RDR22">
    <w:name w:val="RDR22"/>
    <w:basedOn w:val="RDR21"/>
    <w:uiPriority w:val="6"/>
    <w:qFormat/>
    <w:rsid w:val="00CD46EF"/>
    <w:pPr>
      <w:tabs>
        <w:tab w:val="left" w:pos="2347"/>
      </w:tabs>
      <w:ind w:left="3130" w:hanging="1565"/>
    </w:pPr>
  </w:style>
  <w:style w:type="table" w:styleId="TableGrid1">
    <w:name w:val="Table Grid 1"/>
    <w:basedOn w:val="TableNormal"/>
    <w:uiPriority w:val="99"/>
    <w:semiHidden/>
    <w:unhideWhenUsed/>
    <w:rsid w:val="00CD46EF"/>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6635EA"/>
    <w:rPr>
      <w:sz w:val="16"/>
      <w:szCs w:val="16"/>
    </w:rPr>
  </w:style>
  <w:style w:type="paragraph" w:styleId="CommentText">
    <w:name w:val="annotation text"/>
    <w:basedOn w:val="Normal"/>
    <w:link w:val="CommentTextChar"/>
    <w:uiPriority w:val="99"/>
    <w:semiHidden/>
    <w:unhideWhenUsed/>
    <w:rsid w:val="006635EA"/>
    <w:rPr>
      <w:sz w:val="20"/>
      <w:szCs w:val="20"/>
    </w:rPr>
  </w:style>
  <w:style w:type="character" w:customStyle="1" w:styleId="CommentTextChar">
    <w:name w:val="Comment Text Char"/>
    <w:basedOn w:val="DefaultParagraphFont"/>
    <w:link w:val="CommentText"/>
    <w:uiPriority w:val="99"/>
    <w:semiHidden/>
    <w:rsid w:val="006635EA"/>
    <w:rPr>
      <w:lang w:eastAsia="en-US"/>
    </w:rPr>
  </w:style>
  <w:style w:type="paragraph" w:styleId="CommentSubject">
    <w:name w:val="annotation subject"/>
    <w:basedOn w:val="CommentText"/>
    <w:next w:val="CommentText"/>
    <w:link w:val="CommentSubjectChar"/>
    <w:uiPriority w:val="99"/>
    <w:semiHidden/>
    <w:unhideWhenUsed/>
    <w:rsid w:val="006635EA"/>
    <w:rPr>
      <w:b/>
      <w:bCs/>
    </w:rPr>
  </w:style>
  <w:style w:type="character" w:customStyle="1" w:styleId="CommentSubjectChar">
    <w:name w:val="Comment Subject Char"/>
    <w:basedOn w:val="CommentTextChar"/>
    <w:link w:val="CommentSubject"/>
    <w:uiPriority w:val="99"/>
    <w:semiHidden/>
    <w:rsid w:val="006635E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CD46EF"/>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CD46EF"/>
    <w:pPr>
      <w:tabs>
        <w:tab w:val="left" w:pos="4253"/>
      </w:tabs>
      <w:spacing w:before="100" w:after="100"/>
      <w:jc w:val="both"/>
    </w:pPr>
    <w:rPr>
      <w:sz w:val="19"/>
      <w:lang w:eastAsia="en-US"/>
    </w:rPr>
  </w:style>
  <w:style w:type="paragraph" w:customStyle="1" w:styleId="IASBNormalnpara">
    <w:name w:val="IASB Normal npara"/>
    <w:basedOn w:val="IASBNormal"/>
    <w:uiPriority w:val="8"/>
    <w:rsid w:val="00CD46EF"/>
    <w:pPr>
      <w:tabs>
        <w:tab w:val="clear" w:pos="4253"/>
      </w:tabs>
      <w:spacing w:after="0"/>
      <w:ind w:left="782" w:hanging="782"/>
    </w:pPr>
  </w:style>
  <w:style w:type="paragraph" w:customStyle="1" w:styleId="IASBSectionTitle1Ind">
    <w:name w:val="IASB Section Title 1 Ind"/>
    <w:basedOn w:val="Normal"/>
    <w:uiPriority w:val="8"/>
    <w:rsid w:val="00CD46EF"/>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CD46EF"/>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CD46EF"/>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CD46EF"/>
    <w:pPr>
      <w:spacing w:before="240"/>
      <w:ind w:left="782"/>
    </w:pPr>
  </w:style>
  <w:style w:type="paragraph" w:customStyle="1" w:styleId="IASBSectionTitle3NonInd">
    <w:name w:val="IASB Section Title 3 NonInd"/>
    <w:basedOn w:val="Normal"/>
    <w:uiPriority w:val="8"/>
    <w:rsid w:val="00CD46EF"/>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CD46EF"/>
    <w:pPr>
      <w:spacing w:before="240"/>
      <w:ind w:left="782"/>
    </w:pPr>
  </w:style>
  <w:style w:type="paragraph" w:customStyle="1" w:styleId="IASBSectionTitle4NonInd">
    <w:name w:val="IASB Section Title 4 NonInd"/>
    <w:basedOn w:val="Normal"/>
    <w:uiPriority w:val="8"/>
    <w:rsid w:val="00CD46EF"/>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CD46EF"/>
    <w:pPr>
      <w:ind w:left="782"/>
    </w:pPr>
  </w:style>
  <w:style w:type="paragraph" w:customStyle="1" w:styleId="IASBSectionTitle5NonInd">
    <w:name w:val="IASB Section Title 5 NonInd"/>
    <w:basedOn w:val="Normal"/>
    <w:uiPriority w:val="8"/>
    <w:rsid w:val="00CD46EF"/>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CD46EF"/>
    <w:pPr>
      <w:ind w:left="782"/>
    </w:pPr>
  </w:style>
  <w:style w:type="paragraph" w:customStyle="1" w:styleId="IASBSectionTitle6NonInd">
    <w:name w:val="IASB Section Title 6 NonInd"/>
    <w:basedOn w:val="IASBSectionTitle5NonInd"/>
    <w:uiPriority w:val="8"/>
    <w:rsid w:val="00CD46EF"/>
    <w:pPr>
      <w:outlineLvl w:val="5"/>
    </w:pPr>
    <w:rPr>
      <w:b w:val="0"/>
      <w:i/>
    </w:rPr>
  </w:style>
  <w:style w:type="paragraph" w:customStyle="1" w:styleId="IASBSectionTitle6Ind">
    <w:name w:val="IASB Section Title 6 Ind"/>
    <w:basedOn w:val="IASBSectionTitle6NonInd"/>
    <w:uiPriority w:val="8"/>
    <w:rsid w:val="00CD46EF"/>
    <w:pPr>
      <w:ind w:left="782"/>
    </w:pPr>
  </w:style>
  <w:style w:type="paragraph" w:customStyle="1" w:styleId="IASBTitle">
    <w:name w:val="IASB Title"/>
    <w:uiPriority w:val="8"/>
    <w:rsid w:val="00CD46EF"/>
    <w:pPr>
      <w:keepNext/>
      <w:keepLines/>
      <w:spacing w:before="300" w:after="400"/>
    </w:pPr>
    <w:rPr>
      <w:rFonts w:cs="Arial"/>
      <w:sz w:val="36"/>
      <w:lang w:eastAsia="en-US"/>
    </w:rPr>
  </w:style>
  <w:style w:type="paragraph" w:customStyle="1" w:styleId="IASBNormalnparaL1">
    <w:name w:val="IASB Normal nparaL1"/>
    <w:basedOn w:val="IASBNormalnpara"/>
    <w:uiPriority w:val="8"/>
    <w:rsid w:val="00CD46EF"/>
    <w:pPr>
      <w:ind w:left="1564"/>
    </w:pPr>
  </w:style>
  <w:style w:type="paragraph" w:customStyle="1" w:styleId="IASBNormalnparaP">
    <w:name w:val="IASB Normal nparaP"/>
    <w:basedOn w:val="IASBNormal"/>
    <w:uiPriority w:val="8"/>
    <w:rsid w:val="00CD46EF"/>
    <w:pPr>
      <w:ind w:left="782"/>
    </w:pPr>
  </w:style>
  <w:style w:type="paragraph" w:customStyle="1" w:styleId="IASBIdentifier">
    <w:name w:val="IASB Identifier"/>
    <w:basedOn w:val="IASBTitle"/>
    <w:uiPriority w:val="8"/>
    <w:rsid w:val="00CD46EF"/>
    <w:pPr>
      <w:spacing w:after="200"/>
    </w:pPr>
    <w:rPr>
      <w:rFonts w:ascii="Arial" w:hAnsi="Arial"/>
      <w:b/>
      <w:sz w:val="23"/>
    </w:rPr>
  </w:style>
  <w:style w:type="paragraph" w:customStyle="1" w:styleId="IASBTOCPrimary">
    <w:name w:val="IASB TOC Primary"/>
    <w:basedOn w:val="Normal"/>
    <w:uiPriority w:val="8"/>
    <w:rsid w:val="00CD46EF"/>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CD46EF"/>
    <w:pPr>
      <w:spacing w:before="30" w:after="30"/>
    </w:pPr>
    <w:rPr>
      <w:rFonts w:ascii="Arial" w:hAnsi="Arial" w:cs="Arial"/>
      <w:i/>
      <w:sz w:val="18"/>
      <w:szCs w:val="20"/>
    </w:rPr>
  </w:style>
  <w:style w:type="paragraph" w:customStyle="1" w:styleId="IASBTOCSecondary">
    <w:name w:val="IASB TOC Secondary"/>
    <w:basedOn w:val="Normal"/>
    <w:uiPriority w:val="8"/>
    <w:rsid w:val="00CD46EF"/>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CD46EF"/>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CD46EF"/>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CD46EF"/>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CD46EF"/>
    <w:rPr>
      <w:i/>
    </w:rPr>
  </w:style>
  <w:style w:type="paragraph" w:customStyle="1" w:styleId="IASBBlockquote">
    <w:name w:val="IASB Blockquote"/>
    <w:basedOn w:val="IASBNormal"/>
    <w:uiPriority w:val="8"/>
    <w:rsid w:val="00CD46EF"/>
    <w:pPr>
      <w:ind w:left="1565"/>
    </w:pPr>
    <w:rPr>
      <w:sz w:val="16"/>
    </w:rPr>
  </w:style>
  <w:style w:type="character" w:customStyle="1" w:styleId="IASBEduinsert">
    <w:name w:val="IASB Edu insert"/>
    <w:uiPriority w:val="8"/>
    <w:qFormat/>
    <w:rsid w:val="00CD46EF"/>
  </w:style>
  <w:style w:type="character" w:styleId="FootnoteReference">
    <w:name w:val="footnote reference"/>
    <w:uiPriority w:val="99"/>
    <w:semiHidden/>
    <w:unhideWhenUsed/>
    <w:rsid w:val="00CD46EF"/>
    <w:rPr>
      <w:vertAlign w:val="superscript"/>
    </w:rPr>
  </w:style>
  <w:style w:type="paragraph" w:styleId="FootnoteText">
    <w:name w:val="footnote text"/>
    <w:basedOn w:val="IASBSectionTitle2Ind"/>
    <w:next w:val="IASBBlockquote"/>
    <w:link w:val="FootnoteTextChar"/>
    <w:uiPriority w:val="99"/>
    <w:semiHidden/>
    <w:rsid w:val="00CD46EF"/>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CD46EF"/>
    <w:rPr>
      <w:sz w:val="16"/>
      <w:shd w:val="clear" w:color="auto" w:fill="99CCFF"/>
      <w:lang w:eastAsia="en-US"/>
    </w:rPr>
  </w:style>
  <w:style w:type="paragraph" w:customStyle="1" w:styleId="IASBNormalL1">
    <w:name w:val="IASB Normal L1"/>
    <w:basedOn w:val="IASBNormalnpara"/>
    <w:uiPriority w:val="8"/>
    <w:rsid w:val="00CD46EF"/>
  </w:style>
  <w:style w:type="paragraph" w:styleId="Header">
    <w:name w:val="header"/>
    <w:basedOn w:val="Normal"/>
    <w:link w:val="HeaderChar"/>
    <w:uiPriority w:val="99"/>
    <w:rsid w:val="00CD46EF"/>
    <w:pPr>
      <w:tabs>
        <w:tab w:val="center" w:pos="4536"/>
        <w:tab w:val="right" w:pos="9072"/>
      </w:tabs>
    </w:pPr>
    <w:rPr>
      <w:sz w:val="20"/>
    </w:rPr>
  </w:style>
  <w:style w:type="character" w:customStyle="1" w:styleId="HeaderChar">
    <w:name w:val="Header Char"/>
    <w:link w:val="Header"/>
    <w:uiPriority w:val="99"/>
    <w:rsid w:val="00CD46EF"/>
    <w:rPr>
      <w:szCs w:val="24"/>
      <w:lang w:eastAsia="en-US"/>
    </w:rPr>
  </w:style>
  <w:style w:type="paragraph" w:styleId="Footer">
    <w:name w:val="footer"/>
    <w:basedOn w:val="Normal"/>
    <w:link w:val="FooterChar"/>
    <w:uiPriority w:val="99"/>
    <w:rsid w:val="00CD46EF"/>
    <w:pPr>
      <w:tabs>
        <w:tab w:val="center" w:pos="4536"/>
        <w:tab w:val="right" w:pos="9072"/>
      </w:tabs>
    </w:pPr>
  </w:style>
  <w:style w:type="character" w:customStyle="1" w:styleId="FooterChar">
    <w:name w:val="Footer Char"/>
    <w:link w:val="Footer"/>
    <w:uiPriority w:val="99"/>
    <w:rsid w:val="00CD46EF"/>
    <w:rPr>
      <w:sz w:val="19"/>
      <w:szCs w:val="24"/>
      <w:lang w:eastAsia="en-US"/>
    </w:rPr>
  </w:style>
  <w:style w:type="paragraph" w:customStyle="1" w:styleId="IASBRubricL1">
    <w:name w:val="IASB RubricL1"/>
    <w:basedOn w:val="IASBRubric"/>
    <w:uiPriority w:val="8"/>
    <w:rsid w:val="00CD46EF"/>
    <w:pPr>
      <w:ind w:left="782" w:hanging="782"/>
      <w:jc w:val="left"/>
    </w:pPr>
    <w:rPr>
      <w:lang w:eastAsia="en-GB"/>
    </w:rPr>
  </w:style>
  <w:style w:type="paragraph" w:customStyle="1" w:styleId="IASBRubricL2">
    <w:name w:val="IASB RubricL2"/>
    <w:basedOn w:val="IASBRubricL1"/>
    <w:uiPriority w:val="8"/>
    <w:rsid w:val="00CD46EF"/>
    <w:pPr>
      <w:tabs>
        <w:tab w:val="left" w:pos="782"/>
      </w:tabs>
      <w:ind w:left="1565" w:hanging="1565"/>
    </w:pPr>
  </w:style>
  <w:style w:type="paragraph" w:customStyle="1" w:styleId="IASBRubricL3">
    <w:name w:val="IASB RubricL3"/>
    <w:basedOn w:val="IASBRubricL2"/>
    <w:uiPriority w:val="8"/>
    <w:rsid w:val="00CD46EF"/>
    <w:pPr>
      <w:tabs>
        <w:tab w:val="clear" w:pos="782"/>
        <w:tab w:val="left" w:pos="1565"/>
      </w:tabs>
      <w:ind w:left="2347" w:hanging="2347"/>
    </w:pPr>
  </w:style>
  <w:style w:type="paragraph" w:customStyle="1" w:styleId="IASBNormalnparaL2">
    <w:name w:val="IASB Normal nparaL2"/>
    <w:basedOn w:val="IASBNormalnparaL1"/>
    <w:uiPriority w:val="8"/>
    <w:rsid w:val="00CD46EF"/>
    <w:pPr>
      <w:ind w:left="2347"/>
    </w:pPr>
  </w:style>
  <w:style w:type="paragraph" w:customStyle="1" w:styleId="IASBNormalnparaL3">
    <w:name w:val="IASB Normal nparaL3"/>
    <w:basedOn w:val="IASBNormalnparaL2"/>
    <w:uiPriority w:val="8"/>
    <w:rsid w:val="00CD46EF"/>
    <w:pPr>
      <w:ind w:left="3129"/>
    </w:pPr>
  </w:style>
  <w:style w:type="paragraph" w:customStyle="1" w:styleId="IASBNormalnparaL4">
    <w:name w:val="IASB Normal nparaL4"/>
    <w:basedOn w:val="IASBNormalnparaL3"/>
    <w:uiPriority w:val="8"/>
    <w:rsid w:val="00CD46EF"/>
    <w:pPr>
      <w:ind w:left="3912"/>
    </w:pPr>
  </w:style>
  <w:style w:type="paragraph" w:customStyle="1" w:styleId="IASBNormalnparaL5">
    <w:name w:val="IASB Normal nparaL5"/>
    <w:basedOn w:val="IASBNormalnparaL4"/>
    <w:uiPriority w:val="8"/>
    <w:rsid w:val="00CD46EF"/>
    <w:pPr>
      <w:ind w:left="4694"/>
    </w:pPr>
  </w:style>
  <w:style w:type="paragraph" w:customStyle="1" w:styleId="IASBNormalnparaL1P">
    <w:name w:val="IASB Normal nparaL1P"/>
    <w:basedOn w:val="IASBNormalnparaL2"/>
    <w:uiPriority w:val="8"/>
    <w:rsid w:val="00CD46EF"/>
    <w:pPr>
      <w:ind w:left="1565" w:firstLine="0"/>
    </w:pPr>
  </w:style>
  <w:style w:type="paragraph" w:customStyle="1" w:styleId="IASBNormalnparaL2P">
    <w:name w:val="IASB Normal nparaL2P"/>
    <w:basedOn w:val="IASBNormalnparaL1P"/>
    <w:uiPriority w:val="8"/>
    <w:rsid w:val="00CD46EF"/>
    <w:pPr>
      <w:ind w:left="2347"/>
    </w:pPr>
  </w:style>
  <w:style w:type="paragraph" w:customStyle="1" w:styleId="IASBNormalnparaL3P">
    <w:name w:val="IASB Normal nparaL3P"/>
    <w:basedOn w:val="IASBNormalnparaL2P"/>
    <w:uiPriority w:val="8"/>
    <w:rsid w:val="00CD46EF"/>
    <w:pPr>
      <w:ind w:left="3130"/>
    </w:pPr>
  </w:style>
  <w:style w:type="paragraph" w:customStyle="1" w:styleId="IASBNormalnparaL4P">
    <w:name w:val="IASB Normal nparaL4P"/>
    <w:basedOn w:val="IASBNormalnparaL3P"/>
    <w:uiPriority w:val="8"/>
    <w:rsid w:val="00CD46EF"/>
    <w:pPr>
      <w:ind w:left="3912"/>
    </w:pPr>
  </w:style>
  <w:style w:type="paragraph" w:customStyle="1" w:styleId="IASBNormalnparaL5P">
    <w:name w:val="IASB Normal nparaL5P"/>
    <w:basedOn w:val="IASBNormalnparaL4P"/>
    <w:uiPriority w:val="8"/>
    <w:rsid w:val="00CD46EF"/>
    <w:pPr>
      <w:ind w:left="4751"/>
    </w:pPr>
  </w:style>
  <w:style w:type="paragraph" w:customStyle="1" w:styleId="IASBBlockquoteL1">
    <w:name w:val="IASB BlockquoteL1"/>
    <w:basedOn w:val="IASBBlockquote"/>
    <w:uiPriority w:val="8"/>
    <w:rsid w:val="00CD46EF"/>
    <w:pPr>
      <w:ind w:left="2347" w:hanging="782"/>
    </w:pPr>
  </w:style>
  <w:style w:type="paragraph" w:customStyle="1" w:styleId="IASBBlockquoteL2">
    <w:name w:val="IASB BlockquoteL2"/>
    <w:basedOn w:val="IASBBlockquoteL1"/>
    <w:uiPriority w:val="8"/>
    <w:rsid w:val="00CD46EF"/>
    <w:pPr>
      <w:ind w:left="3129"/>
    </w:pPr>
  </w:style>
  <w:style w:type="paragraph" w:customStyle="1" w:styleId="IASBNormalL2">
    <w:name w:val="IASB Normal L2"/>
    <w:basedOn w:val="IASBNormalL1"/>
    <w:uiPriority w:val="8"/>
    <w:rsid w:val="00CD46EF"/>
    <w:pPr>
      <w:ind w:left="1564"/>
    </w:pPr>
  </w:style>
  <w:style w:type="paragraph" w:customStyle="1" w:styleId="IASBTOCQuartery">
    <w:name w:val="IASB TOC Quartery"/>
    <w:basedOn w:val="IASBTOCTertiary"/>
    <w:uiPriority w:val="8"/>
    <w:rsid w:val="00CD46EF"/>
    <w:pPr>
      <w:ind w:left="851"/>
    </w:pPr>
  </w:style>
  <w:style w:type="paragraph" w:customStyle="1" w:styleId="IASBNoteTitle">
    <w:name w:val="IASB Note Title"/>
    <w:basedOn w:val="IASBTOCPrimary"/>
    <w:uiPriority w:val="8"/>
    <w:rsid w:val="00CD46EF"/>
    <w:pPr>
      <w:jc w:val="center"/>
    </w:pPr>
    <w:rPr>
      <w:b w:val="0"/>
      <w:caps w:val="0"/>
      <w:sz w:val="24"/>
    </w:rPr>
  </w:style>
  <w:style w:type="paragraph" w:customStyle="1" w:styleId="IASBNormalL1P">
    <w:name w:val="IASB Normal L1P"/>
    <w:basedOn w:val="IASBNormalL1"/>
    <w:uiPriority w:val="8"/>
    <w:qFormat/>
    <w:rsid w:val="00CD46EF"/>
    <w:pPr>
      <w:ind w:firstLine="0"/>
    </w:pPr>
  </w:style>
  <w:style w:type="paragraph" w:customStyle="1" w:styleId="IASBNormalL2P">
    <w:name w:val="IASB Normal L2P"/>
    <w:basedOn w:val="IASBNormalL1P"/>
    <w:uiPriority w:val="8"/>
    <w:qFormat/>
    <w:rsid w:val="00CD46EF"/>
    <w:pPr>
      <w:ind w:left="1565"/>
    </w:pPr>
  </w:style>
  <w:style w:type="paragraph" w:customStyle="1" w:styleId="IASBNormalnparaC">
    <w:name w:val="IASB Normal nparaC"/>
    <w:basedOn w:val="IASBNormalnpara"/>
    <w:uiPriority w:val="8"/>
    <w:qFormat/>
    <w:rsid w:val="00CD46EF"/>
    <w:pPr>
      <w:spacing w:before="0"/>
    </w:pPr>
  </w:style>
  <w:style w:type="paragraph" w:customStyle="1" w:styleId="IASBEdupara">
    <w:name w:val="IASB Edu para"/>
    <w:basedOn w:val="IASBNormal"/>
    <w:uiPriority w:val="8"/>
    <w:qFormat/>
    <w:rsid w:val="00CD46EF"/>
  </w:style>
  <w:style w:type="paragraph" w:customStyle="1" w:styleId="IASBTableBoldTNR">
    <w:name w:val="IASB Table Bold TNR"/>
    <w:basedOn w:val="Normal"/>
    <w:uiPriority w:val="8"/>
    <w:qFormat/>
    <w:rsid w:val="00CD46EF"/>
    <w:pPr>
      <w:spacing w:before="120"/>
    </w:pPr>
    <w:rPr>
      <w:b/>
      <w:szCs w:val="20"/>
      <w:lang w:eastAsia="en-GB"/>
    </w:rPr>
  </w:style>
  <w:style w:type="paragraph" w:customStyle="1" w:styleId="IASBTableHeaderTNR">
    <w:name w:val="IASB Table Header TNR"/>
    <w:basedOn w:val="Normal"/>
    <w:uiPriority w:val="8"/>
    <w:qFormat/>
    <w:rsid w:val="00CD46EF"/>
    <w:pPr>
      <w:keepNext/>
      <w:spacing w:before="120" w:after="200" w:line="276" w:lineRule="auto"/>
    </w:pPr>
    <w:rPr>
      <w:szCs w:val="20"/>
      <w:lang w:eastAsia="en-GB"/>
    </w:rPr>
  </w:style>
  <w:style w:type="paragraph" w:customStyle="1" w:styleId="IASBTableTNR">
    <w:name w:val="IASB Table TNR"/>
    <w:basedOn w:val="Normal"/>
    <w:uiPriority w:val="8"/>
    <w:qFormat/>
    <w:rsid w:val="00CD46EF"/>
    <w:pPr>
      <w:spacing w:before="120"/>
    </w:pPr>
    <w:rPr>
      <w:szCs w:val="20"/>
      <w:lang w:eastAsia="en-GB"/>
    </w:rPr>
  </w:style>
  <w:style w:type="paragraph" w:customStyle="1" w:styleId="IASBTableArial">
    <w:name w:val="IASB Table Arial"/>
    <w:basedOn w:val="Normal"/>
    <w:uiPriority w:val="8"/>
    <w:rsid w:val="00CD46EF"/>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CD46EF"/>
    <w:rPr>
      <w:b/>
    </w:rPr>
  </w:style>
  <w:style w:type="paragraph" w:customStyle="1" w:styleId="IASBTableHeaderArial">
    <w:name w:val="IASB Table Header Arial"/>
    <w:basedOn w:val="IASBTableArial"/>
    <w:uiPriority w:val="8"/>
    <w:qFormat/>
    <w:rsid w:val="00CD46EF"/>
    <w:pPr>
      <w:keepNext/>
      <w:spacing w:after="200" w:line="276" w:lineRule="auto"/>
    </w:pPr>
  </w:style>
  <w:style w:type="character" w:styleId="EndnoteReference">
    <w:name w:val="endnote reference"/>
    <w:uiPriority w:val="99"/>
    <w:semiHidden/>
    <w:unhideWhenUsed/>
    <w:rsid w:val="00CD46EF"/>
    <w:rPr>
      <w:vertAlign w:val="superscript"/>
    </w:rPr>
  </w:style>
  <w:style w:type="paragraph" w:customStyle="1" w:styleId="ConvSectionTitle">
    <w:name w:val="Conv Section Title"/>
    <w:basedOn w:val="IASBSectionTitle1NonInd"/>
    <w:uiPriority w:val="9"/>
    <w:qFormat/>
    <w:rsid w:val="00CD46EF"/>
    <w:pPr>
      <w:pBdr>
        <w:bottom w:val="none" w:sz="0" w:space="0" w:color="auto"/>
      </w:pBdr>
    </w:pPr>
  </w:style>
  <w:style w:type="paragraph" w:customStyle="1" w:styleId="ConvStandardTitle1">
    <w:name w:val="Conv Standard Title 1"/>
    <w:basedOn w:val="Normal"/>
    <w:next w:val="ConvStandardTitle2"/>
    <w:uiPriority w:val="9"/>
    <w:qFormat/>
    <w:rsid w:val="00CD46EF"/>
    <w:pPr>
      <w:spacing w:before="300"/>
    </w:pPr>
    <w:rPr>
      <w:rFonts w:ascii="Arial" w:hAnsi="Arial"/>
      <w:b/>
      <w:sz w:val="26"/>
    </w:rPr>
  </w:style>
  <w:style w:type="paragraph" w:customStyle="1" w:styleId="ConvStandardTitle2">
    <w:name w:val="Conv Standard Title2"/>
    <w:basedOn w:val="ConvStandardTitle1"/>
    <w:uiPriority w:val="9"/>
    <w:qFormat/>
    <w:rsid w:val="00CD46EF"/>
    <w:pPr>
      <w:spacing w:before="0" w:after="200"/>
    </w:pPr>
    <w:rPr>
      <w:i/>
    </w:rPr>
  </w:style>
  <w:style w:type="paragraph" w:customStyle="1" w:styleId="AASBBase">
    <w:name w:val="AASB Base"/>
    <w:qFormat/>
    <w:rsid w:val="00CD46EF"/>
    <w:pPr>
      <w:jc w:val="both"/>
    </w:pPr>
    <w:rPr>
      <w:sz w:val="19"/>
      <w:lang w:eastAsia="en-US"/>
    </w:rPr>
  </w:style>
  <w:style w:type="paragraph" w:customStyle="1" w:styleId="AASBPara">
    <w:name w:val="AASB Para"/>
    <w:basedOn w:val="AASBBase"/>
    <w:qFormat/>
    <w:rsid w:val="00CD46EF"/>
    <w:pPr>
      <w:spacing w:after="200"/>
    </w:pPr>
  </w:style>
  <w:style w:type="paragraph" w:customStyle="1" w:styleId="AASBStandardCover">
    <w:name w:val="AASB Standard Cover"/>
    <w:semiHidden/>
    <w:qFormat/>
    <w:rsid w:val="00CD46EF"/>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CD46EF"/>
    <w:pPr>
      <w:jc w:val="right"/>
    </w:pPr>
    <w:rPr>
      <w:b w:val="0"/>
      <w:sz w:val="24"/>
    </w:rPr>
  </w:style>
  <w:style w:type="paragraph" w:customStyle="1" w:styleId="AASBStandardNumber">
    <w:name w:val="AASB Standard Number"/>
    <w:basedOn w:val="AASBStandardCover"/>
    <w:semiHidden/>
    <w:qFormat/>
    <w:rsid w:val="00CD46EF"/>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CD46EF"/>
    <w:pPr>
      <w:spacing w:before="800"/>
    </w:pPr>
    <w:rPr>
      <w:b w:val="0"/>
      <w:sz w:val="50"/>
    </w:rPr>
  </w:style>
  <w:style w:type="paragraph" w:customStyle="1" w:styleId="AASBInterpretationCover">
    <w:name w:val="AASB Interpretation Cover"/>
    <w:basedOn w:val="AASBStandardCover"/>
    <w:semiHidden/>
    <w:qFormat/>
    <w:rsid w:val="00CD46EF"/>
    <w:rPr>
      <w:color w:val="41AD49"/>
    </w:rPr>
  </w:style>
  <w:style w:type="paragraph" w:customStyle="1" w:styleId="AASBInterpretationDate">
    <w:name w:val="AASB Interpretation Date"/>
    <w:basedOn w:val="AASBStandardDate"/>
    <w:semiHidden/>
    <w:qFormat/>
    <w:rsid w:val="00CD46EF"/>
    <w:rPr>
      <w:color w:val="41AD49"/>
    </w:rPr>
  </w:style>
  <w:style w:type="paragraph" w:customStyle="1" w:styleId="AASBInterpretationNumber">
    <w:name w:val="AASB Interpretation Number"/>
    <w:basedOn w:val="AASBStandardNumber"/>
    <w:semiHidden/>
    <w:qFormat/>
    <w:rsid w:val="00CD46EF"/>
    <w:rPr>
      <w:color w:val="41AD49"/>
    </w:rPr>
  </w:style>
  <w:style w:type="paragraph" w:customStyle="1" w:styleId="AASBInterpretationTitle">
    <w:name w:val="AASB Interpretation Title"/>
    <w:basedOn w:val="AASBStandardTitle"/>
    <w:semiHidden/>
    <w:qFormat/>
    <w:rsid w:val="00CD46EF"/>
    <w:rPr>
      <w:color w:val="41AD49"/>
    </w:rPr>
  </w:style>
  <w:style w:type="table" w:styleId="TableGrid">
    <w:name w:val="Table Grid"/>
    <w:basedOn w:val="TableNormal"/>
    <w:uiPriority w:val="59"/>
    <w:rsid w:val="00CD46EF"/>
    <w:tblPr/>
  </w:style>
  <w:style w:type="paragraph" w:customStyle="1" w:styleId="ContentsHeading">
    <w:name w:val="Contents Heading"/>
    <w:basedOn w:val="AASBBase"/>
    <w:next w:val="ContentsLevel1"/>
    <w:qFormat/>
    <w:rsid w:val="00CD46EF"/>
    <w:pPr>
      <w:spacing w:after="60"/>
      <w:jc w:val="right"/>
    </w:pPr>
    <w:rPr>
      <w:i/>
    </w:rPr>
  </w:style>
  <w:style w:type="paragraph" w:customStyle="1" w:styleId="ContentsLevel1">
    <w:name w:val="Contents Level1"/>
    <w:basedOn w:val="AASBBase"/>
    <w:qFormat/>
    <w:rsid w:val="00CD46EF"/>
    <w:pPr>
      <w:tabs>
        <w:tab w:val="right" w:pos="9027"/>
      </w:tabs>
      <w:spacing w:after="60"/>
      <w:ind w:right="1134"/>
    </w:pPr>
    <w:rPr>
      <w:b/>
      <w:caps/>
    </w:rPr>
  </w:style>
  <w:style w:type="paragraph" w:customStyle="1" w:styleId="ContentsLevel2">
    <w:name w:val="Contents Level2"/>
    <w:basedOn w:val="ContentsLevel1"/>
    <w:uiPriority w:val="7"/>
    <w:qFormat/>
    <w:rsid w:val="00CD46EF"/>
    <w:rPr>
      <w:caps w:val="0"/>
    </w:rPr>
  </w:style>
  <w:style w:type="paragraph" w:customStyle="1" w:styleId="ContentsLevel3">
    <w:name w:val="Contents Level3"/>
    <w:basedOn w:val="ContentsLevel2"/>
    <w:uiPriority w:val="7"/>
    <w:qFormat/>
    <w:rsid w:val="00CD46EF"/>
    <w:pPr>
      <w:ind w:left="510"/>
    </w:pPr>
    <w:rPr>
      <w:b w:val="0"/>
    </w:rPr>
  </w:style>
  <w:style w:type="paragraph" w:customStyle="1" w:styleId="ContentsLevel4">
    <w:name w:val="Contents Level4"/>
    <w:basedOn w:val="ContentsLevel3"/>
    <w:uiPriority w:val="7"/>
    <w:qFormat/>
    <w:rsid w:val="00CD46EF"/>
    <w:pPr>
      <w:ind w:left="850"/>
    </w:pPr>
  </w:style>
  <w:style w:type="paragraph" w:styleId="BalloonText">
    <w:name w:val="Balloon Text"/>
    <w:basedOn w:val="Normal"/>
    <w:link w:val="BalloonTextChar"/>
    <w:uiPriority w:val="99"/>
    <w:semiHidden/>
    <w:unhideWhenUsed/>
    <w:rsid w:val="00CD46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6EF"/>
    <w:rPr>
      <w:rFonts w:ascii="Segoe UI" w:hAnsi="Segoe UI" w:cs="Segoe UI"/>
      <w:sz w:val="18"/>
      <w:szCs w:val="18"/>
      <w:lang w:eastAsia="en-US"/>
    </w:rPr>
  </w:style>
  <w:style w:type="paragraph" w:customStyle="1" w:styleId="RDRM1">
    <w:name w:val="RDRM1"/>
    <w:basedOn w:val="IASBNormalnpara"/>
    <w:uiPriority w:val="5"/>
    <w:qFormat/>
    <w:rsid w:val="00CD46EF"/>
    <w:pPr>
      <w:shd w:val="pct15" w:color="auto" w:fill="auto"/>
    </w:pPr>
  </w:style>
  <w:style w:type="paragraph" w:customStyle="1" w:styleId="RDRM2">
    <w:name w:val="RDRM2"/>
    <w:basedOn w:val="RDRM1"/>
    <w:uiPriority w:val="5"/>
    <w:qFormat/>
    <w:rsid w:val="00CD46EF"/>
    <w:pPr>
      <w:tabs>
        <w:tab w:val="left" w:pos="782"/>
      </w:tabs>
      <w:ind w:left="1565" w:hanging="1565"/>
    </w:pPr>
  </w:style>
  <w:style w:type="paragraph" w:customStyle="1" w:styleId="RDRM3">
    <w:name w:val="RDRM3"/>
    <w:basedOn w:val="RDRM2"/>
    <w:uiPriority w:val="5"/>
    <w:qFormat/>
    <w:rsid w:val="00CD46EF"/>
    <w:pPr>
      <w:tabs>
        <w:tab w:val="clear" w:pos="782"/>
        <w:tab w:val="left" w:pos="1565"/>
      </w:tabs>
      <w:ind w:left="2347" w:hanging="2347"/>
    </w:pPr>
  </w:style>
  <w:style w:type="paragraph" w:customStyle="1" w:styleId="RDRM4">
    <w:name w:val="RDRM4"/>
    <w:basedOn w:val="RDRM3"/>
    <w:uiPriority w:val="5"/>
    <w:qFormat/>
    <w:rsid w:val="00CD46EF"/>
    <w:pPr>
      <w:tabs>
        <w:tab w:val="clear" w:pos="1565"/>
        <w:tab w:val="left" w:pos="2347"/>
      </w:tabs>
      <w:ind w:left="3130" w:hanging="3130"/>
    </w:pPr>
  </w:style>
  <w:style w:type="paragraph" w:customStyle="1" w:styleId="AusPlain">
    <w:name w:val="Aus Plain"/>
    <w:basedOn w:val="IASBNormalnpara"/>
    <w:uiPriority w:val="1"/>
    <w:qFormat/>
    <w:rsid w:val="00CD46EF"/>
    <w:pPr>
      <w:ind w:left="1565" w:hanging="1565"/>
    </w:pPr>
  </w:style>
  <w:style w:type="paragraph" w:customStyle="1" w:styleId="AusBold">
    <w:name w:val="Aus Bold"/>
    <w:basedOn w:val="AusPlain"/>
    <w:uiPriority w:val="2"/>
    <w:qFormat/>
    <w:rsid w:val="00CD46EF"/>
    <w:rPr>
      <w:b/>
    </w:rPr>
  </w:style>
  <w:style w:type="paragraph" w:customStyle="1" w:styleId="AusPlainRDR">
    <w:name w:val="Aus Plain RDR"/>
    <w:basedOn w:val="AusPlain"/>
    <w:uiPriority w:val="3"/>
    <w:qFormat/>
    <w:rsid w:val="00CD46EF"/>
    <w:pPr>
      <w:shd w:val="pct15" w:color="auto" w:fill="auto"/>
    </w:pPr>
  </w:style>
  <w:style w:type="paragraph" w:customStyle="1" w:styleId="AusBoldRDR">
    <w:name w:val="Aus Bold RDR"/>
    <w:basedOn w:val="AusBold"/>
    <w:uiPriority w:val="4"/>
    <w:qFormat/>
    <w:rsid w:val="00CD46EF"/>
    <w:pPr>
      <w:shd w:val="pct15" w:color="auto" w:fill="auto"/>
    </w:pPr>
  </w:style>
  <w:style w:type="paragraph" w:customStyle="1" w:styleId="RDR11">
    <w:name w:val="RDR11"/>
    <w:basedOn w:val="IASBNormalnparaL1"/>
    <w:uiPriority w:val="6"/>
    <w:qFormat/>
    <w:rsid w:val="00CD46EF"/>
    <w:pPr>
      <w:shd w:val="pct15" w:color="auto" w:fill="auto"/>
    </w:pPr>
  </w:style>
  <w:style w:type="paragraph" w:customStyle="1" w:styleId="RDR12">
    <w:name w:val="RDR12"/>
    <w:basedOn w:val="RDR11"/>
    <w:uiPriority w:val="6"/>
    <w:qFormat/>
    <w:rsid w:val="00CD46EF"/>
    <w:pPr>
      <w:tabs>
        <w:tab w:val="left" w:pos="1565"/>
      </w:tabs>
      <w:ind w:left="2347" w:hanging="1565"/>
    </w:pPr>
  </w:style>
  <w:style w:type="paragraph" w:customStyle="1" w:styleId="RDR13">
    <w:name w:val="RDR13"/>
    <w:basedOn w:val="RDR12"/>
    <w:uiPriority w:val="6"/>
    <w:qFormat/>
    <w:rsid w:val="00CD46EF"/>
    <w:pPr>
      <w:tabs>
        <w:tab w:val="clear" w:pos="1565"/>
        <w:tab w:val="left" w:pos="2347"/>
      </w:tabs>
      <w:ind w:left="3129" w:hanging="2347"/>
    </w:pPr>
  </w:style>
  <w:style w:type="paragraph" w:customStyle="1" w:styleId="RDR21">
    <w:name w:val="RDR21"/>
    <w:basedOn w:val="IASBNormalnparaL2"/>
    <w:uiPriority w:val="6"/>
    <w:qFormat/>
    <w:rsid w:val="00CD46EF"/>
    <w:pPr>
      <w:shd w:val="pct15" w:color="auto" w:fill="auto"/>
    </w:pPr>
  </w:style>
  <w:style w:type="paragraph" w:customStyle="1" w:styleId="RDR22">
    <w:name w:val="RDR22"/>
    <w:basedOn w:val="RDR21"/>
    <w:uiPriority w:val="6"/>
    <w:qFormat/>
    <w:rsid w:val="00CD46EF"/>
    <w:pPr>
      <w:tabs>
        <w:tab w:val="left" w:pos="2347"/>
      </w:tabs>
      <w:ind w:left="3130" w:hanging="1565"/>
    </w:pPr>
  </w:style>
  <w:style w:type="table" w:styleId="TableGrid1">
    <w:name w:val="Table Grid 1"/>
    <w:basedOn w:val="TableNormal"/>
    <w:uiPriority w:val="99"/>
    <w:semiHidden/>
    <w:unhideWhenUsed/>
    <w:rsid w:val="00CD46EF"/>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6635EA"/>
    <w:rPr>
      <w:sz w:val="16"/>
      <w:szCs w:val="16"/>
    </w:rPr>
  </w:style>
  <w:style w:type="paragraph" w:styleId="CommentText">
    <w:name w:val="annotation text"/>
    <w:basedOn w:val="Normal"/>
    <w:link w:val="CommentTextChar"/>
    <w:uiPriority w:val="99"/>
    <w:semiHidden/>
    <w:unhideWhenUsed/>
    <w:rsid w:val="006635EA"/>
    <w:rPr>
      <w:sz w:val="20"/>
      <w:szCs w:val="20"/>
    </w:rPr>
  </w:style>
  <w:style w:type="character" w:customStyle="1" w:styleId="CommentTextChar">
    <w:name w:val="Comment Text Char"/>
    <w:basedOn w:val="DefaultParagraphFont"/>
    <w:link w:val="CommentText"/>
    <w:uiPriority w:val="99"/>
    <w:semiHidden/>
    <w:rsid w:val="006635EA"/>
    <w:rPr>
      <w:lang w:eastAsia="en-US"/>
    </w:rPr>
  </w:style>
  <w:style w:type="paragraph" w:styleId="CommentSubject">
    <w:name w:val="annotation subject"/>
    <w:basedOn w:val="CommentText"/>
    <w:next w:val="CommentText"/>
    <w:link w:val="CommentSubjectChar"/>
    <w:uiPriority w:val="99"/>
    <w:semiHidden/>
    <w:unhideWhenUsed/>
    <w:rsid w:val="006635EA"/>
    <w:rPr>
      <w:b/>
      <w:bCs/>
    </w:rPr>
  </w:style>
  <w:style w:type="character" w:customStyle="1" w:styleId="CommentSubjectChar">
    <w:name w:val="Comment Subject Char"/>
    <w:basedOn w:val="CommentTextChar"/>
    <w:link w:val="CommentSubject"/>
    <w:uiPriority w:val="99"/>
    <w:semiHidden/>
    <w:rsid w:val="006635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D671-FE85-43D3-9D21-7B539D91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172</TotalTime>
  <Pages>29</Pages>
  <Words>16603</Words>
  <Characters>86173</Characters>
  <Application>Microsoft Office Word</Application>
  <DocSecurity>0</DocSecurity>
  <Lines>718</Lines>
  <Paragraphs>205</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102571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AASB139</dc:title>
  <dc:creator>.</dc:creator>
  <cp:lastModifiedBy>Kathleen John</cp:lastModifiedBy>
  <cp:revision>28</cp:revision>
  <cp:lastPrinted>2015-08-24T08:03:00Z</cp:lastPrinted>
  <dcterms:created xsi:type="dcterms:W3CDTF">2015-07-25T00:25:00Z</dcterms:created>
  <dcterms:modified xsi:type="dcterms:W3CDTF">2015-08-24T08:03:00Z</dcterms:modified>
</cp:coreProperties>
</file>