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CA5093" w:rsidTr="001C52B9">
        <w:trPr>
          <w:tblHeader/>
        </w:trPr>
        <w:tc>
          <w:tcPr>
            <w:tcW w:w="4508" w:type="dxa"/>
          </w:tcPr>
          <w:p w:rsidR="00CA5093" w:rsidRDefault="00CA5093" w:rsidP="00805496">
            <w:pPr>
              <w:pStyle w:val="AASBStandardCover"/>
            </w:pPr>
            <w:r>
              <w:t xml:space="preserve">AASB </w:t>
            </w:r>
            <w:bookmarkStart w:id="0" w:name="DocType"/>
            <w:r w:rsidRPr="00CB4C3F">
              <w:t>Standard</w:t>
            </w:r>
            <w:bookmarkEnd w:id="0"/>
          </w:p>
        </w:tc>
        <w:tc>
          <w:tcPr>
            <w:tcW w:w="4509" w:type="dxa"/>
          </w:tcPr>
          <w:p w:rsidR="00CA5093" w:rsidRPr="003D520C" w:rsidRDefault="00CA5093" w:rsidP="00805496">
            <w:pPr>
              <w:pStyle w:val="AASBStandardNumber"/>
              <w:rPr>
                <w:rFonts w:ascii="HelveticaNeueLT Std" w:hAnsi="HelveticaNeueLT Std"/>
                <w:b/>
              </w:rPr>
            </w:pPr>
            <w:bookmarkStart w:id="1" w:name="DocTypeAbb"/>
            <w:bookmarkStart w:id="2" w:name="_GoBack"/>
            <w:r w:rsidRPr="003D520C">
              <w:rPr>
                <w:rFonts w:ascii="HelveticaNeueLT Std" w:hAnsi="HelveticaNeueLT Std"/>
                <w:b/>
              </w:rPr>
              <w:t>AASB</w:t>
            </w:r>
            <w:bookmarkEnd w:id="1"/>
            <w:r w:rsidRPr="003D520C">
              <w:rPr>
                <w:rFonts w:ascii="HelveticaNeueLT Std" w:hAnsi="HelveticaNeueLT Std"/>
                <w:b/>
              </w:rPr>
              <w:t xml:space="preserve"> </w:t>
            </w:r>
            <w:bookmarkStart w:id="3" w:name="DocNo"/>
            <w:r w:rsidRPr="003D520C">
              <w:rPr>
                <w:rFonts w:ascii="HelveticaNeueLT Std" w:hAnsi="HelveticaNeueLT Std"/>
                <w:b/>
              </w:rPr>
              <w:t>141</w:t>
            </w:r>
            <w:bookmarkEnd w:id="3"/>
          </w:p>
          <w:p w:rsidR="00CA5093" w:rsidRDefault="001E38C2" w:rsidP="00805496">
            <w:pPr>
              <w:pStyle w:val="AASBStandardDate"/>
            </w:pPr>
            <w:bookmarkStart w:id="4" w:name="DocDate"/>
            <w:bookmarkEnd w:id="2"/>
            <w:r>
              <w:t>August</w:t>
            </w:r>
            <w:r w:rsidR="00CA5093">
              <w:t xml:space="preserve"> 2015</w:t>
            </w:r>
            <w:bookmarkEnd w:id="4"/>
          </w:p>
        </w:tc>
      </w:tr>
    </w:tbl>
    <w:p w:rsidR="00CA5093" w:rsidRDefault="00CA5093" w:rsidP="00805496">
      <w:pPr>
        <w:pStyle w:val="AASBStandardTitle"/>
      </w:pPr>
      <w:bookmarkStart w:id="5" w:name="DocTitle"/>
      <w:r>
        <w:t>Agriculture</w:t>
      </w:r>
      <w:bookmarkEnd w:id="5"/>
    </w:p>
    <w:p w:rsidR="00CA5093" w:rsidRDefault="00CA5093" w:rsidP="00805496">
      <w:pPr>
        <w:pStyle w:val="AASBBase"/>
      </w:pPr>
      <w:r w:rsidRPr="0024411C">
        <w:rPr>
          <w:noProof/>
          <w:lang w:eastAsia="en-AU"/>
        </w:rPr>
        <w:drawing>
          <wp:anchor distT="0" distB="0" distL="114300" distR="114300" simplePos="0" relativeHeight="251659264" behindDoc="0" locked="1" layoutInCell="1" allowOverlap="1" wp14:anchorId="40D51BFB" wp14:editId="4A9F46B2">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5093" w:rsidRDefault="00CA5093" w:rsidP="00805496">
      <w:pPr>
        <w:pStyle w:val="AASBBase"/>
        <w:sectPr w:rsidR="00CA5093" w:rsidSect="00805496">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09" w:footer="709" w:gutter="0"/>
          <w:cols w:space="708"/>
          <w:docGrid w:linePitch="360"/>
        </w:sectPr>
      </w:pPr>
    </w:p>
    <w:p w:rsidR="00CA5093" w:rsidRDefault="00CA5093" w:rsidP="00805496">
      <w:pPr>
        <w:pStyle w:val="IASBSectionTitle2NonInd"/>
      </w:pPr>
      <w:r>
        <w:lastRenderedPageBreak/>
        <w:t xml:space="preserve">Obtaining a </w:t>
      </w:r>
      <w:r w:rsidR="008639CC">
        <w:t>c</w:t>
      </w:r>
      <w:r>
        <w:t xml:space="preserve">opy of this Accounting </w:t>
      </w:r>
      <w:fldSimple w:instr=" REF DocType " w:fldLock="1">
        <w:r w:rsidRPr="00CB4C3F">
          <w:t>Standard</w:t>
        </w:r>
      </w:fldSimple>
    </w:p>
    <w:p w:rsidR="00CA5093" w:rsidRDefault="00CA5093" w:rsidP="00805496">
      <w:pPr>
        <w:pStyle w:val="AASBBase"/>
      </w:pPr>
      <w:r>
        <w:t xml:space="preserve">This </w:t>
      </w:r>
      <w:fldSimple w:instr=" REF DocType " w:fldLock="1">
        <w:r w:rsidRPr="00CB4C3F">
          <w:t>Standard</w:t>
        </w:r>
      </w:fldSimple>
      <w:r>
        <w:t xml:space="preserve"> is available on the AASB website: www.aasb.gov.au.</w:t>
      </w:r>
    </w:p>
    <w:p w:rsidR="00CA5093" w:rsidRDefault="00CA5093" w:rsidP="00805496">
      <w:pPr>
        <w:pStyle w:val="AASBBase"/>
      </w:pPr>
    </w:p>
    <w:p w:rsidR="00CA5093" w:rsidRDefault="00CA5093" w:rsidP="00805496">
      <w:pPr>
        <w:pStyle w:val="AASBBase"/>
      </w:pPr>
      <w:r>
        <w:t>Australian Accounting Standards Board</w:t>
      </w:r>
    </w:p>
    <w:p w:rsidR="00CA5093" w:rsidRDefault="00CA5093" w:rsidP="00805496">
      <w:pPr>
        <w:pStyle w:val="AASBBase"/>
      </w:pPr>
      <w:r>
        <w:t>PO Box 204</w:t>
      </w:r>
    </w:p>
    <w:p w:rsidR="00CA5093" w:rsidRDefault="00CA5093" w:rsidP="00805496">
      <w:pPr>
        <w:pStyle w:val="AASBBase"/>
      </w:pPr>
      <w:r>
        <w:t>Collins Street West</w:t>
      </w:r>
    </w:p>
    <w:p w:rsidR="00CA5093" w:rsidRDefault="00CA5093" w:rsidP="00805496">
      <w:pPr>
        <w:pStyle w:val="AASBBase"/>
      </w:pPr>
      <w:r>
        <w:t>Victoria   8007</w:t>
      </w:r>
    </w:p>
    <w:p w:rsidR="00CA5093" w:rsidRDefault="00CA5093" w:rsidP="00805496">
      <w:pPr>
        <w:pStyle w:val="AASBPara"/>
      </w:pPr>
      <w:r>
        <w:t>AUSTRALIA</w:t>
      </w:r>
    </w:p>
    <w:p w:rsidR="00CA5093" w:rsidRDefault="00CA5093" w:rsidP="0059591A">
      <w:pPr>
        <w:pStyle w:val="AASBBase"/>
        <w:tabs>
          <w:tab w:val="left" w:pos="907"/>
        </w:tabs>
      </w:pPr>
      <w:r>
        <w:t>Phone:</w:t>
      </w:r>
      <w:r>
        <w:tab/>
        <w:t>(03) 9617 7637</w:t>
      </w:r>
    </w:p>
    <w:p w:rsidR="00CA5093" w:rsidRDefault="00CA5093" w:rsidP="0059591A">
      <w:pPr>
        <w:pStyle w:val="AASBBase"/>
        <w:tabs>
          <w:tab w:val="left" w:pos="907"/>
        </w:tabs>
      </w:pPr>
      <w:r>
        <w:t>E-mail:</w:t>
      </w:r>
      <w:r>
        <w:tab/>
        <w:t>publications@aasb.gov.au</w:t>
      </w:r>
    </w:p>
    <w:p w:rsidR="00CA5093" w:rsidRDefault="00CA5093" w:rsidP="0059591A">
      <w:pPr>
        <w:pStyle w:val="AASBPara"/>
        <w:tabs>
          <w:tab w:val="left" w:pos="907"/>
        </w:tabs>
      </w:pPr>
      <w:r>
        <w:t>Website:</w:t>
      </w:r>
      <w:r>
        <w:tab/>
        <w:t>www.aasb.gov.au</w:t>
      </w:r>
    </w:p>
    <w:p w:rsidR="00CA5093" w:rsidRDefault="00CA5093" w:rsidP="00805496">
      <w:pPr>
        <w:pStyle w:val="IASBSectionTitle2NonInd"/>
      </w:pPr>
      <w:r>
        <w:t xml:space="preserve">Other </w:t>
      </w:r>
      <w:r w:rsidR="008639CC">
        <w:t>e</w:t>
      </w:r>
      <w:r>
        <w:t>nquiries</w:t>
      </w:r>
    </w:p>
    <w:p w:rsidR="00CA5093" w:rsidRDefault="00CA5093" w:rsidP="0059591A">
      <w:pPr>
        <w:pStyle w:val="AASBBase"/>
        <w:tabs>
          <w:tab w:val="left" w:pos="907"/>
        </w:tabs>
      </w:pPr>
      <w:r>
        <w:t>Phone:</w:t>
      </w:r>
      <w:r>
        <w:tab/>
        <w:t>(03) 9617 7600</w:t>
      </w:r>
    </w:p>
    <w:p w:rsidR="00CA5093" w:rsidRDefault="00CA5093" w:rsidP="0059591A">
      <w:pPr>
        <w:pStyle w:val="AASBBase"/>
        <w:tabs>
          <w:tab w:val="left" w:pos="907"/>
        </w:tabs>
      </w:pPr>
      <w:r>
        <w:t>E-mail:</w:t>
      </w:r>
      <w:r>
        <w:tab/>
        <w:t>standard@aasb.gov.au</w:t>
      </w:r>
    </w:p>
    <w:p w:rsidR="00CA5093" w:rsidRDefault="00CA5093" w:rsidP="00805496">
      <w:pPr>
        <w:pStyle w:val="AASBPara"/>
        <w:spacing w:before="5520"/>
      </w:pPr>
      <w:r>
        <w:t>COPYRIGHT</w:t>
      </w:r>
    </w:p>
    <w:p w:rsidR="00CA5093" w:rsidRDefault="00CA5093" w:rsidP="00805496">
      <w:pPr>
        <w:pStyle w:val="AASBPara"/>
      </w:pPr>
      <w:r>
        <w:t xml:space="preserve">© Commonwealth of Australia </w:t>
      </w:r>
      <w:bookmarkStart w:id="6" w:name="Year"/>
      <w:r>
        <w:t>2015</w:t>
      </w:r>
      <w:bookmarkEnd w:id="6"/>
    </w:p>
    <w:p w:rsidR="00CA5093" w:rsidRDefault="00CA5093" w:rsidP="00805496">
      <w:pPr>
        <w:pStyle w:val="AASBPara"/>
      </w:pPr>
      <w:r>
        <w:t xml:space="preserve">This AASB </w:t>
      </w:r>
      <w:fldSimple w:instr=" REF DocType " w:fldLock="1">
        <w:r w:rsidRPr="00CB4C3F">
          <w:t>Standard</w:t>
        </w:r>
      </w:fldSimple>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CA5093" w:rsidRDefault="00CA5093" w:rsidP="00805496">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CA5093" w:rsidRDefault="00CA5093" w:rsidP="00805496">
      <w:pPr>
        <w:pStyle w:val="AASBBase"/>
      </w:pPr>
      <w:r>
        <w:t xml:space="preserve">ISSN </w:t>
      </w:r>
      <w:bookmarkStart w:id="7" w:name="ISSN"/>
      <w:r>
        <w:t>1036-4803</w:t>
      </w:r>
      <w:bookmarkEnd w:id="7"/>
    </w:p>
    <w:p w:rsidR="00CA5093" w:rsidRDefault="00CA5093" w:rsidP="00805496">
      <w:pPr>
        <w:pStyle w:val="AASBBase"/>
        <w:sectPr w:rsidR="00CA5093" w:rsidSect="00D35109">
          <w:headerReference w:type="even" r:id="rId14"/>
          <w:headerReference w:type="default" r:id="rId15"/>
          <w:footerReference w:type="even" r:id="rId16"/>
          <w:footerReference w:type="default" r:id="rId17"/>
          <w:pgSz w:w="11907" w:h="16839" w:code="9"/>
          <w:pgMar w:top="1440" w:right="1440" w:bottom="1440" w:left="1440" w:header="709" w:footer="709" w:gutter="0"/>
          <w:pgNumType w:start="2"/>
          <w:cols w:space="708"/>
          <w:docGrid w:linePitch="360"/>
        </w:sectPr>
      </w:pPr>
    </w:p>
    <w:p w:rsidR="00CA5093" w:rsidRDefault="00CA5093" w:rsidP="00805496">
      <w:pPr>
        <w:pStyle w:val="ConvSectionTitle"/>
      </w:pPr>
      <w:r>
        <w:lastRenderedPageBreak/>
        <w:t>Contents</w:t>
      </w:r>
    </w:p>
    <w:p w:rsidR="00CA5093" w:rsidRDefault="00CA5093" w:rsidP="0059591A">
      <w:pPr>
        <w:pStyle w:val="AASBPara"/>
        <w:spacing w:before="400"/>
      </w:pPr>
      <w:r>
        <w:t xml:space="preserve">COMPARISON WITH </w:t>
      </w:r>
      <w:bookmarkStart w:id="8" w:name="IntnlType"/>
      <w:r>
        <w:t>IAS</w:t>
      </w:r>
      <w:bookmarkEnd w:id="8"/>
      <w:r>
        <w:t xml:space="preserve"> </w:t>
      </w:r>
      <w:bookmarkStart w:id="9" w:name="IntnlNo"/>
      <w:r>
        <w:t>41</w:t>
      </w:r>
      <w:bookmarkEnd w:id="9"/>
    </w:p>
    <w:p w:rsidR="00CA5093" w:rsidRPr="000C31B3" w:rsidRDefault="00CA5093" w:rsidP="00805496">
      <w:pPr>
        <w:pStyle w:val="AASBBase"/>
        <w:rPr>
          <w:b/>
        </w:rPr>
      </w:pPr>
      <w:bookmarkStart w:id="10" w:name="TOCTopStandard"/>
      <w:r w:rsidRPr="000C31B3">
        <w:rPr>
          <w:b/>
        </w:rPr>
        <w:t>ACCOUNTING STANDARD</w:t>
      </w:r>
    </w:p>
    <w:p w:rsidR="00CA5093" w:rsidRPr="000C31B3" w:rsidRDefault="00CA5093" w:rsidP="00805496">
      <w:pPr>
        <w:pStyle w:val="AASBPara"/>
        <w:rPr>
          <w:b/>
        </w:rPr>
      </w:pPr>
      <w:proofErr w:type="gramStart"/>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Pr="00CA5093">
        <w:rPr>
          <w:b/>
        </w:rPr>
        <w:t>141</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Pr="00CA5093">
        <w:rPr>
          <w:b/>
          <w:i/>
        </w:rPr>
        <w:t>AGRICULTURE</w:t>
      </w:r>
      <w:proofErr w:type="gramEnd"/>
      <w:r w:rsidRPr="000C31B3">
        <w:rPr>
          <w:b/>
          <w:i/>
        </w:rPr>
        <w:fldChar w:fldCharType="end"/>
      </w:r>
    </w:p>
    <w:bookmarkEnd w:id="10"/>
    <w:p w:rsidR="00CA5093" w:rsidRDefault="00CA5093" w:rsidP="0059591A">
      <w:pPr>
        <w:pStyle w:val="ContentsHeading"/>
        <w:spacing w:after="0"/>
      </w:pPr>
      <w:proofErr w:type="gramStart"/>
      <w:r>
        <w:t>from</w:t>
      </w:r>
      <w:proofErr w:type="gramEnd"/>
      <w:r>
        <w:t xml:space="preserve"> paragraph</w:t>
      </w:r>
    </w:p>
    <w:p w:rsidR="006C6C6F" w:rsidRDefault="006C6C6F" w:rsidP="006C6C6F">
      <w:pPr>
        <w:pStyle w:val="ContentsLevel1"/>
      </w:pPr>
      <w:bookmarkStart w:id="11" w:name="TOCRange"/>
      <w:bookmarkStart w:id="12" w:name="TOCBottomStandard"/>
      <w:r>
        <w:t>Objective</w:t>
      </w:r>
    </w:p>
    <w:p w:rsidR="006C6C6F" w:rsidRDefault="006C6C6F" w:rsidP="006C6C6F">
      <w:pPr>
        <w:pStyle w:val="ContentsLevel1"/>
      </w:pPr>
      <w:r>
        <w:t>Scope</w:t>
      </w:r>
      <w:r>
        <w:tab/>
        <w:t>1</w:t>
      </w:r>
    </w:p>
    <w:p w:rsidR="006C6C6F" w:rsidRDefault="006C6C6F" w:rsidP="006C6C6F">
      <w:pPr>
        <w:pStyle w:val="ContentsLevel1"/>
      </w:pPr>
      <w:r>
        <w:t>Definitions</w:t>
      </w:r>
    </w:p>
    <w:p w:rsidR="006C6C6F" w:rsidRDefault="006C6C6F" w:rsidP="006C6C6F">
      <w:pPr>
        <w:pStyle w:val="ContentsLevel2"/>
      </w:pPr>
      <w:r>
        <w:t>Agriculture-related definitions</w:t>
      </w:r>
      <w:r>
        <w:tab/>
        <w:t>5</w:t>
      </w:r>
    </w:p>
    <w:p w:rsidR="006C6C6F" w:rsidRDefault="006C6C6F" w:rsidP="006C6C6F">
      <w:pPr>
        <w:pStyle w:val="ContentsLevel2"/>
      </w:pPr>
      <w:r>
        <w:t>General definitions</w:t>
      </w:r>
      <w:r>
        <w:tab/>
        <w:t>8</w:t>
      </w:r>
    </w:p>
    <w:p w:rsidR="006C6C6F" w:rsidRDefault="006C6C6F" w:rsidP="006C6C6F">
      <w:pPr>
        <w:pStyle w:val="ContentsLevel1"/>
      </w:pPr>
      <w:r>
        <w:t>Recognition and measurement</w:t>
      </w:r>
      <w:r>
        <w:tab/>
        <w:t>10</w:t>
      </w:r>
    </w:p>
    <w:p w:rsidR="006C6C6F" w:rsidRDefault="006C6C6F" w:rsidP="006C6C6F">
      <w:pPr>
        <w:pStyle w:val="ContentsLevel2"/>
      </w:pPr>
      <w:r>
        <w:t>Gains and losses</w:t>
      </w:r>
      <w:r>
        <w:tab/>
        <w:t>26</w:t>
      </w:r>
    </w:p>
    <w:p w:rsidR="006C6C6F" w:rsidRDefault="006C6C6F" w:rsidP="006C6C6F">
      <w:pPr>
        <w:pStyle w:val="ContentsLevel2"/>
      </w:pPr>
      <w:r>
        <w:t>Inability to measure fair value reliably</w:t>
      </w:r>
      <w:r>
        <w:tab/>
        <w:t>30</w:t>
      </w:r>
    </w:p>
    <w:p w:rsidR="006C6C6F" w:rsidRDefault="006C6C6F" w:rsidP="006C6C6F">
      <w:pPr>
        <w:pStyle w:val="ContentsLevel1"/>
      </w:pPr>
      <w:r>
        <w:t>Government grants</w:t>
      </w:r>
      <w:r>
        <w:tab/>
        <w:t>34</w:t>
      </w:r>
    </w:p>
    <w:p w:rsidR="006C6C6F" w:rsidRDefault="006C6C6F" w:rsidP="006C6C6F">
      <w:pPr>
        <w:pStyle w:val="ContentsLevel1"/>
      </w:pPr>
      <w:r>
        <w:t>Disclosure</w:t>
      </w:r>
      <w:r>
        <w:tab/>
        <w:t>39</w:t>
      </w:r>
    </w:p>
    <w:p w:rsidR="006C6C6F" w:rsidRDefault="006C6C6F" w:rsidP="006C6C6F">
      <w:pPr>
        <w:pStyle w:val="ContentsLevel2"/>
      </w:pPr>
      <w:r>
        <w:t>General</w:t>
      </w:r>
      <w:r>
        <w:tab/>
        <w:t>40</w:t>
      </w:r>
    </w:p>
    <w:p w:rsidR="006C6C6F" w:rsidRDefault="006C6C6F" w:rsidP="006C6C6F">
      <w:pPr>
        <w:pStyle w:val="ContentsLevel2"/>
      </w:pPr>
      <w:r>
        <w:t>Additional disclosures for biological assets where fair value cannot be measured reliably</w:t>
      </w:r>
      <w:r>
        <w:tab/>
        <w:t>54</w:t>
      </w:r>
    </w:p>
    <w:p w:rsidR="006C6C6F" w:rsidRDefault="006C6C6F" w:rsidP="006C6C6F">
      <w:pPr>
        <w:pStyle w:val="ContentsLevel2"/>
      </w:pPr>
      <w:r>
        <w:t>Government grants</w:t>
      </w:r>
      <w:r>
        <w:tab/>
        <w:t>57</w:t>
      </w:r>
    </w:p>
    <w:p w:rsidR="002524F8" w:rsidRDefault="002524F8" w:rsidP="002524F8">
      <w:pPr>
        <w:pStyle w:val="ContentsLevel1"/>
      </w:pPr>
      <w:r>
        <w:t>Commencement of the legislative instrument</w:t>
      </w:r>
      <w:r>
        <w:tab/>
      </w:r>
      <w:r w:rsidRPr="006C6C6F">
        <w:rPr>
          <w:caps w:val="0"/>
        </w:rPr>
        <w:t>Aus</w:t>
      </w:r>
      <w:r>
        <w:rPr>
          <w:caps w:val="0"/>
        </w:rPr>
        <w:t>57</w:t>
      </w:r>
      <w:r w:rsidRPr="006C6C6F">
        <w:rPr>
          <w:caps w:val="0"/>
        </w:rPr>
        <w:t>.1</w:t>
      </w:r>
    </w:p>
    <w:p w:rsidR="002524F8" w:rsidRDefault="002524F8" w:rsidP="002524F8">
      <w:pPr>
        <w:pStyle w:val="ContentsLevel1"/>
      </w:pPr>
      <w:r>
        <w:t>Withdrawal of AASB pronouncements</w:t>
      </w:r>
      <w:r>
        <w:tab/>
      </w:r>
      <w:r w:rsidRPr="006C6C6F">
        <w:rPr>
          <w:caps w:val="0"/>
        </w:rPr>
        <w:t>Aus</w:t>
      </w:r>
      <w:r>
        <w:rPr>
          <w:caps w:val="0"/>
        </w:rPr>
        <w:t>57</w:t>
      </w:r>
      <w:r w:rsidRPr="006C6C6F">
        <w:rPr>
          <w:caps w:val="0"/>
        </w:rPr>
        <w:t>.2</w:t>
      </w:r>
    </w:p>
    <w:p w:rsidR="006C6C6F" w:rsidRDefault="006C6C6F" w:rsidP="006C6C6F">
      <w:pPr>
        <w:pStyle w:val="ContentsLevel1"/>
      </w:pPr>
      <w:r>
        <w:t>Effective date and transition</w:t>
      </w:r>
      <w:r>
        <w:tab/>
        <w:t>58</w:t>
      </w:r>
    </w:p>
    <w:p w:rsidR="006C6C6F" w:rsidRDefault="00993F4D" w:rsidP="006C6C6F">
      <w:pPr>
        <w:pStyle w:val="ContentsLevel1"/>
      </w:pPr>
      <w:r>
        <w:t>Appendix</w:t>
      </w:r>
    </w:p>
    <w:p w:rsidR="006C6C6F" w:rsidRDefault="006C6C6F" w:rsidP="006C6C6F">
      <w:pPr>
        <w:pStyle w:val="ContentsLevel2"/>
      </w:pPr>
      <w:proofErr w:type="gramStart"/>
      <w:r>
        <w:t>A</w:t>
      </w:r>
      <w:proofErr w:type="gramEnd"/>
      <w:r>
        <w:t xml:space="preserve"> Australian reduced disclosure requirements</w:t>
      </w:r>
    </w:p>
    <w:p w:rsidR="006C6C6F" w:rsidRDefault="006C6C6F" w:rsidP="006C6C6F">
      <w:pPr>
        <w:pStyle w:val="ContentsLevel1"/>
      </w:pPr>
      <w:r>
        <w:t xml:space="preserve">Deleted IAS 41 </w:t>
      </w:r>
      <w:proofErr w:type="gramStart"/>
      <w:r>
        <w:t>text</w:t>
      </w:r>
      <w:proofErr w:type="gramEnd"/>
    </w:p>
    <w:bookmarkEnd w:id="11"/>
    <w:p w:rsidR="00206BFA" w:rsidRDefault="00206BFA" w:rsidP="00206BFA">
      <w:pPr>
        <w:pStyle w:val="ContentsLevel1"/>
      </w:pPr>
    </w:p>
    <w:p w:rsidR="00206BFA" w:rsidRDefault="00206BFA" w:rsidP="00206BFA">
      <w:pPr>
        <w:pStyle w:val="ContentsLevel1"/>
      </w:pPr>
    </w:p>
    <w:p w:rsidR="00206BFA" w:rsidRDefault="00206BFA" w:rsidP="00206BFA">
      <w:pPr>
        <w:pStyle w:val="ContentsLevel1"/>
      </w:pPr>
      <w:r>
        <w:t>AVailable on the AASB website</w:t>
      </w:r>
    </w:p>
    <w:p w:rsidR="00206BFA" w:rsidRDefault="00206BFA" w:rsidP="00206BFA">
      <w:pPr>
        <w:pStyle w:val="ContentsLevel2"/>
      </w:pPr>
      <w:r>
        <w:t xml:space="preserve">Illustrative </w:t>
      </w:r>
      <w:r w:rsidR="00AB39F9">
        <w:t>examples</w:t>
      </w:r>
    </w:p>
    <w:p w:rsidR="00AB39F9" w:rsidRDefault="00AB39F9" w:rsidP="00AB39F9">
      <w:pPr>
        <w:pStyle w:val="ContentsLevel2"/>
      </w:pPr>
      <w:r>
        <w:t>Basis for Conclusions on IAS 41</w:t>
      </w:r>
    </w:p>
    <w:p w:rsidR="00206BFA" w:rsidRDefault="00206BFA" w:rsidP="00206BFA">
      <w:pPr>
        <w:pStyle w:val="ContentsLevel1"/>
      </w:pPr>
    </w:p>
    <w:p w:rsidR="00206BFA" w:rsidRDefault="00206BFA" w:rsidP="00206BFA">
      <w:pPr>
        <w:pStyle w:val="ContentsLevel1"/>
      </w:pPr>
    </w:p>
    <w:p w:rsidR="00CA5093" w:rsidRDefault="00CA5093" w:rsidP="00805496">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t>141</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Pr="00CA5093">
        <w:rPr>
          <w:i/>
        </w:rPr>
        <w:t>Agriculture</w:t>
      </w:r>
      <w:r w:rsidRPr="00103CE9">
        <w:rPr>
          <w:i/>
        </w:rPr>
        <w:fldChar w:fldCharType="end"/>
      </w:r>
      <w:r>
        <w:t xml:space="preserve"> is set out in paragraphs </w:t>
      </w:r>
      <w:r w:rsidR="00D07C63">
        <w:t xml:space="preserve">1 – </w:t>
      </w:r>
      <w:r w:rsidR="00E83245">
        <w:t>63</w:t>
      </w:r>
      <w:r>
        <w:t xml:space="preserve"> and Appendi</w:t>
      </w:r>
      <w:r w:rsidR="00D07C63">
        <w:t>x A.</w:t>
      </w:r>
      <w:r>
        <w:t xml:space="preserve">  All the paragraphs have equal authority.  Paragraphs in </w:t>
      </w:r>
      <w:r w:rsidRPr="00103CE9">
        <w:rPr>
          <w:b/>
        </w:rPr>
        <w:t>bold type</w:t>
      </w:r>
      <w:r>
        <w:t xml:space="preserve"> state the main principles</w:t>
      </w:r>
      <w:r w:rsidR="00D07C63">
        <w:t xml:space="preserve">.  </w:t>
      </w:r>
      <w:r>
        <w:t>AASB </w:t>
      </w:r>
      <w:r>
        <w:fldChar w:fldCharType="begin" w:fldLock="1"/>
      </w:r>
      <w:r>
        <w:instrText xml:space="preserve"> REF DocNo \* charformat</w:instrText>
      </w:r>
      <w:r>
        <w:fldChar w:fldCharType="separate"/>
      </w:r>
      <w:r>
        <w:t>141</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DA23C5">
        <w:t xml:space="preserve">, and AASB 1057 </w:t>
      </w:r>
      <w:r w:rsidR="00DA23C5"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rsidR="00CA5093" w:rsidRDefault="00CA5093" w:rsidP="00805496">
      <w:pPr>
        <w:pStyle w:val="AASBBase"/>
      </w:pPr>
    </w:p>
    <w:bookmarkEnd w:id="12"/>
    <w:p w:rsidR="00CA5093" w:rsidRDefault="00CA5093" w:rsidP="00805496">
      <w:pPr>
        <w:pStyle w:val="AASBBase"/>
      </w:pPr>
    </w:p>
    <w:p w:rsidR="00CA5093" w:rsidRDefault="00CA5093" w:rsidP="00805496">
      <w:pPr>
        <w:pStyle w:val="AASBBase"/>
        <w:sectPr w:rsidR="00CA5093" w:rsidSect="00805496">
          <w:headerReference w:type="even" r:id="rId18"/>
          <w:footerReference w:type="even" r:id="rId19"/>
          <w:footerReference w:type="default" r:id="rId20"/>
          <w:pgSz w:w="11907" w:h="16839" w:code="9"/>
          <w:pgMar w:top="1440" w:right="1440" w:bottom="1440" w:left="1440" w:header="709" w:footer="709" w:gutter="0"/>
          <w:cols w:space="708"/>
          <w:docGrid w:linePitch="360"/>
        </w:sectPr>
      </w:pPr>
    </w:p>
    <w:p w:rsidR="00CA5093" w:rsidRDefault="00CA5093" w:rsidP="00805496">
      <w:pPr>
        <w:pStyle w:val="ConvSectionTitle"/>
      </w:pPr>
      <w:r>
        <w:lastRenderedPageBreak/>
        <w:t xml:space="preserve">Comparison with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41</w:t>
      </w:r>
      <w:r>
        <w:fldChar w:fldCharType="end"/>
      </w:r>
    </w:p>
    <w:p w:rsidR="00CA5093" w:rsidRPr="00805496" w:rsidRDefault="00CA5093" w:rsidP="00805496">
      <w:pPr>
        <w:pStyle w:val="IASBNormal"/>
      </w:pPr>
      <w:r>
        <w:t xml:space="preserve">AASB </w:t>
      </w:r>
      <w:r>
        <w:fldChar w:fldCharType="begin" w:fldLock="1"/>
      </w:r>
      <w:r>
        <w:instrText xml:space="preserve"> REF DocNo \* charformat</w:instrText>
      </w:r>
      <w:r>
        <w:fldChar w:fldCharType="separate"/>
      </w:r>
      <w:r>
        <w:t>141</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Pr="00CA5093">
        <w:rPr>
          <w:i/>
        </w:rPr>
        <w:t>Agriculture</w:t>
      </w:r>
      <w:r w:rsidRPr="00137A58">
        <w:rPr>
          <w:i/>
        </w:rPr>
        <w:fldChar w:fldCharType="end"/>
      </w:r>
      <w:r>
        <w:t xml:space="preserve"> incorporates </w:t>
      </w:r>
      <w:r>
        <w:fldChar w:fldCharType="begin" w:fldLock="1"/>
      </w:r>
      <w:r>
        <w:instrText xml:space="preserve"> REF IntnlType \* charformat</w:instrText>
      </w:r>
      <w:r>
        <w:fldChar w:fldCharType="separate"/>
      </w:r>
      <w:r>
        <w:t>IAS</w:t>
      </w:r>
      <w:r>
        <w:fldChar w:fldCharType="end"/>
      </w:r>
      <w:r>
        <w:t> </w:t>
      </w:r>
      <w:r>
        <w:fldChar w:fldCharType="begin" w:fldLock="1"/>
      </w:r>
      <w:r>
        <w:instrText xml:space="preserve"> REF IntnlNo \* charformat</w:instrText>
      </w:r>
      <w:r>
        <w:fldChar w:fldCharType="separate"/>
      </w:r>
      <w:r>
        <w:t>41</w:t>
      </w:r>
      <w:r>
        <w:fldChar w:fldCharType="end"/>
      </w:r>
      <w:r>
        <w:t xml:space="preserve"> </w:t>
      </w:r>
      <w:bookmarkStart w:id="13" w:name="IntnlTitle"/>
      <w:r w:rsidRPr="00CA5093">
        <w:rPr>
          <w:i/>
        </w:rPr>
        <w:t>Agriculture</w:t>
      </w:r>
      <w:bookmarkEnd w:id="13"/>
      <w:r>
        <w:t xml:space="preserve"> issued by the International Accounting Standards Board </w:t>
      </w:r>
      <w:r w:rsidRPr="00805496">
        <w:t>(IASB).  Australian</w:t>
      </w:r>
      <w:r w:rsidRPr="00805496">
        <w:noBreakHyphen/>
        <w:t xml:space="preserve">specific paragraphs (which are not included in </w:t>
      </w:r>
      <w:r w:rsidRPr="00805496">
        <w:fldChar w:fldCharType="begin" w:fldLock="1"/>
      </w:r>
      <w:r w:rsidRPr="00805496">
        <w:instrText xml:space="preserve"> REF IntnlType \* charformat</w:instrText>
      </w:r>
      <w:r w:rsidR="00805496">
        <w:instrText xml:space="preserve"> \* MERGEFORMAT </w:instrText>
      </w:r>
      <w:r w:rsidRPr="00805496">
        <w:fldChar w:fldCharType="separate"/>
      </w:r>
      <w:r w:rsidRPr="00805496">
        <w:t>IAS</w:t>
      </w:r>
      <w:r w:rsidRPr="00805496">
        <w:fldChar w:fldCharType="end"/>
      </w:r>
      <w:r w:rsidRPr="00805496">
        <w:t> </w:t>
      </w:r>
      <w:r w:rsidRPr="00805496">
        <w:fldChar w:fldCharType="begin" w:fldLock="1"/>
      </w:r>
      <w:r w:rsidRPr="00805496">
        <w:instrText xml:space="preserve"> REF IntnlNo \* charformat</w:instrText>
      </w:r>
      <w:r w:rsidR="00805496">
        <w:instrText xml:space="preserve"> \* MERGEFORMAT </w:instrText>
      </w:r>
      <w:r w:rsidRPr="00805496">
        <w:fldChar w:fldCharType="separate"/>
      </w:r>
      <w:r w:rsidRPr="00805496">
        <w:t>41</w:t>
      </w:r>
      <w:r w:rsidRPr="00805496">
        <w:fldChar w:fldCharType="end"/>
      </w:r>
      <w:r w:rsidRPr="00805496">
        <w:t>) are identified with the prefix “Aus” or “RDR”.  Paragraphs that apply only to not-for-profit entities begin by identifying their limited applicability.</w:t>
      </w:r>
    </w:p>
    <w:p w:rsidR="00CA5093" w:rsidRPr="00805496" w:rsidRDefault="00CA5093" w:rsidP="00805496">
      <w:pPr>
        <w:pStyle w:val="ConvStandardTitle1"/>
      </w:pPr>
      <w:r w:rsidRPr="00805496">
        <w:t>Tier 1</w:t>
      </w:r>
    </w:p>
    <w:p w:rsidR="00CA5093" w:rsidRPr="00805496" w:rsidRDefault="00CA5093" w:rsidP="00805496">
      <w:pPr>
        <w:pStyle w:val="IASBNormal"/>
      </w:pPr>
      <w:r w:rsidRPr="00805496">
        <w:t xml:space="preserve">For-profit entities complying with AASB </w:t>
      </w:r>
      <w:r w:rsidRPr="00805496">
        <w:fldChar w:fldCharType="begin" w:fldLock="1"/>
      </w:r>
      <w:r w:rsidRPr="00805496">
        <w:instrText xml:space="preserve"> REF DocNo \* charformat</w:instrText>
      </w:r>
      <w:r w:rsidR="00805496">
        <w:instrText xml:space="preserve"> \* MERGEFORMAT </w:instrText>
      </w:r>
      <w:r w:rsidRPr="00805496">
        <w:fldChar w:fldCharType="separate"/>
      </w:r>
      <w:r w:rsidRPr="00805496">
        <w:t>141</w:t>
      </w:r>
      <w:r w:rsidRPr="00805496">
        <w:fldChar w:fldCharType="end"/>
      </w:r>
      <w:r w:rsidRPr="00805496">
        <w:t xml:space="preserve"> also comply with </w:t>
      </w:r>
      <w:r w:rsidRPr="00805496">
        <w:fldChar w:fldCharType="begin" w:fldLock="1"/>
      </w:r>
      <w:r w:rsidRPr="00805496">
        <w:instrText xml:space="preserve"> REF IntnlType \* charformat</w:instrText>
      </w:r>
      <w:r w:rsidR="00805496">
        <w:instrText xml:space="preserve"> \* MERGEFORMAT </w:instrText>
      </w:r>
      <w:r w:rsidRPr="00805496">
        <w:fldChar w:fldCharType="separate"/>
      </w:r>
      <w:r w:rsidRPr="00805496">
        <w:t>IAS</w:t>
      </w:r>
      <w:r w:rsidRPr="00805496">
        <w:fldChar w:fldCharType="end"/>
      </w:r>
      <w:r w:rsidRPr="00805496">
        <w:t xml:space="preserve"> </w:t>
      </w:r>
      <w:r w:rsidRPr="00805496">
        <w:fldChar w:fldCharType="begin" w:fldLock="1"/>
      </w:r>
      <w:r w:rsidRPr="00805496">
        <w:instrText xml:space="preserve"> REF IntnlNo \* charformat</w:instrText>
      </w:r>
      <w:r w:rsidR="00805496">
        <w:instrText xml:space="preserve"> \* MERGEFORMAT </w:instrText>
      </w:r>
      <w:r w:rsidRPr="00805496">
        <w:fldChar w:fldCharType="separate"/>
      </w:r>
      <w:r w:rsidRPr="00805496">
        <w:t>41</w:t>
      </w:r>
      <w:r w:rsidRPr="00805496">
        <w:fldChar w:fldCharType="end"/>
      </w:r>
      <w:r w:rsidRPr="00805496">
        <w:t>.</w:t>
      </w:r>
    </w:p>
    <w:p w:rsidR="00CA5093" w:rsidRPr="00805496" w:rsidRDefault="00CA5093" w:rsidP="00805496">
      <w:pPr>
        <w:pStyle w:val="IASBNormal"/>
      </w:pPr>
      <w:r w:rsidRPr="00805496">
        <w:t xml:space="preserve">Not-for-profit entities’ compliance with </w:t>
      </w:r>
      <w:r w:rsidRPr="00805496">
        <w:fldChar w:fldCharType="begin" w:fldLock="1"/>
      </w:r>
      <w:r w:rsidRPr="00805496">
        <w:instrText xml:space="preserve"> REF IntnlType \* charformat</w:instrText>
      </w:r>
      <w:r w:rsidR="00805496">
        <w:instrText xml:space="preserve"> \* MERGEFORMAT </w:instrText>
      </w:r>
      <w:r w:rsidRPr="00805496">
        <w:fldChar w:fldCharType="separate"/>
      </w:r>
      <w:r w:rsidRPr="00805496">
        <w:t>IAS</w:t>
      </w:r>
      <w:r w:rsidRPr="00805496">
        <w:fldChar w:fldCharType="end"/>
      </w:r>
      <w:r w:rsidRPr="00805496">
        <w:t xml:space="preserve"> </w:t>
      </w:r>
      <w:r w:rsidRPr="00805496">
        <w:fldChar w:fldCharType="begin" w:fldLock="1"/>
      </w:r>
      <w:r w:rsidRPr="00805496">
        <w:instrText xml:space="preserve"> REF IntnlNo \* charformat</w:instrText>
      </w:r>
      <w:r w:rsidR="00805496">
        <w:instrText xml:space="preserve"> \* MERGEFORMAT </w:instrText>
      </w:r>
      <w:r w:rsidRPr="00805496">
        <w:fldChar w:fldCharType="separate"/>
      </w:r>
      <w:r w:rsidRPr="00805496">
        <w:t>41</w:t>
      </w:r>
      <w:r w:rsidRPr="00805496">
        <w:fldChar w:fldCharType="end"/>
      </w:r>
      <w:r w:rsidRPr="00805496">
        <w:t xml:space="preserve"> will depend on whether any “Aus” paragraphs that specifically apply to not-for-profit entities provide additional guidance or contain applicable requirements that are inconsistent with </w:t>
      </w:r>
      <w:r w:rsidRPr="00805496">
        <w:fldChar w:fldCharType="begin" w:fldLock="1"/>
      </w:r>
      <w:r w:rsidRPr="00805496">
        <w:instrText xml:space="preserve"> REF IntnlType \* charformat</w:instrText>
      </w:r>
      <w:r w:rsidR="00805496">
        <w:instrText xml:space="preserve"> \* MERGEFORMAT </w:instrText>
      </w:r>
      <w:r w:rsidRPr="00805496">
        <w:fldChar w:fldCharType="separate"/>
      </w:r>
      <w:r w:rsidRPr="00805496">
        <w:t>IAS</w:t>
      </w:r>
      <w:r w:rsidRPr="00805496">
        <w:fldChar w:fldCharType="end"/>
      </w:r>
      <w:r w:rsidRPr="00805496">
        <w:t> </w:t>
      </w:r>
      <w:r w:rsidRPr="00805496">
        <w:fldChar w:fldCharType="begin" w:fldLock="1"/>
      </w:r>
      <w:r w:rsidRPr="00805496">
        <w:instrText xml:space="preserve"> REF IntnlNo \* charformat</w:instrText>
      </w:r>
      <w:r w:rsidR="00805496">
        <w:instrText xml:space="preserve"> \* MERGEFORMAT </w:instrText>
      </w:r>
      <w:r w:rsidRPr="00805496">
        <w:fldChar w:fldCharType="separate"/>
      </w:r>
      <w:r w:rsidRPr="00805496">
        <w:t>41</w:t>
      </w:r>
      <w:r w:rsidRPr="00805496">
        <w:fldChar w:fldCharType="end"/>
      </w:r>
      <w:r w:rsidRPr="00805496">
        <w:t>.</w:t>
      </w:r>
    </w:p>
    <w:p w:rsidR="00CA5093" w:rsidRPr="00805496" w:rsidRDefault="00CA5093" w:rsidP="00805496">
      <w:pPr>
        <w:pStyle w:val="ConvStandardTitle1"/>
      </w:pPr>
      <w:r w:rsidRPr="00805496">
        <w:t>Tier 2</w:t>
      </w:r>
    </w:p>
    <w:p w:rsidR="00CA5093" w:rsidRPr="00805496" w:rsidRDefault="00CA5093" w:rsidP="00805496">
      <w:pPr>
        <w:pStyle w:val="IASBNormal"/>
      </w:pPr>
      <w:r w:rsidRPr="00805496">
        <w:t>Entities preparing general purpose financial statements under Australian Accounting Standards – Reduced Disclosure Requirements (Tier 2) will not be in compliance with IFRSs.</w:t>
      </w:r>
    </w:p>
    <w:p w:rsidR="00CA5093" w:rsidRPr="00F83914" w:rsidRDefault="00CA5093" w:rsidP="00805496">
      <w:pPr>
        <w:pStyle w:val="IASBNormal"/>
      </w:pPr>
      <w:r w:rsidRPr="00805496">
        <w:t xml:space="preserve">AASB 1053 </w:t>
      </w:r>
      <w:r w:rsidRPr="00805496">
        <w:rPr>
          <w:i/>
        </w:rPr>
        <w:t>Application of Tiers of Australian Accounting Standards</w:t>
      </w:r>
      <w:r w:rsidRPr="00805496">
        <w:t xml:space="preserve"> explains the two tiers of reporting requirements.</w:t>
      </w:r>
    </w:p>
    <w:p w:rsidR="00CA5093" w:rsidRDefault="00CA5093" w:rsidP="00805496">
      <w:pPr>
        <w:pStyle w:val="AASBBase"/>
      </w:pPr>
    </w:p>
    <w:p w:rsidR="00CA5093" w:rsidRDefault="00CA5093" w:rsidP="00805496">
      <w:pPr>
        <w:pStyle w:val="AASBBase"/>
        <w:sectPr w:rsidR="00CA5093" w:rsidSect="00805496">
          <w:headerReference w:type="even" r:id="rId21"/>
          <w:footerReference w:type="even" r:id="rId22"/>
          <w:footerReference w:type="default" r:id="rId23"/>
          <w:pgSz w:w="11907" w:h="16839" w:code="9"/>
          <w:pgMar w:top="1440" w:right="1440" w:bottom="1440" w:left="1440" w:header="709" w:footer="709" w:gutter="0"/>
          <w:cols w:space="708"/>
          <w:docGrid w:linePitch="360"/>
        </w:sectPr>
      </w:pPr>
    </w:p>
    <w:p w:rsidR="00CA5093" w:rsidRDefault="00CA5093" w:rsidP="00805496">
      <w:pPr>
        <w:pStyle w:val="ConvSectionTitle"/>
      </w:pPr>
      <w:r>
        <w:lastRenderedPageBreak/>
        <w:t xml:space="preserve">Accounting Standard AASB </w:t>
      </w:r>
      <w:r>
        <w:fldChar w:fldCharType="begin" w:fldLock="1"/>
      </w:r>
      <w:r>
        <w:instrText xml:space="preserve"> REF DocNo \* charformat</w:instrText>
      </w:r>
      <w:r>
        <w:fldChar w:fldCharType="separate"/>
      </w:r>
      <w:r>
        <w:t>141</w:t>
      </w:r>
      <w:r>
        <w:fldChar w:fldCharType="end"/>
      </w:r>
    </w:p>
    <w:p w:rsidR="00CA5093" w:rsidRDefault="00CA5093" w:rsidP="00805496">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t>141</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CA5093">
        <w:rPr>
          <w:i/>
        </w:rPr>
        <w:t>Agriculture</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CA5093" w:rsidTr="001C52B9">
        <w:trPr>
          <w:tblHeader/>
        </w:trPr>
        <w:tc>
          <w:tcPr>
            <w:tcW w:w="4508" w:type="dxa"/>
          </w:tcPr>
          <w:p w:rsidR="00CA5093" w:rsidRDefault="00CA5093" w:rsidP="00805496">
            <w:pPr>
              <w:pStyle w:val="AASBBase"/>
            </w:pPr>
          </w:p>
        </w:tc>
        <w:tc>
          <w:tcPr>
            <w:tcW w:w="4509" w:type="dxa"/>
          </w:tcPr>
          <w:p w:rsidR="00CA5093" w:rsidRDefault="00CA5093" w:rsidP="00805496">
            <w:pPr>
              <w:pStyle w:val="AASBBase"/>
              <w:jc w:val="right"/>
            </w:pPr>
            <w:r>
              <w:t>Kris Peach</w:t>
            </w:r>
          </w:p>
        </w:tc>
      </w:tr>
      <w:tr w:rsidR="00CA5093" w:rsidTr="00805496">
        <w:tc>
          <w:tcPr>
            <w:tcW w:w="4508" w:type="dxa"/>
          </w:tcPr>
          <w:p w:rsidR="00CA5093" w:rsidRDefault="00CA5093" w:rsidP="001E38C2">
            <w:pPr>
              <w:pStyle w:val="AASBBase"/>
            </w:pPr>
            <w:r>
              <w:t xml:space="preserve">Dated </w:t>
            </w:r>
            <w:bookmarkStart w:id="14" w:name="MakeDate"/>
            <w:r w:rsidR="007B24FC">
              <w:t>14</w:t>
            </w:r>
            <w:r>
              <w:t xml:space="preserve"> </w:t>
            </w:r>
            <w:r w:rsidR="001E38C2">
              <w:t>August</w:t>
            </w:r>
            <w:r>
              <w:t xml:space="preserve"> 2015</w:t>
            </w:r>
            <w:bookmarkEnd w:id="14"/>
          </w:p>
        </w:tc>
        <w:tc>
          <w:tcPr>
            <w:tcW w:w="4509" w:type="dxa"/>
          </w:tcPr>
          <w:p w:rsidR="00CA5093" w:rsidRDefault="00CA5093" w:rsidP="00805496">
            <w:pPr>
              <w:pStyle w:val="AASBBase"/>
              <w:jc w:val="right"/>
            </w:pPr>
            <w:r>
              <w:t>Chair – AASB</w:t>
            </w:r>
          </w:p>
        </w:tc>
      </w:tr>
    </w:tbl>
    <w:p w:rsidR="00CA5093" w:rsidRDefault="00CA5093" w:rsidP="00805496">
      <w:pPr>
        <w:pStyle w:val="ConvStandardTitle1"/>
      </w:pPr>
      <w:r>
        <w:t xml:space="preserve">Accounting Standard AASB </w:t>
      </w:r>
      <w:r>
        <w:fldChar w:fldCharType="begin" w:fldLock="1"/>
      </w:r>
      <w:r>
        <w:instrText xml:space="preserve"> REF DocNo \* charformat</w:instrText>
      </w:r>
      <w:r>
        <w:fldChar w:fldCharType="separate"/>
      </w:r>
      <w:r>
        <w:t>141</w:t>
      </w:r>
      <w:r>
        <w:fldChar w:fldCharType="end"/>
      </w:r>
    </w:p>
    <w:p w:rsidR="00CA5093" w:rsidRPr="00844AB3" w:rsidRDefault="00CA5093" w:rsidP="00805496">
      <w:pPr>
        <w:pStyle w:val="ConvStandardTitle2"/>
      </w:pPr>
      <w:r>
        <w:fldChar w:fldCharType="begin" w:fldLock="1"/>
      </w:r>
      <w:r>
        <w:instrText xml:space="preserve"> REF DocTitle \* charformat</w:instrText>
      </w:r>
      <w:r>
        <w:fldChar w:fldCharType="separate"/>
      </w:r>
      <w:r>
        <w:t>Agriculture</w:t>
      </w:r>
      <w:r>
        <w:fldChar w:fldCharType="end"/>
      </w:r>
    </w:p>
    <w:p w:rsidR="003A0F32" w:rsidRDefault="003A0F32">
      <w:pPr>
        <w:pStyle w:val="IASBSectionTitle1NonInd"/>
      </w:pPr>
      <w:r>
        <w:t>Objective</w:t>
      </w:r>
    </w:p>
    <w:p w:rsidR="003A0F32" w:rsidRDefault="003A0F32">
      <w:pPr>
        <w:pStyle w:val="IASBNormalnpara"/>
      </w:pPr>
      <w:r>
        <w:tab/>
        <w:t>The objective of this Standard is to prescribe the accounting treatment and disclosures related to agricultural activity.</w:t>
      </w:r>
    </w:p>
    <w:p w:rsidR="003A0F32" w:rsidRDefault="003A0F32">
      <w:pPr>
        <w:pStyle w:val="IASBSectionTitle1NonInd"/>
      </w:pPr>
      <w:r>
        <w:t>Scope</w:t>
      </w:r>
    </w:p>
    <w:p w:rsidR="003A0F32" w:rsidRDefault="003A0F32">
      <w:pPr>
        <w:pStyle w:val="IASBNormalnpara"/>
        <w:rPr>
          <w:b/>
        </w:rPr>
      </w:pPr>
      <w:r>
        <w:rPr>
          <w:b/>
        </w:rPr>
        <w:t>1</w:t>
      </w:r>
      <w:r>
        <w:rPr>
          <w:b/>
        </w:rPr>
        <w:tab/>
        <w:t xml:space="preserve">This Standard shall be applied to account for the following when they relate to agricultural activity: </w:t>
      </w:r>
    </w:p>
    <w:p w:rsidR="003A0F32" w:rsidRDefault="003A0F32">
      <w:pPr>
        <w:pStyle w:val="IASBNormalnparaL1"/>
      </w:pPr>
      <w:r>
        <w:rPr>
          <w:b/>
        </w:rPr>
        <w:t>(a)</w:t>
      </w:r>
      <w:r>
        <w:tab/>
      </w:r>
      <w:proofErr w:type="gramStart"/>
      <w:r>
        <w:rPr>
          <w:b/>
        </w:rPr>
        <w:t>biological</w:t>
      </w:r>
      <w:proofErr w:type="gramEnd"/>
      <w:r>
        <w:rPr>
          <w:b/>
        </w:rPr>
        <w:t xml:space="preserve"> assets, except for bearer plants;</w:t>
      </w:r>
    </w:p>
    <w:p w:rsidR="003A0F32" w:rsidRDefault="003A0F32">
      <w:pPr>
        <w:pStyle w:val="IASBNormalnparaL1"/>
      </w:pPr>
      <w:r>
        <w:rPr>
          <w:b/>
        </w:rPr>
        <w:t>(b)</w:t>
      </w:r>
      <w:r>
        <w:tab/>
      </w:r>
      <w:proofErr w:type="gramStart"/>
      <w:r>
        <w:rPr>
          <w:b/>
        </w:rPr>
        <w:t>agricultural</w:t>
      </w:r>
      <w:proofErr w:type="gramEnd"/>
      <w:r>
        <w:rPr>
          <w:b/>
        </w:rPr>
        <w:t xml:space="preserve"> produce at the point of harvest;</w:t>
      </w:r>
      <w:r>
        <w:t xml:space="preserve"> </w:t>
      </w:r>
      <w:r>
        <w:rPr>
          <w:b/>
        </w:rPr>
        <w:t>and</w:t>
      </w:r>
    </w:p>
    <w:p w:rsidR="003A0F32" w:rsidRDefault="003A0F32">
      <w:pPr>
        <w:pStyle w:val="IASBNormalnparaL1"/>
      </w:pPr>
      <w:r>
        <w:rPr>
          <w:b/>
        </w:rPr>
        <w:t>(c)</w:t>
      </w:r>
      <w:r>
        <w:tab/>
      </w:r>
      <w:proofErr w:type="gramStart"/>
      <w:r>
        <w:rPr>
          <w:b/>
        </w:rPr>
        <w:t>government</w:t>
      </w:r>
      <w:proofErr w:type="gramEnd"/>
      <w:r>
        <w:rPr>
          <w:b/>
        </w:rPr>
        <w:t xml:space="preserve"> grants covered by paragraphs 34 and 35.</w:t>
      </w:r>
    </w:p>
    <w:p w:rsidR="003A0F32" w:rsidRDefault="003A0F32">
      <w:pPr>
        <w:pStyle w:val="IASBNormalnpara"/>
      </w:pPr>
      <w:r>
        <w:t>2</w:t>
      </w:r>
      <w:r>
        <w:tab/>
        <w:t xml:space="preserve">This Standard does not apply to: </w:t>
      </w:r>
    </w:p>
    <w:p w:rsidR="003A0F32" w:rsidRDefault="003A0F32">
      <w:pPr>
        <w:pStyle w:val="IASBNormalnparaL1"/>
      </w:pPr>
      <w:r>
        <w:t>(a)</w:t>
      </w:r>
      <w:r>
        <w:tab/>
      </w:r>
      <w:proofErr w:type="gramStart"/>
      <w:r>
        <w:t>land</w:t>
      </w:r>
      <w:proofErr w:type="gramEnd"/>
      <w:r>
        <w:t xml:space="preserve"> related to agricultural activity (see</w:t>
      </w:r>
      <w:r w:rsidR="00CA5093">
        <w:t xml:space="preserve"> AASB 116</w:t>
      </w:r>
      <w:r>
        <w:t xml:space="preserve"> </w:t>
      </w:r>
      <w:r>
        <w:rPr>
          <w:i/>
        </w:rPr>
        <w:t>Property, Plant and Equipment</w:t>
      </w:r>
      <w:r>
        <w:t xml:space="preserve"> and</w:t>
      </w:r>
      <w:r w:rsidR="00CA5093">
        <w:t xml:space="preserve"> AASB 140</w:t>
      </w:r>
      <w:r>
        <w:t xml:space="preserve"> </w:t>
      </w:r>
      <w:r>
        <w:rPr>
          <w:i/>
        </w:rPr>
        <w:t>Investment Property</w:t>
      </w:r>
      <w:r>
        <w:t>).</w:t>
      </w:r>
    </w:p>
    <w:p w:rsidR="003A0F32" w:rsidRDefault="003A0F32">
      <w:pPr>
        <w:pStyle w:val="IASBNormalnparaL1"/>
      </w:pPr>
      <w:r>
        <w:t>(b)</w:t>
      </w:r>
      <w:r>
        <w:tab/>
      </w:r>
      <w:proofErr w:type="gramStart"/>
      <w:r>
        <w:t>bearer</w:t>
      </w:r>
      <w:proofErr w:type="gramEnd"/>
      <w:r>
        <w:t xml:space="preserve"> plants related to agricultural activity (see</w:t>
      </w:r>
      <w:r w:rsidR="00CA5093">
        <w:t xml:space="preserve"> AASB 116</w:t>
      </w:r>
      <w:r>
        <w:t>). However, this Standard applies to the produce on those bearer plants.</w:t>
      </w:r>
    </w:p>
    <w:p w:rsidR="003A0F32" w:rsidRDefault="003A0F32">
      <w:pPr>
        <w:pStyle w:val="IASBNormalnparaL1"/>
      </w:pPr>
      <w:r>
        <w:t>(c)</w:t>
      </w:r>
      <w:r>
        <w:tab/>
      </w:r>
      <w:proofErr w:type="gramStart"/>
      <w:r>
        <w:t>government</w:t>
      </w:r>
      <w:proofErr w:type="gramEnd"/>
      <w:r>
        <w:t xml:space="preserve"> grants related to bearer plants (see</w:t>
      </w:r>
      <w:r w:rsidR="00CA5093">
        <w:t xml:space="preserve"> AASB 120</w:t>
      </w:r>
      <w:r>
        <w:t xml:space="preserve"> </w:t>
      </w:r>
      <w:r>
        <w:rPr>
          <w:i/>
        </w:rPr>
        <w:t>Accounting for Government Grants and Disclosure of Government Assistance</w:t>
      </w:r>
      <w:r>
        <w:t>).</w:t>
      </w:r>
    </w:p>
    <w:p w:rsidR="003A0F32" w:rsidRDefault="003A0F32">
      <w:pPr>
        <w:pStyle w:val="IASBNormalnparaL1"/>
      </w:pPr>
      <w:r>
        <w:t>(d)</w:t>
      </w:r>
      <w:r>
        <w:tab/>
      </w:r>
      <w:proofErr w:type="gramStart"/>
      <w:r>
        <w:t>intangible</w:t>
      </w:r>
      <w:proofErr w:type="gramEnd"/>
      <w:r>
        <w:t xml:space="preserve"> assets related to agricultural activity (see</w:t>
      </w:r>
      <w:r w:rsidR="00CA5093">
        <w:t xml:space="preserve"> AASB 138</w:t>
      </w:r>
      <w:r>
        <w:t xml:space="preserve"> </w:t>
      </w:r>
      <w:r>
        <w:rPr>
          <w:i/>
        </w:rPr>
        <w:t>Intangible Assets</w:t>
      </w:r>
      <w:r>
        <w:t>).</w:t>
      </w:r>
    </w:p>
    <w:p w:rsidR="003A0F32" w:rsidRDefault="003A0F32">
      <w:pPr>
        <w:pStyle w:val="IASBNormalnpara"/>
      </w:pPr>
      <w:r>
        <w:t>3</w:t>
      </w:r>
      <w:r>
        <w:tab/>
        <w:t>This Standard is applied to agricultural produce, which is the harvested produce of the entity’s biological assets, at the point of harvest. Thereafter,</w:t>
      </w:r>
      <w:r w:rsidR="00CA5093">
        <w:t xml:space="preserve"> AASB 102</w:t>
      </w:r>
      <w:r>
        <w:t xml:space="preserve"> </w:t>
      </w:r>
      <w:r>
        <w:rPr>
          <w:i/>
        </w:rPr>
        <w:t>Inventories</w:t>
      </w:r>
      <w:r>
        <w:t xml:space="preserve"> or another applicable Standard is applied. Accordingly, this Standard does not deal with the processing of agricultural produce after harvest; for example, the processing of grapes into wine by a vintner who has grown the grapes. While such processing may be a logical and natural extension of agricultural activity, and the events taking place may bear some similarity to biological transformation, such processing is not included within the definition of agricultural activity in this Standard. </w:t>
      </w:r>
    </w:p>
    <w:p w:rsidR="003A0F32" w:rsidRDefault="003A0F32">
      <w:pPr>
        <w:pStyle w:val="IASBNormalnpara"/>
      </w:pPr>
      <w:r>
        <w:t>4</w:t>
      </w:r>
      <w:r>
        <w:tab/>
        <w:t xml:space="preserve">The table below provides examples of biological assets, agricultural produce, and products that are the result of processing after harvest: </w:t>
      </w:r>
    </w:p>
    <w:p w:rsidR="003A0F32" w:rsidRDefault="003A0F32">
      <w:pPr>
        <w:pStyle w:val="IASBNormalnpara"/>
      </w:pPr>
    </w:p>
    <w:tbl>
      <w:tblPr>
        <w:tblW w:w="0" w:type="auto"/>
        <w:tblInd w:w="964" w:type="dxa"/>
        <w:tblLayout w:type="fixed"/>
        <w:tblLook w:val="0000" w:firstRow="0" w:lastRow="0" w:firstColumn="0" w:lastColumn="0" w:noHBand="0" w:noVBand="0"/>
        <w:tblCaption w:val="AASB 141 Table 1"/>
      </w:tblPr>
      <w:tblGrid>
        <w:gridCol w:w="2147"/>
        <w:gridCol w:w="3003"/>
        <w:gridCol w:w="3094"/>
      </w:tblGrid>
      <w:tr w:rsidR="003A0F32">
        <w:trPr>
          <w:cantSplit/>
          <w:tblHeader/>
        </w:trPr>
        <w:tc>
          <w:tcPr>
            <w:tcW w:w="2147" w:type="dxa"/>
            <w:tcBorders>
              <w:top w:val="single" w:sz="4" w:space="0" w:color="auto"/>
              <w:left w:val="single" w:sz="4" w:space="0" w:color="auto"/>
              <w:bottom w:val="single" w:sz="4" w:space="0" w:color="auto"/>
              <w:right w:val="single" w:sz="4" w:space="0" w:color="auto"/>
            </w:tcBorders>
          </w:tcPr>
          <w:p w:rsidR="003A0F32" w:rsidRDefault="003A0F32">
            <w:pPr>
              <w:pStyle w:val="IASBTableHeaderArial"/>
            </w:pPr>
            <w:r>
              <w:rPr>
                <w:b/>
              </w:rPr>
              <w:t>Biological assets</w:t>
            </w:r>
          </w:p>
        </w:tc>
        <w:tc>
          <w:tcPr>
            <w:tcW w:w="3003" w:type="dxa"/>
            <w:tcBorders>
              <w:top w:val="single" w:sz="4" w:space="0" w:color="auto"/>
              <w:left w:val="nil"/>
              <w:bottom w:val="single" w:sz="4" w:space="0" w:color="auto"/>
              <w:right w:val="single" w:sz="4" w:space="0" w:color="auto"/>
            </w:tcBorders>
          </w:tcPr>
          <w:p w:rsidR="003A0F32" w:rsidRDefault="003A0F32">
            <w:pPr>
              <w:pStyle w:val="IASBTableHeaderArial"/>
            </w:pPr>
            <w:r>
              <w:rPr>
                <w:b/>
              </w:rPr>
              <w:t>Agricultural produce</w:t>
            </w:r>
          </w:p>
        </w:tc>
        <w:tc>
          <w:tcPr>
            <w:tcW w:w="3094" w:type="dxa"/>
            <w:tcBorders>
              <w:top w:val="single" w:sz="4" w:space="0" w:color="auto"/>
              <w:left w:val="nil"/>
              <w:bottom w:val="single" w:sz="4" w:space="0" w:color="auto"/>
              <w:right w:val="single" w:sz="4" w:space="0" w:color="auto"/>
            </w:tcBorders>
          </w:tcPr>
          <w:p w:rsidR="003A0F32" w:rsidRDefault="003A0F32">
            <w:pPr>
              <w:pStyle w:val="IASBTableHeaderArial"/>
            </w:pPr>
            <w:r>
              <w:rPr>
                <w:b/>
              </w:rPr>
              <w:t>Products that are the result of processing after harvest</w:t>
            </w:r>
          </w:p>
        </w:tc>
      </w:tr>
      <w:tr w:rsidR="003A0F32">
        <w:trPr>
          <w:cantSplit/>
        </w:trPr>
        <w:tc>
          <w:tcPr>
            <w:tcW w:w="2147" w:type="dxa"/>
            <w:tcBorders>
              <w:top w:val="nil"/>
              <w:left w:val="single" w:sz="4" w:space="0" w:color="auto"/>
              <w:bottom w:val="single" w:sz="4" w:space="0" w:color="auto"/>
              <w:right w:val="single" w:sz="4" w:space="0" w:color="auto"/>
            </w:tcBorders>
          </w:tcPr>
          <w:p w:rsidR="003A0F32" w:rsidRDefault="003A0F32">
            <w:pPr>
              <w:pStyle w:val="IASBTableArial"/>
            </w:pPr>
            <w:r>
              <w:t>Sheep</w:t>
            </w:r>
          </w:p>
        </w:tc>
        <w:tc>
          <w:tcPr>
            <w:tcW w:w="3003" w:type="dxa"/>
            <w:tcBorders>
              <w:top w:val="nil"/>
              <w:left w:val="nil"/>
              <w:bottom w:val="single" w:sz="4" w:space="0" w:color="auto"/>
              <w:right w:val="single" w:sz="4" w:space="0" w:color="auto"/>
            </w:tcBorders>
          </w:tcPr>
          <w:p w:rsidR="003A0F32" w:rsidRDefault="003A0F32">
            <w:pPr>
              <w:pStyle w:val="IASBTableArial"/>
            </w:pPr>
            <w:r>
              <w:t>Wool</w:t>
            </w:r>
          </w:p>
        </w:tc>
        <w:tc>
          <w:tcPr>
            <w:tcW w:w="3094" w:type="dxa"/>
            <w:tcBorders>
              <w:top w:val="nil"/>
              <w:left w:val="nil"/>
              <w:bottom w:val="single" w:sz="4" w:space="0" w:color="auto"/>
              <w:right w:val="single" w:sz="4" w:space="0" w:color="auto"/>
            </w:tcBorders>
          </w:tcPr>
          <w:p w:rsidR="003A0F32" w:rsidRDefault="003A0F32">
            <w:pPr>
              <w:pStyle w:val="IASBTableArial"/>
            </w:pPr>
            <w:r>
              <w:t>Yarn, carpet</w:t>
            </w:r>
          </w:p>
        </w:tc>
      </w:tr>
      <w:tr w:rsidR="003A0F32">
        <w:trPr>
          <w:cantSplit/>
        </w:trPr>
        <w:tc>
          <w:tcPr>
            <w:tcW w:w="2147" w:type="dxa"/>
            <w:tcBorders>
              <w:top w:val="nil"/>
              <w:left w:val="single" w:sz="4" w:space="0" w:color="auto"/>
              <w:bottom w:val="single" w:sz="4" w:space="0" w:color="auto"/>
              <w:right w:val="single" w:sz="4" w:space="0" w:color="auto"/>
            </w:tcBorders>
          </w:tcPr>
          <w:p w:rsidR="003A0F32" w:rsidRDefault="003A0F32">
            <w:pPr>
              <w:pStyle w:val="IASBTableArial"/>
            </w:pPr>
            <w:r>
              <w:t>Trees in a timber plantation</w:t>
            </w:r>
          </w:p>
        </w:tc>
        <w:tc>
          <w:tcPr>
            <w:tcW w:w="3003" w:type="dxa"/>
            <w:tcBorders>
              <w:top w:val="nil"/>
              <w:left w:val="nil"/>
              <w:bottom w:val="single" w:sz="4" w:space="0" w:color="auto"/>
              <w:right w:val="single" w:sz="4" w:space="0" w:color="auto"/>
            </w:tcBorders>
          </w:tcPr>
          <w:p w:rsidR="003A0F32" w:rsidRDefault="003A0F32">
            <w:pPr>
              <w:pStyle w:val="IASBTableArial"/>
            </w:pPr>
            <w:r>
              <w:t>Felled trees</w:t>
            </w:r>
          </w:p>
        </w:tc>
        <w:tc>
          <w:tcPr>
            <w:tcW w:w="3094" w:type="dxa"/>
            <w:tcBorders>
              <w:top w:val="nil"/>
              <w:left w:val="nil"/>
              <w:bottom w:val="single" w:sz="4" w:space="0" w:color="auto"/>
              <w:right w:val="single" w:sz="4" w:space="0" w:color="auto"/>
            </w:tcBorders>
          </w:tcPr>
          <w:p w:rsidR="003A0F32" w:rsidRDefault="003A0F32">
            <w:pPr>
              <w:pStyle w:val="IASBTableArial"/>
            </w:pPr>
            <w:r>
              <w:t>Logs, lumber</w:t>
            </w:r>
          </w:p>
        </w:tc>
      </w:tr>
      <w:tr w:rsidR="003A0F32">
        <w:trPr>
          <w:cantSplit/>
        </w:trPr>
        <w:tc>
          <w:tcPr>
            <w:tcW w:w="2147" w:type="dxa"/>
            <w:tcBorders>
              <w:top w:val="nil"/>
              <w:left w:val="single" w:sz="4" w:space="0" w:color="auto"/>
              <w:bottom w:val="single" w:sz="4" w:space="0" w:color="auto"/>
              <w:right w:val="single" w:sz="4" w:space="0" w:color="auto"/>
            </w:tcBorders>
          </w:tcPr>
          <w:p w:rsidR="003A0F32" w:rsidRDefault="003A0F32">
            <w:pPr>
              <w:pStyle w:val="IASBTableArial"/>
            </w:pPr>
            <w:r>
              <w:t>Dairy cattle</w:t>
            </w:r>
          </w:p>
        </w:tc>
        <w:tc>
          <w:tcPr>
            <w:tcW w:w="3003" w:type="dxa"/>
            <w:tcBorders>
              <w:top w:val="nil"/>
              <w:left w:val="nil"/>
              <w:bottom w:val="single" w:sz="4" w:space="0" w:color="auto"/>
              <w:right w:val="single" w:sz="4" w:space="0" w:color="auto"/>
            </w:tcBorders>
          </w:tcPr>
          <w:p w:rsidR="003A0F32" w:rsidRDefault="003A0F32">
            <w:pPr>
              <w:pStyle w:val="IASBTableArial"/>
            </w:pPr>
            <w:r>
              <w:t>Milk</w:t>
            </w:r>
          </w:p>
        </w:tc>
        <w:tc>
          <w:tcPr>
            <w:tcW w:w="3094" w:type="dxa"/>
            <w:tcBorders>
              <w:top w:val="nil"/>
              <w:left w:val="nil"/>
              <w:bottom w:val="single" w:sz="4" w:space="0" w:color="auto"/>
              <w:right w:val="single" w:sz="4" w:space="0" w:color="auto"/>
            </w:tcBorders>
          </w:tcPr>
          <w:p w:rsidR="003A0F32" w:rsidRDefault="003A0F32">
            <w:pPr>
              <w:pStyle w:val="IASBTableArial"/>
            </w:pPr>
            <w:r>
              <w:t>Cheese</w:t>
            </w:r>
          </w:p>
        </w:tc>
      </w:tr>
      <w:tr w:rsidR="003A0F32">
        <w:trPr>
          <w:cantSplit/>
        </w:trPr>
        <w:tc>
          <w:tcPr>
            <w:tcW w:w="2147" w:type="dxa"/>
            <w:tcBorders>
              <w:top w:val="nil"/>
              <w:left w:val="single" w:sz="4" w:space="0" w:color="auto"/>
              <w:bottom w:val="single" w:sz="4" w:space="0" w:color="auto"/>
              <w:right w:val="single" w:sz="4" w:space="0" w:color="auto"/>
            </w:tcBorders>
          </w:tcPr>
          <w:p w:rsidR="003A0F32" w:rsidRDefault="003A0F32">
            <w:pPr>
              <w:pStyle w:val="IASBTableArial"/>
            </w:pPr>
            <w:r>
              <w:t>Pigs</w:t>
            </w:r>
          </w:p>
        </w:tc>
        <w:tc>
          <w:tcPr>
            <w:tcW w:w="3003" w:type="dxa"/>
            <w:tcBorders>
              <w:top w:val="nil"/>
              <w:left w:val="nil"/>
              <w:bottom w:val="single" w:sz="4" w:space="0" w:color="auto"/>
              <w:right w:val="single" w:sz="4" w:space="0" w:color="auto"/>
            </w:tcBorders>
          </w:tcPr>
          <w:p w:rsidR="003A0F32" w:rsidRDefault="003A0F32">
            <w:pPr>
              <w:pStyle w:val="IASBTableArial"/>
            </w:pPr>
            <w:r>
              <w:t>Carcass</w:t>
            </w:r>
          </w:p>
        </w:tc>
        <w:tc>
          <w:tcPr>
            <w:tcW w:w="3094" w:type="dxa"/>
            <w:tcBorders>
              <w:top w:val="nil"/>
              <w:left w:val="nil"/>
              <w:bottom w:val="single" w:sz="4" w:space="0" w:color="auto"/>
              <w:right w:val="single" w:sz="4" w:space="0" w:color="auto"/>
            </w:tcBorders>
          </w:tcPr>
          <w:p w:rsidR="003A0F32" w:rsidRDefault="003A0F32">
            <w:pPr>
              <w:pStyle w:val="IASBTableArial"/>
            </w:pPr>
            <w:r>
              <w:t>Sausages, cured hams</w:t>
            </w:r>
          </w:p>
        </w:tc>
      </w:tr>
      <w:tr w:rsidR="003A0F32">
        <w:trPr>
          <w:cantSplit/>
        </w:trPr>
        <w:tc>
          <w:tcPr>
            <w:tcW w:w="2147" w:type="dxa"/>
            <w:tcBorders>
              <w:top w:val="nil"/>
              <w:left w:val="single" w:sz="4" w:space="0" w:color="auto"/>
              <w:bottom w:val="single" w:sz="4" w:space="0" w:color="auto"/>
              <w:right w:val="single" w:sz="4" w:space="0" w:color="auto"/>
            </w:tcBorders>
          </w:tcPr>
          <w:p w:rsidR="003A0F32" w:rsidRDefault="003A0F32">
            <w:pPr>
              <w:pStyle w:val="IASBTableArial"/>
            </w:pPr>
            <w:r>
              <w:t>Cotton plants</w:t>
            </w:r>
          </w:p>
        </w:tc>
        <w:tc>
          <w:tcPr>
            <w:tcW w:w="3003" w:type="dxa"/>
            <w:tcBorders>
              <w:top w:val="nil"/>
              <w:left w:val="nil"/>
              <w:bottom w:val="single" w:sz="4" w:space="0" w:color="auto"/>
              <w:right w:val="single" w:sz="4" w:space="0" w:color="auto"/>
            </w:tcBorders>
          </w:tcPr>
          <w:p w:rsidR="003A0F32" w:rsidRDefault="003A0F32">
            <w:pPr>
              <w:pStyle w:val="IASBTableArial"/>
            </w:pPr>
            <w:r>
              <w:t>Harvested cotton</w:t>
            </w:r>
          </w:p>
        </w:tc>
        <w:tc>
          <w:tcPr>
            <w:tcW w:w="3094" w:type="dxa"/>
            <w:tcBorders>
              <w:top w:val="nil"/>
              <w:left w:val="nil"/>
              <w:bottom w:val="single" w:sz="4" w:space="0" w:color="auto"/>
              <w:right w:val="single" w:sz="4" w:space="0" w:color="auto"/>
            </w:tcBorders>
          </w:tcPr>
          <w:p w:rsidR="003A0F32" w:rsidRDefault="003A0F32">
            <w:pPr>
              <w:pStyle w:val="IASBTableArial"/>
            </w:pPr>
            <w:r>
              <w:t>Thread, clothing</w:t>
            </w:r>
          </w:p>
        </w:tc>
      </w:tr>
      <w:tr w:rsidR="003A0F32">
        <w:trPr>
          <w:cantSplit/>
        </w:trPr>
        <w:tc>
          <w:tcPr>
            <w:tcW w:w="2147" w:type="dxa"/>
            <w:tcBorders>
              <w:top w:val="nil"/>
              <w:left w:val="single" w:sz="4" w:space="0" w:color="auto"/>
              <w:bottom w:val="single" w:sz="4" w:space="0" w:color="auto"/>
              <w:right w:val="single" w:sz="4" w:space="0" w:color="auto"/>
            </w:tcBorders>
          </w:tcPr>
          <w:p w:rsidR="003A0F32" w:rsidRDefault="003A0F32">
            <w:pPr>
              <w:pStyle w:val="IASBTableArial"/>
            </w:pPr>
            <w:r>
              <w:lastRenderedPageBreak/>
              <w:t>Sugarcane</w:t>
            </w:r>
          </w:p>
        </w:tc>
        <w:tc>
          <w:tcPr>
            <w:tcW w:w="3003" w:type="dxa"/>
            <w:tcBorders>
              <w:top w:val="nil"/>
              <w:left w:val="nil"/>
              <w:bottom w:val="single" w:sz="4" w:space="0" w:color="auto"/>
              <w:right w:val="single" w:sz="4" w:space="0" w:color="auto"/>
            </w:tcBorders>
          </w:tcPr>
          <w:p w:rsidR="003A0F32" w:rsidRDefault="003A0F32">
            <w:pPr>
              <w:pStyle w:val="IASBTableArial"/>
            </w:pPr>
            <w:r>
              <w:t>Harvested cane</w:t>
            </w:r>
          </w:p>
        </w:tc>
        <w:tc>
          <w:tcPr>
            <w:tcW w:w="3094" w:type="dxa"/>
            <w:tcBorders>
              <w:top w:val="nil"/>
              <w:left w:val="nil"/>
              <w:bottom w:val="single" w:sz="4" w:space="0" w:color="auto"/>
              <w:right w:val="single" w:sz="4" w:space="0" w:color="auto"/>
            </w:tcBorders>
          </w:tcPr>
          <w:p w:rsidR="003A0F32" w:rsidRDefault="003A0F32">
            <w:pPr>
              <w:pStyle w:val="IASBTableArial"/>
            </w:pPr>
            <w:r>
              <w:t>Sugar</w:t>
            </w:r>
          </w:p>
        </w:tc>
      </w:tr>
      <w:tr w:rsidR="003A0F32">
        <w:trPr>
          <w:cantSplit/>
        </w:trPr>
        <w:tc>
          <w:tcPr>
            <w:tcW w:w="2147" w:type="dxa"/>
            <w:tcBorders>
              <w:top w:val="nil"/>
              <w:left w:val="single" w:sz="4" w:space="0" w:color="auto"/>
              <w:bottom w:val="single" w:sz="4" w:space="0" w:color="auto"/>
              <w:right w:val="single" w:sz="4" w:space="0" w:color="auto"/>
            </w:tcBorders>
          </w:tcPr>
          <w:p w:rsidR="003A0F32" w:rsidRDefault="003A0F32">
            <w:pPr>
              <w:pStyle w:val="IASBTableArial"/>
            </w:pPr>
            <w:r>
              <w:t>Tobacco plants</w:t>
            </w:r>
          </w:p>
        </w:tc>
        <w:tc>
          <w:tcPr>
            <w:tcW w:w="3003" w:type="dxa"/>
            <w:tcBorders>
              <w:top w:val="nil"/>
              <w:left w:val="nil"/>
              <w:bottom w:val="single" w:sz="4" w:space="0" w:color="auto"/>
              <w:right w:val="single" w:sz="4" w:space="0" w:color="auto"/>
            </w:tcBorders>
          </w:tcPr>
          <w:p w:rsidR="003A0F32" w:rsidRDefault="003A0F32">
            <w:pPr>
              <w:pStyle w:val="IASBTableArial"/>
            </w:pPr>
            <w:r>
              <w:t>Picked leaves</w:t>
            </w:r>
          </w:p>
        </w:tc>
        <w:tc>
          <w:tcPr>
            <w:tcW w:w="3094" w:type="dxa"/>
            <w:tcBorders>
              <w:top w:val="nil"/>
              <w:left w:val="nil"/>
              <w:bottom w:val="single" w:sz="4" w:space="0" w:color="auto"/>
              <w:right w:val="single" w:sz="4" w:space="0" w:color="auto"/>
            </w:tcBorders>
          </w:tcPr>
          <w:p w:rsidR="003A0F32" w:rsidRDefault="003A0F32">
            <w:pPr>
              <w:pStyle w:val="IASBTableArial"/>
            </w:pPr>
            <w:r>
              <w:t>Cured tobacco</w:t>
            </w:r>
          </w:p>
        </w:tc>
      </w:tr>
      <w:tr w:rsidR="003A0F32">
        <w:trPr>
          <w:cantSplit/>
        </w:trPr>
        <w:tc>
          <w:tcPr>
            <w:tcW w:w="2147" w:type="dxa"/>
            <w:tcBorders>
              <w:top w:val="nil"/>
              <w:left w:val="single" w:sz="4" w:space="0" w:color="auto"/>
              <w:bottom w:val="single" w:sz="4" w:space="0" w:color="auto"/>
              <w:right w:val="single" w:sz="4" w:space="0" w:color="auto"/>
            </w:tcBorders>
          </w:tcPr>
          <w:p w:rsidR="003A0F32" w:rsidRDefault="003A0F32">
            <w:pPr>
              <w:pStyle w:val="IASBTableArial"/>
            </w:pPr>
            <w:r>
              <w:t>Tea bushes</w:t>
            </w:r>
          </w:p>
        </w:tc>
        <w:tc>
          <w:tcPr>
            <w:tcW w:w="3003" w:type="dxa"/>
            <w:tcBorders>
              <w:top w:val="nil"/>
              <w:left w:val="nil"/>
              <w:bottom w:val="single" w:sz="4" w:space="0" w:color="auto"/>
              <w:right w:val="single" w:sz="4" w:space="0" w:color="auto"/>
            </w:tcBorders>
          </w:tcPr>
          <w:p w:rsidR="003A0F32" w:rsidRDefault="003A0F32">
            <w:pPr>
              <w:pStyle w:val="IASBTableArial"/>
            </w:pPr>
            <w:r>
              <w:t>Picked leaves</w:t>
            </w:r>
          </w:p>
        </w:tc>
        <w:tc>
          <w:tcPr>
            <w:tcW w:w="3094" w:type="dxa"/>
            <w:tcBorders>
              <w:top w:val="nil"/>
              <w:left w:val="nil"/>
              <w:bottom w:val="single" w:sz="4" w:space="0" w:color="auto"/>
              <w:right w:val="single" w:sz="4" w:space="0" w:color="auto"/>
            </w:tcBorders>
          </w:tcPr>
          <w:p w:rsidR="003A0F32" w:rsidRDefault="003A0F32">
            <w:pPr>
              <w:pStyle w:val="IASBTableArial"/>
            </w:pPr>
            <w:r>
              <w:t>Tea</w:t>
            </w:r>
          </w:p>
        </w:tc>
      </w:tr>
      <w:tr w:rsidR="003A0F32">
        <w:trPr>
          <w:cantSplit/>
        </w:trPr>
        <w:tc>
          <w:tcPr>
            <w:tcW w:w="2147" w:type="dxa"/>
            <w:tcBorders>
              <w:top w:val="nil"/>
              <w:left w:val="single" w:sz="4" w:space="0" w:color="auto"/>
              <w:bottom w:val="single" w:sz="4" w:space="0" w:color="auto"/>
              <w:right w:val="single" w:sz="4" w:space="0" w:color="auto"/>
            </w:tcBorders>
          </w:tcPr>
          <w:p w:rsidR="003A0F32" w:rsidRDefault="003A0F32">
            <w:pPr>
              <w:pStyle w:val="IASBTableArial"/>
            </w:pPr>
            <w:r>
              <w:t>Grape vines</w:t>
            </w:r>
          </w:p>
        </w:tc>
        <w:tc>
          <w:tcPr>
            <w:tcW w:w="3003" w:type="dxa"/>
            <w:tcBorders>
              <w:top w:val="nil"/>
              <w:left w:val="nil"/>
              <w:bottom w:val="single" w:sz="4" w:space="0" w:color="auto"/>
              <w:right w:val="single" w:sz="4" w:space="0" w:color="auto"/>
            </w:tcBorders>
          </w:tcPr>
          <w:p w:rsidR="003A0F32" w:rsidRDefault="003A0F32">
            <w:pPr>
              <w:pStyle w:val="IASBTableArial"/>
            </w:pPr>
            <w:r>
              <w:t>Picked grapes</w:t>
            </w:r>
          </w:p>
        </w:tc>
        <w:tc>
          <w:tcPr>
            <w:tcW w:w="3094" w:type="dxa"/>
            <w:tcBorders>
              <w:top w:val="nil"/>
              <w:left w:val="nil"/>
              <w:bottom w:val="single" w:sz="4" w:space="0" w:color="auto"/>
              <w:right w:val="single" w:sz="4" w:space="0" w:color="auto"/>
            </w:tcBorders>
          </w:tcPr>
          <w:p w:rsidR="003A0F32" w:rsidRDefault="003A0F32">
            <w:pPr>
              <w:pStyle w:val="IASBTableArial"/>
            </w:pPr>
            <w:r>
              <w:t>Wine</w:t>
            </w:r>
          </w:p>
        </w:tc>
      </w:tr>
      <w:tr w:rsidR="003A0F32">
        <w:trPr>
          <w:cantSplit/>
        </w:trPr>
        <w:tc>
          <w:tcPr>
            <w:tcW w:w="2147" w:type="dxa"/>
            <w:tcBorders>
              <w:top w:val="nil"/>
              <w:left w:val="single" w:sz="4" w:space="0" w:color="auto"/>
              <w:bottom w:val="single" w:sz="4" w:space="0" w:color="auto"/>
              <w:right w:val="single" w:sz="4" w:space="0" w:color="auto"/>
            </w:tcBorders>
          </w:tcPr>
          <w:p w:rsidR="003A0F32" w:rsidRDefault="003A0F32">
            <w:pPr>
              <w:pStyle w:val="IASBTableArial"/>
            </w:pPr>
            <w:r>
              <w:t>Fruit trees</w:t>
            </w:r>
          </w:p>
        </w:tc>
        <w:tc>
          <w:tcPr>
            <w:tcW w:w="3003" w:type="dxa"/>
            <w:tcBorders>
              <w:top w:val="nil"/>
              <w:left w:val="nil"/>
              <w:bottom w:val="single" w:sz="4" w:space="0" w:color="auto"/>
              <w:right w:val="single" w:sz="4" w:space="0" w:color="auto"/>
            </w:tcBorders>
          </w:tcPr>
          <w:p w:rsidR="003A0F32" w:rsidRDefault="003A0F32">
            <w:pPr>
              <w:pStyle w:val="IASBTableArial"/>
            </w:pPr>
            <w:r>
              <w:t>Picked fruit</w:t>
            </w:r>
          </w:p>
        </w:tc>
        <w:tc>
          <w:tcPr>
            <w:tcW w:w="3094" w:type="dxa"/>
            <w:tcBorders>
              <w:top w:val="nil"/>
              <w:left w:val="nil"/>
              <w:bottom w:val="single" w:sz="4" w:space="0" w:color="auto"/>
              <w:right w:val="single" w:sz="4" w:space="0" w:color="auto"/>
            </w:tcBorders>
          </w:tcPr>
          <w:p w:rsidR="003A0F32" w:rsidRDefault="003A0F32">
            <w:pPr>
              <w:pStyle w:val="IASBTableArial"/>
            </w:pPr>
            <w:r>
              <w:t>Processed fruit</w:t>
            </w:r>
          </w:p>
        </w:tc>
      </w:tr>
      <w:tr w:rsidR="003A0F32">
        <w:trPr>
          <w:cantSplit/>
        </w:trPr>
        <w:tc>
          <w:tcPr>
            <w:tcW w:w="2147" w:type="dxa"/>
            <w:tcBorders>
              <w:top w:val="nil"/>
              <w:left w:val="single" w:sz="4" w:space="0" w:color="auto"/>
              <w:bottom w:val="single" w:sz="4" w:space="0" w:color="auto"/>
              <w:right w:val="single" w:sz="4" w:space="0" w:color="auto"/>
            </w:tcBorders>
          </w:tcPr>
          <w:p w:rsidR="003A0F32" w:rsidRDefault="003A0F32">
            <w:pPr>
              <w:pStyle w:val="IASBTableArial"/>
            </w:pPr>
            <w:r>
              <w:t>Oil palms</w:t>
            </w:r>
          </w:p>
        </w:tc>
        <w:tc>
          <w:tcPr>
            <w:tcW w:w="3003" w:type="dxa"/>
            <w:tcBorders>
              <w:top w:val="nil"/>
              <w:left w:val="nil"/>
              <w:bottom w:val="single" w:sz="4" w:space="0" w:color="auto"/>
              <w:right w:val="single" w:sz="4" w:space="0" w:color="auto"/>
            </w:tcBorders>
          </w:tcPr>
          <w:p w:rsidR="003A0F32" w:rsidRDefault="003A0F32">
            <w:pPr>
              <w:pStyle w:val="IASBTableArial"/>
            </w:pPr>
            <w:r>
              <w:t>Picked fruit</w:t>
            </w:r>
          </w:p>
        </w:tc>
        <w:tc>
          <w:tcPr>
            <w:tcW w:w="3094" w:type="dxa"/>
            <w:tcBorders>
              <w:top w:val="nil"/>
              <w:left w:val="nil"/>
              <w:bottom w:val="single" w:sz="4" w:space="0" w:color="auto"/>
              <w:right w:val="single" w:sz="4" w:space="0" w:color="auto"/>
            </w:tcBorders>
          </w:tcPr>
          <w:p w:rsidR="003A0F32" w:rsidRDefault="003A0F32">
            <w:pPr>
              <w:pStyle w:val="IASBTableArial"/>
            </w:pPr>
            <w:r>
              <w:t>Palm oil</w:t>
            </w:r>
          </w:p>
        </w:tc>
      </w:tr>
      <w:tr w:rsidR="003A0F32">
        <w:trPr>
          <w:cantSplit/>
        </w:trPr>
        <w:tc>
          <w:tcPr>
            <w:tcW w:w="2147" w:type="dxa"/>
            <w:tcBorders>
              <w:top w:val="nil"/>
              <w:left w:val="single" w:sz="4" w:space="0" w:color="auto"/>
              <w:bottom w:val="single" w:sz="4" w:space="0" w:color="auto"/>
              <w:right w:val="single" w:sz="4" w:space="0" w:color="auto"/>
            </w:tcBorders>
          </w:tcPr>
          <w:p w:rsidR="003A0F32" w:rsidRDefault="003A0F32">
            <w:pPr>
              <w:pStyle w:val="IASBTableArial"/>
            </w:pPr>
            <w:r>
              <w:t>Rubber trees</w:t>
            </w:r>
          </w:p>
        </w:tc>
        <w:tc>
          <w:tcPr>
            <w:tcW w:w="3003" w:type="dxa"/>
            <w:tcBorders>
              <w:top w:val="nil"/>
              <w:left w:val="nil"/>
              <w:bottom w:val="single" w:sz="4" w:space="0" w:color="auto"/>
              <w:right w:val="single" w:sz="4" w:space="0" w:color="auto"/>
            </w:tcBorders>
          </w:tcPr>
          <w:p w:rsidR="003A0F32" w:rsidRDefault="003A0F32">
            <w:pPr>
              <w:pStyle w:val="IASBTableArial"/>
            </w:pPr>
            <w:r>
              <w:t>Harvested latex</w:t>
            </w:r>
          </w:p>
        </w:tc>
        <w:tc>
          <w:tcPr>
            <w:tcW w:w="3094" w:type="dxa"/>
            <w:tcBorders>
              <w:top w:val="nil"/>
              <w:left w:val="nil"/>
              <w:bottom w:val="single" w:sz="4" w:space="0" w:color="auto"/>
              <w:right w:val="single" w:sz="4" w:space="0" w:color="auto"/>
            </w:tcBorders>
          </w:tcPr>
          <w:p w:rsidR="003A0F32" w:rsidRDefault="003A0F32">
            <w:pPr>
              <w:pStyle w:val="IASBTableArial"/>
            </w:pPr>
            <w:r>
              <w:t>Rubber products</w:t>
            </w:r>
          </w:p>
        </w:tc>
      </w:tr>
      <w:tr w:rsidR="003A0F32" w:rsidTr="00305E22">
        <w:trPr>
          <w:cantSplit/>
        </w:trPr>
        <w:tc>
          <w:tcPr>
            <w:tcW w:w="8244" w:type="dxa"/>
            <w:gridSpan w:val="3"/>
            <w:tcBorders>
              <w:top w:val="nil"/>
              <w:left w:val="single" w:sz="4" w:space="0" w:color="auto"/>
              <w:bottom w:val="single" w:sz="4" w:space="0" w:color="auto"/>
              <w:right w:val="single" w:sz="4" w:space="0" w:color="auto"/>
            </w:tcBorders>
            <w:tcMar>
              <w:bottom w:w="28" w:type="dxa"/>
            </w:tcMar>
          </w:tcPr>
          <w:p w:rsidR="003A0F32" w:rsidRDefault="003A0F32">
            <w:pPr>
              <w:pStyle w:val="IASBTableTNR"/>
            </w:pPr>
            <w:r>
              <w:t>Some plants, for example, tea bushes, grape vines, oil palms and rubber trees, usually meet the definition of a bearer plant and are within the scope of</w:t>
            </w:r>
            <w:r w:rsidR="00CA5093">
              <w:t xml:space="preserve"> AASB 116</w:t>
            </w:r>
            <w:r>
              <w:t>. However, the produce growing on bearer plants, for example, tea leaves, grapes, oil palm fruit and latex, is within the scope of</w:t>
            </w:r>
            <w:r w:rsidR="00CA5093">
              <w:t xml:space="preserve"> AASB 141</w:t>
            </w:r>
            <w:r>
              <w:t>.</w:t>
            </w:r>
          </w:p>
        </w:tc>
      </w:tr>
    </w:tbl>
    <w:p w:rsidR="003A0F32" w:rsidRDefault="003A0F32">
      <w:pPr>
        <w:pStyle w:val="IASBNormalnpara"/>
      </w:pPr>
    </w:p>
    <w:p w:rsidR="003A0F32" w:rsidRDefault="003A0F32">
      <w:pPr>
        <w:pStyle w:val="IASBSectionTitle1NonInd"/>
      </w:pPr>
      <w:r>
        <w:t>Definitions</w:t>
      </w:r>
    </w:p>
    <w:p w:rsidR="003A0F32" w:rsidRDefault="003A0F32">
      <w:pPr>
        <w:pStyle w:val="IASBSectionTitle2Ind"/>
      </w:pPr>
      <w:r>
        <w:t>Agriculture-related definitions</w:t>
      </w:r>
    </w:p>
    <w:p w:rsidR="003A0F32" w:rsidRDefault="003A0F32">
      <w:pPr>
        <w:pStyle w:val="IASBNormalnpara"/>
        <w:rPr>
          <w:b/>
        </w:rPr>
      </w:pPr>
      <w:r>
        <w:rPr>
          <w:b/>
        </w:rPr>
        <w:t>5</w:t>
      </w:r>
      <w:r>
        <w:rPr>
          <w:b/>
        </w:rPr>
        <w:tab/>
        <w:t xml:space="preserve">The following terms are used in this Standard with the meanings specified: </w:t>
      </w:r>
    </w:p>
    <w:p w:rsidR="003A0F32" w:rsidRDefault="003A0F32">
      <w:pPr>
        <w:pStyle w:val="IASBNormalnparaP"/>
      </w:pPr>
      <w:r>
        <w:rPr>
          <w:b/>
          <w:i/>
        </w:rPr>
        <w:t>Agricultural activity</w:t>
      </w:r>
      <w:r>
        <w:rPr>
          <w:b/>
        </w:rPr>
        <w:t xml:space="preserve"> is the management by an entity of the biological transformation and harvest of biological assets for sale or for conversion into agricultural produce or into additional biological assets. </w:t>
      </w:r>
    </w:p>
    <w:p w:rsidR="003A0F32" w:rsidRDefault="003A0F32">
      <w:pPr>
        <w:pStyle w:val="IASBNormalnparaP"/>
      </w:pPr>
      <w:r>
        <w:rPr>
          <w:b/>
          <w:i/>
        </w:rPr>
        <w:t>Agricultural produce</w:t>
      </w:r>
      <w:r>
        <w:rPr>
          <w:b/>
        </w:rPr>
        <w:t xml:space="preserve"> is the harvested produce of the entity’s biological assets. </w:t>
      </w:r>
    </w:p>
    <w:p w:rsidR="003A0F32" w:rsidRDefault="003A0F32">
      <w:pPr>
        <w:pStyle w:val="IASBNormalnparaP"/>
        <w:rPr>
          <w:b/>
        </w:rPr>
      </w:pPr>
      <w:r>
        <w:rPr>
          <w:b/>
        </w:rPr>
        <w:t xml:space="preserve">A </w:t>
      </w:r>
      <w:r>
        <w:rPr>
          <w:b/>
          <w:i/>
        </w:rPr>
        <w:t>bearer plant</w:t>
      </w:r>
      <w:r>
        <w:rPr>
          <w:b/>
        </w:rPr>
        <w:t xml:space="preserve"> is a living plant that:</w:t>
      </w:r>
    </w:p>
    <w:p w:rsidR="003A0F32" w:rsidRDefault="003A0F32">
      <w:pPr>
        <w:pStyle w:val="IASBNormalnparaL1"/>
        <w:rPr>
          <w:b/>
        </w:rPr>
      </w:pPr>
      <w:r>
        <w:rPr>
          <w:b/>
        </w:rPr>
        <w:t>(a)</w:t>
      </w:r>
      <w:r>
        <w:rPr>
          <w:b/>
        </w:rPr>
        <w:tab/>
      </w:r>
      <w:proofErr w:type="gramStart"/>
      <w:r>
        <w:rPr>
          <w:b/>
        </w:rPr>
        <w:t>is</w:t>
      </w:r>
      <w:proofErr w:type="gramEnd"/>
      <w:r>
        <w:rPr>
          <w:b/>
        </w:rPr>
        <w:t xml:space="preserve"> used in the production or supply of agricultural produce;</w:t>
      </w:r>
    </w:p>
    <w:p w:rsidR="003A0F32" w:rsidRDefault="003A0F32">
      <w:pPr>
        <w:pStyle w:val="IASBNormalnparaL1"/>
        <w:rPr>
          <w:b/>
        </w:rPr>
      </w:pPr>
      <w:r>
        <w:rPr>
          <w:b/>
        </w:rPr>
        <w:t>(b)</w:t>
      </w:r>
      <w:r>
        <w:rPr>
          <w:b/>
        </w:rPr>
        <w:tab/>
      </w:r>
      <w:proofErr w:type="gramStart"/>
      <w:r>
        <w:rPr>
          <w:b/>
        </w:rPr>
        <w:t>is</w:t>
      </w:r>
      <w:proofErr w:type="gramEnd"/>
      <w:r>
        <w:rPr>
          <w:b/>
        </w:rPr>
        <w:t xml:space="preserve"> expected to bear produce for more than one period; and</w:t>
      </w:r>
    </w:p>
    <w:p w:rsidR="003A0F32" w:rsidRDefault="003A0F32">
      <w:pPr>
        <w:pStyle w:val="IASBNormalnparaL1"/>
        <w:rPr>
          <w:b/>
        </w:rPr>
      </w:pPr>
      <w:r>
        <w:rPr>
          <w:b/>
        </w:rPr>
        <w:t>(c)</w:t>
      </w:r>
      <w:r>
        <w:rPr>
          <w:b/>
        </w:rPr>
        <w:tab/>
      </w:r>
      <w:proofErr w:type="gramStart"/>
      <w:r>
        <w:rPr>
          <w:b/>
        </w:rPr>
        <w:t>has</w:t>
      </w:r>
      <w:proofErr w:type="gramEnd"/>
      <w:r>
        <w:rPr>
          <w:b/>
        </w:rPr>
        <w:t xml:space="preserve"> a remote likelihood of being sold as agricultural produce, except for incidental scrap sales.</w:t>
      </w:r>
    </w:p>
    <w:p w:rsidR="003A0F32" w:rsidRDefault="003A0F32">
      <w:pPr>
        <w:pStyle w:val="IASBNormalnparaP"/>
      </w:pPr>
      <w:r>
        <w:rPr>
          <w:b/>
        </w:rPr>
        <w:t xml:space="preserve">A </w:t>
      </w:r>
      <w:r>
        <w:rPr>
          <w:b/>
          <w:i/>
        </w:rPr>
        <w:t>biological asset</w:t>
      </w:r>
      <w:r>
        <w:rPr>
          <w:b/>
        </w:rPr>
        <w:t xml:space="preserve"> is a living animal or plant. </w:t>
      </w:r>
    </w:p>
    <w:p w:rsidR="003A0F32" w:rsidRDefault="003A0F32">
      <w:pPr>
        <w:pStyle w:val="IASBNormalnparaP"/>
      </w:pPr>
      <w:r>
        <w:rPr>
          <w:b/>
          <w:i/>
        </w:rPr>
        <w:t>Biological transformation</w:t>
      </w:r>
      <w:r>
        <w:rPr>
          <w:b/>
        </w:rPr>
        <w:t xml:space="preserve"> comprises the processes of growth, degeneration, production, and procreation that cause qualitative or quantitative changes in a biological asset. </w:t>
      </w:r>
    </w:p>
    <w:p w:rsidR="003A0F32" w:rsidRDefault="003A0F32">
      <w:pPr>
        <w:pStyle w:val="IASBNormalnparaP"/>
      </w:pPr>
      <w:r>
        <w:rPr>
          <w:b/>
          <w:i/>
        </w:rPr>
        <w:t>Costs to sell</w:t>
      </w:r>
      <w:r>
        <w:rPr>
          <w:b/>
        </w:rPr>
        <w:t xml:space="preserve"> are the incremental costs directly attributable to the disposal of an asset, excluding finance costs and income taxes.</w:t>
      </w:r>
    </w:p>
    <w:p w:rsidR="003A0F32" w:rsidRDefault="003A0F32">
      <w:pPr>
        <w:pStyle w:val="IASBNormalnparaP"/>
      </w:pPr>
      <w:r>
        <w:rPr>
          <w:b/>
        </w:rPr>
        <w:t xml:space="preserve">A </w:t>
      </w:r>
      <w:r>
        <w:rPr>
          <w:b/>
          <w:i/>
        </w:rPr>
        <w:t>group of biological assets</w:t>
      </w:r>
      <w:r>
        <w:rPr>
          <w:b/>
        </w:rPr>
        <w:t xml:space="preserve"> is an aggregation of similar living animals or plants. </w:t>
      </w:r>
    </w:p>
    <w:p w:rsidR="003A0F32" w:rsidRDefault="003A0F32">
      <w:pPr>
        <w:pStyle w:val="IASBNormalnparaP"/>
      </w:pPr>
      <w:r>
        <w:rPr>
          <w:b/>
          <w:i/>
        </w:rPr>
        <w:t>Harvest</w:t>
      </w:r>
      <w:r>
        <w:rPr>
          <w:b/>
        </w:rPr>
        <w:t xml:space="preserve"> is the detachment of produce from a biological asset or the cessation of a biological asset’s life processes. </w:t>
      </w:r>
    </w:p>
    <w:p w:rsidR="003A0F32" w:rsidRDefault="003A0F32">
      <w:pPr>
        <w:pStyle w:val="IASBNormalnpara"/>
      </w:pPr>
      <w:r>
        <w:t>5A</w:t>
      </w:r>
      <w:r>
        <w:tab/>
      </w:r>
      <w:proofErr w:type="gramStart"/>
      <w:r>
        <w:t>The</w:t>
      </w:r>
      <w:proofErr w:type="gramEnd"/>
      <w:r>
        <w:t xml:space="preserve"> following are not bearer plants:</w:t>
      </w:r>
    </w:p>
    <w:p w:rsidR="003A0F32" w:rsidRDefault="003A0F32">
      <w:pPr>
        <w:pStyle w:val="IASBNormalnparaL1"/>
      </w:pPr>
      <w:r>
        <w:t>(a)</w:t>
      </w:r>
      <w:r>
        <w:tab/>
      </w:r>
      <w:proofErr w:type="gramStart"/>
      <w:r>
        <w:t>plants</w:t>
      </w:r>
      <w:proofErr w:type="gramEnd"/>
      <w:r>
        <w:t xml:space="preserve"> cultivated to be harvested as agricultural produce (for example, trees grown for use as lumber);</w:t>
      </w:r>
    </w:p>
    <w:p w:rsidR="003A0F32" w:rsidRDefault="003A0F32">
      <w:pPr>
        <w:pStyle w:val="IASBNormalnparaL1"/>
      </w:pPr>
      <w:r>
        <w:t>(b)</w:t>
      </w:r>
      <w:r>
        <w:tab/>
        <w:t>plants cultivated to produce agricultural produce when there is more than a remote likelihood that the entity will also harvest and sell the plant as agricultural produce, other than as incidental scrap sales (for example, trees that are cultivated both for their fruit and their lumber); and</w:t>
      </w:r>
    </w:p>
    <w:p w:rsidR="003A0F32" w:rsidRDefault="003A0F32">
      <w:pPr>
        <w:pStyle w:val="IASBNormalnparaL1"/>
      </w:pPr>
      <w:r>
        <w:t>(c)</w:t>
      </w:r>
      <w:r>
        <w:tab/>
      </w:r>
      <w:proofErr w:type="gramStart"/>
      <w:r>
        <w:t>annual</w:t>
      </w:r>
      <w:proofErr w:type="gramEnd"/>
      <w:r>
        <w:t xml:space="preserve"> crops (for example, maize and wheat).</w:t>
      </w:r>
    </w:p>
    <w:p w:rsidR="003A0F32" w:rsidRDefault="003A0F32">
      <w:pPr>
        <w:pStyle w:val="IASBNormalnpara"/>
      </w:pPr>
      <w:r>
        <w:t>5B</w:t>
      </w:r>
      <w:r>
        <w:tab/>
      </w:r>
      <w:proofErr w:type="gramStart"/>
      <w:r>
        <w:t>When</w:t>
      </w:r>
      <w:proofErr w:type="gramEnd"/>
      <w:r>
        <w:t xml:space="preserve"> bearer plants are no longer used to bear produce they might be cut down and sold as scrap, for example, for use as firewood. Such incidental scrap sales would not prevent the plant from satisfying the definition of a bearer plant.</w:t>
      </w:r>
    </w:p>
    <w:p w:rsidR="003A0F32" w:rsidRDefault="003A0F32">
      <w:pPr>
        <w:pStyle w:val="IASBNormalnpara"/>
      </w:pPr>
      <w:r>
        <w:t>5C</w:t>
      </w:r>
      <w:r>
        <w:tab/>
        <w:t>Produce growing on bearer plants is a biological asset.</w:t>
      </w:r>
    </w:p>
    <w:p w:rsidR="003A0F32" w:rsidRDefault="003A0F32">
      <w:pPr>
        <w:pStyle w:val="IASBNormalnpara"/>
      </w:pPr>
      <w:r>
        <w:lastRenderedPageBreak/>
        <w:t>6</w:t>
      </w:r>
      <w:r>
        <w:tab/>
        <w:t xml:space="preserve">Agricultural activity covers a diverse range of activities; for example, raising livestock, forestry, annual or perennial cropping, cultivating orchards and plantations, floriculture and aquaculture (including fish farming). Certain common features exist within this diversity: </w:t>
      </w:r>
    </w:p>
    <w:p w:rsidR="003A0F32" w:rsidRDefault="003A0F32">
      <w:pPr>
        <w:pStyle w:val="IASBNormalnparaL1"/>
      </w:pPr>
      <w:r>
        <w:t>(a)</w:t>
      </w:r>
      <w:r>
        <w:tab/>
      </w:r>
      <w:r>
        <w:rPr>
          <w:i/>
        </w:rPr>
        <w:t>Capability to change</w:t>
      </w:r>
      <w:r>
        <w:t>. Living animals and plants are capable of biological transformation;</w:t>
      </w:r>
    </w:p>
    <w:p w:rsidR="003A0F32" w:rsidRDefault="003A0F32">
      <w:pPr>
        <w:pStyle w:val="IASBNormalnparaL1"/>
      </w:pPr>
      <w:r>
        <w:t>(b)</w:t>
      </w:r>
      <w:r>
        <w:tab/>
      </w:r>
      <w:r>
        <w:rPr>
          <w:i/>
        </w:rPr>
        <w:t>Management of change</w:t>
      </w:r>
      <w:r>
        <w:t>. Management facilitates biological transformation by enhancing, or at least stabilising, conditions necessary for the process to take place (for example, nutrient levels, moisture, temperature, fertility, and light). Such management distinguishes agricultural activity from other activities. For example, harvesting from unmanaged sources (such as ocean fishing and deforestation) is not agricultural activity; and</w:t>
      </w:r>
    </w:p>
    <w:p w:rsidR="003A0F32" w:rsidRDefault="003A0F32">
      <w:pPr>
        <w:pStyle w:val="IASBNormalnparaL1"/>
      </w:pPr>
      <w:r>
        <w:t>(c)</w:t>
      </w:r>
      <w:r>
        <w:tab/>
      </w:r>
      <w:r>
        <w:rPr>
          <w:i/>
        </w:rPr>
        <w:t>Measurement of change</w:t>
      </w:r>
      <w:r>
        <w:t>. The change in quality (for example, genetic merit, density, ripeness, fat cover, protein content, and fibre strength) or quantity (for example, progeny, weight, cubic metres, fibre length or diameter, and number of buds) brought about by biological transformation or harvest is measured and monitored as a routine management function.</w:t>
      </w:r>
    </w:p>
    <w:p w:rsidR="003A0F32" w:rsidRDefault="003A0F32">
      <w:pPr>
        <w:pStyle w:val="IASBNormalnpara"/>
      </w:pPr>
      <w:r>
        <w:t>7</w:t>
      </w:r>
      <w:r>
        <w:tab/>
        <w:t xml:space="preserve">Biological transformation results in the following types of outcomes: </w:t>
      </w:r>
    </w:p>
    <w:p w:rsidR="003A0F32" w:rsidRDefault="003A0F32">
      <w:pPr>
        <w:pStyle w:val="IASBNormalnparaL1"/>
      </w:pPr>
      <w:r>
        <w:t>(a)</w:t>
      </w:r>
      <w:r>
        <w:tab/>
      </w:r>
      <w:proofErr w:type="gramStart"/>
      <w:r>
        <w:t>asset</w:t>
      </w:r>
      <w:proofErr w:type="gramEnd"/>
      <w:r>
        <w:t xml:space="preserve"> changes through (</w:t>
      </w:r>
      <w:proofErr w:type="spellStart"/>
      <w:r>
        <w:t>i</w:t>
      </w:r>
      <w:proofErr w:type="spellEnd"/>
      <w:r>
        <w:t>) growth (an increase in quantity or improvement in quality of an animal or plant), (ii) degeneration (a decrease in the quantity or deterioration in quality of an animal or plant), or (iii) procreation (creation of additional living animals or plants); or</w:t>
      </w:r>
    </w:p>
    <w:p w:rsidR="003A0F32" w:rsidRDefault="003A0F32">
      <w:pPr>
        <w:pStyle w:val="IASBNormalnparaL1"/>
      </w:pPr>
      <w:r>
        <w:t>(b)</w:t>
      </w:r>
      <w:r>
        <w:tab/>
      </w:r>
      <w:proofErr w:type="gramStart"/>
      <w:r>
        <w:t>production</w:t>
      </w:r>
      <w:proofErr w:type="gramEnd"/>
      <w:r>
        <w:t xml:space="preserve"> of agricultural produce such as latex, tea leaf, wool, and milk.</w:t>
      </w:r>
    </w:p>
    <w:p w:rsidR="003A0F32" w:rsidRDefault="003A0F32">
      <w:pPr>
        <w:pStyle w:val="IASBSectionTitle2Ind"/>
      </w:pPr>
      <w:r>
        <w:t>General definitions</w:t>
      </w:r>
    </w:p>
    <w:p w:rsidR="003A0F32" w:rsidRDefault="003A0F32">
      <w:pPr>
        <w:pStyle w:val="IASBNormalnpara"/>
        <w:rPr>
          <w:b/>
        </w:rPr>
      </w:pPr>
      <w:r>
        <w:rPr>
          <w:b/>
        </w:rPr>
        <w:t>8</w:t>
      </w:r>
      <w:r>
        <w:rPr>
          <w:b/>
        </w:rPr>
        <w:tab/>
        <w:t xml:space="preserve">The following terms are used in this Standard with the meanings specified: </w:t>
      </w:r>
    </w:p>
    <w:p w:rsidR="003A0F32" w:rsidRDefault="003A0F32">
      <w:pPr>
        <w:pStyle w:val="IASBNormalnparaP"/>
      </w:pPr>
      <w:r>
        <w:rPr>
          <w:b/>
          <w:i/>
        </w:rPr>
        <w:t>Carrying amount</w:t>
      </w:r>
      <w:r>
        <w:rPr>
          <w:b/>
        </w:rPr>
        <w:t xml:space="preserve"> is the amount at which an asset is recognised</w:t>
      </w:r>
      <w:r>
        <w:t xml:space="preserve"> </w:t>
      </w:r>
      <w:r>
        <w:rPr>
          <w:b/>
        </w:rPr>
        <w:t xml:space="preserve">in the statement of financial position. </w:t>
      </w:r>
    </w:p>
    <w:p w:rsidR="003A0F32" w:rsidRDefault="003A0F32">
      <w:pPr>
        <w:pStyle w:val="IASBNormalnparaP"/>
      </w:pPr>
      <w:r>
        <w:rPr>
          <w:b/>
          <w:i/>
        </w:rPr>
        <w:t>Fair value</w:t>
      </w:r>
      <w:r>
        <w:rPr>
          <w:b/>
        </w:rPr>
        <w:t xml:space="preserve"> is the price that would be received to sell an asset or paid to transfer a liability in an orderly transaction between market participants at the measurement date. (See</w:t>
      </w:r>
      <w:r w:rsidR="00CA5093">
        <w:rPr>
          <w:b/>
        </w:rPr>
        <w:t xml:space="preserve"> AASB 13</w:t>
      </w:r>
      <w:r>
        <w:rPr>
          <w:b/>
        </w:rPr>
        <w:t xml:space="preserve"> </w:t>
      </w:r>
      <w:r>
        <w:rPr>
          <w:b/>
          <w:i/>
        </w:rPr>
        <w:t xml:space="preserve">Fair Value </w:t>
      </w:r>
      <w:proofErr w:type="gramStart"/>
      <w:r>
        <w:rPr>
          <w:b/>
          <w:i/>
        </w:rPr>
        <w:t>Measurement</w:t>
      </w:r>
      <w:proofErr w:type="gramEnd"/>
      <w:r>
        <w:rPr>
          <w:b/>
        </w:rPr>
        <w:t>.)</w:t>
      </w:r>
    </w:p>
    <w:p w:rsidR="003A0F32" w:rsidRDefault="003A0F32">
      <w:pPr>
        <w:pStyle w:val="IASBNormalnparaP"/>
      </w:pPr>
      <w:r>
        <w:rPr>
          <w:b/>
          <w:i/>
        </w:rPr>
        <w:t>Government grants</w:t>
      </w:r>
      <w:r>
        <w:rPr>
          <w:b/>
        </w:rPr>
        <w:t xml:space="preserve"> are as defined in</w:t>
      </w:r>
      <w:r w:rsidR="00CA5093">
        <w:rPr>
          <w:b/>
        </w:rPr>
        <w:t xml:space="preserve"> AASB 120</w:t>
      </w:r>
      <w:r>
        <w:rPr>
          <w:b/>
        </w:rPr>
        <w:t xml:space="preserve">. </w:t>
      </w:r>
    </w:p>
    <w:p w:rsidR="003A0F32" w:rsidRDefault="003A0F32">
      <w:pPr>
        <w:pStyle w:val="IASBNormalnpara"/>
      </w:pPr>
      <w:r>
        <w:t>9</w:t>
      </w:r>
      <w:r>
        <w:tab/>
        <w:t>[Deleted]</w:t>
      </w:r>
    </w:p>
    <w:p w:rsidR="003A0F32" w:rsidRDefault="003A0F32">
      <w:pPr>
        <w:pStyle w:val="IASBSectionTitle1NonInd"/>
      </w:pPr>
      <w:r>
        <w:t>Recognition and measurement</w:t>
      </w:r>
    </w:p>
    <w:p w:rsidR="003A0F32" w:rsidRDefault="003A0F32">
      <w:pPr>
        <w:pStyle w:val="IASBNormalnpara"/>
        <w:rPr>
          <w:b/>
        </w:rPr>
      </w:pPr>
      <w:r>
        <w:rPr>
          <w:b/>
        </w:rPr>
        <w:t>10</w:t>
      </w:r>
      <w:r>
        <w:rPr>
          <w:b/>
        </w:rPr>
        <w:tab/>
        <w:t xml:space="preserve">An entity shall recognise a biological asset or agricultural produce </w:t>
      </w:r>
      <w:proofErr w:type="gramStart"/>
      <w:r>
        <w:rPr>
          <w:b/>
        </w:rPr>
        <w:t>when,</w:t>
      </w:r>
      <w:proofErr w:type="gramEnd"/>
      <w:r>
        <w:rPr>
          <w:b/>
        </w:rPr>
        <w:t xml:space="preserve"> and only when: </w:t>
      </w:r>
    </w:p>
    <w:p w:rsidR="003A0F32" w:rsidRDefault="003A0F32">
      <w:pPr>
        <w:pStyle w:val="IASBNormalnparaL1"/>
      </w:pPr>
      <w:r>
        <w:rPr>
          <w:b/>
        </w:rPr>
        <w:t>(a)</w:t>
      </w:r>
      <w:r>
        <w:tab/>
      </w:r>
      <w:proofErr w:type="gramStart"/>
      <w:r>
        <w:rPr>
          <w:b/>
        </w:rPr>
        <w:t>the</w:t>
      </w:r>
      <w:proofErr w:type="gramEnd"/>
      <w:r>
        <w:rPr>
          <w:b/>
        </w:rPr>
        <w:t xml:space="preserve"> entity controls the asset as a result of past events;</w:t>
      </w:r>
    </w:p>
    <w:p w:rsidR="003A0F32" w:rsidRDefault="003A0F32">
      <w:pPr>
        <w:pStyle w:val="IASBNormalnparaL1"/>
      </w:pPr>
      <w:r>
        <w:rPr>
          <w:b/>
        </w:rPr>
        <w:t>(b)</w:t>
      </w:r>
      <w:r>
        <w:tab/>
      </w:r>
      <w:proofErr w:type="gramStart"/>
      <w:r>
        <w:rPr>
          <w:b/>
        </w:rPr>
        <w:t>it</w:t>
      </w:r>
      <w:proofErr w:type="gramEnd"/>
      <w:r>
        <w:rPr>
          <w:b/>
        </w:rPr>
        <w:t xml:space="preserve"> is probable that future economic benefits associated with the asset will flow to the entity; and</w:t>
      </w:r>
    </w:p>
    <w:p w:rsidR="003A0F32" w:rsidRDefault="003A0F32">
      <w:pPr>
        <w:pStyle w:val="IASBNormalnparaL1"/>
      </w:pPr>
      <w:r>
        <w:rPr>
          <w:b/>
        </w:rPr>
        <w:t>(c)</w:t>
      </w:r>
      <w:r>
        <w:tab/>
      </w:r>
      <w:proofErr w:type="gramStart"/>
      <w:r>
        <w:rPr>
          <w:b/>
        </w:rPr>
        <w:t>the</w:t>
      </w:r>
      <w:proofErr w:type="gramEnd"/>
      <w:r>
        <w:rPr>
          <w:b/>
        </w:rPr>
        <w:t xml:space="preserve"> fair value or cost of the asset can be measured reliably.</w:t>
      </w:r>
    </w:p>
    <w:p w:rsidR="003A0F32" w:rsidRDefault="003A0F32">
      <w:pPr>
        <w:pStyle w:val="IASBNormalnpara"/>
      </w:pPr>
      <w:r>
        <w:t>11</w:t>
      </w:r>
      <w:r>
        <w:tab/>
        <w:t>In agricultural activity, control may be evidenced by, for example, legal ownership of cattle and the branding or otherwise marking of the cattle on acquisition, birth, or weaning. The future benefits are normally assessed by measuring the significant physical attributes.</w:t>
      </w:r>
    </w:p>
    <w:p w:rsidR="003A0F32" w:rsidRDefault="003A0F32">
      <w:pPr>
        <w:pStyle w:val="IASBNormalnpara"/>
        <w:rPr>
          <w:b/>
        </w:rPr>
      </w:pPr>
      <w:r>
        <w:rPr>
          <w:b/>
        </w:rPr>
        <w:t>12</w:t>
      </w:r>
      <w:r>
        <w:rPr>
          <w:b/>
        </w:rPr>
        <w:tab/>
        <w:t xml:space="preserve">A biological asset shall be measured on initial recognition and at the end of each reporting period at its fair value less costs to sell, except for the case described in paragraph 30 where the fair value cannot be measured reliably. </w:t>
      </w:r>
    </w:p>
    <w:p w:rsidR="003A0F32" w:rsidRDefault="003A0F32">
      <w:pPr>
        <w:pStyle w:val="IASBNormalnpara"/>
        <w:rPr>
          <w:b/>
        </w:rPr>
      </w:pPr>
      <w:r>
        <w:rPr>
          <w:b/>
        </w:rPr>
        <w:t>13</w:t>
      </w:r>
      <w:r>
        <w:rPr>
          <w:b/>
        </w:rPr>
        <w:tab/>
        <w:t>Agricultural produce harvested from an entity’s biological assets shall be measured at its fair value less costs to sell at the point of harvest. Such measurement is the cost at that date when applying</w:t>
      </w:r>
      <w:r w:rsidR="00CA5093">
        <w:rPr>
          <w:b/>
        </w:rPr>
        <w:t xml:space="preserve"> AASB 102</w:t>
      </w:r>
      <w:r>
        <w:rPr>
          <w:b/>
        </w:rPr>
        <w:t xml:space="preserve"> </w:t>
      </w:r>
      <w:r>
        <w:rPr>
          <w:b/>
          <w:i/>
        </w:rPr>
        <w:t>Inventories</w:t>
      </w:r>
      <w:r>
        <w:rPr>
          <w:b/>
        </w:rPr>
        <w:t xml:space="preserve"> or another applicable Standard. </w:t>
      </w:r>
    </w:p>
    <w:p w:rsidR="003A0F32" w:rsidRDefault="003A0F32">
      <w:pPr>
        <w:pStyle w:val="IASBNormalnpara"/>
      </w:pPr>
      <w:r>
        <w:t>14</w:t>
      </w:r>
      <w:r>
        <w:tab/>
        <w:t>[Deleted]</w:t>
      </w:r>
    </w:p>
    <w:p w:rsidR="003A0F32" w:rsidRDefault="003A0F32">
      <w:pPr>
        <w:pStyle w:val="IASBNormalnpara"/>
      </w:pPr>
      <w:r>
        <w:t>15</w:t>
      </w:r>
      <w:r>
        <w:tab/>
        <w:t>The fair value measurement of a biological asset or agricultural produce may be facilitated by grouping biological assets or agricultural produce according to significant attributes; for example, by age or quality. An entity selects the attributes corresponding to the attributes used in the market as a basis for pricing.</w:t>
      </w:r>
    </w:p>
    <w:p w:rsidR="003A0F32" w:rsidRDefault="003A0F32">
      <w:pPr>
        <w:pStyle w:val="IASBNormalnpara"/>
      </w:pPr>
      <w:r>
        <w:t>16</w:t>
      </w:r>
      <w:r>
        <w:tab/>
        <w:t xml:space="preserve">Entities often enter into contracts to sell their biological assets or agricultural produce at a future date. Contract prices are not necessarily relevant in measuring fair value, because fair value reflects the current market conditions in which market participant buyers and sellers would enter into a transaction. As a result, the fair value of a biological asset or agricultural produce is not adjusted because of the existence of a </w:t>
      </w:r>
      <w:r>
        <w:lastRenderedPageBreak/>
        <w:t>contract. In some cases, a contract for the sale of a biological asset or agricultural produce may be an onerous contract, as defined in</w:t>
      </w:r>
      <w:r w:rsidR="00CA5093">
        <w:t xml:space="preserve"> AASB 137</w:t>
      </w:r>
      <w:r>
        <w:t xml:space="preserve"> </w:t>
      </w:r>
      <w:r>
        <w:rPr>
          <w:i/>
        </w:rPr>
        <w:t>Provisions, Contingent Liabilities and Contingent Assets</w:t>
      </w:r>
      <w:r>
        <w:t>.</w:t>
      </w:r>
      <w:r w:rsidR="00CA5093">
        <w:t xml:space="preserve"> AASB 137</w:t>
      </w:r>
      <w:r>
        <w:t xml:space="preserve"> applies to onerous contracts.</w:t>
      </w:r>
    </w:p>
    <w:p w:rsidR="003A0F32" w:rsidRDefault="003A0F32">
      <w:pPr>
        <w:pStyle w:val="IASBNormalnpara"/>
      </w:pPr>
      <w:r>
        <w:t>17–</w:t>
      </w:r>
    </w:p>
    <w:p w:rsidR="003A0F32" w:rsidRDefault="003A0F32">
      <w:pPr>
        <w:pStyle w:val="IASBNormalnparaC"/>
      </w:pPr>
      <w:r>
        <w:t>21</w:t>
      </w:r>
      <w:r>
        <w:tab/>
        <w:t>[Deleted]</w:t>
      </w:r>
    </w:p>
    <w:p w:rsidR="003A0F32" w:rsidRDefault="003A0F32">
      <w:pPr>
        <w:pStyle w:val="IASBNormalnpara"/>
      </w:pPr>
      <w:r>
        <w:t>22</w:t>
      </w:r>
      <w:r>
        <w:tab/>
        <w:t>An entity does not include any cash flows for financing the assets, taxation, or re-establishing biological assets after harvest (for example, the cost of replanting trees in a plantation forest after harvest).</w:t>
      </w:r>
    </w:p>
    <w:p w:rsidR="003A0F32" w:rsidRDefault="003A0F32">
      <w:pPr>
        <w:pStyle w:val="IASBNormalnpara"/>
      </w:pPr>
      <w:r>
        <w:t>23</w:t>
      </w:r>
      <w:r>
        <w:tab/>
        <w:t>[Deleted]</w:t>
      </w:r>
    </w:p>
    <w:p w:rsidR="003A0F32" w:rsidRDefault="003A0F32">
      <w:pPr>
        <w:pStyle w:val="IASBNormalnpara"/>
      </w:pPr>
      <w:r>
        <w:t>24</w:t>
      </w:r>
      <w:r>
        <w:tab/>
        <w:t xml:space="preserve">Cost may sometimes approximate fair value, particularly when: </w:t>
      </w:r>
    </w:p>
    <w:p w:rsidR="003A0F32" w:rsidRDefault="003A0F32">
      <w:pPr>
        <w:pStyle w:val="IASBNormalnparaL1"/>
      </w:pPr>
      <w:r>
        <w:t>(a)</w:t>
      </w:r>
      <w:r>
        <w:tab/>
      </w:r>
      <w:proofErr w:type="gramStart"/>
      <w:r>
        <w:t>little</w:t>
      </w:r>
      <w:proofErr w:type="gramEnd"/>
      <w:r>
        <w:t xml:space="preserve"> biological transformation has taken place since initial cost incurrence (for example, for seedlings planted immediately prior to the end of a reporting period or newly acquired livestock); or</w:t>
      </w:r>
    </w:p>
    <w:p w:rsidR="003A0F32" w:rsidRDefault="003A0F32">
      <w:pPr>
        <w:pStyle w:val="IASBNormalnparaL1"/>
      </w:pPr>
      <w:r>
        <w:t>(b)</w:t>
      </w:r>
      <w:r>
        <w:tab/>
      </w:r>
      <w:proofErr w:type="gramStart"/>
      <w:r>
        <w:t>the</w:t>
      </w:r>
      <w:proofErr w:type="gramEnd"/>
      <w:r>
        <w:t xml:space="preserve"> impact of the biological transformation on price is not expected to be material (for example, for the initial growth in a 30-year pine plantation production cycle).</w:t>
      </w:r>
    </w:p>
    <w:p w:rsidR="003A0F32" w:rsidRDefault="003A0F32">
      <w:pPr>
        <w:pStyle w:val="IASBNormalnpara"/>
      </w:pPr>
      <w:r>
        <w:t>25</w:t>
      </w:r>
      <w:r>
        <w:tab/>
        <w:t>Biological assets are often physically attached to land (for example, trees in a plantation forest). There may be no separate market for biological assets that are attached to the land but an active market may exist for the combined assets, that is, the biological assets, raw land, and land improvements, as a package. An entity may use information regarding the combined assets to measure the fair value of the biological assets. For example, the fair value of raw land and land improvements may be deducted from the fair value of the combined assets to arrive at the fair value of biological assets.</w:t>
      </w:r>
    </w:p>
    <w:p w:rsidR="003A0F32" w:rsidRDefault="003A0F32">
      <w:pPr>
        <w:pStyle w:val="IASBSectionTitle2Ind"/>
      </w:pPr>
      <w:r>
        <w:t>Gains and losses</w:t>
      </w:r>
    </w:p>
    <w:p w:rsidR="003A0F32" w:rsidRDefault="003A0F32">
      <w:pPr>
        <w:pStyle w:val="IASBNormalnpara"/>
        <w:rPr>
          <w:b/>
        </w:rPr>
      </w:pPr>
      <w:r>
        <w:rPr>
          <w:b/>
        </w:rPr>
        <w:t>26</w:t>
      </w:r>
      <w:r>
        <w:rPr>
          <w:b/>
        </w:rPr>
        <w:tab/>
        <w:t>A gain or loss arising on initial recognition of a biological asset at fair value less costs to sell and from a change in fair value less costs to sell of a biological asset shall be included in profit or loss for the period in which it arises.</w:t>
      </w:r>
    </w:p>
    <w:p w:rsidR="003A0F32" w:rsidRDefault="003A0F32">
      <w:pPr>
        <w:pStyle w:val="IASBNormalnpara"/>
      </w:pPr>
      <w:r>
        <w:t>27</w:t>
      </w:r>
      <w:r>
        <w:tab/>
        <w:t>A loss may arise on initial recognition of a biological asset, because costs to sell are deducted in determining fair value less costs to sell of a biological asset. A gain may arise on initial recognition of a biological asset, such as when a calf is born.</w:t>
      </w:r>
    </w:p>
    <w:p w:rsidR="003A0F32" w:rsidRDefault="003A0F32">
      <w:pPr>
        <w:pStyle w:val="IASBNormalnpara"/>
        <w:rPr>
          <w:b/>
        </w:rPr>
      </w:pPr>
      <w:r>
        <w:rPr>
          <w:b/>
        </w:rPr>
        <w:t>28</w:t>
      </w:r>
      <w:r>
        <w:rPr>
          <w:b/>
        </w:rPr>
        <w:tab/>
        <w:t>A gain or loss arising on initial recognition of agricultural produce at fair value less costs to sell shall be included in profit or loss for the period in which it arises.</w:t>
      </w:r>
    </w:p>
    <w:p w:rsidR="003A0F32" w:rsidRDefault="003A0F32">
      <w:pPr>
        <w:pStyle w:val="IASBNormalnpara"/>
      </w:pPr>
      <w:r>
        <w:t>29</w:t>
      </w:r>
      <w:r>
        <w:tab/>
        <w:t>A gain or loss may arise on initial recognition of agricultural produce as a result of harvesting.</w:t>
      </w:r>
    </w:p>
    <w:p w:rsidR="003A0F32" w:rsidRDefault="003A0F32">
      <w:pPr>
        <w:pStyle w:val="IASBSectionTitle2Ind"/>
      </w:pPr>
      <w:r>
        <w:t>Inability to measure fair value reliably</w:t>
      </w:r>
    </w:p>
    <w:p w:rsidR="003A0F32" w:rsidRDefault="003A0F32">
      <w:pPr>
        <w:pStyle w:val="IASBNormalnpara"/>
        <w:rPr>
          <w:b/>
        </w:rPr>
      </w:pPr>
      <w:r>
        <w:rPr>
          <w:b/>
        </w:rPr>
        <w:t>30</w:t>
      </w:r>
      <w:r>
        <w:rPr>
          <w:b/>
        </w:rPr>
        <w:tab/>
        <w:t>There is a presumption that fair value can be measured reliably for a biological asset. However, that presumption can be rebutted only on initial recognition for a biological asset for which quoted market prices are not available and for which alternative fair value measurements are determined to be clearly unreliable. In such a case, that biological asset shall be measured at its cost less any accumulated depreciation and any accumulated impairment losses. Once the fair value of such a biological asset becomes reliably measurable, an entity shall measure it at its fair value less costs to sell. Once a non-current biological asset meets the criteria to be classified as held for sale (or is included in a disposal group that is classified as held for sale) in accordance with</w:t>
      </w:r>
      <w:r w:rsidR="00CA5093">
        <w:rPr>
          <w:b/>
        </w:rPr>
        <w:t xml:space="preserve"> AASB 5</w:t>
      </w:r>
      <w:r>
        <w:rPr>
          <w:b/>
        </w:rPr>
        <w:t xml:space="preserve"> </w:t>
      </w:r>
      <w:r>
        <w:rPr>
          <w:b/>
          <w:i/>
        </w:rPr>
        <w:t>Non-current Assets Held for Sale and Discontinued Operations</w:t>
      </w:r>
      <w:r>
        <w:rPr>
          <w:b/>
        </w:rPr>
        <w:t xml:space="preserve">, it is presumed that fair value can be measured reliably. </w:t>
      </w:r>
    </w:p>
    <w:p w:rsidR="003A0F32" w:rsidRDefault="003A0F32">
      <w:pPr>
        <w:pStyle w:val="IASBNormalnpara"/>
      </w:pPr>
      <w:r>
        <w:t>31</w:t>
      </w:r>
      <w:r>
        <w:tab/>
        <w:t xml:space="preserve">The presumption in paragraph 30 can be rebutted only on initial recognition. An entity that has previously measured a biological asset at its fair value less costs to sell continues to measure the biological asset at its fair value less costs to sell until disposal. </w:t>
      </w:r>
    </w:p>
    <w:p w:rsidR="003A0F32" w:rsidRDefault="003A0F32">
      <w:pPr>
        <w:pStyle w:val="IASBNormalnpara"/>
      </w:pPr>
      <w:r>
        <w:t>32</w:t>
      </w:r>
      <w:r>
        <w:tab/>
        <w:t>In all cases, an entity measures agricultural produce at the point of harvest at its fair value less costs to sell. This Standard reflects the view that the fair value of agricultural produce at the point of harvest can always be measured reliably.</w:t>
      </w:r>
    </w:p>
    <w:p w:rsidR="003A0F32" w:rsidRDefault="003A0F32">
      <w:pPr>
        <w:pStyle w:val="IASBNormalnpara"/>
      </w:pPr>
      <w:r>
        <w:t>33</w:t>
      </w:r>
      <w:r>
        <w:tab/>
        <w:t>In determining cost, accumulated depreciation and accumulated impairment losses, an entity considers</w:t>
      </w:r>
      <w:r w:rsidR="00CA5093">
        <w:t xml:space="preserve"> AASB 102</w:t>
      </w:r>
      <w:r>
        <w:t>,</w:t>
      </w:r>
      <w:r w:rsidR="00CA5093">
        <w:t xml:space="preserve"> AASB 116</w:t>
      </w:r>
      <w:r>
        <w:t xml:space="preserve"> and</w:t>
      </w:r>
      <w:r w:rsidR="00CA5093">
        <w:t xml:space="preserve"> AASB 136</w:t>
      </w:r>
      <w:r>
        <w:t xml:space="preserve"> </w:t>
      </w:r>
      <w:r>
        <w:rPr>
          <w:i/>
        </w:rPr>
        <w:t>Impairment of Assets</w:t>
      </w:r>
      <w:r>
        <w:t xml:space="preserve">. </w:t>
      </w:r>
    </w:p>
    <w:p w:rsidR="003A0F32" w:rsidRDefault="003A0F32">
      <w:pPr>
        <w:pStyle w:val="IASBSectionTitle1NonInd"/>
      </w:pPr>
      <w:r>
        <w:lastRenderedPageBreak/>
        <w:t>Government grants</w:t>
      </w:r>
    </w:p>
    <w:p w:rsidR="003A0F32" w:rsidRDefault="003A0F32">
      <w:pPr>
        <w:pStyle w:val="IASBNormalnpara"/>
        <w:rPr>
          <w:b/>
        </w:rPr>
      </w:pPr>
      <w:r>
        <w:rPr>
          <w:b/>
        </w:rPr>
        <w:t>34</w:t>
      </w:r>
      <w:r>
        <w:rPr>
          <w:b/>
        </w:rPr>
        <w:tab/>
        <w:t>An unconditional government grant related to a biological asset measured at its fair value less costs to sell shall be recognised in profit or loss when, and only when, the government grant becomes receivable.</w:t>
      </w:r>
    </w:p>
    <w:p w:rsidR="003A0F32" w:rsidRDefault="003A0F32">
      <w:pPr>
        <w:pStyle w:val="IASBNormalnpara"/>
        <w:rPr>
          <w:b/>
        </w:rPr>
      </w:pPr>
      <w:r>
        <w:rPr>
          <w:b/>
        </w:rPr>
        <w:t>35</w:t>
      </w:r>
      <w:r>
        <w:rPr>
          <w:b/>
        </w:rPr>
        <w:tab/>
        <w:t>If a government grant related to a biological asset measured at its fair value less costs to sell is conditional, including when a government grant requires an entity not to engage in specified agricultural activity, an entity shall recognise the government grant in profit or loss when, and only when, the conditions attaching to the government grant are met.</w:t>
      </w:r>
    </w:p>
    <w:p w:rsidR="003A0F32" w:rsidRDefault="003A0F32">
      <w:pPr>
        <w:pStyle w:val="IASBNormalnpara"/>
      </w:pPr>
      <w:r>
        <w:t>36</w:t>
      </w:r>
      <w:r>
        <w:tab/>
        <w:t xml:space="preserve">Terms and conditions of government grants vary. For example, a grant may require an entity to farm in a particular location for five years and require the entity to return </w:t>
      </w:r>
      <w:proofErr w:type="gramStart"/>
      <w:r>
        <w:t>all of the</w:t>
      </w:r>
      <w:proofErr w:type="gramEnd"/>
      <w:r>
        <w:t xml:space="preserve"> grant if it farms for a period shorter than five years. In this case, the grant is not recognised in profit or loss until the five years have passed. However, if the terms of the grant allow part of it to be retained according to the time that has elapsed, the entity recognises that part in profit or loss as time passes.</w:t>
      </w:r>
    </w:p>
    <w:p w:rsidR="003A0F32" w:rsidRDefault="003A0F32">
      <w:pPr>
        <w:pStyle w:val="IASBNormalnpara"/>
      </w:pPr>
      <w:r>
        <w:t>37</w:t>
      </w:r>
      <w:r>
        <w:tab/>
        <w:t>If a government grant relates to a biological asset measured at its cost less any accumulated depreciation and any accumulated impairment losses (see paragraph 30),</w:t>
      </w:r>
      <w:r w:rsidR="00CA5093">
        <w:t xml:space="preserve"> AASB 120</w:t>
      </w:r>
      <w:r>
        <w:t xml:space="preserve"> is applied. </w:t>
      </w:r>
    </w:p>
    <w:p w:rsidR="003A0F32" w:rsidRDefault="003A0F32">
      <w:pPr>
        <w:pStyle w:val="IASBNormalnpara"/>
      </w:pPr>
      <w:r>
        <w:t>38</w:t>
      </w:r>
      <w:r>
        <w:tab/>
        <w:t>This Standard requires a different treatment from</w:t>
      </w:r>
      <w:r w:rsidR="00CA5093">
        <w:t xml:space="preserve"> AASB 120</w:t>
      </w:r>
      <w:r>
        <w:t>, if a government grant relates to a biological asset measured at its fair value less costs to sell or a government grant requires an entity not to engage in specified agricultural activity.</w:t>
      </w:r>
      <w:r w:rsidR="00CA5093">
        <w:t xml:space="preserve"> AASB 120</w:t>
      </w:r>
      <w:r>
        <w:t xml:space="preserve"> is applied only to a government grant related to a biological asset measured at its cost less any accumulated depreciation and any accumulated impairment losses.</w:t>
      </w:r>
    </w:p>
    <w:p w:rsidR="005E2059" w:rsidRDefault="005E2059" w:rsidP="005E2059">
      <w:pPr>
        <w:pStyle w:val="AusBold"/>
      </w:pPr>
      <w:r>
        <w:t>Aus</w:t>
      </w:r>
      <w:r w:rsidRPr="005E2059">
        <w:t>38.1</w:t>
      </w:r>
      <w:r w:rsidRPr="005E2059">
        <w:tab/>
        <w:t>Notwithstanding paragraphs 34</w:t>
      </w:r>
      <w:r w:rsidR="00E83245">
        <w:t>–</w:t>
      </w:r>
      <w:r w:rsidRPr="005E2059">
        <w:t xml:space="preserve">38, not-for-profit entities recognise government grants related to a biological asset in accordance with AASB 1004 </w:t>
      </w:r>
      <w:r w:rsidRPr="00E83245">
        <w:rPr>
          <w:i/>
        </w:rPr>
        <w:t>Contributions</w:t>
      </w:r>
      <w:r w:rsidRPr="005E2059">
        <w:t>.</w:t>
      </w:r>
    </w:p>
    <w:p w:rsidR="003A0F32" w:rsidRDefault="003A0F32">
      <w:pPr>
        <w:pStyle w:val="IASBSectionTitle1NonInd"/>
      </w:pPr>
      <w:r>
        <w:t>Disclosure</w:t>
      </w:r>
    </w:p>
    <w:p w:rsidR="003A0F32" w:rsidRDefault="003A0F32">
      <w:pPr>
        <w:pStyle w:val="IASBNormalnpara"/>
        <w:rPr>
          <w:b/>
        </w:rPr>
      </w:pPr>
      <w:r>
        <w:rPr>
          <w:b/>
        </w:rPr>
        <w:t>39</w:t>
      </w:r>
      <w:r>
        <w:rPr>
          <w:b/>
        </w:rPr>
        <w:tab/>
      </w:r>
      <w:r>
        <w:t>[Deleted]</w:t>
      </w:r>
    </w:p>
    <w:p w:rsidR="003A0F32" w:rsidRDefault="003A0F32">
      <w:pPr>
        <w:pStyle w:val="IASBSectionTitle2Ind"/>
      </w:pPr>
      <w:r>
        <w:t>General</w:t>
      </w:r>
    </w:p>
    <w:p w:rsidR="003A0F32" w:rsidRPr="00805496" w:rsidRDefault="003A0F32" w:rsidP="00805496">
      <w:pPr>
        <w:pStyle w:val="RDRM1"/>
        <w:rPr>
          <w:b/>
        </w:rPr>
      </w:pPr>
      <w:r w:rsidRPr="00805496">
        <w:rPr>
          <w:b/>
        </w:rPr>
        <w:t>40</w:t>
      </w:r>
      <w:r w:rsidRPr="00805496">
        <w:rPr>
          <w:b/>
        </w:rPr>
        <w:tab/>
        <w:t>An entity shall disclose the aggregate gain or loss arising during the current period on initial recognition of biological assets and agricultural produce and from the change in fair value less costs to sell of biological assets.</w:t>
      </w:r>
    </w:p>
    <w:p w:rsidR="003A0F32" w:rsidRDefault="003A0F32">
      <w:pPr>
        <w:pStyle w:val="IASBNormalnpara"/>
        <w:rPr>
          <w:b/>
        </w:rPr>
      </w:pPr>
      <w:r>
        <w:rPr>
          <w:b/>
        </w:rPr>
        <w:t>41</w:t>
      </w:r>
      <w:r>
        <w:rPr>
          <w:b/>
        </w:rPr>
        <w:tab/>
        <w:t>An entity shall provide a description of each group of biological assets.</w:t>
      </w:r>
    </w:p>
    <w:p w:rsidR="003A0F32" w:rsidRDefault="003A0F32">
      <w:pPr>
        <w:pStyle w:val="IASBNormalnpara"/>
      </w:pPr>
      <w:r>
        <w:t>42</w:t>
      </w:r>
      <w:r>
        <w:tab/>
        <w:t xml:space="preserve">The disclosure required by paragraph 41 may take the form of a narrative or quantified description. </w:t>
      </w:r>
    </w:p>
    <w:p w:rsidR="003A0F32" w:rsidRPr="00805496" w:rsidRDefault="003A0F32" w:rsidP="00805496">
      <w:pPr>
        <w:pStyle w:val="RDRM1"/>
      </w:pPr>
      <w:r w:rsidRPr="00805496">
        <w:t>43</w:t>
      </w:r>
      <w:r w:rsidRPr="00805496">
        <w:tab/>
        <w:t>An entity is encouraged to provide a quantified description of each group of biological assets, distinguishing between consumable and bearer biological assets or between mature and immature biological assets, as appropriate. For example, an entity may disclose the carrying amounts of consumable biological assets and bearer biological assets by group. An entity may further divide those carrying amounts between mature and immature assets. These distinctions provide information that may be helpful in assessing the timing of future cash flows. An entity discloses the basis for making any such distinctions.</w:t>
      </w:r>
    </w:p>
    <w:p w:rsidR="003A0F32" w:rsidRPr="00805496" w:rsidRDefault="003A0F32" w:rsidP="00805496">
      <w:pPr>
        <w:pStyle w:val="RDRM1"/>
      </w:pPr>
      <w:r w:rsidRPr="00805496">
        <w:t>44</w:t>
      </w:r>
      <w:r w:rsidRPr="00805496">
        <w:tab/>
        <w:t>Consumable biological assets are those that are to be harvested as agricultural produce or sold as biological assets. Examples of consumable biological assets are livestock intended for the production of meat, livestock held for sale, fish in farms, crops such as maize and wheat, produce on a bearer plant and trees being grown for lumber. Bearer biological assets are those other than consumable biological assets; for example, livestock from which milk is produced and fruit trees from which fruit is harvested. Bearer biological assets are not agricultural produce but, rather, are held to bear produce.</w:t>
      </w:r>
    </w:p>
    <w:p w:rsidR="003A0F32" w:rsidRPr="00805496" w:rsidRDefault="003A0F32" w:rsidP="00805496">
      <w:pPr>
        <w:pStyle w:val="RDRM1"/>
      </w:pPr>
      <w:r w:rsidRPr="00805496">
        <w:t>45</w:t>
      </w:r>
      <w:r w:rsidRPr="00805496">
        <w:tab/>
        <w:t>Biological assets may be classified either as mature biological assets or immature biological assets. Mature biological assets are those that have attained harvestable specifications (for consumable biological assets) or are able to sustain regular harvests (for bearer biological assets).</w:t>
      </w:r>
    </w:p>
    <w:p w:rsidR="003A0F32" w:rsidRPr="00805496" w:rsidRDefault="003A0F32" w:rsidP="00805496">
      <w:pPr>
        <w:pStyle w:val="RDRM1"/>
        <w:rPr>
          <w:b/>
        </w:rPr>
      </w:pPr>
      <w:r w:rsidRPr="00805496">
        <w:rPr>
          <w:b/>
        </w:rPr>
        <w:t>46</w:t>
      </w:r>
      <w:r w:rsidRPr="00805496">
        <w:rPr>
          <w:b/>
        </w:rPr>
        <w:tab/>
        <w:t xml:space="preserve">If not disclosed elsewhere in information published with the financial statements, an entity shall describe: </w:t>
      </w:r>
    </w:p>
    <w:p w:rsidR="003A0F32" w:rsidRPr="00805496" w:rsidRDefault="00805496" w:rsidP="00805496">
      <w:pPr>
        <w:pStyle w:val="RDRM2"/>
        <w:rPr>
          <w:b/>
        </w:rPr>
      </w:pPr>
      <w:r>
        <w:rPr>
          <w:b/>
        </w:rPr>
        <w:tab/>
      </w:r>
      <w:r w:rsidR="003A0F32" w:rsidRPr="00805496">
        <w:rPr>
          <w:b/>
        </w:rPr>
        <w:t>(a)</w:t>
      </w:r>
      <w:r w:rsidR="003A0F32" w:rsidRPr="00805496">
        <w:rPr>
          <w:b/>
        </w:rPr>
        <w:tab/>
      </w:r>
      <w:proofErr w:type="gramStart"/>
      <w:r w:rsidR="003A0F32" w:rsidRPr="00805496">
        <w:rPr>
          <w:b/>
        </w:rPr>
        <w:t>the</w:t>
      </w:r>
      <w:proofErr w:type="gramEnd"/>
      <w:r w:rsidR="003A0F32" w:rsidRPr="00805496">
        <w:rPr>
          <w:b/>
        </w:rPr>
        <w:t xml:space="preserve"> nature of its activities involving each group of biological assets; and</w:t>
      </w:r>
    </w:p>
    <w:p w:rsidR="003A0F32" w:rsidRPr="00805496" w:rsidRDefault="00805496" w:rsidP="00805496">
      <w:pPr>
        <w:pStyle w:val="RDRM2"/>
        <w:rPr>
          <w:b/>
        </w:rPr>
      </w:pPr>
      <w:r>
        <w:rPr>
          <w:b/>
        </w:rPr>
        <w:tab/>
      </w:r>
      <w:r w:rsidR="003A0F32" w:rsidRPr="00805496">
        <w:rPr>
          <w:b/>
        </w:rPr>
        <w:t>(b)</w:t>
      </w:r>
      <w:r w:rsidR="003A0F32" w:rsidRPr="00805496">
        <w:rPr>
          <w:b/>
        </w:rPr>
        <w:tab/>
      </w:r>
      <w:proofErr w:type="gramStart"/>
      <w:r w:rsidR="003A0F32" w:rsidRPr="00805496">
        <w:rPr>
          <w:b/>
        </w:rPr>
        <w:t>non-financial</w:t>
      </w:r>
      <w:proofErr w:type="gramEnd"/>
      <w:r w:rsidR="003A0F32" w:rsidRPr="00805496">
        <w:rPr>
          <w:b/>
        </w:rPr>
        <w:t xml:space="preserve"> measures or estimates of the physical quantities of:</w:t>
      </w:r>
    </w:p>
    <w:p w:rsidR="003A0F32" w:rsidRPr="00805496" w:rsidRDefault="00805496" w:rsidP="00805496">
      <w:pPr>
        <w:pStyle w:val="RDRM3"/>
        <w:rPr>
          <w:b/>
        </w:rPr>
      </w:pPr>
      <w:r>
        <w:rPr>
          <w:b/>
        </w:rPr>
        <w:tab/>
      </w:r>
      <w:r w:rsidR="003A0F32" w:rsidRPr="00805496">
        <w:rPr>
          <w:b/>
        </w:rPr>
        <w:t>(</w:t>
      </w:r>
      <w:proofErr w:type="spellStart"/>
      <w:r w:rsidR="003A0F32" w:rsidRPr="00805496">
        <w:rPr>
          <w:b/>
        </w:rPr>
        <w:t>i</w:t>
      </w:r>
      <w:proofErr w:type="spellEnd"/>
      <w:r w:rsidR="003A0F32" w:rsidRPr="00805496">
        <w:rPr>
          <w:b/>
        </w:rPr>
        <w:t>)</w:t>
      </w:r>
      <w:r w:rsidR="003A0F32" w:rsidRPr="00805496">
        <w:rPr>
          <w:b/>
        </w:rPr>
        <w:tab/>
      </w:r>
      <w:proofErr w:type="gramStart"/>
      <w:r w:rsidR="003A0F32" w:rsidRPr="00805496">
        <w:rPr>
          <w:b/>
        </w:rPr>
        <w:t>each</w:t>
      </w:r>
      <w:proofErr w:type="gramEnd"/>
      <w:r w:rsidR="003A0F32" w:rsidRPr="00805496">
        <w:rPr>
          <w:b/>
        </w:rPr>
        <w:t xml:space="preserve"> group of the entity’s biological assets at the end of the period; and</w:t>
      </w:r>
    </w:p>
    <w:p w:rsidR="003A0F32" w:rsidRPr="00B13672" w:rsidRDefault="00B13672" w:rsidP="00B13672">
      <w:pPr>
        <w:pStyle w:val="RDRM3"/>
        <w:rPr>
          <w:b/>
        </w:rPr>
      </w:pPr>
      <w:r>
        <w:rPr>
          <w:b/>
        </w:rPr>
        <w:tab/>
      </w:r>
      <w:r w:rsidR="003A0F32" w:rsidRPr="00B13672">
        <w:rPr>
          <w:b/>
        </w:rPr>
        <w:t>(ii)</w:t>
      </w:r>
      <w:r w:rsidR="003A0F32" w:rsidRPr="00B13672">
        <w:rPr>
          <w:b/>
        </w:rPr>
        <w:tab/>
      </w:r>
      <w:proofErr w:type="gramStart"/>
      <w:r w:rsidR="003A0F32" w:rsidRPr="00B13672">
        <w:rPr>
          <w:b/>
        </w:rPr>
        <w:t>output</w:t>
      </w:r>
      <w:proofErr w:type="gramEnd"/>
      <w:r w:rsidR="003A0F32" w:rsidRPr="00B13672">
        <w:rPr>
          <w:b/>
        </w:rPr>
        <w:t xml:space="preserve"> of agricultural produce during the period.</w:t>
      </w:r>
    </w:p>
    <w:p w:rsidR="003A0F32" w:rsidRDefault="003A0F32" w:rsidP="00B13672">
      <w:pPr>
        <w:pStyle w:val="IASBNormal"/>
        <w:tabs>
          <w:tab w:val="clear" w:pos="4253"/>
          <w:tab w:val="left" w:pos="782"/>
        </w:tabs>
        <w:rPr>
          <w:b/>
        </w:rPr>
      </w:pPr>
      <w:r>
        <w:rPr>
          <w:b/>
        </w:rPr>
        <w:lastRenderedPageBreak/>
        <w:t>47</w:t>
      </w:r>
      <w:r w:rsidR="00B13672">
        <w:rPr>
          <w:b/>
        </w:rPr>
        <w:t>–</w:t>
      </w:r>
      <w:r w:rsidR="00B13672">
        <w:rPr>
          <w:b/>
        </w:rPr>
        <w:br/>
      </w:r>
      <w:r>
        <w:rPr>
          <w:b/>
        </w:rPr>
        <w:t>48</w:t>
      </w:r>
      <w:r>
        <w:rPr>
          <w:b/>
        </w:rPr>
        <w:tab/>
      </w:r>
      <w:r>
        <w:t>[Deleted]</w:t>
      </w:r>
    </w:p>
    <w:p w:rsidR="003A0F32" w:rsidRPr="00B13672" w:rsidRDefault="003A0F32" w:rsidP="00B13672">
      <w:pPr>
        <w:pStyle w:val="RDRM1"/>
        <w:rPr>
          <w:b/>
        </w:rPr>
      </w:pPr>
      <w:r w:rsidRPr="00B13672">
        <w:rPr>
          <w:b/>
        </w:rPr>
        <w:t>49</w:t>
      </w:r>
      <w:r w:rsidRPr="00B13672">
        <w:rPr>
          <w:b/>
        </w:rPr>
        <w:tab/>
        <w:t xml:space="preserve">An entity shall disclose: </w:t>
      </w:r>
    </w:p>
    <w:p w:rsidR="003A0F32" w:rsidRPr="00B13672" w:rsidRDefault="00B13672" w:rsidP="00B13672">
      <w:pPr>
        <w:pStyle w:val="RDRM2"/>
        <w:rPr>
          <w:b/>
        </w:rPr>
      </w:pPr>
      <w:r>
        <w:rPr>
          <w:b/>
        </w:rPr>
        <w:tab/>
      </w:r>
      <w:r w:rsidR="003A0F32" w:rsidRPr="00B13672">
        <w:rPr>
          <w:b/>
        </w:rPr>
        <w:t>(a)</w:t>
      </w:r>
      <w:r w:rsidR="003A0F32" w:rsidRPr="00B13672">
        <w:rPr>
          <w:b/>
        </w:rPr>
        <w:tab/>
        <w:t>the existence and carrying amounts of biological assets whose title is restricted, and the carrying amounts of biological assets pledged as security for liabilities;</w:t>
      </w:r>
    </w:p>
    <w:p w:rsidR="003A0F32" w:rsidRPr="00B13672" w:rsidRDefault="00B13672" w:rsidP="00B13672">
      <w:pPr>
        <w:pStyle w:val="RDRM2"/>
        <w:rPr>
          <w:b/>
        </w:rPr>
      </w:pPr>
      <w:r>
        <w:rPr>
          <w:b/>
        </w:rPr>
        <w:tab/>
      </w:r>
      <w:r w:rsidR="003A0F32" w:rsidRPr="00B13672">
        <w:rPr>
          <w:b/>
        </w:rPr>
        <w:t>(b)</w:t>
      </w:r>
      <w:r w:rsidR="003A0F32" w:rsidRPr="00B13672">
        <w:rPr>
          <w:b/>
        </w:rPr>
        <w:tab/>
      </w:r>
      <w:proofErr w:type="gramStart"/>
      <w:r w:rsidR="003A0F32" w:rsidRPr="00B13672">
        <w:rPr>
          <w:b/>
        </w:rPr>
        <w:t>the</w:t>
      </w:r>
      <w:proofErr w:type="gramEnd"/>
      <w:r w:rsidR="003A0F32" w:rsidRPr="00B13672">
        <w:rPr>
          <w:b/>
        </w:rPr>
        <w:t xml:space="preserve"> amount of commitments for the development or acquisition of biological assets; and</w:t>
      </w:r>
    </w:p>
    <w:p w:rsidR="003A0F32" w:rsidRPr="00B13672" w:rsidRDefault="00B13672" w:rsidP="00B13672">
      <w:pPr>
        <w:pStyle w:val="RDRM2"/>
        <w:rPr>
          <w:b/>
        </w:rPr>
      </w:pPr>
      <w:r>
        <w:rPr>
          <w:b/>
        </w:rPr>
        <w:tab/>
      </w:r>
      <w:r w:rsidR="003A0F32" w:rsidRPr="00B13672">
        <w:rPr>
          <w:b/>
        </w:rPr>
        <w:t>(c)</w:t>
      </w:r>
      <w:r w:rsidR="003A0F32" w:rsidRPr="00B13672">
        <w:rPr>
          <w:b/>
        </w:rPr>
        <w:tab/>
      </w:r>
      <w:proofErr w:type="gramStart"/>
      <w:r w:rsidR="003A0F32" w:rsidRPr="00B13672">
        <w:rPr>
          <w:b/>
        </w:rPr>
        <w:t>financial</w:t>
      </w:r>
      <w:proofErr w:type="gramEnd"/>
      <w:r w:rsidR="003A0F32" w:rsidRPr="00B13672">
        <w:rPr>
          <w:b/>
        </w:rPr>
        <w:t xml:space="preserve"> risk management strategies related to agricultural activity.</w:t>
      </w:r>
    </w:p>
    <w:p w:rsidR="003A0F32" w:rsidRDefault="003A0F32">
      <w:pPr>
        <w:pStyle w:val="IASBNormalnpara"/>
        <w:rPr>
          <w:b/>
        </w:rPr>
      </w:pPr>
      <w:r>
        <w:rPr>
          <w:b/>
        </w:rPr>
        <w:t>50</w:t>
      </w:r>
      <w:r>
        <w:rPr>
          <w:b/>
        </w:rPr>
        <w:tab/>
        <w:t xml:space="preserve">An entity shall present a reconciliation of changes in the carrying amount of biological assets between the beginning and the end of the current period. The reconciliation shall include: </w:t>
      </w:r>
    </w:p>
    <w:p w:rsidR="003A0F32" w:rsidRDefault="003A0F32">
      <w:pPr>
        <w:pStyle w:val="IASBNormalnparaL1"/>
      </w:pPr>
      <w:r>
        <w:rPr>
          <w:b/>
        </w:rPr>
        <w:t>(a)</w:t>
      </w:r>
      <w:r>
        <w:tab/>
      </w:r>
      <w:proofErr w:type="gramStart"/>
      <w:r>
        <w:rPr>
          <w:b/>
        </w:rPr>
        <w:t>the</w:t>
      </w:r>
      <w:proofErr w:type="gramEnd"/>
      <w:r>
        <w:rPr>
          <w:b/>
        </w:rPr>
        <w:t xml:space="preserve"> gain or loss arising from changes in fair value less costs to sell;</w:t>
      </w:r>
    </w:p>
    <w:p w:rsidR="003A0F32" w:rsidRDefault="003A0F32">
      <w:pPr>
        <w:pStyle w:val="IASBNormalnparaL1"/>
      </w:pPr>
      <w:r>
        <w:rPr>
          <w:b/>
        </w:rPr>
        <w:t>(</w:t>
      </w:r>
      <w:proofErr w:type="gramStart"/>
      <w:r>
        <w:rPr>
          <w:b/>
        </w:rPr>
        <w:t>b</w:t>
      </w:r>
      <w:proofErr w:type="gramEnd"/>
      <w:r>
        <w:rPr>
          <w:b/>
        </w:rPr>
        <w:t>)</w:t>
      </w:r>
      <w:r>
        <w:tab/>
      </w:r>
      <w:r>
        <w:rPr>
          <w:b/>
        </w:rPr>
        <w:t>increases due to purchases;</w:t>
      </w:r>
    </w:p>
    <w:p w:rsidR="003A0F32" w:rsidRDefault="003A0F32">
      <w:pPr>
        <w:pStyle w:val="IASBNormalnparaL1"/>
      </w:pPr>
      <w:r>
        <w:rPr>
          <w:b/>
        </w:rPr>
        <w:t>(c)</w:t>
      </w:r>
      <w:r>
        <w:tab/>
      </w:r>
      <w:r>
        <w:rPr>
          <w:b/>
        </w:rPr>
        <w:t>decreases attributable to sales and biological assets classified as held for sale (or included in a disposal group that is classified as held for sale) in accordance with</w:t>
      </w:r>
      <w:r w:rsidR="00CA5093">
        <w:rPr>
          <w:b/>
        </w:rPr>
        <w:t xml:space="preserve"> AASB 5</w:t>
      </w:r>
      <w:r>
        <w:rPr>
          <w:b/>
        </w:rPr>
        <w:t>;</w:t>
      </w:r>
    </w:p>
    <w:p w:rsidR="003A0F32" w:rsidRDefault="003A0F32">
      <w:pPr>
        <w:pStyle w:val="IASBNormalnparaL1"/>
      </w:pPr>
      <w:r>
        <w:rPr>
          <w:b/>
        </w:rPr>
        <w:t>(d)</w:t>
      </w:r>
      <w:r>
        <w:tab/>
      </w:r>
      <w:proofErr w:type="gramStart"/>
      <w:r>
        <w:rPr>
          <w:b/>
        </w:rPr>
        <w:t>decreases</w:t>
      </w:r>
      <w:proofErr w:type="gramEnd"/>
      <w:r>
        <w:rPr>
          <w:b/>
        </w:rPr>
        <w:t xml:space="preserve"> due to harvest;</w:t>
      </w:r>
    </w:p>
    <w:p w:rsidR="003A0F32" w:rsidRDefault="003A0F32">
      <w:pPr>
        <w:pStyle w:val="IASBNormalnparaL1"/>
      </w:pPr>
      <w:r>
        <w:rPr>
          <w:b/>
        </w:rPr>
        <w:t>(e)</w:t>
      </w:r>
      <w:r>
        <w:tab/>
      </w:r>
      <w:proofErr w:type="gramStart"/>
      <w:r>
        <w:rPr>
          <w:b/>
        </w:rPr>
        <w:t>increases</w:t>
      </w:r>
      <w:proofErr w:type="gramEnd"/>
      <w:r>
        <w:rPr>
          <w:b/>
        </w:rPr>
        <w:t xml:space="preserve"> resulting from business combinations;</w:t>
      </w:r>
    </w:p>
    <w:p w:rsidR="003A0F32" w:rsidRDefault="003A0F32">
      <w:pPr>
        <w:pStyle w:val="IASBNormalnparaL1"/>
      </w:pPr>
      <w:r>
        <w:rPr>
          <w:b/>
        </w:rPr>
        <w:t>(f)</w:t>
      </w:r>
      <w:r>
        <w:tab/>
      </w:r>
      <w:proofErr w:type="gramStart"/>
      <w:r>
        <w:rPr>
          <w:b/>
        </w:rPr>
        <w:t>net</w:t>
      </w:r>
      <w:proofErr w:type="gramEnd"/>
      <w:r>
        <w:rPr>
          <w:b/>
        </w:rPr>
        <w:t xml:space="preserve"> exchange differences</w:t>
      </w:r>
      <w:r>
        <w:t xml:space="preserve"> </w:t>
      </w:r>
      <w:r>
        <w:rPr>
          <w:b/>
        </w:rPr>
        <w:t>arising on the translation of financial statements</w:t>
      </w:r>
      <w:r>
        <w:t xml:space="preserve"> </w:t>
      </w:r>
      <w:r>
        <w:rPr>
          <w:b/>
        </w:rPr>
        <w:t>into a different presentation currency, and on the translation of a foreign operation into the presentation currency of the reporting entity; and</w:t>
      </w:r>
    </w:p>
    <w:p w:rsidR="003A0F32" w:rsidRDefault="003A0F32">
      <w:pPr>
        <w:pStyle w:val="IASBNormalnparaL1"/>
      </w:pPr>
      <w:r>
        <w:rPr>
          <w:b/>
        </w:rPr>
        <w:t>(g)</w:t>
      </w:r>
      <w:r>
        <w:tab/>
      </w:r>
      <w:proofErr w:type="gramStart"/>
      <w:r>
        <w:rPr>
          <w:b/>
        </w:rPr>
        <w:t>other</w:t>
      </w:r>
      <w:proofErr w:type="gramEnd"/>
      <w:r>
        <w:rPr>
          <w:b/>
        </w:rPr>
        <w:t xml:space="preserve"> changes.</w:t>
      </w:r>
    </w:p>
    <w:p w:rsidR="003A0F32" w:rsidRPr="00B13672" w:rsidRDefault="003A0F32" w:rsidP="00B13672">
      <w:pPr>
        <w:pStyle w:val="RDRM1"/>
      </w:pPr>
      <w:r w:rsidRPr="00B13672">
        <w:t>51</w:t>
      </w:r>
      <w:r w:rsidRPr="00B13672">
        <w:tab/>
        <w:t>The fair value less costs to sell of a biological asset can change due to both physical changes and price changes in the market. Separate disclosure of physical and price changes is useful in appraising current period performance and future prospects, particularly when there is a production cycle of more than one year. In such cases, an entity is encouraged to disclose, by group or otherwise, the amount of change in fair value less costs to sell included in profit or loss due to physical changes and due to price changes. This information is generally less useful when the production cycle is less than one year (for example, when raising chickens or growing cereal crops).</w:t>
      </w:r>
    </w:p>
    <w:p w:rsidR="003A0F32" w:rsidRPr="00B13672" w:rsidRDefault="003A0F32" w:rsidP="00B13672">
      <w:pPr>
        <w:pStyle w:val="RDRM1"/>
      </w:pPr>
      <w:r w:rsidRPr="00B13672">
        <w:t>52</w:t>
      </w:r>
      <w:r w:rsidRPr="00B13672">
        <w:tab/>
        <w:t xml:space="preserve">Biological transformation results in a number of types of physical change—growth, degeneration, production, and procreation, each of which is observable and measurable. Each of those physical changes has a direct relationship to future economic benefits. A change in fair value of a biological asset due to harvesting is also a physical change. </w:t>
      </w:r>
    </w:p>
    <w:p w:rsidR="003A0F32" w:rsidRPr="00B13672" w:rsidRDefault="003A0F32" w:rsidP="00B13672">
      <w:pPr>
        <w:pStyle w:val="RDRM1"/>
      </w:pPr>
      <w:r w:rsidRPr="00B13672">
        <w:t>53</w:t>
      </w:r>
      <w:r w:rsidRPr="00B13672">
        <w:tab/>
        <w:t>Agricultural activity is often exposed to climatic, disease and other natural risks. If an event occurs that gives rise to a material item of income or expense, the nature and amount of that item are disclosed in accordance with</w:t>
      </w:r>
      <w:r w:rsidR="00CA5093" w:rsidRPr="00B13672">
        <w:t xml:space="preserve"> AASB 101</w:t>
      </w:r>
      <w:r w:rsidRPr="00B13672">
        <w:t xml:space="preserve"> </w:t>
      </w:r>
      <w:r w:rsidRPr="00B13672">
        <w:rPr>
          <w:i/>
        </w:rPr>
        <w:t>Presentation of Financial Statements</w:t>
      </w:r>
      <w:r w:rsidRPr="00B13672">
        <w:t xml:space="preserve">. Examples of such an event include an outbreak of a virulent disease, a flood, a severe drought or frost, and a plague of insects. </w:t>
      </w:r>
    </w:p>
    <w:p w:rsidR="003A0F32" w:rsidRDefault="003A0F32">
      <w:pPr>
        <w:pStyle w:val="IASBSectionTitle2Ind"/>
      </w:pPr>
      <w:r>
        <w:t>Additional disclosures for biological assets where fair value cannot be measured reliably</w:t>
      </w:r>
    </w:p>
    <w:p w:rsidR="003A0F32" w:rsidRDefault="003A0F32">
      <w:pPr>
        <w:pStyle w:val="IASBNormalnpara"/>
        <w:rPr>
          <w:b/>
        </w:rPr>
      </w:pPr>
      <w:r>
        <w:rPr>
          <w:b/>
        </w:rPr>
        <w:t>54</w:t>
      </w:r>
      <w:r>
        <w:rPr>
          <w:b/>
        </w:rPr>
        <w:tab/>
        <w:t xml:space="preserve">If an entity measures biological assets at their cost less any accumulated depreciation and any accumulated impairment losses (see paragraph 30) at the end of the period, the entity shall disclose for such biological assets: </w:t>
      </w:r>
    </w:p>
    <w:p w:rsidR="003A0F32" w:rsidRDefault="003A0F32">
      <w:pPr>
        <w:pStyle w:val="IASBNormalnparaL1"/>
      </w:pPr>
      <w:r>
        <w:rPr>
          <w:b/>
        </w:rPr>
        <w:t>(a)</w:t>
      </w:r>
      <w:r>
        <w:tab/>
      </w:r>
      <w:proofErr w:type="gramStart"/>
      <w:r>
        <w:rPr>
          <w:b/>
        </w:rPr>
        <w:t>a</w:t>
      </w:r>
      <w:proofErr w:type="gramEnd"/>
      <w:r>
        <w:rPr>
          <w:b/>
        </w:rPr>
        <w:t xml:space="preserve"> description of the biological assets;</w:t>
      </w:r>
    </w:p>
    <w:p w:rsidR="003A0F32" w:rsidRDefault="003A0F32">
      <w:pPr>
        <w:pStyle w:val="IASBNormalnparaL1"/>
      </w:pPr>
      <w:r>
        <w:rPr>
          <w:b/>
        </w:rPr>
        <w:t>(b)</w:t>
      </w:r>
      <w:r>
        <w:tab/>
      </w:r>
      <w:proofErr w:type="gramStart"/>
      <w:r>
        <w:rPr>
          <w:b/>
        </w:rPr>
        <w:t>an</w:t>
      </w:r>
      <w:proofErr w:type="gramEnd"/>
      <w:r>
        <w:rPr>
          <w:b/>
        </w:rPr>
        <w:t xml:space="preserve"> explanation of why fair value cannot be measured reliably;</w:t>
      </w:r>
    </w:p>
    <w:p w:rsidR="003A0F32" w:rsidRPr="00B13672" w:rsidRDefault="003A0F32" w:rsidP="00B13672">
      <w:pPr>
        <w:pStyle w:val="RDR11"/>
        <w:rPr>
          <w:b/>
        </w:rPr>
      </w:pPr>
      <w:r w:rsidRPr="00B13672">
        <w:rPr>
          <w:b/>
        </w:rPr>
        <w:t>(c)</w:t>
      </w:r>
      <w:r w:rsidRPr="00B13672">
        <w:rPr>
          <w:b/>
        </w:rPr>
        <w:tab/>
      </w:r>
      <w:proofErr w:type="gramStart"/>
      <w:r w:rsidRPr="00B13672">
        <w:rPr>
          <w:b/>
        </w:rPr>
        <w:t>if</w:t>
      </w:r>
      <w:proofErr w:type="gramEnd"/>
      <w:r w:rsidRPr="00B13672">
        <w:rPr>
          <w:b/>
        </w:rPr>
        <w:t xml:space="preserve"> possible, the range of estimates within which fair value is highly likely to lie;</w:t>
      </w:r>
    </w:p>
    <w:p w:rsidR="003A0F32" w:rsidRDefault="003A0F32">
      <w:pPr>
        <w:pStyle w:val="IASBNormalnparaL1"/>
      </w:pPr>
      <w:r>
        <w:rPr>
          <w:b/>
        </w:rPr>
        <w:t>(d)</w:t>
      </w:r>
      <w:r>
        <w:tab/>
      </w:r>
      <w:proofErr w:type="gramStart"/>
      <w:r>
        <w:rPr>
          <w:b/>
        </w:rPr>
        <w:t>the</w:t>
      </w:r>
      <w:proofErr w:type="gramEnd"/>
      <w:r>
        <w:rPr>
          <w:b/>
        </w:rPr>
        <w:t xml:space="preserve"> depreciation method used;</w:t>
      </w:r>
    </w:p>
    <w:p w:rsidR="003A0F32" w:rsidRDefault="003A0F32">
      <w:pPr>
        <w:pStyle w:val="IASBNormalnparaL1"/>
      </w:pPr>
      <w:r>
        <w:rPr>
          <w:b/>
        </w:rPr>
        <w:t>(e)</w:t>
      </w:r>
      <w:r>
        <w:tab/>
      </w:r>
      <w:proofErr w:type="gramStart"/>
      <w:r>
        <w:rPr>
          <w:b/>
        </w:rPr>
        <w:t>the</w:t>
      </w:r>
      <w:proofErr w:type="gramEnd"/>
      <w:r>
        <w:rPr>
          <w:b/>
        </w:rPr>
        <w:t xml:space="preserve"> useful lives or the depreciation rates used; and</w:t>
      </w:r>
    </w:p>
    <w:p w:rsidR="003A0F32" w:rsidRDefault="003A0F32">
      <w:pPr>
        <w:pStyle w:val="IASBNormalnparaL1"/>
      </w:pPr>
      <w:r>
        <w:rPr>
          <w:b/>
        </w:rPr>
        <w:t>(f)</w:t>
      </w:r>
      <w:r>
        <w:tab/>
      </w:r>
      <w:proofErr w:type="gramStart"/>
      <w:r>
        <w:rPr>
          <w:b/>
        </w:rPr>
        <w:t>the</w:t>
      </w:r>
      <w:proofErr w:type="gramEnd"/>
      <w:r>
        <w:rPr>
          <w:b/>
        </w:rPr>
        <w:t xml:space="preserve"> gross carrying amount and the accumulated depreciation (aggregated with accumulated impairment losses) at the beginning and end of the period.</w:t>
      </w:r>
    </w:p>
    <w:p w:rsidR="003A0F32" w:rsidRPr="00B13672" w:rsidRDefault="003A0F32" w:rsidP="00B13672">
      <w:pPr>
        <w:pStyle w:val="RDRM1"/>
        <w:rPr>
          <w:b/>
        </w:rPr>
      </w:pPr>
      <w:r w:rsidRPr="00B13672">
        <w:rPr>
          <w:b/>
        </w:rPr>
        <w:t>55</w:t>
      </w:r>
      <w:r w:rsidRPr="00B13672">
        <w:rPr>
          <w:b/>
        </w:rPr>
        <w:tab/>
        <w:t xml:space="preserve">If, during the current period, an entity measures biological assets at their cost less any accumulated depreciation and any accumulated impairment losses (see paragraph 30), an entity shall disclose any gain or loss recognised on disposal of such biological assets and the reconciliation required by paragraph 50 shall disclose amounts related to such biological assets separately. In addition, the </w:t>
      </w:r>
      <w:r w:rsidRPr="00B13672">
        <w:rPr>
          <w:b/>
        </w:rPr>
        <w:lastRenderedPageBreak/>
        <w:t xml:space="preserve">reconciliation shall include the following amounts included in profit or loss related to those biological assets: </w:t>
      </w:r>
    </w:p>
    <w:p w:rsidR="003A0F32" w:rsidRPr="00B13672" w:rsidRDefault="00B13672" w:rsidP="00B13672">
      <w:pPr>
        <w:pStyle w:val="RDRM2"/>
        <w:rPr>
          <w:b/>
        </w:rPr>
      </w:pPr>
      <w:r>
        <w:rPr>
          <w:b/>
        </w:rPr>
        <w:tab/>
      </w:r>
      <w:r w:rsidR="003A0F32" w:rsidRPr="00B13672">
        <w:rPr>
          <w:b/>
        </w:rPr>
        <w:t>(a)</w:t>
      </w:r>
      <w:r w:rsidR="003A0F32" w:rsidRPr="00B13672">
        <w:rPr>
          <w:b/>
        </w:rPr>
        <w:tab/>
      </w:r>
      <w:proofErr w:type="gramStart"/>
      <w:r w:rsidR="003A0F32" w:rsidRPr="00B13672">
        <w:rPr>
          <w:b/>
        </w:rPr>
        <w:t>impairment</w:t>
      </w:r>
      <w:proofErr w:type="gramEnd"/>
      <w:r w:rsidR="003A0F32" w:rsidRPr="00B13672">
        <w:rPr>
          <w:b/>
        </w:rPr>
        <w:t xml:space="preserve"> losses;</w:t>
      </w:r>
    </w:p>
    <w:p w:rsidR="003A0F32" w:rsidRPr="00B13672" w:rsidRDefault="00B13672" w:rsidP="00B13672">
      <w:pPr>
        <w:pStyle w:val="RDRM2"/>
        <w:rPr>
          <w:b/>
        </w:rPr>
      </w:pPr>
      <w:r>
        <w:rPr>
          <w:b/>
        </w:rPr>
        <w:tab/>
      </w:r>
      <w:r w:rsidR="003A0F32" w:rsidRPr="00B13672">
        <w:rPr>
          <w:b/>
        </w:rPr>
        <w:t>(b)</w:t>
      </w:r>
      <w:r w:rsidR="003A0F32" w:rsidRPr="00B13672">
        <w:rPr>
          <w:b/>
        </w:rPr>
        <w:tab/>
      </w:r>
      <w:proofErr w:type="gramStart"/>
      <w:r w:rsidR="003A0F32" w:rsidRPr="00B13672">
        <w:rPr>
          <w:b/>
        </w:rPr>
        <w:t>reversals</w:t>
      </w:r>
      <w:proofErr w:type="gramEnd"/>
      <w:r w:rsidR="003A0F32" w:rsidRPr="00B13672">
        <w:rPr>
          <w:b/>
        </w:rPr>
        <w:t xml:space="preserve"> of impairment losses; and</w:t>
      </w:r>
    </w:p>
    <w:p w:rsidR="003A0F32" w:rsidRPr="00B13672" w:rsidRDefault="00B13672" w:rsidP="00B13672">
      <w:pPr>
        <w:pStyle w:val="RDRM2"/>
        <w:rPr>
          <w:b/>
        </w:rPr>
      </w:pPr>
      <w:r>
        <w:rPr>
          <w:b/>
        </w:rPr>
        <w:tab/>
      </w:r>
      <w:r w:rsidR="003A0F32" w:rsidRPr="00B13672">
        <w:rPr>
          <w:b/>
        </w:rPr>
        <w:t>(c)</w:t>
      </w:r>
      <w:r w:rsidR="003A0F32" w:rsidRPr="00B13672">
        <w:rPr>
          <w:b/>
        </w:rPr>
        <w:tab/>
      </w:r>
      <w:proofErr w:type="gramStart"/>
      <w:r w:rsidR="003A0F32" w:rsidRPr="00B13672">
        <w:rPr>
          <w:b/>
        </w:rPr>
        <w:t>depreciation</w:t>
      </w:r>
      <w:proofErr w:type="gramEnd"/>
      <w:r w:rsidR="003A0F32" w:rsidRPr="00B13672">
        <w:rPr>
          <w:b/>
        </w:rPr>
        <w:t>.</w:t>
      </w:r>
    </w:p>
    <w:p w:rsidR="003A0F32" w:rsidRPr="00B13672" w:rsidRDefault="003A0F32" w:rsidP="00B13672">
      <w:pPr>
        <w:pStyle w:val="RDRM1"/>
        <w:rPr>
          <w:b/>
        </w:rPr>
      </w:pPr>
      <w:r w:rsidRPr="00B13672">
        <w:rPr>
          <w:b/>
        </w:rPr>
        <w:t>56</w:t>
      </w:r>
      <w:r w:rsidRPr="00B13672">
        <w:rPr>
          <w:b/>
        </w:rPr>
        <w:tab/>
        <w:t xml:space="preserve">If the fair value of biological assets previously measured at their cost less any accumulated depreciation and any accumulated impairment losses becomes reliably measurable during the current period, an entity shall disclose for those biological assets: </w:t>
      </w:r>
    </w:p>
    <w:p w:rsidR="003A0F32" w:rsidRPr="00B13672" w:rsidRDefault="00B13672" w:rsidP="00B13672">
      <w:pPr>
        <w:pStyle w:val="RDRM2"/>
        <w:rPr>
          <w:b/>
        </w:rPr>
      </w:pPr>
      <w:r>
        <w:rPr>
          <w:b/>
        </w:rPr>
        <w:tab/>
      </w:r>
      <w:r w:rsidR="003A0F32" w:rsidRPr="00B13672">
        <w:rPr>
          <w:b/>
        </w:rPr>
        <w:t>(a)</w:t>
      </w:r>
      <w:r w:rsidR="003A0F32" w:rsidRPr="00B13672">
        <w:rPr>
          <w:b/>
        </w:rPr>
        <w:tab/>
      </w:r>
      <w:proofErr w:type="gramStart"/>
      <w:r w:rsidR="003A0F32" w:rsidRPr="00B13672">
        <w:rPr>
          <w:b/>
        </w:rPr>
        <w:t>a</w:t>
      </w:r>
      <w:proofErr w:type="gramEnd"/>
      <w:r w:rsidR="003A0F32" w:rsidRPr="00B13672">
        <w:rPr>
          <w:b/>
        </w:rPr>
        <w:t xml:space="preserve"> description of the biological assets;</w:t>
      </w:r>
    </w:p>
    <w:p w:rsidR="003A0F32" w:rsidRPr="00B13672" w:rsidRDefault="00B13672" w:rsidP="00B13672">
      <w:pPr>
        <w:pStyle w:val="RDRM2"/>
        <w:rPr>
          <w:b/>
        </w:rPr>
      </w:pPr>
      <w:r>
        <w:rPr>
          <w:b/>
        </w:rPr>
        <w:tab/>
      </w:r>
      <w:r w:rsidR="003A0F32" w:rsidRPr="00B13672">
        <w:rPr>
          <w:b/>
        </w:rPr>
        <w:t>(b)</w:t>
      </w:r>
      <w:r w:rsidR="003A0F32" w:rsidRPr="00B13672">
        <w:rPr>
          <w:b/>
        </w:rPr>
        <w:tab/>
      </w:r>
      <w:proofErr w:type="gramStart"/>
      <w:r w:rsidR="003A0F32" w:rsidRPr="00B13672">
        <w:rPr>
          <w:b/>
        </w:rPr>
        <w:t>an</w:t>
      </w:r>
      <w:proofErr w:type="gramEnd"/>
      <w:r w:rsidR="003A0F32" w:rsidRPr="00B13672">
        <w:rPr>
          <w:b/>
        </w:rPr>
        <w:t xml:space="preserve"> explanation of why fair value has become reliably measurable; and</w:t>
      </w:r>
    </w:p>
    <w:p w:rsidR="003A0F32" w:rsidRPr="00B13672" w:rsidRDefault="00B13672" w:rsidP="00B13672">
      <w:pPr>
        <w:pStyle w:val="RDRM2"/>
        <w:rPr>
          <w:b/>
        </w:rPr>
      </w:pPr>
      <w:r>
        <w:rPr>
          <w:b/>
        </w:rPr>
        <w:tab/>
      </w:r>
      <w:r w:rsidR="003A0F32" w:rsidRPr="00B13672">
        <w:rPr>
          <w:b/>
        </w:rPr>
        <w:t>(c)</w:t>
      </w:r>
      <w:r w:rsidR="003A0F32" w:rsidRPr="00B13672">
        <w:rPr>
          <w:b/>
        </w:rPr>
        <w:tab/>
      </w:r>
      <w:proofErr w:type="gramStart"/>
      <w:r w:rsidR="003A0F32" w:rsidRPr="00B13672">
        <w:rPr>
          <w:b/>
        </w:rPr>
        <w:t>the</w:t>
      </w:r>
      <w:proofErr w:type="gramEnd"/>
      <w:r w:rsidR="003A0F32" w:rsidRPr="00B13672">
        <w:rPr>
          <w:b/>
        </w:rPr>
        <w:t xml:space="preserve"> effect of the change.</w:t>
      </w:r>
    </w:p>
    <w:p w:rsidR="003A0F32" w:rsidRDefault="003A0F32">
      <w:pPr>
        <w:pStyle w:val="IASBSectionTitle2Ind"/>
      </w:pPr>
      <w:r>
        <w:t>Government grants</w:t>
      </w:r>
    </w:p>
    <w:p w:rsidR="003A0F32" w:rsidRDefault="003A0F32">
      <w:pPr>
        <w:pStyle w:val="IASBNormalnpara"/>
        <w:rPr>
          <w:b/>
        </w:rPr>
      </w:pPr>
      <w:r>
        <w:rPr>
          <w:b/>
        </w:rPr>
        <w:t>57</w:t>
      </w:r>
      <w:r>
        <w:rPr>
          <w:b/>
        </w:rPr>
        <w:tab/>
        <w:t xml:space="preserve">An entity shall disclose the following related to agricultural activity covered by this Standard: </w:t>
      </w:r>
    </w:p>
    <w:p w:rsidR="003A0F32" w:rsidRDefault="003A0F32">
      <w:pPr>
        <w:pStyle w:val="IASBNormalnparaL1"/>
      </w:pPr>
      <w:r>
        <w:rPr>
          <w:b/>
        </w:rPr>
        <w:t>(a)</w:t>
      </w:r>
      <w:r>
        <w:tab/>
      </w:r>
      <w:proofErr w:type="gramStart"/>
      <w:r>
        <w:rPr>
          <w:b/>
        </w:rPr>
        <w:t>the</w:t>
      </w:r>
      <w:proofErr w:type="gramEnd"/>
      <w:r>
        <w:rPr>
          <w:b/>
        </w:rPr>
        <w:t xml:space="preserve"> nature and extent of government grants recognised in the financial statements;</w:t>
      </w:r>
    </w:p>
    <w:p w:rsidR="003A0F32" w:rsidRDefault="003A0F32">
      <w:pPr>
        <w:pStyle w:val="IASBNormalnparaL1"/>
      </w:pPr>
      <w:r>
        <w:rPr>
          <w:b/>
        </w:rPr>
        <w:t>(b)</w:t>
      </w:r>
      <w:r>
        <w:tab/>
      </w:r>
      <w:proofErr w:type="gramStart"/>
      <w:r>
        <w:rPr>
          <w:b/>
        </w:rPr>
        <w:t>unfulfilled</w:t>
      </w:r>
      <w:proofErr w:type="gramEnd"/>
      <w:r>
        <w:rPr>
          <w:b/>
        </w:rPr>
        <w:t xml:space="preserve"> conditions and other contingencies attaching to government grants; and</w:t>
      </w:r>
    </w:p>
    <w:p w:rsidR="003A0F32" w:rsidRPr="00B13672" w:rsidRDefault="003A0F32" w:rsidP="00B13672">
      <w:pPr>
        <w:pStyle w:val="RDR11"/>
        <w:rPr>
          <w:b/>
        </w:rPr>
      </w:pPr>
      <w:r w:rsidRPr="00B13672">
        <w:rPr>
          <w:b/>
        </w:rPr>
        <w:t>(c)</w:t>
      </w:r>
      <w:r w:rsidRPr="00B13672">
        <w:rPr>
          <w:b/>
        </w:rPr>
        <w:tab/>
      </w:r>
      <w:proofErr w:type="gramStart"/>
      <w:r w:rsidRPr="00B13672">
        <w:rPr>
          <w:b/>
        </w:rPr>
        <w:t>significant</w:t>
      </w:r>
      <w:proofErr w:type="gramEnd"/>
      <w:r w:rsidRPr="00B13672">
        <w:rPr>
          <w:b/>
        </w:rPr>
        <w:t xml:space="preserve"> decreases expected in the level of government grants.</w:t>
      </w:r>
    </w:p>
    <w:p w:rsidR="00154710" w:rsidRDefault="00154710" w:rsidP="00154710">
      <w:pPr>
        <w:pStyle w:val="IASBSectionTitle1NonInd"/>
      </w:pPr>
      <w:bookmarkStart w:id="15" w:name="CommenceHeading"/>
      <w:r>
        <w:t>Commencement of the legislative instrument</w:t>
      </w:r>
    </w:p>
    <w:p w:rsidR="00154710" w:rsidRDefault="00154710" w:rsidP="00154710">
      <w:pPr>
        <w:pStyle w:val="AusPlain"/>
      </w:pPr>
      <w:bookmarkStart w:id="16" w:name="SSHeading"/>
      <w:bookmarkEnd w:id="15"/>
      <w:r>
        <w:t>Aus57.1</w:t>
      </w:r>
      <w:r>
        <w:tab/>
      </w:r>
      <w:r w:rsidRPr="00562E7C">
        <w:t>For legal purposes, this legislative instrument commences on</w:t>
      </w:r>
      <w:r>
        <w:t xml:space="preserve"> </w:t>
      </w:r>
      <w:bookmarkStart w:id="17" w:name="CommenceDate"/>
      <w:r>
        <w:t>31 December 2015</w:t>
      </w:r>
      <w:bookmarkEnd w:id="17"/>
      <w:r>
        <w:t>.</w:t>
      </w:r>
    </w:p>
    <w:p w:rsidR="00154710" w:rsidRDefault="00154710" w:rsidP="00154710">
      <w:pPr>
        <w:pStyle w:val="IASBSectionTitle1NonInd"/>
      </w:pPr>
      <w:r>
        <w:t>Withdrawal of AASB pronouncements</w:t>
      </w:r>
    </w:p>
    <w:bookmarkEnd w:id="16"/>
    <w:p w:rsidR="00154710" w:rsidRDefault="00154710" w:rsidP="00154710">
      <w:pPr>
        <w:pStyle w:val="AusPlain"/>
      </w:pPr>
      <w:r>
        <w:t>Aus57.2</w:t>
      </w:r>
      <w:r>
        <w:tab/>
        <w:t xml:space="preserve">This Standard repeals </w:t>
      </w:r>
      <w:bookmarkStart w:id="18" w:name="SSInt"/>
      <w:r>
        <w:t>AASB</w:t>
      </w:r>
      <w:bookmarkEnd w:id="18"/>
      <w:r>
        <w:t xml:space="preserve"> </w:t>
      </w:r>
      <w:bookmarkStart w:id="19" w:name="SSAASBNo"/>
      <w:r>
        <w:t>141</w:t>
      </w:r>
      <w:bookmarkEnd w:id="19"/>
      <w:r>
        <w:t xml:space="preserve"> </w:t>
      </w:r>
      <w:bookmarkStart w:id="20" w:name="SSAASBTitle"/>
      <w:r w:rsidRPr="00CA5093">
        <w:rPr>
          <w:i/>
        </w:rPr>
        <w:t>Agriculture</w:t>
      </w:r>
      <w:bookmarkEnd w:id="20"/>
      <w:r>
        <w:t xml:space="preserve"> issued in </w:t>
      </w:r>
      <w:bookmarkStart w:id="21" w:name="SSAASBDate"/>
      <w:r>
        <w:t>July 2004</w:t>
      </w:r>
      <w:bookmarkEnd w:id="21"/>
      <w:r>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154710" w:rsidRDefault="00154710" w:rsidP="00154710">
      <w:pPr>
        <w:pStyle w:val="IASBNormalnparaL1P"/>
      </w:pPr>
      <w:r>
        <w:t>[Note: When this Standard applies under section 334 of the Corporations Act (either generally or in relation to an individual entity), it supersedes the application of the repealed Standard.]</w:t>
      </w:r>
    </w:p>
    <w:p w:rsidR="003A0F32" w:rsidRDefault="003A0F32">
      <w:pPr>
        <w:pStyle w:val="IASBSectionTitle1NonInd"/>
      </w:pPr>
      <w:r>
        <w:t>Effective date and transition</w:t>
      </w:r>
    </w:p>
    <w:p w:rsidR="003A0F32" w:rsidRDefault="003A0F32">
      <w:pPr>
        <w:pStyle w:val="IASBNormalnpara"/>
      </w:pPr>
      <w:r>
        <w:t>58</w:t>
      </w:r>
      <w:r>
        <w:tab/>
        <w:t>This Standard becomes operative for annual financial statements covering periods beginning on or after 1</w:t>
      </w:r>
      <w:r w:rsidR="007F4F4A">
        <w:t> </w:t>
      </w:r>
      <w:r>
        <w:t>January</w:t>
      </w:r>
      <w:r w:rsidR="00154710">
        <w:t xml:space="preserve"> </w:t>
      </w:r>
      <w:r w:rsidR="00B2098E">
        <w:t>2016</w:t>
      </w:r>
      <w:r>
        <w:t xml:space="preserve">. </w:t>
      </w:r>
      <w:r w:rsidR="00B70026">
        <w:t>Earlier application is encouraged</w:t>
      </w:r>
      <w:r w:rsidR="007F4F4A">
        <w:t xml:space="preserve"> for periods beginning on or after 1 January 2014 but before 1 January 2016.</w:t>
      </w:r>
      <w:r>
        <w:t xml:space="preserve"> If an entity applies this Standard for periods beginning before 1 January</w:t>
      </w:r>
      <w:r w:rsidR="00154710">
        <w:t xml:space="preserve"> </w:t>
      </w:r>
      <w:r w:rsidR="00B2098E">
        <w:t>2016</w:t>
      </w:r>
      <w:r w:rsidR="002524F8">
        <w:t>, it shall disclose that fact.</w:t>
      </w:r>
    </w:p>
    <w:p w:rsidR="002524F8" w:rsidRDefault="002524F8" w:rsidP="002524F8">
      <w:pPr>
        <w:pStyle w:val="IASBNormalnpara"/>
      </w:pPr>
      <w:r>
        <w:t>59</w:t>
      </w:r>
      <w:r>
        <w:tab/>
        <w:t xml:space="preserve">This Standard does not establish any specific transitional provisions. The adoption of this Standard is accounted for in accordance with AASB 108 </w:t>
      </w:r>
      <w:r>
        <w:rPr>
          <w:i/>
        </w:rPr>
        <w:t>Accounting Policies, Changes in Accounting Estimates and Errors</w:t>
      </w:r>
      <w:r>
        <w:t>.</w:t>
      </w:r>
    </w:p>
    <w:p w:rsidR="002524F8" w:rsidRDefault="002524F8" w:rsidP="002524F8">
      <w:pPr>
        <w:pStyle w:val="IASBNormalnpara"/>
      </w:pPr>
      <w:r>
        <w:t>60</w:t>
      </w:r>
      <w:r>
        <w:tab/>
        <w:t xml:space="preserve">In the previous version of this Standard, paragraphs 5, 6, 17, 20 and 21 were amended and paragraph 14 deleted by </w:t>
      </w:r>
      <w:r w:rsidR="003D2DE7" w:rsidRPr="00A97A94">
        <w:t xml:space="preserve">AASB 2008-5 </w:t>
      </w:r>
      <w:r w:rsidR="003D2DE7" w:rsidRPr="00A97A94">
        <w:rPr>
          <w:i/>
        </w:rPr>
        <w:t xml:space="preserve">Amendments to Australian Accounting Standards arising from the Annual Improvements Project </w:t>
      </w:r>
      <w:r w:rsidR="003D2DE7" w:rsidRPr="00A97A94">
        <w:t>issued in July 2008</w:t>
      </w:r>
      <w:r>
        <w:t>. An entity shall apply those amendments prospectively for annual periods beginning on or after 1</w:t>
      </w:r>
      <w:r w:rsidR="003D2DE7">
        <w:t xml:space="preserve"> </w:t>
      </w:r>
      <w:r>
        <w:t>January 2009. Earlier application is permitted. If an entity applies the amendments for an earlier period it shall disclose that fact.</w:t>
      </w:r>
    </w:p>
    <w:p w:rsidR="003D2DE7" w:rsidRDefault="003D2DE7" w:rsidP="002524F8">
      <w:pPr>
        <w:pStyle w:val="IASBNormalnpara"/>
      </w:pPr>
      <w:r>
        <w:t>61</w:t>
      </w:r>
      <w:r>
        <w:tab/>
        <w:t>[Deleted by the AASB]</w:t>
      </w:r>
    </w:p>
    <w:p w:rsidR="002524F8" w:rsidRDefault="002524F8" w:rsidP="002524F8">
      <w:pPr>
        <w:pStyle w:val="IASBNormalnpara"/>
      </w:pPr>
      <w:r>
        <w:t>62</w:t>
      </w:r>
      <w:r>
        <w:tab/>
      </w:r>
      <w:r w:rsidR="003D2DE7">
        <w:t>AASB 2014-6</w:t>
      </w:r>
      <w:r w:rsidR="003D2DE7" w:rsidRPr="00865EE2">
        <w:t xml:space="preserve"> </w:t>
      </w:r>
      <w:r w:rsidR="003D2DE7" w:rsidRPr="00865EE2">
        <w:rPr>
          <w:i/>
        </w:rPr>
        <w:t xml:space="preserve">Amendments to Australian Accounting Standards </w:t>
      </w:r>
      <w:r w:rsidR="003D2DE7">
        <w:rPr>
          <w:i/>
        </w:rPr>
        <w:t>–</w:t>
      </w:r>
      <w:r w:rsidR="003D2DE7" w:rsidRPr="00865EE2">
        <w:rPr>
          <w:i/>
        </w:rPr>
        <w:t xml:space="preserve"> Agriculture: Bearer Plants</w:t>
      </w:r>
      <w:r w:rsidR="003D2DE7" w:rsidRPr="00865EE2">
        <w:t xml:space="preserve">, issued in </w:t>
      </w:r>
      <w:r w:rsidR="003D2DE7">
        <w:t xml:space="preserve">December </w:t>
      </w:r>
      <w:r w:rsidR="003D2DE7" w:rsidRPr="00865EE2">
        <w:t>2014</w:t>
      </w:r>
      <w:r w:rsidR="003D2DE7">
        <w:t xml:space="preserve">, amended the previous version of this Standard as follows: </w:t>
      </w:r>
      <w:r>
        <w:t xml:space="preserve">amended paragraphs 1–5, 8, 24 and 44 and added paragraphs 5A–5C and 63. An entity shall apply those amendments for annual periods beginning on or after 1 January 2016. Earlier application is permitted. If an entity applies those amendments for an earlier period, it shall disclose that fact. An entity shall apply those amendments retrospectively in accordance with </w:t>
      </w:r>
      <w:r w:rsidR="003D2DE7">
        <w:t>AASB 10</w:t>
      </w:r>
      <w:r>
        <w:t>8.</w:t>
      </w:r>
    </w:p>
    <w:p w:rsidR="002524F8" w:rsidRDefault="002524F8" w:rsidP="002524F8">
      <w:pPr>
        <w:pStyle w:val="IASBNormalnpara"/>
      </w:pPr>
      <w:r>
        <w:lastRenderedPageBreak/>
        <w:t>63</w:t>
      </w:r>
      <w:r>
        <w:tab/>
        <w:t xml:space="preserve">In the reporting period when </w:t>
      </w:r>
      <w:r w:rsidR="003D2DE7">
        <w:t xml:space="preserve">AASB 2014-6 </w:t>
      </w:r>
      <w:r>
        <w:t xml:space="preserve">is first applied an entity need not disclose the quantitative information required by paragraph 28(f) of </w:t>
      </w:r>
      <w:r w:rsidR="003D2DE7">
        <w:t>AASB 10</w:t>
      </w:r>
      <w:r>
        <w:t xml:space="preserve">8 for the current period. However, an entity shall present the quantitative information required by paragraph 28(f) of </w:t>
      </w:r>
      <w:r w:rsidR="003D2DE7">
        <w:t>AASB 10</w:t>
      </w:r>
      <w:r>
        <w:t>8 for each prior period presented.</w:t>
      </w:r>
    </w:p>
    <w:p w:rsidR="00AC7E56" w:rsidRDefault="00AC7E56" w:rsidP="00E4180D">
      <w:pPr>
        <w:pStyle w:val="IASBNormal"/>
        <w:tabs>
          <w:tab w:val="clear" w:pos="4253"/>
          <w:tab w:val="left" w:pos="782"/>
        </w:tabs>
      </w:pPr>
    </w:p>
    <w:p w:rsidR="00CA5093" w:rsidRDefault="00CA5093" w:rsidP="00CA5093">
      <w:pPr>
        <w:sectPr w:rsidR="00CA5093" w:rsidSect="00DC11C6">
          <w:headerReference w:type="even" r:id="rId24"/>
          <w:footerReference w:type="even" r:id="rId25"/>
          <w:footerReference w:type="default" r:id="rId26"/>
          <w:headerReference w:type="first" r:id="rId27"/>
          <w:footerReference w:type="first" r:id="rId28"/>
          <w:pgSz w:w="11907" w:h="16839"/>
          <w:pgMar w:top="1440" w:right="1440" w:bottom="1440" w:left="1440" w:header="720" w:footer="720" w:gutter="0"/>
          <w:cols w:space="708"/>
          <w:docGrid w:linePitch="360"/>
        </w:sectPr>
      </w:pPr>
    </w:p>
    <w:p w:rsidR="00CA5093" w:rsidRDefault="00CA5093" w:rsidP="00805496">
      <w:pPr>
        <w:pStyle w:val="ConvSectionTitle"/>
      </w:pPr>
      <w:r>
        <w:lastRenderedPageBreak/>
        <w:t xml:space="preserve">Appendix </w:t>
      </w:r>
      <w:bookmarkStart w:id="22" w:name="AppendixNo"/>
      <w:proofErr w:type="gramStart"/>
      <w:r>
        <w:t>A</w:t>
      </w:r>
      <w:bookmarkEnd w:id="22"/>
      <w:proofErr w:type="gramEnd"/>
      <w:r>
        <w:br/>
      </w:r>
      <w:r w:rsidR="002E05E1">
        <w:t>Australian reduced disclosure requirements</w:t>
      </w:r>
    </w:p>
    <w:p w:rsidR="00CA5093" w:rsidRDefault="00CA5093" w:rsidP="00805496">
      <w:pPr>
        <w:pStyle w:val="IASBNote"/>
      </w:pPr>
      <w:r>
        <w:t xml:space="preserve">This appendix is an integral part of </w:t>
      </w:r>
      <w:r w:rsidR="00990824">
        <w:t>the Standard</w:t>
      </w:r>
      <w:r>
        <w:t>.</w:t>
      </w:r>
    </w:p>
    <w:p w:rsidR="00805496" w:rsidRPr="004B7DBF" w:rsidRDefault="00805496" w:rsidP="00805496">
      <w:pPr>
        <w:pStyle w:val="AusBold"/>
      </w:pPr>
      <w:r>
        <w:t>AusA1</w:t>
      </w:r>
      <w:r>
        <w:tab/>
      </w:r>
      <w:r w:rsidRPr="004B7DBF">
        <w:t>Paragraph</w:t>
      </w:r>
      <w:r>
        <w:t xml:space="preserve">s 40, 43-46, 49, 51-53, 54(c), 55, 56 and 57(c) </w:t>
      </w:r>
      <w:r w:rsidRPr="004B7DBF">
        <w:t xml:space="preserve">of this Standard do not apply to entities preparing </w:t>
      </w:r>
      <w:r>
        <w:t>general purpose financial statements</w:t>
      </w:r>
      <w:r w:rsidRPr="004B7DBF">
        <w:t xml:space="preserve"> under </w:t>
      </w:r>
      <w:r>
        <w:t>Australian Accounting Standards – Re</w:t>
      </w:r>
      <w:r w:rsidR="00712271">
        <w:t xml:space="preserve">duced Disclosure Requirements. </w:t>
      </w:r>
      <w:r w:rsidRPr="004B7DBF">
        <w:t xml:space="preserve">Entities applying </w:t>
      </w:r>
      <w:r>
        <w:t>Australian Accounting Standards – Reduced Disclosure Requirements may elect to comply with some or all of these excluded requirements.</w:t>
      </w:r>
    </w:p>
    <w:p w:rsidR="00805496" w:rsidRDefault="00805496" w:rsidP="00805496">
      <w:pPr>
        <w:pStyle w:val="AusPlain"/>
      </w:pPr>
      <w:r>
        <w:t>AusA2</w:t>
      </w:r>
      <w:r>
        <w:tab/>
        <w:t xml:space="preserve">The requirements that do not apply to entities preparing general </w:t>
      </w:r>
      <w:r w:rsidRPr="00182D25">
        <w:t>purpose</w:t>
      </w:r>
      <w:r>
        <w:t xml:space="preserve"> financial statements under Australian Accounting Standards – Reduced Disclosure Requirements are </w:t>
      </w:r>
      <w:r w:rsidR="002524F8">
        <w:t xml:space="preserve">also </w:t>
      </w:r>
      <w:r>
        <w:t>identified in this Standard by shading of the relevant text.</w:t>
      </w:r>
    </w:p>
    <w:p w:rsidR="00805496" w:rsidRPr="009E4EC3" w:rsidRDefault="00805496" w:rsidP="00805496">
      <w:pPr>
        <w:pStyle w:val="AusBold"/>
      </w:pPr>
      <w:r>
        <w:t>AusA3</w:t>
      </w:r>
      <w:r>
        <w:tab/>
      </w:r>
      <w:r w:rsidRPr="00310947">
        <w:t>The RDR paragraph in this Standard applies only to entities preparing general purpose financial statements under Australian Accounting Standards – Reduced Disclosure Requirements.</w:t>
      </w:r>
    </w:p>
    <w:p w:rsidR="00805496" w:rsidRPr="009E4EC3" w:rsidRDefault="00805496" w:rsidP="00805496">
      <w:pPr>
        <w:pStyle w:val="AusBold"/>
      </w:pPr>
      <w:r>
        <w:t>RDR50.1</w:t>
      </w:r>
      <w:r>
        <w:tab/>
        <w:t>An entity applying Australian Accounting Standards – Reduced Disclosure Requirements is not required to disclose the reconciliation specified in paragraph 50 for prior periods.</w:t>
      </w:r>
    </w:p>
    <w:p w:rsidR="00CA5093" w:rsidRDefault="00CA5093" w:rsidP="00CA5093"/>
    <w:p w:rsidR="00CA5093" w:rsidRDefault="00CA5093" w:rsidP="00CA5093">
      <w:pPr>
        <w:sectPr w:rsidR="00CA5093" w:rsidSect="00CA5093">
          <w:footerReference w:type="default" r:id="rId29"/>
          <w:headerReference w:type="first" r:id="rId30"/>
          <w:footerReference w:type="first" r:id="rId31"/>
          <w:pgSz w:w="11907" w:h="16839"/>
          <w:pgMar w:top="1440" w:right="1440" w:bottom="1440" w:left="1440" w:header="709" w:footer="709" w:gutter="0"/>
          <w:cols w:space="708"/>
          <w:docGrid w:linePitch="360"/>
        </w:sectPr>
      </w:pPr>
    </w:p>
    <w:p w:rsidR="00CA5093" w:rsidRDefault="00CA5093" w:rsidP="00805496">
      <w:pPr>
        <w:pStyle w:val="ConvSectionTitle"/>
      </w:pPr>
      <w:r>
        <w:lastRenderedPageBreak/>
        <w:t xml:space="preserve">Deleted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41</w:t>
      </w:r>
      <w:r>
        <w:fldChar w:fldCharType="end"/>
      </w:r>
      <w:r>
        <w:t xml:space="preserve"> </w:t>
      </w:r>
      <w:r w:rsidR="002E05E1">
        <w:t>t</w:t>
      </w:r>
      <w:r>
        <w:t>ext</w:t>
      </w:r>
    </w:p>
    <w:p w:rsidR="00CA5093" w:rsidRDefault="00CA5093" w:rsidP="00805496">
      <w:pPr>
        <w:pStyle w:val="IASBNote"/>
      </w:pPr>
      <w:r>
        <w:t xml:space="preserve">Deleted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41</w:t>
      </w:r>
      <w:r>
        <w:fldChar w:fldCharType="end"/>
      </w:r>
      <w:r>
        <w:t xml:space="preserve"> text is not part of </w:t>
      </w:r>
      <w:r>
        <w:fldChar w:fldCharType="begin" w:fldLock="1"/>
      </w:r>
      <w:r>
        <w:instrText xml:space="preserve"> REF DocTypeAbb \* charformat</w:instrText>
      </w:r>
      <w:r>
        <w:fldChar w:fldCharType="separate"/>
      </w:r>
      <w:r>
        <w:t>AASB</w:t>
      </w:r>
      <w:r>
        <w:fldChar w:fldCharType="end"/>
      </w:r>
      <w:r>
        <w:t xml:space="preserve"> </w:t>
      </w:r>
      <w:r>
        <w:fldChar w:fldCharType="begin" w:fldLock="1"/>
      </w:r>
      <w:r>
        <w:instrText xml:space="preserve"> REF DocNo \* charformat</w:instrText>
      </w:r>
      <w:r>
        <w:fldChar w:fldCharType="separate"/>
      </w:r>
      <w:r>
        <w:t>141</w:t>
      </w:r>
      <w:r>
        <w:fldChar w:fldCharType="end"/>
      </w:r>
      <w:r>
        <w:t>.</w:t>
      </w:r>
    </w:p>
    <w:p w:rsidR="003D2DE7" w:rsidRDefault="003D2DE7" w:rsidP="003D2DE7">
      <w:pPr>
        <w:pStyle w:val="IASBNormalnpara"/>
      </w:pPr>
      <w:r>
        <w:t>61</w:t>
      </w:r>
      <w:r>
        <w:tab/>
        <w:t>IFRS 13, issued in May 2011, amended paragraphs 8, 15, 16, 25 and 30 and deleted paragraphs 9, 17–21, 23, 47 and 48. An entity shall apply those amendments when it applies IFRS 13.</w:t>
      </w:r>
    </w:p>
    <w:p w:rsidR="00CA5093" w:rsidRDefault="00CA5093" w:rsidP="00E4180D"/>
    <w:sectPr w:rsidR="00CA5093" w:rsidSect="00CA5093">
      <w:footerReference w:type="default" r:id="rId32"/>
      <w:headerReference w:type="first" r:id="rId33"/>
      <w:footerReference w:type="first" r:id="rId34"/>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602" w:rsidRDefault="00043602">
      <w:r>
        <w:separator/>
      </w:r>
    </w:p>
  </w:endnote>
  <w:endnote w:type="continuationSeparator" w:id="0">
    <w:p w:rsidR="00043602" w:rsidRDefault="0004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8F" w:rsidRDefault="0062088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6" w:rsidRPr="00CA5093" w:rsidRDefault="00AC7E56" w:rsidP="00CA509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6" w:rsidRPr="00CA5093" w:rsidRDefault="00AC7E56" w:rsidP="00CA5093">
    <w:pPr>
      <w:pStyle w:val="Footer"/>
      <w:rPr>
        <w:b/>
      </w:rPr>
    </w:pPr>
    <w:r>
      <w:rPr>
        <w:b/>
      </w:rPr>
      <w:fldChar w:fldCharType="begin" w:fldLock="1"/>
    </w:r>
    <w:r>
      <w:rPr>
        <w:b/>
      </w:rPr>
      <w:instrText xml:space="preserve"> REF DocTypeAbb \* charformat </w:instrText>
    </w:r>
    <w:r>
      <w:rPr>
        <w:b/>
      </w:rPr>
      <w:fldChar w:fldCharType="separate"/>
    </w:r>
    <w:r w:rsidRPr="00CA5093">
      <w:rPr>
        <w:b/>
      </w:rPr>
      <w:t>AASB</w:t>
    </w:r>
    <w:r>
      <w:rPr>
        <w:b/>
      </w:rPr>
      <w:fldChar w:fldCharType="end"/>
    </w:r>
    <w:r w:rsidRPr="00CA5093">
      <w:rPr>
        <w:b/>
      </w:rPr>
      <w:t xml:space="preserve"> </w:t>
    </w:r>
    <w:r>
      <w:rPr>
        <w:b/>
      </w:rPr>
      <w:fldChar w:fldCharType="begin" w:fldLock="1"/>
    </w:r>
    <w:r>
      <w:rPr>
        <w:b/>
      </w:rPr>
      <w:instrText xml:space="preserve"> REF DocNo \* charformat </w:instrText>
    </w:r>
    <w:r>
      <w:rPr>
        <w:b/>
      </w:rPr>
      <w:fldChar w:fldCharType="separate"/>
    </w:r>
    <w:r w:rsidRPr="00CA5093">
      <w:rPr>
        <w:b/>
      </w:rPr>
      <w:t>141</w:t>
    </w:r>
    <w:r>
      <w:rPr>
        <w:b/>
      </w:rPr>
      <w:fldChar w:fldCharType="end"/>
    </w:r>
    <w:r w:rsidRPr="00CA5093">
      <w:rPr>
        <w:b/>
      </w:rPr>
      <w:tab/>
    </w:r>
    <w:r>
      <w:fldChar w:fldCharType="begin"/>
    </w:r>
    <w:r>
      <w:instrText xml:space="preserve"> PAGE </w:instrText>
    </w:r>
    <w:r>
      <w:fldChar w:fldCharType="separate"/>
    </w:r>
    <w:r w:rsidR="003D520C">
      <w:rPr>
        <w:noProof/>
      </w:rPr>
      <w:t>12</w:t>
    </w:r>
    <w:r>
      <w:fldChar w:fldCharType="end"/>
    </w:r>
    <w:r w:rsidRPr="00CA5093">
      <w:rPr>
        <w:b/>
      </w:rPr>
      <w:tab/>
    </w:r>
    <w:r>
      <w:rPr>
        <w:b/>
      </w:rPr>
      <w:fldChar w:fldCharType="begin" w:fldLock="1"/>
    </w:r>
    <w:r>
      <w:rPr>
        <w:b/>
      </w:rPr>
      <w:instrText xml:space="preserve"> REF DocType \* charformat \* upper </w:instrText>
    </w:r>
    <w:r>
      <w:rPr>
        <w:b/>
      </w:rPr>
      <w:fldChar w:fldCharType="separate"/>
    </w:r>
    <w:r w:rsidRPr="00CA5093">
      <w:rPr>
        <w:b/>
      </w:rPr>
      <w:t>STANDARD</w:t>
    </w:r>
    <w:r>
      <w:rPr>
        <w:b/>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6" w:rsidRPr="00CA5093" w:rsidRDefault="00AC7E56" w:rsidP="00CA509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6" w:rsidRDefault="00AC7E56" w:rsidP="00805496">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A5093">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A5093">
      <w:rPr>
        <w:b/>
      </w:rPr>
      <w:t>141</w:t>
    </w:r>
    <w:r w:rsidRPr="00705552">
      <w:rPr>
        <w:b/>
      </w:rPr>
      <w:fldChar w:fldCharType="end"/>
    </w:r>
    <w:r>
      <w:tab/>
    </w:r>
    <w:r>
      <w:fldChar w:fldCharType="begin"/>
    </w:r>
    <w:r>
      <w:instrText xml:space="preserve"> page </w:instrText>
    </w:r>
    <w:r>
      <w:fldChar w:fldCharType="separate"/>
    </w:r>
    <w:r w:rsidR="003D520C">
      <w:rPr>
        <w:noProof/>
      </w:rPr>
      <w:t>13</w:t>
    </w:r>
    <w:r>
      <w:fldChar w:fldCharType="end"/>
    </w:r>
    <w:r>
      <w:tab/>
    </w:r>
    <w:r w:rsidRPr="00814161">
      <w:rPr>
        <w:b/>
      </w:rPr>
      <w:t xml:space="preserve">APPENDIX </w:t>
    </w:r>
    <w:r>
      <w:rPr>
        <w:b/>
      </w:rPr>
      <w:t>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6" w:rsidRPr="00CA5093" w:rsidRDefault="00AC7E56" w:rsidP="00CA5093">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6" w:rsidRDefault="00AC7E56" w:rsidP="00805496">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A5093">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A5093">
      <w:rPr>
        <w:b/>
      </w:rPr>
      <w:t>141</w:t>
    </w:r>
    <w:r w:rsidRPr="00705552">
      <w:rPr>
        <w:b/>
      </w:rPr>
      <w:fldChar w:fldCharType="end"/>
    </w:r>
    <w:r>
      <w:tab/>
    </w:r>
    <w:r>
      <w:fldChar w:fldCharType="begin"/>
    </w:r>
    <w:r>
      <w:instrText xml:space="preserve"> page </w:instrText>
    </w:r>
    <w:r>
      <w:fldChar w:fldCharType="separate"/>
    </w:r>
    <w:r w:rsidR="003D520C">
      <w:rPr>
        <w:noProof/>
      </w:rPr>
      <w:t>14</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CA5093">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CA5093">
      <w:rPr>
        <w:b/>
      </w:rPr>
      <w:t>41</w:t>
    </w:r>
    <w:r>
      <w:rPr>
        <w:b/>
      </w:rPr>
      <w:fldChar w:fldCharType="end"/>
    </w:r>
    <w:r>
      <w:rPr>
        <w:b/>
      </w:rPr>
      <w:t xml:space="preserve"> TEXT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6" w:rsidRPr="00CA5093" w:rsidRDefault="00AC7E56" w:rsidP="00CA5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8F" w:rsidRDefault="006208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8F" w:rsidRDefault="006208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6" w:rsidRDefault="00AC7E5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6" w:rsidRDefault="00AC7E56">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A5093">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A5093">
      <w:rPr>
        <w:b/>
      </w:rPr>
      <w:t>141</w:t>
    </w:r>
    <w:r w:rsidRPr="00705552">
      <w:rPr>
        <w:b/>
      </w:rPr>
      <w:fldChar w:fldCharType="end"/>
    </w:r>
    <w:r>
      <w:tab/>
    </w:r>
    <w:r>
      <w:fldChar w:fldCharType="begin"/>
    </w:r>
    <w:r>
      <w:instrText xml:space="preserve"> page </w:instrText>
    </w:r>
    <w:r>
      <w:fldChar w:fldCharType="separate"/>
    </w:r>
    <w:r w:rsidR="003D520C">
      <w:rPr>
        <w:noProof/>
      </w:rPr>
      <w:t>2</w:t>
    </w:r>
    <w:r>
      <w:fldChar w:fldCharType="end"/>
    </w:r>
    <w:r>
      <w:tab/>
    </w:r>
    <w:r w:rsidRPr="00705552">
      <w:rPr>
        <w:b/>
      </w:rPr>
      <w:t>COPYRIGHT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6" w:rsidRDefault="00AC7E5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6" w:rsidRPr="00705552" w:rsidRDefault="00AC7E56" w:rsidP="00805496">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A5093">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A5093">
      <w:rPr>
        <w:b/>
      </w:rPr>
      <w:t>141</w:t>
    </w:r>
    <w:r w:rsidRPr="00705552">
      <w:rPr>
        <w:b/>
      </w:rPr>
      <w:fldChar w:fldCharType="end"/>
    </w:r>
    <w:r>
      <w:tab/>
    </w:r>
    <w:r>
      <w:fldChar w:fldCharType="begin"/>
    </w:r>
    <w:r>
      <w:instrText xml:space="preserve"> page </w:instrText>
    </w:r>
    <w:r>
      <w:fldChar w:fldCharType="separate"/>
    </w:r>
    <w:r w:rsidR="003D520C">
      <w:rPr>
        <w:noProof/>
      </w:rPr>
      <w:t>3</w:t>
    </w:r>
    <w:r>
      <w:fldChar w:fldCharType="end"/>
    </w:r>
    <w:r>
      <w:tab/>
    </w:r>
    <w:r>
      <w:rPr>
        <w:b/>
      </w:rPr>
      <w:t>CONTENTS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6" w:rsidRDefault="00AC7E5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6" w:rsidRDefault="00AC7E56" w:rsidP="00805496">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A5093">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A5093">
      <w:rPr>
        <w:b/>
      </w:rPr>
      <w:t>141</w:t>
    </w:r>
    <w:r w:rsidRPr="00705552">
      <w:rPr>
        <w:b/>
      </w:rPr>
      <w:fldChar w:fldCharType="end"/>
    </w:r>
    <w:r>
      <w:tab/>
    </w:r>
    <w:r>
      <w:fldChar w:fldCharType="begin"/>
    </w:r>
    <w:r>
      <w:instrText xml:space="preserve"> page </w:instrText>
    </w:r>
    <w:r>
      <w:fldChar w:fldCharType="separate"/>
    </w:r>
    <w:r w:rsidR="003D520C">
      <w:rPr>
        <w:noProof/>
      </w:rPr>
      <w:t>4</w:t>
    </w:r>
    <w:r>
      <w:fldChar w:fldCharType="end"/>
    </w:r>
    <w:r>
      <w:tab/>
    </w:r>
    <w:r>
      <w:rPr>
        <w:b/>
      </w:rPr>
      <w:t>COMPARISON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602" w:rsidRDefault="00043602">
      <w:r>
        <w:separator/>
      </w:r>
    </w:p>
  </w:footnote>
  <w:footnote w:type="continuationSeparator" w:id="0">
    <w:p w:rsidR="00043602" w:rsidRDefault="00043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8F" w:rsidRDefault="0062088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6" w:rsidRPr="00CA5093" w:rsidRDefault="00AC7E56" w:rsidP="00CA509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6" w:rsidRPr="00CA5093" w:rsidRDefault="00AC7E56" w:rsidP="00CA5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8F" w:rsidRDefault="00DE7AA2">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8F" w:rsidRDefault="006208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6" w:rsidRDefault="00AC7E5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8F" w:rsidRDefault="0062088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6" w:rsidRDefault="00AC7E5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6" w:rsidRDefault="00AC7E5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6" w:rsidRPr="00CA5093" w:rsidRDefault="00AC7E56" w:rsidP="00CA509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6" w:rsidRPr="00CA5093" w:rsidRDefault="00AC7E56" w:rsidP="00CA50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E22"/>
    <w:rsid w:val="00014FB7"/>
    <w:rsid w:val="00043602"/>
    <w:rsid w:val="00047FDD"/>
    <w:rsid w:val="000A1F2E"/>
    <w:rsid w:val="000B4EC8"/>
    <w:rsid w:val="00154710"/>
    <w:rsid w:val="00163F6A"/>
    <w:rsid w:val="00170F35"/>
    <w:rsid w:val="001C52B9"/>
    <w:rsid w:val="001E38C2"/>
    <w:rsid w:val="00206BFA"/>
    <w:rsid w:val="002524F8"/>
    <w:rsid w:val="00260852"/>
    <w:rsid w:val="002D60CB"/>
    <w:rsid w:val="002E05E1"/>
    <w:rsid w:val="002E661B"/>
    <w:rsid w:val="00305E22"/>
    <w:rsid w:val="003164AB"/>
    <w:rsid w:val="0033605C"/>
    <w:rsid w:val="00340984"/>
    <w:rsid w:val="00347F7E"/>
    <w:rsid w:val="00385216"/>
    <w:rsid w:val="003A0F32"/>
    <w:rsid w:val="003A31FE"/>
    <w:rsid w:val="003D2DE7"/>
    <w:rsid w:val="003D520C"/>
    <w:rsid w:val="004C3ED1"/>
    <w:rsid w:val="004F21FF"/>
    <w:rsid w:val="00526D97"/>
    <w:rsid w:val="005730AB"/>
    <w:rsid w:val="0059591A"/>
    <w:rsid w:val="005B4D03"/>
    <w:rsid w:val="005E2059"/>
    <w:rsid w:val="005F7281"/>
    <w:rsid w:val="00606426"/>
    <w:rsid w:val="0062088F"/>
    <w:rsid w:val="006C6C6F"/>
    <w:rsid w:val="00710D21"/>
    <w:rsid w:val="00712271"/>
    <w:rsid w:val="0072534C"/>
    <w:rsid w:val="00736422"/>
    <w:rsid w:val="007B24FC"/>
    <w:rsid w:val="007F4F4A"/>
    <w:rsid w:val="007F52CE"/>
    <w:rsid w:val="00805496"/>
    <w:rsid w:val="008639CC"/>
    <w:rsid w:val="00926A9F"/>
    <w:rsid w:val="0095347C"/>
    <w:rsid w:val="00987A90"/>
    <w:rsid w:val="00990824"/>
    <w:rsid w:val="00993F4D"/>
    <w:rsid w:val="00A638B3"/>
    <w:rsid w:val="00AB39F9"/>
    <w:rsid w:val="00AC7E56"/>
    <w:rsid w:val="00AF39A4"/>
    <w:rsid w:val="00B13672"/>
    <w:rsid w:val="00B2098E"/>
    <w:rsid w:val="00B70026"/>
    <w:rsid w:val="00B97A75"/>
    <w:rsid w:val="00BB2652"/>
    <w:rsid w:val="00BF7997"/>
    <w:rsid w:val="00CA5093"/>
    <w:rsid w:val="00CB56A3"/>
    <w:rsid w:val="00D07C63"/>
    <w:rsid w:val="00D134AE"/>
    <w:rsid w:val="00D35109"/>
    <w:rsid w:val="00D55F71"/>
    <w:rsid w:val="00D57EC3"/>
    <w:rsid w:val="00DA23C5"/>
    <w:rsid w:val="00DB5FF6"/>
    <w:rsid w:val="00DC11C6"/>
    <w:rsid w:val="00DE7AA2"/>
    <w:rsid w:val="00E03F75"/>
    <w:rsid w:val="00E07DDD"/>
    <w:rsid w:val="00E308DB"/>
    <w:rsid w:val="00E4180D"/>
    <w:rsid w:val="00E439DA"/>
    <w:rsid w:val="00E6434E"/>
    <w:rsid w:val="00E83245"/>
    <w:rsid w:val="00EB3176"/>
    <w:rsid w:val="00EB5327"/>
    <w:rsid w:val="00FC6A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AC7E56"/>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CB56A3"/>
    <w:pPr>
      <w:tabs>
        <w:tab w:val="left" w:pos="4253"/>
      </w:tabs>
      <w:spacing w:before="100" w:after="100"/>
      <w:jc w:val="both"/>
    </w:pPr>
    <w:rPr>
      <w:sz w:val="19"/>
      <w:lang w:eastAsia="en-US"/>
    </w:rPr>
  </w:style>
  <w:style w:type="paragraph" w:customStyle="1" w:styleId="IASBNormalnpara">
    <w:name w:val="IASB Normal npara"/>
    <w:basedOn w:val="IASBNormal"/>
    <w:uiPriority w:val="8"/>
    <w:rsid w:val="00CB56A3"/>
    <w:pPr>
      <w:tabs>
        <w:tab w:val="clear" w:pos="4253"/>
      </w:tabs>
      <w:spacing w:after="0"/>
      <w:ind w:left="782" w:hanging="782"/>
    </w:pPr>
  </w:style>
  <w:style w:type="paragraph" w:customStyle="1" w:styleId="IASBSectionTitle1Ind">
    <w:name w:val="IASB Section Title 1 Ind"/>
    <w:basedOn w:val="Normal"/>
    <w:uiPriority w:val="8"/>
    <w:rsid w:val="00CB56A3"/>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CB56A3"/>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CB56A3"/>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CB56A3"/>
    <w:pPr>
      <w:spacing w:before="240"/>
      <w:ind w:left="782"/>
    </w:pPr>
  </w:style>
  <w:style w:type="paragraph" w:customStyle="1" w:styleId="IASBSectionTitle3NonInd">
    <w:name w:val="IASB Section Title 3 NonInd"/>
    <w:basedOn w:val="Normal"/>
    <w:uiPriority w:val="8"/>
    <w:rsid w:val="00CB56A3"/>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CB56A3"/>
    <w:pPr>
      <w:spacing w:before="240"/>
      <w:ind w:left="782"/>
    </w:pPr>
  </w:style>
  <w:style w:type="paragraph" w:customStyle="1" w:styleId="IASBSectionTitle4NonInd">
    <w:name w:val="IASB Section Title 4 NonInd"/>
    <w:basedOn w:val="Normal"/>
    <w:uiPriority w:val="8"/>
    <w:rsid w:val="00CB56A3"/>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CB56A3"/>
    <w:pPr>
      <w:ind w:left="782"/>
    </w:pPr>
  </w:style>
  <w:style w:type="paragraph" w:customStyle="1" w:styleId="IASBSectionTitle5NonInd">
    <w:name w:val="IASB Section Title 5 NonInd"/>
    <w:basedOn w:val="Normal"/>
    <w:uiPriority w:val="8"/>
    <w:rsid w:val="00CB56A3"/>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CB56A3"/>
    <w:pPr>
      <w:ind w:left="782"/>
    </w:pPr>
  </w:style>
  <w:style w:type="paragraph" w:customStyle="1" w:styleId="IASBSectionTitle6NonInd">
    <w:name w:val="IASB Section Title 6 NonInd"/>
    <w:basedOn w:val="IASBSectionTitle5NonInd"/>
    <w:uiPriority w:val="8"/>
    <w:rsid w:val="00CB56A3"/>
    <w:pPr>
      <w:outlineLvl w:val="5"/>
    </w:pPr>
    <w:rPr>
      <w:b w:val="0"/>
      <w:i/>
    </w:rPr>
  </w:style>
  <w:style w:type="paragraph" w:customStyle="1" w:styleId="IASBSectionTitle6Ind">
    <w:name w:val="IASB Section Title 6 Ind"/>
    <w:basedOn w:val="IASBSectionTitle6NonInd"/>
    <w:uiPriority w:val="8"/>
    <w:rsid w:val="00CB56A3"/>
    <w:pPr>
      <w:ind w:left="782"/>
    </w:pPr>
  </w:style>
  <w:style w:type="paragraph" w:customStyle="1" w:styleId="IASBTitle">
    <w:name w:val="IASB Title"/>
    <w:uiPriority w:val="8"/>
    <w:rsid w:val="00CB56A3"/>
    <w:pPr>
      <w:keepNext/>
      <w:keepLines/>
      <w:spacing w:before="300" w:after="400"/>
    </w:pPr>
    <w:rPr>
      <w:rFonts w:cs="Arial"/>
      <w:sz w:val="36"/>
      <w:lang w:eastAsia="en-US"/>
    </w:rPr>
  </w:style>
  <w:style w:type="paragraph" w:customStyle="1" w:styleId="IASBNormalnparaL1">
    <w:name w:val="IASB Normal nparaL1"/>
    <w:basedOn w:val="IASBNormalnpara"/>
    <w:uiPriority w:val="8"/>
    <w:rsid w:val="00CB56A3"/>
    <w:pPr>
      <w:ind w:left="1564"/>
    </w:pPr>
  </w:style>
  <w:style w:type="paragraph" w:customStyle="1" w:styleId="IASBNormalnparaP">
    <w:name w:val="IASB Normal nparaP"/>
    <w:basedOn w:val="IASBNormal"/>
    <w:uiPriority w:val="8"/>
    <w:rsid w:val="00CB56A3"/>
    <w:pPr>
      <w:ind w:left="782"/>
    </w:pPr>
  </w:style>
  <w:style w:type="paragraph" w:customStyle="1" w:styleId="IASBIdentifier">
    <w:name w:val="IASB Identifier"/>
    <w:basedOn w:val="IASBTitle"/>
    <w:uiPriority w:val="8"/>
    <w:rsid w:val="00CB56A3"/>
    <w:pPr>
      <w:spacing w:after="200"/>
    </w:pPr>
    <w:rPr>
      <w:rFonts w:ascii="Arial" w:hAnsi="Arial"/>
      <w:b/>
      <w:sz w:val="23"/>
    </w:rPr>
  </w:style>
  <w:style w:type="paragraph" w:customStyle="1" w:styleId="IASBTOCPrimary">
    <w:name w:val="IASB TOC Primary"/>
    <w:basedOn w:val="Normal"/>
    <w:uiPriority w:val="8"/>
    <w:rsid w:val="00CB56A3"/>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CB56A3"/>
    <w:pPr>
      <w:spacing w:before="30" w:after="30"/>
    </w:pPr>
    <w:rPr>
      <w:rFonts w:ascii="Arial" w:hAnsi="Arial" w:cs="Arial"/>
      <w:i/>
      <w:sz w:val="18"/>
      <w:szCs w:val="20"/>
    </w:rPr>
  </w:style>
  <w:style w:type="paragraph" w:customStyle="1" w:styleId="IASBTOCSecondary">
    <w:name w:val="IASB TOC Secondary"/>
    <w:basedOn w:val="Normal"/>
    <w:uiPriority w:val="8"/>
    <w:rsid w:val="00CB56A3"/>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CB56A3"/>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CB56A3"/>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CB56A3"/>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CB56A3"/>
    <w:rPr>
      <w:i/>
    </w:rPr>
  </w:style>
  <w:style w:type="paragraph" w:customStyle="1" w:styleId="IASBBlockquote">
    <w:name w:val="IASB Blockquote"/>
    <w:basedOn w:val="IASBNormal"/>
    <w:uiPriority w:val="8"/>
    <w:rsid w:val="00CB56A3"/>
    <w:pPr>
      <w:ind w:left="1565"/>
    </w:pPr>
    <w:rPr>
      <w:sz w:val="16"/>
    </w:rPr>
  </w:style>
  <w:style w:type="character" w:customStyle="1" w:styleId="IASBEduinsert">
    <w:name w:val="IASB Edu insert"/>
    <w:uiPriority w:val="8"/>
    <w:qFormat/>
    <w:rsid w:val="00CB56A3"/>
  </w:style>
  <w:style w:type="character" w:styleId="FootnoteReference">
    <w:name w:val="footnote reference"/>
    <w:uiPriority w:val="99"/>
    <w:semiHidden/>
    <w:unhideWhenUsed/>
    <w:rsid w:val="00CB56A3"/>
    <w:rPr>
      <w:vertAlign w:val="superscript"/>
    </w:rPr>
  </w:style>
  <w:style w:type="paragraph" w:styleId="FootnoteText">
    <w:name w:val="footnote text"/>
    <w:basedOn w:val="IASBSectionTitle2Ind"/>
    <w:next w:val="IASBBlockquote"/>
    <w:link w:val="FootnoteTextChar"/>
    <w:uiPriority w:val="99"/>
    <w:semiHidden/>
    <w:rsid w:val="002524F8"/>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2524F8"/>
    <w:rPr>
      <w:sz w:val="16"/>
      <w:lang w:eastAsia="en-US"/>
    </w:rPr>
  </w:style>
  <w:style w:type="paragraph" w:customStyle="1" w:styleId="IASBNormalL1">
    <w:name w:val="IASB Normal L1"/>
    <w:basedOn w:val="IASBNormalnpara"/>
    <w:uiPriority w:val="8"/>
    <w:rsid w:val="00CB56A3"/>
  </w:style>
  <w:style w:type="paragraph" w:styleId="Header">
    <w:name w:val="header"/>
    <w:basedOn w:val="Normal"/>
    <w:link w:val="HeaderChar"/>
    <w:uiPriority w:val="99"/>
    <w:rsid w:val="00CB56A3"/>
    <w:pPr>
      <w:tabs>
        <w:tab w:val="center" w:pos="4536"/>
        <w:tab w:val="right" w:pos="9072"/>
      </w:tabs>
    </w:pPr>
    <w:rPr>
      <w:sz w:val="20"/>
    </w:rPr>
  </w:style>
  <w:style w:type="character" w:customStyle="1" w:styleId="HeaderChar">
    <w:name w:val="Header Char"/>
    <w:link w:val="Header"/>
    <w:uiPriority w:val="99"/>
    <w:rsid w:val="00CB56A3"/>
    <w:rPr>
      <w:szCs w:val="24"/>
      <w:lang w:eastAsia="en-US"/>
    </w:rPr>
  </w:style>
  <w:style w:type="paragraph" w:styleId="Footer">
    <w:name w:val="footer"/>
    <w:basedOn w:val="Normal"/>
    <w:link w:val="FooterChar"/>
    <w:uiPriority w:val="99"/>
    <w:rsid w:val="00CB56A3"/>
    <w:pPr>
      <w:tabs>
        <w:tab w:val="center" w:pos="4536"/>
        <w:tab w:val="right" w:pos="9072"/>
      </w:tabs>
    </w:pPr>
  </w:style>
  <w:style w:type="character" w:customStyle="1" w:styleId="FooterChar">
    <w:name w:val="Footer Char"/>
    <w:link w:val="Footer"/>
    <w:uiPriority w:val="99"/>
    <w:rsid w:val="00CB56A3"/>
    <w:rPr>
      <w:sz w:val="19"/>
      <w:szCs w:val="24"/>
      <w:lang w:eastAsia="en-US"/>
    </w:rPr>
  </w:style>
  <w:style w:type="paragraph" w:customStyle="1" w:styleId="IASBRubricL1">
    <w:name w:val="IASB RubricL1"/>
    <w:basedOn w:val="IASBRubric"/>
    <w:uiPriority w:val="8"/>
    <w:rsid w:val="00CB56A3"/>
    <w:pPr>
      <w:ind w:left="782" w:hanging="782"/>
      <w:jc w:val="left"/>
    </w:pPr>
    <w:rPr>
      <w:lang w:eastAsia="en-GB"/>
    </w:rPr>
  </w:style>
  <w:style w:type="paragraph" w:customStyle="1" w:styleId="IASBRubricL2">
    <w:name w:val="IASB RubricL2"/>
    <w:basedOn w:val="IASBRubricL1"/>
    <w:uiPriority w:val="8"/>
    <w:rsid w:val="00CB56A3"/>
    <w:pPr>
      <w:tabs>
        <w:tab w:val="left" w:pos="782"/>
      </w:tabs>
      <w:ind w:left="1565" w:hanging="1565"/>
    </w:pPr>
  </w:style>
  <w:style w:type="paragraph" w:customStyle="1" w:styleId="IASBRubricL3">
    <w:name w:val="IASB RubricL3"/>
    <w:basedOn w:val="IASBRubricL2"/>
    <w:uiPriority w:val="8"/>
    <w:rsid w:val="00CB56A3"/>
    <w:pPr>
      <w:tabs>
        <w:tab w:val="clear" w:pos="782"/>
        <w:tab w:val="left" w:pos="1565"/>
      </w:tabs>
      <w:ind w:left="2347" w:hanging="2347"/>
    </w:pPr>
  </w:style>
  <w:style w:type="paragraph" w:customStyle="1" w:styleId="IASBNormalnparaL2">
    <w:name w:val="IASB Normal nparaL2"/>
    <w:basedOn w:val="IASBNormalnparaL1"/>
    <w:uiPriority w:val="8"/>
    <w:rsid w:val="00CB56A3"/>
    <w:pPr>
      <w:ind w:left="2347"/>
    </w:pPr>
  </w:style>
  <w:style w:type="paragraph" w:customStyle="1" w:styleId="IASBNormalnparaL3">
    <w:name w:val="IASB Normal nparaL3"/>
    <w:basedOn w:val="IASBNormalnparaL2"/>
    <w:uiPriority w:val="8"/>
    <w:rsid w:val="00CB56A3"/>
    <w:pPr>
      <w:ind w:left="3129"/>
    </w:pPr>
  </w:style>
  <w:style w:type="paragraph" w:customStyle="1" w:styleId="IASBNormalnparaL4">
    <w:name w:val="IASB Normal nparaL4"/>
    <w:basedOn w:val="IASBNormalnparaL3"/>
    <w:uiPriority w:val="8"/>
    <w:rsid w:val="00CB56A3"/>
    <w:pPr>
      <w:ind w:left="3912"/>
    </w:pPr>
  </w:style>
  <w:style w:type="paragraph" w:customStyle="1" w:styleId="IASBNormalnparaL5">
    <w:name w:val="IASB Normal nparaL5"/>
    <w:basedOn w:val="IASBNormalnparaL4"/>
    <w:uiPriority w:val="8"/>
    <w:rsid w:val="00CB56A3"/>
    <w:pPr>
      <w:ind w:left="4694"/>
    </w:pPr>
  </w:style>
  <w:style w:type="paragraph" w:customStyle="1" w:styleId="IASBNormalnparaL1P">
    <w:name w:val="IASB Normal nparaL1P"/>
    <w:basedOn w:val="IASBNormalnparaL2"/>
    <w:uiPriority w:val="8"/>
    <w:rsid w:val="00CB56A3"/>
    <w:pPr>
      <w:ind w:left="1565" w:firstLine="0"/>
    </w:pPr>
  </w:style>
  <w:style w:type="paragraph" w:customStyle="1" w:styleId="IASBNormalnparaL2P">
    <w:name w:val="IASB Normal nparaL2P"/>
    <w:basedOn w:val="IASBNormalnparaL1P"/>
    <w:uiPriority w:val="8"/>
    <w:rsid w:val="00CB56A3"/>
    <w:pPr>
      <w:ind w:left="2347"/>
    </w:pPr>
  </w:style>
  <w:style w:type="paragraph" w:customStyle="1" w:styleId="IASBNormalnparaL3P">
    <w:name w:val="IASB Normal nparaL3P"/>
    <w:basedOn w:val="IASBNormalnparaL2P"/>
    <w:uiPriority w:val="8"/>
    <w:rsid w:val="00CB56A3"/>
    <w:pPr>
      <w:ind w:left="3130"/>
    </w:pPr>
  </w:style>
  <w:style w:type="paragraph" w:customStyle="1" w:styleId="IASBNormalnparaL4P">
    <w:name w:val="IASB Normal nparaL4P"/>
    <w:basedOn w:val="IASBNormalnparaL3P"/>
    <w:uiPriority w:val="8"/>
    <w:rsid w:val="00CB56A3"/>
    <w:pPr>
      <w:ind w:left="3912"/>
    </w:pPr>
  </w:style>
  <w:style w:type="paragraph" w:customStyle="1" w:styleId="IASBNormalnparaL5P">
    <w:name w:val="IASB Normal nparaL5P"/>
    <w:basedOn w:val="IASBNormalnparaL4P"/>
    <w:uiPriority w:val="8"/>
    <w:rsid w:val="00CB56A3"/>
    <w:pPr>
      <w:ind w:left="4751"/>
    </w:pPr>
  </w:style>
  <w:style w:type="paragraph" w:customStyle="1" w:styleId="IASBBlockquoteL1">
    <w:name w:val="IASB BlockquoteL1"/>
    <w:basedOn w:val="IASBBlockquote"/>
    <w:uiPriority w:val="8"/>
    <w:rsid w:val="00CB56A3"/>
    <w:pPr>
      <w:ind w:left="2347" w:hanging="782"/>
    </w:pPr>
  </w:style>
  <w:style w:type="paragraph" w:customStyle="1" w:styleId="IASBBlockquoteL2">
    <w:name w:val="IASB BlockquoteL2"/>
    <w:basedOn w:val="IASBBlockquoteL1"/>
    <w:uiPriority w:val="8"/>
    <w:rsid w:val="00CB56A3"/>
    <w:pPr>
      <w:ind w:left="3129"/>
    </w:pPr>
  </w:style>
  <w:style w:type="paragraph" w:customStyle="1" w:styleId="IASBNormalL2">
    <w:name w:val="IASB Normal L2"/>
    <w:basedOn w:val="IASBNormalL1"/>
    <w:uiPriority w:val="8"/>
    <w:rsid w:val="00CB56A3"/>
    <w:pPr>
      <w:ind w:left="1564"/>
    </w:pPr>
  </w:style>
  <w:style w:type="paragraph" w:customStyle="1" w:styleId="IASBTOCQuartery">
    <w:name w:val="IASB TOC Quartery"/>
    <w:basedOn w:val="IASBTOCTertiary"/>
    <w:uiPriority w:val="8"/>
    <w:rsid w:val="00CB56A3"/>
    <w:pPr>
      <w:ind w:left="851"/>
    </w:pPr>
  </w:style>
  <w:style w:type="paragraph" w:customStyle="1" w:styleId="IASBNoteTitle">
    <w:name w:val="IASB Note Title"/>
    <w:basedOn w:val="IASBTOCPrimary"/>
    <w:uiPriority w:val="8"/>
    <w:rsid w:val="00CB56A3"/>
    <w:pPr>
      <w:jc w:val="center"/>
    </w:pPr>
    <w:rPr>
      <w:b w:val="0"/>
      <w:caps w:val="0"/>
      <w:sz w:val="24"/>
    </w:rPr>
  </w:style>
  <w:style w:type="paragraph" w:customStyle="1" w:styleId="IASBNormalL1P">
    <w:name w:val="IASB Normal L1P"/>
    <w:basedOn w:val="IASBNormalL1"/>
    <w:uiPriority w:val="8"/>
    <w:qFormat/>
    <w:rsid w:val="00CB56A3"/>
    <w:pPr>
      <w:ind w:firstLine="0"/>
    </w:pPr>
  </w:style>
  <w:style w:type="paragraph" w:customStyle="1" w:styleId="IASBNormalL2P">
    <w:name w:val="IASB Normal L2P"/>
    <w:basedOn w:val="IASBNormalL1P"/>
    <w:uiPriority w:val="8"/>
    <w:qFormat/>
    <w:rsid w:val="00CB56A3"/>
    <w:pPr>
      <w:ind w:left="1565"/>
    </w:pPr>
  </w:style>
  <w:style w:type="paragraph" w:customStyle="1" w:styleId="IASBNormalnparaC">
    <w:name w:val="IASB Normal nparaC"/>
    <w:basedOn w:val="IASBNormalnpara"/>
    <w:uiPriority w:val="8"/>
    <w:qFormat/>
    <w:rsid w:val="00CB56A3"/>
    <w:pPr>
      <w:spacing w:before="0"/>
    </w:pPr>
  </w:style>
  <w:style w:type="paragraph" w:customStyle="1" w:styleId="IASBEdupara">
    <w:name w:val="IASB Edu para"/>
    <w:basedOn w:val="IASBNormal"/>
    <w:uiPriority w:val="8"/>
    <w:qFormat/>
    <w:rsid w:val="00CB56A3"/>
  </w:style>
  <w:style w:type="paragraph" w:customStyle="1" w:styleId="IASBTableBoldTNR">
    <w:name w:val="IASB Table Bold TNR"/>
    <w:basedOn w:val="Normal"/>
    <w:uiPriority w:val="8"/>
    <w:qFormat/>
    <w:rsid w:val="00CB56A3"/>
    <w:pPr>
      <w:spacing w:before="120"/>
    </w:pPr>
    <w:rPr>
      <w:b/>
      <w:szCs w:val="20"/>
      <w:lang w:eastAsia="en-GB"/>
    </w:rPr>
  </w:style>
  <w:style w:type="paragraph" w:customStyle="1" w:styleId="IASBTableHeaderTNR">
    <w:name w:val="IASB Table Header TNR"/>
    <w:basedOn w:val="Normal"/>
    <w:uiPriority w:val="8"/>
    <w:qFormat/>
    <w:rsid w:val="00CB56A3"/>
    <w:pPr>
      <w:keepNext/>
      <w:spacing w:before="120" w:after="200" w:line="276" w:lineRule="auto"/>
    </w:pPr>
    <w:rPr>
      <w:szCs w:val="20"/>
      <w:lang w:eastAsia="en-GB"/>
    </w:rPr>
  </w:style>
  <w:style w:type="paragraph" w:customStyle="1" w:styleId="IASBTableTNR">
    <w:name w:val="IASB Table TNR"/>
    <w:basedOn w:val="Normal"/>
    <w:uiPriority w:val="8"/>
    <w:qFormat/>
    <w:rsid w:val="00CB56A3"/>
    <w:pPr>
      <w:spacing w:before="120"/>
    </w:pPr>
    <w:rPr>
      <w:szCs w:val="20"/>
      <w:lang w:eastAsia="en-GB"/>
    </w:rPr>
  </w:style>
  <w:style w:type="paragraph" w:customStyle="1" w:styleId="IASBTableArial">
    <w:name w:val="IASB Table Arial"/>
    <w:basedOn w:val="Normal"/>
    <w:uiPriority w:val="8"/>
    <w:rsid w:val="00CB56A3"/>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CB56A3"/>
    <w:rPr>
      <w:b/>
    </w:rPr>
  </w:style>
  <w:style w:type="paragraph" w:customStyle="1" w:styleId="IASBTableHeaderArial">
    <w:name w:val="IASB Table Header Arial"/>
    <w:basedOn w:val="IASBTableArial"/>
    <w:uiPriority w:val="8"/>
    <w:qFormat/>
    <w:rsid w:val="00CB56A3"/>
    <w:pPr>
      <w:keepNext/>
      <w:spacing w:after="200" w:line="276" w:lineRule="auto"/>
    </w:pPr>
  </w:style>
  <w:style w:type="character" w:styleId="EndnoteReference">
    <w:name w:val="endnote reference"/>
    <w:uiPriority w:val="99"/>
    <w:semiHidden/>
    <w:unhideWhenUsed/>
    <w:rsid w:val="00CB56A3"/>
    <w:rPr>
      <w:vertAlign w:val="superscript"/>
    </w:rPr>
  </w:style>
  <w:style w:type="paragraph" w:customStyle="1" w:styleId="ConvSectionTitle">
    <w:name w:val="Conv Section Title"/>
    <w:basedOn w:val="IASBSectionTitle1NonInd"/>
    <w:uiPriority w:val="9"/>
    <w:qFormat/>
    <w:rsid w:val="00CB56A3"/>
    <w:pPr>
      <w:pBdr>
        <w:bottom w:val="none" w:sz="0" w:space="0" w:color="auto"/>
      </w:pBdr>
    </w:pPr>
  </w:style>
  <w:style w:type="paragraph" w:customStyle="1" w:styleId="ConvStandardTitle1">
    <w:name w:val="Conv Standard Title 1"/>
    <w:basedOn w:val="Normal"/>
    <w:next w:val="ConvStandardTitle2"/>
    <w:uiPriority w:val="9"/>
    <w:qFormat/>
    <w:rsid w:val="00CB56A3"/>
    <w:pPr>
      <w:spacing w:before="300"/>
    </w:pPr>
    <w:rPr>
      <w:rFonts w:ascii="Arial" w:hAnsi="Arial"/>
      <w:b/>
      <w:sz w:val="26"/>
    </w:rPr>
  </w:style>
  <w:style w:type="paragraph" w:customStyle="1" w:styleId="ConvStandardTitle2">
    <w:name w:val="Conv Standard Title2"/>
    <w:basedOn w:val="ConvStandardTitle1"/>
    <w:uiPriority w:val="9"/>
    <w:qFormat/>
    <w:rsid w:val="00CB56A3"/>
    <w:pPr>
      <w:spacing w:before="0" w:after="200"/>
    </w:pPr>
    <w:rPr>
      <w:i/>
    </w:rPr>
  </w:style>
  <w:style w:type="paragraph" w:customStyle="1" w:styleId="AASBBase">
    <w:name w:val="AASB Base"/>
    <w:qFormat/>
    <w:rsid w:val="00CB56A3"/>
    <w:pPr>
      <w:jc w:val="both"/>
    </w:pPr>
    <w:rPr>
      <w:sz w:val="19"/>
      <w:lang w:eastAsia="en-US"/>
    </w:rPr>
  </w:style>
  <w:style w:type="paragraph" w:customStyle="1" w:styleId="AASBPara">
    <w:name w:val="AASB Para"/>
    <w:basedOn w:val="AASBBase"/>
    <w:qFormat/>
    <w:rsid w:val="00CB56A3"/>
    <w:pPr>
      <w:spacing w:after="200"/>
    </w:pPr>
  </w:style>
  <w:style w:type="paragraph" w:customStyle="1" w:styleId="AASBStandardCover">
    <w:name w:val="AASB Standard Cover"/>
    <w:semiHidden/>
    <w:qFormat/>
    <w:rsid w:val="00CB56A3"/>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CB56A3"/>
    <w:pPr>
      <w:jc w:val="right"/>
    </w:pPr>
    <w:rPr>
      <w:b w:val="0"/>
      <w:sz w:val="24"/>
    </w:rPr>
  </w:style>
  <w:style w:type="paragraph" w:customStyle="1" w:styleId="AASBStandardNumber">
    <w:name w:val="AASB Standard Number"/>
    <w:basedOn w:val="AASBStandardCover"/>
    <w:semiHidden/>
    <w:qFormat/>
    <w:rsid w:val="00CB56A3"/>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CB56A3"/>
    <w:pPr>
      <w:spacing w:before="800"/>
    </w:pPr>
    <w:rPr>
      <w:b w:val="0"/>
      <w:sz w:val="50"/>
    </w:rPr>
  </w:style>
  <w:style w:type="paragraph" w:customStyle="1" w:styleId="AASBInterpretationCover">
    <w:name w:val="AASB Interpretation Cover"/>
    <w:basedOn w:val="AASBStandardCover"/>
    <w:semiHidden/>
    <w:qFormat/>
    <w:rsid w:val="00CB56A3"/>
    <w:rPr>
      <w:color w:val="41AD49"/>
    </w:rPr>
  </w:style>
  <w:style w:type="paragraph" w:customStyle="1" w:styleId="AASBInterpretationDate">
    <w:name w:val="AASB Interpretation Date"/>
    <w:basedOn w:val="AASBStandardDate"/>
    <w:semiHidden/>
    <w:qFormat/>
    <w:rsid w:val="00CB56A3"/>
    <w:rPr>
      <w:color w:val="41AD49"/>
    </w:rPr>
  </w:style>
  <w:style w:type="paragraph" w:customStyle="1" w:styleId="AASBInterpretationNumber">
    <w:name w:val="AASB Interpretation Number"/>
    <w:basedOn w:val="AASBStandardNumber"/>
    <w:semiHidden/>
    <w:qFormat/>
    <w:rsid w:val="00CB56A3"/>
    <w:rPr>
      <w:color w:val="41AD49"/>
    </w:rPr>
  </w:style>
  <w:style w:type="paragraph" w:customStyle="1" w:styleId="AASBInterpretationTitle">
    <w:name w:val="AASB Interpretation Title"/>
    <w:basedOn w:val="AASBStandardTitle"/>
    <w:semiHidden/>
    <w:qFormat/>
    <w:rsid w:val="00CB56A3"/>
    <w:rPr>
      <w:color w:val="41AD49"/>
    </w:rPr>
  </w:style>
  <w:style w:type="table" w:styleId="TableGrid">
    <w:name w:val="Table Grid"/>
    <w:basedOn w:val="TableNormal"/>
    <w:uiPriority w:val="59"/>
    <w:rsid w:val="00CB56A3"/>
    <w:tblPr/>
  </w:style>
  <w:style w:type="paragraph" w:customStyle="1" w:styleId="ContentsHeading">
    <w:name w:val="Contents Heading"/>
    <w:basedOn w:val="AASBBase"/>
    <w:next w:val="ContentsLevel1"/>
    <w:qFormat/>
    <w:rsid w:val="00CB56A3"/>
    <w:pPr>
      <w:spacing w:after="60"/>
      <w:jc w:val="right"/>
    </w:pPr>
    <w:rPr>
      <w:i/>
    </w:rPr>
  </w:style>
  <w:style w:type="paragraph" w:customStyle="1" w:styleId="ContentsLevel1">
    <w:name w:val="Contents Level1"/>
    <w:basedOn w:val="AASBBase"/>
    <w:qFormat/>
    <w:rsid w:val="00CB56A3"/>
    <w:pPr>
      <w:tabs>
        <w:tab w:val="right" w:pos="9027"/>
      </w:tabs>
      <w:spacing w:after="60"/>
      <w:ind w:right="1134"/>
    </w:pPr>
    <w:rPr>
      <w:b/>
      <w:caps/>
    </w:rPr>
  </w:style>
  <w:style w:type="paragraph" w:customStyle="1" w:styleId="ContentsLevel2">
    <w:name w:val="Contents Level2"/>
    <w:basedOn w:val="ContentsLevel1"/>
    <w:uiPriority w:val="7"/>
    <w:qFormat/>
    <w:rsid w:val="00CB56A3"/>
    <w:rPr>
      <w:caps w:val="0"/>
    </w:rPr>
  </w:style>
  <w:style w:type="paragraph" w:customStyle="1" w:styleId="ContentsLevel3">
    <w:name w:val="Contents Level3"/>
    <w:basedOn w:val="ContentsLevel2"/>
    <w:uiPriority w:val="7"/>
    <w:qFormat/>
    <w:rsid w:val="00CB56A3"/>
    <w:pPr>
      <w:ind w:left="510"/>
    </w:pPr>
    <w:rPr>
      <w:b w:val="0"/>
    </w:rPr>
  </w:style>
  <w:style w:type="paragraph" w:customStyle="1" w:styleId="ContentsLevel4">
    <w:name w:val="Contents Level4"/>
    <w:basedOn w:val="ContentsLevel3"/>
    <w:uiPriority w:val="7"/>
    <w:qFormat/>
    <w:rsid w:val="00CB56A3"/>
    <w:pPr>
      <w:ind w:left="850"/>
    </w:pPr>
  </w:style>
  <w:style w:type="paragraph" w:styleId="BalloonText">
    <w:name w:val="Balloon Text"/>
    <w:basedOn w:val="Normal"/>
    <w:link w:val="BalloonTextChar"/>
    <w:uiPriority w:val="99"/>
    <w:semiHidden/>
    <w:unhideWhenUsed/>
    <w:rsid w:val="00CB56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6A3"/>
    <w:rPr>
      <w:rFonts w:ascii="Segoe UI" w:hAnsi="Segoe UI" w:cs="Segoe UI"/>
      <w:sz w:val="18"/>
      <w:szCs w:val="18"/>
      <w:lang w:eastAsia="en-US"/>
    </w:rPr>
  </w:style>
  <w:style w:type="paragraph" w:customStyle="1" w:styleId="RDRM1">
    <w:name w:val="RDRM1"/>
    <w:basedOn w:val="IASBNormalnpara"/>
    <w:uiPriority w:val="5"/>
    <w:qFormat/>
    <w:rsid w:val="00CB56A3"/>
    <w:pPr>
      <w:shd w:val="pct15" w:color="auto" w:fill="auto"/>
    </w:pPr>
  </w:style>
  <w:style w:type="paragraph" w:customStyle="1" w:styleId="RDRM2">
    <w:name w:val="RDRM2"/>
    <w:basedOn w:val="RDRM1"/>
    <w:uiPriority w:val="5"/>
    <w:qFormat/>
    <w:rsid w:val="00CB56A3"/>
    <w:pPr>
      <w:tabs>
        <w:tab w:val="left" w:pos="782"/>
      </w:tabs>
      <w:ind w:left="1565" w:hanging="1565"/>
    </w:pPr>
  </w:style>
  <w:style w:type="paragraph" w:customStyle="1" w:styleId="RDRM3">
    <w:name w:val="RDRM3"/>
    <w:basedOn w:val="RDRM2"/>
    <w:uiPriority w:val="5"/>
    <w:qFormat/>
    <w:rsid w:val="00CB56A3"/>
    <w:pPr>
      <w:tabs>
        <w:tab w:val="clear" w:pos="782"/>
        <w:tab w:val="left" w:pos="1565"/>
      </w:tabs>
      <w:ind w:left="2347" w:hanging="2347"/>
    </w:pPr>
  </w:style>
  <w:style w:type="paragraph" w:customStyle="1" w:styleId="RDRM4">
    <w:name w:val="RDRM4"/>
    <w:basedOn w:val="RDRM3"/>
    <w:uiPriority w:val="5"/>
    <w:qFormat/>
    <w:rsid w:val="00CB56A3"/>
    <w:pPr>
      <w:tabs>
        <w:tab w:val="clear" w:pos="1565"/>
        <w:tab w:val="left" w:pos="2347"/>
      </w:tabs>
      <w:ind w:left="3130" w:hanging="3130"/>
    </w:pPr>
  </w:style>
  <w:style w:type="paragraph" w:customStyle="1" w:styleId="AusPlain">
    <w:name w:val="Aus Plain"/>
    <w:basedOn w:val="IASBNormalnpara"/>
    <w:uiPriority w:val="1"/>
    <w:qFormat/>
    <w:rsid w:val="00CB56A3"/>
    <w:pPr>
      <w:ind w:left="1565" w:hanging="1565"/>
    </w:pPr>
  </w:style>
  <w:style w:type="paragraph" w:customStyle="1" w:styleId="AusBold">
    <w:name w:val="Aus Bold"/>
    <w:basedOn w:val="AusPlain"/>
    <w:uiPriority w:val="2"/>
    <w:qFormat/>
    <w:rsid w:val="00CB56A3"/>
    <w:rPr>
      <w:b/>
    </w:rPr>
  </w:style>
  <w:style w:type="paragraph" w:customStyle="1" w:styleId="AusPlainRDR">
    <w:name w:val="Aus Plain RDR"/>
    <w:basedOn w:val="AusPlain"/>
    <w:uiPriority w:val="3"/>
    <w:qFormat/>
    <w:rsid w:val="00CB56A3"/>
    <w:pPr>
      <w:shd w:val="pct15" w:color="auto" w:fill="auto"/>
    </w:pPr>
  </w:style>
  <w:style w:type="paragraph" w:customStyle="1" w:styleId="AusBoldRDR">
    <w:name w:val="Aus Bold RDR"/>
    <w:basedOn w:val="AusBold"/>
    <w:uiPriority w:val="4"/>
    <w:qFormat/>
    <w:rsid w:val="00CB56A3"/>
    <w:pPr>
      <w:shd w:val="pct15" w:color="auto" w:fill="auto"/>
    </w:pPr>
  </w:style>
  <w:style w:type="paragraph" w:customStyle="1" w:styleId="RDR11">
    <w:name w:val="RDR11"/>
    <w:basedOn w:val="IASBNormalnparaL1"/>
    <w:uiPriority w:val="6"/>
    <w:qFormat/>
    <w:rsid w:val="00CB56A3"/>
    <w:pPr>
      <w:shd w:val="pct15" w:color="auto" w:fill="auto"/>
    </w:pPr>
  </w:style>
  <w:style w:type="paragraph" w:customStyle="1" w:styleId="RDR12">
    <w:name w:val="RDR12"/>
    <w:basedOn w:val="RDR11"/>
    <w:uiPriority w:val="6"/>
    <w:qFormat/>
    <w:rsid w:val="00CB56A3"/>
    <w:pPr>
      <w:tabs>
        <w:tab w:val="left" w:pos="1565"/>
      </w:tabs>
      <w:ind w:left="2347" w:hanging="1565"/>
    </w:pPr>
  </w:style>
  <w:style w:type="paragraph" w:customStyle="1" w:styleId="RDR13">
    <w:name w:val="RDR13"/>
    <w:basedOn w:val="RDR12"/>
    <w:uiPriority w:val="6"/>
    <w:qFormat/>
    <w:rsid w:val="00CB56A3"/>
    <w:pPr>
      <w:tabs>
        <w:tab w:val="clear" w:pos="1565"/>
        <w:tab w:val="left" w:pos="2347"/>
      </w:tabs>
      <w:ind w:left="3129" w:hanging="2347"/>
    </w:pPr>
  </w:style>
  <w:style w:type="paragraph" w:customStyle="1" w:styleId="RDR21">
    <w:name w:val="RDR21"/>
    <w:basedOn w:val="IASBNormalnparaL2"/>
    <w:uiPriority w:val="6"/>
    <w:qFormat/>
    <w:rsid w:val="00CB56A3"/>
    <w:pPr>
      <w:shd w:val="pct15" w:color="auto" w:fill="auto"/>
    </w:pPr>
  </w:style>
  <w:style w:type="paragraph" w:customStyle="1" w:styleId="RDR22">
    <w:name w:val="RDR22"/>
    <w:basedOn w:val="RDR21"/>
    <w:uiPriority w:val="6"/>
    <w:qFormat/>
    <w:rsid w:val="00CB56A3"/>
    <w:pPr>
      <w:tabs>
        <w:tab w:val="left" w:pos="2347"/>
      </w:tabs>
      <w:ind w:left="3130" w:hanging="1565"/>
    </w:pPr>
  </w:style>
  <w:style w:type="table" w:styleId="TableGrid1">
    <w:name w:val="Table Grid 1"/>
    <w:basedOn w:val="TableNormal"/>
    <w:uiPriority w:val="99"/>
    <w:semiHidden/>
    <w:unhideWhenUsed/>
    <w:rsid w:val="00CB56A3"/>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usPlain1">
    <w:name w:val="Aus Plain1"/>
    <w:basedOn w:val="Normal"/>
    <w:rsid w:val="00805496"/>
    <w:pPr>
      <w:spacing w:after="200" w:line="200" w:lineRule="exact"/>
      <w:ind w:left="1021" w:hanging="1021"/>
    </w:pPr>
    <w:rPr>
      <w:sz w:val="20"/>
      <w:szCs w:val="20"/>
    </w:rPr>
  </w:style>
  <w:style w:type="paragraph" w:customStyle="1" w:styleId="AusBold1">
    <w:name w:val="Aus Bold1"/>
    <w:basedOn w:val="Normal"/>
    <w:rsid w:val="00805496"/>
    <w:pPr>
      <w:spacing w:after="200" w:line="200" w:lineRule="exact"/>
      <w:ind w:left="1021" w:hanging="1021"/>
    </w:pPr>
    <w:rPr>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AC7E56"/>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CB56A3"/>
    <w:pPr>
      <w:tabs>
        <w:tab w:val="left" w:pos="4253"/>
      </w:tabs>
      <w:spacing w:before="100" w:after="100"/>
      <w:jc w:val="both"/>
    </w:pPr>
    <w:rPr>
      <w:sz w:val="19"/>
      <w:lang w:eastAsia="en-US"/>
    </w:rPr>
  </w:style>
  <w:style w:type="paragraph" w:customStyle="1" w:styleId="IASBNormalnpara">
    <w:name w:val="IASB Normal npara"/>
    <w:basedOn w:val="IASBNormal"/>
    <w:uiPriority w:val="8"/>
    <w:rsid w:val="00CB56A3"/>
    <w:pPr>
      <w:tabs>
        <w:tab w:val="clear" w:pos="4253"/>
      </w:tabs>
      <w:spacing w:after="0"/>
      <w:ind w:left="782" w:hanging="782"/>
    </w:pPr>
  </w:style>
  <w:style w:type="paragraph" w:customStyle="1" w:styleId="IASBSectionTitle1Ind">
    <w:name w:val="IASB Section Title 1 Ind"/>
    <w:basedOn w:val="Normal"/>
    <w:uiPriority w:val="8"/>
    <w:rsid w:val="00CB56A3"/>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CB56A3"/>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CB56A3"/>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CB56A3"/>
    <w:pPr>
      <w:spacing w:before="240"/>
      <w:ind w:left="782"/>
    </w:pPr>
  </w:style>
  <w:style w:type="paragraph" w:customStyle="1" w:styleId="IASBSectionTitle3NonInd">
    <w:name w:val="IASB Section Title 3 NonInd"/>
    <w:basedOn w:val="Normal"/>
    <w:uiPriority w:val="8"/>
    <w:rsid w:val="00CB56A3"/>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CB56A3"/>
    <w:pPr>
      <w:spacing w:before="240"/>
      <w:ind w:left="782"/>
    </w:pPr>
  </w:style>
  <w:style w:type="paragraph" w:customStyle="1" w:styleId="IASBSectionTitle4NonInd">
    <w:name w:val="IASB Section Title 4 NonInd"/>
    <w:basedOn w:val="Normal"/>
    <w:uiPriority w:val="8"/>
    <w:rsid w:val="00CB56A3"/>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CB56A3"/>
    <w:pPr>
      <w:ind w:left="782"/>
    </w:pPr>
  </w:style>
  <w:style w:type="paragraph" w:customStyle="1" w:styleId="IASBSectionTitle5NonInd">
    <w:name w:val="IASB Section Title 5 NonInd"/>
    <w:basedOn w:val="Normal"/>
    <w:uiPriority w:val="8"/>
    <w:rsid w:val="00CB56A3"/>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CB56A3"/>
    <w:pPr>
      <w:ind w:left="782"/>
    </w:pPr>
  </w:style>
  <w:style w:type="paragraph" w:customStyle="1" w:styleId="IASBSectionTitle6NonInd">
    <w:name w:val="IASB Section Title 6 NonInd"/>
    <w:basedOn w:val="IASBSectionTitle5NonInd"/>
    <w:uiPriority w:val="8"/>
    <w:rsid w:val="00CB56A3"/>
    <w:pPr>
      <w:outlineLvl w:val="5"/>
    </w:pPr>
    <w:rPr>
      <w:b w:val="0"/>
      <w:i/>
    </w:rPr>
  </w:style>
  <w:style w:type="paragraph" w:customStyle="1" w:styleId="IASBSectionTitle6Ind">
    <w:name w:val="IASB Section Title 6 Ind"/>
    <w:basedOn w:val="IASBSectionTitle6NonInd"/>
    <w:uiPriority w:val="8"/>
    <w:rsid w:val="00CB56A3"/>
    <w:pPr>
      <w:ind w:left="782"/>
    </w:pPr>
  </w:style>
  <w:style w:type="paragraph" w:customStyle="1" w:styleId="IASBTitle">
    <w:name w:val="IASB Title"/>
    <w:uiPriority w:val="8"/>
    <w:rsid w:val="00CB56A3"/>
    <w:pPr>
      <w:keepNext/>
      <w:keepLines/>
      <w:spacing w:before="300" w:after="400"/>
    </w:pPr>
    <w:rPr>
      <w:rFonts w:cs="Arial"/>
      <w:sz w:val="36"/>
      <w:lang w:eastAsia="en-US"/>
    </w:rPr>
  </w:style>
  <w:style w:type="paragraph" w:customStyle="1" w:styleId="IASBNormalnparaL1">
    <w:name w:val="IASB Normal nparaL1"/>
    <w:basedOn w:val="IASBNormalnpara"/>
    <w:uiPriority w:val="8"/>
    <w:rsid w:val="00CB56A3"/>
    <w:pPr>
      <w:ind w:left="1564"/>
    </w:pPr>
  </w:style>
  <w:style w:type="paragraph" w:customStyle="1" w:styleId="IASBNormalnparaP">
    <w:name w:val="IASB Normal nparaP"/>
    <w:basedOn w:val="IASBNormal"/>
    <w:uiPriority w:val="8"/>
    <w:rsid w:val="00CB56A3"/>
    <w:pPr>
      <w:ind w:left="782"/>
    </w:pPr>
  </w:style>
  <w:style w:type="paragraph" w:customStyle="1" w:styleId="IASBIdentifier">
    <w:name w:val="IASB Identifier"/>
    <w:basedOn w:val="IASBTitle"/>
    <w:uiPriority w:val="8"/>
    <w:rsid w:val="00CB56A3"/>
    <w:pPr>
      <w:spacing w:after="200"/>
    </w:pPr>
    <w:rPr>
      <w:rFonts w:ascii="Arial" w:hAnsi="Arial"/>
      <w:b/>
      <w:sz w:val="23"/>
    </w:rPr>
  </w:style>
  <w:style w:type="paragraph" w:customStyle="1" w:styleId="IASBTOCPrimary">
    <w:name w:val="IASB TOC Primary"/>
    <w:basedOn w:val="Normal"/>
    <w:uiPriority w:val="8"/>
    <w:rsid w:val="00CB56A3"/>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CB56A3"/>
    <w:pPr>
      <w:spacing w:before="30" w:after="30"/>
    </w:pPr>
    <w:rPr>
      <w:rFonts w:ascii="Arial" w:hAnsi="Arial" w:cs="Arial"/>
      <w:i/>
      <w:sz w:val="18"/>
      <w:szCs w:val="20"/>
    </w:rPr>
  </w:style>
  <w:style w:type="paragraph" w:customStyle="1" w:styleId="IASBTOCSecondary">
    <w:name w:val="IASB TOC Secondary"/>
    <w:basedOn w:val="Normal"/>
    <w:uiPriority w:val="8"/>
    <w:rsid w:val="00CB56A3"/>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CB56A3"/>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CB56A3"/>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CB56A3"/>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CB56A3"/>
    <w:rPr>
      <w:i/>
    </w:rPr>
  </w:style>
  <w:style w:type="paragraph" w:customStyle="1" w:styleId="IASBBlockquote">
    <w:name w:val="IASB Blockquote"/>
    <w:basedOn w:val="IASBNormal"/>
    <w:uiPriority w:val="8"/>
    <w:rsid w:val="00CB56A3"/>
    <w:pPr>
      <w:ind w:left="1565"/>
    </w:pPr>
    <w:rPr>
      <w:sz w:val="16"/>
    </w:rPr>
  </w:style>
  <w:style w:type="character" w:customStyle="1" w:styleId="IASBEduinsert">
    <w:name w:val="IASB Edu insert"/>
    <w:uiPriority w:val="8"/>
    <w:qFormat/>
    <w:rsid w:val="00CB56A3"/>
  </w:style>
  <w:style w:type="character" w:styleId="FootnoteReference">
    <w:name w:val="footnote reference"/>
    <w:uiPriority w:val="99"/>
    <w:semiHidden/>
    <w:unhideWhenUsed/>
    <w:rsid w:val="00CB56A3"/>
    <w:rPr>
      <w:vertAlign w:val="superscript"/>
    </w:rPr>
  </w:style>
  <w:style w:type="paragraph" w:styleId="FootnoteText">
    <w:name w:val="footnote text"/>
    <w:basedOn w:val="IASBSectionTitle2Ind"/>
    <w:next w:val="IASBBlockquote"/>
    <w:link w:val="FootnoteTextChar"/>
    <w:uiPriority w:val="99"/>
    <w:semiHidden/>
    <w:rsid w:val="002524F8"/>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2524F8"/>
    <w:rPr>
      <w:sz w:val="16"/>
      <w:lang w:eastAsia="en-US"/>
    </w:rPr>
  </w:style>
  <w:style w:type="paragraph" w:customStyle="1" w:styleId="IASBNormalL1">
    <w:name w:val="IASB Normal L1"/>
    <w:basedOn w:val="IASBNormalnpara"/>
    <w:uiPriority w:val="8"/>
    <w:rsid w:val="00CB56A3"/>
  </w:style>
  <w:style w:type="paragraph" w:styleId="Header">
    <w:name w:val="header"/>
    <w:basedOn w:val="Normal"/>
    <w:link w:val="HeaderChar"/>
    <w:uiPriority w:val="99"/>
    <w:rsid w:val="00CB56A3"/>
    <w:pPr>
      <w:tabs>
        <w:tab w:val="center" w:pos="4536"/>
        <w:tab w:val="right" w:pos="9072"/>
      </w:tabs>
    </w:pPr>
    <w:rPr>
      <w:sz w:val="20"/>
    </w:rPr>
  </w:style>
  <w:style w:type="character" w:customStyle="1" w:styleId="HeaderChar">
    <w:name w:val="Header Char"/>
    <w:link w:val="Header"/>
    <w:uiPriority w:val="99"/>
    <w:rsid w:val="00CB56A3"/>
    <w:rPr>
      <w:szCs w:val="24"/>
      <w:lang w:eastAsia="en-US"/>
    </w:rPr>
  </w:style>
  <w:style w:type="paragraph" w:styleId="Footer">
    <w:name w:val="footer"/>
    <w:basedOn w:val="Normal"/>
    <w:link w:val="FooterChar"/>
    <w:uiPriority w:val="99"/>
    <w:rsid w:val="00CB56A3"/>
    <w:pPr>
      <w:tabs>
        <w:tab w:val="center" w:pos="4536"/>
        <w:tab w:val="right" w:pos="9072"/>
      </w:tabs>
    </w:pPr>
  </w:style>
  <w:style w:type="character" w:customStyle="1" w:styleId="FooterChar">
    <w:name w:val="Footer Char"/>
    <w:link w:val="Footer"/>
    <w:uiPriority w:val="99"/>
    <w:rsid w:val="00CB56A3"/>
    <w:rPr>
      <w:sz w:val="19"/>
      <w:szCs w:val="24"/>
      <w:lang w:eastAsia="en-US"/>
    </w:rPr>
  </w:style>
  <w:style w:type="paragraph" w:customStyle="1" w:styleId="IASBRubricL1">
    <w:name w:val="IASB RubricL1"/>
    <w:basedOn w:val="IASBRubric"/>
    <w:uiPriority w:val="8"/>
    <w:rsid w:val="00CB56A3"/>
    <w:pPr>
      <w:ind w:left="782" w:hanging="782"/>
      <w:jc w:val="left"/>
    </w:pPr>
    <w:rPr>
      <w:lang w:eastAsia="en-GB"/>
    </w:rPr>
  </w:style>
  <w:style w:type="paragraph" w:customStyle="1" w:styleId="IASBRubricL2">
    <w:name w:val="IASB RubricL2"/>
    <w:basedOn w:val="IASBRubricL1"/>
    <w:uiPriority w:val="8"/>
    <w:rsid w:val="00CB56A3"/>
    <w:pPr>
      <w:tabs>
        <w:tab w:val="left" w:pos="782"/>
      </w:tabs>
      <w:ind w:left="1565" w:hanging="1565"/>
    </w:pPr>
  </w:style>
  <w:style w:type="paragraph" w:customStyle="1" w:styleId="IASBRubricL3">
    <w:name w:val="IASB RubricL3"/>
    <w:basedOn w:val="IASBRubricL2"/>
    <w:uiPriority w:val="8"/>
    <w:rsid w:val="00CB56A3"/>
    <w:pPr>
      <w:tabs>
        <w:tab w:val="clear" w:pos="782"/>
        <w:tab w:val="left" w:pos="1565"/>
      </w:tabs>
      <w:ind w:left="2347" w:hanging="2347"/>
    </w:pPr>
  </w:style>
  <w:style w:type="paragraph" w:customStyle="1" w:styleId="IASBNormalnparaL2">
    <w:name w:val="IASB Normal nparaL2"/>
    <w:basedOn w:val="IASBNormalnparaL1"/>
    <w:uiPriority w:val="8"/>
    <w:rsid w:val="00CB56A3"/>
    <w:pPr>
      <w:ind w:left="2347"/>
    </w:pPr>
  </w:style>
  <w:style w:type="paragraph" w:customStyle="1" w:styleId="IASBNormalnparaL3">
    <w:name w:val="IASB Normal nparaL3"/>
    <w:basedOn w:val="IASBNormalnparaL2"/>
    <w:uiPriority w:val="8"/>
    <w:rsid w:val="00CB56A3"/>
    <w:pPr>
      <w:ind w:left="3129"/>
    </w:pPr>
  </w:style>
  <w:style w:type="paragraph" w:customStyle="1" w:styleId="IASBNormalnparaL4">
    <w:name w:val="IASB Normal nparaL4"/>
    <w:basedOn w:val="IASBNormalnparaL3"/>
    <w:uiPriority w:val="8"/>
    <w:rsid w:val="00CB56A3"/>
    <w:pPr>
      <w:ind w:left="3912"/>
    </w:pPr>
  </w:style>
  <w:style w:type="paragraph" w:customStyle="1" w:styleId="IASBNormalnparaL5">
    <w:name w:val="IASB Normal nparaL5"/>
    <w:basedOn w:val="IASBNormalnparaL4"/>
    <w:uiPriority w:val="8"/>
    <w:rsid w:val="00CB56A3"/>
    <w:pPr>
      <w:ind w:left="4694"/>
    </w:pPr>
  </w:style>
  <w:style w:type="paragraph" w:customStyle="1" w:styleId="IASBNormalnparaL1P">
    <w:name w:val="IASB Normal nparaL1P"/>
    <w:basedOn w:val="IASBNormalnparaL2"/>
    <w:uiPriority w:val="8"/>
    <w:rsid w:val="00CB56A3"/>
    <w:pPr>
      <w:ind w:left="1565" w:firstLine="0"/>
    </w:pPr>
  </w:style>
  <w:style w:type="paragraph" w:customStyle="1" w:styleId="IASBNormalnparaL2P">
    <w:name w:val="IASB Normal nparaL2P"/>
    <w:basedOn w:val="IASBNormalnparaL1P"/>
    <w:uiPriority w:val="8"/>
    <w:rsid w:val="00CB56A3"/>
    <w:pPr>
      <w:ind w:left="2347"/>
    </w:pPr>
  </w:style>
  <w:style w:type="paragraph" w:customStyle="1" w:styleId="IASBNormalnparaL3P">
    <w:name w:val="IASB Normal nparaL3P"/>
    <w:basedOn w:val="IASBNormalnparaL2P"/>
    <w:uiPriority w:val="8"/>
    <w:rsid w:val="00CB56A3"/>
    <w:pPr>
      <w:ind w:left="3130"/>
    </w:pPr>
  </w:style>
  <w:style w:type="paragraph" w:customStyle="1" w:styleId="IASBNormalnparaL4P">
    <w:name w:val="IASB Normal nparaL4P"/>
    <w:basedOn w:val="IASBNormalnparaL3P"/>
    <w:uiPriority w:val="8"/>
    <w:rsid w:val="00CB56A3"/>
    <w:pPr>
      <w:ind w:left="3912"/>
    </w:pPr>
  </w:style>
  <w:style w:type="paragraph" w:customStyle="1" w:styleId="IASBNormalnparaL5P">
    <w:name w:val="IASB Normal nparaL5P"/>
    <w:basedOn w:val="IASBNormalnparaL4P"/>
    <w:uiPriority w:val="8"/>
    <w:rsid w:val="00CB56A3"/>
    <w:pPr>
      <w:ind w:left="4751"/>
    </w:pPr>
  </w:style>
  <w:style w:type="paragraph" w:customStyle="1" w:styleId="IASBBlockquoteL1">
    <w:name w:val="IASB BlockquoteL1"/>
    <w:basedOn w:val="IASBBlockquote"/>
    <w:uiPriority w:val="8"/>
    <w:rsid w:val="00CB56A3"/>
    <w:pPr>
      <w:ind w:left="2347" w:hanging="782"/>
    </w:pPr>
  </w:style>
  <w:style w:type="paragraph" w:customStyle="1" w:styleId="IASBBlockquoteL2">
    <w:name w:val="IASB BlockquoteL2"/>
    <w:basedOn w:val="IASBBlockquoteL1"/>
    <w:uiPriority w:val="8"/>
    <w:rsid w:val="00CB56A3"/>
    <w:pPr>
      <w:ind w:left="3129"/>
    </w:pPr>
  </w:style>
  <w:style w:type="paragraph" w:customStyle="1" w:styleId="IASBNormalL2">
    <w:name w:val="IASB Normal L2"/>
    <w:basedOn w:val="IASBNormalL1"/>
    <w:uiPriority w:val="8"/>
    <w:rsid w:val="00CB56A3"/>
    <w:pPr>
      <w:ind w:left="1564"/>
    </w:pPr>
  </w:style>
  <w:style w:type="paragraph" w:customStyle="1" w:styleId="IASBTOCQuartery">
    <w:name w:val="IASB TOC Quartery"/>
    <w:basedOn w:val="IASBTOCTertiary"/>
    <w:uiPriority w:val="8"/>
    <w:rsid w:val="00CB56A3"/>
    <w:pPr>
      <w:ind w:left="851"/>
    </w:pPr>
  </w:style>
  <w:style w:type="paragraph" w:customStyle="1" w:styleId="IASBNoteTitle">
    <w:name w:val="IASB Note Title"/>
    <w:basedOn w:val="IASBTOCPrimary"/>
    <w:uiPriority w:val="8"/>
    <w:rsid w:val="00CB56A3"/>
    <w:pPr>
      <w:jc w:val="center"/>
    </w:pPr>
    <w:rPr>
      <w:b w:val="0"/>
      <w:caps w:val="0"/>
      <w:sz w:val="24"/>
    </w:rPr>
  </w:style>
  <w:style w:type="paragraph" w:customStyle="1" w:styleId="IASBNormalL1P">
    <w:name w:val="IASB Normal L1P"/>
    <w:basedOn w:val="IASBNormalL1"/>
    <w:uiPriority w:val="8"/>
    <w:qFormat/>
    <w:rsid w:val="00CB56A3"/>
    <w:pPr>
      <w:ind w:firstLine="0"/>
    </w:pPr>
  </w:style>
  <w:style w:type="paragraph" w:customStyle="1" w:styleId="IASBNormalL2P">
    <w:name w:val="IASB Normal L2P"/>
    <w:basedOn w:val="IASBNormalL1P"/>
    <w:uiPriority w:val="8"/>
    <w:qFormat/>
    <w:rsid w:val="00CB56A3"/>
    <w:pPr>
      <w:ind w:left="1565"/>
    </w:pPr>
  </w:style>
  <w:style w:type="paragraph" w:customStyle="1" w:styleId="IASBNormalnparaC">
    <w:name w:val="IASB Normal nparaC"/>
    <w:basedOn w:val="IASBNormalnpara"/>
    <w:uiPriority w:val="8"/>
    <w:qFormat/>
    <w:rsid w:val="00CB56A3"/>
    <w:pPr>
      <w:spacing w:before="0"/>
    </w:pPr>
  </w:style>
  <w:style w:type="paragraph" w:customStyle="1" w:styleId="IASBEdupara">
    <w:name w:val="IASB Edu para"/>
    <w:basedOn w:val="IASBNormal"/>
    <w:uiPriority w:val="8"/>
    <w:qFormat/>
    <w:rsid w:val="00CB56A3"/>
  </w:style>
  <w:style w:type="paragraph" w:customStyle="1" w:styleId="IASBTableBoldTNR">
    <w:name w:val="IASB Table Bold TNR"/>
    <w:basedOn w:val="Normal"/>
    <w:uiPriority w:val="8"/>
    <w:qFormat/>
    <w:rsid w:val="00CB56A3"/>
    <w:pPr>
      <w:spacing w:before="120"/>
    </w:pPr>
    <w:rPr>
      <w:b/>
      <w:szCs w:val="20"/>
      <w:lang w:eastAsia="en-GB"/>
    </w:rPr>
  </w:style>
  <w:style w:type="paragraph" w:customStyle="1" w:styleId="IASBTableHeaderTNR">
    <w:name w:val="IASB Table Header TNR"/>
    <w:basedOn w:val="Normal"/>
    <w:uiPriority w:val="8"/>
    <w:qFormat/>
    <w:rsid w:val="00CB56A3"/>
    <w:pPr>
      <w:keepNext/>
      <w:spacing w:before="120" w:after="200" w:line="276" w:lineRule="auto"/>
    </w:pPr>
    <w:rPr>
      <w:szCs w:val="20"/>
      <w:lang w:eastAsia="en-GB"/>
    </w:rPr>
  </w:style>
  <w:style w:type="paragraph" w:customStyle="1" w:styleId="IASBTableTNR">
    <w:name w:val="IASB Table TNR"/>
    <w:basedOn w:val="Normal"/>
    <w:uiPriority w:val="8"/>
    <w:qFormat/>
    <w:rsid w:val="00CB56A3"/>
    <w:pPr>
      <w:spacing w:before="120"/>
    </w:pPr>
    <w:rPr>
      <w:szCs w:val="20"/>
      <w:lang w:eastAsia="en-GB"/>
    </w:rPr>
  </w:style>
  <w:style w:type="paragraph" w:customStyle="1" w:styleId="IASBTableArial">
    <w:name w:val="IASB Table Arial"/>
    <w:basedOn w:val="Normal"/>
    <w:uiPriority w:val="8"/>
    <w:rsid w:val="00CB56A3"/>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CB56A3"/>
    <w:rPr>
      <w:b/>
    </w:rPr>
  </w:style>
  <w:style w:type="paragraph" w:customStyle="1" w:styleId="IASBTableHeaderArial">
    <w:name w:val="IASB Table Header Arial"/>
    <w:basedOn w:val="IASBTableArial"/>
    <w:uiPriority w:val="8"/>
    <w:qFormat/>
    <w:rsid w:val="00CB56A3"/>
    <w:pPr>
      <w:keepNext/>
      <w:spacing w:after="200" w:line="276" w:lineRule="auto"/>
    </w:pPr>
  </w:style>
  <w:style w:type="character" w:styleId="EndnoteReference">
    <w:name w:val="endnote reference"/>
    <w:uiPriority w:val="99"/>
    <w:semiHidden/>
    <w:unhideWhenUsed/>
    <w:rsid w:val="00CB56A3"/>
    <w:rPr>
      <w:vertAlign w:val="superscript"/>
    </w:rPr>
  </w:style>
  <w:style w:type="paragraph" w:customStyle="1" w:styleId="ConvSectionTitle">
    <w:name w:val="Conv Section Title"/>
    <w:basedOn w:val="IASBSectionTitle1NonInd"/>
    <w:uiPriority w:val="9"/>
    <w:qFormat/>
    <w:rsid w:val="00CB56A3"/>
    <w:pPr>
      <w:pBdr>
        <w:bottom w:val="none" w:sz="0" w:space="0" w:color="auto"/>
      </w:pBdr>
    </w:pPr>
  </w:style>
  <w:style w:type="paragraph" w:customStyle="1" w:styleId="ConvStandardTitle1">
    <w:name w:val="Conv Standard Title 1"/>
    <w:basedOn w:val="Normal"/>
    <w:next w:val="ConvStandardTitle2"/>
    <w:uiPriority w:val="9"/>
    <w:qFormat/>
    <w:rsid w:val="00CB56A3"/>
    <w:pPr>
      <w:spacing w:before="300"/>
    </w:pPr>
    <w:rPr>
      <w:rFonts w:ascii="Arial" w:hAnsi="Arial"/>
      <w:b/>
      <w:sz w:val="26"/>
    </w:rPr>
  </w:style>
  <w:style w:type="paragraph" w:customStyle="1" w:styleId="ConvStandardTitle2">
    <w:name w:val="Conv Standard Title2"/>
    <w:basedOn w:val="ConvStandardTitle1"/>
    <w:uiPriority w:val="9"/>
    <w:qFormat/>
    <w:rsid w:val="00CB56A3"/>
    <w:pPr>
      <w:spacing w:before="0" w:after="200"/>
    </w:pPr>
    <w:rPr>
      <w:i/>
    </w:rPr>
  </w:style>
  <w:style w:type="paragraph" w:customStyle="1" w:styleId="AASBBase">
    <w:name w:val="AASB Base"/>
    <w:qFormat/>
    <w:rsid w:val="00CB56A3"/>
    <w:pPr>
      <w:jc w:val="both"/>
    </w:pPr>
    <w:rPr>
      <w:sz w:val="19"/>
      <w:lang w:eastAsia="en-US"/>
    </w:rPr>
  </w:style>
  <w:style w:type="paragraph" w:customStyle="1" w:styleId="AASBPara">
    <w:name w:val="AASB Para"/>
    <w:basedOn w:val="AASBBase"/>
    <w:qFormat/>
    <w:rsid w:val="00CB56A3"/>
    <w:pPr>
      <w:spacing w:after="200"/>
    </w:pPr>
  </w:style>
  <w:style w:type="paragraph" w:customStyle="1" w:styleId="AASBStandardCover">
    <w:name w:val="AASB Standard Cover"/>
    <w:semiHidden/>
    <w:qFormat/>
    <w:rsid w:val="00CB56A3"/>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CB56A3"/>
    <w:pPr>
      <w:jc w:val="right"/>
    </w:pPr>
    <w:rPr>
      <w:b w:val="0"/>
      <w:sz w:val="24"/>
    </w:rPr>
  </w:style>
  <w:style w:type="paragraph" w:customStyle="1" w:styleId="AASBStandardNumber">
    <w:name w:val="AASB Standard Number"/>
    <w:basedOn w:val="AASBStandardCover"/>
    <w:semiHidden/>
    <w:qFormat/>
    <w:rsid w:val="00CB56A3"/>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CB56A3"/>
    <w:pPr>
      <w:spacing w:before="800"/>
    </w:pPr>
    <w:rPr>
      <w:b w:val="0"/>
      <w:sz w:val="50"/>
    </w:rPr>
  </w:style>
  <w:style w:type="paragraph" w:customStyle="1" w:styleId="AASBInterpretationCover">
    <w:name w:val="AASB Interpretation Cover"/>
    <w:basedOn w:val="AASBStandardCover"/>
    <w:semiHidden/>
    <w:qFormat/>
    <w:rsid w:val="00CB56A3"/>
    <w:rPr>
      <w:color w:val="41AD49"/>
    </w:rPr>
  </w:style>
  <w:style w:type="paragraph" w:customStyle="1" w:styleId="AASBInterpretationDate">
    <w:name w:val="AASB Interpretation Date"/>
    <w:basedOn w:val="AASBStandardDate"/>
    <w:semiHidden/>
    <w:qFormat/>
    <w:rsid w:val="00CB56A3"/>
    <w:rPr>
      <w:color w:val="41AD49"/>
    </w:rPr>
  </w:style>
  <w:style w:type="paragraph" w:customStyle="1" w:styleId="AASBInterpretationNumber">
    <w:name w:val="AASB Interpretation Number"/>
    <w:basedOn w:val="AASBStandardNumber"/>
    <w:semiHidden/>
    <w:qFormat/>
    <w:rsid w:val="00CB56A3"/>
    <w:rPr>
      <w:color w:val="41AD49"/>
    </w:rPr>
  </w:style>
  <w:style w:type="paragraph" w:customStyle="1" w:styleId="AASBInterpretationTitle">
    <w:name w:val="AASB Interpretation Title"/>
    <w:basedOn w:val="AASBStandardTitle"/>
    <w:semiHidden/>
    <w:qFormat/>
    <w:rsid w:val="00CB56A3"/>
    <w:rPr>
      <w:color w:val="41AD49"/>
    </w:rPr>
  </w:style>
  <w:style w:type="table" w:styleId="TableGrid">
    <w:name w:val="Table Grid"/>
    <w:basedOn w:val="TableNormal"/>
    <w:uiPriority w:val="59"/>
    <w:rsid w:val="00CB56A3"/>
    <w:tblPr/>
  </w:style>
  <w:style w:type="paragraph" w:customStyle="1" w:styleId="ContentsHeading">
    <w:name w:val="Contents Heading"/>
    <w:basedOn w:val="AASBBase"/>
    <w:next w:val="ContentsLevel1"/>
    <w:qFormat/>
    <w:rsid w:val="00CB56A3"/>
    <w:pPr>
      <w:spacing w:after="60"/>
      <w:jc w:val="right"/>
    </w:pPr>
    <w:rPr>
      <w:i/>
    </w:rPr>
  </w:style>
  <w:style w:type="paragraph" w:customStyle="1" w:styleId="ContentsLevel1">
    <w:name w:val="Contents Level1"/>
    <w:basedOn w:val="AASBBase"/>
    <w:qFormat/>
    <w:rsid w:val="00CB56A3"/>
    <w:pPr>
      <w:tabs>
        <w:tab w:val="right" w:pos="9027"/>
      </w:tabs>
      <w:spacing w:after="60"/>
      <w:ind w:right="1134"/>
    </w:pPr>
    <w:rPr>
      <w:b/>
      <w:caps/>
    </w:rPr>
  </w:style>
  <w:style w:type="paragraph" w:customStyle="1" w:styleId="ContentsLevel2">
    <w:name w:val="Contents Level2"/>
    <w:basedOn w:val="ContentsLevel1"/>
    <w:uiPriority w:val="7"/>
    <w:qFormat/>
    <w:rsid w:val="00CB56A3"/>
    <w:rPr>
      <w:caps w:val="0"/>
    </w:rPr>
  </w:style>
  <w:style w:type="paragraph" w:customStyle="1" w:styleId="ContentsLevel3">
    <w:name w:val="Contents Level3"/>
    <w:basedOn w:val="ContentsLevel2"/>
    <w:uiPriority w:val="7"/>
    <w:qFormat/>
    <w:rsid w:val="00CB56A3"/>
    <w:pPr>
      <w:ind w:left="510"/>
    </w:pPr>
    <w:rPr>
      <w:b w:val="0"/>
    </w:rPr>
  </w:style>
  <w:style w:type="paragraph" w:customStyle="1" w:styleId="ContentsLevel4">
    <w:name w:val="Contents Level4"/>
    <w:basedOn w:val="ContentsLevel3"/>
    <w:uiPriority w:val="7"/>
    <w:qFormat/>
    <w:rsid w:val="00CB56A3"/>
    <w:pPr>
      <w:ind w:left="850"/>
    </w:pPr>
  </w:style>
  <w:style w:type="paragraph" w:styleId="BalloonText">
    <w:name w:val="Balloon Text"/>
    <w:basedOn w:val="Normal"/>
    <w:link w:val="BalloonTextChar"/>
    <w:uiPriority w:val="99"/>
    <w:semiHidden/>
    <w:unhideWhenUsed/>
    <w:rsid w:val="00CB56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6A3"/>
    <w:rPr>
      <w:rFonts w:ascii="Segoe UI" w:hAnsi="Segoe UI" w:cs="Segoe UI"/>
      <w:sz w:val="18"/>
      <w:szCs w:val="18"/>
      <w:lang w:eastAsia="en-US"/>
    </w:rPr>
  </w:style>
  <w:style w:type="paragraph" w:customStyle="1" w:styleId="RDRM1">
    <w:name w:val="RDRM1"/>
    <w:basedOn w:val="IASBNormalnpara"/>
    <w:uiPriority w:val="5"/>
    <w:qFormat/>
    <w:rsid w:val="00CB56A3"/>
    <w:pPr>
      <w:shd w:val="pct15" w:color="auto" w:fill="auto"/>
    </w:pPr>
  </w:style>
  <w:style w:type="paragraph" w:customStyle="1" w:styleId="RDRM2">
    <w:name w:val="RDRM2"/>
    <w:basedOn w:val="RDRM1"/>
    <w:uiPriority w:val="5"/>
    <w:qFormat/>
    <w:rsid w:val="00CB56A3"/>
    <w:pPr>
      <w:tabs>
        <w:tab w:val="left" w:pos="782"/>
      </w:tabs>
      <w:ind w:left="1565" w:hanging="1565"/>
    </w:pPr>
  </w:style>
  <w:style w:type="paragraph" w:customStyle="1" w:styleId="RDRM3">
    <w:name w:val="RDRM3"/>
    <w:basedOn w:val="RDRM2"/>
    <w:uiPriority w:val="5"/>
    <w:qFormat/>
    <w:rsid w:val="00CB56A3"/>
    <w:pPr>
      <w:tabs>
        <w:tab w:val="clear" w:pos="782"/>
        <w:tab w:val="left" w:pos="1565"/>
      </w:tabs>
      <w:ind w:left="2347" w:hanging="2347"/>
    </w:pPr>
  </w:style>
  <w:style w:type="paragraph" w:customStyle="1" w:styleId="RDRM4">
    <w:name w:val="RDRM4"/>
    <w:basedOn w:val="RDRM3"/>
    <w:uiPriority w:val="5"/>
    <w:qFormat/>
    <w:rsid w:val="00CB56A3"/>
    <w:pPr>
      <w:tabs>
        <w:tab w:val="clear" w:pos="1565"/>
        <w:tab w:val="left" w:pos="2347"/>
      </w:tabs>
      <w:ind w:left="3130" w:hanging="3130"/>
    </w:pPr>
  </w:style>
  <w:style w:type="paragraph" w:customStyle="1" w:styleId="AusPlain">
    <w:name w:val="Aus Plain"/>
    <w:basedOn w:val="IASBNormalnpara"/>
    <w:uiPriority w:val="1"/>
    <w:qFormat/>
    <w:rsid w:val="00CB56A3"/>
    <w:pPr>
      <w:ind w:left="1565" w:hanging="1565"/>
    </w:pPr>
  </w:style>
  <w:style w:type="paragraph" w:customStyle="1" w:styleId="AusBold">
    <w:name w:val="Aus Bold"/>
    <w:basedOn w:val="AusPlain"/>
    <w:uiPriority w:val="2"/>
    <w:qFormat/>
    <w:rsid w:val="00CB56A3"/>
    <w:rPr>
      <w:b/>
    </w:rPr>
  </w:style>
  <w:style w:type="paragraph" w:customStyle="1" w:styleId="AusPlainRDR">
    <w:name w:val="Aus Plain RDR"/>
    <w:basedOn w:val="AusPlain"/>
    <w:uiPriority w:val="3"/>
    <w:qFormat/>
    <w:rsid w:val="00CB56A3"/>
    <w:pPr>
      <w:shd w:val="pct15" w:color="auto" w:fill="auto"/>
    </w:pPr>
  </w:style>
  <w:style w:type="paragraph" w:customStyle="1" w:styleId="AusBoldRDR">
    <w:name w:val="Aus Bold RDR"/>
    <w:basedOn w:val="AusBold"/>
    <w:uiPriority w:val="4"/>
    <w:qFormat/>
    <w:rsid w:val="00CB56A3"/>
    <w:pPr>
      <w:shd w:val="pct15" w:color="auto" w:fill="auto"/>
    </w:pPr>
  </w:style>
  <w:style w:type="paragraph" w:customStyle="1" w:styleId="RDR11">
    <w:name w:val="RDR11"/>
    <w:basedOn w:val="IASBNormalnparaL1"/>
    <w:uiPriority w:val="6"/>
    <w:qFormat/>
    <w:rsid w:val="00CB56A3"/>
    <w:pPr>
      <w:shd w:val="pct15" w:color="auto" w:fill="auto"/>
    </w:pPr>
  </w:style>
  <w:style w:type="paragraph" w:customStyle="1" w:styleId="RDR12">
    <w:name w:val="RDR12"/>
    <w:basedOn w:val="RDR11"/>
    <w:uiPriority w:val="6"/>
    <w:qFormat/>
    <w:rsid w:val="00CB56A3"/>
    <w:pPr>
      <w:tabs>
        <w:tab w:val="left" w:pos="1565"/>
      </w:tabs>
      <w:ind w:left="2347" w:hanging="1565"/>
    </w:pPr>
  </w:style>
  <w:style w:type="paragraph" w:customStyle="1" w:styleId="RDR13">
    <w:name w:val="RDR13"/>
    <w:basedOn w:val="RDR12"/>
    <w:uiPriority w:val="6"/>
    <w:qFormat/>
    <w:rsid w:val="00CB56A3"/>
    <w:pPr>
      <w:tabs>
        <w:tab w:val="clear" w:pos="1565"/>
        <w:tab w:val="left" w:pos="2347"/>
      </w:tabs>
      <w:ind w:left="3129" w:hanging="2347"/>
    </w:pPr>
  </w:style>
  <w:style w:type="paragraph" w:customStyle="1" w:styleId="RDR21">
    <w:name w:val="RDR21"/>
    <w:basedOn w:val="IASBNormalnparaL2"/>
    <w:uiPriority w:val="6"/>
    <w:qFormat/>
    <w:rsid w:val="00CB56A3"/>
    <w:pPr>
      <w:shd w:val="pct15" w:color="auto" w:fill="auto"/>
    </w:pPr>
  </w:style>
  <w:style w:type="paragraph" w:customStyle="1" w:styleId="RDR22">
    <w:name w:val="RDR22"/>
    <w:basedOn w:val="RDR21"/>
    <w:uiPriority w:val="6"/>
    <w:qFormat/>
    <w:rsid w:val="00CB56A3"/>
    <w:pPr>
      <w:tabs>
        <w:tab w:val="left" w:pos="2347"/>
      </w:tabs>
      <w:ind w:left="3130" w:hanging="1565"/>
    </w:pPr>
  </w:style>
  <w:style w:type="table" w:styleId="TableGrid1">
    <w:name w:val="Table Grid 1"/>
    <w:basedOn w:val="TableNormal"/>
    <w:uiPriority w:val="99"/>
    <w:semiHidden/>
    <w:unhideWhenUsed/>
    <w:rsid w:val="00CB56A3"/>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usPlain1">
    <w:name w:val="Aus Plain1"/>
    <w:basedOn w:val="Normal"/>
    <w:rsid w:val="00805496"/>
    <w:pPr>
      <w:spacing w:after="200" w:line="200" w:lineRule="exact"/>
      <w:ind w:left="1021" w:hanging="1021"/>
    </w:pPr>
    <w:rPr>
      <w:sz w:val="20"/>
      <w:szCs w:val="20"/>
    </w:rPr>
  </w:style>
  <w:style w:type="paragraph" w:customStyle="1" w:styleId="AusBold1">
    <w:name w:val="Aus Bold1"/>
    <w:basedOn w:val="Normal"/>
    <w:rsid w:val="00805496"/>
    <w:pPr>
      <w:spacing w:after="200" w:line="200" w:lineRule="exact"/>
      <w:ind w:left="1021" w:hanging="1021"/>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oter" Target="footer1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header" Target="header11.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IASBase</Template>
  <TotalTime>103</TotalTime>
  <Pages>14</Pages>
  <Words>4554</Words>
  <Characters>26088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30581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John Hamilton</cp:lastModifiedBy>
  <cp:revision>18</cp:revision>
  <dcterms:created xsi:type="dcterms:W3CDTF">2015-07-25T00:27:00Z</dcterms:created>
  <dcterms:modified xsi:type="dcterms:W3CDTF">2015-08-19T00:56:00Z</dcterms:modified>
</cp:coreProperties>
</file>