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56952" w:rsidRDefault="00193461" w:rsidP="00C63713">
      <w:pPr>
        <w:rPr>
          <w:sz w:val="28"/>
        </w:rPr>
      </w:pPr>
      <w:r w:rsidRPr="00356952">
        <w:rPr>
          <w:noProof/>
          <w:lang w:eastAsia="en-AU"/>
        </w:rPr>
        <w:drawing>
          <wp:inline distT="0" distB="0" distL="0" distR="0" wp14:anchorId="0005E1BC" wp14:editId="7CB1932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56952" w:rsidRDefault="0048364F" w:rsidP="0048364F">
      <w:pPr>
        <w:rPr>
          <w:sz w:val="19"/>
        </w:rPr>
      </w:pPr>
    </w:p>
    <w:p w:rsidR="0048364F" w:rsidRPr="00356952" w:rsidRDefault="00C6709A" w:rsidP="0048364F">
      <w:pPr>
        <w:pStyle w:val="ShortT"/>
      </w:pPr>
      <w:r w:rsidRPr="00356952">
        <w:t xml:space="preserve">National Greenhouse and Energy Reporting Amendment </w:t>
      </w:r>
      <w:r w:rsidR="00887C38" w:rsidRPr="00356952">
        <w:t>(2015 Measures No.</w:t>
      </w:r>
      <w:r w:rsidR="00356952" w:rsidRPr="00356952">
        <w:t> </w:t>
      </w:r>
      <w:r w:rsidR="00887C38" w:rsidRPr="00356952">
        <w:t xml:space="preserve">2) </w:t>
      </w:r>
      <w:r w:rsidRPr="00356952">
        <w:t>Regulation</w:t>
      </w:r>
      <w:r w:rsidR="00356952" w:rsidRPr="00356952">
        <w:t> </w:t>
      </w:r>
      <w:r w:rsidRPr="00356952">
        <w:t>2015</w:t>
      </w:r>
    </w:p>
    <w:p w:rsidR="0048364F" w:rsidRPr="00356952" w:rsidRDefault="0048364F" w:rsidP="0048364F"/>
    <w:p w:rsidR="0048364F" w:rsidRPr="00356952" w:rsidRDefault="00A4361F" w:rsidP="00680F17">
      <w:pPr>
        <w:pStyle w:val="InstNo"/>
      </w:pPr>
      <w:r w:rsidRPr="00356952">
        <w:t>Select Legislative Instrument</w:t>
      </w:r>
      <w:r w:rsidR="00154EAC" w:rsidRPr="00356952">
        <w:t xml:space="preserve"> </w:t>
      </w:r>
      <w:bookmarkStart w:id="0" w:name="BKCheck15B_1"/>
      <w:bookmarkEnd w:id="0"/>
      <w:r w:rsidR="00D0104A" w:rsidRPr="00356952">
        <w:fldChar w:fldCharType="begin"/>
      </w:r>
      <w:r w:rsidR="00D0104A" w:rsidRPr="00356952">
        <w:instrText xml:space="preserve"> DOCPROPERTY  ActNo </w:instrText>
      </w:r>
      <w:r w:rsidR="00D0104A" w:rsidRPr="00356952">
        <w:fldChar w:fldCharType="separate"/>
      </w:r>
      <w:r w:rsidR="00843164">
        <w:t>No. 166, 2015</w:t>
      </w:r>
      <w:r w:rsidR="00D0104A" w:rsidRPr="00356952">
        <w:fldChar w:fldCharType="end"/>
      </w:r>
    </w:p>
    <w:p w:rsidR="00272353" w:rsidRPr="00356952" w:rsidRDefault="00272353" w:rsidP="00007847">
      <w:pPr>
        <w:pStyle w:val="SignCoverPageStart"/>
        <w:spacing w:before="240"/>
        <w:rPr>
          <w:szCs w:val="22"/>
        </w:rPr>
      </w:pPr>
      <w:r w:rsidRPr="00356952">
        <w:rPr>
          <w:szCs w:val="22"/>
        </w:rPr>
        <w:t>I, General the Honourable Sir Peter Cosgrove AK MC (</w:t>
      </w:r>
      <w:proofErr w:type="spellStart"/>
      <w:r w:rsidRPr="00356952">
        <w:rPr>
          <w:szCs w:val="22"/>
        </w:rPr>
        <w:t>Ret’d</w:t>
      </w:r>
      <w:proofErr w:type="spellEnd"/>
      <w:r w:rsidRPr="00356952">
        <w:rPr>
          <w:szCs w:val="22"/>
        </w:rPr>
        <w:t xml:space="preserve">), </w:t>
      </w:r>
      <w:r w:rsidR="00356952" w:rsidRPr="00356952">
        <w:rPr>
          <w:szCs w:val="22"/>
        </w:rPr>
        <w:t>Governor</w:t>
      </w:r>
      <w:r w:rsidR="00356952">
        <w:rPr>
          <w:szCs w:val="22"/>
        </w:rPr>
        <w:noBreakHyphen/>
      </w:r>
      <w:r w:rsidR="00356952" w:rsidRPr="00356952">
        <w:rPr>
          <w:szCs w:val="22"/>
        </w:rPr>
        <w:t>General</w:t>
      </w:r>
      <w:r w:rsidRPr="00356952">
        <w:rPr>
          <w:szCs w:val="22"/>
        </w:rPr>
        <w:t xml:space="preserve"> of the Commonwealth of Australia, acting with the advice of the Federal Executive Council, make the following regulation.</w:t>
      </w:r>
    </w:p>
    <w:p w:rsidR="00272353" w:rsidRPr="00356952" w:rsidRDefault="00272353" w:rsidP="00B73257">
      <w:pPr>
        <w:keepNext/>
        <w:spacing w:before="360" w:line="240" w:lineRule="atLeast"/>
        <w:ind w:right="397"/>
        <w:jc w:val="both"/>
        <w:rPr>
          <w:szCs w:val="22"/>
        </w:rPr>
      </w:pPr>
      <w:r w:rsidRPr="00356952">
        <w:rPr>
          <w:szCs w:val="22"/>
        </w:rPr>
        <w:t xml:space="preserve">Dated </w:t>
      </w:r>
      <w:bookmarkStart w:id="1" w:name="BKCheck15B_2"/>
      <w:bookmarkEnd w:id="1"/>
      <w:r w:rsidRPr="00356952">
        <w:rPr>
          <w:szCs w:val="22"/>
        </w:rPr>
        <w:fldChar w:fldCharType="begin"/>
      </w:r>
      <w:r w:rsidRPr="00356952">
        <w:rPr>
          <w:szCs w:val="22"/>
        </w:rPr>
        <w:instrText xml:space="preserve"> DOCPROPERTY  DateMade </w:instrText>
      </w:r>
      <w:r w:rsidRPr="00356952">
        <w:rPr>
          <w:szCs w:val="22"/>
        </w:rPr>
        <w:fldChar w:fldCharType="separate"/>
      </w:r>
      <w:r w:rsidR="00843164">
        <w:rPr>
          <w:szCs w:val="22"/>
        </w:rPr>
        <w:t>30 September 2015</w:t>
      </w:r>
      <w:r w:rsidRPr="00356952">
        <w:rPr>
          <w:szCs w:val="22"/>
        </w:rPr>
        <w:fldChar w:fldCharType="end"/>
      </w:r>
    </w:p>
    <w:p w:rsidR="00272353" w:rsidRPr="00356952" w:rsidRDefault="00272353" w:rsidP="00007847">
      <w:pPr>
        <w:keepNext/>
        <w:tabs>
          <w:tab w:val="left" w:pos="3402"/>
        </w:tabs>
        <w:spacing w:before="1080" w:line="300" w:lineRule="atLeast"/>
        <w:ind w:left="397" w:right="397"/>
        <w:jc w:val="right"/>
        <w:rPr>
          <w:szCs w:val="22"/>
        </w:rPr>
      </w:pPr>
      <w:r w:rsidRPr="00356952">
        <w:rPr>
          <w:szCs w:val="22"/>
        </w:rPr>
        <w:t>Peter Cosgrove</w:t>
      </w:r>
    </w:p>
    <w:p w:rsidR="00272353" w:rsidRPr="00356952" w:rsidRDefault="00356952" w:rsidP="00007847">
      <w:pPr>
        <w:keepNext/>
        <w:tabs>
          <w:tab w:val="left" w:pos="3402"/>
        </w:tabs>
        <w:spacing w:line="300" w:lineRule="atLeast"/>
        <w:ind w:left="397" w:right="397"/>
        <w:jc w:val="right"/>
        <w:rPr>
          <w:szCs w:val="22"/>
        </w:rPr>
      </w:pPr>
      <w:r w:rsidRPr="00356952">
        <w:rPr>
          <w:szCs w:val="22"/>
        </w:rPr>
        <w:t>Governor</w:t>
      </w:r>
      <w:r>
        <w:rPr>
          <w:szCs w:val="22"/>
        </w:rPr>
        <w:noBreakHyphen/>
      </w:r>
      <w:r w:rsidRPr="00356952">
        <w:rPr>
          <w:szCs w:val="22"/>
        </w:rPr>
        <w:t>General</w:t>
      </w:r>
    </w:p>
    <w:p w:rsidR="00272353" w:rsidRPr="00356952" w:rsidRDefault="00272353" w:rsidP="00B73257">
      <w:pPr>
        <w:keepNext/>
        <w:tabs>
          <w:tab w:val="left" w:pos="3402"/>
        </w:tabs>
        <w:spacing w:before="360" w:after="1080" w:line="300" w:lineRule="atLeast"/>
        <w:ind w:right="397"/>
        <w:rPr>
          <w:szCs w:val="22"/>
        </w:rPr>
      </w:pPr>
      <w:r w:rsidRPr="00356952">
        <w:rPr>
          <w:szCs w:val="22"/>
        </w:rPr>
        <w:t>By His Excellency’s Command</w:t>
      </w:r>
    </w:p>
    <w:p w:rsidR="00272353" w:rsidRPr="00356952" w:rsidRDefault="00272353" w:rsidP="00007847">
      <w:pPr>
        <w:keepNext/>
        <w:tabs>
          <w:tab w:val="left" w:pos="3402"/>
        </w:tabs>
        <w:spacing w:before="480" w:line="300" w:lineRule="atLeast"/>
        <w:ind w:right="397"/>
        <w:rPr>
          <w:szCs w:val="22"/>
        </w:rPr>
      </w:pPr>
      <w:r w:rsidRPr="00356952">
        <w:rPr>
          <w:szCs w:val="22"/>
        </w:rPr>
        <w:t>Greg Hunt</w:t>
      </w:r>
    </w:p>
    <w:p w:rsidR="00272353" w:rsidRPr="00356952" w:rsidRDefault="00272353" w:rsidP="00007847">
      <w:pPr>
        <w:pStyle w:val="SignCoverPageEnd"/>
        <w:rPr>
          <w:szCs w:val="22"/>
        </w:rPr>
      </w:pPr>
      <w:r w:rsidRPr="00356952">
        <w:rPr>
          <w:szCs w:val="22"/>
        </w:rPr>
        <w:t>Minister for the Environment</w:t>
      </w:r>
    </w:p>
    <w:p w:rsidR="00272353" w:rsidRPr="00356952" w:rsidRDefault="00272353" w:rsidP="00272353"/>
    <w:p w:rsidR="0048364F" w:rsidRPr="00356952" w:rsidRDefault="0048364F" w:rsidP="0048364F">
      <w:pPr>
        <w:pStyle w:val="Header"/>
        <w:tabs>
          <w:tab w:val="clear" w:pos="4150"/>
          <w:tab w:val="clear" w:pos="8307"/>
        </w:tabs>
      </w:pPr>
      <w:r w:rsidRPr="00356952">
        <w:rPr>
          <w:rStyle w:val="CharAmSchNo"/>
        </w:rPr>
        <w:t xml:space="preserve"> </w:t>
      </w:r>
      <w:r w:rsidRPr="00356952">
        <w:rPr>
          <w:rStyle w:val="CharAmSchText"/>
        </w:rPr>
        <w:t xml:space="preserve"> </w:t>
      </w:r>
    </w:p>
    <w:p w:rsidR="0048364F" w:rsidRPr="00356952" w:rsidRDefault="0048364F" w:rsidP="0048364F">
      <w:pPr>
        <w:pStyle w:val="Header"/>
        <w:tabs>
          <w:tab w:val="clear" w:pos="4150"/>
          <w:tab w:val="clear" w:pos="8307"/>
        </w:tabs>
      </w:pPr>
      <w:r w:rsidRPr="00356952">
        <w:rPr>
          <w:rStyle w:val="CharAmPartNo"/>
        </w:rPr>
        <w:t xml:space="preserve"> </w:t>
      </w:r>
      <w:r w:rsidRPr="00356952">
        <w:rPr>
          <w:rStyle w:val="CharAmPartText"/>
        </w:rPr>
        <w:t xml:space="preserve"> </w:t>
      </w:r>
    </w:p>
    <w:p w:rsidR="0048364F" w:rsidRPr="00356952" w:rsidRDefault="0048364F" w:rsidP="0048364F">
      <w:pPr>
        <w:sectPr w:rsidR="0048364F" w:rsidRPr="00356952" w:rsidSect="00C16BE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356952" w:rsidRDefault="0048364F" w:rsidP="00A92A56">
      <w:pPr>
        <w:rPr>
          <w:sz w:val="36"/>
        </w:rPr>
      </w:pPr>
      <w:r w:rsidRPr="00356952">
        <w:rPr>
          <w:sz w:val="36"/>
        </w:rPr>
        <w:lastRenderedPageBreak/>
        <w:t>Contents</w:t>
      </w:r>
    </w:p>
    <w:bookmarkStart w:id="2" w:name="BKCheck15B_3"/>
    <w:bookmarkEnd w:id="2"/>
    <w:p w:rsidR="00536197" w:rsidRPr="00356952" w:rsidRDefault="00536197">
      <w:pPr>
        <w:pStyle w:val="TOC5"/>
        <w:rPr>
          <w:rFonts w:asciiTheme="minorHAnsi" w:eastAsiaTheme="minorEastAsia" w:hAnsiTheme="minorHAnsi" w:cstheme="minorBidi"/>
          <w:noProof/>
          <w:kern w:val="0"/>
          <w:sz w:val="22"/>
          <w:szCs w:val="22"/>
        </w:rPr>
      </w:pPr>
      <w:r w:rsidRPr="00356952">
        <w:fldChar w:fldCharType="begin"/>
      </w:r>
      <w:r w:rsidRPr="00356952">
        <w:instrText xml:space="preserve"> TOC \o "1-9" </w:instrText>
      </w:r>
      <w:r w:rsidRPr="00356952">
        <w:fldChar w:fldCharType="separate"/>
      </w:r>
      <w:r w:rsidRPr="00356952">
        <w:rPr>
          <w:noProof/>
        </w:rPr>
        <w:t>1</w:t>
      </w:r>
      <w:r w:rsidRPr="00356952">
        <w:rPr>
          <w:noProof/>
        </w:rPr>
        <w:tab/>
        <w:t>Name</w:t>
      </w:r>
      <w:r w:rsidRPr="00356952">
        <w:rPr>
          <w:noProof/>
        </w:rPr>
        <w:tab/>
      </w:r>
      <w:r w:rsidRPr="00356952">
        <w:rPr>
          <w:noProof/>
        </w:rPr>
        <w:fldChar w:fldCharType="begin"/>
      </w:r>
      <w:r w:rsidRPr="00356952">
        <w:rPr>
          <w:noProof/>
        </w:rPr>
        <w:instrText xml:space="preserve"> PAGEREF _Toc430176453 \h </w:instrText>
      </w:r>
      <w:r w:rsidRPr="00356952">
        <w:rPr>
          <w:noProof/>
        </w:rPr>
      </w:r>
      <w:r w:rsidRPr="00356952">
        <w:rPr>
          <w:noProof/>
        </w:rPr>
        <w:fldChar w:fldCharType="separate"/>
      </w:r>
      <w:r w:rsidR="00843164">
        <w:rPr>
          <w:noProof/>
        </w:rPr>
        <w:t>1</w:t>
      </w:r>
      <w:r w:rsidRPr="00356952">
        <w:rPr>
          <w:noProof/>
        </w:rPr>
        <w:fldChar w:fldCharType="end"/>
      </w:r>
    </w:p>
    <w:p w:rsidR="00536197" w:rsidRPr="00356952" w:rsidRDefault="00536197">
      <w:pPr>
        <w:pStyle w:val="TOC5"/>
        <w:rPr>
          <w:rFonts w:asciiTheme="minorHAnsi" w:eastAsiaTheme="minorEastAsia" w:hAnsiTheme="minorHAnsi" w:cstheme="minorBidi"/>
          <w:noProof/>
          <w:kern w:val="0"/>
          <w:sz w:val="22"/>
          <w:szCs w:val="22"/>
        </w:rPr>
      </w:pPr>
      <w:r w:rsidRPr="00356952">
        <w:rPr>
          <w:noProof/>
        </w:rPr>
        <w:t>2</w:t>
      </w:r>
      <w:r w:rsidRPr="00356952">
        <w:rPr>
          <w:noProof/>
        </w:rPr>
        <w:tab/>
        <w:t>Commencement</w:t>
      </w:r>
      <w:r w:rsidRPr="00356952">
        <w:rPr>
          <w:noProof/>
        </w:rPr>
        <w:tab/>
      </w:r>
      <w:r w:rsidRPr="00356952">
        <w:rPr>
          <w:noProof/>
        </w:rPr>
        <w:fldChar w:fldCharType="begin"/>
      </w:r>
      <w:r w:rsidRPr="00356952">
        <w:rPr>
          <w:noProof/>
        </w:rPr>
        <w:instrText xml:space="preserve"> PAGEREF _Toc430176454 \h </w:instrText>
      </w:r>
      <w:r w:rsidRPr="00356952">
        <w:rPr>
          <w:noProof/>
        </w:rPr>
      </w:r>
      <w:r w:rsidRPr="00356952">
        <w:rPr>
          <w:noProof/>
        </w:rPr>
        <w:fldChar w:fldCharType="separate"/>
      </w:r>
      <w:r w:rsidR="00843164">
        <w:rPr>
          <w:noProof/>
        </w:rPr>
        <w:t>1</w:t>
      </w:r>
      <w:r w:rsidRPr="00356952">
        <w:rPr>
          <w:noProof/>
        </w:rPr>
        <w:fldChar w:fldCharType="end"/>
      </w:r>
    </w:p>
    <w:p w:rsidR="00536197" w:rsidRPr="00356952" w:rsidRDefault="00536197">
      <w:pPr>
        <w:pStyle w:val="TOC5"/>
        <w:rPr>
          <w:rFonts w:asciiTheme="minorHAnsi" w:eastAsiaTheme="minorEastAsia" w:hAnsiTheme="minorHAnsi" w:cstheme="minorBidi"/>
          <w:noProof/>
          <w:kern w:val="0"/>
          <w:sz w:val="22"/>
          <w:szCs w:val="22"/>
        </w:rPr>
      </w:pPr>
      <w:r w:rsidRPr="00356952">
        <w:rPr>
          <w:noProof/>
        </w:rPr>
        <w:t>3</w:t>
      </w:r>
      <w:r w:rsidRPr="00356952">
        <w:rPr>
          <w:noProof/>
        </w:rPr>
        <w:tab/>
        <w:t>Authority</w:t>
      </w:r>
      <w:r w:rsidRPr="00356952">
        <w:rPr>
          <w:noProof/>
        </w:rPr>
        <w:tab/>
      </w:r>
      <w:r w:rsidRPr="00356952">
        <w:rPr>
          <w:noProof/>
        </w:rPr>
        <w:fldChar w:fldCharType="begin"/>
      </w:r>
      <w:r w:rsidRPr="00356952">
        <w:rPr>
          <w:noProof/>
        </w:rPr>
        <w:instrText xml:space="preserve"> PAGEREF _Toc430176455 \h </w:instrText>
      </w:r>
      <w:r w:rsidRPr="00356952">
        <w:rPr>
          <w:noProof/>
        </w:rPr>
      </w:r>
      <w:r w:rsidRPr="00356952">
        <w:rPr>
          <w:noProof/>
        </w:rPr>
        <w:fldChar w:fldCharType="separate"/>
      </w:r>
      <w:r w:rsidR="00843164">
        <w:rPr>
          <w:noProof/>
        </w:rPr>
        <w:t>1</w:t>
      </w:r>
      <w:r w:rsidRPr="00356952">
        <w:rPr>
          <w:noProof/>
        </w:rPr>
        <w:fldChar w:fldCharType="end"/>
      </w:r>
    </w:p>
    <w:p w:rsidR="00536197" w:rsidRPr="00356952" w:rsidRDefault="00536197">
      <w:pPr>
        <w:pStyle w:val="TOC5"/>
        <w:rPr>
          <w:rFonts w:asciiTheme="minorHAnsi" w:eastAsiaTheme="minorEastAsia" w:hAnsiTheme="minorHAnsi" w:cstheme="minorBidi"/>
          <w:noProof/>
          <w:kern w:val="0"/>
          <w:sz w:val="22"/>
          <w:szCs w:val="22"/>
        </w:rPr>
      </w:pPr>
      <w:r w:rsidRPr="00356952">
        <w:rPr>
          <w:noProof/>
        </w:rPr>
        <w:t>4</w:t>
      </w:r>
      <w:r w:rsidRPr="00356952">
        <w:rPr>
          <w:noProof/>
        </w:rPr>
        <w:tab/>
        <w:t>Schedules</w:t>
      </w:r>
      <w:r w:rsidRPr="00356952">
        <w:rPr>
          <w:noProof/>
        </w:rPr>
        <w:tab/>
      </w:r>
      <w:r w:rsidRPr="00356952">
        <w:rPr>
          <w:noProof/>
        </w:rPr>
        <w:fldChar w:fldCharType="begin"/>
      </w:r>
      <w:r w:rsidRPr="00356952">
        <w:rPr>
          <w:noProof/>
        </w:rPr>
        <w:instrText xml:space="preserve"> PAGEREF _Toc430176456 \h </w:instrText>
      </w:r>
      <w:r w:rsidRPr="00356952">
        <w:rPr>
          <w:noProof/>
        </w:rPr>
      </w:r>
      <w:r w:rsidRPr="00356952">
        <w:rPr>
          <w:noProof/>
        </w:rPr>
        <w:fldChar w:fldCharType="separate"/>
      </w:r>
      <w:r w:rsidR="00843164">
        <w:rPr>
          <w:noProof/>
        </w:rPr>
        <w:t>2</w:t>
      </w:r>
      <w:r w:rsidRPr="00356952">
        <w:rPr>
          <w:noProof/>
        </w:rPr>
        <w:fldChar w:fldCharType="end"/>
      </w:r>
    </w:p>
    <w:p w:rsidR="00536197" w:rsidRPr="00356952" w:rsidRDefault="00536197">
      <w:pPr>
        <w:pStyle w:val="TOC6"/>
        <w:rPr>
          <w:rFonts w:asciiTheme="minorHAnsi" w:eastAsiaTheme="minorEastAsia" w:hAnsiTheme="minorHAnsi" w:cstheme="minorBidi"/>
          <w:b w:val="0"/>
          <w:noProof/>
          <w:kern w:val="0"/>
          <w:sz w:val="22"/>
          <w:szCs w:val="22"/>
        </w:rPr>
      </w:pPr>
      <w:r w:rsidRPr="00356952">
        <w:rPr>
          <w:noProof/>
        </w:rPr>
        <w:t>Schedule</w:t>
      </w:r>
      <w:r w:rsidR="00356952" w:rsidRPr="00356952">
        <w:rPr>
          <w:noProof/>
        </w:rPr>
        <w:t> </w:t>
      </w:r>
      <w:r w:rsidRPr="00356952">
        <w:rPr>
          <w:noProof/>
        </w:rPr>
        <w:t>1—Amendments commencing day after registration</w:t>
      </w:r>
      <w:r w:rsidRPr="00356952">
        <w:rPr>
          <w:b w:val="0"/>
          <w:noProof/>
          <w:sz w:val="18"/>
        </w:rPr>
        <w:tab/>
      </w:r>
      <w:r w:rsidRPr="00356952">
        <w:rPr>
          <w:b w:val="0"/>
          <w:noProof/>
          <w:sz w:val="18"/>
        </w:rPr>
        <w:fldChar w:fldCharType="begin"/>
      </w:r>
      <w:r w:rsidRPr="00356952">
        <w:rPr>
          <w:b w:val="0"/>
          <w:noProof/>
          <w:sz w:val="18"/>
        </w:rPr>
        <w:instrText xml:space="preserve"> PAGEREF _Toc430176457 \h </w:instrText>
      </w:r>
      <w:r w:rsidRPr="00356952">
        <w:rPr>
          <w:b w:val="0"/>
          <w:noProof/>
          <w:sz w:val="18"/>
        </w:rPr>
      </w:r>
      <w:r w:rsidRPr="00356952">
        <w:rPr>
          <w:b w:val="0"/>
          <w:noProof/>
          <w:sz w:val="18"/>
        </w:rPr>
        <w:fldChar w:fldCharType="separate"/>
      </w:r>
      <w:r w:rsidR="00843164">
        <w:rPr>
          <w:b w:val="0"/>
          <w:noProof/>
          <w:sz w:val="18"/>
        </w:rPr>
        <w:t>3</w:t>
      </w:r>
      <w:r w:rsidRPr="00356952">
        <w:rPr>
          <w:b w:val="0"/>
          <w:noProof/>
          <w:sz w:val="18"/>
        </w:rPr>
        <w:fldChar w:fldCharType="end"/>
      </w:r>
    </w:p>
    <w:p w:rsidR="00536197" w:rsidRPr="00356952" w:rsidRDefault="00536197">
      <w:pPr>
        <w:pStyle w:val="TOC9"/>
        <w:rPr>
          <w:rFonts w:asciiTheme="minorHAnsi" w:eastAsiaTheme="minorEastAsia" w:hAnsiTheme="minorHAnsi" w:cstheme="minorBidi"/>
          <w:i w:val="0"/>
          <w:noProof/>
          <w:kern w:val="0"/>
          <w:sz w:val="22"/>
          <w:szCs w:val="22"/>
        </w:rPr>
      </w:pPr>
      <w:r w:rsidRPr="00356952">
        <w:rPr>
          <w:noProof/>
        </w:rPr>
        <w:t>National Greenhouse and Energy Reporting Regulations</w:t>
      </w:r>
      <w:r w:rsidR="00356952" w:rsidRPr="00356952">
        <w:rPr>
          <w:noProof/>
        </w:rPr>
        <w:t> </w:t>
      </w:r>
      <w:r w:rsidRPr="00356952">
        <w:rPr>
          <w:noProof/>
        </w:rPr>
        <w:t>2008</w:t>
      </w:r>
      <w:r w:rsidRPr="00356952">
        <w:rPr>
          <w:i w:val="0"/>
          <w:noProof/>
          <w:sz w:val="18"/>
        </w:rPr>
        <w:tab/>
      </w:r>
      <w:r w:rsidRPr="00356952">
        <w:rPr>
          <w:i w:val="0"/>
          <w:noProof/>
          <w:sz w:val="18"/>
        </w:rPr>
        <w:fldChar w:fldCharType="begin"/>
      </w:r>
      <w:r w:rsidRPr="00356952">
        <w:rPr>
          <w:i w:val="0"/>
          <w:noProof/>
          <w:sz w:val="18"/>
        </w:rPr>
        <w:instrText xml:space="preserve"> PAGEREF _Toc430176458 \h </w:instrText>
      </w:r>
      <w:r w:rsidRPr="00356952">
        <w:rPr>
          <w:i w:val="0"/>
          <w:noProof/>
          <w:sz w:val="18"/>
        </w:rPr>
      </w:r>
      <w:r w:rsidRPr="00356952">
        <w:rPr>
          <w:i w:val="0"/>
          <w:noProof/>
          <w:sz w:val="18"/>
        </w:rPr>
        <w:fldChar w:fldCharType="separate"/>
      </w:r>
      <w:r w:rsidR="00843164">
        <w:rPr>
          <w:i w:val="0"/>
          <w:noProof/>
          <w:sz w:val="18"/>
        </w:rPr>
        <w:t>3</w:t>
      </w:r>
      <w:r w:rsidRPr="00356952">
        <w:rPr>
          <w:i w:val="0"/>
          <w:noProof/>
          <w:sz w:val="18"/>
        </w:rPr>
        <w:fldChar w:fldCharType="end"/>
      </w:r>
    </w:p>
    <w:p w:rsidR="00536197" w:rsidRPr="00356952" w:rsidRDefault="00536197">
      <w:pPr>
        <w:pStyle w:val="TOC6"/>
        <w:rPr>
          <w:rFonts w:asciiTheme="minorHAnsi" w:eastAsiaTheme="minorEastAsia" w:hAnsiTheme="minorHAnsi" w:cstheme="minorBidi"/>
          <w:b w:val="0"/>
          <w:noProof/>
          <w:kern w:val="0"/>
          <w:sz w:val="22"/>
          <w:szCs w:val="22"/>
        </w:rPr>
      </w:pPr>
      <w:r w:rsidRPr="00356952">
        <w:rPr>
          <w:noProof/>
        </w:rPr>
        <w:t>Schedule</w:t>
      </w:r>
      <w:r w:rsidR="00356952" w:rsidRPr="00356952">
        <w:rPr>
          <w:noProof/>
        </w:rPr>
        <w:t> </w:t>
      </w:r>
      <w:r w:rsidRPr="00356952">
        <w:rPr>
          <w:noProof/>
        </w:rPr>
        <w:t>2—Amendments commencing 1</w:t>
      </w:r>
      <w:r w:rsidR="00356952" w:rsidRPr="00356952">
        <w:rPr>
          <w:noProof/>
        </w:rPr>
        <w:t> </w:t>
      </w:r>
      <w:r w:rsidRPr="00356952">
        <w:rPr>
          <w:noProof/>
        </w:rPr>
        <w:t>July 2016</w:t>
      </w:r>
      <w:r w:rsidRPr="00356952">
        <w:rPr>
          <w:b w:val="0"/>
          <w:noProof/>
          <w:sz w:val="18"/>
        </w:rPr>
        <w:tab/>
      </w:r>
      <w:r w:rsidRPr="00356952">
        <w:rPr>
          <w:b w:val="0"/>
          <w:noProof/>
          <w:sz w:val="18"/>
        </w:rPr>
        <w:fldChar w:fldCharType="begin"/>
      </w:r>
      <w:r w:rsidRPr="00356952">
        <w:rPr>
          <w:b w:val="0"/>
          <w:noProof/>
          <w:sz w:val="18"/>
        </w:rPr>
        <w:instrText xml:space="preserve"> PAGEREF _Toc430176462 \h </w:instrText>
      </w:r>
      <w:r w:rsidRPr="00356952">
        <w:rPr>
          <w:b w:val="0"/>
          <w:noProof/>
          <w:sz w:val="18"/>
        </w:rPr>
      </w:r>
      <w:r w:rsidRPr="00356952">
        <w:rPr>
          <w:b w:val="0"/>
          <w:noProof/>
          <w:sz w:val="18"/>
        </w:rPr>
        <w:fldChar w:fldCharType="separate"/>
      </w:r>
      <w:r w:rsidR="00843164">
        <w:rPr>
          <w:b w:val="0"/>
          <w:noProof/>
          <w:sz w:val="18"/>
        </w:rPr>
        <w:t>10</w:t>
      </w:r>
      <w:r w:rsidRPr="00356952">
        <w:rPr>
          <w:b w:val="0"/>
          <w:noProof/>
          <w:sz w:val="18"/>
        </w:rPr>
        <w:fldChar w:fldCharType="end"/>
      </w:r>
    </w:p>
    <w:p w:rsidR="00536197" w:rsidRPr="00356952" w:rsidRDefault="00536197">
      <w:pPr>
        <w:pStyle w:val="TOC9"/>
        <w:rPr>
          <w:rFonts w:asciiTheme="minorHAnsi" w:eastAsiaTheme="minorEastAsia" w:hAnsiTheme="minorHAnsi" w:cstheme="minorBidi"/>
          <w:i w:val="0"/>
          <w:noProof/>
          <w:kern w:val="0"/>
          <w:sz w:val="22"/>
          <w:szCs w:val="22"/>
        </w:rPr>
      </w:pPr>
      <w:r w:rsidRPr="00356952">
        <w:rPr>
          <w:noProof/>
        </w:rPr>
        <w:t>National Greenhouse and Energy Reporting Regulations</w:t>
      </w:r>
      <w:r w:rsidR="00356952" w:rsidRPr="00356952">
        <w:rPr>
          <w:noProof/>
        </w:rPr>
        <w:t> </w:t>
      </w:r>
      <w:r w:rsidRPr="00356952">
        <w:rPr>
          <w:noProof/>
        </w:rPr>
        <w:t>2008</w:t>
      </w:r>
      <w:r w:rsidRPr="00356952">
        <w:rPr>
          <w:i w:val="0"/>
          <w:noProof/>
          <w:sz w:val="18"/>
        </w:rPr>
        <w:tab/>
      </w:r>
      <w:r w:rsidRPr="00356952">
        <w:rPr>
          <w:i w:val="0"/>
          <w:noProof/>
          <w:sz w:val="18"/>
        </w:rPr>
        <w:fldChar w:fldCharType="begin"/>
      </w:r>
      <w:r w:rsidRPr="00356952">
        <w:rPr>
          <w:i w:val="0"/>
          <w:noProof/>
          <w:sz w:val="18"/>
        </w:rPr>
        <w:instrText xml:space="preserve"> PAGEREF _Toc430176463 \h </w:instrText>
      </w:r>
      <w:r w:rsidRPr="00356952">
        <w:rPr>
          <w:i w:val="0"/>
          <w:noProof/>
          <w:sz w:val="18"/>
        </w:rPr>
      </w:r>
      <w:r w:rsidRPr="00356952">
        <w:rPr>
          <w:i w:val="0"/>
          <w:noProof/>
          <w:sz w:val="18"/>
        </w:rPr>
        <w:fldChar w:fldCharType="separate"/>
      </w:r>
      <w:r w:rsidR="00843164">
        <w:rPr>
          <w:i w:val="0"/>
          <w:noProof/>
          <w:sz w:val="18"/>
        </w:rPr>
        <w:t>10</w:t>
      </w:r>
      <w:r w:rsidRPr="00356952">
        <w:rPr>
          <w:i w:val="0"/>
          <w:noProof/>
          <w:sz w:val="18"/>
        </w:rPr>
        <w:fldChar w:fldCharType="end"/>
      </w:r>
    </w:p>
    <w:p w:rsidR="00833416" w:rsidRPr="00356952" w:rsidRDefault="00536197" w:rsidP="0048364F">
      <w:r w:rsidRPr="00356952">
        <w:fldChar w:fldCharType="end"/>
      </w:r>
    </w:p>
    <w:p w:rsidR="00722023" w:rsidRPr="00356952" w:rsidRDefault="00722023" w:rsidP="0048364F">
      <w:pPr>
        <w:sectPr w:rsidR="00722023" w:rsidRPr="00356952" w:rsidSect="00C16BE7">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356952" w:rsidRDefault="0048364F" w:rsidP="0048364F">
      <w:pPr>
        <w:pStyle w:val="ActHead5"/>
      </w:pPr>
      <w:bookmarkStart w:id="3" w:name="_Toc430176453"/>
      <w:r w:rsidRPr="00356952">
        <w:rPr>
          <w:rStyle w:val="CharSectno"/>
        </w:rPr>
        <w:lastRenderedPageBreak/>
        <w:t>1</w:t>
      </w:r>
      <w:r w:rsidRPr="00356952">
        <w:t xml:space="preserve">  </w:t>
      </w:r>
      <w:r w:rsidR="004F676E" w:rsidRPr="00356952">
        <w:t>Name</w:t>
      </w:r>
      <w:bookmarkEnd w:id="3"/>
    </w:p>
    <w:p w:rsidR="0048364F" w:rsidRPr="00356952" w:rsidRDefault="0048364F" w:rsidP="0048364F">
      <w:pPr>
        <w:pStyle w:val="subsection"/>
      </w:pPr>
      <w:r w:rsidRPr="00356952">
        <w:tab/>
      </w:r>
      <w:r w:rsidRPr="00356952">
        <w:tab/>
        <w:t>Th</w:t>
      </w:r>
      <w:r w:rsidR="00F24C35" w:rsidRPr="00356952">
        <w:t>is</w:t>
      </w:r>
      <w:r w:rsidRPr="00356952">
        <w:t xml:space="preserve"> </w:t>
      </w:r>
      <w:r w:rsidR="00F24C35" w:rsidRPr="00356952">
        <w:t>is</w:t>
      </w:r>
      <w:r w:rsidR="003801D0" w:rsidRPr="00356952">
        <w:t xml:space="preserve"> the</w:t>
      </w:r>
      <w:r w:rsidRPr="00356952">
        <w:t xml:space="preserve"> </w:t>
      </w:r>
      <w:bookmarkStart w:id="4" w:name="BKCheck15B_4"/>
      <w:bookmarkEnd w:id="4"/>
      <w:r w:rsidR="00CB0180" w:rsidRPr="00356952">
        <w:rPr>
          <w:i/>
        </w:rPr>
        <w:fldChar w:fldCharType="begin"/>
      </w:r>
      <w:r w:rsidR="00CB0180" w:rsidRPr="00356952">
        <w:rPr>
          <w:i/>
        </w:rPr>
        <w:instrText xml:space="preserve"> STYLEREF  ShortT </w:instrText>
      </w:r>
      <w:r w:rsidR="00CB0180" w:rsidRPr="00356952">
        <w:rPr>
          <w:i/>
        </w:rPr>
        <w:fldChar w:fldCharType="separate"/>
      </w:r>
      <w:r w:rsidR="00843164">
        <w:rPr>
          <w:i/>
          <w:noProof/>
        </w:rPr>
        <w:t>National Greenhouse and Energy Reporting Amendment (2015 Measures No. 2) Regulation 2015</w:t>
      </w:r>
      <w:r w:rsidR="00CB0180" w:rsidRPr="00356952">
        <w:rPr>
          <w:i/>
        </w:rPr>
        <w:fldChar w:fldCharType="end"/>
      </w:r>
      <w:r w:rsidRPr="00356952">
        <w:t>.</w:t>
      </w:r>
    </w:p>
    <w:p w:rsidR="0048364F" w:rsidRPr="00356952" w:rsidRDefault="0048364F" w:rsidP="0048364F">
      <w:pPr>
        <w:pStyle w:val="ActHead5"/>
      </w:pPr>
      <w:bookmarkStart w:id="5" w:name="_Toc430176454"/>
      <w:r w:rsidRPr="00356952">
        <w:rPr>
          <w:rStyle w:val="CharSectno"/>
        </w:rPr>
        <w:t>2</w:t>
      </w:r>
      <w:r w:rsidRPr="00356952">
        <w:t xml:space="preserve">  Commencement</w:t>
      </w:r>
      <w:bookmarkEnd w:id="5"/>
    </w:p>
    <w:p w:rsidR="005D494A" w:rsidRPr="00356952" w:rsidRDefault="005D494A" w:rsidP="008E1F99">
      <w:pPr>
        <w:pStyle w:val="subsection"/>
      </w:pPr>
      <w:r w:rsidRPr="00356952">
        <w:tab/>
        <w:t>(1)</w:t>
      </w:r>
      <w:r w:rsidRPr="00356952">
        <w:tab/>
        <w:t>Each provision of this instrument specified in column 1 of the table commences, or is taken to have commenced, in accordance with column 2 of the table. Any other statement in column 2 has effect according to its terms.</w:t>
      </w:r>
    </w:p>
    <w:p w:rsidR="005D494A" w:rsidRPr="00356952" w:rsidRDefault="005D494A" w:rsidP="008E1F9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5D494A" w:rsidRPr="00356952" w:rsidTr="008E1F99">
        <w:trPr>
          <w:cantSplit/>
          <w:tblHeader/>
        </w:trPr>
        <w:tc>
          <w:tcPr>
            <w:tcW w:w="7111" w:type="dxa"/>
            <w:gridSpan w:val="3"/>
            <w:tcBorders>
              <w:top w:val="single" w:sz="12" w:space="0" w:color="auto"/>
              <w:left w:val="nil"/>
              <w:bottom w:val="single" w:sz="6" w:space="0" w:color="auto"/>
              <w:right w:val="nil"/>
            </w:tcBorders>
            <w:hideMark/>
          </w:tcPr>
          <w:p w:rsidR="005D494A" w:rsidRPr="00356952" w:rsidRDefault="005D494A" w:rsidP="008E1F99">
            <w:pPr>
              <w:pStyle w:val="TableHeading"/>
            </w:pPr>
            <w:r w:rsidRPr="00356952">
              <w:t>Commencement information</w:t>
            </w:r>
          </w:p>
        </w:tc>
      </w:tr>
      <w:tr w:rsidR="005D494A" w:rsidRPr="00356952" w:rsidTr="008E1F99">
        <w:trPr>
          <w:cantSplit/>
          <w:tblHeader/>
        </w:trPr>
        <w:tc>
          <w:tcPr>
            <w:tcW w:w="1701" w:type="dxa"/>
            <w:tcBorders>
              <w:top w:val="single" w:sz="6" w:space="0" w:color="auto"/>
              <w:left w:val="nil"/>
              <w:bottom w:val="single" w:sz="6" w:space="0" w:color="auto"/>
              <w:right w:val="nil"/>
            </w:tcBorders>
            <w:hideMark/>
          </w:tcPr>
          <w:p w:rsidR="005D494A" w:rsidRPr="00356952" w:rsidRDefault="005D494A" w:rsidP="008E1F99">
            <w:pPr>
              <w:pStyle w:val="TableHeading"/>
            </w:pPr>
            <w:r w:rsidRPr="00356952">
              <w:t>Column 1</w:t>
            </w:r>
          </w:p>
        </w:tc>
        <w:tc>
          <w:tcPr>
            <w:tcW w:w="3828" w:type="dxa"/>
            <w:tcBorders>
              <w:top w:val="single" w:sz="6" w:space="0" w:color="auto"/>
              <w:left w:val="nil"/>
              <w:bottom w:val="single" w:sz="6" w:space="0" w:color="auto"/>
              <w:right w:val="nil"/>
            </w:tcBorders>
            <w:hideMark/>
          </w:tcPr>
          <w:p w:rsidR="005D494A" w:rsidRPr="00356952" w:rsidRDefault="005D494A" w:rsidP="008E1F99">
            <w:pPr>
              <w:pStyle w:val="TableHeading"/>
            </w:pPr>
            <w:r w:rsidRPr="00356952">
              <w:t>Column 2</w:t>
            </w:r>
          </w:p>
        </w:tc>
        <w:tc>
          <w:tcPr>
            <w:tcW w:w="1582" w:type="dxa"/>
            <w:tcBorders>
              <w:top w:val="single" w:sz="6" w:space="0" w:color="auto"/>
              <w:left w:val="nil"/>
              <w:bottom w:val="single" w:sz="6" w:space="0" w:color="auto"/>
              <w:right w:val="nil"/>
            </w:tcBorders>
            <w:hideMark/>
          </w:tcPr>
          <w:p w:rsidR="005D494A" w:rsidRPr="00356952" w:rsidRDefault="005D494A" w:rsidP="008E1F99">
            <w:pPr>
              <w:pStyle w:val="TableHeading"/>
            </w:pPr>
            <w:r w:rsidRPr="00356952">
              <w:t>Column 3</w:t>
            </w:r>
          </w:p>
        </w:tc>
      </w:tr>
      <w:tr w:rsidR="005D494A" w:rsidRPr="00356952" w:rsidTr="008E1F99">
        <w:trPr>
          <w:cantSplit/>
          <w:tblHeader/>
        </w:trPr>
        <w:tc>
          <w:tcPr>
            <w:tcW w:w="1701" w:type="dxa"/>
            <w:tcBorders>
              <w:top w:val="single" w:sz="6" w:space="0" w:color="auto"/>
              <w:left w:val="nil"/>
              <w:bottom w:val="single" w:sz="12" w:space="0" w:color="auto"/>
              <w:right w:val="nil"/>
            </w:tcBorders>
            <w:hideMark/>
          </w:tcPr>
          <w:p w:rsidR="005D494A" w:rsidRPr="00356952" w:rsidRDefault="005D494A" w:rsidP="008E1F99">
            <w:pPr>
              <w:pStyle w:val="TableHeading"/>
            </w:pPr>
            <w:r w:rsidRPr="00356952">
              <w:t>Provisions</w:t>
            </w:r>
          </w:p>
        </w:tc>
        <w:tc>
          <w:tcPr>
            <w:tcW w:w="3828" w:type="dxa"/>
            <w:tcBorders>
              <w:top w:val="single" w:sz="6" w:space="0" w:color="auto"/>
              <w:left w:val="nil"/>
              <w:bottom w:val="single" w:sz="12" w:space="0" w:color="auto"/>
              <w:right w:val="nil"/>
            </w:tcBorders>
            <w:hideMark/>
          </w:tcPr>
          <w:p w:rsidR="005D494A" w:rsidRPr="00356952" w:rsidRDefault="005D494A" w:rsidP="008E1F99">
            <w:pPr>
              <w:pStyle w:val="TableHeading"/>
            </w:pPr>
            <w:r w:rsidRPr="00356952">
              <w:t>Commencement</w:t>
            </w:r>
          </w:p>
        </w:tc>
        <w:tc>
          <w:tcPr>
            <w:tcW w:w="1582" w:type="dxa"/>
            <w:tcBorders>
              <w:top w:val="single" w:sz="6" w:space="0" w:color="auto"/>
              <w:left w:val="nil"/>
              <w:bottom w:val="single" w:sz="12" w:space="0" w:color="auto"/>
              <w:right w:val="nil"/>
            </w:tcBorders>
            <w:hideMark/>
          </w:tcPr>
          <w:p w:rsidR="005D494A" w:rsidRPr="00356952" w:rsidRDefault="005D494A" w:rsidP="008E1F99">
            <w:pPr>
              <w:pStyle w:val="TableHeading"/>
            </w:pPr>
            <w:r w:rsidRPr="00356952">
              <w:t>Date/Details</w:t>
            </w:r>
          </w:p>
        </w:tc>
      </w:tr>
      <w:tr w:rsidR="005D494A" w:rsidRPr="00356952" w:rsidTr="008E1F99">
        <w:trPr>
          <w:cantSplit/>
        </w:trPr>
        <w:tc>
          <w:tcPr>
            <w:tcW w:w="1701" w:type="dxa"/>
            <w:tcBorders>
              <w:top w:val="single" w:sz="12" w:space="0" w:color="auto"/>
              <w:left w:val="nil"/>
              <w:bottom w:val="single" w:sz="2" w:space="0" w:color="auto"/>
              <w:right w:val="nil"/>
            </w:tcBorders>
            <w:hideMark/>
          </w:tcPr>
          <w:p w:rsidR="005D494A" w:rsidRPr="00356952" w:rsidRDefault="005D494A" w:rsidP="008E1F99">
            <w:pPr>
              <w:pStyle w:val="Tabletext"/>
            </w:pPr>
            <w:r w:rsidRPr="00356952">
              <w:t>1.  Sections</w:t>
            </w:r>
            <w:r w:rsidR="00356952" w:rsidRPr="00356952">
              <w:t> </w:t>
            </w:r>
            <w:r w:rsidRPr="00356952">
              <w:t>1 to 4 and anything in this instrument not elsewhere covered by this table</w:t>
            </w:r>
          </w:p>
        </w:tc>
        <w:tc>
          <w:tcPr>
            <w:tcW w:w="3828" w:type="dxa"/>
            <w:tcBorders>
              <w:top w:val="single" w:sz="12" w:space="0" w:color="auto"/>
              <w:left w:val="nil"/>
              <w:bottom w:val="single" w:sz="2" w:space="0" w:color="auto"/>
              <w:right w:val="nil"/>
            </w:tcBorders>
            <w:hideMark/>
          </w:tcPr>
          <w:p w:rsidR="005D494A" w:rsidRPr="00356952" w:rsidRDefault="005D494A" w:rsidP="008E1F99">
            <w:pPr>
              <w:pStyle w:val="Tabletext"/>
            </w:pPr>
            <w:r w:rsidRPr="00356952">
              <w:t>The day after this instrument is registered.</w:t>
            </w:r>
          </w:p>
        </w:tc>
        <w:tc>
          <w:tcPr>
            <w:tcW w:w="1582" w:type="dxa"/>
            <w:tcBorders>
              <w:top w:val="single" w:sz="12" w:space="0" w:color="auto"/>
              <w:left w:val="nil"/>
              <w:bottom w:val="single" w:sz="2" w:space="0" w:color="auto"/>
              <w:right w:val="nil"/>
            </w:tcBorders>
          </w:tcPr>
          <w:p w:rsidR="005D494A" w:rsidRPr="00356952" w:rsidRDefault="005634F3">
            <w:pPr>
              <w:pStyle w:val="Tabletext"/>
            </w:pPr>
            <w:r>
              <w:t>7 October 2015</w:t>
            </w:r>
          </w:p>
        </w:tc>
      </w:tr>
      <w:tr w:rsidR="005D494A" w:rsidRPr="00356952" w:rsidTr="00287FF2">
        <w:trPr>
          <w:cantSplit/>
        </w:trPr>
        <w:tc>
          <w:tcPr>
            <w:tcW w:w="1701" w:type="dxa"/>
            <w:tcBorders>
              <w:top w:val="single" w:sz="2" w:space="0" w:color="auto"/>
              <w:left w:val="nil"/>
              <w:bottom w:val="single" w:sz="2" w:space="0" w:color="auto"/>
              <w:right w:val="nil"/>
            </w:tcBorders>
            <w:hideMark/>
          </w:tcPr>
          <w:p w:rsidR="005D494A" w:rsidRPr="00356952" w:rsidRDefault="005D494A">
            <w:pPr>
              <w:pStyle w:val="Tabletext"/>
            </w:pPr>
            <w:r w:rsidRPr="00356952">
              <w:t>2.  Schedule</w:t>
            </w:r>
            <w:r w:rsidR="00356952" w:rsidRPr="00356952">
              <w:t> </w:t>
            </w:r>
            <w:r w:rsidRPr="00356952">
              <w:t>1</w:t>
            </w:r>
          </w:p>
        </w:tc>
        <w:tc>
          <w:tcPr>
            <w:tcW w:w="3828" w:type="dxa"/>
            <w:tcBorders>
              <w:top w:val="single" w:sz="2" w:space="0" w:color="auto"/>
              <w:left w:val="nil"/>
              <w:bottom w:val="single" w:sz="2" w:space="0" w:color="auto"/>
              <w:right w:val="nil"/>
            </w:tcBorders>
          </w:tcPr>
          <w:p w:rsidR="005D494A" w:rsidRPr="00356952" w:rsidRDefault="005D494A">
            <w:pPr>
              <w:pStyle w:val="Tabletext"/>
            </w:pPr>
            <w:r w:rsidRPr="00356952">
              <w:t>The day after this instrument is registered.</w:t>
            </w:r>
          </w:p>
        </w:tc>
        <w:tc>
          <w:tcPr>
            <w:tcW w:w="1582" w:type="dxa"/>
            <w:tcBorders>
              <w:top w:val="single" w:sz="2" w:space="0" w:color="auto"/>
              <w:left w:val="nil"/>
              <w:bottom w:val="single" w:sz="2" w:space="0" w:color="auto"/>
              <w:right w:val="nil"/>
            </w:tcBorders>
          </w:tcPr>
          <w:p w:rsidR="005D494A" w:rsidRPr="00356952" w:rsidRDefault="005634F3">
            <w:pPr>
              <w:pStyle w:val="Tabletext"/>
            </w:pPr>
            <w:r>
              <w:t>7 October 2015</w:t>
            </w:r>
            <w:bookmarkStart w:id="6" w:name="_GoBack"/>
            <w:bookmarkEnd w:id="6"/>
          </w:p>
        </w:tc>
      </w:tr>
      <w:tr w:rsidR="005D494A" w:rsidRPr="00356952" w:rsidTr="00287FF2">
        <w:trPr>
          <w:cantSplit/>
        </w:trPr>
        <w:tc>
          <w:tcPr>
            <w:tcW w:w="1701" w:type="dxa"/>
            <w:tcBorders>
              <w:top w:val="single" w:sz="2" w:space="0" w:color="auto"/>
              <w:left w:val="nil"/>
              <w:bottom w:val="single" w:sz="12" w:space="0" w:color="auto"/>
              <w:right w:val="nil"/>
            </w:tcBorders>
            <w:hideMark/>
          </w:tcPr>
          <w:p w:rsidR="005D494A" w:rsidRPr="00356952" w:rsidRDefault="005D494A">
            <w:pPr>
              <w:pStyle w:val="Tabletext"/>
            </w:pPr>
            <w:r w:rsidRPr="00356952">
              <w:t>3.  Schedule</w:t>
            </w:r>
            <w:r w:rsidR="00356952" w:rsidRPr="00356952">
              <w:t> </w:t>
            </w:r>
            <w:r w:rsidRPr="00356952">
              <w:t>2</w:t>
            </w:r>
          </w:p>
        </w:tc>
        <w:tc>
          <w:tcPr>
            <w:tcW w:w="3828" w:type="dxa"/>
            <w:tcBorders>
              <w:top w:val="single" w:sz="2" w:space="0" w:color="auto"/>
              <w:left w:val="nil"/>
              <w:bottom w:val="single" w:sz="12" w:space="0" w:color="auto"/>
              <w:right w:val="nil"/>
            </w:tcBorders>
          </w:tcPr>
          <w:p w:rsidR="005D494A" w:rsidRPr="00356952" w:rsidRDefault="005D494A">
            <w:pPr>
              <w:pStyle w:val="Tabletext"/>
            </w:pPr>
            <w:r w:rsidRPr="00356952">
              <w:t>1</w:t>
            </w:r>
            <w:r w:rsidR="00356952" w:rsidRPr="00356952">
              <w:t> </w:t>
            </w:r>
            <w:r w:rsidRPr="00356952">
              <w:t>July 2016.</w:t>
            </w:r>
          </w:p>
        </w:tc>
        <w:tc>
          <w:tcPr>
            <w:tcW w:w="1582" w:type="dxa"/>
            <w:tcBorders>
              <w:top w:val="single" w:sz="2" w:space="0" w:color="auto"/>
              <w:left w:val="nil"/>
              <w:bottom w:val="single" w:sz="12" w:space="0" w:color="auto"/>
              <w:right w:val="nil"/>
            </w:tcBorders>
          </w:tcPr>
          <w:p w:rsidR="005D494A" w:rsidRPr="00356952" w:rsidRDefault="005D494A">
            <w:pPr>
              <w:pStyle w:val="Tabletext"/>
            </w:pPr>
            <w:r w:rsidRPr="00356952">
              <w:t>1</w:t>
            </w:r>
            <w:r w:rsidR="00356952" w:rsidRPr="00356952">
              <w:t> </w:t>
            </w:r>
            <w:r w:rsidRPr="00356952">
              <w:t>July 2016</w:t>
            </w:r>
          </w:p>
        </w:tc>
      </w:tr>
    </w:tbl>
    <w:p w:rsidR="005D494A" w:rsidRPr="00356952" w:rsidRDefault="008A29B8" w:rsidP="008E1F99">
      <w:pPr>
        <w:pStyle w:val="notetext"/>
      </w:pPr>
      <w:r w:rsidRPr="00356952">
        <w:rPr>
          <w:snapToGrid w:val="0"/>
          <w:lang w:eastAsia="en-US"/>
        </w:rPr>
        <w:t>Note:</w:t>
      </w:r>
      <w:r w:rsidR="005D494A" w:rsidRPr="00356952">
        <w:rPr>
          <w:snapToGrid w:val="0"/>
          <w:lang w:eastAsia="en-US"/>
        </w:rPr>
        <w:tab/>
        <w:t xml:space="preserve">This table relates only to the provisions of this </w:t>
      </w:r>
      <w:r w:rsidR="005D494A" w:rsidRPr="00356952">
        <w:t xml:space="preserve">instrument </w:t>
      </w:r>
      <w:r w:rsidR="005D494A" w:rsidRPr="00356952">
        <w:rPr>
          <w:snapToGrid w:val="0"/>
          <w:lang w:eastAsia="en-US"/>
        </w:rPr>
        <w:t xml:space="preserve">as originally made. It will not be amended to deal with any later amendments of this </w:t>
      </w:r>
      <w:r w:rsidR="005D494A" w:rsidRPr="00356952">
        <w:t>instrument</w:t>
      </w:r>
      <w:r w:rsidR="005D494A" w:rsidRPr="00356952">
        <w:rPr>
          <w:snapToGrid w:val="0"/>
          <w:lang w:eastAsia="en-US"/>
        </w:rPr>
        <w:t>.</w:t>
      </w:r>
    </w:p>
    <w:p w:rsidR="005D494A" w:rsidRPr="00356952" w:rsidRDefault="005D494A" w:rsidP="008E1F99">
      <w:pPr>
        <w:pStyle w:val="subsection"/>
      </w:pPr>
      <w:r w:rsidRPr="00356952">
        <w:tab/>
        <w:t>(2)</w:t>
      </w:r>
      <w:r w:rsidRPr="00356952">
        <w:tab/>
        <w:t>Any information in column 3 of the table is not part of this instrument. Information may be inserted in this column, or information in it may be edited, in any published version of this instrument.</w:t>
      </w:r>
    </w:p>
    <w:p w:rsidR="007769D4" w:rsidRPr="00356952" w:rsidRDefault="007769D4" w:rsidP="007769D4">
      <w:pPr>
        <w:pStyle w:val="ActHead5"/>
      </w:pPr>
      <w:bookmarkStart w:id="7" w:name="_Toc430176455"/>
      <w:r w:rsidRPr="00356952">
        <w:rPr>
          <w:rStyle w:val="CharSectno"/>
        </w:rPr>
        <w:t>3</w:t>
      </w:r>
      <w:r w:rsidRPr="00356952">
        <w:t xml:space="preserve">  Authority</w:t>
      </w:r>
      <w:bookmarkEnd w:id="7"/>
    </w:p>
    <w:p w:rsidR="007769D4" w:rsidRPr="00356952" w:rsidRDefault="007769D4" w:rsidP="007769D4">
      <w:pPr>
        <w:pStyle w:val="subsection"/>
      </w:pPr>
      <w:r w:rsidRPr="00356952">
        <w:tab/>
      </w:r>
      <w:r w:rsidRPr="00356952">
        <w:tab/>
      </w:r>
      <w:r w:rsidR="00AF0336" w:rsidRPr="00356952">
        <w:t xml:space="preserve">This </w:t>
      </w:r>
      <w:r w:rsidR="00C6709A" w:rsidRPr="00356952">
        <w:t>instrument</w:t>
      </w:r>
      <w:r w:rsidR="00AF0336" w:rsidRPr="00356952">
        <w:t xml:space="preserve"> is made under the </w:t>
      </w:r>
      <w:r w:rsidR="00C6709A" w:rsidRPr="00356952">
        <w:rPr>
          <w:i/>
        </w:rPr>
        <w:t>National Greenhouse and Energy Reporting Act 2007</w:t>
      </w:r>
      <w:r w:rsidR="00D83D21" w:rsidRPr="00356952">
        <w:rPr>
          <w:i/>
        </w:rPr>
        <w:t>.</w:t>
      </w:r>
    </w:p>
    <w:p w:rsidR="00557C7A" w:rsidRPr="00356952" w:rsidRDefault="007769D4" w:rsidP="00557C7A">
      <w:pPr>
        <w:pStyle w:val="ActHead5"/>
      </w:pPr>
      <w:bookmarkStart w:id="8" w:name="_Toc430176456"/>
      <w:r w:rsidRPr="00356952">
        <w:rPr>
          <w:rStyle w:val="CharSectno"/>
        </w:rPr>
        <w:t>4</w:t>
      </w:r>
      <w:r w:rsidR="00557C7A" w:rsidRPr="00356952">
        <w:t xml:space="preserve">  </w:t>
      </w:r>
      <w:r w:rsidR="00B332B8" w:rsidRPr="00356952">
        <w:t>Schedules</w:t>
      </w:r>
      <w:bookmarkEnd w:id="8"/>
    </w:p>
    <w:p w:rsidR="000F6B02" w:rsidRPr="00356952" w:rsidRDefault="00557C7A" w:rsidP="000F6B02">
      <w:pPr>
        <w:pStyle w:val="subsection"/>
      </w:pPr>
      <w:r w:rsidRPr="00356952">
        <w:tab/>
      </w:r>
      <w:r w:rsidRPr="00356952">
        <w:tab/>
      </w:r>
      <w:r w:rsidR="000F6B02" w:rsidRPr="00356952">
        <w:t xml:space="preserve">Each instrument that is specified in a Schedule to </w:t>
      </w:r>
      <w:r w:rsidR="00C6709A" w:rsidRPr="00356952">
        <w:t>this instrument</w:t>
      </w:r>
      <w:r w:rsidR="000F6B02" w:rsidRPr="00356952">
        <w:t xml:space="preserve"> is amended or repealed as set out in the applicable items in the Schedule concerned, and any other item in a Schedule to </w:t>
      </w:r>
      <w:r w:rsidR="00C6709A" w:rsidRPr="00356952">
        <w:t>this instrument</w:t>
      </w:r>
      <w:r w:rsidR="000F6B02" w:rsidRPr="00356952">
        <w:t xml:space="preserve"> has effect according to its terms.</w:t>
      </w:r>
    </w:p>
    <w:p w:rsidR="0048364F" w:rsidRPr="00356952" w:rsidRDefault="0048364F" w:rsidP="00FF3089">
      <w:pPr>
        <w:pStyle w:val="ActHead6"/>
        <w:pageBreakBefore/>
      </w:pPr>
      <w:bookmarkStart w:id="9" w:name="_Toc430176457"/>
      <w:bookmarkStart w:id="10" w:name="opcAmSched"/>
      <w:r w:rsidRPr="00356952">
        <w:rPr>
          <w:rStyle w:val="CharAmSchNo"/>
        </w:rPr>
        <w:t>Schedule</w:t>
      </w:r>
      <w:r w:rsidR="00356952" w:rsidRPr="00356952">
        <w:rPr>
          <w:rStyle w:val="CharAmSchNo"/>
        </w:rPr>
        <w:t> </w:t>
      </w:r>
      <w:r w:rsidRPr="00356952">
        <w:rPr>
          <w:rStyle w:val="CharAmSchNo"/>
        </w:rPr>
        <w:t>1</w:t>
      </w:r>
      <w:r w:rsidRPr="00356952">
        <w:t>—</w:t>
      </w:r>
      <w:r w:rsidR="00460499" w:rsidRPr="00356952">
        <w:rPr>
          <w:rStyle w:val="CharAmSchText"/>
        </w:rPr>
        <w:t>Amendments</w:t>
      </w:r>
      <w:r w:rsidR="00CE0EC0" w:rsidRPr="00356952">
        <w:rPr>
          <w:rStyle w:val="CharAmSchText"/>
        </w:rPr>
        <w:t xml:space="preserve"> commencing day after registration</w:t>
      </w:r>
      <w:bookmarkEnd w:id="9"/>
    </w:p>
    <w:bookmarkEnd w:id="10"/>
    <w:p w:rsidR="0004044E" w:rsidRPr="00356952" w:rsidRDefault="0004044E" w:rsidP="0004044E">
      <w:pPr>
        <w:pStyle w:val="Header"/>
      </w:pPr>
      <w:r w:rsidRPr="00356952">
        <w:rPr>
          <w:rStyle w:val="CharAmPartNo"/>
        </w:rPr>
        <w:t xml:space="preserve"> </w:t>
      </w:r>
      <w:r w:rsidRPr="00356952">
        <w:rPr>
          <w:rStyle w:val="CharAmPartText"/>
        </w:rPr>
        <w:t xml:space="preserve"> </w:t>
      </w:r>
    </w:p>
    <w:p w:rsidR="00CE6A6B" w:rsidRPr="00356952" w:rsidRDefault="00C6709A" w:rsidP="00CE6A6B">
      <w:pPr>
        <w:pStyle w:val="ActHead9"/>
      </w:pPr>
      <w:bookmarkStart w:id="11" w:name="_Toc430176458"/>
      <w:r w:rsidRPr="00356952">
        <w:t>National Greenhouse and Energy Reporting Regulations</w:t>
      </w:r>
      <w:r w:rsidR="00356952" w:rsidRPr="00356952">
        <w:t> </w:t>
      </w:r>
      <w:r w:rsidRPr="00356952">
        <w:t>2008</w:t>
      </w:r>
      <w:bookmarkEnd w:id="11"/>
    </w:p>
    <w:p w:rsidR="00FB0FDD" w:rsidRPr="00356952" w:rsidRDefault="007A0938" w:rsidP="0071184A">
      <w:pPr>
        <w:pStyle w:val="ItemHead"/>
        <w:tabs>
          <w:tab w:val="left" w:pos="6663"/>
        </w:tabs>
      </w:pPr>
      <w:r w:rsidRPr="00356952">
        <w:t>1</w:t>
      </w:r>
      <w:r w:rsidR="00FB0FDD" w:rsidRPr="00356952">
        <w:t xml:space="preserve">  Regulation</w:t>
      </w:r>
      <w:r w:rsidR="00356952" w:rsidRPr="00356952">
        <w:t> </w:t>
      </w:r>
      <w:r w:rsidR="00FB0FDD" w:rsidRPr="00356952">
        <w:t>1.03</w:t>
      </w:r>
    </w:p>
    <w:p w:rsidR="00FB0FDD" w:rsidRPr="00356952" w:rsidRDefault="00FB0FDD" w:rsidP="00FB0FDD">
      <w:pPr>
        <w:pStyle w:val="Item"/>
      </w:pPr>
      <w:r w:rsidRPr="00356952">
        <w:t>Insert:</w:t>
      </w:r>
    </w:p>
    <w:p w:rsidR="00FB0FDD" w:rsidRPr="00356952" w:rsidRDefault="00FB0FDD" w:rsidP="00FB0FDD">
      <w:pPr>
        <w:pStyle w:val="Definition"/>
      </w:pPr>
      <w:r w:rsidRPr="00356952">
        <w:rPr>
          <w:b/>
          <w:i/>
        </w:rPr>
        <w:t xml:space="preserve">alternative audit </w:t>
      </w:r>
      <w:r w:rsidRPr="00356952">
        <w:t>means an audit that has not been carried out under the Act but that is, in the opinion of the Regulator, comparable to</w:t>
      </w:r>
      <w:r w:rsidR="001E1D57" w:rsidRPr="00356952">
        <w:t xml:space="preserve"> any of the following</w:t>
      </w:r>
      <w:r w:rsidRPr="00356952">
        <w:t>:</w:t>
      </w:r>
    </w:p>
    <w:p w:rsidR="00FB0FDD" w:rsidRPr="00356952" w:rsidRDefault="00FB0FDD" w:rsidP="00FB0FDD">
      <w:pPr>
        <w:pStyle w:val="paragraph"/>
      </w:pPr>
      <w:r w:rsidRPr="00356952">
        <w:tab/>
        <w:t>(a)</w:t>
      </w:r>
      <w:r w:rsidRPr="00356952">
        <w:tab/>
        <w:t>an ERF audit;</w:t>
      </w:r>
    </w:p>
    <w:p w:rsidR="00FB0FDD" w:rsidRPr="00356952" w:rsidRDefault="00FB0FDD" w:rsidP="00FB0FDD">
      <w:pPr>
        <w:pStyle w:val="paragraph"/>
      </w:pPr>
      <w:r w:rsidRPr="00356952">
        <w:tab/>
        <w:t>(b)</w:t>
      </w:r>
      <w:r w:rsidRPr="00356952">
        <w:tab/>
        <w:t>a greenhouse and energy audit.</w:t>
      </w:r>
    </w:p>
    <w:p w:rsidR="00C4797E" w:rsidRPr="00356952" w:rsidRDefault="007A0938" w:rsidP="00CE6A6B">
      <w:pPr>
        <w:pStyle w:val="ItemHead"/>
      </w:pPr>
      <w:r w:rsidRPr="00356952">
        <w:t>2</w:t>
      </w:r>
      <w:r w:rsidR="00C4797E" w:rsidRPr="00356952">
        <w:t xml:space="preserve">  Regulation</w:t>
      </w:r>
      <w:r w:rsidR="00356952" w:rsidRPr="00356952">
        <w:t> </w:t>
      </w:r>
      <w:r w:rsidR="00C4797E" w:rsidRPr="00356952">
        <w:t>1.03 (</w:t>
      </w:r>
      <w:r w:rsidR="00356952" w:rsidRPr="00356952">
        <w:t>paragraph (</w:t>
      </w:r>
      <w:r w:rsidR="00C4797E" w:rsidRPr="00356952">
        <w:t xml:space="preserve">a) of the definition of </w:t>
      </w:r>
      <w:r w:rsidR="00C4797E" w:rsidRPr="00356952">
        <w:rPr>
          <w:i/>
        </w:rPr>
        <w:t>audit team leader</w:t>
      </w:r>
      <w:r w:rsidR="00C4797E" w:rsidRPr="00356952">
        <w:t>)</w:t>
      </w:r>
    </w:p>
    <w:p w:rsidR="00C4797E" w:rsidRPr="00356952" w:rsidRDefault="00C4797E" w:rsidP="00C4797E">
      <w:pPr>
        <w:pStyle w:val="Item"/>
      </w:pPr>
      <w:r w:rsidRPr="00356952">
        <w:t>After “the Act;”, insert “or”.</w:t>
      </w:r>
    </w:p>
    <w:p w:rsidR="00CE6A6B" w:rsidRPr="00356952" w:rsidRDefault="007A0938" w:rsidP="00CE6A6B">
      <w:pPr>
        <w:pStyle w:val="ItemHead"/>
      </w:pPr>
      <w:r w:rsidRPr="00356952">
        <w:t>3</w:t>
      </w:r>
      <w:r w:rsidR="00CE6A6B" w:rsidRPr="00356952">
        <w:t xml:space="preserve">  Regulation</w:t>
      </w:r>
      <w:r w:rsidR="00356952" w:rsidRPr="00356952">
        <w:t> </w:t>
      </w:r>
      <w:r w:rsidR="00CE6A6B" w:rsidRPr="00356952">
        <w:t>1.03 (</w:t>
      </w:r>
      <w:r w:rsidR="00356952" w:rsidRPr="00356952">
        <w:t>paragraph (</w:t>
      </w:r>
      <w:r w:rsidR="00CE6A6B" w:rsidRPr="00356952">
        <w:t xml:space="preserve">b) of the definition of </w:t>
      </w:r>
      <w:r w:rsidR="00CE6A6B" w:rsidRPr="00356952">
        <w:rPr>
          <w:i/>
        </w:rPr>
        <w:t>audit team leader</w:t>
      </w:r>
      <w:r w:rsidR="00CE6A6B" w:rsidRPr="00356952">
        <w:t>)</w:t>
      </w:r>
    </w:p>
    <w:p w:rsidR="00CE6A6B" w:rsidRPr="00356952" w:rsidRDefault="00CE6A6B" w:rsidP="00CE6A6B">
      <w:pPr>
        <w:pStyle w:val="Item"/>
      </w:pPr>
      <w:r w:rsidRPr="00356952">
        <w:t>Omit “</w:t>
      </w:r>
      <w:r w:rsidR="001E1D57" w:rsidRPr="00356952">
        <w:t xml:space="preserve">a </w:t>
      </w:r>
      <w:r w:rsidRPr="00356952">
        <w:t>CFI audit”, substitute “</w:t>
      </w:r>
      <w:r w:rsidR="001E1D57" w:rsidRPr="00356952">
        <w:t xml:space="preserve">an </w:t>
      </w:r>
      <w:r w:rsidRPr="00356952">
        <w:t>ERF audit”.</w:t>
      </w:r>
    </w:p>
    <w:p w:rsidR="00CB05A0" w:rsidRPr="00356952" w:rsidRDefault="007A0938" w:rsidP="0071184A">
      <w:pPr>
        <w:pStyle w:val="ItemHead"/>
        <w:tabs>
          <w:tab w:val="left" w:pos="6663"/>
        </w:tabs>
        <w:rPr>
          <w:i/>
        </w:rPr>
      </w:pPr>
      <w:r w:rsidRPr="00356952">
        <w:t>4</w:t>
      </w:r>
      <w:r w:rsidR="00CB05A0" w:rsidRPr="00356952">
        <w:t xml:space="preserve">  Regulation</w:t>
      </w:r>
      <w:r w:rsidR="00356952" w:rsidRPr="00356952">
        <w:t> </w:t>
      </w:r>
      <w:r w:rsidR="00CB05A0" w:rsidRPr="00356952">
        <w:t xml:space="preserve">1.03 (definition of </w:t>
      </w:r>
      <w:r w:rsidR="00CB05A0" w:rsidRPr="00356952">
        <w:rPr>
          <w:i/>
        </w:rPr>
        <w:t>Category 3 auditor)</w:t>
      </w:r>
    </w:p>
    <w:p w:rsidR="00CB05A0" w:rsidRPr="00356952" w:rsidRDefault="00CB05A0" w:rsidP="00CB05A0">
      <w:pPr>
        <w:pStyle w:val="Item"/>
      </w:pPr>
      <w:r w:rsidRPr="00356952">
        <w:t>Repeal the definition.</w:t>
      </w:r>
    </w:p>
    <w:p w:rsidR="00FB0FDD" w:rsidRPr="00356952" w:rsidRDefault="007A0938" w:rsidP="00FB0FDD">
      <w:pPr>
        <w:pStyle w:val="ItemHead"/>
      </w:pPr>
      <w:r w:rsidRPr="00356952">
        <w:t>5</w:t>
      </w:r>
      <w:r w:rsidR="00FB0FDD" w:rsidRPr="00356952">
        <w:t xml:space="preserve">  Regulation</w:t>
      </w:r>
      <w:r w:rsidR="00356952" w:rsidRPr="00356952">
        <w:t> </w:t>
      </w:r>
      <w:r w:rsidR="00FB0FDD" w:rsidRPr="00356952">
        <w:t>1.03</w:t>
      </w:r>
    </w:p>
    <w:p w:rsidR="00FB0FDD" w:rsidRPr="00356952" w:rsidRDefault="00FB0FDD" w:rsidP="00FB0FDD">
      <w:pPr>
        <w:pStyle w:val="Item"/>
      </w:pPr>
      <w:r w:rsidRPr="00356952">
        <w:t>Insert:</w:t>
      </w:r>
    </w:p>
    <w:p w:rsidR="00FB0FDD" w:rsidRPr="00356952" w:rsidRDefault="00FB0FDD" w:rsidP="00FB0FDD">
      <w:pPr>
        <w:pStyle w:val="Definition"/>
      </w:pPr>
      <w:r w:rsidRPr="00356952">
        <w:rPr>
          <w:b/>
          <w:i/>
        </w:rPr>
        <w:t>Part</w:t>
      </w:r>
      <w:r w:rsidR="00356952" w:rsidRPr="00356952">
        <w:rPr>
          <w:b/>
          <w:i/>
        </w:rPr>
        <w:t> </w:t>
      </w:r>
      <w:r w:rsidRPr="00356952">
        <w:rPr>
          <w:b/>
          <w:i/>
        </w:rPr>
        <w:t>6 audit</w:t>
      </w:r>
      <w:r w:rsidRPr="00356952">
        <w:t xml:space="preserve"> means any of the following:</w:t>
      </w:r>
    </w:p>
    <w:p w:rsidR="004462E5" w:rsidRPr="00356952" w:rsidRDefault="00FB0FDD" w:rsidP="00FB0FDD">
      <w:pPr>
        <w:pStyle w:val="paragraph"/>
      </w:pPr>
      <w:r w:rsidRPr="00356952">
        <w:tab/>
        <w:t>(a)</w:t>
      </w:r>
      <w:r w:rsidRPr="00356952">
        <w:tab/>
      </w:r>
      <w:r w:rsidR="004462E5" w:rsidRPr="00356952">
        <w:t>an ERF audit;</w:t>
      </w:r>
    </w:p>
    <w:p w:rsidR="00FB0FDD" w:rsidRPr="00356952" w:rsidRDefault="004462E5" w:rsidP="00FB0FDD">
      <w:pPr>
        <w:pStyle w:val="paragraph"/>
      </w:pPr>
      <w:r w:rsidRPr="00356952">
        <w:tab/>
        <w:t>(</w:t>
      </w:r>
      <w:r w:rsidR="00505979" w:rsidRPr="00356952">
        <w:t>b</w:t>
      </w:r>
      <w:r w:rsidRPr="00356952">
        <w:t>)</w:t>
      </w:r>
      <w:r w:rsidRPr="00356952">
        <w:tab/>
        <w:t>a greenhouse and energy audit.</w:t>
      </w:r>
    </w:p>
    <w:p w:rsidR="00511553" w:rsidRPr="00356952" w:rsidRDefault="007A0938" w:rsidP="00511553">
      <w:pPr>
        <w:pStyle w:val="ItemHead"/>
      </w:pPr>
      <w:r w:rsidRPr="00356952">
        <w:t>6</w:t>
      </w:r>
      <w:r w:rsidR="00511553" w:rsidRPr="00356952">
        <w:t xml:space="preserve">  Regulation</w:t>
      </w:r>
      <w:r w:rsidR="00356952" w:rsidRPr="00356952">
        <w:t> </w:t>
      </w:r>
      <w:r w:rsidR="00511553" w:rsidRPr="00356952">
        <w:t>1.03 (</w:t>
      </w:r>
      <w:r w:rsidR="00356952" w:rsidRPr="00356952">
        <w:t>paragraph (</w:t>
      </w:r>
      <w:r w:rsidR="00511553" w:rsidRPr="00356952">
        <w:t xml:space="preserve">b) of </w:t>
      </w:r>
      <w:r w:rsidR="001E1D57" w:rsidRPr="00356952">
        <w:t xml:space="preserve">the </w:t>
      </w:r>
      <w:r w:rsidR="00511553" w:rsidRPr="00356952">
        <w:t>note)</w:t>
      </w:r>
    </w:p>
    <w:p w:rsidR="00511553" w:rsidRPr="00356952" w:rsidRDefault="00511553" w:rsidP="00511553">
      <w:pPr>
        <w:pStyle w:val="Item"/>
      </w:pPr>
      <w:r w:rsidRPr="00356952">
        <w:t>Omit “CFI audit”, substitute “ERF audit”.</w:t>
      </w:r>
    </w:p>
    <w:p w:rsidR="00C07C76" w:rsidRPr="00356952" w:rsidRDefault="007A0938" w:rsidP="00C07C76">
      <w:pPr>
        <w:pStyle w:val="ItemHead"/>
      </w:pPr>
      <w:r w:rsidRPr="00356952">
        <w:t>7</w:t>
      </w:r>
      <w:r w:rsidR="00C07C76" w:rsidRPr="00356952">
        <w:t xml:space="preserve">  After regulation</w:t>
      </w:r>
      <w:r w:rsidR="00356952" w:rsidRPr="00356952">
        <w:t> </w:t>
      </w:r>
      <w:r w:rsidR="00C07C76" w:rsidRPr="00356952">
        <w:t>2.19</w:t>
      </w:r>
    </w:p>
    <w:p w:rsidR="00C07C76" w:rsidRPr="00356952" w:rsidRDefault="00C07C76" w:rsidP="00C07C76">
      <w:pPr>
        <w:pStyle w:val="Item"/>
      </w:pPr>
      <w:r w:rsidRPr="00356952">
        <w:t>Insert:</w:t>
      </w:r>
    </w:p>
    <w:p w:rsidR="00C07C76" w:rsidRPr="00356952" w:rsidRDefault="00C07C76" w:rsidP="00C07C76">
      <w:pPr>
        <w:pStyle w:val="ActHead5"/>
      </w:pPr>
      <w:bookmarkStart w:id="12" w:name="_Toc430176459"/>
      <w:r w:rsidRPr="00356952">
        <w:rPr>
          <w:rStyle w:val="CharSectno"/>
        </w:rPr>
        <w:t>2.19A</w:t>
      </w:r>
      <w:r w:rsidRPr="00356952">
        <w:t xml:space="preserve">  Nominati</w:t>
      </w:r>
      <w:r w:rsidR="008D6309" w:rsidRPr="00356952">
        <w:t>ng</w:t>
      </w:r>
      <w:r w:rsidRPr="00356952">
        <w:t xml:space="preserve"> national transport sector activities</w:t>
      </w:r>
      <w:bookmarkEnd w:id="12"/>
    </w:p>
    <w:p w:rsidR="001E1D57" w:rsidRPr="00356952" w:rsidRDefault="001E1D57" w:rsidP="001E1D57">
      <w:pPr>
        <w:pStyle w:val="SubsectionHead"/>
      </w:pPr>
      <w:r w:rsidRPr="00356952">
        <w:t>Scope</w:t>
      </w:r>
    </w:p>
    <w:p w:rsidR="001E1D57" w:rsidRPr="00356952" w:rsidRDefault="001E1D57" w:rsidP="00C07C76">
      <w:pPr>
        <w:pStyle w:val="subsection"/>
      </w:pPr>
      <w:r w:rsidRPr="00356952">
        <w:tab/>
      </w:r>
      <w:r w:rsidR="00C07C76" w:rsidRPr="00356952">
        <w:t>(1)</w:t>
      </w:r>
      <w:r w:rsidR="00C07C76" w:rsidRPr="00356952">
        <w:tab/>
      </w:r>
      <w:r w:rsidRPr="00356952">
        <w:t xml:space="preserve">This regulation applies if the principal activity in a series of activities is attributable to one of the industry sectors mentioned in </w:t>
      </w:r>
      <w:proofErr w:type="spellStart"/>
      <w:r w:rsidRPr="00356952">
        <w:t>subregulation</w:t>
      </w:r>
      <w:proofErr w:type="spellEnd"/>
      <w:r w:rsidR="00356952" w:rsidRPr="00356952">
        <w:t> </w:t>
      </w:r>
      <w:r w:rsidRPr="00356952">
        <w:t>2.19(3).</w:t>
      </w:r>
    </w:p>
    <w:p w:rsidR="001E1D57" w:rsidRPr="00356952" w:rsidRDefault="001E1D57" w:rsidP="001E1D57">
      <w:pPr>
        <w:pStyle w:val="SubsectionHead"/>
      </w:pPr>
      <w:r w:rsidRPr="00356952">
        <w:t>Nomination</w:t>
      </w:r>
    </w:p>
    <w:p w:rsidR="001E1D57" w:rsidRPr="00356952" w:rsidRDefault="001E1D57" w:rsidP="001E1D57">
      <w:pPr>
        <w:pStyle w:val="subsection"/>
      </w:pPr>
      <w:r w:rsidRPr="00356952">
        <w:tab/>
        <w:t>(2)</w:t>
      </w:r>
      <w:r w:rsidRPr="00356952">
        <w:tab/>
        <w:t>The group entity in overall control of the principal activity may, for an</w:t>
      </w:r>
      <w:r w:rsidR="005F6EAF" w:rsidRPr="00356952">
        <w:t>y</w:t>
      </w:r>
      <w:r w:rsidRPr="00356952">
        <w:t xml:space="preserve"> activity conducted on or after 1</w:t>
      </w:r>
      <w:r w:rsidR="00356952" w:rsidRPr="00356952">
        <w:t> </w:t>
      </w:r>
      <w:r w:rsidRPr="00356952">
        <w:t>July 2016, nominate the activity to be attributable at a national level instead of to a single State or Territory.</w:t>
      </w:r>
    </w:p>
    <w:p w:rsidR="005D3693" w:rsidRPr="00356952" w:rsidRDefault="005D3693" w:rsidP="001E1D57">
      <w:pPr>
        <w:pStyle w:val="subsection"/>
      </w:pPr>
      <w:r w:rsidRPr="00356952">
        <w:tab/>
        <w:t>(3)</w:t>
      </w:r>
      <w:r w:rsidRPr="00356952">
        <w:tab/>
        <w:t xml:space="preserve">A nomination covers </w:t>
      </w:r>
      <w:r w:rsidR="005F6EAF" w:rsidRPr="00356952">
        <w:t>any activity attributable to an industry sector to which the nomination relates:</w:t>
      </w:r>
    </w:p>
    <w:p w:rsidR="005F6EAF" w:rsidRPr="00356952" w:rsidRDefault="005F6EAF" w:rsidP="005F6EAF">
      <w:pPr>
        <w:pStyle w:val="paragraph"/>
      </w:pPr>
      <w:r w:rsidRPr="00356952">
        <w:tab/>
        <w:t>(a)</w:t>
      </w:r>
      <w:r w:rsidRPr="00356952">
        <w:tab/>
        <w:t xml:space="preserve">whether or not the activity </w:t>
      </w:r>
      <w:r w:rsidR="00064DFE" w:rsidRPr="00356952">
        <w:t>is being</w:t>
      </w:r>
      <w:r w:rsidRPr="00356952">
        <w:t xml:space="preserve"> conducted at the time of nomination</w:t>
      </w:r>
      <w:r w:rsidR="00064DFE" w:rsidRPr="00356952">
        <w:t>, or when the nomination takes effect</w:t>
      </w:r>
      <w:r w:rsidRPr="00356952">
        <w:t>; and</w:t>
      </w:r>
    </w:p>
    <w:p w:rsidR="005D3693" w:rsidRPr="00356952" w:rsidRDefault="005D3693" w:rsidP="005D3693">
      <w:pPr>
        <w:pStyle w:val="paragraph"/>
      </w:pPr>
      <w:r w:rsidRPr="00356952">
        <w:tab/>
        <w:t>(</w:t>
      </w:r>
      <w:r w:rsidR="005F6EAF" w:rsidRPr="00356952">
        <w:t>b</w:t>
      </w:r>
      <w:r w:rsidRPr="00356952">
        <w:t>)</w:t>
      </w:r>
      <w:r w:rsidRPr="00356952">
        <w:tab/>
        <w:t xml:space="preserve">whether or not the activity is </w:t>
      </w:r>
      <w:r w:rsidR="005F6EAF" w:rsidRPr="00356952">
        <w:t>specified in the nomination.</w:t>
      </w:r>
    </w:p>
    <w:p w:rsidR="00B27639" w:rsidRPr="00356952" w:rsidRDefault="00B27639" w:rsidP="00B27639">
      <w:pPr>
        <w:pStyle w:val="subsection"/>
      </w:pPr>
      <w:r w:rsidRPr="00356952">
        <w:tab/>
        <w:t>(4)</w:t>
      </w:r>
      <w:r w:rsidRPr="00356952">
        <w:tab/>
        <w:t>A nomination made under this regulation:</w:t>
      </w:r>
    </w:p>
    <w:p w:rsidR="00B27639" w:rsidRPr="00356952" w:rsidRDefault="00B27639" w:rsidP="00B27639">
      <w:pPr>
        <w:pStyle w:val="paragraph"/>
      </w:pPr>
      <w:r w:rsidRPr="00356952">
        <w:tab/>
        <w:t>(a)</w:t>
      </w:r>
      <w:r w:rsidRPr="00356952">
        <w:tab/>
        <w:t>takes effect from a 1</w:t>
      </w:r>
      <w:r w:rsidR="00356952" w:rsidRPr="00356952">
        <w:t> </w:t>
      </w:r>
      <w:r w:rsidRPr="00356952">
        <w:t>July specified in the nomination that is:</w:t>
      </w:r>
    </w:p>
    <w:p w:rsidR="00B27639" w:rsidRPr="00356952" w:rsidRDefault="00B27639" w:rsidP="00B27639">
      <w:pPr>
        <w:pStyle w:val="paragraphsub"/>
      </w:pPr>
      <w:r w:rsidRPr="00356952">
        <w:tab/>
        <w:t>(</w:t>
      </w:r>
      <w:proofErr w:type="spellStart"/>
      <w:r w:rsidRPr="00356952">
        <w:t>i</w:t>
      </w:r>
      <w:proofErr w:type="spellEnd"/>
      <w:r w:rsidRPr="00356952">
        <w:t>)</w:t>
      </w:r>
      <w:r w:rsidRPr="00356952">
        <w:tab/>
        <w:t>later than the day the nomination is made; or</w:t>
      </w:r>
    </w:p>
    <w:p w:rsidR="00B27639" w:rsidRPr="00356952" w:rsidRDefault="00B27639" w:rsidP="00B27639">
      <w:pPr>
        <w:pStyle w:val="paragraphsub"/>
      </w:pPr>
      <w:r w:rsidRPr="00356952">
        <w:tab/>
        <w:t>(ii)</w:t>
      </w:r>
      <w:r w:rsidRPr="00356952">
        <w:tab/>
        <w:t xml:space="preserve">in the circumstances covered by </w:t>
      </w:r>
      <w:proofErr w:type="spellStart"/>
      <w:r w:rsidRPr="00356952">
        <w:t>subregulation</w:t>
      </w:r>
      <w:proofErr w:type="spellEnd"/>
      <w:r w:rsidR="00356952" w:rsidRPr="00356952">
        <w:t> </w:t>
      </w:r>
      <w:r w:rsidRPr="00356952">
        <w:t>(</w:t>
      </w:r>
      <w:r w:rsidR="00EB08E9" w:rsidRPr="00356952">
        <w:t>5</w:t>
      </w:r>
      <w:r w:rsidRPr="00356952">
        <w:t>)—the 1</w:t>
      </w:r>
      <w:r w:rsidR="00356952" w:rsidRPr="00356952">
        <w:t> </w:t>
      </w:r>
      <w:r w:rsidRPr="00356952">
        <w:t>July of the financial year in which the nomination is made; and</w:t>
      </w:r>
    </w:p>
    <w:p w:rsidR="00B27639" w:rsidRPr="00356952" w:rsidRDefault="00B27639" w:rsidP="00B27639">
      <w:pPr>
        <w:pStyle w:val="paragraph"/>
      </w:pPr>
      <w:r w:rsidRPr="00356952">
        <w:tab/>
        <w:t>(b)</w:t>
      </w:r>
      <w:r w:rsidRPr="00356952">
        <w:tab/>
        <w:t>cannot be revoked once made.</w:t>
      </w:r>
    </w:p>
    <w:p w:rsidR="00B27639" w:rsidRPr="00356952" w:rsidRDefault="00B27639" w:rsidP="00B27639">
      <w:pPr>
        <w:pStyle w:val="subsection"/>
      </w:pPr>
      <w:r w:rsidRPr="00356952">
        <w:tab/>
        <w:t>(5)</w:t>
      </w:r>
      <w:r w:rsidRPr="00356952">
        <w:tab/>
        <w:t xml:space="preserve">The circumstances covered by this </w:t>
      </w:r>
      <w:proofErr w:type="spellStart"/>
      <w:r w:rsidRPr="00356952">
        <w:t>subregulation</w:t>
      </w:r>
      <w:proofErr w:type="spellEnd"/>
      <w:r w:rsidR="00356952" w:rsidRPr="00356952">
        <w:t> </w:t>
      </w:r>
      <w:r w:rsidRPr="00356952">
        <w:t xml:space="preserve">in relation to a nomination (the </w:t>
      </w:r>
      <w:r w:rsidRPr="00356952">
        <w:rPr>
          <w:b/>
          <w:i/>
        </w:rPr>
        <w:t>later nomination</w:t>
      </w:r>
      <w:r w:rsidRPr="00356952">
        <w:t>) are as follows:</w:t>
      </w:r>
    </w:p>
    <w:p w:rsidR="00B27639" w:rsidRPr="00356952" w:rsidRDefault="00B27639" w:rsidP="00B27639">
      <w:pPr>
        <w:pStyle w:val="paragraph"/>
      </w:pPr>
      <w:r w:rsidRPr="00356952">
        <w:tab/>
        <w:t>(a)</w:t>
      </w:r>
      <w:r w:rsidRPr="00356952">
        <w:tab/>
        <w:t xml:space="preserve">a nomination by another group entity has been in effect earlier in the financial year covering </w:t>
      </w:r>
      <w:r w:rsidR="00E8232F" w:rsidRPr="00356952">
        <w:t>a</w:t>
      </w:r>
      <w:r w:rsidRPr="00356952">
        <w:t xml:space="preserve"> </w:t>
      </w:r>
      <w:r w:rsidR="0092460A" w:rsidRPr="00356952">
        <w:t xml:space="preserve">principal activity (the </w:t>
      </w:r>
      <w:r w:rsidR="0092460A" w:rsidRPr="00356952">
        <w:rPr>
          <w:b/>
          <w:i/>
        </w:rPr>
        <w:t>first principal activity</w:t>
      </w:r>
      <w:r w:rsidR="0092460A" w:rsidRPr="00356952">
        <w:t>)</w:t>
      </w:r>
      <w:r w:rsidR="003278BA" w:rsidRPr="00356952">
        <w:t>;</w:t>
      </w:r>
    </w:p>
    <w:p w:rsidR="00B27639" w:rsidRPr="00356952" w:rsidRDefault="00B27639" w:rsidP="00B27639">
      <w:pPr>
        <w:pStyle w:val="paragraph"/>
      </w:pPr>
      <w:r w:rsidRPr="00356952">
        <w:tab/>
        <w:t>(b)</w:t>
      </w:r>
      <w:r w:rsidRPr="00356952">
        <w:tab/>
        <w:t xml:space="preserve">that other group entity is no longer in overall control of the </w:t>
      </w:r>
      <w:r w:rsidR="0092460A" w:rsidRPr="00356952">
        <w:t>first principal activity</w:t>
      </w:r>
      <w:r w:rsidR="003278BA" w:rsidRPr="00356952">
        <w:t>;</w:t>
      </w:r>
    </w:p>
    <w:p w:rsidR="00B27639" w:rsidRPr="00356952" w:rsidRDefault="00B27639" w:rsidP="00B27639">
      <w:pPr>
        <w:pStyle w:val="paragraph"/>
      </w:pPr>
      <w:r w:rsidRPr="00356952">
        <w:tab/>
        <w:t>(c)</w:t>
      </w:r>
      <w:r w:rsidRPr="00356952">
        <w:tab/>
      </w:r>
      <w:r w:rsidR="00AF389F" w:rsidRPr="00356952">
        <w:t>a</w:t>
      </w:r>
      <w:r w:rsidRPr="00356952">
        <w:t xml:space="preserve"> group entity currently in overall control of </w:t>
      </w:r>
      <w:r w:rsidR="00AF389F" w:rsidRPr="00356952">
        <w:t>the</w:t>
      </w:r>
      <w:r w:rsidRPr="00356952">
        <w:t xml:space="preserve"> </w:t>
      </w:r>
      <w:r w:rsidR="00AF389F" w:rsidRPr="00356952">
        <w:t xml:space="preserve">first </w:t>
      </w:r>
      <w:r w:rsidRPr="00356952">
        <w:t>principal activity</w:t>
      </w:r>
      <w:r w:rsidR="00AF389F" w:rsidRPr="00356952">
        <w:t xml:space="preserve">, or </w:t>
      </w:r>
      <w:r w:rsidR="0092460A" w:rsidRPr="00356952">
        <w:t xml:space="preserve">of </w:t>
      </w:r>
      <w:r w:rsidR="001D786C" w:rsidRPr="00356952">
        <w:t xml:space="preserve">a part of </w:t>
      </w:r>
      <w:r w:rsidR="0092460A" w:rsidRPr="00356952">
        <w:t>the first</w:t>
      </w:r>
      <w:r w:rsidR="001D786C" w:rsidRPr="00356952">
        <w:t xml:space="preserve"> principal activity, </w:t>
      </w:r>
      <w:r w:rsidRPr="00356952">
        <w:t xml:space="preserve">elects in the later nomination for </w:t>
      </w:r>
      <w:r w:rsidR="003278BA" w:rsidRPr="00356952">
        <w:t>the later</w:t>
      </w:r>
      <w:r w:rsidRPr="00356952">
        <w:t xml:space="preserve"> nomination to take effect from the 1</w:t>
      </w:r>
      <w:r w:rsidR="00356952" w:rsidRPr="00356952">
        <w:t> </w:t>
      </w:r>
      <w:r w:rsidRPr="00356952">
        <w:t xml:space="preserve">July of the financial year in which </w:t>
      </w:r>
      <w:r w:rsidR="003278BA" w:rsidRPr="00356952">
        <w:t>it</w:t>
      </w:r>
      <w:r w:rsidRPr="00356952">
        <w:t xml:space="preserve"> is made.</w:t>
      </w:r>
    </w:p>
    <w:p w:rsidR="00C07C76" w:rsidRPr="00356952" w:rsidRDefault="00C07C76" w:rsidP="008D3430">
      <w:pPr>
        <w:pStyle w:val="subsection"/>
      </w:pPr>
      <w:r w:rsidRPr="00356952">
        <w:tab/>
        <w:t>(</w:t>
      </w:r>
      <w:r w:rsidR="00B27639" w:rsidRPr="00356952">
        <w:t>6</w:t>
      </w:r>
      <w:r w:rsidRPr="00356952">
        <w:t>)</w:t>
      </w:r>
      <w:r w:rsidRPr="00356952">
        <w:tab/>
        <w:t>The nomination must</w:t>
      </w:r>
      <w:r w:rsidR="002C5432" w:rsidRPr="00356952">
        <w:t xml:space="preserve"> be </w:t>
      </w:r>
      <w:r w:rsidR="008D3430" w:rsidRPr="00356952">
        <w:t>in the form approved by the Regulator</w:t>
      </w:r>
      <w:r w:rsidRPr="00356952">
        <w:t>.</w:t>
      </w:r>
    </w:p>
    <w:p w:rsidR="00B17583" w:rsidRPr="00356952" w:rsidRDefault="007A0938" w:rsidP="0071184A">
      <w:pPr>
        <w:pStyle w:val="ItemHead"/>
        <w:tabs>
          <w:tab w:val="left" w:pos="6663"/>
        </w:tabs>
      </w:pPr>
      <w:r w:rsidRPr="00356952">
        <w:t>8</w:t>
      </w:r>
      <w:r w:rsidR="00B17583" w:rsidRPr="00356952">
        <w:t xml:space="preserve">  Paragraph 6.06(d)</w:t>
      </w:r>
    </w:p>
    <w:p w:rsidR="00B17583" w:rsidRPr="00356952" w:rsidRDefault="00B17583" w:rsidP="00B17583">
      <w:pPr>
        <w:pStyle w:val="Item"/>
      </w:pPr>
      <w:r w:rsidRPr="00356952">
        <w:t>Repeal the paragraph, substitute:</w:t>
      </w:r>
    </w:p>
    <w:p w:rsidR="00B17583" w:rsidRPr="00356952" w:rsidRDefault="00B17583" w:rsidP="00B17583">
      <w:pPr>
        <w:pStyle w:val="paragraph"/>
      </w:pPr>
      <w:r w:rsidRPr="00356952">
        <w:tab/>
        <w:t>(d)</w:t>
      </w:r>
      <w:r w:rsidRPr="00356952">
        <w:tab/>
        <w:t>whether registered as a Category 1 or 2 auditor;</w:t>
      </w:r>
    </w:p>
    <w:p w:rsidR="00B17583" w:rsidRPr="00356952" w:rsidRDefault="007A0938" w:rsidP="00B17583">
      <w:pPr>
        <w:pStyle w:val="ItemHead"/>
      </w:pPr>
      <w:r w:rsidRPr="00356952">
        <w:t>9</w:t>
      </w:r>
      <w:r w:rsidR="00B17583" w:rsidRPr="00356952">
        <w:t xml:space="preserve">  Regulation</w:t>
      </w:r>
      <w:r w:rsidR="00356952" w:rsidRPr="00356952">
        <w:t> </w:t>
      </w:r>
      <w:r w:rsidR="00B17583" w:rsidRPr="00356952">
        <w:t>6.06 (note)</w:t>
      </w:r>
    </w:p>
    <w:p w:rsidR="00B17583" w:rsidRPr="00356952" w:rsidRDefault="00B17583" w:rsidP="00B17583">
      <w:pPr>
        <w:pStyle w:val="Item"/>
      </w:pPr>
      <w:r w:rsidRPr="00356952">
        <w:t>Repeal the note.</w:t>
      </w:r>
    </w:p>
    <w:p w:rsidR="00B17583" w:rsidRPr="00356952" w:rsidRDefault="007A0938" w:rsidP="00B17583">
      <w:pPr>
        <w:pStyle w:val="ItemHead"/>
      </w:pPr>
      <w:r w:rsidRPr="00356952">
        <w:t>10</w:t>
      </w:r>
      <w:r w:rsidR="00B17583" w:rsidRPr="00356952">
        <w:t xml:space="preserve">  Paragraph 6.07</w:t>
      </w:r>
      <w:r w:rsidR="00553845" w:rsidRPr="00356952">
        <w:t>(1)</w:t>
      </w:r>
      <w:r w:rsidR="00B17583" w:rsidRPr="00356952">
        <w:t>(b)</w:t>
      </w:r>
    </w:p>
    <w:p w:rsidR="00B17583" w:rsidRPr="00356952" w:rsidRDefault="00B17583" w:rsidP="00B17583">
      <w:pPr>
        <w:pStyle w:val="Item"/>
      </w:pPr>
      <w:r w:rsidRPr="00356952">
        <w:t>Repeal the paragraph, substitute:</w:t>
      </w:r>
    </w:p>
    <w:p w:rsidR="00B17583" w:rsidRPr="00356952" w:rsidRDefault="00B17583" w:rsidP="00B17583">
      <w:pPr>
        <w:pStyle w:val="paragraph"/>
      </w:pPr>
      <w:r w:rsidRPr="00356952">
        <w:tab/>
        <w:t>(b)</w:t>
      </w:r>
      <w:r w:rsidRPr="00356952">
        <w:tab/>
        <w:t>whether registered as a Category 1 or 2 auditor;</w:t>
      </w:r>
    </w:p>
    <w:p w:rsidR="00B17583" w:rsidRPr="00356952" w:rsidRDefault="007A0938" w:rsidP="00B17583">
      <w:pPr>
        <w:pStyle w:val="ItemHead"/>
      </w:pPr>
      <w:r w:rsidRPr="00356952">
        <w:t>11</w:t>
      </w:r>
      <w:r w:rsidR="00B17583" w:rsidRPr="00356952">
        <w:t xml:space="preserve">  Regulation</w:t>
      </w:r>
      <w:r w:rsidR="00356952" w:rsidRPr="00356952">
        <w:t> </w:t>
      </w:r>
      <w:r w:rsidR="00B17583" w:rsidRPr="00356952">
        <w:t>6.07 (note)</w:t>
      </w:r>
    </w:p>
    <w:p w:rsidR="00B17583" w:rsidRPr="00356952" w:rsidRDefault="00B17583" w:rsidP="00B17583">
      <w:pPr>
        <w:pStyle w:val="Item"/>
      </w:pPr>
      <w:r w:rsidRPr="00356952">
        <w:t>Repeal the note.</w:t>
      </w:r>
    </w:p>
    <w:p w:rsidR="00B17583" w:rsidRPr="00356952" w:rsidRDefault="007A0938" w:rsidP="00B17583">
      <w:pPr>
        <w:pStyle w:val="ItemHead"/>
      </w:pPr>
      <w:r w:rsidRPr="00356952">
        <w:t>12</w:t>
      </w:r>
      <w:r w:rsidR="00B17583" w:rsidRPr="00356952">
        <w:t xml:space="preserve">  </w:t>
      </w:r>
      <w:proofErr w:type="spellStart"/>
      <w:r w:rsidR="00B17583" w:rsidRPr="00356952">
        <w:t>Subregulation</w:t>
      </w:r>
      <w:r w:rsidR="00E07330" w:rsidRPr="00356952">
        <w:t>s</w:t>
      </w:r>
      <w:proofErr w:type="spellEnd"/>
      <w:r w:rsidR="00356952" w:rsidRPr="00356952">
        <w:t> </w:t>
      </w:r>
      <w:r w:rsidR="00B17583" w:rsidRPr="00356952">
        <w:t>6.09(1)</w:t>
      </w:r>
      <w:r w:rsidR="00E07330" w:rsidRPr="00356952">
        <w:t xml:space="preserve"> and (2)</w:t>
      </w:r>
    </w:p>
    <w:p w:rsidR="00B17583" w:rsidRPr="00356952" w:rsidRDefault="00B17583" w:rsidP="00B17583">
      <w:pPr>
        <w:pStyle w:val="Item"/>
      </w:pPr>
      <w:r w:rsidRPr="00356952">
        <w:t xml:space="preserve">Repeal the </w:t>
      </w:r>
      <w:proofErr w:type="spellStart"/>
      <w:r w:rsidRPr="00356952">
        <w:t>subregulation</w:t>
      </w:r>
      <w:r w:rsidR="00E07330" w:rsidRPr="00356952">
        <w:t>s</w:t>
      </w:r>
      <w:proofErr w:type="spellEnd"/>
      <w:r w:rsidRPr="00356952">
        <w:t>, substitute:</w:t>
      </w:r>
    </w:p>
    <w:p w:rsidR="00E07330" w:rsidRPr="00356952" w:rsidRDefault="00E07330" w:rsidP="00E07330">
      <w:pPr>
        <w:pStyle w:val="subsection"/>
      </w:pPr>
      <w:r w:rsidRPr="00356952">
        <w:tab/>
        <w:t>(1)</w:t>
      </w:r>
      <w:r w:rsidRPr="00356952">
        <w:tab/>
        <w:t>There are 2 categories of registered greenhouse and energy audit</w:t>
      </w:r>
      <w:r w:rsidR="00347724" w:rsidRPr="00356952">
        <w:t>or</w:t>
      </w:r>
      <w:r w:rsidRPr="00356952">
        <w:t>s, as follows:</w:t>
      </w:r>
    </w:p>
    <w:p w:rsidR="00E07330" w:rsidRPr="00356952" w:rsidRDefault="00E07330" w:rsidP="00E07330">
      <w:pPr>
        <w:pStyle w:val="paragraph"/>
      </w:pPr>
      <w:r w:rsidRPr="00356952">
        <w:tab/>
        <w:t>(a)</w:t>
      </w:r>
      <w:r w:rsidRPr="00356952">
        <w:tab/>
        <w:t>Category 1 auditors;</w:t>
      </w:r>
    </w:p>
    <w:p w:rsidR="00E07330" w:rsidRPr="00356952" w:rsidRDefault="00E07330" w:rsidP="00E07330">
      <w:pPr>
        <w:pStyle w:val="paragraph"/>
      </w:pPr>
      <w:r w:rsidRPr="00356952">
        <w:tab/>
        <w:t>(b)</w:t>
      </w:r>
      <w:r w:rsidRPr="00356952">
        <w:tab/>
        <w:t>Category 2 auditors.</w:t>
      </w:r>
    </w:p>
    <w:p w:rsidR="00E07330" w:rsidRPr="00356952" w:rsidRDefault="007A0938" w:rsidP="00E07330">
      <w:pPr>
        <w:pStyle w:val="ItemHead"/>
        <w:tabs>
          <w:tab w:val="left" w:pos="6663"/>
        </w:tabs>
      </w:pPr>
      <w:r w:rsidRPr="00356952">
        <w:t>13</w:t>
      </w:r>
      <w:r w:rsidR="00E07330" w:rsidRPr="00356952">
        <w:t xml:space="preserve">  Paragraph 6.11(b)</w:t>
      </w:r>
    </w:p>
    <w:p w:rsidR="00E07330" w:rsidRPr="00356952" w:rsidRDefault="00E07330" w:rsidP="00E07330">
      <w:pPr>
        <w:pStyle w:val="Item"/>
      </w:pPr>
      <w:r w:rsidRPr="00356952">
        <w:t>Omit “Greenhouse Energy and Data Officer”, substitute “Regulator”.</w:t>
      </w:r>
    </w:p>
    <w:p w:rsidR="00E07330" w:rsidRPr="00356952" w:rsidRDefault="007A0938" w:rsidP="00E07330">
      <w:pPr>
        <w:pStyle w:val="ItemHead"/>
      </w:pPr>
      <w:r w:rsidRPr="00356952">
        <w:t>14</w:t>
      </w:r>
      <w:r w:rsidR="00E07330" w:rsidRPr="00356952">
        <w:t xml:space="preserve">  Regulation</w:t>
      </w:r>
      <w:r w:rsidR="00356952" w:rsidRPr="00356952">
        <w:t> </w:t>
      </w:r>
      <w:r w:rsidR="00E07330" w:rsidRPr="00356952">
        <w:t>6.16 (heading)</w:t>
      </w:r>
    </w:p>
    <w:p w:rsidR="00E07330" w:rsidRPr="00356952" w:rsidRDefault="00E07330" w:rsidP="00E07330">
      <w:pPr>
        <w:pStyle w:val="Item"/>
      </w:pPr>
      <w:r w:rsidRPr="00356952">
        <w:t>Repeal the heading, substitute:</w:t>
      </w:r>
    </w:p>
    <w:p w:rsidR="00E07330" w:rsidRPr="00356952" w:rsidRDefault="00E07330" w:rsidP="00E07330">
      <w:pPr>
        <w:pStyle w:val="ActHead5"/>
      </w:pPr>
      <w:bookmarkStart w:id="13" w:name="_Toc430176460"/>
      <w:r w:rsidRPr="00356952">
        <w:rPr>
          <w:rStyle w:val="CharSectno"/>
        </w:rPr>
        <w:t>6.16</w:t>
      </w:r>
      <w:r w:rsidRPr="00356952">
        <w:t xml:space="preserve">  Audit team leadership and assurance knowledge—Category 2 applicants</w:t>
      </w:r>
      <w:bookmarkEnd w:id="13"/>
    </w:p>
    <w:p w:rsidR="00E07330" w:rsidRPr="00356952" w:rsidRDefault="007A0938" w:rsidP="00E07330">
      <w:pPr>
        <w:pStyle w:val="ItemHead"/>
      </w:pPr>
      <w:r w:rsidRPr="00356952">
        <w:t>15</w:t>
      </w:r>
      <w:r w:rsidR="00E07330" w:rsidRPr="00356952">
        <w:t xml:space="preserve">  </w:t>
      </w:r>
      <w:proofErr w:type="spellStart"/>
      <w:r w:rsidR="00E07330" w:rsidRPr="00356952">
        <w:t>Subregulation</w:t>
      </w:r>
      <w:proofErr w:type="spellEnd"/>
      <w:r w:rsidR="00356952" w:rsidRPr="00356952">
        <w:t> </w:t>
      </w:r>
      <w:r w:rsidR="00E07330" w:rsidRPr="00356952">
        <w:t>6.16(1)</w:t>
      </w:r>
    </w:p>
    <w:p w:rsidR="00E07330" w:rsidRPr="00356952" w:rsidRDefault="00E07330" w:rsidP="00E07330">
      <w:pPr>
        <w:pStyle w:val="Item"/>
      </w:pPr>
      <w:r w:rsidRPr="00356952">
        <w:t>Omit “or a Category 3”.</w:t>
      </w:r>
    </w:p>
    <w:p w:rsidR="00E07330" w:rsidRPr="00356952" w:rsidRDefault="007A0938" w:rsidP="00E07330">
      <w:pPr>
        <w:pStyle w:val="ItemHead"/>
      </w:pPr>
      <w:r w:rsidRPr="00356952">
        <w:t>16</w:t>
      </w:r>
      <w:r w:rsidR="00E07330" w:rsidRPr="00356952">
        <w:t xml:space="preserve">  Regulation</w:t>
      </w:r>
      <w:r w:rsidR="00356952" w:rsidRPr="00356952">
        <w:t> </w:t>
      </w:r>
      <w:r w:rsidR="00E07330" w:rsidRPr="00356952">
        <w:t>6.21</w:t>
      </w:r>
    </w:p>
    <w:p w:rsidR="00E07330" w:rsidRPr="00356952" w:rsidRDefault="00E07330" w:rsidP="00E07330">
      <w:pPr>
        <w:pStyle w:val="Item"/>
      </w:pPr>
      <w:r w:rsidRPr="00356952">
        <w:t>Repeal the regulation.</w:t>
      </w:r>
    </w:p>
    <w:p w:rsidR="00E07330" w:rsidRPr="00356952" w:rsidRDefault="007A0938" w:rsidP="00E07330">
      <w:pPr>
        <w:pStyle w:val="ItemHead"/>
      </w:pPr>
      <w:r w:rsidRPr="00356952">
        <w:t>17</w:t>
      </w:r>
      <w:r w:rsidR="00E07330" w:rsidRPr="00356952">
        <w:t xml:space="preserve">  Paragraph 6.23(2)(b)</w:t>
      </w:r>
    </w:p>
    <w:p w:rsidR="00E07330" w:rsidRPr="00356952" w:rsidRDefault="00E07330" w:rsidP="00E07330">
      <w:pPr>
        <w:pStyle w:val="Item"/>
      </w:pPr>
      <w:r w:rsidRPr="00356952">
        <w:t>Omit “and, if the applicant has applied for registration as a Category 1 auditor, the type of Category 1 auditor applied for”.</w:t>
      </w:r>
    </w:p>
    <w:p w:rsidR="00E07330" w:rsidRPr="00356952" w:rsidRDefault="007A0938" w:rsidP="00E07330">
      <w:pPr>
        <w:pStyle w:val="ItemHead"/>
      </w:pPr>
      <w:r w:rsidRPr="00356952">
        <w:t>18</w:t>
      </w:r>
      <w:r w:rsidR="00E07330" w:rsidRPr="00356952">
        <w:t xml:space="preserve">  </w:t>
      </w:r>
      <w:proofErr w:type="spellStart"/>
      <w:r w:rsidR="00E07330" w:rsidRPr="00356952">
        <w:t>Subregulation</w:t>
      </w:r>
      <w:proofErr w:type="spellEnd"/>
      <w:r w:rsidR="00356952" w:rsidRPr="00356952">
        <w:t> </w:t>
      </w:r>
      <w:r w:rsidR="00E07330" w:rsidRPr="00356952">
        <w:t>6.23(2) (note)</w:t>
      </w:r>
    </w:p>
    <w:p w:rsidR="00E07330" w:rsidRPr="00356952" w:rsidRDefault="00E07330" w:rsidP="00E07330">
      <w:pPr>
        <w:pStyle w:val="Item"/>
      </w:pPr>
      <w:r w:rsidRPr="00356952">
        <w:t>Repeal the note.</w:t>
      </w:r>
    </w:p>
    <w:p w:rsidR="00E07330" w:rsidRPr="00356952" w:rsidRDefault="007A0938" w:rsidP="00E07330">
      <w:pPr>
        <w:pStyle w:val="ItemHead"/>
      </w:pPr>
      <w:r w:rsidRPr="00356952">
        <w:t>19</w:t>
      </w:r>
      <w:r w:rsidR="00E07330" w:rsidRPr="00356952">
        <w:t xml:space="preserve">  </w:t>
      </w:r>
      <w:proofErr w:type="spellStart"/>
      <w:r w:rsidR="00E07330" w:rsidRPr="00356952">
        <w:t>Subregulation</w:t>
      </w:r>
      <w:proofErr w:type="spellEnd"/>
      <w:r w:rsidR="00356952" w:rsidRPr="00356952">
        <w:t> </w:t>
      </w:r>
      <w:r w:rsidR="00E07330" w:rsidRPr="00356952">
        <w:t>6.23(3) (note)</w:t>
      </w:r>
    </w:p>
    <w:p w:rsidR="00F859EA" w:rsidRPr="00356952" w:rsidRDefault="00F859EA" w:rsidP="00F859EA">
      <w:pPr>
        <w:pStyle w:val="Item"/>
      </w:pPr>
      <w:r w:rsidRPr="00356952">
        <w:t>Repeal the note, substitute:</w:t>
      </w:r>
    </w:p>
    <w:p w:rsidR="00F859EA" w:rsidRPr="00356952" w:rsidRDefault="00F859EA" w:rsidP="00F859EA">
      <w:pPr>
        <w:pStyle w:val="notetext"/>
      </w:pPr>
      <w:r w:rsidRPr="00356952">
        <w:t>Note:</w:t>
      </w:r>
      <w:r w:rsidRPr="00356952">
        <w:tab/>
        <w:t xml:space="preserve">The applicant is required to submit written </w:t>
      </w:r>
      <w:r w:rsidR="001E1D57" w:rsidRPr="00356952">
        <w:t>references with the application:</w:t>
      </w:r>
      <w:r w:rsidRPr="00356952">
        <w:t xml:space="preserve"> see </w:t>
      </w:r>
      <w:proofErr w:type="spellStart"/>
      <w:r w:rsidRPr="00356952">
        <w:t>subregulation</w:t>
      </w:r>
      <w:proofErr w:type="spellEnd"/>
      <w:r w:rsidR="00356952" w:rsidRPr="00356952">
        <w:t> </w:t>
      </w:r>
      <w:r w:rsidRPr="00356952">
        <w:t xml:space="preserve">6.19(4) (for Category 1 applicants) and </w:t>
      </w:r>
      <w:proofErr w:type="spellStart"/>
      <w:r w:rsidRPr="00356952">
        <w:t>subregulation</w:t>
      </w:r>
      <w:proofErr w:type="spellEnd"/>
      <w:r w:rsidR="00356952" w:rsidRPr="00356952">
        <w:t> </w:t>
      </w:r>
      <w:r w:rsidRPr="00356952">
        <w:t>6.20(5) (for Category 2 applicants).</w:t>
      </w:r>
    </w:p>
    <w:p w:rsidR="00F859EA" w:rsidRPr="00356952" w:rsidRDefault="007A0938" w:rsidP="00F859EA">
      <w:pPr>
        <w:pStyle w:val="ItemHead"/>
      </w:pPr>
      <w:r w:rsidRPr="00356952">
        <w:t>20</w:t>
      </w:r>
      <w:r w:rsidR="00F859EA" w:rsidRPr="00356952">
        <w:t xml:space="preserve">  </w:t>
      </w:r>
      <w:proofErr w:type="spellStart"/>
      <w:r w:rsidR="00F859EA" w:rsidRPr="00356952">
        <w:t>Subregulation</w:t>
      </w:r>
      <w:proofErr w:type="spellEnd"/>
      <w:r w:rsidR="00356952" w:rsidRPr="00356952">
        <w:t> </w:t>
      </w:r>
      <w:r w:rsidR="00F859EA" w:rsidRPr="00356952">
        <w:t>6.23(4)</w:t>
      </w:r>
    </w:p>
    <w:p w:rsidR="00F859EA" w:rsidRPr="00356952" w:rsidRDefault="00F859EA" w:rsidP="00F859EA">
      <w:pPr>
        <w:pStyle w:val="Item"/>
      </w:pPr>
      <w:r w:rsidRPr="00356952">
        <w:t xml:space="preserve">Repeal the </w:t>
      </w:r>
      <w:proofErr w:type="spellStart"/>
      <w:r w:rsidRPr="00356952">
        <w:t>subregulation</w:t>
      </w:r>
      <w:proofErr w:type="spellEnd"/>
      <w:r w:rsidRPr="00356952">
        <w:t>.</w:t>
      </w:r>
    </w:p>
    <w:p w:rsidR="00F859EA" w:rsidRPr="00356952" w:rsidRDefault="007A0938" w:rsidP="00F859EA">
      <w:pPr>
        <w:pStyle w:val="ItemHead"/>
      </w:pPr>
      <w:r w:rsidRPr="00356952">
        <w:t>21</w:t>
      </w:r>
      <w:r w:rsidR="00F859EA" w:rsidRPr="00356952">
        <w:t xml:space="preserve">  </w:t>
      </w:r>
      <w:proofErr w:type="spellStart"/>
      <w:r w:rsidR="00F859EA" w:rsidRPr="00356952">
        <w:t>Subregulation</w:t>
      </w:r>
      <w:proofErr w:type="spellEnd"/>
      <w:r w:rsidR="00356952" w:rsidRPr="00356952">
        <w:t> </w:t>
      </w:r>
      <w:r w:rsidR="00F859EA" w:rsidRPr="00356952">
        <w:t>6.25(2)</w:t>
      </w:r>
    </w:p>
    <w:p w:rsidR="000A5719" w:rsidRPr="00356952" w:rsidRDefault="000A5719" w:rsidP="00F859EA">
      <w:pPr>
        <w:pStyle w:val="Item"/>
      </w:pPr>
      <w:r w:rsidRPr="00356952">
        <w:t xml:space="preserve">Repeal the </w:t>
      </w:r>
      <w:proofErr w:type="spellStart"/>
      <w:r w:rsidRPr="00356952">
        <w:t>subregulation</w:t>
      </w:r>
      <w:proofErr w:type="spellEnd"/>
      <w:r w:rsidRPr="00356952">
        <w:t>, substitute:</w:t>
      </w:r>
    </w:p>
    <w:p w:rsidR="00F859EA" w:rsidRPr="00356952" w:rsidRDefault="000A5719" w:rsidP="000A5719">
      <w:pPr>
        <w:pStyle w:val="subsection"/>
      </w:pPr>
      <w:r w:rsidRPr="00356952">
        <w:tab/>
        <w:t>(2)</w:t>
      </w:r>
      <w:r w:rsidRPr="00356952">
        <w:tab/>
        <w:t xml:space="preserve">If an application is a compliant application, the Regulator must decide whether or not to register the applicant </w:t>
      </w:r>
      <w:r w:rsidR="004462E5" w:rsidRPr="00356952">
        <w:t>in the category of auditor</w:t>
      </w:r>
      <w:r w:rsidRPr="00356952">
        <w:t xml:space="preserve"> applied for</w:t>
      </w:r>
      <w:r w:rsidR="00F859EA" w:rsidRPr="00356952">
        <w:t>.</w:t>
      </w:r>
    </w:p>
    <w:p w:rsidR="00F859EA" w:rsidRPr="00356952" w:rsidRDefault="007A0938" w:rsidP="00F859EA">
      <w:pPr>
        <w:pStyle w:val="ItemHead"/>
      </w:pPr>
      <w:r w:rsidRPr="00356952">
        <w:t>22</w:t>
      </w:r>
      <w:r w:rsidR="00F859EA" w:rsidRPr="00356952">
        <w:t xml:space="preserve">  Subparagraph 6.25(3)(b)(</w:t>
      </w:r>
      <w:proofErr w:type="spellStart"/>
      <w:r w:rsidR="00F859EA" w:rsidRPr="00356952">
        <w:t>i</w:t>
      </w:r>
      <w:proofErr w:type="spellEnd"/>
      <w:r w:rsidR="00F859EA" w:rsidRPr="00356952">
        <w:t>)</w:t>
      </w:r>
    </w:p>
    <w:p w:rsidR="000A5719" w:rsidRPr="00356952" w:rsidRDefault="000A5719" w:rsidP="00F859EA">
      <w:pPr>
        <w:pStyle w:val="Item"/>
      </w:pPr>
      <w:r w:rsidRPr="00356952">
        <w:t>Repeal the subparagraph, substitute:</w:t>
      </w:r>
    </w:p>
    <w:p w:rsidR="00F859EA" w:rsidRPr="00356952" w:rsidRDefault="000A5719" w:rsidP="000A5719">
      <w:pPr>
        <w:pStyle w:val="paragraphsub"/>
      </w:pPr>
      <w:r w:rsidRPr="00356952">
        <w:tab/>
        <w:t>(</w:t>
      </w:r>
      <w:proofErr w:type="spellStart"/>
      <w:r w:rsidRPr="00356952">
        <w:t>i</w:t>
      </w:r>
      <w:proofErr w:type="spellEnd"/>
      <w:r w:rsidRPr="00356952">
        <w:t>)</w:t>
      </w:r>
      <w:r w:rsidRPr="00356952">
        <w:tab/>
        <w:t>register the successful applicant as a Category 1 or 2 auditor, in accordance with the application; and</w:t>
      </w:r>
    </w:p>
    <w:p w:rsidR="00771B5E" w:rsidRPr="00356952" w:rsidRDefault="007A0938" w:rsidP="0071184A">
      <w:pPr>
        <w:pStyle w:val="ItemHead"/>
        <w:tabs>
          <w:tab w:val="left" w:pos="6663"/>
        </w:tabs>
      </w:pPr>
      <w:r w:rsidRPr="00356952">
        <w:t>23</w:t>
      </w:r>
      <w:r w:rsidR="00771B5E" w:rsidRPr="00356952">
        <w:t xml:space="preserve">  </w:t>
      </w:r>
      <w:proofErr w:type="spellStart"/>
      <w:r w:rsidR="00771B5E" w:rsidRPr="00356952">
        <w:t>Subregulation</w:t>
      </w:r>
      <w:r w:rsidR="0023474A" w:rsidRPr="00356952">
        <w:t>s</w:t>
      </w:r>
      <w:proofErr w:type="spellEnd"/>
      <w:r w:rsidR="00356952" w:rsidRPr="00356952">
        <w:t> </w:t>
      </w:r>
      <w:r w:rsidR="0023474A" w:rsidRPr="00356952">
        <w:t>6.59(2), (3) and (3A)</w:t>
      </w:r>
    </w:p>
    <w:p w:rsidR="00771B5E" w:rsidRPr="00356952" w:rsidRDefault="001E2EA2" w:rsidP="00771B5E">
      <w:pPr>
        <w:pStyle w:val="Item"/>
      </w:pPr>
      <w:r w:rsidRPr="00356952">
        <w:t xml:space="preserve">Repeal the </w:t>
      </w:r>
      <w:proofErr w:type="spellStart"/>
      <w:r w:rsidRPr="00356952">
        <w:t>subregulation</w:t>
      </w:r>
      <w:r w:rsidR="0023474A" w:rsidRPr="00356952">
        <w:t>s</w:t>
      </w:r>
      <w:proofErr w:type="spellEnd"/>
      <w:r w:rsidRPr="00356952">
        <w:t>, substitute:</w:t>
      </w:r>
    </w:p>
    <w:p w:rsidR="00855396" w:rsidRPr="00356952" w:rsidRDefault="001E2EA2" w:rsidP="001E2EA2">
      <w:pPr>
        <w:pStyle w:val="subsection"/>
      </w:pPr>
      <w:r w:rsidRPr="00356952">
        <w:tab/>
        <w:t>(2)</w:t>
      </w:r>
      <w:r w:rsidRPr="00356952">
        <w:tab/>
        <w:t>The audit team leader must not</w:t>
      </w:r>
      <w:r w:rsidR="00855396" w:rsidRPr="00356952">
        <w:t>, in relation to a particular audited body, be the audit team leader for more than 5 consecutive</w:t>
      </w:r>
      <w:r w:rsidR="0023474A" w:rsidRPr="00356952">
        <w:t xml:space="preserve"> Part</w:t>
      </w:r>
      <w:r w:rsidR="00356952" w:rsidRPr="00356952">
        <w:t> </w:t>
      </w:r>
      <w:r w:rsidR="0023474A" w:rsidRPr="00356952">
        <w:t>6 audits of the same kind carried out in relation to the audited body.</w:t>
      </w:r>
    </w:p>
    <w:p w:rsidR="0023474A" w:rsidRPr="00356952" w:rsidRDefault="0023474A" w:rsidP="001E2EA2">
      <w:pPr>
        <w:pStyle w:val="subsection"/>
      </w:pPr>
      <w:r w:rsidRPr="00356952">
        <w:tab/>
        <w:t>(3)</w:t>
      </w:r>
      <w:r w:rsidRPr="00356952">
        <w:tab/>
        <w:t>Between each set of 5 consecutive Part</w:t>
      </w:r>
      <w:r w:rsidR="00356952" w:rsidRPr="00356952">
        <w:t> </w:t>
      </w:r>
      <w:r w:rsidRPr="00356952">
        <w:t>6 audits of the same kind carried out in relation to a particular audited body there must be at least 2 successive Part</w:t>
      </w:r>
      <w:r w:rsidR="00356952" w:rsidRPr="00356952">
        <w:t> </w:t>
      </w:r>
      <w:r w:rsidRPr="00356952">
        <w:t>6 audits of that kind carried out in relation to the audited body for which the audit team leader was not the audit team leader.</w:t>
      </w:r>
    </w:p>
    <w:p w:rsidR="002400BE" w:rsidRPr="00356952" w:rsidRDefault="007A0938" w:rsidP="0071184A">
      <w:pPr>
        <w:pStyle w:val="ItemHead"/>
        <w:tabs>
          <w:tab w:val="left" w:pos="6663"/>
        </w:tabs>
      </w:pPr>
      <w:r w:rsidRPr="00356952">
        <w:t>24</w:t>
      </w:r>
      <w:r w:rsidR="00BB6E79" w:rsidRPr="00356952">
        <w:t xml:space="preserve">  </w:t>
      </w:r>
      <w:r w:rsidR="007164B4" w:rsidRPr="00356952">
        <w:t>Subparagraph 6.61(4)(c)(ii)</w:t>
      </w:r>
    </w:p>
    <w:p w:rsidR="00954ABB" w:rsidRPr="00356952" w:rsidRDefault="007164B4" w:rsidP="00954ABB">
      <w:pPr>
        <w:pStyle w:val="Item"/>
      </w:pPr>
      <w:r w:rsidRPr="00356952">
        <w:t>Omit “CFI methodology determinations”, substitute “methodology determinations”.</w:t>
      </w:r>
    </w:p>
    <w:p w:rsidR="009265F3" w:rsidRPr="00356952" w:rsidRDefault="007A0938" w:rsidP="00F859EA">
      <w:pPr>
        <w:pStyle w:val="ItemHead"/>
      </w:pPr>
      <w:r w:rsidRPr="00356952">
        <w:t>25</w:t>
      </w:r>
      <w:r w:rsidR="009265F3" w:rsidRPr="00356952">
        <w:t xml:space="preserve">  Regulation</w:t>
      </w:r>
      <w:r w:rsidR="00356952" w:rsidRPr="00356952">
        <w:t> </w:t>
      </w:r>
      <w:r w:rsidR="009265F3" w:rsidRPr="00356952">
        <w:t>6.64A</w:t>
      </w:r>
    </w:p>
    <w:p w:rsidR="009265F3" w:rsidRPr="00356952" w:rsidRDefault="009265F3" w:rsidP="009265F3">
      <w:pPr>
        <w:pStyle w:val="Item"/>
      </w:pPr>
      <w:r w:rsidRPr="00356952">
        <w:t>Repeal the regulation.</w:t>
      </w:r>
    </w:p>
    <w:p w:rsidR="00F859EA" w:rsidRPr="00356952" w:rsidRDefault="007A0938" w:rsidP="00F859EA">
      <w:pPr>
        <w:pStyle w:val="ItemHead"/>
      </w:pPr>
      <w:r w:rsidRPr="00356952">
        <w:t>26</w:t>
      </w:r>
      <w:r w:rsidR="00F859EA" w:rsidRPr="00356952">
        <w:t xml:space="preserve">  </w:t>
      </w:r>
      <w:r w:rsidR="00CB05A0" w:rsidRPr="00356952">
        <w:t>Regulation</w:t>
      </w:r>
      <w:r w:rsidR="00356952" w:rsidRPr="00356952">
        <w:t> </w:t>
      </w:r>
      <w:r w:rsidR="00CB05A0" w:rsidRPr="00356952">
        <w:t>6.66</w:t>
      </w:r>
    </w:p>
    <w:p w:rsidR="00CB05A0" w:rsidRPr="00356952" w:rsidRDefault="00CB05A0" w:rsidP="00CB05A0">
      <w:pPr>
        <w:pStyle w:val="Item"/>
      </w:pPr>
      <w:r w:rsidRPr="00356952">
        <w:t>Repeal the regulation, substitute:</w:t>
      </w:r>
    </w:p>
    <w:p w:rsidR="00CB05A0" w:rsidRPr="00356952" w:rsidRDefault="00CB05A0" w:rsidP="00CB05A0">
      <w:pPr>
        <w:pStyle w:val="ActHead5"/>
      </w:pPr>
      <w:bookmarkStart w:id="14" w:name="_Toc430176461"/>
      <w:r w:rsidRPr="00356952">
        <w:rPr>
          <w:rStyle w:val="CharSectno"/>
        </w:rPr>
        <w:t>6.66</w:t>
      </w:r>
      <w:r w:rsidRPr="00356952">
        <w:t xml:space="preserve">  Participation in audits</w:t>
      </w:r>
      <w:bookmarkEnd w:id="14"/>
    </w:p>
    <w:p w:rsidR="00511553" w:rsidRPr="00356952" w:rsidRDefault="00CB05A0" w:rsidP="00CB05A0">
      <w:pPr>
        <w:pStyle w:val="subsection"/>
      </w:pPr>
      <w:r w:rsidRPr="00356952">
        <w:tab/>
        <w:t>(1)</w:t>
      </w:r>
      <w:r w:rsidRPr="00356952">
        <w:tab/>
        <w:t xml:space="preserve">A </w:t>
      </w:r>
      <w:r w:rsidR="00736E72" w:rsidRPr="00356952">
        <w:t>registered greenhouse and energy auditor must</w:t>
      </w:r>
      <w:r w:rsidR="000A5719" w:rsidRPr="00356952">
        <w:t xml:space="preserve"> participate</w:t>
      </w:r>
      <w:r w:rsidR="00511553" w:rsidRPr="00356952">
        <w:t xml:space="preserve"> in</w:t>
      </w:r>
      <w:r w:rsidR="00771B5E" w:rsidRPr="00356952">
        <w:t xml:space="preserve"> </w:t>
      </w:r>
      <w:r w:rsidR="00511553" w:rsidRPr="00356952">
        <w:t xml:space="preserve">a substantial </w:t>
      </w:r>
      <w:r w:rsidR="00771B5E" w:rsidRPr="00356952">
        <w:t>way in a Part</w:t>
      </w:r>
      <w:r w:rsidR="00356952" w:rsidRPr="00356952">
        <w:t> </w:t>
      </w:r>
      <w:r w:rsidR="00771B5E" w:rsidRPr="00356952">
        <w:t>6 audit or an alternative audit at least once in every 3 calendar years following registration.</w:t>
      </w:r>
    </w:p>
    <w:p w:rsidR="00771B5E" w:rsidRPr="00356952" w:rsidRDefault="00771B5E" w:rsidP="00CB05A0">
      <w:pPr>
        <w:pStyle w:val="subsection"/>
      </w:pPr>
      <w:r w:rsidRPr="00356952">
        <w:tab/>
        <w:t>(2)</w:t>
      </w:r>
      <w:r w:rsidRPr="00356952">
        <w:tab/>
        <w:t>For the purposes of determining whether a registered greenhouse and energy auditor has participated in a substantial way in a Part</w:t>
      </w:r>
      <w:r w:rsidR="00356952" w:rsidRPr="00356952">
        <w:t> </w:t>
      </w:r>
      <w:r w:rsidRPr="00356952">
        <w:t>6 audit or an alternative audit</w:t>
      </w:r>
      <w:r w:rsidR="000A5719" w:rsidRPr="00356952">
        <w:t>,</w:t>
      </w:r>
      <w:r w:rsidRPr="00356952">
        <w:t xml:space="preserve"> the Regulator </w:t>
      </w:r>
      <w:r w:rsidR="000A5719" w:rsidRPr="00356952">
        <w:t>must</w:t>
      </w:r>
      <w:r w:rsidRPr="00356952">
        <w:t xml:space="preserve"> have regard to the following:</w:t>
      </w:r>
    </w:p>
    <w:p w:rsidR="00771B5E" w:rsidRPr="00356952" w:rsidRDefault="00771B5E" w:rsidP="00771B5E">
      <w:pPr>
        <w:pStyle w:val="paragraph"/>
      </w:pPr>
      <w:r w:rsidRPr="00356952">
        <w:tab/>
        <w:t>(a)</w:t>
      </w:r>
      <w:r w:rsidRPr="00356952">
        <w:tab/>
        <w:t>whether the auditor carried out, or assisted in</w:t>
      </w:r>
      <w:r w:rsidR="006E558F" w:rsidRPr="00356952">
        <w:t xml:space="preserve"> </w:t>
      </w:r>
      <w:r w:rsidRPr="00356952">
        <w:t>carrying out, the audit;</w:t>
      </w:r>
    </w:p>
    <w:p w:rsidR="00771B5E" w:rsidRPr="00356952" w:rsidRDefault="00771B5E" w:rsidP="00771B5E">
      <w:pPr>
        <w:pStyle w:val="paragraph"/>
      </w:pPr>
      <w:r w:rsidRPr="00356952">
        <w:tab/>
        <w:t>(b)</w:t>
      </w:r>
      <w:r w:rsidRPr="00356952">
        <w:tab/>
        <w:t>the amount of time the auditor applied to the audit;</w:t>
      </w:r>
    </w:p>
    <w:p w:rsidR="000A5719" w:rsidRPr="00356952" w:rsidRDefault="00771B5E" w:rsidP="000A5719">
      <w:pPr>
        <w:pStyle w:val="paragraph"/>
      </w:pPr>
      <w:r w:rsidRPr="00356952">
        <w:tab/>
        <w:t>(c)</w:t>
      </w:r>
      <w:r w:rsidRPr="00356952">
        <w:tab/>
      </w:r>
      <w:r w:rsidR="000A5719" w:rsidRPr="00356952">
        <w:t>the auditor’s role and function (if any) in carrying out the audit;</w:t>
      </w:r>
    </w:p>
    <w:p w:rsidR="00771B5E" w:rsidRPr="00356952" w:rsidRDefault="00771B5E" w:rsidP="000A5719">
      <w:pPr>
        <w:pStyle w:val="paragraph"/>
      </w:pPr>
      <w:r w:rsidRPr="00356952">
        <w:tab/>
        <w:t>(d)</w:t>
      </w:r>
      <w:r w:rsidRPr="00356952">
        <w:tab/>
        <w:t>any other matters the Regulator considers relevant.</w:t>
      </w:r>
    </w:p>
    <w:p w:rsidR="00736E72" w:rsidRPr="00356952" w:rsidRDefault="007A0938" w:rsidP="009265F3">
      <w:pPr>
        <w:pStyle w:val="ItemHead"/>
      </w:pPr>
      <w:r w:rsidRPr="00356952">
        <w:t>27</w:t>
      </w:r>
      <w:r w:rsidR="009265F3" w:rsidRPr="00356952">
        <w:t xml:space="preserve">  Paragraph</w:t>
      </w:r>
      <w:r w:rsidR="00801EFE" w:rsidRPr="00356952">
        <w:t>s</w:t>
      </w:r>
      <w:r w:rsidR="009265F3" w:rsidRPr="00356952">
        <w:t xml:space="preserve"> 6.69(1)(a) and (aa)</w:t>
      </w:r>
    </w:p>
    <w:p w:rsidR="009265F3" w:rsidRPr="00356952" w:rsidRDefault="009265F3" w:rsidP="009265F3">
      <w:pPr>
        <w:pStyle w:val="Item"/>
      </w:pPr>
      <w:r w:rsidRPr="00356952">
        <w:t>Repeal the paragraphs, substitute:</w:t>
      </w:r>
    </w:p>
    <w:p w:rsidR="009265F3" w:rsidRPr="00356952" w:rsidRDefault="009265F3" w:rsidP="009265F3">
      <w:pPr>
        <w:pStyle w:val="paragraph"/>
      </w:pPr>
      <w:r w:rsidRPr="00356952">
        <w:tab/>
        <w:t>(a)</w:t>
      </w:r>
      <w:r w:rsidRPr="00356952">
        <w:tab/>
        <w:t>Part</w:t>
      </w:r>
      <w:r w:rsidR="00356952" w:rsidRPr="00356952">
        <w:t> </w:t>
      </w:r>
      <w:r w:rsidRPr="00356952">
        <w:t>6 audits;</w:t>
      </w:r>
    </w:p>
    <w:p w:rsidR="002400BE" w:rsidRPr="00356952" w:rsidRDefault="007A0938" w:rsidP="002400BE">
      <w:pPr>
        <w:pStyle w:val="ItemHead"/>
      </w:pPr>
      <w:r w:rsidRPr="00356952">
        <w:t>28</w:t>
      </w:r>
      <w:r w:rsidR="002400BE" w:rsidRPr="00356952">
        <w:t xml:space="preserve">  </w:t>
      </w:r>
      <w:r w:rsidR="00954ABB" w:rsidRPr="00356952">
        <w:t>Amendments of listed provisions</w:t>
      </w:r>
    </w:p>
    <w:p w:rsidR="00CE0EC0" w:rsidRPr="00356952" w:rsidRDefault="00CE0EC0" w:rsidP="00CE0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2835"/>
        <w:gridCol w:w="1279"/>
      </w:tblGrid>
      <w:tr w:rsidR="00CE0EC0" w:rsidRPr="00356952" w:rsidTr="00E47D7E">
        <w:trPr>
          <w:tblHeader/>
        </w:trPr>
        <w:tc>
          <w:tcPr>
            <w:tcW w:w="7086" w:type="dxa"/>
            <w:gridSpan w:val="4"/>
            <w:tcBorders>
              <w:top w:val="single" w:sz="12" w:space="0" w:color="auto"/>
              <w:bottom w:val="single" w:sz="2" w:space="0" w:color="auto"/>
            </w:tcBorders>
            <w:shd w:val="clear" w:color="auto" w:fill="auto"/>
          </w:tcPr>
          <w:p w:rsidR="00CE0EC0" w:rsidRPr="00356952" w:rsidRDefault="00CE0EC0" w:rsidP="00E47D7E">
            <w:pPr>
              <w:pStyle w:val="TableHeading"/>
            </w:pPr>
            <w:r w:rsidRPr="00356952">
              <w:t>Further amendments—CFI audit</w:t>
            </w:r>
          </w:p>
        </w:tc>
      </w:tr>
      <w:tr w:rsidR="00CE0EC0" w:rsidRPr="00356952" w:rsidTr="0023474A">
        <w:trPr>
          <w:tblHeader/>
        </w:trPr>
        <w:tc>
          <w:tcPr>
            <w:tcW w:w="714" w:type="dxa"/>
            <w:tcBorders>
              <w:top w:val="single" w:sz="2" w:space="0" w:color="auto"/>
              <w:bottom w:val="single" w:sz="12" w:space="0" w:color="auto"/>
            </w:tcBorders>
            <w:shd w:val="clear" w:color="auto" w:fill="auto"/>
          </w:tcPr>
          <w:p w:rsidR="00CE0EC0" w:rsidRPr="00356952" w:rsidRDefault="00CE0EC0" w:rsidP="00E47D7E">
            <w:pPr>
              <w:pStyle w:val="TableHeading"/>
            </w:pPr>
            <w:r w:rsidRPr="00356952">
              <w:t>Item</w:t>
            </w:r>
          </w:p>
        </w:tc>
        <w:tc>
          <w:tcPr>
            <w:tcW w:w="2258" w:type="dxa"/>
            <w:tcBorders>
              <w:top w:val="single" w:sz="2" w:space="0" w:color="auto"/>
              <w:bottom w:val="single" w:sz="12" w:space="0" w:color="auto"/>
            </w:tcBorders>
            <w:shd w:val="clear" w:color="auto" w:fill="auto"/>
          </w:tcPr>
          <w:p w:rsidR="00CE0EC0" w:rsidRPr="00356952" w:rsidRDefault="00CE0EC0" w:rsidP="00E47D7E">
            <w:pPr>
              <w:pStyle w:val="TableHeading"/>
            </w:pPr>
            <w:r w:rsidRPr="00356952">
              <w:t>Provision</w:t>
            </w:r>
          </w:p>
        </w:tc>
        <w:tc>
          <w:tcPr>
            <w:tcW w:w="2835" w:type="dxa"/>
            <w:tcBorders>
              <w:top w:val="single" w:sz="2" w:space="0" w:color="auto"/>
              <w:bottom w:val="single" w:sz="12" w:space="0" w:color="auto"/>
            </w:tcBorders>
            <w:shd w:val="clear" w:color="auto" w:fill="auto"/>
          </w:tcPr>
          <w:p w:rsidR="00CE0EC0" w:rsidRPr="00356952" w:rsidRDefault="00CE0EC0" w:rsidP="00E47D7E">
            <w:pPr>
              <w:pStyle w:val="TableHeading"/>
            </w:pPr>
            <w:r w:rsidRPr="00356952">
              <w:t>Omit</w:t>
            </w:r>
          </w:p>
        </w:tc>
        <w:tc>
          <w:tcPr>
            <w:tcW w:w="1279" w:type="dxa"/>
            <w:tcBorders>
              <w:top w:val="single" w:sz="2" w:space="0" w:color="auto"/>
              <w:bottom w:val="single" w:sz="12" w:space="0" w:color="auto"/>
            </w:tcBorders>
            <w:shd w:val="clear" w:color="auto" w:fill="auto"/>
          </w:tcPr>
          <w:p w:rsidR="00CE0EC0" w:rsidRPr="00356952" w:rsidRDefault="00CE0EC0" w:rsidP="00E47D7E">
            <w:pPr>
              <w:pStyle w:val="TableHeading"/>
            </w:pPr>
            <w:r w:rsidRPr="00356952">
              <w:t>Substitute</w:t>
            </w:r>
          </w:p>
        </w:tc>
      </w:tr>
      <w:tr w:rsidR="00CE6A6B" w:rsidRPr="00356952" w:rsidTr="0023474A">
        <w:tc>
          <w:tcPr>
            <w:tcW w:w="714" w:type="dxa"/>
            <w:tcBorders>
              <w:top w:val="single" w:sz="12" w:space="0" w:color="auto"/>
            </w:tcBorders>
            <w:shd w:val="clear" w:color="auto" w:fill="auto"/>
          </w:tcPr>
          <w:p w:rsidR="00CE6A6B" w:rsidRPr="00356952" w:rsidRDefault="0023474A" w:rsidP="00396ACA">
            <w:pPr>
              <w:pStyle w:val="Tabletext"/>
            </w:pPr>
            <w:r w:rsidRPr="00356952">
              <w:t>1</w:t>
            </w:r>
          </w:p>
        </w:tc>
        <w:tc>
          <w:tcPr>
            <w:tcW w:w="2258" w:type="dxa"/>
            <w:tcBorders>
              <w:top w:val="single" w:sz="12" w:space="0" w:color="auto"/>
            </w:tcBorders>
            <w:shd w:val="clear" w:color="auto" w:fill="auto"/>
          </w:tcPr>
          <w:p w:rsidR="00CE6A6B" w:rsidRPr="00356952" w:rsidRDefault="00CE6A6B" w:rsidP="00396ACA">
            <w:pPr>
              <w:pStyle w:val="Tabletext"/>
            </w:pPr>
            <w:r w:rsidRPr="00356952">
              <w:t>Regulation</w:t>
            </w:r>
            <w:r w:rsidR="00356952" w:rsidRPr="00356952">
              <w:t> </w:t>
            </w:r>
            <w:r w:rsidRPr="00356952">
              <w:t xml:space="preserve">1.03 (definition of </w:t>
            </w:r>
            <w:r w:rsidRPr="00356952">
              <w:rPr>
                <w:b/>
                <w:i/>
              </w:rPr>
              <w:t>audited body</w:t>
            </w:r>
            <w:r w:rsidRPr="00356952">
              <w:t>)</w:t>
            </w:r>
          </w:p>
        </w:tc>
        <w:tc>
          <w:tcPr>
            <w:tcW w:w="2835" w:type="dxa"/>
            <w:tcBorders>
              <w:top w:val="single" w:sz="12" w:space="0" w:color="auto"/>
            </w:tcBorders>
            <w:shd w:val="clear" w:color="auto" w:fill="auto"/>
          </w:tcPr>
          <w:p w:rsidR="00CE6A6B" w:rsidRPr="00356952" w:rsidRDefault="00CE6A6B" w:rsidP="00396ACA">
            <w:pPr>
              <w:pStyle w:val="Tabletext"/>
            </w:pPr>
            <w:r w:rsidRPr="00356952">
              <w:t>greenhouse and energy audit or CFI</w:t>
            </w:r>
          </w:p>
        </w:tc>
        <w:tc>
          <w:tcPr>
            <w:tcW w:w="1279" w:type="dxa"/>
            <w:tcBorders>
              <w:top w:val="single" w:sz="12" w:space="0" w:color="auto"/>
            </w:tcBorders>
            <w:shd w:val="clear" w:color="auto" w:fill="auto"/>
          </w:tcPr>
          <w:p w:rsidR="00CE6A6B" w:rsidRPr="00356952" w:rsidRDefault="00CE6A6B" w:rsidP="00396ACA">
            <w:pPr>
              <w:pStyle w:val="Tabletext"/>
            </w:pPr>
            <w:r w:rsidRPr="00356952">
              <w:t>Part</w:t>
            </w:r>
            <w:r w:rsidR="00356952" w:rsidRPr="00356952">
              <w:t> </w:t>
            </w:r>
            <w:r w:rsidRPr="00356952">
              <w:t>6 audit</w:t>
            </w:r>
          </w:p>
        </w:tc>
      </w:tr>
      <w:tr w:rsidR="00CE6A6B" w:rsidRPr="00356952" w:rsidTr="0023474A">
        <w:tc>
          <w:tcPr>
            <w:tcW w:w="714" w:type="dxa"/>
            <w:shd w:val="clear" w:color="auto" w:fill="auto"/>
          </w:tcPr>
          <w:p w:rsidR="00CE6A6B" w:rsidRPr="00356952" w:rsidRDefault="0023474A" w:rsidP="00E47D7E">
            <w:pPr>
              <w:pStyle w:val="Tabletext"/>
            </w:pPr>
            <w:r w:rsidRPr="00356952">
              <w:t>2</w:t>
            </w:r>
          </w:p>
        </w:tc>
        <w:tc>
          <w:tcPr>
            <w:tcW w:w="2258" w:type="dxa"/>
            <w:shd w:val="clear" w:color="auto" w:fill="auto"/>
          </w:tcPr>
          <w:p w:rsidR="00CE6A6B" w:rsidRPr="00356952" w:rsidRDefault="00CE6A6B" w:rsidP="00E47D7E">
            <w:pPr>
              <w:pStyle w:val="Tabletext"/>
            </w:pPr>
            <w:r w:rsidRPr="00356952">
              <w:t>Paragraph 6.29(1)(d)</w:t>
            </w:r>
          </w:p>
        </w:tc>
        <w:tc>
          <w:tcPr>
            <w:tcW w:w="2835" w:type="dxa"/>
            <w:shd w:val="clear" w:color="auto" w:fill="auto"/>
          </w:tcPr>
          <w:p w:rsidR="00CE6A6B" w:rsidRPr="00356952" w:rsidRDefault="00CE6A6B" w:rsidP="00E47D7E">
            <w:pPr>
              <w:pStyle w:val="Tabletext"/>
            </w:pPr>
            <w:r w:rsidRPr="00356952">
              <w:t>greenhouse and energy audit or a CFI audit</w:t>
            </w:r>
          </w:p>
        </w:tc>
        <w:tc>
          <w:tcPr>
            <w:tcW w:w="1279" w:type="dxa"/>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shd w:val="clear" w:color="auto" w:fill="auto"/>
          </w:tcPr>
          <w:p w:rsidR="00CE6A6B" w:rsidRPr="00356952" w:rsidRDefault="0023474A" w:rsidP="00E47D7E">
            <w:pPr>
              <w:pStyle w:val="Tabletext"/>
            </w:pPr>
            <w:r w:rsidRPr="00356952">
              <w:t>3</w:t>
            </w:r>
          </w:p>
        </w:tc>
        <w:tc>
          <w:tcPr>
            <w:tcW w:w="2258" w:type="dxa"/>
            <w:shd w:val="clear" w:color="auto" w:fill="auto"/>
          </w:tcPr>
          <w:p w:rsidR="00CE6A6B" w:rsidRPr="00356952" w:rsidRDefault="00C4797E" w:rsidP="00E47D7E">
            <w:pPr>
              <w:pStyle w:val="Tabletext"/>
            </w:pPr>
            <w:r w:rsidRPr="00356952">
              <w:t>P</w:t>
            </w:r>
            <w:r w:rsidR="00CE6A6B" w:rsidRPr="00356952">
              <w:t>aragraph</w:t>
            </w:r>
            <w:r w:rsidR="007A0938" w:rsidRPr="00356952">
              <w:t xml:space="preserve"> </w:t>
            </w:r>
            <w:r w:rsidR="00CE6A6B" w:rsidRPr="00356952">
              <w:t>6.34(1)(d)</w:t>
            </w:r>
          </w:p>
        </w:tc>
        <w:tc>
          <w:tcPr>
            <w:tcW w:w="2835" w:type="dxa"/>
            <w:shd w:val="clear" w:color="auto" w:fill="auto"/>
          </w:tcPr>
          <w:p w:rsidR="00CE6A6B" w:rsidRPr="00356952" w:rsidRDefault="00CE6A6B" w:rsidP="00E47D7E">
            <w:pPr>
              <w:pStyle w:val="Tabletext"/>
            </w:pPr>
            <w:r w:rsidRPr="00356952">
              <w:t>greenhouse and energy audit or a CFI audit</w:t>
            </w:r>
          </w:p>
        </w:tc>
        <w:tc>
          <w:tcPr>
            <w:tcW w:w="1279" w:type="dxa"/>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shd w:val="clear" w:color="auto" w:fill="auto"/>
          </w:tcPr>
          <w:p w:rsidR="00CE6A6B" w:rsidRPr="00356952" w:rsidRDefault="0023474A" w:rsidP="00E47D7E">
            <w:pPr>
              <w:pStyle w:val="Tabletext"/>
            </w:pPr>
            <w:r w:rsidRPr="00356952">
              <w:t>4</w:t>
            </w:r>
          </w:p>
        </w:tc>
        <w:tc>
          <w:tcPr>
            <w:tcW w:w="2258" w:type="dxa"/>
            <w:shd w:val="clear" w:color="auto" w:fill="auto"/>
          </w:tcPr>
          <w:p w:rsidR="00CE6A6B" w:rsidRPr="00356952" w:rsidRDefault="00CE6A6B" w:rsidP="00E47D7E">
            <w:pPr>
              <w:pStyle w:val="Tabletext"/>
            </w:pPr>
            <w:proofErr w:type="spellStart"/>
            <w:r w:rsidRPr="00356952">
              <w:t>Subregulation</w:t>
            </w:r>
            <w:proofErr w:type="spellEnd"/>
            <w:r w:rsidR="00356952" w:rsidRPr="00356952">
              <w:t> </w:t>
            </w:r>
            <w:r w:rsidRPr="00356952">
              <w:t>6.38(1)</w:t>
            </w:r>
          </w:p>
        </w:tc>
        <w:tc>
          <w:tcPr>
            <w:tcW w:w="2835" w:type="dxa"/>
            <w:shd w:val="clear" w:color="auto" w:fill="auto"/>
          </w:tcPr>
          <w:p w:rsidR="00CE6A6B" w:rsidRPr="00356952" w:rsidRDefault="00CE6A6B" w:rsidP="00E47D7E">
            <w:pPr>
              <w:pStyle w:val="Tabletext"/>
            </w:pPr>
            <w:r w:rsidRPr="00356952">
              <w:t>greenhouse and energy audits or CFI audits</w:t>
            </w:r>
          </w:p>
        </w:tc>
        <w:tc>
          <w:tcPr>
            <w:tcW w:w="1279" w:type="dxa"/>
            <w:shd w:val="clear" w:color="auto" w:fill="auto"/>
          </w:tcPr>
          <w:p w:rsidR="00CE6A6B" w:rsidRPr="00356952" w:rsidRDefault="00CE6A6B" w:rsidP="00E47D7E">
            <w:pPr>
              <w:pStyle w:val="Tabletext"/>
            </w:pPr>
            <w:r w:rsidRPr="00356952">
              <w:t>Part</w:t>
            </w:r>
            <w:r w:rsidR="00356952" w:rsidRPr="00356952">
              <w:t> </w:t>
            </w:r>
            <w:r w:rsidRPr="00356952">
              <w:t>6 audits</w:t>
            </w:r>
          </w:p>
        </w:tc>
      </w:tr>
      <w:tr w:rsidR="00CE6A6B" w:rsidRPr="00356952" w:rsidTr="0023474A">
        <w:tc>
          <w:tcPr>
            <w:tcW w:w="714" w:type="dxa"/>
            <w:shd w:val="clear" w:color="auto" w:fill="auto"/>
          </w:tcPr>
          <w:p w:rsidR="00CE6A6B" w:rsidRPr="00356952" w:rsidRDefault="0023474A" w:rsidP="00E47D7E">
            <w:pPr>
              <w:pStyle w:val="Tabletext"/>
            </w:pPr>
            <w:r w:rsidRPr="00356952">
              <w:t>5</w:t>
            </w:r>
          </w:p>
        </w:tc>
        <w:tc>
          <w:tcPr>
            <w:tcW w:w="2258" w:type="dxa"/>
            <w:shd w:val="clear" w:color="auto" w:fill="auto"/>
          </w:tcPr>
          <w:p w:rsidR="00CE6A6B" w:rsidRPr="00356952" w:rsidRDefault="00CE6A6B" w:rsidP="00E47D7E">
            <w:pPr>
              <w:pStyle w:val="Tabletext"/>
            </w:pPr>
            <w:r w:rsidRPr="00356952">
              <w:t>Paragraphs 6.38(2)(a) and (b)</w:t>
            </w:r>
          </w:p>
        </w:tc>
        <w:tc>
          <w:tcPr>
            <w:tcW w:w="2835" w:type="dxa"/>
            <w:shd w:val="clear" w:color="auto" w:fill="auto"/>
          </w:tcPr>
          <w:p w:rsidR="00CE6A6B" w:rsidRPr="00356952" w:rsidRDefault="00CE6A6B" w:rsidP="00E47D7E">
            <w:pPr>
              <w:pStyle w:val="Tabletext"/>
            </w:pPr>
            <w:r w:rsidRPr="00356952">
              <w:t>greenhouse and energy audits or CFI audits</w:t>
            </w:r>
          </w:p>
        </w:tc>
        <w:tc>
          <w:tcPr>
            <w:tcW w:w="1279" w:type="dxa"/>
            <w:shd w:val="clear" w:color="auto" w:fill="auto"/>
          </w:tcPr>
          <w:p w:rsidR="00CE6A6B" w:rsidRPr="00356952" w:rsidRDefault="00CE6A6B" w:rsidP="00E47D7E">
            <w:pPr>
              <w:pStyle w:val="Tabletext"/>
            </w:pPr>
            <w:r w:rsidRPr="00356952">
              <w:t>Part</w:t>
            </w:r>
            <w:r w:rsidR="00356952" w:rsidRPr="00356952">
              <w:t> </w:t>
            </w:r>
            <w:r w:rsidRPr="00356952">
              <w:t>6 audits</w:t>
            </w:r>
          </w:p>
        </w:tc>
      </w:tr>
      <w:tr w:rsidR="00CE6A6B" w:rsidRPr="00356952" w:rsidTr="0023474A">
        <w:tc>
          <w:tcPr>
            <w:tcW w:w="714" w:type="dxa"/>
            <w:shd w:val="clear" w:color="auto" w:fill="auto"/>
          </w:tcPr>
          <w:p w:rsidR="00CE6A6B" w:rsidRPr="00356952" w:rsidRDefault="0023474A" w:rsidP="00E47D7E">
            <w:pPr>
              <w:pStyle w:val="Tabletext"/>
            </w:pPr>
            <w:r w:rsidRPr="00356952">
              <w:t>6</w:t>
            </w:r>
          </w:p>
        </w:tc>
        <w:tc>
          <w:tcPr>
            <w:tcW w:w="2258" w:type="dxa"/>
            <w:shd w:val="clear" w:color="auto" w:fill="auto"/>
          </w:tcPr>
          <w:p w:rsidR="00CE6A6B" w:rsidRPr="00356952" w:rsidRDefault="00CE6A6B" w:rsidP="00E47D7E">
            <w:pPr>
              <w:pStyle w:val="Tabletext"/>
            </w:pPr>
            <w:proofErr w:type="spellStart"/>
            <w:r w:rsidRPr="00356952">
              <w:t>Subregulation</w:t>
            </w:r>
            <w:proofErr w:type="spellEnd"/>
            <w:r w:rsidR="00356952" w:rsidRPr="00356952">
              <w:t> </w:t>
            </w:r>
            <w:r w:rsidRPr="00356952">
              <w:t>6.39(1)</w:t>
            </w:r>
          </w:p>
        </w:tc>
        <w:tc>
          <w:tcPr>
            <w:tcW w:w="2835" w:type="dxa"/>
            <w:shd w:val="clear" w:color="auto" w:fill="auto"/>
          </w:tcPr>
          <w:p w:rsidR="00CE6A6B" w:rsidRPr="00356952" w:rsidRDefault="00CE6A6B" w:rsidP="00E47D7E">
            <w:pPr>
              <w:pStyle w:val="Tabletext"/>
            </w:pPr>
            <w:r w:rsidRPr="00356952">
              <w:t>greenhouse and energy audit or CFI audit</w:t>
            </w:r>
          </w:p>
        </w:tc>
        <w:tc>
          <w:tcPr>
            <w:tcW w:w="1279" w:type="dxa"/>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shd w:val="clear" w:color="auto" w:fill="auto"/>
          </w:tcPr>
          <w:p w:rsidR="00CE6A6B" w:rsidRPr="00356952" w:rsidRDefault="0023474A" w:rsidP="00E47D7E">
            <w:pPr>
              <w:pStyle w:val="Tabletext"/>
            </w:pPr>
            <w:r w:rsidRPr="00356952">
              <w:t>7</w:t>
            </w:r>
          </w:p>
        </w:tc>
        <w:tc>
          <w:tcPr>
            <w:tcW w:w="2258" w:type="dxa"/>
            <w:shd w:val="clear" w:color="auto" w:fill="auto"/>
          </w:tcPr>
          <w:p w:rsidR="00CE6A6B" w:rsidRPr="00356952" w:rsidRDefault="00CE6A6B" w:rsidP="00E47D7E">
            <w:pPr>
              <w:pStyle w:val="Tabletext"/>
            </w:pPr>
            <w:proofErr w:type="spellStart"/>
            <w:r w:rsidRPr="00356952">
              <w:t>Subregulation</w:t>
            </w:r>
            <w:proofErr w:type="spellEnd"/>
            <w:r w:rsidR="00356952" w:rsidRPr="00356952">
              <w:t> </w:t>
            </w:r>
            <w:r w:rsidRPr="00356952">
              <w:t>6.41(1)</w:t>
            </w:r>
          </w:p>
        </w:tc>
        <w:tc>
          <w:tcPr>
            <w:tcW w:w="2835" w:type="dxa"/>
            <w:shd w:val="clear" w:color="auto" w:fill="auto"/>
          </w:tcPr>
          <w:p w:rsidR="00CE6A6B" w:rsidRPr="00356952" w:rsidRDefault="00CE6A6B" w:rsidP="00E47D7E">
            <w:pPr>
              <w:pStyle w:val="Tabletext"/>
            </w:pPr>
            <w:r w:rsidRPr="00356952">
              <w:t>greenhouse and energy audits or CFI audits</w:t>
            </w:r>
          </w:p>
        </w:tc>
        <w:tc>
          <w:tcPr>
            <w:tcW w:w="1279" w:type="dxa"/>
            <w:shd w:val="clear" w:color="auto" w:fill="auto"/>
          </w:tcPr>
          <w:p w:rsidR="00CE6A6B" w:rsidRPr="00356952" w:rsidRDefault="00CE6A6B" w:rsidP="00E47D7E">
            <w:pPr>
              <w:pStyle w:val="Tabletext"/>
            </w:pPr>
            <w:r w:rsidRPr="00356952">
              <w:t>Part</w:t>
            </w:r>
            <w:r w:rsidR="00356952" w:rsidRPr="00356952">
              <w:t> </w:t>
            </w:r>
            <w:r w:rsidRPr="00356952">
              <w:t>6 audits</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8</w:t>
            </w:r>
          </w:p>
        </w:tc>
        <w:tc>
          <w:tcPr>
            <w:tcW w:w="2258" w:type="dxa"/>
            <w:tcBorders>
              <w:bottom w:val="single" w:sz="4" w:space="0" w:color="auto"/>
            </w:tcBorders>
            <w:shd w:val="clear" w:color="auto" w:fill="auto"/>
          </w:tcPr>
          <w:p w:rsidR="00CE6A6B" w:rsidRPr="00356952" w:rsidRDefault="00CE6A6B" w:rsidP="00E47D7E">
            <w:pPr>
              <w:pStyle w:val="Tabletext"/>
            </w:pPr>
            <w:r w:rsidRPr="00356952">
              <w:t>Regulation</w:t>
            </w:r>
            <w:r w:rsidR="00356952" w:rsidRPr="00356952">
              <w:t> </w:t>
            </w:r>
            <w:r w:rsidRPr="00356952">
              <w:t>6.43</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9</w:t>
            </w:r>
          </w:p>
        </w:tc>
        <w:tc>
          <w:tcPr>
            <w:tcW w:w="2258" w:type="dxa"/>
            <w:tcBorders>
              <w:bottom w:val="single" w:sz="4" w:space="0" w:color="auto"/>
            </w:tcBorders>
            <w:shd w:val="clear" w:color="auto" w:fill="auto"/>
          </w:tcPr>
          <w:p w:rsidR="00CE6A6B" w:rsidRPr="00356952" w:rsidRDefault="00CE6A6B" w:rsidP="00E47D7E">
            <w:pPr>
              <w:pStyle w:val="Tabletext"/>
            </w:pPr>
            <w:r w:rsidRPr="00356952">
              <w:t>Paragraph 6.46(1)(a)</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D12BF2">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10</w:t>
            </w:r>
          </w:p>
        </w:tc>
        <w:tc>
          <w:tcPr>
            <w:tcW w:w="2258" w:type="dxa"/>
            <w:tcBorders>
              <w:bottom w:val="single" w:sz="4" w:space="0" w:color="auto"/>
            </w:tcBorders>
            <w:shd w:val="clear" w:color="auto" w:fill="auto"/>
          </w:tcPr>
          <w:p w:rsidR="00CE6A6B" w:rsidRPr="00356952" w:rsidRDefault="00CE6A6B" w:rsidP="00E47D7E">
            <w:pPr>
              <w:pStyle w:val="Tabletext"/>
            </w:pPr>
            <w:proofErr w:type="spellStart"/>
            <w:r w:rsidRPr="00356952">
              <w:t>Subregulation</w:t>
            </w:r>
            <w:proofErr w:type="spellEnd"/>
            <w:r w:rsidR="00356952" w:rsidRPr="00356952">
              <w:t> </w:t>
            </w:r>
            <w:r w:rsidRPr="00356952">
              <w:t>6.46(2)</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audits or CFI audits</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audits</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11</w:t>
            </w:r>
          </w:p>
        </w:tc>
        <w:tc>
          <w:tcPr>
            <w:tcW w:w="2258" w:type="dxa"/>
            <w:tcBorders>
              <w:bottom w:val="single" w:sz="4" w:space="0" w:color="auto"/>
            </w:tcBorders>
            <w:shd w:val="clear" w:color="auto" w:fill="auto"/>
          </w:tcPr>
          <w:p w:rsidR="00CE6A6B" w:rsidRPr="00356952" w:rsidRDefault="00CE6A6B" w:rsidP="00E47D7E">
            <w:pPr>
              <w:pStyle w:val="Tabletext"/>
            </w:pPr>
            <w:proofErr w:type="spellStart"/>
            <w:r w:rsidRPr="00356952">
              <w:t>Subregulation</w:t>
            </w:r>
            <w:proofErr w:type="spellEnd"/>
            <w:r w:rsidR="00356952" w:rsidRPr="00356952">
              <w:t> </w:t>
            </w:r>
            <w:r w:rsidRPr="00356952">
              <w:t>6.47(1)</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12</w:t>
            </w:r>
          </w:p>
        </w:tc>
        <w:tc>
          <w:tcPr>
            <w:tcW w:w="2258" w:type="dxa"/>
            <w:tcBorders>
              <w:bottom w:val="single" w:sz="4" w:space="0" w:color="auto"/>
            </w:tcBorders>
            <w:shd w:val="clear" w:color="auto" w:fill="auto"/>
          </w:tcPr>
          <w:p w:rsidR="00CE6A6B" w:rsidRPr="00356952" w:rsidRDefault="00CE6A6B" w:rsidP="00E47D7E">
            <w:pPr>
              <w:pStyle w:val="Tabletext"/>
            </w:pPr>
            <w:r w:rsidRPr="00356952">
              <w:t>Regulation</w:t>
            </w:r>
            <w:r w:rsidR="00356952" w:rsidRPr="00356952">
              <w:t> </w:t>
            </w:r>
            <w:r w:rsidRPr="00356952">
              <w:t>6.48</w:t>
            </w:r>
          </w:p>
        </w:tc>
        <w:tc>
          <w:tcPr>
            <w:tcW w:w="2835" w:type="dxa"/>
            <w:tcBorders>
              <w:bottom w:val="single" w:sz="4" w:space="0" w:color="auto"/>
            </w:tcBorders>
            <w:shd w:val="clear" w:color="auto" w:fill="auto"/>
          </w:tcPr>
          <w:p w:rsidR="00CE6A6B" w:rsidRPr="00356952" w:rsidRDefault="00CE6A6B" w:rsidP="00E47D7E">
            <w:pPr>
              <w:pStyle w:val="Tabletext"/>
            </w:pPr>
            <w:r w:rsidRPr="00356952">
              <w:t>the greenhouse and energy audit or the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a 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13</w:t>
            </w:r>
          </w:p>
        </w:tc>
        <w:tc>
          <w:tcPr>
            <w:tcW w:w="2258" w:type="dxa"/>
            <w:tcBorders>
              <w:bottom w:val="single" w:sz="4" w:space="0" w:color="auto"/>
            </w:tcBorders>
            <w:shd w:val="clear" w:color="auto" w:fill="auto"/>
          </w:tcPr>
          <w:p w:rsidR="00CE6A6B" w:rsidRPr="00356952" w:rsidRDefault="00CE6A6B" w:rsidP="00E47D7E">
            <w:pPr>
              <w:pStyle w:val="Tabletext"/>
            </w:pPr>
            <w:r w:rsidRPr="00356952">
              <w:t>Paragraph 6.49(1)(a)</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the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14</w:t>
            </w:r>
          </w:p>
        </w:tc>
        <w:tc>
          <w:tcPr>
            <w:tcW w:w="2258" w:type="dxa"/>
            <w:tcBorders>
              <w:bottom w:val="single" w:sz="4" w:space="0" w:color="auto"/>
            </w:tcBorders>
            <w:shd w:val="clear" w:color="auto" w:fill="auto"/>
          </w:tcPr>
          <w:p w:rsidR="00CE6A6B" w:rsidRPr="00356952" w:rsidRDefault="00CE6A6B" w:rsidP="00E47D7E">
            <w:pPr>
              <w:pStyle w:val="Tabletext"/>
            </w:pPr>
            <w:r w:rsidRPr="00356952">
              <w:t>Regulation</w:t>
            </w:r>
            <w:r w:rsidR="00356952" w:rsidRPr="00356952">
              <w:t> </w:t>
            </w:r>
            <w:r w:rsidRPr="00356952">
              <w:t>6.50</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15</w:t>
            </w:r>
          </w:p>
        </w:tc>
        <w:tc>
          <w:tcPr>
            <w:tcW w:w="2258" w:type="dxa"/>
            <w:tcBorders>
              <w:bottom w:val="single" w:sz="4" w:space="0" w:color="auto"/>
            </w:tcBorders>
            <w:shd w:val="clear" w:color="auto" w:fill="auto"/>
          </w:tcPr>
          <w:p w:rsidR="00CE6A6B" w:rsidRPr="00356952" w:rsidRDefault="00CE6A6B" w:rsidP="00E47D7E">
            <w:pPr>
              <w:pStyle w:val="Tabletext"/>
            </w:pPr>
            <w:r w:rsidRPr="00356952">
              <w:t>Regulation</w:t>
            </w:r>
            <w:r w:rsidR="00356952" w:rsidRPr="00356952">
              <w:t> </w:t>
            </w:r>
            <w:r w:rsidRPr="00356952">
              <w:t>6.51</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16</w:t>
            </w:r>
          </w:p>
        </w:tc>
        <w:tc>
          <w:tcPr>
            <w:tcW w:w="2258" w:type="dxa"/>
            <w:tcBorders>
              <w:bottom w:val="single" w:sz="4" w:space="0" w:color="auto"/>
            </w:tcBorders>
            <w:shd w:val="clear" w:color="auto" w:fill="auto"/>
          </w:tcPr>
          <w:p w:rsidR="00CE6A6B" w:rsidRPr="00356952" w:rsidRDefault="00CE6A6B" w:rsidP="00E47D7E">
            <w:pPr>
              <w:pStyle w:val="Tabletext"/>
            </w:pPr>
            <w:r w:rsidRPr="00356952">
              <w:t>Paragraph 6.53(1)(a)</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17</w:t>
            </w:r>
          </w:p>
        </w:tc>
        <w:tc>
          <w:tcPr>
            <w:tcW w:w="2258" w:type="dxa"/>
            <w:tcBorders>
              <w:bottom w:val="single" w:sz="4" w:space="0" w:color="auto"/>
            </w:tcBorders>
            <w:shd w:val="clear" w:color="auto" w:fill="auto"/>
          </w:tcPr>
          <w:p w:rsidR="00CE6A6B" w:rsidRPr="00356952" w:rsidRDefault="00CE6A6B" w:rsidP="00E47D7E">
            <w:pPr>
              <w:pStyle w:val="Tabletext"/>
            </w:pPr>
            <w:r w:rsidRPr="00356952">
              <w:t>Paragraph 6.54(1)(a)</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18</w:t>
            </w:r>
          </w:p>
        </w:tc>
        <w:tc>
          <w:tcPr>
            <w:tcW w:w="2258" w:type="dxa"/>
            <w:tcBorders>
              <w:bottom w:val="single" w:sz="4" w:space="0" w:color="auto"/>
            </w:tcBorders>
            <w:shd w:val="clear" w:color="auto" w:fill="auto"/>
          </w:tcPr>
          <w:p w:rsidR="00CE6A6B" w:rsidRPr="00356952" w:rsidRDefault="00CE6A6B" w:rsidP="00E47D7E">
            <w:pPr>
              <w:pStyle w:val="Tabletext"/>
            </w:pPr>
            <w:r w:rsidRPr="00356952">
              <w:t>Paragraph 6.56(2)(b)</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19</w:t>
            </w:r>
          </w:p>
        </w:tc>
        <w:tc>
          <w:tcPr>
            <w:tcW w:w="2258" w:type="dxa"/>
            <w:tcBorders>
              <w:bottom w:val="single" w:sz="4" w:space="0" w:color="auto"/>
            </w:tcBorders>
            <w:shd w:val="clear" w:color="auto" w:fill="auto"/>
          </w:tcPr>
          <w:p w:rsidR="00CE6A6B" w:rsidRPr="00356952" w:rsidRDefault="00CE6A6B" w:rsidP="00E47D7E">
            <w:pPr>
              <w:pStyle w:val="Tabletext"/>
            </w:pPr>
            <w:r w:rsidRPr="00356952">
              <w:t>Regulation</w:t>
            </w:r>
            <w:r w:rsidR="00356952" w:rsidRPr="00356952">
              <w:t> </w:t>
            </w:r>
            <w:r w:rsidRPr="00356952">
              <w:t>6.58</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20</w:t>
            </w:r>
          </w:p>
        </w:tc>
        <w:tc>
          <w:tcPr>
            <w:tcW w:w="2258" w:type="dxa"/>
            <w:tcBorders>
              <w:bottom w:val="single" w:sz="4" w:space="0" w:color="auto"/>
            </w:tcBorders>
            <w:shd w:val="clear" w:color="auto" w:fill="auto"/>
          </w:tcPr>
          <w:p w:rsidR="00CE6A6B" w:rsidRPr="00356952" w:rsidRDefault="00CE6A6B" w:rsidP="00E47D7E">
            <w:pPr>
              <w:pStyle w:val="Tabletext"/>
            </w:pPr>
            <w:proofErr w:type="spellStart"/>
            <w:r w:rsidRPr="00356952">
              <w:t>Subregulation</w:t>
            </w:r>
            <w:proofErr w:type="spellEnd"/>
            <w:r w:rsidR="00356952" w:rsidRPr="00356952">
              <w:t> </w:t>
            </w:r>
            <w:r w:rsidRPr="00356952">
              <w:t>6.60(1)</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21</w:t>
            </w:r>
          </w:p>
        </w:tc>
        <w:tc>
          <w:tcPr>
            <w:tcW w:w="2258" w:type="dxa"/>
            <w:tcBorders>
              <w:bottom w:val="single" w:sz="4" w:space="0" w:color="auto"/>
            </w:tcBorders>
            <w:shd w:val="clear" w:color="auto" w:fill="auto"/>
          </w:tcPr>
          <w:p w:rsidR="00CE6A6B" w:rsidRPr="00356952" w:rsidRDefault="00CE6A6B" w:rsidP="00E47D7E">
            <w:pPr>
              <w:pStyle w:val="Tabletext"/>
            </w:pPr>
            <w:r w:rsidRPr="00356952">
              <w:t>Paragraph 6.60(3)(a)</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22</w:t>
            </w:r>
          </w:p>
        </w:tc>
        <w:tc>
          <w:tcPr>
            <w:tcW w:w="2258" w:type="dxa"/>
            <w:tcBorders>
              <w:bottom w:val="single" w:sz="4" w:space="0" w:color="auto"/>
            </w:tcBorders>
            <w:shd w:val="clear" w:color="auto" w:fill="auto"/>
          </w:tcPr>
          <w:p w:rsidR="00CE6A6B" w:rsidRPr="00356952" w:rsidRDefault="00CE6A6B" w:rsidP="00E47D7E">
            <w:pPr>
              <w:pStyle w:val="Tabletext"/>
            </w:pPr>
            <w:r w:rsidRPr="00356952">
              <w:t>Paragraph 6.61(3)(a)</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audits or CFI audits</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audits</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23</w:t>
            </w:r>
          </w:p>
        </w:tc>
        <w:tc>
          <w:tcPr>
            <w:tcW w:w="2258" w:type="dxa"/>
            <w:tcBorders>
              <w:bottom w:val="single" w:sz="4" w:space="0" w:color="auto"/>
            </w:tcBorders>
            <w:shd w:val="clear" w:color="auto" w:fill="auto"/>
          </w:tcPr>
          <w:p w:rsidR="00CE6A6B" w:rsidRPr="00356952" w:rsidRDefault="00CE6A6B" w:rsidP="00E47D7E">
            <w:pPr>
              <w:pStyle w:val="Tabletext"/>
            </w:pPr>
            <w:r w:rsidRPr="00356952">
              <w:t>Paragraph 6.61(3)(b)</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24</w:t>
            </w:r>
          </w:p>
        </w:tc>
        <w:tc>
          <w:tcPr>
            <w:tcW w:w="2258" w:type="dxa"/>
            <w:tcBorders>
              <w:bottom w:val="single" w:sz="4" w:space="0" w:color="auto"/>
            </w:tcBorders>
            <w:shd w:val="clear" w:color="auto" w:fill="auto"/>
          </w:tcPr>
          <w:p w:rsidR="00CE6A6B" w:rsidRPr="00356952" w:rsidRDefault="00CE6A6B" w:rsidP="0071184A">
            <w:pPr>
              <w:pStyle w:val="Tabletext"/>
            </w:pPr>
            <w:r w:rsidRPr="00356952">
              <w:t>Subparagraph 6.61(4)(c)(</w:t>
            </w:r>
            <w:proofErr w:type="spellStart"/>
            <w:r w:rsidRPr="00356952">
              <w:t>i</w:t>
            </w:r>
            <w:proofErr w:type="spellEnd"/>
            <w:r w:rsidRPr="00356952">
              <w:t>)</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audits or CFI audits</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audits</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25</w:t>
            </w:r>
          </w:p>
        </w:tc>
        <w:tc>
          <w:tcPr>
            <w:tcW w:w="2258" w:type="dxa"/>
            <w:tcBorders>
              <w:bottom w:val="single" w:sz="4" w:space="0" w:color="auto"/>
            </w:tcBorders>
            <w:shd w:val="clear" w:color="auto" w:fill="auto"/>
          </w:tcPr>
          <w:p w:rsidR="00CE6A6B" w:rsidRPr="00356952" w:rsidRDefault="00CE6A6B" w:rsidP="00E47D7E">
            <w:pPr>
              <w:pStyle w:val="Tabletext"/>
            </w:pPr>
            <w:r w:rsidRPr="00356952">
              <w:t>Regulation</w:t>
            </w:r>
            <w:r w:rsidR="00356952" w:rsidRPr="00356952">
              <w:t> </w:t>
            </w:r>
            <w:r w:rsidRPr="00356952">
              <w:t>6.63</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 or a CFI audit</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396ACA">
            <w:pPr>
              <w:pStyle w:val="Tabletext"/>
            </w:pPr>
            <w:r w:rsidRPr="00356952">
              <w:t>26</w:t>
            </w:r>
          </w:p>
        </w:tc>
        <w:tc>
          <w:tcPr>
            <w:tcW w:w="2258" w:type="dxa"/>
            <w:tcBorders>
              <w:bottom w:val="single" w:sz="4" w:space="0" w:color="auto"/>
            </w:tcBorders>
            <w:shd w:val="clear" w:color="auto" w:fill="auto"/>
          </w:tcPr>
          <w:p w:rsidR="00CE6A6B" w:rsidRPr="00356952" w:rsidRDefault="00CE6A6B" w:rsidP="00396ACA">
            <w:pPr>
              <w:pStyle w:val="Tabletext"/>
            </w:pPr>
            <w:r w:rsidRPr="00356952">
              <w:t>Paragraph 6.68(3)(b)</w:t>
            </w:r>
          </w:p>
        </w:tc>
        <w:tc>
          <w:tcPr>
            <w:tcW w:w="2835" w:type="dxa"/>
            <w:tcBorders>
              <w:bottom w:val="single" w:sz="4" w:space="0" w:color="auto"/>
            </w:tcBorders>
            <w:shd w:val="clear" w:color="auto" w:fill="auto"/>
          </w:tcPr>
          <w:p w:rsidR="00CE6A6B" w:rsidRPr="00356952" w:rsidRDefault="00CE6A6B" w:rsidP="00396ACA">
            <w:pPr>
              <w:pStyle w:val="Tabletext"/>
            </w:pPr>
            <w:r w:rsidRPr="00356952">
              <w:t xml:space="preserve"> greenhouse and energy audit or CFI audit</w:t>
            </w:r>
          </w:p>
        </w:tc>
        <w:tc>
          <w:tcPr>
            <w:tcW w:w="1279" w:type="dxa"/>
            <w:tcBorders>
              <w:bottom w:val="single" w:sz="4" w:space="0" w:color="auto"/>
            </w:tcBorders>
            <w:shd w:val="clear" w:color="auto" w:fill="auto"/>
          </w:tcPr>
          <w:p w:rsidR="00CE6A6B" w:rsidRPr="00356952" w:rsidRDefault="00CE6A6B" w:rsidP="00396ACA">
            <w:pPr>
              <w:pStyle w:val="Tabletext"/>
            </w:pPr>
            <w:r w:rsidRPr="00356952">
              <w:t>Part</w:t>
            </w:r>
            <w:r w:rsidR="00356952" w:rsidRPr="00356952">
              <w:t> </w:t>
            </w:r>
            <w:r w:rsidRPr="00356952">
              <w:t>6 audit</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27</w:t>
            </w:r>
          </w:p>
        </w:tc>
        <w:tc>
          <w:tcPr>
            <w:tcW w:w="2258" w:type="dxa"/>
            <w:tcBorders>
              <w:bottom w:val="single" w:sz="4" w:space="0" w:color="auto"/>
            </w:tcBorders>
            <w:shd w:val="clear" w:color="auto" w:fill="auto"/>
          </w:tcPr>
          <w:p w:rsidR="00CE6A6B" w:rsidRPr="00356952" w:rsidRDefault="00CE6A6B" w:rsidP="00E47D7E">
            <w:pPr>
              <w:pStyle w:val="Tabletext"/>
            </w:pPr>
            <w:proofErr w:type="spellStart"/>
            <w:r w:rsidRPr="00356952">
              <w:t>Subregulation</w:t>
            </w:r>
            <w:proofErr w:type="spellEnd"/>
            <w:r w:rsidR="00356952" w:rsidRPr="00356952">
              <w:t> </w:t>
            </w:r>
            <w:r w:rsidRPr="00356952">
              <w:t>6.69(3)</w:t>
            </w:r>
          </w:p>
        </w:tc>
        <w:tc>
          <w:tcPr>
            <w:tcW w:w="2835" w:type="dxa"/>
            <w:tcBorders>
              <w:bottom w:val="single" w:sz="4" w:space="0" w:color="auto"/>
            </w:tcBorders>
            <w:shd w:val="clear" w:color="auto" w:fill="auto"/>
          </w:tcPr>
          <w:p w:rsidR="00CE6A6B" w:rsidRPr="00356952" w:rsidRDefault="00CE6A6B" w:rsidP="00E47D7E">
            <w:pPr>
              <w:pStyle w:val="Tabletext"/>
            </w:pPr>
            <w:r w:rsidRPr="00356952">
              <w:t>greenhouse and energy audits, CFI audits or</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audits and</w:t>
            </w:r>
          </w:p>
        </w:tc>
      </w:tr>
      <w:tr w:rsidR="00CE6A6B" w:rsidRPr="00356952" w:rsidTr="0023474A">
        <w:tc>
          <w:tcPr>
            <w:tcW w:w="714" w:type="dxa"/>
            <w:tcBorders>
              <w:bottom w:val="single" w:sz="4" w:space="0" w:color="auto"/>
            </w:tcBorders>
            <w:shd w:val="clear" w:color="auto" w:fill="auto"/>
          </w:tcPr>
          <w:p w:rsidR="00CE6A6B" w:rsidRPr="00356952" w:rsidRDefault="0023474A" w:rsidP="00E47D7E">
            <w:pPr>
              <w:pStyle w:val="Tabletext"/>
            </w:pPr>
            <w:r w:rsidRPr="00356952">
              <w:t>28</w:t>
            </w:r>
          </w:p>
        </w:tc>
        <w:tc>
          <w:tcPr>
            <w:tcW w:w="2258" w:type="dxa"/>
            <w:tcBorders>
              <w:bottom w:val="single" w:sz="4" w:space="0" w:color="auto"/>
            </w:tcBorders>
            <w:shd w:val="clear" w:color="auto" w:fill="auto"/>
          </w:tcPr>
          <w:p w:rsidR="00CE6A6B" w:rsidRPr="00356952" w:rsidRDefault="00CE6A6B" w:rsidP="00E47D7E">
            <w:pPr>
              <w:pStyle w:val="Tabletext"/>
            </w:pPr>
            <w:r w:rsidRPr="00356952">
              <w:t>Regulation</w:t>
            </w:r>
            <w:r w:rsidR="00356952" w:rsidRPr="00356952">
              <w:t> </w:t>
            </w:r>
            <w:r w:rsidRPr="00356952">
              <w:t>6.70</w:t>
            </w:r>
          </w:p>
        </w:tc>
        <w:tc>
          <w:tcPr>
            <w:tcW w:w="2835" w:type="dxa"/>
            <w:tcBorders>
              <w:bottom w:val="single" w:sz="4" w:space="0" w:color="auto"/>
            </w:tcBorders>
            <w:shd w:val="clear" w:color="auto" w:fill="auto"/>
          </w:tcPr>
          <w:p w:rsidR="00CE6A6B" w:rsidRPr="00356952" w:rsidRDefault="00CE6A6B" w:rsidP="00E47D7E">
            <w:pPr>
              <w:pStyle w:val="Tabletext"/>
            </w:pPr>
            <w:r w:rsidRPr="00356952">
              <w:t xml:space="preserve">greenhouse and energy audit or a CFI audit </w:t>
            </w:r>
          </w:p>
        </w:tc>
        <w:tc>
          <w:tcPr>
            <w:tcW w:w="1279" w:type="dxa"/>
            <w:tcBorders>
              <w:bottom w:val="single" w:sz="4"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r w:rsidR="00CE6A6B" w:rsidRPr="00356952" w:rsidTr="0023474A">
        <w:tc>
          <w:tcPr>
            <w:tcW w:w="714" w:type="dxa"/>
            <w:tcBorders>
              <w:bottom w:val="single" w:sz="12" w:space="0" w:color="auto"/>
            </w:tcBorders>
            <w:shd w:val="clear" w:color="auto" w:fill="auto"/>
          </w:tcPr>
          <w:p w:rsidR="00CE6A6B" w:rsidRPr="00356952" w:rsidRDefault="0023474A" w:rsidP="00E47D7E">
            <w:pPr>
              <w:pStyle w:val="Tabletext"/>
            </w:pPr>
            <w:r w:rsidRPr="00356952">
              <w:t>29</w:t>
            </w:r>
          </w:p>
        </w:tc>
        <w:tc>
          <w:tcPr>
            <w:tcW w:w="2258" w:type="dxa"/>
            <w:tcBorders>
              <w:bottom w:val="single" w:sz="12" w:space="0" w:color="auto"/>
            </w:tcBorders>
            <w:shd w:val="clear" w:color="auto" w:fill="auto"/>
          </w:tcPr>
          <w:p w:rsidR="00CE6A6B" w:rsidRPr="00356952" w:rsidRDefault="00CE6A6B" w:rsidP="00E47D7E">
            <w:pPr>
              <w:pStyle w:val="Tabletext"/>
            </w:pPr>
            <w:r w:rsidRPr="00356952">
              <w:t>Paragraph 6.71(2)(c)</w:t>
            </w:r>
          </w:p>
        </w:tc>
        <w:tc>
          <w:tcPr>
            <w:tcW w:w="2835" w:type="dxa"/>
            <w:tcBorders>
              <w:bottom w:val="single" w:sz="12" w:space="0" w:color="auto"/>
            </w:tcBorders>
            <w:shd w:val="clear" w:color="auto" w:fill="auto"/>
          </w:tcPr>
          <w:p w:rsidR="00CE6A6B" w:rsidRPr="00356952" w:rsidRDefault="00CE6A6B" w:rsidP="00E47D7E">
            <w:pPr>
              <w:pStyle w:val="Tabletext"/>
            </w:pPr>
            <w:r w:rsidRPr="00356952">
              <w:t>greenhouse and energy audit or the CFI audit</w:t>
            </w:r>
          </w:p>
        </w:tc>
        <w:tc>
          <w:tcPr>
            <w:tcW w:w="1279" w:type="dxa"/>
            <w:tcBorders>
              <w:bottom w:val="single" w:sz="12" w:space="0" w:color="auto"/>
            </w:tcBorders>
            <w:shd w:val="clear" w:color="auto" w:fill="auto"/>
          </w:tcPr>
          <w:p w:rsidR="00CE6A6B" w:rsidRPr="00356952" w:rsidRDefault="00CE6A6B" w:rsidP="00E47D7E">
            <w:pPr>
              <w:pStyle w:val="Tabletext"/>
            </w:pPr>
            <w:r w:rsidRPr="00356952">
              <w:t>Part</w:t>
            </w:r>
            <w:r w:rsidR="00356952" w:rsidRPr="00356952">
              <w:t> </w:t>
            </w:r>
            <w:r w:rsidRPr="00356952">
              <w:t>6 audit</w:t>
            </w:r>
          </w:p>
        </w:tc>
      </w:tr>
    </w:tbl>
    <w:p w:rsidR="001B46D0" w:rsidRPr="00356952" w:rsidRDefault="001B46D0" w:rsidP="0071184A">
      <w:pPr>
        <w:pStyle w:val="Tabletext"/>
      </w:pPr>
    </w:p>
    <w:p w:rsidR="00CE0EC0" w:rsidRPr="00356952" w:rsidRDefault="00CE0EC0" w:rsidP="00CE0EC0">
      <w:pPr>
        <w:pStyle w:val="ActHead6"/>
        <w:pageBreakBefore/>
      </w:pPr>
      <w:bookmarkStart w:id="15" w:name="_Toc430176462"/>
      <w:bookmarkStart w:id="16" w:name="opcCurrentFind"/>
      <w:r w:rsidRPr="00356952">
        <w:rPr>
          <w:rStyle w:val="CharAmSchNo"/>
        </w:rPr>
        <w:t>Schedule</w:t>
      </w:r>
      <w:r w:rsidR="00356952" w:rsidRPr="00356952">
        <w:rPr>
          <w:rStyle w:val="CharAmSchNo"/>
        </w:rPr>
        <w:t> </w:t>
      </w:r>
      <w:r w:rsidRPr="00356952">
        <w:rPr>
          <w:rStyle w:val="CharAmSchNo"/>
        </w:rPr>
        <w:t>2</w:t>
      </w:r>
      <w:r w:rsidRPr="00356952">
        <w:t>—</w:t>
      </w:r>
      <w:r w:rsidRPr="00356952">
        <w:rPr>
          <w:rStyle w:val="CharAmSchText"/>
        </w:rPr>
        <w:t>Amendments commencing 1</w:t>
      </w:r>
      <w:r w:rsidR="00356952" w:rsidRPr="00356952">
        <w:rPr>
          <w:rStyle w:val="CharAmSchText"/>
        </w:rPr>
        <w:t> </w:t>
      </w:r>
      <w:r w:rsidRPr="00356952">
        <w:rPr>
          <w:rStyle w:val="CharAmSchText"/>
        </w:rPr>
        <w:t>July 2016</w:t>
      </w:r>
      <w:bookmarkEnd w:id="15"/>
    </w:p>
    <w:bookmarkEnd w:id="16"/>
    <w:p w:rsidR="00A92A56" w:rsidRPr="00356952" w:rsidRDefault="00A92A56" w:rsidP="00A92A56">
      <w:pPr>
        <w:pStyle w:val="Header"/>
      </w:pPr>
      <w:r w:rsidRPr="00356952">
        <w:rPr>
          <w:rStyle w:val="CharAmPartNo"/>
        </w:rPr>
        <w:t xml:space="preserve"> </w:t>
      </w:r>
      <w:r w:rsidRPr="00356952">
        <w:rPr>
          <w:rStyle w:val="CharAmPartText"/>
        </w:rPr>
        <w:t xml:space="preserve"> </w:t>
      </w:r>
    </w:p>
    <w:p w:rsidR="00334427" w:rsidRPr="00356952" w:rsidRDefault="00334427" w:rsidP="00334427">
      <w:pPr>
        <w:pStyle w:val="ActHead9"/>
      </w:pPr>
      <w:bookmarkStart w:id="17" w:name="_Toc430176463"/>
      <w:r w:rsidRPr="00356952">
        <w:t>National Greenhouse and Energy Reporting Regulations</w:t>
      </w:r>
      <w:r w:rsidR="00356952" w:rsidRPr="00356952">
        <w:t> </w:t>
      </w:r>
      <w:r w:rsidRPr="00356952">
        <w:t>2008</w:t>
      </w:r>
      <w:bookmarkEnd w:id="17"/>
    </w:p>
    <w:p w:rsidR="00FB0FDD" w:rsidRPr="00356952" w:rsidRDefault="00577CCB" w:rsidP="00FB0FDD">
      <w:pPr>
        <w:pStyle w:val="ItemHead"/>
        <w:tabs>
          <w:tab w:val="left" w:pos="6663"/>
        </w:tabs>
      </w:pPr>
      <w:r w:rsidRPr="00356952">
        <w:t>1</w:t>
      </w:r>
      <w:r w:rsidR="00FB0FDD" w:rsidRPr="00356952">
        <w:t xml:space="preserve">  Regulation</w:t>
      </w:r>
      <w:r w:rsidR="00356952" w:rsidRPr="00356952">
        <w:t> </w:t>
      </w:r>
      <w:r w:rsidR="00FB0FDD" w:rsidRPr="00356952">
        <w:t xml:space="preserve">1.03 (at the end of the definition of </w:t>
      </w:r>
      <w:r w:rsidR="00FB0FDD" w:rsidRPr="00356952">
        <w:rPr>
          <w:i/>
        </w:rPr>
        <w:t>alternative audit</w:t>
      </w:r>
      <w:r w:rsidR="00FB0FDD" w:rsidRPr="00356952">
        <w:t>)</w:t>
      </w:r>
    </w:p>
    <w:p w:rsidR="00FB0FDD" w:rsidRPr="00356952" w:rsidRDefault="00FB0FDD" w:rsidP="00FB0FDD">
      <w:pPr>
        <w:pStyle w:val="Item"/>
      </w:pPr>
      <w:r w:rsidRPr="00356952">
        <w:t>Add:</w:t>
      </w:r>
    </w:p>
    <w:p w:rsidR="00FB0FDD" w:rsidRPr="00356952" w:rsidRDefault="00FB0FDD" w:rsidP="00FB0FDD">
      <w:pPr>
        <w:pStyle w:val="paragraph"/>
      </w:pPr>
      <w:r w:rsidRPr="00356952">
        <w:rPr>
          <w:b/>
          <w:i/>
        </w:rPr>
        <w:tab/>
      </w:r>
      <w:r w:rsidRPr="00356952">
        <w:t>; (c)</w:t>
      </w:r>
      <w:r w:rsidRPr="00356952">
        <w:tab/>
      </w:r>
      <w:r w:rsidR="004462E5" w:rsidRPr="00356952">
        <w:t xml:space="preserve">a </w:t>
      </w:r>
      <w:r w:rsidRPr="00356952">
        <w:t>safeguard audit.</w:t>
      </w:r>
    </w:p>
    <w:p w:rsidR="00824E86" w:rsidRPr="00356952" w:rsidRDefault="00577CCB" w:rsidP="00FB0FDD">
      <w:pPr>
        <w:pStyle w:val="ItemHead"/>
      </w:pPr>
      <w:r w:rsidRPr="00356952">
        <w:t>2</w:t>
      </w:r>
      <w:r w:rsidR="00824E86" w:rsidRPr="00356952">
        <w:t xml:space="preserve">  Regulation</w:t>
      </w:r>
      <w:r w:rsidR="00356952" w:rsidRPr="00356952">
        <w:t> </w:t>
      </w:r>
      <w:r w:rsidR="00824E86" w:rsidRPr="00356952">
        <w:t>1.03 (</w:t>
      </w:r>
      <w:r w:rsidR="00356952" w:rsidRPr="00356952">
        <w:t>paragraph (</w:t>
      </w:r>
      <w:r w:rsidR="00824E86" w:rsidRPr="00356952">
        <w:t xml:space="preserve">a) of the definition of </w:t>
      </w:r>
      <w:r w:rsidR="00824E86" w:rsidRPr="00356952">
        <w:rPr>
          <w:i/>
        </w:rPr>
        <w:t>audit team leader</w:t>
      </w:r>
      <w:r w:rsidR="00824E86" w:rsidRPr="00356952">
        <w:t>)</w:t>
      </w:r>
    </w:p>
    <w:p w:rsidR="00824E86" w:rsidRPr="00356952" w:rsidRDefault="00824E86" w:rsidP="00824E86">
      <w:pPr>
        <w:pStyle w:val="Item"/>
      </w:pPr>
      <w:r w:rsidRPr="00356952">
        <w:t>After “audit”, insert “or a safeguard audit”.</w:t>
      </w:r>
    </w:p>
    <w:p w:rsidR="00DC5AE4" w:rsidRPr="00356952" w:rsidRDefault="00577CCB" w:rsidP="00DC5AE4">
      <w:pPr>
        <w:pStyle w:val="ItemHead"/>
      </w:pPr>
      <w:r w:rsidRPr="00356952">
        <w:t>3</w:t>
      </w:r>
      <w:r w:rsidR="00581492" w:rsidRPr="00356952">
        <w:t xml:space="preserve">  Regulation</w:t>
      </w:r>
      <w:r w:rsidR="00356952" w:rsidRPr="00356952">
        <w:t> </w:t>
      </w:r>
      <w:r w:rsidR="00581492" w:rsidRPr="00356952">
        <w:t>1.03</w:t>
      </w:r>
    </w:p>
    <w:p w:rsidR="00581492" w:rsidRPr="00356952" w:rsidRDefault="00581492" w:rsidP="00581492">
      <w:pPr>
        <w:pStyle w:val="Item"/>
      </w:pPr>
      <w:r w:rsidRPr="00356952">
        <w:t>Insert:</w:t>
      </w:r>
    </w:p>
    <w:p w:rsidR="00581492" w:rsidRPr="00356952" w:rsidRDefault="00581492" w:rsidP="00581492">
      <w:pPr>
        <w:pStyle w:val="Definition"/>
      </w:pPr>
      <w:r w:rsidRPr="00356952">
        <w:rPr>
          <w:b/>
          <w:i/>
        </w:rPr>
        <w:t>grid</w:t>
      </w:r>
      <w:r w:rsidR="00356952">
        <w:rPr>
          <w:b/>
          <w:i/>
        </w:rPr>
        <w:noBreakHyphen/>
      </w:r>
      <w:r w:rsidRPr="00356952">
        <w:rPr>
          <w:b/>
          <w:i/>
        </w:rPr>
        <w:t>connected electricity generator</w:t>
      </w:r>
      <w:r w:rsidRPr="00356952">
        <w:t xml:space="preserve"> has the same meaning as in the </w:t>
      </w:r>
      <w:r w:rsidRPr="00356952">
        <w:rPr>
          <w:i/>
        </w:rPr>
        <w:t>National Greenhouse and Energy Reporting (Safeguard Mechanism) Rule</w:t>
      </w:r>
      <w:r w:rsidR="00356952" w:rsidRPr="00356952">
        <w:rPr>
          <w:i/>
        </w:rPr>
        <w:t> </w:t>
      </w:r>
      <w:r w:rsidRPr="00356952">
        <w:rPr>
          <w:i/>
        </w:rPr>
        <w:t>2015</w:t>
      </w:r>
      <w:r w:rsidRPr="00356952">
        <w:t>.</w:t>
      </w:r>
    </w:p>
    <w:p w:rsidR="00D37EF7" w:rsidRPr="00356952" w:rsidRDefault="00577CCB" w:rsidP="00D37EF7">
      <w:pPr>
        <w:pStyle w:val="ItemHead"/>
      </w:pPr>
      <w:r w:rsidRPr="00356952">
        <w:t>4</w:t>
      </w:r>
      <w:r w:rsidR="00D37EF7" w:rsidRPr="00356952">
        <w:t xml:space="preserve">  Regulation</w:t>
      </w:r>
      <w:r w:rsidR="00356952" w:rsidRPr="00356952">
        <w:t> </w:t>
      </w:r>
      <w:r w:rsidR="00D37EF7" w:rsidRPr="00356952">
        <w:t xml:space="preserve">1.03 (definition of </w:t>
      </w:r>
      <w:r w:rsidR="00D37EF7" w:rsidRPr="00356952">
        <w:rPr>
          <w:i/>
        </w:rPr>
        <w:t>identifying information</w:t>
      </w:r>
      <w:r w:rsidR="00D37EF7" w:rsidRPr="00356952">
        <w:t>)</w:t>
      </w:r>
    </w:p>
    <w:p w:rsidR="00D37EF7" w:rsidRPr="00356952" w:rsidRDefault="0000306B" w:rsidP="00D37EF7">
      <w:pPr>
        <w:pStyle w:val="Item"/>
      </w:pPr>
      <w:r w:rsidRPr="00356952">
        <w:t>Repeal the definition, substitute:</w:t>
      </w:r>
    </w:p>
    <w:p w:rsidR="0000306B" w:rsidRPr="00356952" w:rsidRDefault="0000306B" w:rsidP="0000306B">
      <w:pPr>
        <w:pStyle w:val="Definition"/>
      </w:pPr>
      <w:r w:rsidRPr="00356952">
        <w:rPr>
          <w:b/>
          <w:i/>
        </w:rPr>
        <w:t>identifying information</w:t>
      </w:r>
      <w:r w:rsidRPr="00356952">
        <w:t>, for a person, means the following information:</w:t>
      </w:r>
    </w:p>
    <w:p w:rsidR="0000306B" w:rsidRPr="00356952" w:rsidRDefault="0000306B" w:rsidP="0000306B">
      <w:pPr>
        <w:pStyle w:val="paragraph"/>
      </w:pPr>
      <w:r w:rsidRPr="00356952">
        <w:tab/>
        <w:t>(a)</w:t>
      </w:r>
      <w:r w:rsidRPr="00356952">
        <w:tab/>
        <w:t>the person’s name and trading name (if any);</w:t>
      </w:r>
    </w:p>
    <w:p w:rsidR="0000306B" w:rsidRPr="00356952" w:rsidRDefault="0000306B" w:rsidP="0000306B">
      <w:pPr>
        <w:pStyle w:val="paragraph"/>
      </w:pPr>
      <w:r w:rsidRPr="00356952">
        <w:tab/>
        <w:t>(b)</w:t>
      </w:r>
      <w:r w:rsidRPr="00356952">
        <w:tab/>
        <w:t>the person’s identifying details (if any);</w:t>
      </w:r>
    </w:p>
    <w:p w:rsidR="0000306B" w:rsidRPr="00356952" w:rsidRDefault="0000306B" w:rsidP="0000306B">
      <w:pPr>
        <w:pStyle w:val="paragraph"/>
      </w:pPr>
      <w:r w:rsidRPr="00356952">
        <w:tab/>
        <w:t>(c)</w:t>
      </w:r>
      <w:r w:rsidRPr="00356952">
        <w:tab/>
        <w:t>a statement about whether the person is an individual, a body corporate, a trust, a corporation sole, a body politic or a local governing body;</w:t>
      </w:r>
    </w:p>
    <w:p w:rsidR="0000306B" w:rsidRPr="00356952" w:rsidRDefault="0000306B" w:rsidP="0000306B">
      <w:pPr>
        <w:pStyle w:val="paragraph"/>
      </w:pPr>
      <w:r w:rsidRPr="00356952">
        <w:tab/>
        <w:t>(d)</w:t>
      </w:r>
      <w:r w:rsidRPr="00356952">
        <w:tab/>
        <w:t>if the person is an individual—the following:</w:t>
      </w:r>
    </w:p>
    <w:p w:rsidR="0000306B" w:rsidRPr="00356952" w:rsidRDefault="0000306B" w:rsidP="0000306B">
      <w:pPr>
        <w:pStyle w:val="paragraphsub"/>
      </w:pPr>
      <w:r w:rsidRPr="00356952">
        <w:tab/>
        <w:t>(</w:t>
      </w:r>
      <w:proofErr w:type="spellStart"/>
      <w:r w:rsidRPr="00356952">
        <w:t>i</w:t>
      </w:r>
      <w:proofErr w:type="spellEnd"/>
      <w:r w:rsidRPr="00356952">
        <w:t>)</w:t>
      </w:r>
      <w:r w:rsidRPr="00356952">
        <w:tab/>
        <w:t>the person’s telephone number, email address and residential address;</w:t>
      </w:r>
    </w:p>
    <w:p w:rsidR="0000306B" w:rsidRPr="00356952" w:rsidRDefault="0000306B" w:rsidP="0000306B">
      <w:pPr>
        <w:pStyle w:val="paragraphsub"/>
      </w:pPr>
      <w:r w:rsidRPr="00356952">
        <w:tab/>
        <w:t>(ii)</w:t>
      </w:r>
      <w:r w:rsidRPr="00356952">
        <w:tab/>
        <w:t>if the person’s postal address is different from the person’s residential address—the person’s postal address;</w:t>
      </w:r>
    </w:p>
    <w:p w:rsidR="0000306B" w:rsidRPr="00356952" w:rsidRDefault="0000306B" w:rsidP="0000306B">
      <w:pPr>
        <w:pStyle w:val="paragraph"/>
      </w:pPr>
      <w:r w:rsidRPr="00356952">
        <w:tab/>
        <w:t>(e)</w:t>
      </w:r>
      <w:r w:rsidRPr="00356952">
        <w:tab/>
        <w:t>if the person is not an individual—the following:</w:t>
      </w:r>
    </w:p>
    <w:p w:rsidR="0000306B" w:rsidRPr="00356952" w:rsidRDefault="0000306B" w:rsidP="0000306B">
      <w:pPr>
        <w:pStyle w:val="paragraphsub"/>
      </w:pPr>
      <w:r w:rsidRPr="00356952">
        <w:tab/>
        <w:t>(</w:t>
      </w:r>
      <w:proofErr w:type="spellStart"/>
      <w:r w:rsidRPr="00356952">
        <w:t>i</w:t>
      </w:r>
      <w:proofErr w:type="spellEnd"/>
      <w:r w:rsidRPr="00356952">
        <w:t>)</w:t>
      </w:r>
      <w:r w:rsidRPr="00356952">
        <w:tab/>
        <w:t>the postal address of the head office of the person;</w:t>
      </w:r>
    </w:p>
    <w:p w:rsidR="0000306B" w:rsidRPr="00356952" w:rsidRDefault="0000306B" w:rsidP="0000306B">
      <w:pPr>
        <w:pStyle w:val="paragraphsub"/>
      </w:pPr>
      <w:r w:rsidRPr="00356952">
        <w:tab/>
        <w:t>(ii)</w:t>
      </w:r>
      <w:r w:rsidRPr="00356952">
        <w:tab/>
        <w:t>the name, position, telephone number, email address and postal address of a contact person for the person;</w:t>
      </w:r>
    </w:p>
    <w:p w:rsidR="008E67CD" w:rsidRPr="00356952" w:rsidRDefault="008E67CD" w:rsidP="0000306B">
      <w:pPr>
        <w:pStyle w:val="paragraphsub"/>
      </w:pPr>
      <w:r w:rsidRPr="00356952">
        <w:tab/>
        <w:t>(iii)</w:t>
      </w:r>
      <w:r w:rsidRPr="00356952">
        <w:tab/>
        <w:t>a street address for the person;</w:t>
      </w:r>
    </w:p>
    <w:p w:rsidR="0000306B" w:rsidRPr="00356952" w:rsidRDefault="0000306B" w:rsidP="0000306B">
      <w:pPr>
        <w:pStyle w:val="paragraph"/>
      </w:pPr>
      <w:r w:rsidRPr="00356952">
        <w:tab/>
        <w:t>(f)</w:t>
      </w:r>
      <w:r w:rsidRPr="00356952">
        <w:tab/>
        <w:t>if the person is a body corporate that is not a foreign person—details of at least one executive officer (or equivalent) of the body corporate, including the officer’s name, telephone number, email address and postal address;</w:t>
      </w:r>
    </w:p>
    <w:p w:rsidR="0000306B" w:rsidRPr="00356952" w:rsidRDefault="0000306B" w:rsidP="0000306B">
      <w:pPr>
        <w:pStyle w:val="paragraph"/>
      </w:pPr>
      <w:r w:rsidRPr="00356952">
        <w:tab/>
        <w:t>(g)</w:t>
      </w:r>
      <w:r w:rsidRPr="00356952">
        <w:tab/>
        <w:t xml:space="preserve">if the person is a body corporate that is a foreign person—the details mentioned in </w:t>
      </w:r>
      <w:r w:rsidR="00356952" w:rsidRPr="00356952">
        <w:t>paragraph (</w:t>
      </w:r>
      <w:r w:rsidRPr="00356952">
        <w:t>f) for the body corporate and the name of any Australian agent through which the person conducts business;</w:t>
      </w:r>
    </w:p>
    <w:p w:rsidR="0000306B" w:rsidRPr="00356952" w:rsidRDefault="0000306B" w:rsidP="0000306B">
      <w:pPr>
        <w:pStyle w:val="paragraph"/>
      </w:pPr>
      <w:r w:rsidRPr="00356952">
        <w:tab/>
        <w:t>(h)</w:t>
      </w:r>
      <w:r w:rsidRPr="00356952">
        <w:tab/>
        <w:t>if the person is a trust—the name, telephone number, email address and postal address of each trustee;</w:t>
      </w:r>
    </w:p>
    <w:p w:rsidR="0000306B" w:rsidRPr="00356952" w:rsidRDefault="0000306B" w:rsidP="0000306B">
      <w:pPr>
        <w:pStyle w:val="paragraph"/>
      </w:pPr>
      <w:r w:rsidRPr="00356952">
        <w:tab/>
        <w:t>(</w:t>
      </w:r>
      <w:proofErr w:type="spellStart"/>
      <w:r w:rsidRPr="00356952">
        <w:t>i</w:t>
      </w:r>
      <w:proofErr w:type="spellEnd"/>
      <w:r w:rsidRPr="00356952">
        <w:t>)</w:t>
      </w:r>
      <w:r w:rsidRPr="00356952">
        <w:tab/>
        <w:t>if the person is a corporation sole—the name and address of the individual who makes up the corporation sole;</w:t>
      </w:r>
    </w:p>
    <w:p w:rsidR="0000306B" w:rsidRPr="00356952" w:rsidRDefault="0000306B" w:rsidP="0000306B">
      <w:pPr>
        <w:pStyle w:val="paragraph"/>
      </w:pPr>
      <w:r w:rsidRPr="00356952">
        <w:tab/>
        <w:t>(j)</w:t>
      </w:r>
      <w:r w:rsidRPr="00356952">
        <w:tab/>
        <w:t>if the person is a body politic or local governing body—the name, telephone number, email address and postal address of at least one officeholder of the body politic or local governing body;</w:t>
      </w:r>
    </w:p>
    <w:p w:rsidR="0000306B" w:rsidRPr="00356952" w:rsidRDefault="0000306B" w:rsidP="0000306B">
      <w:pPr>
        <w:pStyle w:val="paragraph"/>
      </w:pPr>
      <w:r w:rsidRPr="00356952">
        <w:tab/>
        <w:t>(k)</w:t>
      </w:r>
      <w:r w:rsidRPr="00356952">
        <w:tab/>
        <w:t>if the person is a body established under a law of the Commonwealth, a State or a Territory (other than a general law allowing incorporation as a company or body corporate)—the following:</w:t>
      </w:r>
    </w:p>
    <w:p w:rsidR="0000306B" w:rsidRPr="00356952" w:rsidRDefault="0000306B" w:rsidP="0000306B">
      <w:pPr>
        <w:pStyle w:val="paragraphsub"/>
      </w:pPr>
      <w:r w:rsidRPr="00356952">
        <w:t xml:space="preserve"> </w:t>
      </w:r>
      <w:r w:rsidRPr="00356952">
        <w:tab/>
        <w:t>(</w:t>
      </w:r>
      <w:proofErr w:type="spellStart"/>
      <w:r w:rsidRPr="00356952">
        <w:t>i</w:t>
      </w:r>
      <w:proofErr w:type="spellEnd"/>
      <w:r w:rsidRPr="00356952">
        <w:t>)</w:t>
      </w:r>
      <w:r w:rsidRPr="00356952">
        <w:tab/>
        <w:t>the name of the legislation establishing the body;</w:t>
      </w:r>
    </w:p>
    <w:p w:rsidR="0000306B" w:rsidRPr="00356952" w:rsidRDefault="0000306B" w:rsidP="0000306B">
      <w:pPr>
        <w:pStyle w:val="paragraphsub"/>
      </w:pPr>
      <w:r w:rsidRPr="00356952">
        <w:tab/>
        <w:t>(ii)</w:t>
      </w:r>
      <w:r w:rsidRPr="00356952">
        <w:tab/>
        <w:t>the date the body was established;</w:t>
      </w:r>
    </w:p>
    <w:p w:rsidR="0000306B" w:rsidRPr="00356952" w:rsidRDefault="0000306B" w:rsidP="0000306B">
      <w:pPr>
        <w:pStyle w:val="paragraphsub"/>
      </w:pPr>
      <w:r w:rsidRPr="00356952">
        <w:tab/>
        <w:t>(iii)</w:t>
      </w:r>
      <w:r w:rsidRPr="00356952">
        <w:tab/>
        <w:t>whether the body is a Commonwealth, State or Territory body.</w:t>
      </w:r>
    </w:p>
    <w:p w:rsidR="005F355D" w:rsidRPr="00356952" w:rsidRDefault="00577CCB" w:rsidP="00FB0FDD">
      <w:pPr>
        <w:pStyle w:val="ItemHead"/>
      </w:pPr>
      <w:r w:rsidRPr="00356952">
        <w:t>5</w:t>
      </w:r>
      <w:r w:rsidR="005F355D" w:rsidRPr="00356952">
        <w:t xml:space="preserve">  Regulation</w:t>
      </w:r>
      <w:r w:rsidR="00356952" w:rsidRPr="00356952">
        <w:t> </w:t>
      </w:r>
      <w:r w:rsidR="005F355D" w:rsidRPr="00356952">
        <w:t>1.03</w:t>
      </w:r>
    </w:p>
    <w:p w:rsidR="005F355D" w:rsidRPr="00356952" w:rsidRDefault="005F355D" w:rsidP="005F355D">
      <w:pPr>
        <w:pStyle w:val="Item"/>
      </w:pPr>
      <w:r w:rsidRPr="00356952">
        <w:t>Insert:</w:t>
      </w:r>
    </w:p>
    <w:p w:rsidR="005F355D" w:rsidRPr="00356952" w:rsidRDefault="005F355D" w:rsidP="005F355D">
      <w:pPr>
        <w:pStyle w:val="Definition"/>
      </w:pPr>
      <w:r w:rsidRPr="00356952">
        <w:rPr>
          <w:b/>
          <w:i/>
        </w:rPr>
        <w:t xml:space="preserve">legacy emissions </w:t>
      </w:r>
      <w:r w:rsidRPr="00356952">
        <w:t xml:space="preserve">has the </w:t>
      </w:r>
      <w:r w:rsidR="00D55799" w:rsidRPr="00356952">
        <w:t xml:space="preserve">same meaning as in </w:t>
      </w:r>
      <w:r w:rsidRPr="00356952">
        <w:t xml:space="preserve">the </w:t>
      </w:r>
      <w:r w:rsidRPr="00356952">
        <w:rPr>
          <w:i/>
        </w:rPr>
        <w:t>National Greenhouse and Energy Reporting (Safeguard Mechanism) Rule</w:t>
      </w:r>
      <w:r w:rsidR="00356952" w:rsidRPr="00356952">
        <w:rPr>
          <w:i/>
        </w:rPr>
        <w:t> </w:t>
      </w:r>
      <w:r w:rsidRPr="00356952">
        <w:rPr>
          <w:i/>
        </w:rPr>
        <w:t>2015</w:t>
      </w:r>
      <w:r w:rsidR="00D55799" w:rsidRPr="00356952">
        <w:t>.</w:t>
      </w:r>
    </w:p>
    <w:p w:rsidR="00FB0FDD" w:rsidRPr="00356952" w:rsidRDefault="00577CCB" w:rsidP="00FB0FDD">
      <w:pPr>
        <w:pStyle w:val="ItemHead"/>
      </w:pPr>
      <w:r w:rsidRPr="00356952">
        <w:t>6</w:t>
      </w:r>
      <w:r w:rsidR="00FB0FDD" w:rsidRPr="00356952">
        <w:t xml:space="preserve">  Regulation</w:t>
      </w:r>
      <w:r w:rsidR="00356952" w:rsidRPr="00356952">
        <w:t> </w:t>
      </w:r>
      <w:r w:rsidR="00FB0FDD" w:rsidRPr="00356952">
        <w:t>1.03 (</w:t>
      </w:r>
      <w:r w:rsidR="004462E5" w:rsidRPr="00356952">
        <w:t xml:space="preserve">at the end of the definition of </w:t>
      </w:r>
      <w:r w:rsidR="004462E5" w:rsidRPr="00356952">
        <w:rPr>
          <w:i/>
        </w:rPr>
        <w:t>Part</w:t>
      </w:r>
      <w:r w:rsidR="00356952" w:rsidRPr="00356952">
        <w:rPr>
          <w:i/>
        </w:rPr>
        <w:t> </w:t>
      </w:r>
      <w:r w:rsidR="004462E5" w:rsidRPr="00356952">
        <w:rPr>
          <w:i/>
        </w:rPr>
        <w:t>6 audit</w:t>
      </w:r>
      <w:r w:rsidR="004462E5" w:rsidRPr="00356952">
        <w:t>)</w:t>
      </w:r>
    </w:p>
    <w:p w:rsidR="00FB0FDD" w:rsidRPr="00356952" w:rsidRDefault="004462E5" w:rsidP="00FB0FDD">
      <w:pPr>
        <w:pStyle w:val="Item"/>
      </w:pPr>
      <w:r w:rsidRPr="00356952">
        <w:t>Add</w:t>
      </w:r>
      <w:r w:rsidR="00FB0FDD" w:rsidRPr="00356952">
        <w:t>:</w:t>
      </w:r>
    </w:p>
    <w:p w:rsidR="004462E5" w:rsidRPr="00356952" w:rsidRDefault="004462E5" w:rsidP="004462E5">
      <w:pPr>
        <w:pStyle w:val="paragraph"/>
      </w:pPr>
      <w:r w:rsidRPr="00356952">
        <w:tab/>
        <w:t>; (</w:t>
      </w:r>
      <w:r w:rsidR="00505979" w:rsidRPr="00356952">
        <w:t>c</w:t>
      </w:r>
      <w:r w:rsidRPr="00356952">
        <w:t>)</w:t>
      </w:r>
      <w:r w:rsidRPr="00356952">
        <w:tab/>
        <w:t>a safeguard audit.</w:t>
      </w:r>
    </w:p>
    <w:p w:rsidR="00AE72E9" w:rsidRPr="00356952" w:rsidRDefault="00577CCB" w:rsidP="00AE72E9">
      <w:pPr>
        <w:pStyle w:val="ItemHead"/>
      </w:pPr>
      <w:r w:rsidRPr="00356952">
        <w:t>7</w:t>
      </w:r>
      <w:r w:rsidR="00AE72E9" w:rsidRPr="00356952">
        <w:t xml:space="preserve">  Regulation</w:t>
      </w:r>
      <w:r w:rsidR="00356952" w:rsidRPr="00356952">
        <w:t> </w:t>
      </w:r>
      <w:r w:rsidR="00AE72E9" w:rsidRPr="00356952">
        <w:t xml:space="preserve">1.03 (definition of </w:t>
      </w:r>
      <w:r w:rsidR="00AE72E9" w:rsidRPr="00356952">
        <w:rPr>
          <w:i/>
        </w:rPr>
        <w:t>reporting year</w:t>
      </w:r>
      <w:r w:rsidR="00AE72E9" w:rsidRPr="00356952">
        <w:t>)</w:t>
      </w:r>
    </w:p>
    <w:p w:rsidR="00AE72E9" w:rsidRPr="00356952" w:rsidRDefault="00AE72E9" w:rsidP="00AE72E9">
      <w:pPr>
        <w:pStyle w:val="Item"/>
      </w:pPr>
      <w:r w:rsidRPr="00356952">
        <w:t>Omit “corporation must provide a report under Part</w:t>
      </w:r>
      <w:r w:rsidR="00356952" w:rsidRPr="00356952">
        <w:t> </w:t>
      </w:r>
      <w:r w:rsidRPr="00356952">
        <w:t>3, 3E or 3F”, substitute “person must provide a report under Part</w:t>
      </w:r>
      <w:r w:rsidR="00356952" w:rsidRPr="00356952">
        <w:t> </w:t>
      </w:r>
      <w:r w:rsidRPr="00356952">
        <w:t>3, 3E, 3F or 3G”.</w:t>
      </w:r>
    </w:p>
    <w:p w:rsidR="00AE72E9" w:rsidRPr="00356952" w:rsidRDefault="00577CCB" w:rsidP="001B46D0">
      <w:pPr>
        <w:pStyle w:val="ItemHead"/>
      </w:pPr>
      <w:r w:rsidRPr="00356952">
        <w:t>8</w:t>
      </w:r>
      <w:r w:rsidR="00AE72E9" w:rsidRPr="00356952">
        <w:t xml:space="preserve">  Regulation</w:t>
      </w:r>
      <w:r w:rsidR="00356952" w:rsidRPr="00356952">
        <w:t> </w:t>
      </w:r>
      <w:r w:rsidR="00AE72E9" w:rsidRPr="00356952">
        <w:t>1.03 (</w:t>
      </w:r>
      <w:r w:rsidR="00356952" w:rsidRPr="00356952">
        <w:t>paragraph (</w:t>
      </w:r>
      <w:r w:rsidR="00AE72E9" w:rsidRPr="00356952">
        <w:t>d) of the note)</w:t>
      </w:r>
    </w:p>
    <w:p w:rsidR="00AE72E9" w:rsidRPr="00356952" w:rsidRDefault="00AE72E9" w:rsidP="00AE72E9">
      <w:pPr>
        <w:pStyle w:val="Item"/>
      </w:pPr>
      <w:r w:rsidRPr="00356952">
        <w:t>Repeal the paragraph, substitute:</w:t>
      </w:r>
    </w:p>
    <w:p w:rsidR="007C7CC7" w:rsidRPr="00356952" w:rsidRDefault="00AE72E9" w:rsidP="00AE72E9">
      <w:pPr>
        <w:pStyle w:val="notepara"/>
      </w:pPr>
      <w:r w:rsidRPr="00356952">
        <w:t>(d)</w:t>
      </w:r>
      <w:r w:rsidRPr="00356952">
        <w:tab/>
        <w:t>foreign person;</w:t>
      </w:r>
    </w:p>
    <w:p w:rsidR="007C7CC7" w:rsidRPr="00356952" w:rsidRDefault="00577CCB" w:rsidP="001B46D0">
      <w:pPr>
        <w:pStyle w:val="ItemHead"/>
      </w:pPr>
      <w:r w:rsidRPr="00356952">
        <w:t>9</w:t>
      </w:r>
      <w:r w:rsidR="007C7CC7" w:rsidRPr="00356952">
        <w:t xml:space="preserve">  Regulation</w:t>
      </w:r>
      <w:r w:rsidR="00356952" w:rsidRPr="00356952">
        <w:t> </w:t>
      </w:r>
      <w:r w:rsidR="007C7CC7" w:rsidRPr="00356952">
        <w:t xml:space="preserve">1.03 (after </w:t>
      </w:r>
      <w:r w:rsidR="00356952" w:rsidRPr="00356952">
        <w:t>paragraph (</w:t>
      </w:r>
      <w:r w:rsidR="007C7CC7" w:rsidRPr="00356952">
        <w:t>j) of the note)</w:t>
      </w:r>
    </w:p>
    <w:p w:rsidR="007C7CC7" w:rsidRPr="00356952" w:rsidRDefault="007C7CC7" w:rsidP="007C7CC7">
      <w:pPr>
        <w:pStyle w:val="Item"/>
      </w:pPr>
      <w:r w:rsidRPr="00356952">
        <w:t>Insert:</w:t>
      </w:r>
    </w:p>
    <w:p w:rsidR="007C7CC7" w:rsidRPr="00356952" w:rsidRDefault="007C7CC7" w:rsidP="007C7CC7">
      <w:pPr>
        <w:pStyle w:val="notepara"/>
      </w:pPr>
      <w:r w:rsidRPr="00356952">
        <w:t>(</w:t>
      </w:r>
      <w:proofErr w:type="spellStart"/>
      <w:r w:rsidRPr="00356952">
        <w:t>ja</w:t>
      </w:r>
      <w:proofErr w:type="spellEnd"/>
      <w:r w:rsidRPr="00356952">
        <w:t>)</w:t>
      </w:r>
      <w:r w:rsidRPr="00356952">
        <w:tab/>
        <w:t>person;</w:t>
      </w:r>
    </w:p>
    <w:p w:rsidR="00BB58D9" w:rsidRPr="00356952" w:rsidRDefault="00577CCB" w:rsidP="001B46D0">
      <w:pPr>
        <w:pStyle w:val="ItemHead"/>
      </w:pPr>
      <w:r w:rsidRPr="00356952">
        <w:t>10</w:t>
      </w:r>
      <w:r w:rsidR="00BB58D9" w:rsidRPr="00356952">
        <w:t xml:space="preserve">  Regulation</w:t>
      </w:r>
      <w:r w:rsidR="00356952" w:rsidRPr="00356952">
        <w:t> </w:t>
      </w:r>
      <w:r w:rsidR="00BB58D9" w:rsidRPr="00356952">
        <w:t xml:space="preserve">1.03 (after </w:t>
      </w:r>
      <w:r w:rsidR="00356952" w:rsidRPr="00356952">
        <w:t>paragraph (</w:t>
      </w:r>
      <w:r w:rsidR="00BB58D9" w:rsidRPr="00356952">
        <w:t xml:space="preserve">m) of </w:t>
      </w:r>
      <w:r w:rsidR="00BF00BD" w:rsidRPr="00356952">
        <w:t xml:space="preserve">the </w:t>
      </w:r>
      <w:r w:rsidR="00BB58D9" w:rsidRPr="00356952">
        <w:t>note)</w:t>
      </w:r>
    </w:p>
    <w:p w:rsidR="00BB58D9" w:rsidRPr="00356952" w:rsidRDefault="00BB58D9" w:rsidP="00BB58D9">
      <w:pPr>
        <w:pStyle w:val="Item"/>
      </w:pPr>
      <w:r w:rsidRPr="00356952">
        <w:t>Insert:</w:t>
      </w:r>
    </w:p>
    <w:p w:rsidR="00BB58D9" w:rsidRPr="00356952" w:rsidRDefault="00BB58D9" w:rsidP="00BB58D9">
      <w:pPr>
        <w:pStyle w:val="notepara"/>
      </w:pPr>
      <w:r w:rsidRPr="00356952">
        <w:t>(ma)</w:t>
      </w:r>
      <w:r w:rsidR="007C7CC7" w:rsidRPr="00356952">
        <w:tab/>
      </w:r>
      <w:r w:rsidRPr="00356952">
        <w:t>safeguard audit;</w:t>
      </w:r>
    </w:p>
    <w:p w:rsidR="00965618" w:rsidRPr="00356952" w:rsidRDefault="00577CCB" w:rsidP="00275A12">
      <w:pPr>
        <w:pStyle w:val="ItemHead"/>
      </w:pPr>
      <w:r w:rsidRPr="00356952">
        <w:t>11</w:t>
      </w:r>
      <w:r w:rsidR="00965618" w:rsidRPr="00356952">
        <w:t xml:space="preserve">  </w:t>
      </w:r>
      <w:proofErr w:type="spellStart"/>
      <w:r w:rsidR="00965618" w:rsidRPr="00356952">
        <w:t>Subregulation</w:t>
      </w:r>
      <w:proofErr w:type="spellEnd"/>
      <w:r w:rsidR="00356952" w:rsidRPr="00356952">
        <w:t> </w:t>
      </w:r>
      <w:r w:rsidR="00965618" w:rsidRPr="00356952">
        <w:t>2.17(2)</w:t>
      </w:r>
    </w:p>
    <w:p w:rsidR="00965618" w:rsidRPr="00356952" w:rsidRDefault="00965618" w:rsidP="00965618">
      <w:pPr>
        <w:pStyle w:val="Item"/>
      </w:pPr>
      <w:r w:rsidRPr="00356952">
        <w:t>Omit “The group entity”, substitute “Subject to regulation</w:t>
      </w:r>
      <w:r w:rsidR="00356952" w:rsidRPr="00356952">
        <w:t> </w:t>
      </w:r>
      <w:r w:rsidRPr="00356952">
        <w:t>2.18A, the person”.</w:t>
      </w:r>
    </w:p>
    <w:p w:rsidR="00965618" w:rsidRPr="00356952" w:rsidRDefault="00577CCB" w:rsidP="00965618">
      <w:pPr>
        <w:pStyle w:val="ItemHead"/>
      </w:pPr>
      <w:r w:rsidRPr="00356952">
        <w:t>12</w:t>
      </w:r>
      <w:r w:rsidR="00965618" w:rsidRPr="00356952">
        <w:t xml:space="preserve">  </w:t>
      </w:r>
      <w:proofErr w:type="spellStart"/>
      <w:r w:rsidR="00965618" w:rsidRPr="00356952">
        <w:t>Subregulation</w:t>
      </w:r>
      <w:proofErr w:type="spellEnd"/>
      <w:r w:rsidR="00356952" w:rsidRPr="00356952">
        <w:t> </w:t>
      </w:r>
      <w:r w:rsidR="00965618" w:rsidRPr="00356952">
        <w:t>2.18(2)</w:t>
      </w:r>
    </w:p>
    <w:p w:rsidR="00965618" w:rsidRPr="00356952" w:rsidRDefault="00965618" w:rsidP="00965618">
      <w:pPr>
        <w:pStyle w:val="Item"/>
      </w:pPr>
      <w:r w:rsidRPr="00356952">
        <w:t>Omit “The group entity”, substitute “Subject to regulation</w:t>
      </w:r>
      <w:r w:rsidR="00356952" w:rsidRPr="00356952">
        <w:t> </w:t>
      </w:r>
      <w:r w:rsidRPr="00356952">
        <w:t>2.18A, the person”.</w:t>
      </w:r>
    </w:p>
    <w:p w:rsidR="00275A12" w:rsidRPr="00356952" w:rsidRDefault="00577CCB" w:rsidP="00275A12">
      <w:pPr>
        <w:pStyle w:val="ItemHead"/>
      </w:pPr>
      <w:r w:rsidRPr="00356952">
        <w:t>13</w:t>
      </w:r>
      <w:r w:rsidR="00275A12" w:rsidRPr="00356952">
        <w:t xml:space="preserve">  Paragraph 2.18(6)(b)</w:t>
      </w:r>
    </w:p>
    <w:p w:rsidR="00275A12" w:rsidRPr="00356952" w:rsidRDefault="00275A12" w:rsidP="00275A12">
      <w:pPr>
        <w:pStyle w:val="Item"/>
      </w:pPr>
      <w:r w:rsidRPr="00356952">
        <w:t>Omit “group entity’s”.</w:t>
      </w:r>
    </w:p>
    <w:p w:rsidR="00192170" w:rsidRPr="00356952" w:rsidRDefault="00577CCB" w:rsidP="00192170">
      <w:pPr>
        <w:pStyle w:val="ItemHead"/>
      </w:pPr>
      <w:r w:rsidRPr="00356952">
        <w:t>14</w:t>
      </w:r>
      <w:r w:rsidR="00192170" w:rsidRPr="00356952">
        <w:t xml:space="preserve">  After regulation</w:t>
      </w:r>
      <w:r w:rsidR="00356952" w:rsidRPr="00356952">
        <w:t> </w:t>
      </w:r>
      <w:r w:rsidR="00192170" w:rsidRPr="00356952">
        <w:t>2.18</w:t>
      </w:r>
    </w:p>
    <w:p w:rsidR="00192170" w:rsidRPr="00356952" w:rsidRDefault="00192170" w:rsidP="00192170">
      <w:pPr>
        <w:pStyle w:val="Item"/>
      </w:pPr>
      <w:r w:rsidRPr="00356952">
        <w:t>Insert:</w:t>
      </w:r>
    </w:p>
    <w:p w:rsidR="00192170" w:rsidRPr="00356952" w:rsidRDefault="00192170" w:rsidP="00192170">
      <w:pPr>
        <w:pStyle w:val="ActHead5"/>
      </w:pPr>
      <w:bookmarkStart w:id="18" w:name="_Toc430176464"/>
      <w:r w:rsidRPr="00356952">
        <w:rPr>
          <w:rStyle w:val="CharSectno"/>
        </w:rPr>
        <w:t>2.18A</w:t>
      </w:r>
      <w:r w:rsidRPr="00356952">
        <w:t xml:space="preserve">  Forming part of a single undertaking or enterprise—</w:t>
      </w:r>
      <w:r w:rsidR="00EB5ABA" w:rsidRPr="00356952">
        <w:t>prohibited purposes</w:t>
      </w:r>
      <w:bookmarkEnd w:id="18"/>
    </w:p>
    <w:p w:rsidR="009E51E0" w:rsidRPr="00356952" w:rsidRDefault="00EB5ABA" w:rsidP="003B556A">
      <w:pPr>
        <w:pStyle w:val="subsection"/>
      </w:pPr>
      <w:r w:rsidRPr="00356952">
        <w:tab/>
      </w:r>
      <w:r w:rsidRPr="00356952">
        <w:tab/>
      </w:r>
      <w:r w:rsidR="00965618" w:rsidRPr="00356952">
        <w:t>A</w:t>
      </w:r>
      <w:r w:rsidR="003B556A" w:rsidRPr="00356952">
        <w:t xml:space="preserve"> person must not identify an activity under</w:t>
      </w:r>
      <w:r w:rsidR="00965618" w:rsidRPr="00356952">
        <w:t xml:space="preserve"> </w:t>
      </w:r>
      <w:proofErr w:type="spellStart"/>
      <w:r w:rsidR="003B556A" w:rsidRPr="00356952">
        <w:t>subregulation</w:t>
      </w:r>
      <w:proofErr w:type="spellEnd"/>
      <w:r w:rsidR="00356952" w:rsidRPr="00356952">
        <w:t> </w:t>
      </w:r>
      <w:r w:rsidR="00965618" w:rsidRPr="00356952">
        <w:t>2</w:t>
      </w:r>
      <w:r w:rsidR="003B556A" w:rsidRPr="00356952">
        <w:t>.17(2)</w:t>
      </w:r>
      <w:r w:rsidR="00965618" w:rsidRPr="00356952">
        <w:t xml:space="preserve"> </w:t>
      </w:r>
      <w:r w:rsidR="003B556A" w:rsidRPr="00356952">
        <w:t>or</w:t>
      </w:r>
      <w:r w:rsidR="00965618" w:rsidRPr="00356952">
        <w:t xml:space="preserve"> </w:t>
      </w:r>
      <w:r w:rsidR="003B556A" w:rsidRPr="00356952">
        <w:t xml:space="preserve">2.18(2) if </w:t>
      </w:r>
      <w:r w:rsidR="00FC0418" w:rsidRPr="00356952">
        <w:t xml:space="preserve">it could </w:t>
      </w:r>
      <w:r w:rsidR="00675368" w:rsidRPr="00356952">
        <w:t xml:space="preserve">reasonably be </w:t>
      </w:r>
      <w:r w:rsidR="00FC0418" w:rsidRPr="00356952">
        <w:t xml:space="preserve">concluded that a substantial reason for </w:t>
      </w:r>
      <w:r w:rsidR="005A790B" w:rsidRPr="00356952">
        <w:t>identifying the activity is</w:t>
      </w:r>
      <w:r w:rsidR="003B556A" w:rsidRPr="00356952">
        <w:t>:</w:t>
      </w:r>
    </w:p>
    <w:p w:rsidR="00675368" w:rsidRPr="00356952" w:rsidRDefault="009E51E0" w:rsidP="00965618">
      <w:pPr>
        <w:pStyle w:val="paragraph"/>
      </w:pPr>
      <w:r w:rsidRPr="00356952">
        <w:tab/>
      </w:r>
      <w:r w:rsidR="00CB4FAE" w:rsidRPr="00356952">
        <w:t>(a)</w:t>
      </w:r>
      <w:r w:rsidR="00CB4FAE" w:rsidRPr="00356952">
        <w:tab/>
      </w:r>
      <w:r w:rsidR="00675368" w:rsidRPr="00356952">
        <w:t xml:space="preserve">to achieve the result that a facility does not come within the definition of </w:t>
      </w:r>
      <w:r w:rsidR="00675368" w:rsidRPr="00356952">
        <w:rPr>
          <w:b/>
          <w:i/>
        </w:rPr>
        <w:t>designated large facility</w:t>
      </w:r>
      <w:r w:rsidR="00675368" w:rsidRPr="00356952">
        <w:t xml:space="preserve"> under the Act, whether or not the facility currently comes within that definition, or has done so in the past; or</w:t>
      </w:r>
    </w:p>
    <w:p w:rsidR="00FE7BCF" w:rsidRPr="00356952" w:rsidRDefault="00675368" w:rsidP="00350FB9">
      <w:pPr>
        <w:pStyle w:val="paragraph"/>
      </w:pPr>
      <w:r w:rsidRPr="00356952">
        <w:tab/>
        <w:t>(b)</w:t>
      </w:r>
      <w:r w:rsidRPr="00356952">
        <w:tab/>
        <w:t>to reallocate an amount of covered emissions of greenhouse gases from the operation of a designated large facility to another facility which is not a designated large facility.</w:t>
      </w:r>
    </w:p>
    <w:p w:rsidR="009467FA" w:rsidRPr="00356952" w:rsidRDefault="00577CCB" w:rsidP="009467FA">
      <w:pPr>
        <w:pStyle w:val="ItemHead"/>
      </w:pPr>
      <w:r w:rsidRPr="00356952">
        <w:t>15</w:t>
      </w:r>
      <w:r w:rsidR="009467FA" w:rsidRPr="00356952">
        <w:t xml:space="preserve">  Paragraphs 2.19(1)(b) and (c)</w:t>
      </w:r>
    </w:p>
    <w:p w:rsidR="009467FA" w:rsidRPr="00356952" w:rsidRDefault="009467FA" w:rsidP="009467FA">
      <w:pPr>
        <w:pStyle w:val="Item"/>
      </w:pPr>
      <w:r w:rsidRPr="00356952">
        <w:t>Repeal the paragraphs, substitute:</w:t>
      </w:r>
    </w:p>
    <w:p w:rsidR="009467FA" w:rsidRPr="00356952" w:rsidRDefault="009467FA" w:rsidP="009467FA">
      <w:pPr>
        <w:pStyle w:val="paragraph"/>
      </w:pPr>
      <w:r w:rsidRPr="00356952">
        <w:tab/>
        <w:t>(b)</w:t>
      </w:r>
      <w:r w:rsidRPr="00356952">
        <w:tab/>
        <w:t>the activity and any ancillary activities to it are under the overall control of the same person; and</w:t>
      </w:r>
    </w:p>
    <w:p w:rsidR="00C04D5A" w:rsidRPr="00356952" w:rsidRDefault="009467FA" w:rsidP="009467FA">
      <w:pPr>
        <w:pStyle w:val="paragraph"/>
      </w:pPr>
      <w:r w:rsidRPr="00356952">
        <w:tab/>
        <w:t>(c)</w:t>
      </w:r>
      <w:r w:rsidRPr="00356952">
        <w:tab/>
        <w:t xml:space="preserve">if </w:t>
      </w:r>
      <w:r w:rsidR="00C04D5A" w:rsidRPr="00356952">
        <w:t>no nomination has been made under regulation</w:t>
      </w:r>
      <w:r w:rsidR="00356952" w:rsidRPr="00356952">
        <w:t> </w:t>
      </w:r>
      <w:r w:rsidR="00C04D5A" w:rsidRPr="00356952">
        <w:t>2.19A for the activity to be attributable at a national level</w:t>
      </w:r>
      <w:r w:rsidRPr="00356952">
        <w:t>—the activity is attributable to a single State or Territory;</w:t>
      </w:r>
    </w:p>
    <w:p w:rsidR="00AB56E6" w:rsidRPr="00356952" w:rsidRDefault="00577CCB" w:rsidP="00AB56E6">
      <w:pPr>
        <w:pStyle w:val="ItemHead"/>
      </w:pPr>
      <w:r w:rsidRPr="00356952">
        <w:t>16</w:t>
      </w:r>
      <w:r w:rsidR="00D31B53" w:rsidRPr="00356952">
        <w:t xml:space="preserve">  </w:t>
      </w:r>
      <w:r w:rsidR="00AB56E6" w:rsidRPr="00356952">
        <w:t>Regulation</w:t>
      </w:r>
      <w:r w:rsidR="00356952" w:rsidRPr="00356952">
        <w:t> </w:t>
      </w:r>
      <w:r w:rsidR="00AB56E6" w:rsidRPr="00356952">
        <w:t>2.27</w:t>
      </w:r>
    </w:p>
    <w:p w:rsidR="00AB56E6" w:rsidRPr="00356952" w:rsidRDefault="00AB56E6" w:rsidP="00AB56E6">
      <w:pPr>
        <w:pStyle w:val="Item"/>
      </w:pPr>
      <w:r w:rsidRPr="00356952">
        <w:t>Omit “paragraph</w:t>
      </w:r>
      <w:r w:rsidR="00356952" w:rsidRPr="00356952">
        <w:t> </w:t>
      </w:r>
      <w:r w:rsidRPr="00356952">
        <w:t>11B(3)(c)”, substitute “paragraphs 11B(3)(c) and 11C(3)(c)”.</w:t>
      </w:r>
    </w:p>
    <w:p w:rsidR="00A91F32" w:rsidRPr="00356952" w:rsidRDefault="00577CCB" w:rsidP="00AB56E6">
      <w:pPr>
        <w:pStyle w:val="ItemHead"/>
      </w:pPr>
      <w:r w:rsidRPr="00356952">
        <w:t>17</w:t>
      </w:r>
      <w:r w:rsidR="00A91F32" w:rsidRPr="00356952">
        <w:t xml:space="preserve">  </w:t>
      </w:r>
      <w:proofErr w:type="spellStart"/>
      <w:r w:rsidR="00A91F32" w:rsidRPr="00356952">
        <w:t>Subregulation</w:t>
      </w:r>
      <w:proofErr w:type="spellEnd"/>
      <w:r w:rsidR="00356952" w:rsidRPr="00356952">
        <w:t> </w:t>
      </w:r>
      <w:r w:rsidR="00A91F32" w:rsidRPr="00356952">
        <w:t>2.28 (heading)</w:t>
      </w:r>
    </w:p>
    <w:p w:rsidR="00A91F32" w:rsidRPr="00356952" w:rsidRDefault="00A91F32" w:rsidP="00A91F32">
      <w:pPr>
        <w:pStyle w:val="Item"/>
      </w:pPr>
      <w:r w:rsidRPr="00356952">
        <w:t>Repeal the heading, substitute:</w:t>
      </w:r>
    </w:p>
    <w:p w:rsidR="00A91F32" w:rsidRPr="00356952" w:rsidRDefault="00A91F32" w:rsidP="00A91F32">
      <w:pPr>
        <w:pStyle w:val="ActHead5"/>
      </w:pPr>
      <w:bookmarkStart w:id="19" w:name="_Toc430176465"/>
      <w:r w:rsidRPr="00356952">
        <w:rPr>
          <w:rStyle w:val="CharSectno"/>
        </w:rPr>
        <w:t>2.28</w:t>
      </w:r>
      <w:r w:rsidRPr="00356952">
        <w:t xml:space="preserve">  Nomination of person or trustee</w:t>
      </w:r>
      <w:bookmarkEnd w:id="19"/>
    </w:p>
    <w:p w:rsidR="00AB56E6" w:rsidRPr="00356952" w:rsidRDefault="00577CCB" w:rsidP="00AB56E6">
      <w:pPr>
        <w:pStyle w:val="ItemHead"/>
      </w:pPr>
      <w:r w:rsidRPr="00356952">
        <w:t>18</w:t>
      </w:r>
      <w:r w:rsidR="00AB56E6" w:rsidRPr="00356952">
        <w:t xml:space="preserve">  </w:t>
      </w:r>
      <w:proofErr w:type="spellStart"/>
      <w:r w:rsidR="00A91F32" w:rsidRPr="00356952">
        <w:t>Subr</w:t>
      </w:r>
      <w:r w:rsidR="00AB56E6" w:rsidRPr="00356952">
        <w:t>egulation</w:t>
      </w:r>
      <w:proofErr w:type="spellEnd"/>
      <w:r w:rsidR="00356952" w:rsidRPr="00356952">
        <w:t> </w:t>
      </w:r>
      <w:r w:rsidR="00AB56E6" w:rsidRPr="00356952">
        <w:t>2.28</w:t>
      </w:r>
      <w:r w:rsidR="00A91F32" w:rsidRPr="00356952">
        <w:t>(1)</w:t>
      </w:r>
    </w:p>
    <w:p w:rsidR="00A91F32" w:rsidRPr="00356952" w:rsidRDefault="00A91F32" w:rsidP="00A91F32">
      <w:pPr>
        <w:pStyle w:val="Item"/>
      </w:pPr>
      <w:r w:rsidRPr="00356952">
        <w:t xml:space="preserve">Repeal the </w:t>
      </w:r>
      <w:proofErr w:type="spellStart"/>
      <w:r w:rsidRPr="00356952">
        <w:t>subregulation</w:t>
      </w:r>
      <w:proofErr w:type="spellEnd"/>
      <w:r w:rsidRPr="00356952">
        <w:t>, substitute:</w:t>
      </w:r>
    </w:p>
    <w:p w:rsidR="00A91F32" w:rsidRPr="00356952" w:rsidRDefault="00A91F32" w:rsidP="00A91F32">
      <w:pPr>
        <w:pStyle w:val="subsection"/>
      </w:pPr>
      <w:r w:rsidRPr="00356952">
        <w:tab/>
        <w:t>(1)</w:t>
      </w:r>
      <w:r w:rsidRPr="00356952">
        <w:tab/>
        <w:t>This regulation applies if a person or trustee is nominated to have operational control over a facility under subsection</w:t>
      </w:r>
      <w:r w:rsidR="00356952" w:rsidRPr="00356952">
        <w:t> </w:t>
      </w:r>
      <w:r w:rsidRPr="00356952">
        <w:t>11B(2) or 11C(2) of the Act.</w:t>
      </w:r>
    </w:p>
    <w:p w:rsidR="00A91F32" w:rsidRPr="00356952" w:rsidRDefault="00577CCB" w:rsidP="00A91F32">
      <w:pPr>
        <w:pStyle w:val="ItemHead"/>
      </w:pPr>
      <w:r w:rsidRPr="00356952">
        <w:t>19</w:t>
      </w:r>
      <w:r w:rsidR="00A91F32" w:rsidRPr="00356952">
        <w:t xml:space="preserve">  After paragraph</w:t>
      </w:r>
      <w:r w:rsidR="00356952" w:rsidRPr="00356952">
        <w:t> </w:t>
      </w:r>
      <w:r w:rsidR="00A91F32" w:rsidRPr="00356952">
        <w:t>2.28(2)(d)</w:t>
      </w:r>
    </w:p>
    <w:p w:rsidR="00A91F32" w:rsidRPr="00356952" w:rsidRDefault="00A91F32" w:rsidP="00A91F32">
      <w:pPr>
        <w:pStyle w:val="Item"/>
      </w:pPr>
      <w:r w:rsidRPr="00356952">
        <w:t>Insert:</w:t>
      </w:r>
    </w:p>
    <w:p w:rsidR="00A91F32" w:rsidRPr="00356952" w:rsidRDefault="00A91F32" w:rsidP="00A91F32">
      <w:pPr>
        <w:pStyle w:val="paragraph"/>
      </w:pPr>
      <w:r w:rsidRPr="00356952">
        <w:tab/>
        <w:t>(e)</w:t>
      </w:r>
      <w:r w:rsidRPr="00356952">
        <w:tab/>
        <w:t>whether the nominee is nominated for section</w:t>
      </w:r>
      <w:r w:rsidR="00356952" w:rsidRPr="00356952">
        <w:t> </w:t>
      </w:r>
      <w:r w:rsidRPr="00356952">
        <w:t>11B or 11C of the Act;</w:t>
      </w:r>
    </w:p>
    <w:p w:rsidR="00A91F32" w:rsidRPr="00356952" w:rsidRDefault="00577CCB" w:rsidP="00A91F32">
      <w:pPr>
        <w:pStyle w:val="ItemHead"/>
      </w:pPr>
      <w:r w:rsidRPr="00356952">
        <w:t>20</w:t>
      </w:r>
      <w:r w:rsidR="00A91F32" w:rsidRPr="00356952">
        <w:t xml:space="preserve">  </w:t>
      </w:r>
      <w:proofErr w:type="spellStart"/>
      <w:r w:rsidR="00A91F32" w:rsidRPr="00356952">
        <w:t>Subregulation</w:t>
      </w:r>
      <w:proofErr w:type="spellEnd"/>
      <w:r w:rsidR="00356952" w:rsidRPr="00356952">
        <w:t> </w:t>
      </w:r>
      <w:r w:rsidR="00A91F32" w:rsidRPr="00356952">
        <w:t>2.28(3)</w:t>
      </w:r>
    </w:p>
    <w:p w:rsidR="00A91F32" w:rsidRPr="00356952" w:rsidRDefault="00A91F32" w:rsidP="00A91F32">
      <w:pPr>
        <w:pStyle w:val="Item"/>
      </w:pPr>
      <w:r w:rsidRPr="00356952">
        <w:t xml:space="preserve">Repeal the </w:t>
      </w:r>
      <w:proofErr w:type="spellStart"/>
      <w:r w:rsidRPr="00356952">
        <w:t>subregulation</w:t>
      </w:r>
      <w:proofErr w:type="spellEnd"/>
      <w:r w:rsidRPr="00356952">
        <w:t>, substitute:</w:t>
      </w:r>
    </w:p>
    <w:p w:rsidR="00AB56E6" w:rsidRPr="00356952" w:rsidRDefault="00AB56E6" w:rsidP="00AB56E6">
      <w:pPr>
        <w:pStyle w:val="subsection"/>
      </w:pPr>
      <w:r w:rsidRPr="00356952">
        <w:tab/>
        <w:t>(3)</w:t>
      </w:r>
      <w:r w:rsidRPr="00356952">
        <w:tab/>
        <w:t>If the nomination is made under subsection</w:t>
      </w:r>
      <w:r w:rsidR="00356952" w:rsidRPr="00356952">
        <w:t> </w:t>
      </w:r>
      <w:r w:rsidRPr="00356952">
        <w:t>11B(2) of the Act, the nomination must also be accompanied by the following information:</w:t>
      </w:r>
    </w:p>
    <w:p w:rsidR="00AB56E6" w:rsidRPr="00356952" w:rsidRDefault="00AB56E6" w:rsidP="00AB56E6">
      <w:pPr>
        <w:pStyle w:val="paragraph"/>
      </w:pPr>
      <w:r w:rsidRPr="00356952">
        <w:tab/>
        <w:t>(a)</w:t>
      </w:r>
      <w:r w:rsidRPr="00356952">
        <w:tab/>
        <w:t>a statement from each of the other persons who satisfies paragraph</w:t>
      </w:r>
      <w:r w:rsidR="00356952" w:rsidRPr="00356952">
        <w:t> </w:t>
      </w:r>
      <w:r w:rsidRPr="00356952">
        <w:t>11(1)(a) of the Act in relation to the facility for the relevant period that the person consents to the nomination of the nominee;</w:t>
      </w:r>
    </w:p>
    <w:p w:rsidR="00AB56E6" w:rsidRPr="00356952" w:rsidRDefault="00AB56E6" w:rsidP="00AB56E6">
      <w:pPr>
        <w:pStyle w:val="paragraph"/>
      </w:pPr>
      <w:r w:rsidRPr="00356952">
        <w:tab/>
        <w:t>(b)</w:t>
      </w:r>
      <w:r w:rsidRPr="00356952">
        <w:tab/>
        <w:t xml:space="preserve">for each of the persons mentioned in </w:t>
      </w:r>
      <w:r w:rsidR="00356952" w:rsidRPr="00356952">
        <w:t>paragraph (</w:t>
      </w:r>
      <w:r w:rsidRPr="00356952">
        <w:t>a)—the following:</w:t>
      </w:r>
    </w:p>
    <w:p w:rsidR="00AB56E6" w:rsidRPr="00356952" w:rsidRDefault="00AB56E6" w:rsidP="00AB56E6">
      <w:pPr>
        <w:pStyle w:val="paragraphsub"/>
      </w:pPr>
      <w:r w:rsidRPr="00356952">
        <w:tab/>
        <w:t>(</w:t>
      </w:r>
      <w:proofErr w:type="spellStart"/>
      <w:r w:rsidRPr="00356952">
        <w:t>i</w:t>
      </w:r>
      <w:proofErr w:type="spellEnd"/>
      <w:r w:rsidRPr="00356952">
        <w:t>)</w:t>
      </w:r>
      <w:r w:rsidRPr="00356952">
        <w:tab/>
        <w:t>if the identifying information for the person has not previously been given to the Regulator—that identifying information;</w:t>
      </w:r>
    </w:p>
    <w:p w:rsidR="00AB56E6" w:rsidRPr="00356952" w:rsidRDefault="00AB56E6" w:rsidP="00AB56E6">
      <w:pPr>
        <w:pStyle w:val="paragraphsub"/>
      </w:pPr>
      <w:r w:rsidRPr="00356952">
        <w:tab/>
        <w:t>(ii)</w:t>
      </w:r>
      <w:r w:rsidRPr="00356952">
        <w:tab/>
        <w:t>if the identifying information for the person has previously been given to the Regulator—the following:</w:t>
      </w:r>
    </w:p>
    <w:p w:rsidR="00AB56E6" w:rsidRPr="00356952" w:rsidRDefault="00AB56E6" w:rsidP="00AB56E6">
      <w:pPr>
        <w:pStyle w:val="paragraphsub-sub"/>
      </w:pPr>
      <w:r w:rsidRPr="00356952">
        <w:tab/>
        <w:t>(A)</w:t>
      </w:r>
      <w:r w:rsidRPr="00356952">
        <w:tab/>
        <w:t>the person’s name, postal address and identifying details (if any);</w:t>
      </w:r>
    </w:p>
    <w:p w:rsidR="00AB56E6" w:rsidRPr="00356952" w:rsidRDefault="00AB56E6" w:rsidP="00AB56E6">
      <w:pPr>
        <w:pStyle w:val="paragraphsub-sub"/>
      </w:pPr>
      <w:r w:rsidRPr="00356952">
        <w:tab/>
        <w:t>(B)</w:t>
      </w:r>
      <w:r w:rsidRPr="00356952">
        <w:tab/>
        <w:t>the name, position, telephone number, email address and postal address of a contact person for the person;</w:t>
      </w:r>
    </w:p>
    <w:p w:rsidR="00AB56E6" w:rsidRPr="00356952" w:rsidRDefault="00AB56E6" w:rsidP="00AB56E6">
      <w:pPr>
        <w:pStyle w:val="paragraph"/>
      </w:pPr>
      <w:r w:rsidRPr="00356952">
        <w:tab/>
        <w:t>(c)</w:t>
      </w:r>
      <w:r w:rsidRPr="00356952">
        <w:tab/>
        <w:t xml:space="preserve">if the nominee is a foreign person—a statement that all of the persons mentioned in </w:t>
      </w:r>
      <w:r w:rsidR="00356952" w:rsidRPr="00356952">
        <w:t>paragraph (</w:t>
      </w:r>
      <w:r w:rsidRPr="00356952">
        <w:t>a) are also foreign persons;</w:t>
      </w:r>
    </w:p>
    <w:p w:rsidR="00AB56E6" w:rsidRPr="00356952" w:rsidRDefault="00AB56E6" w:rsidP="00AB56E6">
      <w:pPr>
        <w:pStyle w:val="paragraph"/>
      </w:pPr>
      <w:r w:rsidRPr="00356952">
        <w:tab/>
        <w:t>(d)</w:t>
      </w:r>
      <w:r w:rsidRPr="00356952">
        <w:tab/>
        <w:t>a statement that the facility passes the eligible nomination test in subsection</w:t>
      </w:r>
      <w:r w:rsidR="00356952" w:rsidRPr="00356952">
        <w:t> </w:t>
      </w:r>
      <w:r w:rsidRPr="00356952">
        <w:t>11B(1) of the Act, because:</w:t>
      </w:r>
    </w:p>
    <w:p w:rsidR="00AB56E6" w:rsidRPr="00356952" w:rsidRDefault="00AB56E6" w:rsidP="00AB56E6">
      <w:pPr>
        <w:pStyle w:val="paragraphsub"/>
      </w:pPr>
      <w:r w:rsidRPr="00356952">
        <w:tab/>
        <w:t>(</w:t>
      </w:r>
      <w:proofErr w:type="spellStart"/>
      <w:r w:rsidRPr="00356952">
        <w:t>i</w:t>
      </w:r>
      <w:proofErr w:type="spellEnd"/>
      <w:r w:rsidRPr="00356952">
        <w:t>)</w:t>
      </w:r>
      <w:r w:rsidRPr="00356952">
        <w:tab/>
        <w:t>each of the persons that made the nomination could satisfy paragraph</w:t>
      </w:r>
      <w:r w:rsidR="00356952" w:rsidRPr="00356952">
        <w:t> </w:t>
      </w:r>
      <w:r w:rsidRPr="00356952">
        <w:t>11(1)(a) of the Act in relation to the facility; and</w:t>
      </w:r>
    </w:p>
    <w:p w:rsidR="00AB56E6" w:rsidRPr="00356952" w:rsidRDefault="00AB56E6" w:rsidP="00AB56E6">
      <w:pPr>
        <w:pStyle w:val="paragraphsub"/>
      </w:pPr>
      <w:r w:rsidRPr="00356952">
        <w:tab/>
        <w:t>(ii)</w:t>
      </w:r>
      <w:r w:rsidRPr="00356952">
        <w:tab/>
        <w:t>no particular person has the greatest authority to introduce and implement the policies mentioned in paragraph</w:t>
      </w:r>
      <w:r w:rsidR="00356952" w:rsidRPr="00356952">
        <w:t> </w:t>
      </w:r>
      <w:r w:rsidRPr="00356952">
        <w:t>11(1)(a) of the Act; and</w:t>
      </w:r>
    </w:p>
    <w:p w:rsidR="00AB56E6" w:rsidRPr="00356952" w:rsidRDefault="00AB56E6" w:rsidP="00AB56E6">
      <w:pPr>
        <w:pStyle w:val="paragraphsub"/>
      </w:pPr>
      <w:r w:rsidRPr="00356952">
        <w:tab/>
        <w:t>(iii)</w:t>
      </w:r>
      <w:r w:rsidRPr="00356952">
        <w:tab/>
        <w:t>no declaration under section</w:t>
      </w:r>
      <w:r w:rsidR="00356952" w:rsidRPr="00356952">
        <w:t> </w:t>
      </w:r>
      <w:r w:rsidRPr="00356952">
        <w:t>55 or 55A of the Act applies in relation to the facility.</w:t>
      </w:r>
    </w:p>
    <w:p w:rsidR="00AB56E6" w:rsidRPr="00356952" w:rsidRDefault="00AB56E6" w:rsidP="00AB56E6">
      <w:pPr>
        <w:pStyle w:val="subsection"/>
      </w:pPr>
      <w:r w:rsidRPr="00356952">
        <w:tab/>
        <w:t>(4)</w:t>
      </w:r>
      <w:r w:rsidRPr="00356952">
        <w:tab/>
        <w:t>If the nomination is made under subsection</w:t>
      </w:r>
      <w:r w:rsidR="00356952" w:rsidRPr="00356952">
        <w:t> </w:t>
      </w:r>
      <w:r w:rsidRPr="00356952">
        <w:t>11C(2) of the Act, the nomination must also be accompanied by the following information:</w:t>
      </w:r>
    </w:p>
    <w:p w:rsidR="00AB56E6" w:rsidRPr="00356952" w:rsidRDefault="00AB56E6" w:rsidP="00AB56E6">
      <w:pPr>
        <w:pStyle w:val="paragraph"/>
      </w:pPr>
      <w:r w:rsidRPr="00356952">
        <w:tab/>
        <w:t>(a)</w:t>
      </w:r>
      <w:r w:rsidRPr="00356952">
        <w:tab/>
        <w:t>a statement that each of the other trustees in relation to the facility for the relevant period consents to the nomination of the nominee;</w:t>
      </w:r>
    </w:p>
    <w:p w:rsidR="00AB56E6" w:rsidRPr="00356952" w:rsidRDefault="00AB56E6" w:rsidP="00AB56E6">
      <w:pPr>
        <w:pStyle w:val="paragraph"/>
      </w:pPr>
      <w:r w:rsidRPr="00356952">
        <w:tab/>
        <w:t>(b)</w:t>
      </w:r>
      <w:r w:rsidRPr="00356952">
        <w:tab/>
        <w:t xml:space="preserve">for each of the trustees mentioned in </w:t>
      </w:r>
      <w:r w:rsidR="00356952" w:rsidRPr="00356952">
        <w:t>paragraph (</w:t>
      </w:r>
      <w:r w:rsidRPr="00356952">
        <w:t>a)—the following:</w:t>
      </w:r>
    </w:p>
    <w:p w:rsidR="00AB56E6" w:rsidRPr="00356952" w:rsidRDefault="00AB56E6" w:rsidP="00AB56E6">
      <w:pPr>
        <w:pStyle w:val="paragraphsub"/>
      </w:pPr>
      <w:r w:rsidRPr="00356952">
        <w:tab/>
        <w:t>(</w:t>
      </w:r>
      <w:proofErr w:type="spellStart"/>
      <w:r w:rsidRPr="00356952">
        <w:t>i</w:t>
      </w:r>
      <w:proofErr w:type="spellEnd"/>
      <w:r w:rsidRPr="00356952">
        <w:t>)</w:t>
      </w:r>
      <w:r w:rsidRPr="00356952">
        <w:tab/>
        <w:t>the trustee’s name, postal address and identifying details (if any);</w:t>
      </w:r>
    </w:p>
    <w:p w:rsidR="00AB56E6" w:rsidRPr="00356952" w:rsidRDefault="00AB56E6" w:rsidP="00AB56E6">
      <w:pPr>
        <w:pStyle w:val="paragraphsub"/>
      </w:pPr>
      <w:r w:rsidRPr="00356952">
        <w:tab/>
        <w:t>(ii)</w:t>
      </w:r>
      <w:r w:rsidRPr="00356952">
        <w:tab/>
        <w:t>the name, position, telephone number, email address and postal address of a contact person for the trustee;</w:t>
      </w:r>
    </w:p>
    <w:p w:rsidR="00AB56E6" w:rsidRPr="00356952" w:rsidRDefault="00AB56E6" w:rsidP="00AB56E6">
      <w:pPr>
        <w:pStyle w:val="paragraph"/>
      </w:pPr>
      <w:r w:rsidRPr="00356952">
        <w:tab/>
        <w:t>(c)</w:t>
      </w:r>
      <w:r w:rsidRPr="00356952">
        <w:tab/>
        <w:t xml:space="preserve">if the nominee is a foreign person—a statement that all of the trustees mentioned in </w:t>
      </w:r>
      <w:r w:rsidR="00356952" w:rsidRPr="00356952">
        <w:t>paragraph (</w:t>
      </w:r>
      <w:r w:rsidRPr="00356952">
        <w:t>a) are also foreign persons;</w:t>
      </w:r>
    </w:p>
    <w:p w:rsidR="00AB56E6" w:rsidRPr="00356952" w:rsidRDefault="00AB56E6" w:rsidP="00AB56E6">
      <w:pPr>
        <w:pStyle w:val="paragraph"/>
      </w:pPr>
      <w:r w:rsidRPr="00356952">
        <w:tab/>
        <w:t>(d)</w:t>
      </w:r>
      <w:r w:rsidRPr="00356952">
        <w:tab/>
        <w:t>a statement that the facility passes the eligible nomination test in subsection</w:t>
      </w:r>
      <w:r w:rsidR="00356952" w:rsidRPr="00356952">
        <w:t> </w:t>
      </w:r>
      <w:r w:rsidRPr="00356952">
        <w:t>11C(1) of the Act, because:</w:t>
      </w:r>
    </w:p>
    <w:p w:rsidR="00AB56E6" w:rsidRPr="00356952" w:rsidRDefault="00AB56E6" w:rsidP="00AB56E6">
      <w:pPr>
        <w:pStyle w:val="paragraphsub"/>
      </w:pPr>
      <w:r w:rsidRPr="00356952">
        <w:tab/>
        <w:t>(</w:t>
      </w:r>
      <w:proofErr w:type="spellStart"/>
      <w:r w:rsidRPr="00356952">
        <w:t>i</w:t>
      </w:r>
      <w:proofErr w:type="spellEnd"/>
      <w:r w:rsidRPr="00356952">
        <w:t>)</w:t>
      </w:r>
      <w:r w:rsidRPr="00356952">
        <w:tab/>
        <w:t>a trust has operational control of the facility; and</w:t>
      </w:r>
    </w:p>
    <w:p w:rsidR="00AB56E6" w:rsidRPr="00356952" w:rsidRDefault="00AB56E6" w:rsidP="00AB56E6">
      <w:pPr>
        <w:pStyle w:val="paragraphsub"/>
      </w:pPr>
      <w:r w:rsidRPr="00356952">
        <w:tab/>
        <w:t>(ii)</w:t>
      </w:r>
      <w:r w:rsidRPr="00356952">
        <w:tab/>
        <w:t>there are 2 or more trustees of the trust; and</w:t>
      </w:r>
    </w:p>
    <w:p w:rsidR="00AB56E6" w:rsidRPr="00356952" w:rsidRDefault="00AB56E6" w:rsidP="00AB56E6">
      <w:pPr>
        <w:pStyle w:val="paragraphsub"/>
      </w:pPr>
      <w:r w:rsidRPr="00356952">
        <w:tab/>
        <w:t>(iii)</w:t>
      </w:r>
      <w:r w:rsidRPr="00356952">
        <w:tab/>
        <w:t>no declaration under section</w:t>
      </w:r>
      <w:r w:rsidR="00356952" w:rsidRPr="00356952">
        <w:t> </w:t>
      </w:r>
      <w:r w:rsidRPr="00356952">
        <w:t>55 or 55A of the Act applies in relation to the facility.</w:t>
      </w:r>
    </w:p>
    <w:p w:rsidR="007C7CC7" w:rsidRPr="00356952" w:rsidRDefault="00577CCB" w:rsidP="00AB56E6">
      <w:pPr>
        <w:pStyle w:val="ItemHead"/>
      </w:pPr>
      <w:r w:rsidRPr="00356952">
        <w:t>21</w:t>
      </w:r>
      <w:r w:rsidR="007C7CC7" w:rsidRPr="00356952">
        <w:t xml:space="preserve">  Paragraph 3.02(1)(h)</w:t>
      </w:r>
    </w:p>
    <w:p w:rsidR="007C7CC7" w:rsidRPr="00356952" w:rsidRDefault="007C7CC7" w:rsidP="007C7CC7">
      <w:pPr>
        <w:pStyle w:val="Item"/>
      </w:pPr>
      <w:r w:rsidRPr="00356952">
        <w:t>Omit “foreign corporation”, substitute “foreign person”.</w:t>
      </w:r>
    </w:p>
    <w:p w:rsidR="004B69B0" w:rsidRPr="00356952" w:rsidRDefault="00577CCB" w:rsidP="00AB56E6">
      <w:pPr>
        <w:pStyle w:val="ItemHead"/>
      </w:pPr>
      <w:r w:rsidRPr="00356952">
        <w:t>22</w:t>
      </w:r>
      <w:r w:rsidR="004B69B0" w:rsidRPr="00356952">
        <w:t xml:space="preserve">  </w:t>
      </w:r>
      <w:proofErr w:type="spellStart"/>
      <w:r w:rsidR="004B69B0" w:rsidRPr="00356952">
        <w:t>Subregulation</w:t>
      </w:r>
      <w:proofErr w:type="spellEnd"/>
      <w:r w:rsidR="00356952" w:rsidRPr="00356952">
        <w:t> </w:t>
      </w:r>
      <w:r w:rsidR="004B69B0" w:rsidRPr="00356952">
        <w:t>3.04(1)</w:t>
      </w:r>
    </w:p>
    <w:p w:rsidR="004B69B0" w:rsidRPr="00356952" w:rsidRDefault="004B69B0" w:rsidP="004B69B0">
      <w:pPr>
        <w:pStyle w:val="Item"/>
      </w:pPr>
      <w:r w:rsidRPr="00356952">
        <w:t>Omit “controlling corporation registered under Division</w:t>
      </w:r>
      <w:r w:rsidR="00356952" w:rsidRPr="00356952">
        <w:t> </w:t>
      </w:r>
      <w:r w:rsidRPr="00356952">
        <w:t>3”, substitute “person registered under Division</w:t>
      </w:r>
      <w:r w:rsidR="00356952" w:rsidRPr="00356952">
        <w:t> </w:t>
      </w:r>
      <w:r w:rsidRPr="00356952">
        <w:t>3 or 4”.</w:t>
      </w:r>
    </w:p>
    <w:p w:rsidR="004B69B0" w:rsidRPr="00356952" w:rsidRDefault="00577CCB" w:rsidP="004B69B0">
      <w:pPr>
        <w:pStyle w:val="ItemHead"/>
      </w:pPr>
      <w:r w:rsidRPr="00356952">
        <w:t>23</w:t>
      </w:r>
      <w:r w:rsidR="004B69B0" w:rsidRPr="00356952">
        <w:t xml:space="preserve">  Paragraph 3.04(1)(a)</w:t>
      </w:r>
    </w:p>
    <w:p w:rsidR="004B69B0" w:rsidRPr="00356952" w:rsidRDefault="004B69B0" w:rsidP="004B69B0">
      <w:pPr>
        <w:pStyle w:val="Item"/>
      </w:pPr>
      <w:r w:rsidRPr="00356952">
        <w:t>Omit “corporation’s”, substitute “person’s”.</w:t>
      </w:r>
    </w:p>
    <w:p w:rsidR="004B69B0" w:rsidRPr="00356952" w:rsidRDefault="00577CCB" w:rsidP="004B69B0">
      <w:pPr>
        <w:pStyle w:val="ItemHead"/>
      </w:pPr>
      <w:r w:rsidRPr="00356952">
        <w:t>24</w:t>
      </w:r>
      <w:r w:rsidR="004B69B0" w:rsidRPr="00356952">
        <w:t xml:space="preserve">  Paragraphs 3.04(1)(b) and (c)</w:t>
      </w:r>
    </w:p>
    <w:p w:rsidR="004B69B0" w:rsidRPr="00356952" w:rsidRDefault="004B69B0" w:rsidP="004B69B0">
      <w:pPr>
        <w:pStyle w:val="Item"/>
      </w:pPr>
      <w:r w:rsidRPr="00356952">
        <w:t>Omit “corporation”, substitute “person”.</w:t>
      </w:r>
    </w:p>
    <w:p w:rsidR="004B69B0" w:rsidRPr="00356952" w:rsidRDefault="00577CCB" w:rsidP="004B69B0">
      <w:pPr>
        <w:pStyle w:val="ItemHead"/>
      </w:pPr>
      <w:r w:rsidRPr="00356952">
        <w:t>25</w:t>
      </w:r>
      <w:r w:rsidR="004B69B0" w:rsidRPr="00356952">
        <w:t xml:space="preserve">  Paragraph 3.04(1)(d)</w:t>
      </w:r>
    </w:p>
    <w:p w:rsidR="004B69B0" w:rsidRPr="00356952" w:rsidRDefault="004B69B0" w:rsidP="004B69B0">
      <w:pPr>
        <w:pStyle w:val="Item"/>
      </w:pPr>
      <w:r w:rsidRPr="00356952">
        <w:t>Omit “corporation’s”, substitute “person’s”.</w:t>
      </w:r>
    </w:p>
    <w:p w:rsidR="004B69B0" w:rsidRPr="00356952" w:rsidRDefault="00577CCB" w:rsidP="004B69B0">
      <w:pPr>
        <w:pStyle w:val="ItemHead"/>
      </w:pPr>
      <w:r w:rsidRPr="00356952">
        <w:t>26</w:t>
      </w:r>
      <w:r w:rsidR="004B69B0" w:rsidRPr="00356952">
        <w:t xml:space="preserve">  Subparagraphs</w:t>
      </w:r>
      <w:r w:rsidR="00356952" w:rsidRPr="00356952">
        <w:t> </w:t>
      </w:r>
      <w:r w:rsidR="004B69B0" w:rsidRPr="00356952">
        <w:t>3.04(1)(d)(</w:t>
      </w:r>
      <w:proofErr w:type="spellStart"/>
      <w:r w:rsidR="004B69B0" w:rsidRPr="00356952">
        <w:t>i</w:t>
      </w:r>
      <w:proofErr w:type="spellEnd"/>
      <w:r w:rsidR="004B69B0" w:rsidRPr="00356952">
        <w:t>) and (ii)</w:t>
      </w:r>
    </w:p>
    <w:p w:rsidR="004B69B0" w:rsidRPr="00356952" w:rsidRDefault="004B69B0" w:rsidP="004B69B0">
      <w:pPr>
        <w:pStyle w:val="Item"/>
      </w:pPr>
      <w:r w:rsidRPr="00356952">
        <w:t>Omit “corporation”, substitute “person”.</w:t>
      </w:r>
    </w:p>
    <w:p w:rsidR="004B69B0" w:rsidRPr="00356952" w:rsidRDefault="00577CCB" w:rsidP="004B69B0">
      <w:pPr>
        <w:pStyle w:val="ItemHead"/>
      </w:pPr>
      <w:r w:rsidRPr="00356952">
        <w:t>27</w:t>
      </w:r>
      <w:r w:rsidR="004B69B0" w:rsidRPr="00356952">
        <w:t xml:space="preserve">  Paragraph 3.04(1)(e)</w:t>
      </w:r>
    </w:p>
    <w:p w:rsidR="004B69B0" w:rsidRPr="00356952" w:rsidRDefault="004B69B0" w:rsidP="004B69B0">
      <w:pPr>
        <w:pStyle w:val="Item"/>
      </w:pPr>
      <w:r w:rsidRPr="00356952">
        <w:t>Omit “corporation” (wherever occurring), substitute “person”.</w:t>
      </w:r>
    </w:p>
    <w:p w:rsidR="008E1F99" w:rsidRPr="00356952" w:rsidRDefault="00577CCB" w:rsidP="00AB56E6">
      <w:pPr>
        <w:pStyle w:val="ItemHead"/>
      </w:pPr>
      <w:r w:rsidRPr="00356952">
        <w:t>28</w:t>
      </w:r>
      <w:r w:rsidR="008E1F99" w:rsidRPr="00356952">
        <w:t xml:space="preserve">  </w:t>
      </w:r>
      <w:proofErr w:type="spellStart"/>
      <w:r w:rsidR="007411E6" w:rsidRPr="00356952">
        <w:t>Subregulation</w:t>
      </w:r>
      <w:proofErr w:type="spellEnd"/>
      <w:r w:rsidR="00356952" w:rsidRPr="00356952">
        <w:t> </w:t>
      </w:r>
      <w:r w:rsidR="007411E6" w:rsidRPr="00356952">
        <w:t>3.05(1)</w:t>
      </w:r>
    </w:p>
    <w:p w:rsidR="007411E6" w:rsidRPr="00356952" w:rsidRDefault="007411E6" w:rsidP="007411E6">
      <w:pPr>
        <w:pStyle w:val="Item"/>
      </w:pPr>
      <w:r w:rsidRPr="00356952">
        <w:t xml:space="preserve">Omit “corporation”, </w:t>
      </w:r>
      <w:r w:rsidR="00C4797E" w:rsidRPr="00356952">
        <w:t xml:space="preserve">substitute </w:t>
      </w:r>
      <w:r w:rsidRPr="00356952">
        <w:t>“person”.</w:t>
      </w:r>
    </w:p>
    <w:p w:rsidR="001D6CCC" w:rsidRPr="00356952" w:rsidRDefault="00577CCB" w:rsidP="001D6CCC">
      <w:pPr>
        <w:pStyle w:val="ItemHead"/>
      </w:pPr>
      <w:r w:rsidRPr="00356952">
        <w:t>29</w:t>
      </w:r>
      <w:r w:rsidR="001D6CCC" w:rsidRPr="00356952">
        <w:t xml:space="preserve">  After paragraph</w:t>
      </w:r>
      <w:r w:rsidR="00356952" w:rsidRPr="00356952">
        <w:t> </w:t>
      </w:r>
      <w:r w:rsidR="001D6CCC" w:rsidRPr="00356952">
        <w:t>3.05(1)(</w:t>
      </w:r>
      <w:proofErr w:type="spellStart"/>
      <w:r w:rsidR="001D6CCC" w:rsidRPr="00356952">
        <w:t>i</w:t>
      </w:r>
      <w:proofErr w:type="spellEnd"/>
      <w:r w:rsidR="001D6CCC" w:rsidRPr="00356952">
        <w:t>)</w:t>
      </w:r>
    </w:p>
    <w:p w:rsidR="001D6CCC" w:rsidRPr="00356952" w:rsidRDefault="001D6CCC" w:rsidP="001D6CCC">
      <w:pPr>
        <w:pStyle w:val="Item"/>
      </w:pPr>
      <w:r w:rsidRPr="00356952">
        <w:t>Insert:</w:t>
      </w:r>
    </w:p>
    <w:p w:rsidR="001D6CCC" w:rsidRPr="00356952" w:rsidRDefault="001D6CCC" w:rsidP="001D6CCC">
      <w:pPr>
        <w:pStyle w:val="paragraph"/>
      </w:pPr>
      <w:r w:rsidRPr="00356952">
        <w:tab/>
        <w:t>(j)</w:t>
      </w:r>
      <w:r w:rsidRPr="00356952">
        <w:tab/>
        <w:t>a statement that the applicant is not, and is not likely to be, a responsible emitter for a designated large facility for:</w:t>
      </w:r>
    </w:p>
    <w:p w:rsidR="001D6CCC" w:rsidRPr="00356952" w:rsidRDefault="001D6CCC" w:rsidP="001D6CCC">
      <w:pPr>
        <w:pStyle w:val="paragraphsub"/>
      </w:pPr>
      <w:r w:rsidRPr="00356952">
        <w:tab/>
        <w:t>(</w:t>
      </w:r>
      <w:proofErr w:type="spellStart"/>
      <w:r w:rsidRPr="00356952">
        <w:t>i</w:t>
      </w:r>
      <w:proofErr w:type="spellEnd"/>
      <w:r w:rsidRPr="00356952">
        <w:t>)</w:t>
      </w:r>
      <w:r w:rsidRPr="00356952">
        <w:tab/>
        <w:t>the financial year in which the application is made; and</w:t>
      </w:r>
    </w:p>
    <w:p w:rsidR="001D6CCC" w:rsidRPr="00356952" w:rsidRDefault="001D6CCC" w:rsidP="001D6CCC">
      <w:pPr>
        <w:pStyle w:val="paragraphsub"/>
      </w:pPr>
      <w:r w:rsidRPr="00356952">
        <w:tab/>
        <w:t>(ii)</w:t>
      </w:r>
      <w:r w:rsidRPr="00356952">
        <w:tab/>
        <w:t>the 4 financial years following the financial year in which the application is made;</w:t>
      </w:r>
    </w:p>
    <w:p w:rsidR="004B69B0" w:rsidRPr="00356952" w:rsidRDefault="00577CCB" w:rsidP="004B69B0">
      <w:pPr>
        <w:pStyle w:val="ItemHead"/>
      </w:pPr>
      <w:r w:rsidRPr="00356952">
        <w:t>30</w:t>
      </w:r>
      <w:r w:rsidR="004B69B0" w:rsidRPr="00356952">
        <w:t xml:space="preserve">  </w:t>
      </w:r>
      <w:proofErr w:type="spellStart"/>
      <w:r w:rsidR="004B69B0" w:rsidRPr="00356952">
        <w:t>Subregulation</w:t>
      </w:r>
      <w:proofErr w:type="spellEnd"/>
      <w:r w:rsidR="00356952" w:rsidRPr="00356952">
        <w:t> </w:t>
      </w:r>
      <w:r w:rsidR="004B69B0" w:rsidRPr="00356952">
        <w:t>3.05(5)</w:t>
      </w:r>
    </w:p>
    <w:p w:rsidR="004B69B0" w:rsidRPr="00356952" w:rsidRDefault="004B69B0" w:rsidP="004B69B0">
      <w:pPr>
        <w:pStyle w:val="Item"/>
      </w:pPr>
      <w:r w:rsidRPr="00356952">
        <w:t>Omit “</w:t>
      </w:r>
      <w:r w:rsidR="00356952" w:rsidRPr="00356952">
        <w:t>paragraphs (</w:t>
      </w:r>
      <w:r w:rsidRPr="00356952">
        <w:t>1)</w:t>
      </w:r>
      <w:r w:rsidR="004028BE" w:rsidRPr="00356952">
        <w:t xml:space="preserve"> </w:t>
      </w:r>
      <w:r w:rsidRPr="00356952">
        <w:t>(h), (1)(</w:t>
      </w:r>
      <w:proofErr w:type="spellStart"/>
      <w:r w:rsidRPr="00356952">
        <w:t>i</w:t>
      </w:r>
      <w:proofErr w:type="spellEnd"/>
      <w:r w:rsidRPr="00356952">
        <w:t>)”, substitute “</w:t>
      </w:r>
      <w:r w:rsidR="00356952" w:rsidRPr="00356952">
        <w:t>paragraphs (</w:t>
      </w:r>
      <w:r w:rsidRPr="00356952">
        <w:t>1)(h) to (j)”.</w:t>
      </w:r>
    </w:p>
    <w:p w:rsidR="00840313" w:rsidRPr="00356952" w:rsidRDefault="00577CCB" w:rsidP="00840313">
      <w:pPr>
        <w:pStyle w:val="ItemHead"/>
      </w:pPr>
      <w:r w:rsidRPr="00356952">
        <w:t>31</w:t>
      </w:r>
      <w:r w:rsidR="00840313" w:rsidRPr="00356952">
        <w:t xml:space="preserve">  At the end of </w:t>
      </w:r>
      <w:proofErr w:type="spellStart"/>
      <w:r w:rsidR="00840313" w:rsidRPr="00356952">
        <w:t>subregulation</w:t>
      </w:r>
      <w:proofErr w:type="spellEnd"/>
      <w:r w:rsidR="00356952" w:rsidRPr="00356952">
        <w:t> </w:t>
      </w:r>
      <w:r w:rsidR="00840313" w:rsidRPr="00356952">
        <w:t>4.04A(2) (before the note)</w:t>
      </w:r>
    </w:p>
    <w:p w:rsidR="00840313" w:rsidRPr="00356952" w:rsidRDefault="00840313" w:rsidP="00840313">
      <w:pPr>
        <w:pStyle w:val="Item"/>
      </w:pPr>
      <w:r w:rsidRPr="00356952">
        <w:t>Add:</w:t>
      </w:r>
    </w:p>
    <w:p w:rsidR="002E3FF3" w:rsidRPr="00356952" w:rsidRDefault="00840313" w:rsidP="002E3FF3">
      <w:pPr>
        <w:pStyle w:val="paragraph"/>
      </w:pPr>
      <w:r w:rsidRPr="00356952">
        <w:tab/>
        <w:t>; (</w:t>
      </w:r>
      <w:proofErr w:type="spellStart"/>
      <w:r w:rsidRPr="00356952">
        <w:t>i</w:t>
      </w:r>
      <w:proofErr w:type="spellEnd"/>
      <w:r w:rsidRPr="00356952">
        <w:t>)</w:t>
      </w:r>
      <w:r w:rsidRPr="00356952">
        <w:tab/>
      </w:r>
      <w:r w:rsidR="002E3FF3" w:rsidRPr="00356952">
        <w:t>a statement about whether the facility is a grid</w:t>
      </w:r>
      <w:r w:rsidR="00356952">
        <w:noBreakHyphen/>
      </w:r>
      <w:r w:rsidR="002E3FF3" w:rsidRPr="00356952">
        <w:t xml:space="preserve">connected </w:t>
      </w:r>
      <w:r w:rsidR="00DF3015" w:rsidRPr="00356952">
        <w:t>e</w:t>
      </w:r>
      <w:r w:rsidR="002E3FF3" w:rsidRPr="00356952">
        <w:t>lectricity generator.</w:t>
      </w:r>
    </w:p>
    <w:p w:rsidR="007523A7" w:rsidRPr="00356952" w:rsidRDefault="00577CCB" w:rsidP="007523A7">
      <w:pPr>
        <w:pStyle w:val="ItemHead"/>
      </w:pPr>
      <w:r w:rsidRPr="00356952">
        <w:t>32</w:t>
      </w:r>
      <w:r w:rsidR="007523A7" w:rsidRPr="00356952">
        <w:t xml:space="preserve">  Paragraph 4.17(2)(d)</w:t>
      </w:r>
    </w:p>
    <w:p w:rsidR="007523A7" w:rsidRPr="00356952" w:rsidRDefault="007523A7" w:rsidP="007523A7">
      <w:pPr>
        <w:pStyle w:val="Item"/>
      </w:pPr>
      <w:r w:rsidRPr="00356952">
        <w:t>Omit “each of”.</w:t>
      </w:r>
    </w:p>
    <w:p w:rsidR="009467FA" w:rsidRPr="00356952" w:rsidRDefault="00577CCB" w:rsidP="009467FA">
      <w:pPr>
        <w:pStyle w:val="ItemHead"/>
      </w:pPr>
      <w:r w:rsidRPr="00356952">
        <w:t>33</w:t>
      </w:r>
      <w:r w:rsidR="009467FA" w:rsidRPr="00356952">
        <w:t xml:space="preserve">  After regulation</w:t>
      </w:r>
      <w:r w:rsidR="00356952" w:rsidRPr="00356952">
        <w:t> </w:t>
      </w:r>
      <w:r w:rsidR="009467FA" w:rsidRPr="00356952">
        <w:t>4.28</w:t>
      </w:r>
    </w:p>
    <w:p w:rsidR="009467FA" w:rsidRPr="00356952" w:rsidRDefault="009467FA" w:rsidP="009467FA">
      <w:pPr>
        <w:pStyle w:val="Item"/>
      </w:pPr>
      <w:r w:rsidRPr="00356952">
        <w:t>Insert:</w:t>
      </w:r>
    </w:p>
    <w:p w:rsidR="009467FA" w:rsidRPr="00356952" w:rsidRDefault="009467FA" w:rsidP="009467FA">
      <w:pPr>
        <w:pStyle w:val="ActHead5"/>
      </w:pPr>
      <w:bookmarkStart w:id="20" w:name="_Toc430176466"/>
      <w:r w:rsidRPr="00356952">
        <w:rPr>
          <w:rStyle w:val="CharSectno"/>
        </w:rPr>
        <w:t>4.29</w:t>
      </w:r>
      <w:r w:rsidRPr="00356952">
        <w:t xml:space="preserve">  Reporting for facilities that are transport facilities</w:t>
      </w:r>
      <w:bookmarkEnd w:id="20"/>
    </w:p>
    <w:p w:rsidR="009467FA" w:rsidRPr="00356952" w:rsidRDefault="009467FA" w:rsidP="009467FA">
      <w:pPr>
        <w:pStyle w:val="subsection"/>
      </w:pPr>
      <w:r w:rsidRPr="00356952">
        <w:tab/>
        <w:t>(1)</w:t>
      </w:r>
      <w:r w:rsidRPr="00356952">
        <w:tab/>
        <w:t>This regulation applies in relation to a report provided to the Regulator under section</w:t>
      </w:r>
      <w:r w:rsidR="00356952" w:rsidRPr="00356952">
        <w:t> </w:t>
      </w:r>
      <w:r w:rsidRPr="00356952">
        <w:t xml:space="preserve">19, 22G or 22X of the Act if a facility of the </w:t>
      </w:r>
      <w:r w:rsidR="003D4A55" w:rsidRPr="00356952">
        <w:t>corporation</w:t>
      </w:r>
      <w:r w:rsidRPr="00356952">
        <w:t xml:space="preserve"> is a transport facility.</w:t>
      </w:r>
    </w:p>
    <w:p w:rsidR="009467FA" w:rsidRPr="00356952" w:rsidRDefault="009467FA" w:rsidP="009467FA">
      <w:pPr>
        <w:pStyle w:val="subsection"/>
      </w:pPr>
      <w:r w:rsidRPr="00356952">
        <w:tab/>
        <w:t>(2)</w:t>
      </w:r>
      <w:r w:rsidRPr="00356952">
        <w:tab/>
        <w:t>The information for the transport facility about greenhouse gas emissions or production or consumption of energy that the corporation is required to provide in its report under this Part must be</w:t>
      </w:r>
      <w:r w:rsidR="00174A06" w:rsidRPr="00356952">
        <w:t xml:space="preserve"> provided separately for </w:t>
      </w:r>
      <w:r w:rsidRPr="00356952">
        <w:t>each State and Territory that the activities that constitute the facility occur in.</w:t>
      </w:r>
    </w:p>
    <w:p w:rsidR="009467FA" w:rsidRPr="00356952" w:rsidRDefault="009467FA" w:rsidP="009467FA">
      <w:pPr>
        <w:pStyle w:val="subsection"/>
      </w:pPr>
      <w:r w:rsidRPr="00356952">
        <w:tab/>
        <w:t>(</w:t>
      </w:r>
      <w:r w:rsidR="00174A06" w:rsidRPr="00356952">
        <w:t>3</w:t>
      </w:r>
      <w:r w:rsidRPr="00356952">
        <w:t>)</w:t>
      </w:r>
      <w:r w:rsidRPr="00356952">
        <w:tab/>
        <w:t>For the purposes of this regulation, an activity that constitutes the facility occurs in a State or Territory if the fuel to be consumed in carrying out the activity is purchased in the State or Territory.</w:t>
      </w:r>
    </w:p>
    <w:p w:rsidR="009E0C97" w:rsidRPr="00356952" w:rsidRDefault="00577CCB" w:rsidP="009E0C97">
      <w:pPr>
        <w:pStyle w:val="ItemHead"/>
      </w:pPr>
      <w:r w:rsidRPr="00356952">
        <w:t>34</w:t>
      </w:r>
      <w:r w:rsidR="009E0C97" w:rsidRPr="00356952">
        <w:t xml:space="preserve">  After Part</w:t>
      </w:r>
      <w:r w:rsidR="00356952" w:rsidRPr="00356952">
        <w:t> </w:t>
      </w:r>
      <w:r w:rsidR="009E0C97" w:rsidRPr="00356952">
        <w:t>4</w:t>
      </w:r>
    </w:p>
    <w:p w:rsidR="009E0C97" w:rsidRPr="00356952" w:rsidRDefault="009E0C97" w:rsidP="009E0C97">
      <w:pPr>
        <w:pStyle w:val="Item"/>
      </w:pPr>
      <w:r w:rsidRPr="00356952">
        <w:t>Insert:</w:t>
      </w:r>
    </w:p>
    <w:p w:rsidR="009E0C97" w:rsidRPr="00356952" w:rsidRDefault="009E0C97" w:rsidP="009E0C97">
      <w:pPr>
        <w:pStyle w:val="ActHead2"/>
      </w:pPr>
      <w:bookmarkStart w:id="21" w:name="f_Check_Lines_above"/>
      <w:bookmarkStart w:id="22" w:name="_Toc430176467"/>
      <w:bookmarkEnd w:id="21"/>
      <w:r w:rsidRPr="00356952">
        <w:rPr>
          <w:rStyle w:val="CharPartNo"/>
        </w:rPr>
        <w:t>Part</w:t>
      </w:r>
      <w:r w:rsidR="00356952" w:rsidRPr="00356952">
        <w:rPr>
          <w:rStyle w:val="CharPartNo"/>
        </w:rPr>
        <w:t> </w:t>
      </w:r>
      <w:r w:rsidRPr="00356952">
        <w:rPr>
          <w:rStyle w:val="CharPartNo"/>
        </w:rPr>
        <w:t>4A</w:t>
      </w:r>
      <w:r w:rsidRPr="00356952">
        <w:t>—</w:t>
      </w:r>
      <w:r w:rsidRPr="00356952">
        <w:rPr>
          <w:rStyle w:val="CharPartText"/>
        </w:rPr>
        <w:t>Emissions reduction safeguard mechanism</w:t>
      </w:r>
      <w:bookmarkEnd w:id="22"/>
    </w:p>
    <w:p w:rsidR="00B71A78" w:rsidRPr="00356952" w:rsidRDefault="00B71A78" w:rsidP="00B71A78">
      <w:pPr>
        <w:pStyle w:val="Header"/>
      </w:pPr>
      <w:r w:rsidRPr="00356952">
        <w:rPr>
          <w:rStyle w:val="CharDivNo"/>
        </w:rPr>
        <w:t xml:space="preserve"> </w:t>
      </w:r>
      <w:r w:rsidRPr="00356952">
        <w:rPr>
          <w:rStyle w:val="CharDivText"/>
        </w:rPr>
        <w:t xml:space="preserve"> </w:t>
      </w:r>
    </w:p>
    <w:p w:rsidR="009E0C97" w:rsidRPr="00356952" w:rsidRDefault="009E0C97" w:rsidP="009E0C97">
      <w:pPr>
        <w:pStyle w:val="ActHead5"/>
      </w:pPr>
      <w:bookmarkStart w:id="23" w:name="_Toc430176468"/>
      <w:r w:rsidRPr="00356952">
        <w:rPr>
          <w:rStyle w:val="CharSectno"/>
        </w:rPr>
        <w:t>4A.01</w:t>
      </w:r>
      <w:r w:rsidRPr="00356952">
        <w:t xml:space="preserve">  Duty to ensure excess emissions situation does not exist—civil penalty</w:t>
      </w:r>
      <w:bookmarkEnd w:id="23"/>
    </w:p>
    <w:p w:rsidR="006B132B" w:rsidRPr="00356952" w:rsidRDefault="00E753BE" w:rsidP="00E753BE">
      <w:pPr>
        <w:pStyle w:val="subsection"/>
      </w:pPr>
      <w:r w:rsidRPr="00356952">
        <w:tab/>
        <w:t>(1)</w:t>
      </w:r>
      <w:r w:rsidRPr="00356952">
        <w:tab/>
        <w:t>For subsection</w:t>
      </w:r>
      <w:r w:rsidR="00356952" w:rsidRPr="00356952">
        <w:t> </w:t>
      </w:r>
      <w:r w:rsidRPr="00356952">
        <w:t xml:space="preserve">22XF(2) of the Act, the prescribed number of penalty units </w:t>
      </w:r>
      <w:r w:rsidR="000E5758" w:rsidRPr="00356952">
        <w:t>in relation to a person’s conduct in breach of subsection</w:t>
      </w:r>
      <w:r w:rsidR="00356952" w:rsidRPr="00356952">
        <w:t> </w:t>
      </w:r>
      <w:r w:rsidR="000E5758" w:rsidRPr="00356952">
        <w:t xml:space="preserve">22XF(1) of the Act </w:t>
      </w:r>
      <w:r w:rsidRPr="00356952">
        <w:t xml:space="preserve">is </w:t>
      </w:r>
      <w:r w:rsidR="006B132B" w:rsidRPr="00356952">
        <w:t>the lesser of:</w:t>
      </w:r>
    </w:p>
    <w:p w:rsidR="006B132B" w:rsidRPr="00356952" w:rsidRDefault="006B132B" w:rsidP="006B132B">
      <w:pPr>
        <w:pStyle w:val="paragraph"/>
      </w:pPr>
      <w:r w:rsidRPr="00356952">
        <w:tab/>
        <w:t>(a)</w:t>
      </w:r>
      <w:r w:rsidRPr="00356952">
        <w:tab/>
      </w:r>
      <w:r w:rsidR="00E753BE" w:rsidRPr="00356952">
        <w:t>100 penalty units in respect of each day that the excess emissions situation exists</w:t>
      </w:r>
      <w:r w:rsidRPr="00356952">
        <w:t>; and</w:t>
      </w:r>
    </w:p>
    <w:p w:rsidR="00E753BE" w:rsidRPr="00356952" w:rsidRDefault="006B132B" w:rsidP="006B132B">
      <w:pPr>
        <w:pStyle w:val="paragraph"/>
      </w:pPr>
      <w:r w:rsidRPr="00356952">
        <w:tab/>
        <w:t>(b)</w:t>
      </w:r>
      <w:r w:rsidRPr="00356952">
        <w:tab/>
      </w:r>
      <w:r w:rsidR="00E753BE" w:rsidRPr="00356952">
        <w:t>10</w:t>
      </w:r>
      <w:r w:rsidR="00356952" w:rsidRPr="00356952">
        <w:t> </w:t>
      </w:r>
      <w:r w:rsidR="00E753BE" w:rsidRPr="00356952">
        <w:t>000 penalty units.</w:t>
      </w:r>
    </w:p>
    <w:p w:rsidR="000E5758" w:rsidRPr="00356952" w:rsidRDefault="00B5123F" w:rsidP="00B5123F">
      <w:pPr>
        <w:pStyle w:val="subsection"/>
      </w:pPr>
      <w:r w:rsidRPr="00356952">
        <w:tab/>
        <w:t>(2)</w:t>
      </w:r>
      <w:r w:rsidRPr="00356952">
        <w:tab/>
      </w:r>
      <w:r w:rsidR="000E5758" w:rsidRPr="00356952">
        <w:t xml:space="preserve">A day is to be disregarded for the purposes of </w:t>
      </w:r>
      <w:r w:rsidR="00356952" w:rsidRPr="00356952">
        <w:t>paragraph (</w:t>
      </w:r>
      <w:r w:rsidR="000E5758" w:rsidRPr="00356952">
        <w:t>1)(a) if:</w:t>
      </w:r>
    </w:p>
    <w:p w:rsidR="00B5123F" w:rsidRPr="00356952" w:rsidRDefault="000E5758" w:rsidP="00B5123F">
      <w:pPr>
        <w:pStyle w:val="paragraph"/>
      </w:pPr>
      <w:r w:rsidRPr="00356952">
        <w:tab/>
        <w:t>(a)</w:t>
      </w:r>
      <w:r w:rsidRPr="00356952">
        <w:tab/>
        <w:t>an infringement notice under subsection</w:t>
      </w:r>
      <w:r w:rsidR="00356952" w:rsidRPr="00356952">
        <w:t> </w:t>
      </w:r>
      <w:r w:rsidRPr="00356952">
        <w:t>39(1) of the Act was given to the person in relation to the relevant conduct; and</w:t>
      </w:r>
    </w:p>
    <w:p w:rsidR="00E753BE" w:rsidRPr="00356952" w:rsidRDefault="00B5123F" w:rsidP="000E5758">
      <w:pPr>
        <w:pStyle w:val="paragraph"/>
      </w:pPr>
      <w:r w:rsidRPr="00356952">
        <w:tab/>
        <w:t>(b)</w:t>
      </w:r>
      <w:r w:rsidRPr="00356952">
        <w:tab/>
        <w:t>section</w:t>
      </w:r>
      <w:r w:rsidR="00356952" w:rsidRPr="00356952">
        <w:t> </w:t>
      </w:r>
      <w:r w:rsidRPr="00356952">
        <w:t xml:space="preserve">43 of the Act applies </w:t>
      </w:r>
      <w:r w:rsidR="000E5758" w:rsidRPr="00356952">
        <w:t>in relation to the notice</w:t>
      </w:r>
      <w:r w:rsidR="00A70EC2" w:rsidRPr="00356952">
        <w:t>.</w:t>
      </w:r>
    </w:p>
    <w:p w:rsidR="00AB56E6" w:rsidRPr="00356952" w:rsidRDefault="00577CCB" w:rsidP="00AB56E6">
      <w:pPr>
        <w:pStyle w:val="ItemHead"/>
      </w:pPr>
      <w:r w:rsidRPr="00356952">
        <w:t>35</w:t>
      </w:r>
      <w:r w:rsidR="002365FD" w:rsidRPr="00356952">
        <w:t xml:space="preserve">  Regulation</w:t>
      </w:r>
      <w:r w:rsidR="00356952" w:rsidRPr="00356952">
        <w:t> </w:t>
      </w:r>
      <w:r w:rsidR="002365FD" w:rsidRPr="00356952">
        <w:t>6.02 (heading)</w:t>
      </w:r>
    </w:p>
    <w:p w:rsidR="002365FD" w:rsidRPr="00356952" w:rsidRDefault="002365FD" w:rsidP="002365FD">
      <w:pPr>
        <w:pStyle w:val="Item"/>
      </w:pPr>
      <w:r w:rsidRPr="00356952">
        <w:t>Repeal the heading, substitute:</w:t>
      </w:r>
    </w:p>
    <w:p w:rsidR="002365FD" w:rsidRPr="00356952" w:rsidRDefault="002365FD" w:rsidP="002365FD">
      <w:pPr>
        <w:pStyle w:val="ActHead5"/>
      </w:pPr>
      <w:bookmarkStart w:id="24" w:name="_Toc430176469"/>
      <w:r w:rsidRPr="00356952">
        <w:rPr>
          <w:rStyle w:val="CharSectno"/>
        </w:rPr>
        <w:t>6.02</w:t>
      </w:r>
      <w:r w:rsidRPr="00356952">
        <w:t xml:space="preserve">  Application under section</w:t>
      </w:r>
      <w:r w:rsidR="00356952" w:rsidRPr="00356952">
        <w:t> </w:t>
      </w:r>
      <w:r w:rsidRPr="00356952">
        <w:t>54 or 54A of Act—other information required</w:t>
      </w:r>
      <w:bookmarkEnd w:id="24"/>
    </w:p>
    <w:p w:rsidR="002365FD" w:rsidRPr="00356952" w:rsidRDefault="00577CCB" w:rsidP="002365FD">
      <w:pPr>
        <w:pStyle w:val="ItemHead"/>
      </w:pPr>
      <w:r w:rsidRPr="00356952">
        <w:t>36</w:t>
      </w:r>
      <w:r w:rsidR="002365FD" w:rsidRPr="00356952">
        <w:t xml:space="preserve">  </w:t>
      </w:r>
      <w:proofErr w:type="spellStart"/>
      <w:r w:rsidR="002365FD" w:rsidRPr="00356952">
        <w:t>Subregulation</w:t>
      </w:r>
      <w:proofErr w:type="spellEnd"/>
      <w:r w:rsidR="00356952" w:rsidRPr="00356952">
        <w:t> </w:t>
      </w:r>
      <w:r w:rsidR="002365FD" w:rsidRPr="00356952">
        <w:t>6.02(1)</w:t>
      </w:r>
    </w:p>
    <w:p w:rsidR="002365FD" w:rsidRPr="00356952" w:rsidRDefault="002365FD" w:rsidP="002365FD">
      <w:pPr>
        <w:pStyle w:val="Item"/>
      </w:pPr>
      <w:r w:rsidRPr="00356952">
        <w:t>Omit “paragraph</w:t>
      </w:r>
      <w:r w:rsidR="00356952" w:rsidRPr="00356952">
        <w:t> </w:t>
      </w:r>
      <w:r w:rsidRPr="00356952">
        <w:t>54(2)(c)”, substitute “paragraphs 54(2)(c) and 54A(2)(b)”.</w:t>
      </w:r>
    </w:p>
    <w:p w:rsidR="002365FD" w:rsidRPr="00356952" w:rsidRDefault="00577CCB" w:rsidP="002365FD">
      <w:pPr>
        <w:pStyle w:val="ItemHead"/>
      </w:pPr>
      <w:r w:rsidRPr="00356952">
        <w:t>37</w:t>
      </w:r>
      <w:r w:rsidR="002365FD" w:rsidRPr="00356952">
        <w:t xml:space="preserve">  Paragraphs 6.02(1)(</w:t>
      </w:r>
      <w:proofErr w:type="spellStart"/>
      <w:r w:rsidR="002365FD" w:rsidRPr="00356952">
        <w:t>i</w:t>
      </w:r>
      <w:proofErr w:type="spellEnd"/>
      <w:r w:rsidR="002365FD" w:rsidRPr="00356952">
        <w:t>) and (j)</w:t>
      </w:r>
    </w:p>
    <w:p w:rsidR="002365FD" w:rsidRPr="00356952" w:rsidRDefault="002365FD" w:rsidP="002365FD">
      <w:pPr>
        <w:pStyle w:val="Item"/>
      </w:pPr>
      <w:r w:rsidRPr="00356952">
        <w:t>After “section</w:t>
      </w:r>
      <w:r w:rsidR="00356952" w:rsidRPr="00356952">
        <w:t> </w:t>
      </w:r>
      <w:r w:rsidRPr="00356952">
        <w:t>54”, insert “or section</w:t>
      </w:r>
      <w:r w:rsidR="00356952" w:rsidRPr="00356952">
        <w:t> </w:t>
      </w:r>
      <w:r w:rsidRPr="00356952">
        <w:t>54A”.</w:t>
      </w:r>
    </w:p>
    <w:p w:rsidR="002365FD" w:rsidRPr="00356952" w:rsidRDefault="00577CCB" w:rsidP="002365FD">
      <w:pPr>
        <w:pStyle w:val="ItemHead"/>
      </w:pPr>
      <w:r w:rsidRPr="00356952">
        <w:t>38</w:t>
      </w:r>
      <w:r w:rsidR="002365FD" w:rsidRPr="00356952">
        <w:t xml:space="preserve">  Regulation</w:t>
      </w:r>
      <w:r w:rsidR="00356952" w:rsidRPr="00356952">
        <w:t> </w:t>
      </w:r>
      <w:r w:rsidR="002365FD" w:rsidRPr="00356952">
        <w:t>6.03 (heading)</w:t>
      </w:r>
    </w:p>
    <w:p w:rsidR="002365FD" w:rsidRPr="00356952" w:rsidRDefault="002365FD" w:rsidP="002365FD">
      <w:pPr>
        <w:pStyle w:val="Item"/>
      </w:pPr>
      <w:r w:rsidRPr="00356952">
        <w:t>Repeal the heading, substitute:</w:t>
      </w:r>
    </w:p>
    <w:p w:rsidR="002365FD" w:rsidRPr="00356952" w:rsidRDefault="002365FD" w:rsidP="002365FD">
      <w:pPr>
        <w:pStyle w:val="ActHead5"/>
      </w:pPr>
      <w:bookmarkStart w:id="25" w:name="_Toc430176470"/>
      <w:r w:rsidRPr="00356952">
        <w:rPr>
          <w:rStyle w:val="CharSectno"/>
        </w:rPr>
        <w:t>6.03</w:t>
      </w:r>
      <w:r w:rsidRPr="00356952">
        <w:t xml:space="preserve">  Application under section</w:t>
      </w:r>
      <w:r w:rsidR="00356952" w:rsidRPr="00356952">
        <w:t> </w:t>
      </w:r>
      <w:r w:rsidRPr="00356952">
        <w:t>55 or 55A of Act—other information required</w:t>
      </w:r>
      <w:bookmarkEnd w:id="25"/>
    </w:p>
    <w:p w:rsidR="002365FD" w:rsidRPr="00356952" w:rsidRDefault="00577CCB" w:rsidP="002365FD">
      <w:pPr>
        <w:pStyle w:val="ItemHead"/>
      </w:pPr>
      <w:r w:rsidRPr="00356952">
        <w:t>39</w:t>
      </w:r>
      <w:r w:rsidR="002365FD" w:rsidRPr="00356952">
        <w:t xml:space="preserve">  </w:t>
      </w:r>
      <w:proofErr w:type="spellStart"/>
      <w:r w:rsidR="002365FD" w:rsidRPr="00356952">
        <w:t>Subregulation</w:t>
      </w:r>
      <w:proofErr w:type="spellEnd"/>
      <w:r w:rsidR="00356952" w:rsidRPr="00356952">
        <w:t> </w:t>
      </w:r>
      <w:r w:rsidR="002365FD" w:rsidRPr="00356952">
        <w:t>6.03(1)</w:t>
      </w:r>
    </w:p>
    <w:p w:rsidR="002365FD" w:rsidRPr="00356952" w:rsidRDefault="002365FD" w:rsidP="002365FD">
      <w:pPr>
        <w:pStyle w:val="Item"/>
      </w:pPr>
      <w:r w:rsidRPr="00356952">
        <w:t>Omit “paragraph</w:t>
      </w:r>
      <w:r w:rsidR="00356952" w:rsidRPr="00356952">
        <w:t> </w:t>
      </w:r>
      <w:r w:rsidRPr="00356952">
        <w:t>55(2)(c)”, substitute “paragraphs 55(2)(c) and 55A(2)(b)”.</w:t>
      </w:r>
    </w:p>
    <w:p w:rsidR="0024737F" w:rsidRPr="00356952" w:rsidRDefault="00577CCB" w:rsidP="0024737F">
      <w:pPr>
        <w:pStyle w:val="ItemHead"/>
      </w:pPr>
      <w:r w:rsidRPr="00356952">
        <w:t>40</w:t>
      </w:r>
      <w:r w:rsidR="0024737F" w:rsidRPr="00356952">
        <w:t xml:space="preserve">  At the end of paragraph</w:t>
      </w:r>
      <w:r w:rsidR="00356952" w:rsidRPr="00356952">
        <w:t> </w:t>
      </w:r>
      <w:r w:rsidR="0024737F" w:rsidRPr="00356952">
        <w:t>6.03(1)(a)</w:t>
      </w:r>
    </w:p>
    <w:p w:rsidR="0024737F" w:rsidRPr="00356952" w:rsidRDefault="0024737F" w:rsidP="0024737F">
      <w:pPr>
        <w:pStyle w:val="Item"/>
      </w:pPr>
      <w:r w:rsidRPr="00356952">
        <w:t>Add:</w:t>
      </w:r>
    </w:p>
    <w:p w:rsidR="0024737F" w:rsidRPr="00356952" w:rsidRDefault="0024737F" w:rsidP="00C4797E">
      <w:pPr>
        <w:pStyle w:val="paragraphsub"/>
      </w:pPr>
      <w:r w:rsidRPr="00356952">
        <w:tab/>
        <w:t>or (iii)</w:t>
      </w:r>
      <w:r w:rsidR="00C4797E" w:rsidRPr="00356952">
        <w:tab/>
      </w:r>
      <w:r w:rsidRPr="00356952">
        <w:t>a non</w:t>
      </w:r>
      <w:r w:rsidR="00356952">
        <w:noBreakHyphen/>
      </w:r>
      <w:r w:rsidRPr="00356952">
        <w:t>group entity;</w:t>
      </w:r>
    </w:p>
    <w:p w:rsidR="0024737F" w:rsidRPr="00356952" w:rsidRDefault="00577CCB" w:rsidP="0024737F">
      <w:pPr>
        <w:pStyle w:val="ItemHead"/>
      </w:pPr>
      <w:r w:rsidRPr="00356952">
        <w:t>41</w:t>
      </w:r>
      <w:r w:rsidR="0024737F" w:rsidRPr="00356952">
        <w:t xml:space="preserve">  Paragraph 6.03(1)(d)</w:t>
      </w:r>
    </w:p>
    <w:p w:rsidR="0024737F" w:rsidRPr="00356952" w:rsidRDefault="0024737F" w:rsidP="0024737F">
      <w:pPr>
        <w:pStyle w:val="Item"/>
      </w:pPr>
      <w:r w:rsidRPr="00356952">
        <w:t>Omit “group entity for the controlling corporation”, substitute “person”.</w:t>
      </w:r>
    </w:p>
    <w:p w:rsidR="0024737F" w:rsidRPr="00356952" w:rsidRDefault="00577CCB" w:rsidP="0024737F">
      <w:pPr>
        <w:pStyle w:val="ItemHead"/>
      </w:pPr>
      <w:r w:rsidRPr="00356952">
        <w:t>42</w:t>
      </w:r>
      <w:r w:rsidR="0024737F" w:rsidRPr="00356952">
        <w:t xml:space="preserve">  Subparagraphs</w:t>
      </w:r>
      <w:r w:rsidR="00356952" w:rsidRPr="00356952">
        <w:t> </w:t>
      </w:r>
      <w:r w:rsidR="0024737F" w:rsidRPr="00356952">
        <w:t>6.03(1)(d)(</w:t>
      </w:r>
      <w:proofErr w:type="spellStart"/>
      <w:r w:rsidR="0024737F" w:rsidRPr="00356952">
        <w:t>i</w:t>
      </w:r>
      <w:proofErr w:type="spellEnd"/>
      <w:r w:rsidR="0024737F" w:rsidRPr="00356952">
        <w:t>) and (ii)</w:t>
      </w:r>
    </w:p>
    <w:p w:rsidR="0024737F" w:rsidRPr="00356952" w:rsidRDefault="0024737F" w:rsidP="0024737F">
      <w:pPr>
        <w:pStyle w:val="Item"/>
      </w:pPr>
      <w:r w:rsidRPr="00356952">
        <w:t>Omit “group entity’s”, substitute “person’s”.</w:t>
      </w:r>
    </w:p>
    <w:p w:rsidR="001C5EE1" w:rsidRPr="00356952" w:rsidRDefault="001C5EE1" w:rsidP="001C5EE1">
      <w:pPr>
        <w:pStyle w:val="ItemHead"/>
      </w:pPr>
      <w:r w:rsidRPr="00356952">
        <w:t>43  Regulation</w:t>
      </w:r>
      <w:r w:rsidR="00356952" w:rsidRPr="00356952">
        <w:t> </w:t>
      </w:r>
      <w:r w:rsidRPr="00356952">
        <w:t>7.01</w:t>
      </w:r>
    </w:p>
    <w:p w:rsidR="001C5EE1" w:rsidRPr="00356952" w:rsidRDefault="001C5EE1" w:rsidP="001C5EE1">
      <w:pPr>
        <w:pStyle w:val="Item"/>
      </w:pPr>
      <w:r w:rsidRPr="00356952">
        <w:t>Omit “this Part”, substitute “this Division”.</w:t>
      </w:r>
    </w:p>
    <w:p w:rsidR="00BD4ABE" w:rsidRPr="00356952" w:rsidRDefault="00577CCB" w:rsidP="0026468A">
      <w:pPr>
        <w:pStyle w:val="ItemHead"/>
      </w:pPr>
      <w:r w:rsidRPr="00356952">
        <w:t>4</w:t>
      </w:r>
      <w:r w:rsidR="001C5EE1" w:rsidRPr="00356952">
        <w:t>4</w:t>
      </w:r>
      <w:r w:rsidR="007610D3" w:rsidRPr="00356952">
        <w:t xml:space="preserve">  At the end of Part</w:t>
      </w:r>
      <w:r w:rsidR="00356952" w:rsidRPr="00356952">
        <w:t> </w:t>
      </w:r>
      <w:r w:rsidR="007610D3" w:rsidRPr="00356952">
        <w:t>7</w:t>
      </w:r>
    </w:p>
    <w:p w:rsidR="007610D3" w:rsidRPr="00356952" w:rsidRDefault="007610D3" w:rsidP="007610D3">
      <w:pPr>
        <w:pStyle w:val="Item"/>
      </w:pPr>
      <w:r w:rsidRPr="00356952">
        <w:t>Add:</w:t>
      </w:r>
    </w:p>
    <w:p w:rsidR="007610D3" w:rsidRPr="00356952" w:rsidRDefault="007610D3" w:rsidP="007610D3">
      <w:pPr>
        <w:pStyle w:val="ActHead3"/>
      </w:pPr>
      <w:bookmarkStart w:id="26" w:name="_Toc430176471"/>
      <w:r w:rsidRPr="00356952">
        <w:rPr>
          <w:rStyle w:val="CharDivNo"/>
        </w:rPr>
        <w:t>Division</w:t>
      </w:r>
      <w:r w:rsidR="00356952" w:rsidRPr="00356952">
        <w:rPr>
          <w:rStyle w:val="CharDivNo"/>
        </w:rPr>
        <w:t> </w:t>
      </w:r>
      <w:r w:rsidRPr="00356952">
        <w:rPr>
          <w:rStyle w:val="CharDivNo"/>
        </w:rPr>
        <w:t>7.2</w:t>
      </w:r>
      <w:r w:rsidRPr="00356952">
        <w:t>—</w:t>
      </w:r>
      <w:r w:rsidRPr="00356952">
        <w:rPr>
          <w:rStyle w:val="CharDivText"/>
        </w:rPr>
        <w:t>Application provisions relating to the National Greenhouse and Energy Reporting Amendment (2015 Measures No.</w:t>
      </w:r>
      <w:r w:rsidR="00356952" w:rsidRPr="00356952">
        <w:rPr>
          <w:rStyle w:val="CharDivText"/>
        </w:rPr>
        <w:t> </w:t>
      </w:r>
      <w:r w:rsidRPr="00356952">
        <w:rPr>
          <w:rStyle w:val="CharDivText"/>
        </w:rPr>
        <w:t>2) Regulation</w:t>
      </w:r>
      <w:r w:rsidR="00356952" w:rsidRPr="00356952">
        <w:rPr>
          <w:rStyle w:val="CharDivText"/>
        </w:rPr>
        <w:t> </w:t>
      </w:r>
      <w:r w:rsidRPr="00356952">
        <w:rPr>
          <w:rStyle w:val="CharDivText"/>
        </w:rPr>
        <w:t>2015</w:t>
      </w:r>
      <w:bookmarkEnd w:id="26"/>
    </w:p>
    <w:p w:rsidR="001C5EE1" w:rsidRPr="00356952" w:rsidRDefault="001C5EE1" w:rsidP="00D27D07">
      <w:pPr>
        <w:pStyle w:val="ActHead5"/>
      </w:pPr>
      <w:bookmarkStart w:id="27" w:name="_Toc430176472"/>
      <w:r w:rsidRPr="00356952">
        <w:rPr>
          <w:rStyle w:val="CharSectno"/>
        </w:rPr>
        <w:t>7.04</w:t>
      </w:r>
      <w:r w:rsidRPr="00356952">
        <w:t xml:space="preserve">  Definitions</w:t>
      </w:r>
      <w:bookmarkEnd w:id="27"/>
    </w:p>
    <w:p w:rsidR="001C5EE1" w:rsidRPr="00356952" w:rsidRDefault="001C5EE1" w:rsidP="001C5EE1">
      <w:pPr>
        <w:pStyle w:val="subsection"/>
      </w:pPr>
      <w:r w:rsidRPr="00356952">
        <w:tab/>
      </w:r>
      <w:r w:rsidRPr="00356952">
        <w:tab/>
        <w:t>In this Division:</w:t>
      </w:r>
    </w:p>
    <w:p w:rsidR="001C5EE1" w:rsidRPr="00356952" w:rsidRDefault="001C5EE1" w:rsidP="001C5EE1">
      <w:pPr>
        <w:pStyle w:val="Definition"/>
      </w:pPr>
      <w:r w:rsidRPr="00356952">
        <w:rPr>
          <w:b/>
          <w:i/>
        </w:rPr>
        <w:t>2015 Measures No.</w:t>
      </w:r>
      <w:r w:rsidR="00356952" w:rsidRPr="00356952">
        <w:rPr>
          <w:b/>
          <w:i/>
        </w:rPr>
        <w:t> </w:t>
      </w:r>
      <w:r w:rsidRPr="00356952">
        <w:rPr>
          <w:b/>
          <w:i/>
        </w:rPr>
        <w:t>2 amendments</w:t>
      </w:r>
      <w:r w:rsidRPr="00356952">
        <w:t xml:space="preserve"> means the amendments of these Regulations made by Schedule</w:t>
      </w:r>
      <w:r w:rsidR="00356952" w:rsidRPr="00356952">
        <w:t> </w:t>
      </w:r>
      <w:r w:rsidRPr="00356952">
        <w:t xml:space="preserve">2 to the </w:t>
      </w:r>
      <w:r w:rsidRPr="00356952">
        <w:rPr>
          <w:i/>
        </w:rPr>
        <w:t>National Greenhouse and Energy Reporting Amendment (2015 Measures No.</w:t>
      </w:r>
      <w:r w:rsidR="00356952" w:rsidRPr="00356952">
        <w:rPr>
          <w:i/>
        </w:rPr>
        <w:t> </w:t>
      </w:r>
      <w:r w:rsidRPr="00356952">
        <w:rPr>
          <w:i/>
        </w:rPr>
        <w:t>2) Regulation</w:t>
      </w:r>
      <w:r w:rsidR="00356952" w:rsidRPr="00356952">
        <w:rPr>
          <w:i/>
        </w:rPr>
        <w:t> </w:t>
      </w:r>
      <w:r w:rsidRPr="00356952">
        <w:rPr>
          <w:i/>
        </w:rPr>
        <w:t>2015</w:t>
      </w:r>
      <w:r w:rsidRPr="00356952">
        <w:t>.</w:t>
      </w:r>
    </w:p>
    <w:p w:rsidR="001C5EE1" w:rsidRPr="00356952" w:rsidRDefault="001C5EE1" w:rsidP="00D27D07">
      <w:pPr>
        <w:pStyle w:val="ActHead5"/>
      </w:pPr>
      <w:bookmarkStart w:id="28" w:name="_Toc430176473"/>
      <w:r w:rsidRPr="00356952">
        <w:rPr>
          <w:rStyle w:val="CharSectno"/>
        </w:rPr>
        <w:t>7.05</w:t>
      </w:r>
      <w:r w:rsidRPr="00356952">
        <w:t xml:space="preserve">  Application—nomination of group entity</w:t>
      </w:r>
      <w:bookmarkEnd w:id="28"/>
    </w:p>
    <w:p w:rsidR="001C5EE1" w:rsidRPr="00356952" w:rsidRDefault="001C5EE1" w:rsidP="001C5EE1">
      <w:pPr>
        <w:pStyle w:val="subsection"/>
      </w:pPr>
      <w:r w:rsidRPr="00356952">
        <w:tab/>
      </w:r>
      <w:r w:rsidRPr="00356952">
        <w:tab/>
        <w:t>The 2015 Measures No.</w:t>
      </w:r>
      <w:r w:rsidR="00356952" w:rsidRPr="00356952">
        <w:t> </w:t>
      </w:r>
      <w:r w:rsidRPr="00356952">
        <w:t xml:space="preserve">2 amendments apply in relation to the </w:t>
      </w:r>
      <w:r w:rsidR="00AB5904" w:rsidRPr="00356952">
        <w:t>requirements under regulation</w:t>
      </w:r>
      <w:r w:rsidR="00356952" w:rsidRPr="00356952">
        <w:t> </w:t>
      </w:r>
      <w:r w:rsidR="00AB5904" w:rsidRPr="00356952">
        <w:t xml:space="preserve">2.28 for a </w:t>
      </w:r>
      <w:r w:rsidRPr="00356952">
        <w:t>nomination of a group entity that is made on or after the commencement of those amendments.</w:t>
      </w:r>
    </w:p>
    <w:p w:rsidR="00AB5904" w:rsidRPr="00356952" w:rsidRDefault="00AB5904" w:rsidP="00AB5904">
      <w:pPr>
        <w:pStyle w:val="notetext"/>
      </w:pPr>
      <w:r w:rsidRPr="00356952">
        <w:t>Note:</w:t>
      </w:r>
      <w:r w:rsidRPr="00356952">
        <w:tab/>
        <w:t>The amendments commenced on 1</w:t>
      </w:r>
      <w:r w:rsidR="00356952" w:rsidRPr="00356952">
        <w:t> </w:t>
      </w:r>
      <w:r w:rsidRPr="00356952">
        <w:t>July 2016.</w:t>
      </w:r>
    </w:p>
    <w:p w:rsidR="008434C5" w:rsidRPr="00356952" w:rsidRDefault="008434C5" w:rsidP="00D27D07">
      <w:pPr>
        <w:pStyle w:val="ActHead5"/>
      </w:pPr>
      <w:bookmarkStart w:id="29" w:name="_Toc430176474"/>
      <w:r w:rsidRPr="00356952">
        <w:rPr>
          <w:rStyle w:val="CharSectno"/>
        </w:rPr>
        <w:t>7.06</w:t>
      </w:r>
      <w:r w:rsidRPr="00356952">
        <w:t xml:space="preserve">  Application—a</w:t>
      </w:r>
      <w:r w:rsidR="00F3536C" w:rsidRPr="00356952">
        <w:t>pplication</w:t>
      </w:r>
      <w:r w:rsidRPr="00356952">
        <w:t xml:space="preserve"> for deregistration</w:t>
      </w:r>
      <w:bookmarkEnd w:id="29"/>
    </w:p>
    <w:p w:rsidR="008434C5" w:rsidRPr="00356952" w:rsidRDefault="008434C5" w:rsidP="008434C5">
      <w:pPr>
        <w:pStyle w:val="subsection"/>
      </w:pPr>
      <w:r w:rsidRPr="00356952">
        <w:tab/>
      </w:r>
      <w:r w:rsidRPr="00356952">
        <w:tab/>
        <w:t xml:space="preserve">The 2015 </w:t>
      </w:r>
      <w:r w:rsidR="00AB5904" w:rsidRPr="00356952">
        <w:t>Measures No.</w:t>
      </w:r>
      <w:r w:rsidR="00356952" w:rsidRPr="00356952">
        <w:t> </w:t>
      </w:r>
      <w:r w:rsidR="00AB5904" w:rsidRPr="00356952">
        <w:t>2 amendments apply in relation to the requirements under regulation</w:t>
      </w:r>
      <w:r w:rsidR="00356952" w:rsidRPr="00356952">
        <w:t> </w:t>
      </w:r>
      <w:r w:rsidR="00AB5904" w:rsidRPr="00356952">
        <w:t xml:space="preserve">3.05 for </w:t>
      </w:r>
      <w:r w:rsidRPr="00356952">
        <w:t>an application by a registered corporation to be deregistered that is made on or after the commencement of those amendments.</w:t>
      </w:r>
    </w:p>
    <w:p w:rsidR="00AB5904" w:rsidRPr="00356952" w:rsidRDefault="00AB5904" w:rsidP="00AB5904">
      <w:pPr>
        <w:pStyle w:val="notetext"/>
      </w:pPr>
      <w:r w:rsidRPr="00356952">
        <w:t>Note:</w:t>
      </w:r>
      <w:r w:rsidRPr="00356952">
        <w:tab/>
        <w:t>The amendments commenced on 1</w:t>
      </w:r>
      <w:r w:rsidR="00356952" w:rsidRPr="00356952">
        <w:t> </w:t>
      </w:r>
      <w:r w:rsidRPr="00356952">
        <w:t>July 2016.</w:t>
      </w:r>
    </w:p>
    <w:p w:rsidR="007610D3" w:rsidRPr="00356952" w:rsidRDefault="007610D3" w:rsidP="007610D3">
      <w:pPr>
        <w:pStyle w:val="ActHead5"/>
      </w:pPr>
      <w:bookmarkStart w:id="30" w:name="_Toc430176475"/>
      <w:r w:rsidRPr="00356952">
        <w:rPr>
          <w:rStyle w:val="CharSectno"/>
        </w:rPr>
        <w:t>7.0</w:t>
      </w:r>
      <w:r w:rsidR="008434C5" w:rsidRPr="00356952">
        <w:rPr>
          <w:rStyle w:val="CharSectno"/>
        </w:rPr>
        <w:t>7</w:t>
      </w:r>
      <w:r w:rsidRPr="00356952">
        <w:t xml:space="preserve">  Application—reports under </w:t>
      </w:r>
      <w:r w:rsidR="00E115A3" w:rsidRPr="00356952">
        <w:t>Parts</w:t>
      </w:r>
      <w:r w:rsidR="00356952" w:rsidRPr="00356952">
        <w:t> </w:t>
      </w:r>
      <w:r w:rsidR="00E115A3" w:rsidRPr="00356952">
        <w:t>3, 3E and 3F</w:t>
      </w:r>
      <w:r w:rsidRPr="00356952">
        <w:t xml:space="preserve"> of </w:t>
      </w:r>
      <w:r w:rsidR="00E115A3" w:rsidRPr="00356952">
        <w:t xml:space="preserve">the </w:t>
      </w:r>
      <w:r w:rsidRPr="00356952">
        <w:t>Act</w:t>
      </w:r>
      <w:bookmarkEnd w:id="30"/>
    </w:p>
    <w:p w:rsidR="007610D3" w:rsidRPr="00356952" w:rsidRDefault="007610D3" w:rsidP="00F65CDD">
      <w:pPr>
        <w:pStyle w:val="subsection"/>
        <w:rPr>
          <w:i/>
        </w:rPr>
      </w:pPr>
      <w:r w:rsidRPr="00356952">
        <w:tab/>
      </w:r>
      <w:r w:rsidRPr="00356952">
        <w:tab/>
        <w:t xml:space="preserve">The </w:t>
      </w:r>
      <w:r w:rsidR="001C5EE1" w:rsidRPr="00356952">
        <w:t>2015 Measures No.</w:t>
      </w:r>
      <w:r w:rsidR="00356952" w:rsidRPr="00356952">
        <w:t> </w:t>
      </w:r>
      <w:r w:rsidR="001C5EE1" w:rsidRPr="00356952">
        <w:t xml:space="preserve">2 amendments </w:t>
      </w:r>
      <w:r w:rsidRPr="00356952">
        <w:t xml:space="preserve">apply in relation to </w:t>
      </w:r>
      <w:r w:rsidR="004C792B" w:rsidRPr="00356952">
        <w:t>a report</w:t>
      </w:r>
      <w:r w:rsidRPr="00356952">
        <w:t xml:space="preserve"> </w:t>
      </w:r>
      <w:r w:rsidR="00F65CDD" w:rsidRPr="00356952">
        <w:t xml:space="preserve">required under </w:t>
      </w:r>
      <w:r w:rsidR="004C792B" w:rsidRPr="00356952">
        <w:t>Part</w:t>
      </w:r>
      <w:r w:rsidR="00356952" w:rsidRPr="00356952">
        <w:t> </w:t>
      </w:r>
      <w:r w:rsidR="00F65CDD" w:rsidRPr="00356952">
        <w:t xml:space="preserve">3, 3E </w:t>
      </w:r>
      <w:r w:rsidR="004C792B" w:rsidRPr="00356952">
        <w:t xml:space="preserve">or </w:t>
      </w:r>
      <w:r w:rsidR="00F65CDD" w:rsidRPr="00356952">
        <w:t>3F of the Act for:</w:t>
      </w:r>
    </w:p>
    <w:p w:rsidR="007610D3" w:rsidRPr="00356952" w:rsidRDefault="007610D3" w:rsidP="007610D3">
      <w:pPr>
        <w:pStyle w:val="paragraph"/>
      </w:pPr>
      <w:r w:rsidRPr="00356952">
        <w:tab/>
        <w:t>(a)</w:t>
      </w:r>
      <w:r w:rsidRPr="00356952">
        <w:tab/>
        <w:t>the financial year beginning on 1</w:t>
      </w:r>
      <w:r w:rsidR="00356952" w:rsidRPr="00356952">
        <w:t> </w:t>
      </w:r>
      <w:r w:rsidRPr="00356952">
        <w:t>July 2016; and</w:t>
      </w:r>
    </w:p>
    <w:p w:rsidR="007610D3" w:rsidRPr="00356952" w:rsidRDefault="007610D3" w:rsidP="007610D3">
      <w:pPr>
        <w:pStyle w:val="paragraph"/>
      </w:pPr>
      <w:r w:rsidRPr="00356952">
        <w:tab/>
        <w:t>(b)</w:t>
      </w:r>
      <w:r w:rsidRPr="00356952">
        <w:tab/>
        <w:t>later financial year</w:t>
      </w:r>
      <w:r w:rsidR="00F65CDD" w:rsidRPr="00356952">
        <w:t>s</w:t>
      </w:r>
      <w:r w:rsidRPr="00356952">
        <w:t>.</w:t>
      </w:r>
    </w:p>
    <w:p w:rsidR="008434C5" w:rsidRPr="00356952" w:rsidRDefault="008434C5" w:rsidP="00D27D07">
      <w:pPr>
        <w:pStyle w:val="ActHead5"/>
      </w:pPr>
      <w:bookmarkStart w:id="31" w:name="_Toc430176476"/>
      <w:r w:rsidRPr="00356952">
        <w:rPr>
          <w:rStyle w:val="CharSectno"/>
        </w:rPr>
        <w:t>7.08</w:t>
      </w:r>
      <w:r w:rsidRPr="00356952">
        <w:t xml:space="preserve">  Application—</w:t>
      </w:r>
      <w:r w:rsidR="00AB5904" w:rsidRPr="00356952">
        <w:t>declaration</w:t>
      </w:r>
      <w:r w:rsidR="00F3536C" w:rsidRPr="00356952">
        <w:t xml:space="preserve">s in relation to </w:t>
      </w:r>
      <w:r w:rsidR="00AB5904" w:rsidRPr="00356952">
        <w:t>facilities</w:t>
      </w:r>
      <w:bookmarkEnd w:id="31"/>
    </w:p>
    <w:p w:rsidR="008434C5" w:rsidRPr="00356952" w:rsidRDefault="008434C5" w:rsidP="008434C5">
      <w:pPr>
        <w:pStyle w:val="subsection"/>
      </w:pPr>
      <w:r w:rsidRPr="00356952">
        <w:tab/>
      </w:r>
      <w:r w:rsidRPr="00356952">
        <w:tab/>
        <w:t>The 2015 Measures No.</w:t>
      </w:r>
      <w:r w:rsidR="00356952" w:rsidRPr="00356952">
        <w:t> </w:t>
      </w:r>
      <w:r w:rsidRPr="00356952">
        <w:t xml:space="preserve">2 amendments apply </w:t>
      </w:r>
      <w:r w:rsidR="00AB5904" w:rsidRPr="00356952">
        <w:t>in relation to the requirements under regulation</w:t>
      </w:r>
      <w:r w:rsidR="00356952" w:rsidRPr="00356952">
        <w:t> </w:t>
      </w:r>
      <w:r w:rsidR="00AB5904" w:rsidRPr="00356952">
        <w:t>6.02 or 6.03 for an</w:t>
      </w:r>
      <w:r w:rsidRPr="00356952">
        <w:t xml:space="preserve"> application </w:t>
      </w:r>
      <w:r w:rsidR="00AB5904" w:rsidRPr="00356952">
        <w:t>for a declaration in relation to a facility</w:t>
      </w:r>
      <w:r w:rsidRPr="00356952">
        <w:t xml:space="preserve"> that is made on or after the commencement of those amendments.</w:t>
      </w:r>
    </w:p>
    <w:p w:rsidR="00AB5904" w:rsidRPr="00356952" w:rsidRDefault="00AB5904" w:rsidP="00AB5904">
      <w:pPr>
        <w:pStyle w:val="notetext"/>
      </w:pPr>
      <w:r w:rsidRPr="00356952">
        <w:t>Note:</w:t>
      </w:r>
      <w:r w:rsidRPr="00356952">
        <w:tab/>
        <w:t>The amendments commenced on 1</w:t>
      </w:r>
      <w:r w:rsidR="00356952" w:rsidRPr="00356952">
        <w:t> </w:t>
      </w:r>
      <w:r w:rsidRPr="00356952">
        <w:t>July 2016.</w:t>
      </w:r>
    </w:p>
    <w:p w:rsidR="00965618" w:rsidRPr="00356952" w:rsidRDefault="00577CCB" w:rsidP="00965618">
      <w:pPr>
        <w:pStyle w:val="ItemHead"/>
      </w:pPr>
      <w:r w:rsidRPr="00356952">
        <w:t>4</w:t>
      </w:r>
      <w:r w:rsidR="00AE3018" w:rsidRPr="00356952">
        <w:t>5</w:t>
      </w:r>
      <w:r w:rsidR="00965618" w:rsidRPr="00356952">
        <w:t xml:space="preserve">  Part</w:t>
      </w:r>
      <w:r w:rsidR="00356952" w:rsidRPr="00356952">
        <w:t> </w:t>
      </w:r>
      <w:r w:rsidR="00965618" w:rsidRPr="00356952">
        <w:t>6 of Schedule</w:t>
      </w:r>
      <w:r w:rsidR="00356952" w:rsidRPr="00356952">
        <w:t> </w:t>
      </w:r>
      <w:r w:rsidR="00965618" w:rsidRPr="00356952">
        <w:t>3 (item</w:t>
      </w:r>
      <w:r w:rsidR="00356952" w:rsidRPr="00356952">
        <w:t> </w:t>
      </w:r>
      <w:r w:rsidR="00965618" w:rsidRPr="00356952">
        <w:t xml:space="preserve">1, column headed “Matters to be identified”, </w:t>
      </w:r>
      <w:r w:rsidR="00356952" w:rsidRPr="00356952">
        <w:t>paragraphs (</w:t>
      </w:r>
      <w:proofErr w:type="spellStart"/>
      <w:r w:rsidR="00965618" w:rsidRPr="00356952">
        <w:t>i</w:t>
      </w:r>
      <w:proofErr w:type="spellEnd"/>
      <w:r w:rsidR="00965618" w:rsidRPr="00356952">
        <w:t>) to (m))</w:t>
      </w:r>
    </w:p>
    <w:p w:rsidR="00965618" w:rsidRPr="00356952" w:rsidRDefault="00965618" w:rsidP="00965618">
      <w:pPr>
        <w:pStyle w:val="Item"/>
      </w:pPr>
      <w:r w:rsidRPr="00356952">
        <w:t>Repeal the paragraphs, substitute:</w:t>
      </w:r>
    </w:p>
    <w:p w:rsidR="00965618" w:rsidRPr="00356952" w:rsidRDefault="00965618" w:rsidP="00965618">
      <w:pPr>
        <w:pStyle w:val="Tablea"/>
      </w:pPr>
      <w:r w:rsidRPr="00356952">
        <w:t>(</w:t>
      </w:r>
      <w:proofErr w:type="spellStart"/>
      <w:r w:rsidRPr="00356952">
        <w:t>i</w:t>
      </w:r>
      <w:proofErr w:type="spellEnd"/>
      <w:r w:rsidRPr="00356952">
        <w:t>) if the total amount of scope 1 emissions from the operation of the facility during the year is more than 100</w:t>
      </w:r>
      <w:r w:rsidR="00356952" w:rsidRPr="00356952">
        <w:t> </w:t>
      </w:r>
      <w:r w:rsidRPr="00356952">
        <w:t>000 tonnes CO</w:t>
      </w:r>
      <w:r w:rsidRPr="00356952">
        <w:rPr>
          <w:vertAlign w:val="subscript"/>
        </w:rPr>
        <w:t>2</w:t>
      </w:r>
      <w:r w:rsidR="00356952">
        <w:noBreakHyphen/>
      </w:r>
      <w:r w:rsidRPr="00356952">
        <w:t>e—the following matters:</w:t>
      </w:r>
    </w:p>
    <w:p w:rsidR="00965618" w:rsidRPr="00356952" w:rsidRDefault="00965618" w:rsidP="00965618">
      <w:pPr>
        <w:pStyle w:val="Tablei"/>
      </w:pPr>
      <w:r w:rsidRPr="00356952">
        <w:t>(</w:t>
      </w:r>
      <w:proofErr w:type="spellStart"/>
      <w:r w:rsidRPr="00356952">
        <w:t>i</w:t>
      </w:r>
      <w:proofErr w:type="spellEnd"/>
      <w:r w:rsidRPr="00356952">
        <w:t>) the legacy emissions from decomposition of waste;</w:t>
      </w:r>
    </w:p>
    <w:p w:rsidR="00965618" w:rsidRPr="00356952" w:rsidRDefault="00965618" w:rsidP="00965618">
      <w:pPr>
        <w:pStyle w:val="Tablei"/>
      </w:pPr>
      <w:r w:rsidRPr="00356952">
        <w:t>(ii) the emissions, other than legacy emissions, from decomposition of waste;</w:t>
      </w:r>
    </w:p>
    <w:p w:rsidR="00965618" w:rsidRPr="00356952" w:rsidRDefault="00965618" w:rsidP="00965618">
      <w:pPr>
        <w:pStyle w:val="Tablei"/>
      </w:pPr>
      <w:r w:rsidRPr="00356952">
        <w:t>(iii) the tonnes of methane (CO</w:t>
      </w:r>
      <w:r w:rsidRPr="00356952">
        <w:rPr>
          <w:vertAlign w:val="subscript"/>
        </w:rPr>
        <w:t>2</w:t>
      </w:r>
      <w:r w:rsidR="00356952">
        <w:noBreakHyphen/>
      </w:r>
      <w:r w:rsidRPr="00356952">
        <w:t>e) captured for combustion that are legacy emissions;</w:t>
      </w:r>
    </w:p>
    <w:p w:rsidR="00965618" w:rsidRPr="00356952" w:rsidRDefault="00965618" w:rsidP="00965618">
      <w:pPr>
        <w:pStyle w:val="Tablei"/>
      </w:pPr>
      <w:r w:rsidRPr="00356952">
        <w:t>(iv) the tonnes of methane (CO</w:t>
      </w:r>
      <w:r w:rsidRPr="00356952">
        <w:rPr>
          <w:vertAlign w:val="subscript"/>
        </w:rPr>
        <w:t>2</w:t>
      </w:r>
      <w:r w:rsidR="00356952">
        <w:noBreakHyphen/>
      </w:r>
      <w:r w:rsidRPr="00356952">
        <w:t>e) captured for combustion that are not legacy emissions;</w:t>
      </w:r>
    </w:p>
    <w:p w:rsidR="00965618" w:rsidRPr="00356952" w:rsidRDefault="00965618" w:rsidP="00965618">
      <w:pPr>
        <w:pStyle w:val="Tablei"/>
      </w:pPr>
      <w:r w:rsidRPr="00356952">
        <w:t>(v) the tonnes of methane (CO</w:t>
      </w:r>
      <w:r w:rsidRPr="00356952">
        <w:rPr>
          <w:vertAlign w:val="subscript"/>
        </w:rPr>
        <w:t>2</w:t>
      </w:r>
      <w:r w:rsidR="00356952">
        <w:noBreakHyphen/>
      </w:r>
      <w:r w:rsidRPr="00356952">
        <w:t>e) captured and transferred offsite that are legacy emissions;</w:t>
      </w:r>
    </w:p>
    <w:p w:rsidR="00965618" w:rsidRPr="00356952" w:rsidRDefault="00965618" w:rsidP="00965618">
      <w:pPr>
        <w:pStyle w:val="Tablei"/>
      </w:pPr>
      <w:r w:rsidRPr="00356952">
        <w:t>(vi) the tonnes of methane (CO</w:t>
      </w:r>
      <w:r w:rsidRPr="00356952">
        <w:rPr>
          <w:vertAlign w:val="subscript"/>
        </w:rPr>
        <w:t>2</w:t>
      </w:r>
      <w:r w:rsidR="00356952">
        <w:noBreakHyphen/>
      </w:r>
      <w:r w:rsidRPr="00356952">
        <w:t>e) captured and transferred offsite that are not legacy emissions;</w:t>
      </w:r>
    </w:p>
    <w:p w:rsidR="00965618" w:rsidRPr="00356952" w:rsidRDefault="00965618" w:rsidP="00965618">
      <w:pPr>
        <w:pStyle w:val="Tablei"/>
      </w:pPr>
      <w:r w:rsidRPr="00356952">
        <w:t>(vii) the tonnes of methane (CO</w:t>
      </w:r>
      <w:r w:rsidRPr="00356952">
        <w:rPr>
          <w:vertAlign w:val="subscript"/>
        </w:rPr>
        <w:t>2</w:t>
      </w:r>
      <w:r w:rsidR="00356952">
        <w:noBreakHyphen/>
      </w:r>
      <w:r w:rsidRPr="00356952">
        <w:t>e) flared that are legacy emissions;</w:t>
      </w:r>
    </w:p>
    <w:p w:rsidR="00965618" w:rsidRPr="00356952" w:rsidRDefault="00965618" w:rsidP="00965618">
      <w:pPr>
        <w:pStyle w:val="Tablei"/>
      </w:pPr>
      <w:r w:rsidRPr="00356952">
        <w:t>(viii) the tonnes of methane (CO</w:t>
      </w:r>
      <w:r w:rsidRPr="00356952">
        <w:rPr>
          <w:vertAlign w:val="subscript"/>
        </w:rPr>
        <w:t>2</w:t>
      </w:r>
      <w:r w:rsidR="00356952">
        <w:noBreakHyphen/>
      </w:r>
      <w:r w:rsidRPr="00356952">
        <w:t>e) flared that are not legacy emissions;</w:t>
      </w:r>
    </w:p>
    <w:p w:rsidR="00965618" w:rsidRPr="00356952" w:rsidRDefault="00965618" w:rsidP="00965618">
      <w:pPr>
        <w:pStyle w:val="Tablea"/>
      </w:pPr>
      <w:r w:rsidRPr="00356952">
        <w:t>(j) if the total amount of scope 1 emissions from the operation of the facility during the year is 100</w:t>
      </w:r>
      <w:r w:rsidR="00356952" w:rsidRPr="00356952">
        <w:t> </w:t>
      </w:r>
      <w:r w:rsidRPr="00356952">
        <w:t>000 tonnes CO</w:t>
      </w:r>
      <w:r w:rsidRPr="00356952">
        <w:rPr>
          <w:vertAlign w:val="subscript"/>
        </w:rPr>
        <w:t>2</w:t>
      </w:r>
      <w:r w:rsidR="00356952">
        <w:noBreakHyphen/>
      </w:r>
      <w:r w:rsidRPr="00356952">
        <w:t>e or less—the following matters:</w:t>
      </w:r>
    </w:p>
    <w:p w:rsidR="00965618" w:rsidRPr="00356952" w:rsidRDefault="00965618" w:rsidP="00965618">
      <w:pPr>
        <w:pStyle w:val="Tablei"/>
      </w:pPr>
      <w:r w:rsidRPr="00356952">
        <w:t>(</w:t>
      </w:r>
      <w:proofErr w:type="spellStart"/>
      <w:r w:rsidRPr="00356952">
        <w:t>i</w:t>
      </w:r>
      <w:proofErr w:type="spellEnd"/>
      <w:r w:rsidRPr="00356952">
        <w:t>) the emissions from decomposition of waste;</w:t>
      </w:r>
    </w:p>
    <w:p w:rsidR="00965618" w:rsidRPr="00356952" w:rsidRDefault="00965618" w:rsidP="00965618">
      <w:pPr>
        <w:pStyle w:val="Tablei"/>
      </w:pPr>
      <w:r w:rsidRPr="00356952">
        <w:t>(ii) the tonnes of methane (CO</w:t>
      </w:r>
      <w:r w:rsidRPr="00356952">
        <w:rPr>
          <w:vertAlign w:val="subscript"/>
        </w:rPr>
        <w:t>2</w:t>
      </w:r>
      <w:r w:rsidR="00356952">
        <w:noBreakHyphen/>
      </w:r>
      <w:r w:rsidRPr="00356952">
        <w:t>e) captured for combustion;</w:t>
      </w:r>
    </w:p>
    <w:p w:rsidR="00965618" w:rsidRPr="00356952" w:rsidRDefault="00965618" w:rsidP="00965618">
      <w:pPr>
        <w:pStyle w:val="Tablei"/>
      </w:pPr>
      <w:r w:rsidRPr="00356952">
        <w:t>(iii) the tonnes of methane (CO</w:t>
      </w:r>
      <w:r w:rsidRPr="00356952">
        <w:rPr>
          <w:vertAlign w:val="subscript"/>
        </w:rPr>
        <w:t>2</w:t>
      </w:r>
      <w:r w:rsidR="00356952">
        <w:noBreakHyphen/>
      </w:r>
      <w:r w:rsidRPr="00356952">
        <w:t>e) captured and transferred offsite;</w:t>
      </w:r>
    </w:p>
    <w:p w:rsidR="00965618" w:rsidRPr="00356952" w:rsidRDefault="00965618" w:rsidP="00965618">
      <w:pPr>
        <w:pStyle w:val="Tablei"/>
      </w:pPr>
      <w:r w:rsidRPr="00356952">
        <w:t>(iv) the tonnes of methane (CO</w:t>
      </w:r>
      <w:r w:rsidRPr="00356952">
        <w:rPr>
          <w:vertAlign w:val="subscript"/>
        </w:rPr>
        <w:t>2</w:t>
      </w:r>
      <w:r w:rsidR="00356952">
        <w:noBreakHyphen/>
      </w:r>
      <w:r w:rsidRPr="00356952">
        <w:t>e) flared;</w:t>
      </w:r>
    </w:p>
    <w:p w:rsidR="00965618" w:rsidRPr="00356952" w:rsidRDefault="00577CCB" w:rsidP="00965618">
      <w:pPr>
        <w:pStyle w:val="ItemHead"/>
      </w:pPr>
      <w:r w:rsidRPr="00356952">
        <w:t>4</w:t>
      </w:r>
      <w:r w:rsidR="00AE3018" w:rsidRPr="00356952">
        <w:t>6</w:t>
      </w:r>
      <w:r w:rsidR="00965618" w:rsidRPr="00356952">
        <w:t xml:space="preserve">  Part</w:t>
      </w:r>
      <w:r w:rsidR="00356952" w:rsidRPr="00356952">
        <w:t> </w:t>
      </w:r>
      <w:r w:rsidR="00965618" w:rsidRPr="00356952">
        <w:t>6 of Schedule</w:t>
      </w:r>
      <w:r w:rsidR="00356952" w:rsidRPr="00356952">
        <w:t> </w:t>
      </w:r>
      <w:r w:rsidR="00965618" w:rsidRPr="00356952">
        <w:t>3 (table item</w:t>
      </w:r>
      <w:r w:rsidR="00356952" w:rsidRPr="00356952">
        <w:t> </w:t>
      </w:r>
      <w:r w:rsidR="00965618" w:rsidRPr="00356952">
        <w:t xml:space="preserve">2, column headed “Matters to be identified”, </w:t>
      </w:r>
      <w:r w:rsidR="00356952" w:rsidRPr="00356952">
        <w:t>paragraphs (</w:t>
      </w:r>
      <w:r w:rsidR="00965618" w:rsidRPr="00356952">
        <w:t>j) to (n))</w:t>
      </w:r>
    </w:p>
    <w:p w:rsidR="00965618" w:rsidRPr="00356952" w:rsidRDefault="00965618" w:rsidP="00965618">
      <w:pPr>
        <w:pStyle w:val="Item"/>
      </w:pPr>
      <w:r w:rsidRPr="00356952">
        <w:t>Repeal the paragraphs, substitute:</w:t>
      </w:r>
    </w:p>
    <w:p w:rsidR="00965618" w:rsidRPr="00356952" w:rsidRDefault="00965618" w:rsidP="00965618">
      <w:pPr>
        <w:pStyle w:val="Tablea"/>
      </w:pPr>
      <w:r w:rsidRPr="00356952">
        <w:t>(j) if the total amount of scope 1 emissions from the operation of the facility during the year is more than 100</w:t>
      </w:r>
      <w:r w:rsidR="00356952" w:rsidRPr="00356952">
        <w:t> </w:t>
      </w:r>
      <w:r w:rsidRPr="00356952">
        <w:t>000 tonnes CO</w:t>
      </w:r>
      <w:r w:rsidRPr="00356952">
        <w:rPr>
          <w:rStyle w:val="charSubscript"/>
        </w:rPr>
        <w:t>2</w:t>
      </w:r>
      <w:r w:rsidR="00356952">
        <w:noBreakHyphen/>
      </w:r>
      <w:r w:rsidRPr="00356952">
        <w:t>e—the following matters:</w:t>
      </w:r>
    </w:p>
    <w:p w:rsidR="00965618" w:rsidRPr="00356952" w:rsidRDefault="00965618" w:rsidP="00965618">
      <w:pPr>
        <w:pStyle w:val="Tablei"/>
      </w:pPr>
      <w:r w:rsidRPr="00356952">
        <w:t>(</w:t>
      </w:r>
      <w:proofErr w:type="spellStart"/>
      <w:r w:rsidRPr="00356952">
        <w:t>i</w:t>
      </w:r>
      <w:proofErr w:type="spellEnd"/>
      <w:r w:rsidRPr="00356952">
        <w:t>) the legacy emissions from decomposition of waste;</w:t>
      </w:r>
    </w:p>
    <w:p w:rsidR="00965618" w:rsidRPr="00356952" w:rsidRDefault="00965618" w:rsidP="00965618">
      <w:pPr>
        <w:pStyle w:val="Tablei"/>
      </w:pPr>
      <w:r w:rsidRPr="00356952">
        <w:t>(ii) the emissions, other than legacy emissions, from decomposition of waste;</w:t>
      </w:r>
    </w:p>
    <w:p w:rsidR="00965618" w:rsidRPr="00356952" w:rsidRDefault="00965618" w:rsidP="00965618">
      <w:pPr>
        <w:pStyle w:val="Tablei"/>
      </w:pPr>
      <w:r w:rsidRPr="00356952">
        <w:t>(iii) the tonnes of methane (CO</w:t>
      </w:r>
      <w:r w:rsidRPr="00356952">
        <w:rPr>
          <w:rStyle w:val="charSubscript"/>
        </w:rPr>
        <w:t>2</w:t>
      </w:r>
      <w:r w:rsidR="00356952">
        <w:noBreakHyphen/>
      </w:r>
      <w:r w:rsidRPr="00356952">
        <w:t>e) captured for combustion that are legacy emissions;</w:t>
      </w:r>
    </w:p>
    <w:p w:rsidR="00965618" w:rsidRPr="00356952" w:rsidRDefault="00965618" w:rsidP="00965618">
      <w:pPr>
        <w:pStyle w:val="Tablei"/>
      </w:pPr>
      <w:r w:rsidRPr="00356952">
        <w:t>(iv) the tonnes of methane (CO</w:t>
      </w:r>
      <w:r w:rsidRPr="00356952">
        <w:rPr>
          <w:rStyle w:val="charSubscript"/>
        </w:rPr>
        <w:t>2</w:t>
      </w:r>
      <w:r w:rsidR="00356952">
        <w:noBreakHyphen/>
      </w:r>
      <w:r w:rsidRPr="00356952">
        <w:t>e) captured for combustion that are not legacy emissions;</w:t>
      </w:r>
    </w:p>
    <w:p w:rsidR="00965618" w:rsidRPr="00356952" w:rsidRDefault="00965618" w:rsidP="00965618">
      <w:pPr>
        <w:pStyle w:val="Tablei"/>
      </w:pPr>
      <w:r w:rsidRPr="00356952">
        <w:t>(v) the tonnes of methane (CO</w:t>
      </w:r>
      <w:r w:rsidRPr="00356952">
        <w:rPr>
          <w:rStyle w:val="charSubscript"/>
        </w:rPr>
        <w:t>2</w:t>
      </w:r>
      <w:r w:rsidR="00356952">
        <w:noBreakHyphen/>
      </w:r>
      <w:r w:rsidRPr="00356952">
        <w:t>e) captured and transferred offsite that are legacy emissions;</w:t>
      </w:r>
    </w:p>
    <w:p w:rsidR="00965618" w:rsidRPr="00356952" w:rsidRDefault="00965618" w:rsidP="00965618">
      <w:pPr>
        <w:pStyle w:val="Tablei"/>
      </w:pPr>
      <w:r w:rsidRPr="00356952">
        <w:t>(vi) the tonnes of methane (CO</w:t>
      </w:r>
      <w:r w:rsidRPr="00356952">
        <w:rPr>
          <w:rStyle w:val="charSubscript"/>
        </w:rPr>
        <w:t>2</w:t>
      </w:r>
      <w:r w:rsidR="00356952">
        <w:noBreakHyphen/>
      </w:r>
      <w:r w:rsidRPr="00356952">
        <w:t>e) captured and transferred offsite that are not legacy emissions;</w:t>
      </w:r>
    </w:p>
    <w:p w:rsidR="00965618" w:rsidRPr="00356952" w:rsidRDefault="00965618" w:rsidP="00965618">
      <w:pPr>
        <w:pStyle w:val="Tablei"/>
      </w:pPr>
      <w:r w:rsidRPr="00356952">
        <w:t>(vii) the tonnes of methane (CO</w:t>
      </w:r>
      <w:r w:rsidRPr="00356952">
        <w:rPr>
          <w:rStyle w:val="charSubscript"/>
        </w:rPr>
        <w:t>2</w:t>
      </w:r>
      <w:r w:rsidR="00356952">
        <w:noBreakHyphen/>
      </w:r>
      <w:r w:rsidRPr="00356952">
        <w:t>e) flared that are legacy emissions;</w:t>
      </w:r>
    </w:p>
    <w:p w:rsidR="00965618" w:rsidRPr="00356952" w:rsidRDefault="00965618" w:rsidP="00965618">
      <w:pPr>
        <w:pStyle w:val="Tablei"/>
      </w:pPr>
      <w:r w:rsidRPr="00356952">
        <w:t>(viii) the tonnes of methane (CO</w:t>
      </w:r>
      <w:r w:rsidRPr="00356952">
        <w:rPr>
          <w:rStyle w:val="charSubscript"/>
        </w:rPr>
        <w:t>2</w:t>
      </w:r>
      <w:r w:rsidR="00356952">
        <w:noBreakHyphen/>
      </w:r>
      <w:r w:rsidRPr="00356952">
        <w:t>e) flared that are not legacy emissions;</w:t>
      </w:r>
    </w:p>
    <w:p w:rsidR="00965618" w:rsidRPr="00356952" w:rsidRDefault="00965618" w:rsidP="00965618">
      <w:pPr>
        <w:pStyle w:val="Tablea"/>
      </w:pPr>
      <w:r w:rsidRPr="00356952">
        <w:t>(k) if the total amount of scope 1 emissions from the operation of the facility during the year is 100</w:t>
      </w:r>
      <w:r w:rsidR="00356952" w:rsidRPr="00356952">
        <w:t> </w:t>
      </w:r>
      <w:r w:rsidRPr="00356952">
        <w:t>000 tonnes CO</w:t>
      </w:r>
      <w:r w:rsidRPr="00356952">
        <w:rPr>
          <w:rStyle w:val="charSubscript"/>
        </w:rPr>
        <w:t>2</w:t>
      </w:r>
      <w:r w:rsidR="00356952">
        <w:noBreakHyphen/>
      </w:r>
      <w:r w:rsidRPr="00356952">
        <w:t>e or less—the following matters:</w:t>
      </w:r>
    </w:p>
    <w:p w:rsidR="00965618" w:rsidRPr="00356952" w:rsidRDefault="00965618" w:rsidP="00965618">
      <w:pPr>
        <w:pStyle w:val="Tablei"/>
      </w:pPr>
      <w:r w:rsidRPr="00356952">
        <w:t>(</w:t>
      </w:r>
      <w:proofErr w:type="spellStart"/>
      <w:r w:rsidRPr="00356952">
        <w:t>i</w:t>
      </w:r>
      <w:proofErr w:type="spellEnd"/>
      <w:r w:rsidRPr="00356952">
        <w:t>) the emissions from decomposition of waste;</w:t>
      </w:r>
    </w:p>
    <w:p w:rsidR="00965618" w:rsidRPr="00356952" w:rsidRDefault="00965618" w:rsidP="00965618">
      <w:pPr>
        <w:pStyle w:val="Tablei"/>
      </w:pPr>
      <w:r w:rsidRPr="00356952">
        <w:t>(ii) the tonnes of methane (CO</w:t>
      </w:r>
      <w:r w:rsidRPr="00356952">
        <w:rPr>
          <w:rStyle w:val="charSubscript"/>
        </w:rPr>
        <w:t>2</w:t>
      </w:r>
      <w:r w:rsidR="00356952">
        <w:noBreakHyphen/>
      </w:r>
      <w:r w:rsidRPr="00356952">
        <w:t>e) captured for combustion;</w:t>
      </w:r>
    </w:p>
    <w:p w:rsidR="00965618" w:rsidRPr="00356952" w:rsidRDefault="00965618" w:rsidP="00965618">
      <w:pPr>
        <w:pStyle w:val="Tablei"/>
      </w:pPr>
      <w:r w:rsidRPr="00356952">
        <w:t>(iii) the tonnes of methane (CO</w:t>
      </w:r>
      <w:r w:rsidRPr="00356952">
        <w:rPr>
          <w:rStyle w:val="charSubscript"/>
        </w:rPr>
        <w:t>2</w:t>
      </w:r>
      <w:r w:rsidR="00356952">
        <w:noBreakHyphen/>
      </w:r>
      <w:r w:rsidRPr="00356952">
        <w:t>e) captured and transferred offsite;</w:t>
      </w:r>
    </w:p>
    <w:p w:rsidR="00965618" w:rsidRPr="00356952" w:rsidRDefault="00965618" w:rsidP="00965618">
      <w:pPr>
        <w:pStyle w:val="Tablei"/>
      </w:pPr>
      <w:r w:rsidRPr="00356952">
        <w:t>(iv) the tonnes of methane (CO</w:t>
      </w:r>
      <w:r w:rsidRPr="00356952">
        <w:rPr>
          <w:rStyle w:val="charSubscript"/>
        </w:rPr>
        <w:t>2</w:t>
      </w:r>
      <w:r w:rsidR="00356952">
        <w:noBreakHyphen/>
      </w:r>
      <w:r w:rsidRPr="00356952">
        <w:t>e) flared;</w:t>
      </w:r>
    </w:p>
    <w:p w:rsidR="0026468A" w:rsidRPr="00356952" w:rsidRDefault="00577CCB" w:rsidP="003B4DE5">
      <w:pPr>
        <w:pStyle w:val="ItemHead"/>
      </w:pPr>
      <w:r w:rsidRPr="00356952">
        <w:t>4</w:t>
      </w:r>
      <w:r w:rsidR="00AE3018" w:rsidRPr="00356952">
        <w:t>7</w:t>
      </w:r>
      <w:r w:rsidR="0026468A" w:rsidRPr="00356952">
        <w:t xml:space="preserve">  Amendments of listed provisions</w:t>
      </w:r>
    </w:p>
    <w:p w:rsidR="0019337B" w:rsidRPr="00356952" w:rsidRDefault="0019337B" w:rsidP="0019337B">
      <w:pPr>
        <w:pStyle w:val="Item"/>
      </w:pPr>
      <w:r w:rsidRPr="00356952">
        <w:t>Omit “group entity” (wherever occurring) and substitute “person” in the following provisions:</w:t>
      </w:r>
    </w:p>
    <w:p w:rsidR="0019337B" w:rsidRPr="00356952" w:rsidRDefault="0019337B" w:rsidP="0019337B">
      <w:pPr>
        <w:pStyle w:val="paragraph"/>
      </w:pPr>
      <w:r w:rsidRPr="00356952">
        <w:tab/>
        <w:t>(a)</w:t>
      </w:r>
      <w:r w:rsidRPr="00356952">
        <w:tab/>
      </w:r>
      <w:proofErr w:type="spellStart"/>
      <w:r w:rsidRPr="00356952">
        <w:t>subregulations</w:t>
      </w:r>
      <w:proofErr w:type="spellEnd"/>
      <w:r w:rsidRPr="00356952">
        <w:t xml:space="preserve"> 2.14(1) and (2);</w:t>
      </w:r>
    </w:p>
    <w:p w:rsidR="0019337B" w:rsidRPr="00356952" w:rsidRDefault="0019337B" w:rsidP="0019337B">
      <w:pPr>
        <w:pStyle w:val="paragraph"/>
      </w:pPr>
      <w:r w:rsidRPr="00356952">
        <w:tab/>
        <w:t>(b)</w:t>
      </w:r>
      <w:r w:rsidRPr="00356952">
        <w:tab/>
        <w:t>paragraph</w:t>
      </w:r>
      <w:r w:rsidR="00356952" w:rsidRPr="00356952">
        <w:t> </w:t>
      </w:r>
      <w:r w:rsidRPr="00356952">
        <w:t>2.16(2)(a);</w:t>
      </w:r>
    </w:p>
    <w:p w:rsidR="0019337B" w:rsidRPr="00356952" w:rsidRDefault="0019337B" w:rsidP="0019337B">
      <w:pPr>
        <w:pStyle w:val="paragraph"/>
      </w:pPr>
      <w:r w:rsidRPr="00356952">
        <w:tab/>
        <w:t>(c)</w:t>
      </w:r>
      <w:r w:rsidRPr="00356952">
        <w:tab/>
        <w:t>paragraph</w:t>
      </w:r>
      <w:r w:rsidR="00356952" w:rsidRPr="00356952">
        <w:t> </w:t>
      </w:r>
      <w:r w:rsidRPr="00356952">
        <w:t>2.17(1)(c);</w:t>
      </w:r>
    </w:p>
    <w:p w:rsidR="0019337B" w:rsidRPr="00356952" w:rsidRDefault="0019337B" w:rsidP="0019337B">
      <w:pPr>
        <w:pStyle w:val="paragraph"/>
      </w:pPr>
      <w:r w:rsidRPr="00356952">
        <w:tab/>
        <w:t>(d)</w:t>
      </w:r>
      <w:r w:rsidRPr="00356952">
        <w:tab/>
      </w:r>
      <w:proofErr w:type="spellStart"/>
      <w:r w:rsidRPr="00356952">
        <w:t>subregulations</w:t>
      </w:r>
      <w:proofErr w:type="spellEnd"/>
      <w:r w:rsidRPr="00356952">
        <w:t xml:space="preserve"> 2.17(3), (4) and (5);</w:t>
      </w:r>
    </w:p>
    <w:p w:rsidR="0019337B" w:rsidRPr="00356952" w:rsidRDefault="0019337B" w:rsidP="0019337B">
      <w:pPr>
        <w:pStyle w:val="paragraph"/>
      </w:pPr>
      <w:r w:rsidRPr="00356952">
        <w:tab/>
        <w:t>(e)</w:t>
      </w:r>
      <w:r w:rsidRPr="00356952">
        <w:tab/>
        <w:t>paragraph</w:t>
      </w:r>
      <w:r w:rsidR="00356952" w:rsidRPr="00356952">
        <w:t> </w:t>
      </w:r>
      <w:r w:rsidRPr="00356952">
        <w:t>2.18(1)(c);</w:t>
      </w:r>
    </w:p>
    <w:p w:rsidR="0019337B" w:rsidRPr="00356952" w:rsidRDefault="0019337B" w:rsidP="0019337B">
      <w:pPr>
        <w:pStyle w:val="paragraph"/>
      </w:pPr>
      <w:r w:rsidRPr="00356952">
        <w:tab/>
        <w:t>(f)</w:t>
      </w:r>
      <w:r w:rsidRPr="00356952">
        <w:tab/>
      </w:r>
      <w:proofErr w:type="spellStart"/>
      <w:r w:rsidRPr="00356952">
        <w:t>subregulations</w:t>
      </w:r>
      <w:proofErr w:type="spellEnd"/>
      <w:r w:rsidRPr="00356952">
        <w:t xml:space="preserve"> 2.18(4)</w:t>
      </w:r>
      <w:r w:rsidR="000E5758" w:rsidRPr="00356952">
        <w:t xml:space="preserve">, </w:t>
      </w:r>
      <w:r w:rsidRPr="00356952">
        <w:t>(5)</w:t>
      </w:r>
      <w:r w:rsidR="000E5758" w:rsidRPr="00356952">
        <w:t xml:space="preserve"> and (6)</w:t>
      </w:r>
      <w:r w:rsidRPr="00356952">
        <w:t>;</w:t>
      </w:r>
    </w:p>
    <w:p w:rsidR="001D1A0D" w:rsidRPr="00356952" w:rsidRDefault="001D1A0D" w:rsidP="0019337B">
      <w:pPr>
        <w:pStyle w:val="paragraph"/>
      </w:pPr>
      <w:r w:rsidRPr="00356952">
        <w:tab/>
        <w:t>(</w:t>
      </w:r>
      <w:r w:rsidR="004744E3" w:rsidRPr="00356952">
        <w:t>g</w:t>
      </w:r>
      <w:r w:rsidRPr="00356952">
        <w:t>)</w:t>
      </w:r>
      <w:r w:rsidRPr="00356952">
        <w:tab/>
      </w:r>
      <w:proofErr w:type="spellStart"/>
      <w:r w:rsidRPr="00356952">
        <w:t>subregulation</w:t>
      </w:r>
      <w:proofErr w:type="spellEnd"/>
      <w:r w:rsidR="00356952" w:rsidRPr="00356952">
        <w:t> </w:t>
      </w:r>
      <w:r w:rsidR="004744E3" w:rsidRPr="00356952">
        <w:t>2.19A(2</w:t>
      </w:r>
      <w:r w:rsidRPr="00356952">
        <w:t>);</w:t>
      </w:r>
    </w:p>
    <w:p w:rsidR="00FC70A5" w:rsidRPr="00356952" w:rsidRDefault="00FC70A5" w:rsidP="0019337B">
      <w:pPr>
        <w:pStyle w:val="paragraph"/>
      </w:pPr>
      <w:r w:rsidRPr="00356952">
        <w:tab/>
        <w:t>(h)</w:t>
      </w:r>
      <w:r w:rsidRPr="00356952">
        <w:tab/>
        <w:t>paragraphs 2.19A(5)(a), (b) and (c);</w:t>
      </w:r>
    </w:p>
    <w:p w:rsidR="0019337B" w:rsidRPr="00356952" w:rsidRDefault="0019337B" w:rsidP="0019337B">
      <w:pPr>
        <w:pStyle w:val="paragraph"/>
      </w:pPr>
      <w:r w:rsidRPr="00356952">
        <w:tab/>
        <w:t>(</w:t>
      </w:r>
      <w:proofErr w:type="spellStart"/>
      <w:r w:rsidR="00FC70A5" w:rsidRPr="00356952">
        <w:t>i</w:t>
      </w:r>
      <w:proofErr w:type="spellEnd"/>
      <w:r w:rsidRPr="00356952">
        <w:t>)</w:t>
      </w:r>
      <w:r w:rsidRPr="00356952">
        <w:tab/>
        <w:t>paragraph</w:t>
      </w:r>
      <w:r w:rsidR="00356952" w:rsidRPr="00356952">
        <w:t> </w:t>
      </w:r>
      <w:r w:rsidRPr="00356952">
        <w:t>2.20(1)(b);</w:t>
      </w:r>
    </w:p>
    <w:p w:rsidR="0019337B" w:rsidRPr="00356952" w:rsidRDefault="004744E3" w:rsidP="0019337B">
      <w:pPr>
        <w:pStyle w:val="paragraph"/>
      </w:pPr>
      <w:r w:rsidRPr="00356952">
        <w:tab/>
        <w:t>(</w:t>
      </w:r>
      <w:r w:rsidR="00FC70A5" w:rsidRPr="00356952">
        <w:t>j</w:t>
      </w:r>
      <w:r w:rsidR="0019337B" w:rsidRPr="00356952">
        <w:t>)</w:t>
      </w:r>
      <w:r w:rsidR="0019337B" w:rsidRPr="00356952">
        <w:tab/>
      </w:r>
      <w:proofErr w:type="spellStart"/>
      <w:r w:rsidR="0019337B" w:rsidRPr="00356952">
        <w:t>subregulation</w:t>
      </w:r>
      <w:proofErr w:type="spellEnd"/>
      <w:r w:rsidR="00356952" w:rsidRPr="00356952">
        <w:t> </w:t>
      </w:r>
      <w:r w:rsidR="0019337B" w:rsidRPr="00356952">
        <w:t>2.22(2);</w:t>
      </w:r>
    </w:p>
    <w:p w:rsidR="0019337B" w:rsidRPr="00356952" w:rsidRDefault="004744E3" w:rsidP="0019337B">
      <w:pPr>
        <w:pStyle w:val="paragraph"/>
      </w:pPr>
      <w:r w:rsidRPr="00356952">
        <w:tab/>
        <w:t>(</w:t>
      </w:r>
      <w:r w:rsidR="00FC70A5" w:rsidRPr="00356952">
        <w:t>k</w:t>
      </w:r>
      <w:r w:rsidR="0019337B" w:rsidRPr="00356952">
        <w:t>)</w:t>
      </w:r>
      <w:r w:rsidR="0019337B" w:rsidRPr="00356952">
        <w:tab/>
        <w:t>paragraph</w:t>
      </w:r>
      <w:r w:rsidR="00356952" w:rsidRPr="00356952">
        <w:t> </w:t>
      </w:r>
      <w:r w:rsidR="0019337B" w:rsidRPr="00356952">
        <w:t>2.22(3)(c);</w:t>
      </w:r>
    </w:p>
    <w:p w:rsidR="00824E86" w:rsidRPr="00356952" w:rsidRDefault="004744E3" w:rsidP="0019337B">
      <w:pPr>
        <w:pStyle w:val="paragraph"/>
      </w:pPr>
      <w:r w:rsidRPr="00356952">
        <w:tab/>
        <w:t>(</w:t>
      </w:r>
      <w:r w:rsidR="00FC70A5" w:rsidRPr="00356952">
        <w:t>l</w:t>
      </w:r>
      <w:r w:rsidR="0019337B" w:rsidRPr="00356952">
        <w:t>)</w:t>
      </w:r>
      <w:r w:rsidR="0019337B" w:rsidRPr="00356952">
        <w:tab/>
      </w:r>
      <w:proofErr w:type="spellStart"/>
      <w:r w:rsidR="0019337B" w:rsidRPr="00356952">
        <w:t>subregulation</w:t>
      </w:r>
      <w:proofErr w:type="spellEnd"/>
      <w:r w:rsidR="00356952" w:rsidRPr="00356952">
        <w:t> </w:t>
      </w:r>
      <w:r w:rsidR="0019337B" w:rsidRPr="00356952">
        <w:t>2.22(4)</w:t>
      </w:r>
      <w:r w:rsidR="00824E86" w:rsidRPr="00356952">
        <w:t>;</w:t>
      </w:r>
    </w:p>
    <w:p w:rsidR="0019337B" w:rsidRPr="00356952" w:rsidRDefault="005063A9" w:rsidP="0019337B">
      <w:pPr>
        <w:pStyle w:val="paragraph"/>
      </w:pPr>
      <w:r w:rsidRPr="00356952">
        <w:tab/>
      </w:r>
      <w:r w:rsidR="004744E3" w:rsidRPr="00356952">
        <w:t>(</w:t>
      </w:r>
      <w:r w:rsidR="00FC70A5" w:rsidRPr="00356952">
        <w:t>m</w:t>
      </w:r>
      <w:r w:rsidR="00824E86" w:rsidRPr="00356952">
        <w:t>)</w:t>
      </w:r>
      <w:r w:rsidR="00824E86" w:rsidRPr="00356952">
        <w:tab/>
        <w:t>subparagraph</w:t>
      </w:r>
      <w:r w:rsidR="00356952" w:rsidRPr="00356952">
        <w:t> </w:t>
      </w:r>
      <w:r w:rsidR="00824E86" w:rsidRPr="00356952">
        <w:t>6.03(1)(d)(iii)</w:t>
      </w:r>
      <w:r w:rsidR="0019337B" w:rsidRPr="00356952">
        <w:t>.</w:t>
      </w:r>
    </w:p>
    <w:sectPr w:rsidR="0019337B" w:rsidRPr="00356952" w:rsidSect="00C16BE7">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9F" w:rsidRDefault="00AF389F" w:rsidP="0048364F">
      <w:pPr>
        <w:spacing w:line="240" w:lineRule="auto"/>
      </w:pPr>
      <w:r>
        <w:separator/>
      </w:r>
    </w:p>
  </w:endnote>
  <w:endnote w:type="continuationSeparator" w:id="0">
    <w:p w:rsidR="00AF389F" w:rsidRDefault="00AF38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C16BE7" w:rsidRDefault="00AF389F" w:rsidP="00C16BE7">
    <w:pPr>
      <w:pStyle w:val="Footer"/>
      <w:tabs>
        <w:tab w:val="clear" w:pos="4153"/>
        <w:tab w:val="clear" w:pos="8306"/>
        <w:tab w:val="center" w:pos="4150"/>
        <w:tab w:val="right" w:pos="8307"/>
      </w:tabs>
      <w:spacing w:before="120"/>
      <w:rPr>
        <w:i/>
        <w:sz w:val="18"/>
      </w:rPr>
    </w:pPr>
    <w:r w:rsidRPr="00C16BE7">
      <w:rPr>
        <w:i/>
        <w:sz w:val="18"/>
      </w:rPr>
      <w:t xml:space="preserve"> </w:t>
    </w:r>
    <w:r w:rsidR="00C16BE7" w:rsidRPr="00C16BE7">
      <w:rPr>
        <w:i/>
        <w:sz w:val="18"/>
      </w:rPr>
      <w:t>OPC61224 -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E7" w:rsidRDefault="00C16BE7" w:rsidP="00C16BE7">
    <w:pPr>
      <w:pStyle w:val="Footer"/>
    </w:pPr>
    <w:r w:rsidRPr="00C16BE7">
      <w:rPr>
        <w:i/>
        <w:sz w:val="18"/>
      </w:rPr>
      <w:t>OPC61224 -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C16BE7" w:rsidRDefault="00AF389F" w:rsidP="00486382">
    <w:pPr>
      <w:pStyle w:val="Footer"/>
      <w:rPr>
        <w:sz w:val="18"/>
      </w:rPr>
    </w:pPr>
  </w:p>
  <w:p w:rsidR="00AF389F" w:rsidRPr="00C16BE7" w:rsidRDefault="00C16BE7" w:rsidP="00C16BE7">
    <w:pPr>
      <w:pStyle w:val="Footer"/>
      <w:rPr>
        <w:sz w:val="18"/>
      </w:rPr>
    </w:pPr>
    <w:r w:rsidRPr="00C16BE7">
      <w:rPr>
        <w:i/>
        <w:sz w:val="18"/>
      </w:rPr>
      <w:t>OPC61224 -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C16BE7" w:rsidRDefault="00AF389F"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AF389F" w:rsidRPr="00C16BE7" w:rsidTr="00E33C1C">
      <w:tc>
        <w:tcPr>
          <w:tcW w:w="533" w:type="dxa"/>
          <w:tcBorders>
            <w:top w:val="nil"/>
            <w:left w:val="nil"/>
            <w:bottom w:val="nil"/>
            <w:right w:val="nil"/>
          </w:tcBorders>
        </w:tcPr>
        <w:p w:rsidR="00AF389F" w:rsidRPr="00C16BE7" w:rsidRDefault="00AF389F" w:rsidP="00E33C1C">
          <w:pPr>
            <w:spacing w:line="0" w:lineRule="atLeast"/>
            <w:rPr>
              <w:rFonts w:cs="Times New Roman"/>
              <w:i/>
              <w:sz w:val="18"/>
            </w:rPr>
          </w:pPr>
          <w:r w:rsidRPr="00C16BE7">
            <w:rPr>
              <w:rFonts w:cs="Times New Roman"/>
              <w:i/>
              <w:sz w:val="18"/>
            </w:rPr>
            <w:fldChar w:fldCharType="begin"/>
          </w:r>
          <w:r w:rsidRPr="00C16BE7">
            <w:rPr>
              <w:rFonts w:cs="Times New Roman"/>
              <w:i/>
              <w:sz w:val="18"/>
            </w:rPr>
            <w:instrText xml:space="preserve"> PAGE </w:instrText>
          </w:r>
          <w:r w:rsidRPr="00C16BE7">
            <w:rPr>
              <w:rFonts w:cs="Times New Roman"/>
              <w:i/>
              <w:sz w:val="18"/>
            </w:rPr>
            <w:fldChar w:fldCharType="separate"/>
          </w:r>
          <w:r w:rsidR="000C1AD7">
            <w:rPr>
              <w:rFonts w:cs="Times New Roman"/>
              <w:i/>
              <w:noProof/>
              <w:sz w:val="18"/>
            </w:rPr>
            <w:t>x</w:t>
          </w:r>
          <w:r w:rsidRPr="00C16BE7">
            <w:rPr>
              <w:rFonts w:cs="Times New Roman"/>
              <w:i/>
              <w:sz w:val="18"/>
            </w:rPr>
            <w:fldChar w:fldCharType="end"/>
          </w:r>
        </w:p>
      </w:tc>
      <w:tc>
        <w:tcPr>
          <w:tcW w:w="5387" w:type="dxa"/>
          <w:tcBorders>
            <w:top w:val="nil"/>
            <w:left w:val="nil"/>
            <w:bottom w:val="nil"/>
            <w:right w:val="nil"/>
          </w:tcBorders>
        </w:tcPr>
        <w:p w:rsidR="00AF389F" w:rsidRPr="00C16BE7" w:rsidRDefault="00AF389F" w:rsidP="00E33C1C">
          <w:pPr>
            <w:spacing w:line="0" w:lineRule="atLeast"/>
            <w:jc w:val="center"/>
            <w:rPr>
              <w:rFonts w:cs="Times New Roman"/>
              <w:i/>
              <w:sz w:val="18"/>
            </w:rPr>
          </w:pPr>
          <w:r w:rsidRPr="00C16BE7">
            <w:rPr>
              <w:rFonts w:cs="Times New Roman"/>
              <w:i/>
              <w:sz w:val="18"/>
            </w:rPr>
            <w:fldChar w:fldCharType="begin"/>
          </w:r>
          <w:r w:rsidRPr="00C16BE7">
            <w:rPr>
              <w:rFonts w:cs="Times New Roman"/>
              <w:i/>
              <w:sz w:val="18"/>
            </w:rPr>
            <w:instrText xml:space="preserve"> DOCPROPERTY ShortT </w:instrText>
          </w:r>
          <w:r w:rsidRPr="00C16BE7">
            <w:rPr>
              <w:rFonts w:cs="Times New Roman"/>
              <w:i/>
              <w:sz w:val="18"/>
            </w:rPr>
            <w:fldChar w:fldCharType="separate"/>
          </w:r>
          <w:r w:rsidR="00843164">
            <w:rPr>
              <w:rFonts w:cs="Times New Roman"/>
              <w:i/>
              <w:sz w:val="18"/>
            </w:rPr>
            <w:t>National Greenhouse and Energy Reporting Amendment (2015 Measures No. 2) Regulation 2015</w:t>
          </w:r>
          <w:r w:rsidRPr="00C16BE7">
            <w:rPr>
              <w:rFonts w:cs="Times New Roman"/>
              <w:i/>
              <w:sz w:val="18"/>
            </w:rPr>
            <w:fldChar w:fldCharType="end"/>
          </w:r>
        </w:p>
      </w:tc>
      <w:tc>
        <w:tcPr>
          <w:tcW w:w="1383" w:type="dxa"/>
          <w:tcBorders>
            <w:top w:val="nil"/>
            <w:left w:val="nil"/>
            <w:bottom w:val="nil"/>
            <w:right w:val="nil"/>
          </w:tcBorders>
        </w:tcPr>
        <w:p w:rsidR="00AF389F" w:rsidRPr="00C16BE7" w:rsidRDefault="00AF389F" w:rsidP="00E33C1C">
          <w:pPr>
            <w:spacing w:line="0" w:lineRule="atLeast"/>
            <w:jc w:val="right"/>
            <w:rPr>
              <w:rFonts w:cs="Times New Roman"/>
              <w:i/>
              <w:sz w:val="18"/>
            </w:rPr>
          </w:pPr>
          <w:r w:rsidRPr="00C16BE7">
            <w:rPr>
              <w:rFonts w:cs="Times New Roman"/>
              <w:i/>
              <w:sz w:val="18"/>
            </w:rPr>
            <w:fldChar w:fldCharType="begin"/>
          </w:r>
          <w:r w:rsidRPr="00C16BE7">
            <w:rPr>
              <w:rFonts w:cs="Times New Roman"/>
              <w:i/>
              <w:sz w:val="18"/>
            </w:rPr>
            <w:instrText xml:space="preserve"> DOCPROPERTY ActNo </w:instrText>
          </w:r>
          <w:r w:rsidRPr="00C16BE7">
            <w:rPr>
              <w:rFonts w:cs="Times New Roman"/>
              <w:i/>
              <w:sz w:val="18"/>
            </w:rPr>
            <w:fldChar w:fldCharType="separate"/>
          </w:r>
          <w:r w:rsidR="00843164">
            <w:rPr>
              <w:rFonts w:cs="Times New Roman"/>
              <w:i/>
              <w:sz w:val="18"/>
            </w:rPr>
            <w:t>No. 166, 2015</w:t>
          </w:r>
          <w:r w:rsidRPr="00C16BE7">
            <w:rPr>
              <w:rFonts w:cs="Times New Roman"/>
              <w:i/>
              <w:sz w:val="18"/>
            </w:rPr>
            <w:fldChar w:fldCharType="end"/>
          </w:r>
        </w:p>
      </w:tc>
    </w:tr>
  </w:tbl>
  <w:p w:rsidR="00AF389F" w:rsidRPr="00C16BE7" w:rsidRDefault="00C16BE7" w:rsidP="00C16BE7">
    <w:pPr>
      <w:rPr>
        <w:rFonts w:cs="Times New Roman"/>
        <w:i/>
        <w:sz w:val="18"/>
      </w:rPr>
    </w:pPr>
    <w:r w:rsidRPr="00C16BE7">
      <w:rPr>
        <w:rFonts w:cs="Times New Roman"/>
        <w:i/>
        <w:sz w:val="18"/>
      </w:rPr>
      <w:t>OPC61224 -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E33C1C" w:rsidRDefault="00AF389F"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F389F" w:rsidTr="00E33C1C">
      <w:tc>
        <w:tcPr>
          <w:tcW w:w="1383" w:type="dxa"/>
          <w:tcBorders>
            <w:top w:val="nil"/>
            <w:left w:val="nil"/>
            <w:bottom w:val="nil"/>
            <w:right w:val="nil"/>
          </w:tcBorders>
        </w:tcPr>
        <w:p w:rsidR="00AF389F" w:rsidRDefault="00AF389F"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43164">
            <w:rPr>
              <w:i/>
              <w:sz w:val="18"/>
            </w:rPr>
            <w:t>No. 166, 2015</w:t>
          </w:r>
          <w:r w:rsidRPr="007A1328">
            <w:rPr>
              <w:i/>
              <w:sz w:val="18"/>
            </w:rPr>
            <w:fldChar w:fldCharType="end"/>
          </w:r>
        </w:p>
      </w:tc>
      <w:tc>
        <w:tcPr>
          <w:tcW w:w="5387" w:type="dxa"/>
          <w:tcBorders>
            <w:top w:val="nil"/>
            <w:left w:val="nil"/>
            <w:bottom w:val="nil"/>
            <w:right w:val="nil"/>
          </w:tcBorders>
        </w:tcPr>
        <w:p w:rsidR="00AF389F" w:rsidRDefault="00AF389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3164">
            <w:rPr>
              <w:i/>
              <w:sz w:val="18"/>
            </w:rPr>
            <w:t>National Greenhouse and Energy Reporting Amendment (2015 Measures No. 2) Regulation 2015</w:t>
          </w:r>
          <w:r w:rsidRPr="007A1328">
            <w:rPr>
              <w:i/>
              <w:sz w:val="18"/>
            </w:rPr>
            <w:fldChar w:fldCharType="end"/>
          </w:r>
        </w:p>
      </w:tc>
      <w:tc>
        <w:tcPr>
          <w:tcW w:w="533" w:type="dxa"/>
          <w:tcBorders>
            <w:top w:val="nil"/>
            <w:left w:val="nil"/>
            <w:bottom w:val="nil"/>
            <w:right w:val="nil"/>
          </w:tcBorders>
        </w:tcPr>
        <w:p w:rsidR="00AF389F" w:rsidRDefault="00AF389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34F3">
            <w:rPr>
              <w:i/>
              <w:noProof/>
              <w:sz w:val="18"/>
            </w:rPr>
            <w:t>i</w:t>
          </w:r>
          <w:r w:rsidRPr="00ED79B6">
            <w:rPr>
              <w:i/>
              <w:sz w:val="18"/>
            </w:rPr>
            <w:fldChar w:fldCharType="end"/>
          </w:r>
        </w:p>
      </w:tc>
    </w:tr>
  </w:tbl>
  <w:p w:rsidR="00AF389F" w:rsidRPr="00ED79B6" w:rsidRDefault="00C16BE7" w:rsidP="00C16BE7">
    <w:pPr>
      <w:rPr>
        <w:i/>
        <w:sz w:val="18"/>
      </w:rPr>
    </w:pPr>
    <w:r w:rsidRPr="00C16BE7">
      <w:rPr>
        <w:rFonts w:cs="Times New Roman"/>
        <w:i/>
        <w:sz w:val="18"/>
      </w:rPr>
      <w:t>OPC61224 -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C16BE7" w:rsidRDefault="00AF389F"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AF389F" w:rsidRPr="00C16BE7" w:rsidTr="00E33C1C">
      <w:tc>
        <w:tcPr>
          <w:tcW w:w="533" w:type="dxa"/>
          <w:tcBorders>
            <w:top w:val="nil"/>
            <w:left w:val="nil"/>
            <w:bottom w:val="nil"/>
            <w:right w:val="nil"/>
          </w:tcBorders>
        </w:tcPr>
        <w:p w:rsidR="00AF389F" w:rsidRPr="00C16BE7" w:rsidRDefault="00AF389F" w:rsidP="00E33C1C">
          <w:pPr>
            <w:spacing w:line="0" w:lineRule="atLeast"/>
            <w:rPr>
              <w:rFonts w:cs="Times New Roman"/>
              <w:i/>
              <w:sz w:val="18"/>
            </w:rPr>
          </w:pPr>
          <w:r w:rsidRPr="00C16BE7">
            <w:rPr>
              <w:rFonts w:cs="Times New Roman"/>
              <w:i/>
              <w:sz w:val="18"/>
            </w:rPr>
            <w:fldChar w:fldCharType="begin"/>
          </w:r>
          <w:r w:rsidRPr="00C16BE7">
            <w:rPr>
              <w:rFonts w:cs="Times New Roman"/>
              <w:i/>
              <w:sz w:val="18"/>
            </w:rPr>
            <w:instrText xml:space="preserve"> PAGE </w:instrText>
          </w:r>
          <w:r w:rsidRPr="00C16BE7">
            <w:rPr>
              <w:rFonts w:cs="Times New Roman"/>
              <w:i/>
              <w:sz w:val="18"/>
            </w:rPr>
            <w:fldChar w:fldCharType="separate"/>
          </w:r>
          <w:r w:rsidR="005634F3">
            <w:rPr>
              <w:rFonts w:cs="Times New Roman"/>
              <w:i/>
              <w:noProof/>
              <w:sz w:val="18"/>
            </w:rPr>
            <w:t>20</w:t>
          </w:r>
          <w:r w:rsidRPr="00C16BE7">
            <w:rPr>
              <w:rFonts w:cs="Times New Roman"/>
              <w:i/>
              <w:sz w:val="18"/>
            </w:rPr>
            <w:fldChar w:fldCharType="end"/>
          </w:r>
        </w:p>
      </w:tc>
      <w:tc>
        <w:tcPr>
          <w:tcW w:w="5387" w:type="dxa"/>
          <w:tcBorders>
            <w:top w:val="nil"/>
            <w:left w:val="nil"/>
            <w:bottom w:val="nil"/>
            <w:right w:val="nil"/>
          </w:tcBorders>
        </w:tcPr>
        <w:p w:rsidR="00AF389F" w:rsidRPr="00C16BE7" w:rsidRDefault="00AF389F" w:rsidP="00E33C1C">
          <w:pPr>
            <w:spacing w:line="0" w:lineRule="atLeast"/>
            <w:jc w:val="center"/>
            <w:rPr>
              <w:rFonts w:cs="Times New Roman"/>
              <w:i/>
              <w:sz w:val="18"/>
            </w:rPr>
          </w:pPr>
          <w:r w:rsidRPr="00C16BE7">
            <w:rPr>
              <w:rFonts w:cs="Times New Roman"/>
              <w:i/>
              <w:sz w:val="18"/>
            </w:rPr>
            <w:fldChar w:fldCharType="begin"/>
          </w:r>
          <w:r w:rsidRPr="00C16BE7">
            <w:rPr>
              <w:rFonts w:cs="Times New Roman"/>
              <w:i/>
              <w:sz w:val="18"/>
            </w:rPr>
            <w:instrText xml:space="preserve"> DOCPROPERTY ShortT </w:instrText>
          </w:r>
          <w:r w:rsidRPr="00C16BE7">
            <w:rPr>
              <w:rFonts w:cs="Times New Roman"/>
              <w:i/>
              <w:sz w:val="18"/>
            </w:rPr>
            <w:fldChar w:fldCharType="separate"/>
          </w:r>
          <w:r w:rsidR="00843164">
            <w:rPr>
              <w:rFonts w:cs="Times New Roman"/>
              <w:i/>
              <w:sz w:val="18"/>
            </w:rPr>
            <w:t>National Greenhouse and Energy Reporting Amendment (2015 Measures No. 2) Regulation 2015</w:t>
          </w:r>
          <w:r w:rsidRPr="00C16BE7">
            <w:rPr>
              <w:rFonts w:cs="Times New Roman"/>
              <w:i/>
              <w:sz w:val="18"/>
            </w:rPr>
            <w:fldChar w:fldCharType="end"/>
          </w:r>
        </w:p>
      </w:tc>
      <w:tc>
        <w:tcPr>
          <w:tcW w:w="1383" w:type="dxa"/>
          <w:tcBorders>
            <w:top w:val="nil"/>
            <w:left w:val="nil"/>
            <w:bottom w:val="nil"/>
            <w:right w:val="nil"/>
          </w:tcBorders>
        </w:tcPr>
        <w:p w:rsidR="00AF389F" w:rsidRPr="00C16BE7" w:rsidRDefault="00AF389F" w:rsidP="00E33C1C">
          <w:pPr>
            <w:spacing w:line="0" w:lineRule="atLeast"/>
            <w:jc w:val="right"/>
            <w:rPr>
              <w:rFonts w:cs="Times New Roman"/>
              <w:i/>
              <w:sz w:val="18"/>
            </w:rPr>
          </w:pPr>
          <w:r w:rsidRPr="00C16BE7">
            <w:rPr>
              <w:rFonts w:cs="Times New Roman"/>
              <w:i/>
              <w:sz w:val="18"/>
            </w:rPr>
            <w:fldChar w:fldCharType="begin"/>
          </w:r>
          <w:r w:rsidRPr="00C16BE7">
            <w:rPr>
              <w:rFonts w:cs="Times New Roman"/>
              <w:i/>
              <w:sz w:val="18"/>
            </w:rPr>
            <w:instrText xml:space="preserve"> DOCPROPERTY ActNo </w:instrText>
          </w:r>
          <w:r w:rsidRPr="00C16BE7">
            <w:rPr>
              <w:rFonts w:cs="Times New Roman"/>
              <w:i/>
              <w:sz w:val="18"/>
            </w:rPr>
            <w:fldChar w:fldCharType="separate"/>
          </w:r>
          <w:r w:rsidR="00843164">
            <w:rPr>
              <w:rFonts w:cs="Times New Roman"/>
              <w:i/>
              <w:sz w:val="18"/>
            </w:rPr>
            <w:t>No. 166, 2015</w:t>
          </w:r>
          <w:r w:rsidRPr="00C16BE7">
            <w:rPr>
              <w:rFonts w:cs="Times New Roman"/>
              <w:i/>
              <w:sz w:val="18"/>
            </w:rPr>
            <w:fldChar w:fldCharType="end"/>
          </w:r>
        </w:p>
      </w:tc>
    </w:tr>
  </w:tbl>
  <w:p w:rsidR="00AF389F" w:rsidRPr="00C16BE7" w:rsidRDefault="00C16BE7" w:rsidP="00C16BE7">
    <w:pPr>
      <w:rPr>
        <w:rFonts w:cs="Times New Roman"/>
        <w:i/>
        <w:sz w:val="18"/>
      </w:rPr>
    </w:pPr>
    <w:r w:rsidRPr="00C16BE7">
      <w:rPr>
        <w:rFonts w:cs="Times New Roman"/>
        <w:i/>
        <w:sz w:val="18"/>
      </w:rPr>
      <w:t>OPC61224 -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E33C1C" w:rsidRDefault="00AF389F"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F389F" w:rsidTr="00E33C1C">
      <w:tc>
        <w:tcPr>
          <w:tcW w:w="1383" w:type="dxa"/>
          <w:tcBorders>
            <w:top w:val="nil"/>
            <w:left w:val="nil"/>
            <w:bottom w:val="nil"/>
            <w:right w:val="nil"/>
          </w:tcBorders>
        </w:tcPr>
        <w:p w:rsidR="00AF389F" w:rsidRDefault="00AF389F"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43164">
            <w:rPr>
              <w:i/>
              <w:sz w:val="18"/>
            </w:rPr>
            <w:t>No. 166, 2015</w:t>
          </w:r>
          <w:r w:rsidRPr="007A1328">
            <w:rPr>
              <w:i/>
              <w:sz w:val="18"/>
            </w:rPr>
            <w:fldChar w:fldCharType="end"/>
          </w:r>
        </w:p>
      </w:tc>
      <w:tc>
        <w:tcPr>
          <w:tcW w:w="5387" w:type="dxa"/>
          <w:tcBorders>
            <w:top w:val="nil"/>
            <w:left w:val="nil"/>
            <w:bottom w:val="nil"/>
            <w:right w:val="nil"/>
          </w:tcBorders>
        </w:tcPr>
        <w:p w:rsidR="00AF389F" w:rsidRDefault="00AF389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3164">
            <w:rPr>
              <w:i/>
              <w:sz w:val="18"/>
            </w:rPr>
            <w:t>National Greenhouse and Energy Reporting Amendment (2015 Measures No. 2) Regulation 2015</w:t>
          </w:r>
          <w:r w:rsidRPr="007A1328">
            <w:rPr>
              <w:i/>
              <w:sz w:val="18"/>
            </w:rPr>
            <w:fldChar w:fldCharType="end"/>
          </w:r>
        </w:p>
      </w:tc>
      <w:tc>
        <w:tcPr>
          <w:tcW w:w="533" w:type="dxa"/>
          <w:tcBorders>
            <w:top w:val="nil"/>
            <w:left w:val="nil"/>
            <w:bottom w:val="nil"/>
            <w:right w:val="nil"/>
          </w:tcBorders>
        </w:tcPr>
        <w:p w:rsidR="00AF389F" w:rsidRDefault="00AF389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34F3">
            <w:rPr>
              <w:i/>
              <w:noProof/>
              <w:sz w:val="18"/>
            </w:rPr>
            <w:t>1</w:t>
          </w:r>
          <w:r w:rsidRPr="00ED79B6">
            <w:rPr>
              <w:i/>
              <w:sz w:val="18"/>
            </w:rPr>
            <w:fldChar w:fldCharType="end"/>
          </w:r>
        </w:p>
      </w:tc>
    </w:tr>
  </w:tbl>
  <w:p w:rsidR="00AF389F" w:rsidRPr="00ED79B6" w:rsidRDefault="00C16BE7" w:rsidP="00C16BE7">
    <w:pPr>
      <w:rPr>
        <w:i/>
        <w:sz w:val="18"/>
      </w:rPr>
    </w:pPr>
    <w:r w:rsidRPr="00C16BE7">
      <w:rPr>
        <w:rFonts w:cs="Times New Roman"/>
        <w:i/>
        <w:sz w:val="18"/>
      </w:rPr>
      <w:t>OPC61224 -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E33C1C" w:rsidRDefault="00AF389F"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AF389F" w:rsidTr="00E47D7E">
      <w:tc>
        <w:tcPr>
          <w:tcW w:w="1383" w:type="dxa"/>
          <w:tcBorders>
            <w:top w:val="nil"/>
            <w:left w:val="nil"/>
            <w:bottom w:val="nil"/>
            <w:right w:val="nil"/>
          </w:tcBorders>
        </w:tcPr>
        <w:p w:rsidR="00AF389F" w:rsidRDefault="00AF389F" w:rsidP="00E47D7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43164">
            <w:rPr>
              <w:i/>
              <w:sz w:val="18"/>
            </w:rPr>
            <w:t>No. 166, 2015</w:t>
          </w:r>
          <w:r w:rsidRPr="007A1328">
            <w:rPr>
              <w:i/>
              <w:sz w:val="18"/>
            </w:rPr>
            <w:fldChar w:fldCharType="end"/>
          </w:r>
        </w:p>
      </w:tc>
      <w:tc>
        <w:tcPr>
          <w:tcW w:w="5387" w:type="dxa"/>
          <w:tcBorders>
            <w:top w:val="nil"/>
            <w:left w:val="nil"/>
            <w:bottom w:val="nil"/>
            <w:right w:val="nil"/>
          </w:tcBorders>
        </w:tcPr>
        <w:p w:rsidR="00AF389F" w:rsidRDefault="00AF389F" w:rsidP="00E47D7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3164">
            <w:rPr>
              <w:i/>
              <w:sz w:val="18"/>
            </w:rPr>
            <w:t>National Greenhouse and Energy Reporting Amendment (2015 Measures No. 2) Regulation 2015</w:t>
          </w:r>
          <w:r w:rsidRPr="007A1328">
            <w:rPr>
              <w:i/>
              <w:sz w:val="18"/>
            </w:rPr>
            <w:fldChar w:fldCharType="end"/>
          </w:r>
        </w:p>
      </w:tc>
      <w:tc>
        <w:tcPr>
          <w:tcW w:w="533" w:type="dxa"/>
          <w:tcBorders>
            <w:top w:val="nil"/>
            <w:left w:val="nil"/>
            <w:bottom w:val="nil"/>
            <w:right w:val="nil"/>
          </w:tcBorders>
        </w:tcPr>
        <w:p w:rsidR="00AF389F" w:rsidRDefault="00AF389F" w:rsidP="00E47D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1AD7">
            <w:rPr>
              <w:i/>
              <w:noProof/>
              <w:sz w:val="18"/>
            </w:rPr>
            <w:t>10</w:t>
          </w:r>
          <w:r w:rsidRPr="00ED79B6">
            <w:rPr>
              <w:i/>
              <w:sz w:val="18"/>
            </w:rPr>
            <w:fldChar w:fldCharType="end"/>
          </w:r>
        </w:p>
      </w:tc>
    </w:tr>
  </w:tbl>
  <w:p w:rsidR="00AF389F" w:rsidRPr="00ED79B6" w:rsidRDefault="00AF389F"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9F" w:rsidRDefault="00AF389F" w:rsidP="0048364F">
      <w:pPr>
        <w:spacing w:line="240" w:lineRule="auto"/>
      </w:pPr>
      <w:r>
        <w:separator/>
      </w:r>
    </w:p>
  </w:footnote>
  <w:footnote w:type="continuationSeparator" w:id="0">
    <w:p w:rsidR="00AF389F" w:rsidRDefault="00AF38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5F1388" w:rsidRDefault="00AF389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5F1388" w:rsidRDefault="00AF389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5F1388" w:rsidRDefault="00AF38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ED79B6" w:rsidRDefault="00AF389F"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ED79B6" w:rsidRDefault="00AF389F"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ED79B6" w:rsidRDefault="00AF38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A961C4" w:rsidRDefault="00AF389F" w:rsidP="00B63BDE">
    <w:pPr>
      <w:rPr>
        <w:b/>
        <w:sz w:val="20"/>
      </w:rPr>
    </w:pPr>
    <w:r>
      <w:rPr>
        <w:b/>
        <w:sz w:val="20"/>
      </w:rPr>
      <w:fldChar w:fldCharType="begin"/>
    </w:r>
    <w:r>
      <w:rPr>
        <w:b/>
        <w:sz w:val="20"/>
      </w:rPr>
      <w:instrText xml:space="preserve"> STYLEREF CharAmSchNo </w:instrText>
    </w:r>
    <w:r w:rsidR="005634F3">
      <w:rPr>
        <w:b/>
        <w:sz w:val="20"/>
      </w:rPr>
      <w:fldChar w:fldCharType="separate"/>
    </w:r>
    <w:r w:rsidR="005634F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634F3">
      <w:rPr>
        <w:sz w:val="20"/>
      </w:rPr>
      <w:fldChar w:fldCharType="separate"/>
    </w:r>
    <w:r w:rsidR="005634F3">
      <w:rPr>
        <w:noProof/>
        <w:sz w:val="20"/>
      </w:rPr>
      <w:t>Amendments commencing 1 July 2016</w:t>
    </w:r>
    <w:r>
      <w:rPr>
        <w:sz w:val="20"/>
      </w:rPr>
      <w:fldChar w:fldCharType="end"/>
    </w:r>
  </w:p>
  <w:p w:rsidR="00AF389F" w:rsidRPr="00A961C4" w:rsidRDefault="00AF389F"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F389F" w:rsidRPr="00A961C4" w:rsidRDefault="00AF389F"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A961C4" w:rsidRDefault="00AF389F"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AF389F" w:rsidRPr="00A961C4" w:rsidRDefault="00AF389F"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F389F" w:rsidRPr="00A961C4" w:rsidRDefault="00AF389F"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9F" w:rsidRPr="00A961C4" w:rsidRDefault="00AF389F"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9A"/>
    <w:rsid w:val="0000306B"/>
    <w:rsid w:val="000041C6"/>
    <w:rsid w:val="000063E4"/>
    <w:rsid w:val="00007345"/>
    <w:rsid w:val="00007847"/>
    <w:rsid w:val="00011222"/>
    <w:rsid w:val="000113BC"/>
    <w:rsid w:val="000136AF"/>
    <w:rsid w:val="00025060"/>
    <w:rsid w:val="00026EF4"/>
    <w:rsid w:val="000338D6"/>
    <w:rsid w:val="0004044E"/>
    <w:rsid w:val="00045660"/>
    <w:rsid w:val="000536E6"/>
    <w:rsid w:val="000614BF"/>
    <w:rsid w:val="00064DFE"/>
    <w:rsid w:val="00071ADD"/>
    <w:rsid w:val="000804EB"/>
    <w:rsid w:val="00087B53"/>
    <w:rsid w:val="000947DF"/>
    <w:rsid w:val="00097B42"/>
    <w:rsid w:val="000A2D0C"/>
    <w:rsid w:val="000A5719"/>
    <w:rsid w:val="000C1AD7"/>
    <w:rsid w:val="000C4E79"/>
    <w:rsid w:val="000C7616"/>
    <w:rsid w:val="000C7C0A"/>
    <w:rsid w:val="000D05EF"/>
    <w:rsid w:val="000D6B2D"/>
    <w:rsid w:val="000D6CDD"/>
    <w:rsid w:val="000E2D2E"/>
    <w:rsid w:val="000E5758"/>
    <w:rsid w:val="000E7E67"/>
    <w:rsid w:val="000E7FF4"/>
    <w:rsid w:val="000F21C1"/>
    <w:rsid w:val="000F3CAF"/>
    <w:rsid w:val="000F6B02"/>
    <w:rsid w:val="000F7427"/>
    <w:rsid w:val="001002C7"/>
    <w:rsid w:val="0010745C"/>
    <w:rsid w:val="00111DDB"/>
    <w:rsid w:val="00116975"/>
    <w:rsid w:val="00117DF9"/>
    <w:rsid w:val="00122245"/>
    <w:rsid w:val="00126F1A"/>
    <w:rsid w:val="00131248"/>
    <w:rsid w:val="00154EAC"/>
    <w:rsid w:val="001643C9"/>
    <w:rsid w:val="00165568"/>
    <w:rsid w:val="00166C2F"/>
    <w:rsid w:val="001716C9"/>
    <w:rsid w:val="00171EAE"/>
    <w:rsid w:val="00173CA1"/>
    <w:rsid w:val="00174A06"/>
    <w:rsid w:val="00175201"/>
    <w:rsid w:val="001875BA"/>
    <w:rsid w:val="00187CFD"/>
    <w:rsid w:val="00191859"/>
    <w:rsid w:val="00192170"/>
    <w:rsid w:val="0019337B"/>
    <w:rsid w:val="00193461"/>
    <w:rsid w:val="001939E1"/>
    <w:rsid w:val="00195382"/>
    <w:rsid w:val="001A56D4"/>
    <w:rsid w:val="001B3097"/>
    <w:rsid w:val="001B46D0"/>
    <w:rsid w:val="001B7A5D"/>
    <w:rsid w:val="001C5EE1"/>
    <w:rsid w:val="001C69C4"/>
    <w:rsid w:val="001C7454"/>
    <w:rsid w:val="001D1A0D"/>
    <w:rsid w:val="001D245C"/>
    <w:rsid w:val="001D4229"/>
    <w:rsid w:val="001D4308"/>
    <w:rsid w:val="001D6CCC"/>
    <w:rsid w:val="001D786C"/>
    <w:rsid w:val="001D7F83"/>
    <w:rsid w:val="001E04A3"/>
    <w:rsid w:val="001E16D0"/>
    <w:rsid w:val="001E1D57"/>
    <w:rsid w:val="001E2EA2"/>
    <w:rsid w:val="001E31C1"/>
    <w:rsid w:val="001E3590"/>
    <w:rsid w:val="001E562E"/>
    <w:rsid w:val="001E7407"/>
    <w:rsid w:val="001F12BA"/>
    <w:rsid w:val="001F5579"/>
    <w:rsid w:val="001F6924"/>
    <w:rsid w:val="00201AF7"/>
    <w:rsid w:val="00201D27"/>
    <w:rsid w:val="002078DE"/>
    <w:rsid w:val="0021476D"/>
    <w:rsid w:val="002164C6"/>
    <w:rsid w:val="00230470"/>
    <w:rsid w:val="00231427"/>
    <w:rsid w:val="0023474A"/>
    <w:rsid w:val="002365FD"/>
    <w:rsid w:val="002400BE"/>
    <w:rsid w:val="00240749"/>
    <w:rsid w:val="00243341"/>
    <w:rsid w:val="0024737F"/>
    <w:rsid w:val="00264190"/>
    <w:rsid w:val="0026468A"/>
    <w:rsid w:val="00265FBC"/>
    <w:rsid w:val="00266D05"/>
    <w:rsid w:val="00272353"/>
    <w:rsid w:val="002752C5"/>
    <w:rsid w:val="00275A12"/>
    <w:rsid w:val="00287FF2"/>
    <w:rsid w:val="002932B1"/>
    <w:rsid w:val="00295408"/>
    <w:rsid w:val="00297ECB"/>
    <w:rsid w:val="002A0FFD"/>
    <w:rsid w:val="002B2731"/>
    <w:rsid w:val="002B5B89"/>
    <w:rsid w:val="002B6208"/>
    <w:rsid w:val="002B7D96"/>
    <w:rsid w:val="002C3DEC"/>
    <w:rsid w:val="002C53A7"/>
    <w:rsid w:val="002C5432"/>
    <w:rsid w:val="002D043A"/>
    <w:rsid w:val="002E3FF3"/>
    <w:rsid w:val="003015E4"/>
    <w:rsid w:val="00303751"/>
    <w:rsid w:val="00304E75"/>
    <w:rsid w:val="003072FA"/>
    <w:rsid w:val="00307BBD"/>
    <w:rsid w:val="00313BA9"/>
    <w:rsid w:val="003163CA"/>
    <w:rsid w:val="0031713F"/>
    <w:rsid w:val="00324419"/>
    <w:rsid w:val="00325693"/>
    <w:rsid w:val="003278BA"/>
    <w:rsid w:val="00334427"/>
    <w:rsid w:val="00334BE5"/>
    <w:rsid w:val="003415D3"/>
    <w:rsid w:val="003415E5"/>
    <w:rsid w:val="00344D17"/>
    <w:rsid w:val="00347724"/>
    <w:rsid w:val="00350217"/>
    <w:rsid w:val="003505DA"/>
    <w:rsid w:val="00350FB9"/>
    <w:rsid w:val="00352053"/>
    <w:rsid w:val="00352879"/>
    <w:rsid w:val="00352B0F"/>
    <w:rsid w:val="00356952"/>
    <w:rsid w:val="00361BD9"/>
    <w:rsid w:val="0036337E"/>
    <w:rsid w:val="00363549"/>
    <w:rsid w:val="003801D0"/>
    <w:rsid w:val="0038728F"/>
    <w:rsid w:val="0039228E"/>
    <w:rsid w:val="003926B5"/>
    <w:rsid w:val="00396ACA"/>
    <w:rsid w:val="003A2C7F"/>
    <w:rsid w:val="003B04EC"/>
    <w:rsid w:val="003B0BD1"/>
    <w:rsid w:val="003B238E"/>
    <w:rsid w:val="003B2CEC"/>
    <w:rsid w:val="003B4DE5"/>
    <w:rsid w:val="003B556A"/>
    <w:rsid w:val="003C0562"/>
    <w:rsid w:val="003C37CF"/>
    <w:rsid w:val="003C5F2B"/>
    <w:rsid w:val="003D0BFE"/>
    <w:rsid w:val="003D239B"/>
    <w:rsid w:val="003D3725"/>
    <w:rsid w:val="003D4A55"/>
    <w:rsid w:val="003D5700"/>
    <w:rsid w:val="003D6EE1"/>
    <w:rsid w:val="003D784B"/>
    <w:rsid w:val="003E2C20"/>
    <w:rsid w:val="003E5FF5"/>
    <w:rsid w:val="003F4CA9"/>
    <w:rsid w:val="003F567B"/>
    <w:rsid w:val="004010E7"/>
    <w:rsid w:val="00401403"/>
    <w:rsid w:val="004028BE"/>
    <w:rsid w:val="004045E0"/>
    <w:rsid w:val="004116CD"/>
    <w:rsid w:val="00412B83"/>
    <w:rsid w:val="00421611"/>
    <w:rsid w:val="004218C8"/>
    <w:rsid w:val="00422265"/>
    <w:rsid w:val="00423D11"/>
    <w:rsid w:val="00424CA9"/>
    <w:rsid w:val="00432AF7"/>
    <w:rsid w:val="00433910"/>
    <w:rsid w:val="00435D19"/>
    <w:rsid w:val="00437285"/>
    <w:rsid w:val="0044291A"/>
    <w:rsid w:val="004462E5"/>
    <w:rsid w:val="004541B9"/>
    <w:rsid w:val="00460499"/>
    <w:rsid w:val="00467ADE"/>
    <w:rsid w:val="004744E3"/>
    <w:rsid w:val="0047588C"/>
    <w:rsid w:val="004775B2"/>
    <w:rsid w:val="00480FB9"/>
    <w:rsid w:val="0048364F"/>
    <w:rsid w:val="00484E35"/>
    <w:rsid w:val="00484F31"/>
    <w:rsid w:val="00486382"/>
    <w:rsid w:val="0049065F"/>
    <w:rsid w:val="00496F97"/>
    <w:rsid w:val="004A2484"/>
    <w:rsid w:val="004A7D7B"/>
    <w:rsid w:val="004B21D1"/>
    <w:rsid w:val="004B69B0"/>
    <w:rsid w:val="004B6F91"/>
    <w:rsid w:val="004C0255"/>
    <w:rsid w:val="004C5B5A"/>
    <w:rsid w:val="004C5D12"/>
    <w:rsid w:val="004C6444"/>
    <w:rsid w:val="004C6DE1"/>
    <w:rsid w:val="004C792B"/>
    <w:rsid w:val="004E37AF"/>
    <w:rsid w:val="004F1FAC"/>
    <w:rsid w:val="004F3A90"/>
    <w:rsid w:val="004F676E"/>
    <w:rsid w:val="00500A79"/>
    <w:rsid w:val="00505979"/>
    <w:rsid w:val="00505CF3"/>
    <w:rsid w:val="005063A9"/>
    <w:rsid w:val="00511553"/>
    <w:rsid w:val="00516B8D"/>
    <w:rsid w:val="00520A1E"/>
    <w:rsid w:val="00536197"/>
    <w:rsid w:val="00537835"/>
    <w:rsid w:val="00537FBC"/>
    <w:rsid w:val="00542492"/>
    <w:rsid w:val="00543469"/>
    <w:rsid w:val="00550623"/>
    <w:rsid w:val="00553845"/>
    <w:rsid w:val="0055794E"/>
    <w:rsid w:val="00557C7A"/>
    <w:rsid w:val="00561D37"/>
    <w:rsid w:val="005634F3"/>
    <w:rsid w:val="0056783E"/>
    <w:rsid w:val="00570AAB"/>
    <w:rsid w:val="00571659"/>
    <w:rsid w:val="00574F1D"/>
    <w:rsid w:val="00577CCB"/>
    <w:rsid w:val="00581492"/>
    <w:rsid w:val="00583BDF"/>
    <w:rsid w:val="00583FBE"/>
    <w:rsid w:val="00584811"/>
    <w:rsid w:val="005851A5"/>
    <w:rsid w:val="0058646E"/>
    <w:rsid w:val="00591CBB"/>
    <w:rsid w:val="00591E07"/>
    <w:rsid w:val="00593AA6"/>
    <w:rsid w:val="00594161"/>
    <w:rsid w:val="00594749"/>
    <w:rsid w:val="005A790B"/>
    <w:rsid w:val="005B4067"/>
    <w:rsid w:val="005C12DE"/>
    <w:rsid w:val="005C3F41"/>
    <w:rsid w:val="005C408B"/>
    <w:rsid w:val="005C5CED"/>
    <w:rsid w:val="005D3693"/>
    <w:rsid w:val="005D3DCA"/>
    <w:rsid w:val="005D494A"/>
    <w:rsid w:val="005E2008"/>
    <w:rsid w:val="005E552A"/>
    <w:rsid w:val="005E6D76"/>
    <w:rsid w:val="005F3416"/>
    <w:rsid w:val="005F355D"/>
    <w:rsid w:val="005F6EAF"/>
    <w:rsid w:val="00600219"/>
    <w:rsid w:val="00603072"/>
    <w:rsid w:val="006135A0"/>
    <w:rsid w:val="006147E4"/>
    <w:rsid w:val="00614A76"/>
    <w:rsid w:val="00615000"/>
    <w:rsid w:val="006249E6"/>
    <w:rsid w:val="00626536"/>
    <w:rsid w:val="00630733"/>
    <w:rsid w:val="006438E3"/>
    <w:rsid w:val="0064468A"/>
    <w:rsid w:val="0064483F"/>
    <w:rsid w:val="00644CD4"/>
    <w:rsid w:val="00646DB0"/>
    <w:rsid w:val="00654CCA"/>
    <w:rsid w:val="00656DE9"/>
    <w:rsid w:val="00661F48"/>
    <w:rsid w:val="00663BDD"/>
    <w:rsid w:val="00670F9E"/>
    <w:rsid w:val="006718CC"/>
    <w:rsid w:val="00673A2B"/>
    <w:rsid w:val="00675368"/>
    <w:rsid w:val="00675E2B"/>
    <w:rsid w:val="006762DA"/>
    <w:rsid w:val="00677CC2"/>
    <w:rsid w:val="00680F17"/>
    <w:rsid w:val="00685F42"/>
    <w:rsid w:val="0069207B"/>
    <w:rsid w:val="006937E2"/>
    <w:rsid w:val="0069392E"/>
    <w:rsid w:val="0069494B"/>
    <w:rsid w:val="0069558E"/>
    <w:rsid w:val="006977FB"/>
    <w:rsid w:val="006A7DEB"/>
    <w:rsid w:val="006B132B"/>
    <w:rsid w:val="006B1696"/>
    <w:rsid w:val="006B262A"/>
    <w:rsid w:val="006C2C12"/>
    <w:rsid w:val="006C3FFF"/>
    <w:rsid w:val="006C6B2D"/>
    <w:rsid w:val="006C7657"/>
    <w:rsid w:val="006C7F8C"/>
    <w:rsid w:val="006D105D"/>
    <w:rsid w:val="006D3667"/>
    <w:rsid w:val="006D4462"/>
    <w:rsid w:val="006D4E91"/>
    <w:rsid w:val="006D52F4"/>
    <w:rsid w:val="006D6957"/>
    <w:rsid w:val="006E004B"/>
    <w:rsid w:val="006E2002"/>
    <w:rsid w:val="006E558F"/>
    <w:rsid w:val="006E5CA6"/>
    <w:rsid w:val="006E7147"/>
    <w:rsid w:val="006F2C82"/>
    <w:rsid w:val="006F74C5"/>
    <w:rsid w:val="006F785F"/>
    <w:rsid w:val="00700B2C"/>
    <w:rsid w:val="00701E6A"/>
    <w:rsid w:val="0071184A"/>
    <w:rsid w:val="00713084"/>
    <w:rsid w:val="007164B4"/>
    <w:rsid w:val="00722023"/>
    <w:rsid w:val="007276E2"/>
    <w:rsid w:val="00731E00"/>
    <w:rsid w:val="00735E7C"/>
    <w:rsid w:val="007362AC"/>
    <w:rsid w:val="00736E72"/>
    <w:rsid w:val="007411E6"/>
    <w:rsid w:val="0074238C"/>
    <w:rsid w:val="007440B7"/>
    <w:rsid w:val="007523A7"/>
    <w:rsid w:val="007554B3"/>
    <w:rsid w:val="007610D3"/>
    <w:rsid w:val="00761C84"/>
    <w:rsid w:val="007634AD"/>
    <w:rsid w:val="007715C9"/>
    <w:rsid w:val="00771B5E"/>
    <w:rsid w:val="0077230E"/>
    <w:rsid w:val="00774EDD"/>
    <w:rsid w:val="007757EC"/>
    <w:rsid w:val="007769D4"/>
    <w:rsid w:val="00777339"/>
    <w:rsid w:val="00785AFA"/>
    <w:rsid w:val="007903AC"/>
    <w:rsid w:val="00790FB8"/>
    <w:rsid w:val="00793AC8"/>
    <w:rsid w:val="007A0938"/>
    <w:rsid w:val="007A3BA8"/>
    <w:rsid w:val="007A7F9F"/>
    <w:rsid w:val="007B5704"/>
    <w:rsid w:val="007C7CC7"/>
    <w:rsid w:val="007D1067"/>
    <w:rsid w:val="007E429B"/>
    <w:rsid w:val="007E7D4A"/>
    <w:rsid w:val="00801EFE"/>
    <w:rsid w:val="0080359A"/>
    <w:rsid w:val="0080691F"/>
    <w:rsid w:val="00812B6E"/>
    <w:rsid w:val="0081595E"/>
    <w:rsid w:val="00824E86"/>
    <w:rsid w:val="00824FAD"/>
    <w:rsid w:val="00826DA5"/>
    <w:rsid w:val="00827A77"/>
    <w:rsid w:val="00833416"/>
    <w:rsid w:val="00840313"/>
    <w:rsid w:val="00843164"/>
    <w:rsid w:val="008434C5"/>
    <w:rsid w:val="00852FC2"/>
    <w:rsid w:val="00854824"/>
    <w:rsid w:val="00855396"/>
    <w:rsid w:val="00856A31"/>
    <w:rsid w:val="00862200"/>
    <w:rsid w:val="00874B69"/>
    <w:rsid w:val="008754D0"/>
    <w:rsid w:val="00875677"/>
    <w:rsid w:val="00877D48"/>
    <w:rsid w:val="00880795"/>
    <w:rsid w:val="0088116E"/>
    <w:rsid w:val="008839C5"/>
    <w:rsid w:val="00887C38"/>
    <w:rsid w:val="0089783B"/>
    <w:rsid w:val="008A29B8"/>
    <w:rsid w:val="008A3292"/>
    <w:rsid w:val="008A3372"/>
    <w:rsid w:val="008B4788"/>
    <w:rsid w:val="008B47C6"/>
    <w:rsid w:val="008C3125"/>
    <w:rsid w:val="008C43C5"/>
    <w:rsid w:val="008D0EE0"/>
    <w:rsid w:val="008D3430"/>
    <w:rsid w:val="008D6309"/>
    <w:rsid w:val="008E1F99"/>
    <w:rsid w:val="008E67CD"/>
    <w:rsid w:val="008F07E3"/>
    <w:rsid w:val="008F4F1C"/>
    <w:rsid w:val="00907271"/>
    <w:rsid w:val="00911705"/>
    <w:rsid w:val="009118DB"/>
    <w:rsid w:val="00911DD2"/>
    <w:rsid w:val="009179E0"/>
    <w:rsid w:val="0092460A"/>
    <w:rsid w:val="009265F3"/>
    <w:rsid w:val="00932377"/>
    <w:rsid w:val="00932A33"/>
    <w:rsid w:val="00934B56"/>
    <w:rsid w:val="0094376B"/>
    <w:rsid w:val="00944868"/>
    <w:rsid w:val="009467FA"/>
    <w:rsid w:val="0095163E"/>
    <w:rsid w:val="00954ABB"/>
    <w:rsid w:val="0095753C"/>
    <w:rsid w:val="00965618"/>
    <w:rsid w:val="00971D64"/>
    <w:rsid w:val="00972D59"/>
    <w:rsid w:val="009848EC"/>
    <w:rsid w:val="009A3BA3"/>
    <w:rsid w:val="009A7F1A"/>
    <w:rsid w:val="009B3629"/>
    <w:rsid w:val="009C1F5F"/>
    <w:rsid w:val="009C21FB"/>
    <w:rsid w:val="009C49D8"/>
    <w:rsid w:val="009D1FEA"/>
    <w:rsid w:val="009D56CA"/>
    <w:rsid w:val="009E0C97"/>
    <w:rsid w:val="009E3601"/>
    <w:rsid w:val="009E51E0"/>
    <w:rsid w:val="009F1C3F"/>
    <w:rsid w:val="009F4A22"/>
    <w:rsid w:val="009F721E"/>
    <w:rsid w:val="009F727E"/>
    <w:rsid w:val="00A1027A"/>
    <w:rsid w:val="00A2057D"/>
    <w:rsid w:val="00A231E2"/>
    <w:rsid w:val="00A2550D"/>
    <w:rsid w:val="00A26DBE"/>
    <w:rsid w:val="00A326A4"/>
    <w:rsid w:val="00A40CD8"/>
    <w:rsid w:val="00A4169B"/>
    <w:rsid w:val="00A4361F"/>
    <w:rsid w:val="00A50159"/>
    <w:rsid w:val="00A50412"/>
    <w:rsid w:val="00A5197F"/>
    <w:rsid w:val="00A55E8A"/>
    <w:rsid w:val="00A64912"/>
    <w:rsid w:val="00A70A74"/>
    <w:rsid w:val="00A70EC2"/>
    <w:rsid w:val="00A71C4E"/>
    <w:rsid w:val="00A73ADF"/>
    <w:rsid w:val="00A831A0"/>
    <w:rsid w:val="00A87AB9"/>
    <w:rsid w:val="00A91F32"/>
    <w:rsid w:val="00A92A56"/>
    <w:rsid w:val="00AA09CA"/>
    <w:rsid w:val="00AB3315"/>
    <w:rsid w:val="00AB5097"/>
    <w:rsid w:val="00AB56E6"/>
    <w:rsid w:val="00AB5904"/>
    <w:rsid w:val="00AB7B41"/>
    <w:rsid w:val="00AC06B3"/>
    <w:rsid w:val="00AC522B"/>
    <w:rsid w:val="00AC7436"/>
    <w:rsid w:val="00AD5641"/>
    <w:rsid w:val="00AE3018"/>
    <w:rsid w:val="00AE50A2"/>
    <w:rsid w:val="00AE72E9"/>
    <w:rsid w:val="00AF0336"/>
    <w:rsid w:val="00AF291A"/>
    <w:rsid w:val="00AF389F"/>
    <w:rsid w:val="00AF4869"/>
    <w:rsid w:val="00AF6613"/>
    <w:rsid w:val="00AF6BD9"/>
    <w:rsid w:val="00B00902"/>
    <w:rsid w:val="00B010A6"/>
    <w:rsid w:val="00B032D8"/>
    <w:rsid w:val="00B10114"/>
    <w:rsid w:val="00B15B87"/>
    <w:rsid w:val="00B17583"/>
    <w:rsid w:val="00B22AE5"/>
    <w:rsid w:val="00B23E99"/>
    <w:rsid w:val="00B27639"/>
    <w:rsid w:val="00B332B8"/>
    <w:rsid w:val="00B33B3C"/>
    <w:rsid w:val="00B36040"/>
    <w:rsid w:val="00B44657"/>
    <w:rsid w:val="00B5123F"/>
    <w:rsid w:val="00B61D2C"/>
    <w:rsid w:val="00B63BDE"/>
    <w:rsid w:val="00B64ADF"/>
    <w:rsid w:val="00B71A78"/>
    <w:rsid w:val="00B72BF9"/>
    <w:rsid w:val="00B731AA"/>
    <w:rsid w:val="00B73257"/>
    <w:rsid w:val="00B76D4C"/>
    <w:rsid w:val="00B91203"/>
    <w:rsid w:val="00B941F7"/>
    <w:rsid w:val="00BA327E"/>
    <w:rsid w:val="00BA5026"/>
    <w:rsid w:val="00BA6975"/>
    <w:rsid w:val="00BB09E0"/>
    <w:rsid w:val="00BB58D9"/>
    <w:rsid w:val="00BB6E79"/>
    <w:rsid w:val="00BC4F91"/>
    <w:rsid w:val="00BD4ABE"/>
    <w:rsid w:val="00BD59DC"/>
    <w:rsid w:val="00BD60E6"/>
    <w:rsid w:val="00BD6131"/>
    <w:rsid w:val="00BE253A"/>
    <w:rsid w:val="00BE436F"/>
    <w:rsid w:val="00BE5149"/>
    <w:rsid w:val="00BE669D"/>
    <w:rsid w:val="00BE719A"/>
    <w:rsid w:val="00BE720A"/>
    <w:rsid w:val="00BF00BD"/>
    <w:rsid w:val="00BF4533"/>
    <w:rsid w:val="00C02D64"/>
    <w:rsid w:val="00C04CA8"/>
    <w:rsid w:val="00C04D5A"/>
    <w:rsid w:val="00C067E5"/>
    <w:rsid w:val="00C07C76"/>
    <w:rsid w:val="00C15528"/>
    <w:rsid w:val="00C164CA"/>
    <w:rsid w:val="00C16BE7"/>
    <w:rsid w:val="00C21B63"/>
    <w:rsid w:val="00C24F4E"/>
    <w:rsid w:val="00C316E1"/>
    <w:rsid w:val="00C31D4D"/>
    <w:rsid w:val="00C3548B"/>
    <w:rsid w:val="00C37B60"/>
    <w:rsid w:val="00C42BF8"/>
    <w:rsid w:val="00C460AE"/>
    <w:rsid w:val="00C4797E"/>
    <w:rsid w:val="00C50043"/>
    <w:rsid w:val="00C570A3"/>
    <w:rsid w:val="00C63713"/>
    <w:rsid w:val="00C63C5D"/>
    <w:rsid w:val="00C6709A"/>
    <w:rsid w:val="00C7573B"/>
    <w:rsid w:val="00C76AB9"/>
    <w:rsid w:val="00C76CF3"/>
    <w:rsid w:val="00C77E30"/>
    <w:rsid w:val="00C809DA"/>
    <w:rsid w:val="00C814F5"/>
    <w:rsid w:val="00C93040"/>
    <w:rsid w:val="00CB0180"/>
    <w:rsid w:val="00CB05A0"/>
    <w:rsid w:val="00CB176E"/>
    <w:rsid w:val="00CB3470"/>
    <w:rsid w:val="00CB4864"/>
    <w:rsid w:val="00CB4FAE"/>
    <w:rsid w:val="00CD606E"/>
    <w:rsid w:val="00CD7ECB"/>
    <w:rsid w:val="00CE0EC0"/>
    <w:rsid w:val="00CE6A6B"/>
    <w:rsid w:val="00CF08C1"/>
    <w:rsid w:val="00CF0BB2"/>
    <w:rsid w:val="00CF41AA"/>
    <w:rsid w:val="00D000F8"/>
    <w:rsid w:val="00D0104A"/>
    <w:rsid w:val="00D0720B"/>
    <w:rsid w:val="00D12BF2"/>
    <w:rsid w:val="00D13441"/>
    <w:rsid w:val="00D16849"/>
    <w:rsid w:val="00D17B17"/>
    <w:rsid w:val="00D201B3"/>
    <w:rsid w:val="00D2155B"/>
    <w:rsid w:val="00D243A3"/>
    <w:rsid w:val="00D243B5"/>
    <w:rsid w:val="00D2521B"/>
    <w:rsid w:val="00D27D07"/>
    <w:rsid w:val="00D31B53"/>
    <w:rsid w:val="00D3237B"/>
    <w:rsid w:val="00D333D9"/>
    <w:rsid w:val="00D33440"/>
    <w:rsid w:val="00D342E0"/>
    <w:rsid w:val="00D35AD3"/>
    <w:rsid w:val="00D36972"/>
    <w:rsid w:val="00D36B83"/>
    <w:rsid w:val="00D37EF7"/>
    <w:rsid w:val="00D40403"/>
    <w:rsid w:val="00D45519"/>
    <w:rsid w:val="00D52EFE"/>
    <w:rsid w:val="00D5407B"/>
    <w:rsid w:val="00D55799"/>
    <w:rsid w:val="00D63EF6"/>
    <w:rsid w:val="00D64648"/>
    <w:rsid w:val="00D64FE7"/>
    <w:rsid w:val="00D66BB2"/>
    <w:rsid w:val="00D6768B"/>
    <w:rsid w:val="00D70DFB"/>
    <w:rsid w:val="00D73551"/>
    <w:rsid w:val="00D74DBB"/>
    <w:rsid w:val="00D766DF"/>
    <w:rsid w:val="00D7697A"/>
    <w:rsid w:val="00D83594"/>
    <w:rsid w:val="00D83D21"/>
    <w:rsid w:val="00D84B58"/>
    <w:rsid w:val="00D85C28"/>
    <w:rsid w:val="00D925D1"/>
    <w:rsid w:val="00D92A71"/>
    <w:rsid w:val="00DA6813"/>
    <w:rsid w:val="00DC5AE4"/>
    <w:rsid w:val="00DE3687"/>
    <w:rsid w:val="00DF3015"/>
    <w:rsid w:val="00DF7312"/>
    <w:rsid w:val="00E026A6"/>
    <w:rsid w:val="00E05704"/>
    <w:rsid w:val="00E05C46"/>
    <w:rsid w:val="00E07330"/>
    <w:rsid w:val="00E115A3"/>
    <w:rsid w:val="00E14217"/>
    <w:rsid w:val="00E224B8"/>
    <w:rsid w:val="00E30206"/>
    <w:rsid w:val="00E33C1C"/>
    <w:rsid w:val="00E443FC"/>
    <w:rsid w:val="00E45FE7"/>
    <w:rsid w:val="00E476B8"/>
    <w:rsid w:val="00E47D7E"/>
    <w:rsid w:val="00E54292"/>
    <w:rsid w:val="00E55BCD"/>
    <w:rsid w:val="00E605F4"/>
    <w:rsid w:val="00E62587"/>
    <w:rsid w:val="00E73EC4"/>
    <w:rsid w:val="00E74DC7"/>
    <w:rsid w:val="00E753BE"/>
    <w:rsid w:val="00E76FAB"/>
    <w:rsid w:val="00E801B7"/>
    <w:rsid w:val="00E80387"/>
    <w:rsid w:val="00E8232F"/>
    <w:rsid w:val="00E82939"/>
    <w:rsid w:val="00E83E2E"/>
    <w:rsid w:val="00E84B32"/>
    <w:rsid w:val="00E866F9"/>
    <w:rsid w:val="00E87699"/>
    <w:rsid w:val="00EA30A7"/>
    <w:rsid w:val="00EA5A73"/>
    <w:rsid w:val="00EB08E9"/>
    <w:rsid w:val="00EB5ABA"/>
    <w:rsid w:val="00ED0B74"/>
    <w:rsid w:val="00ED2158"/>
    <w:rsid w:val="00ED3A7D"/>
    <w:rsid w:val="00EF019D"/>
    <w:rsid w:val="00EF2E3A"/>
    <w:rsid w:val="00F047E2"/>
    <w:rsid w:val="00F078DC"/>
    <w:rsid w:val="00F13E86"/>
    <w:rsid w:val="00F24C35"/>
    <w:rsid w:val="00F3536C"/>
    <w:rsid w:val="00F508A0"/>
    <w:rsid w:val="00F51CDC"/>
    <w:rsid w:val="00F53A4A"/>
    <w:rsid w:val="00F56759"/>
    <w:rsid w:val="00F606D2"/>
    <w:rsid w:val="00F63577"/>
    <w:rsid w:val="00F63D7A"/>
    <w:rsid w:val="00F65CDD"/>
    <w:rsid w:val="00F677A9"/>
    <w:rsid w:val="00F70968"/>
    <w:rsid w:val="00F71AD8"/>
    <w:rsid w:val="00F72321"/>
    <w:rsid w:val="00F72371"/>
    <w:rsid w:val="00F76A81"/>
    <w:rsid w:val="00F84CF5"/>
    <w:rsid w:val="00F859EA"/>
    <w:rsid w:val="00F941AD"/>
    <w:rsid w:val="00F94F72"/>
    <w:rsid w:val="00F975BE"/>
    <w:rsid w:val="00FA420B"/>
    <w:rsid w:val="00FA773A"/>
    <w:rsid w:val="00FB03B3"/>
    <w:rsid w:val="00FB0FDD"/>
    <w:rsid w:val="00FB192C"/>
    <w:rsid w:val="00FB74FC"/>
    <w:rsid w:val="00FC0418"/>
    <w:rsid w:val="00FC5743"/>
    <w:rsid w:val="00FC6412"/>
    <w:rsid w:val="00FC70A5"/>
    <w:rsid w:val="00FD7C19"/>
    <w:rsid w:val="00FD7CFE"/>
    <w:rsid w:val="00FE1342"/>
    <w:rsid w:val="00FE5664"/>
    <w:rsid w:val="00FE7BCF"/>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6952"/>
    <w:pPr>
      <w:spacing w:line="260" w:lineRule="atLeast"/>
    </w:pPr>
    <w:rPr>
      <w:sz w:val="22"/>
    </w:rPr>
  </w:style>
  <w:style w:type="paragraph" w:styleId="Heading1">
    <w:name w:val="heading 1"/>
    <w:basedOn w:val="Normal"/>
    <w:next w:val="Normal"/>
    <w:link w:val="Heading1Char"/>
    <w:uiPriority w:val="9"/>
    <w:qFormat/>
    <w:rsid w:val="00C67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70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70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70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70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709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709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709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6709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6952"/>
  </w:style>
  <w:style w:type="paragraph" w:customStyle="1" w:styleId="OPCParaBase">
    <w:name w:val="OPCParaBase"/>
    <w:qFormat/>
    <w:rsid w:val="00356952"/>
    <w:pPr>
      <w:spacing w:line="260" w:lineRule="atLeast"/>
    </w:pPr>
    <w:rPr>
      <w:rFonts w:eastAsia="Times New Roman" w:cs="Times New Roman"/>
      <w:sz w:val="22"/>
      <w:lang w:eastAsia="en-AU"/>
    </w:rPr>
  </w:style>
  <w:style w:type="paragraph" w:customStyle="1" w:styleId="ShortT">
    <w:name w:val="ShortT"/>
    <w:basedOn w:val="OPCParaBase"/>
    <w:next w:val="Normal"/>
    <w:qFormat/>
    <w:rsid w:val="00356952"/>
    <w:pPr>
      <w:spacing w:line="240" w:lineRule="auto"/>
    </w:pPr>
    <w:rPr>
      <w:b/>
      <w:sz w:val="40"/>
    </w:rPr>
  </w:style>
  <w:style w:type="paragraph" w:customStyle="1" w:styleId="ActHead1">
    <w:name w:val="ActHead 1"/>
    <w:aliases w:val="c"/>
    <w:basedOn w:val="OPCParaBase"/>
    <w:next w:val="Normal"/>
    <w:qFormat/>
    <w:rsid w:val="003569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69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69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69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569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69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69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69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69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56952"/>
  </w:style>
  <w:style w:type="paragraph" w:customStyle="1" w:styleId="Blocks">
    <w:name w:val="Blocks"/>
    <w:aliases w:val="bb"/>
    <w:basedOn w:val="OPCParaBase"/>
    <w:qFormat/>
    <w:rsid w:val="00356952"/>
    <w:pPr>
      <w:spacing w:line="240" w:lineRule="auto"/>
    </w:pPr>
    <w:rPr>
      <w:sz w:val="24"/>
    </w:rPr>
  </w:style>
  <w:style w:type="paragraph" w:customStyle="1" w:styleId="BoxText">
    <w:name w:val="BoxText"/>
    <w:aliases w:val="bt"/>
    <w:basedOn w:val="OPCParaBase"/>
    <w:qFormat/>
    <w:rsid w:val="003569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6952"/>
    <w:rPr>
      <w:b/>
    </w:rPr>
  </w:style>
  <w:style w:type="paragraph" w:customStyle="1" w:styleId="BoxHeadItalic">
    <w:name w:val="BoxHeadItalic"/>
    <w:aliases w:val="bhi"/>
    <w:basedOn w:val="BoxText"/>
    <w:next w:val="BoxStep"/>
    <w:qFormat/>
    <w:rsid w:val="00356952"/>
    <w:rPr>
      <w:i/>
    </w:rPr>
  </w:style>
  <w:style w:type="paragraph" w:customStyle="1" w:styleId="BoxList">
    <w:name w:val="BoxList"/>
    <w:aliases w:val="bl"/>
    <w:basedOn w:val="BoxText"/>
    <w:qFormat/>
    <w:rsid w:val="00356952"/>
    <w:pPr>
      <w:ind w:left="1559" w:hanging="425"/>
    </w:pPr>
  </w:style>
  <w:style w:type="paragraph" w:customStyle="1" w:styleId="BoxNote">
    <w:name w:val="BoxNote"/>
    <w:aliases w:val="bn"/>
    <w:basedOn w:val="BoxText"/>
    <w:qFormat/>
    <w:rsid w:val="00356952"/>
    <w:pPr>
      <w:tabs>
        <w:tab w:val="left" w:pos="1985"/>
      </w:tabs>
      <w:spacing w:before="122" w:line="198" w:lineRule="exact"/>
      <w:ind w:left="2948" w:hanging="1814"/>
    </w:pPr>
    <w:rPr>
      <w:sz w:val="18"/>
    </w:rPr>
  </w:style>
  <w:style w:type="paragraph" w:customStyle="1" w:styleId="BoxPara">
    <w:name w:val="BoxPara"/>
    <w:aliases w:val="bp"/>
    <w:basedOn w:val="BoxText"/>
    <w:qFormat/>
    <w:rsid w:val="00356952"/>
    <w:pPr>
      <w:tabs>
        <w:tab w:val="right" w:pos="2268"/>
      </w:tabs>
      <w:ind w:left="2552" w:hanging="1418"/>
    </w:pPr>
  </w:style>
  <w:style w:type="paragraph" w:customStyle="1" w:styleId="BoxStep">
    <w:name w:val="BoxStep"/>
    <w:aliases w:val="bs"/>
    <w:basedOn w:val="BoxText"/>
    <w:qFormat/>
    <w:rsid w:val="00356952"/>
    <w:pPr>
      <w:ind w:left="1985" w:hanging="851"/>
    </w:pPr>
  </w:style>
  <w:style w:type="character" w:customStyle="1" w:styleId="CharAmPartNo">
    <w:name w:val="CharAmPartNo"/>
    <w:basedOn w:val="OPCCharBase"/>
    <w:qFormat/>
    <w:rsid w:val="00356952"/>
  </w:style>
  <w:style w:type="character" w:customStyle="1" w:styleId="CharAmPartText">
    <w:name w:val="CharAmPartText"/>
    <w:basedOn w:val="OPCCharBase"/>
    <w:qFormat/>
    <w:rsid w:val="00356952"/>
  </w:style>
  <w:style w:type="character" w:customStyle="1" w:styleId="CharAmSchNo">
    <w:name w:val="CharAmSchNo"/>
    <w:basedOn w:val="OPCCharBase"/>
    <w:qFormat/>
    <w:rsid w:val="00356952"/>
  </w:style>
  <w:style w:type="character" w:customStyle="1" w:styleId="CharAmSchText">
    <w:name w:val="CharAmSchText"/>
    <w:basedOn w:val="OPCCharBase"/>
    <w:qFormat/>
    <w:rsid w:val="00356952"/>
  </w:style>
  <w:style w:type="character" w:customStyle="1" w:styleId="CharBoldItalic">
    <w:name w:val="CharBoldItalic"/>
    <w:basedOn w:val="OPCCharBase"/>
    <w:uiPriority w:val="1"/>
    <w:qFormat/>
    <w:rsid w:val="00356952"/>
    <w:rPr>
      <w:b/>
      <w:i/>
    </w:rPr>
  </w:style>
  <w:style w:type="character" w:customStyle="1" w:styleId="CharChapNo">
    <w:name w:val="CharChapNo"/>
    <w:basedOn w:val="OPCCharBase"/>
    <w:uiPriority w:val="1"/>
    <w:qFormat/>
    <w:rsid w:val="00356952"/>
  </w:style>
  <w:style w:type="character" w:customStyle="1" w:styleId="CharChapText">
    <w:name w:val="CharChapText"/>
    <w:basedOn w:val="OPCCharBase"/>
    <w:uiPriority w:val="1"/>
    <w:qFormat/>
    <w:rsid w:val="00356952"/>
  </w:style>
  <w:style w:type="character" w:customStyle="1" w:styleId="CharDivNo">
    <w:name w:val="CharDivNo"/>
    <w:basedOn w:val="OPCCharBase"/>
    <w:uiPriority w:val="1"/>
    <w:qFormat/>
    <w:rsid w:val="00356952"/>
  </w:style>
  <w:style w:type="character" w:customStyle="1" w:styleId="CharDivText">
    <w:name w:val="CharDivText"/>
    <w:basedOn w:val="OPCCharBase"/>
    <w:uiPriority w:val="1"/>
    <w:qFormat/>
    <w:rsid w:val="00356952"/>
  </w:style>
  <w:style w:type="character" w:customStyle="1" w:styleId="CharItalic">
    <w:name w:val="CharItalic"/>
    <w:basedOn w:val="OPCCharBase"/>
    <w:uiPriority w:val="1"/>
    <w:qFormat/>
    <w:rsid w:val="00356952"/>
    <w:rPr>
      <w:i/>
    </w:rPr>
  </w:style>
  <w:style w:type="character" w:customStyle="1" w:styleId="CharPartNo">
    <w:name w:val="CharPartNo"/>
    <w:basedOn w:val="OPCCharBase"/>
    <w:uiPriority w:val="1"/>
    <w:qFormat/>
    <w:rsid w:val="00356952"/>
  </w:style>
  <w:style w:type="character" w:customStyle="1" w:styleId="CharPartText">
    <w:name w:val="CharPartText"/>
    <w:basedOn w:val="OPCCharBase"/>
    <w:uiPriority w:val="1"/>
    <w:qFormat/>
    <w:rsid w:val="00356952"/>
  </w:style>
  <w:style w:type="character" w:customStyle="1" w:styleId="CharSectno">
    <w:name w:val="CharSectno"/>
    <w:basedOn w:val="OPCCharBase"/>
    <w:qFormat/>
    <w:rsid w:val="00356952"/>
  </w:style>
  <w:style w:type="character" w:customStyle="1" w:styleId="CharSubdNo">
    <w:name w:val="CharSubdNo"/>
    <w:basedOn w:val="OPCCharBase"/>
    <w:uiPriority w:val="1"/>
    <w:qFormat/>
    <w:rsid w:val="00356952"/>
  </w:style>
  <w:style w:type="character" w:customStyle="1" w:styleId="CharSubdText">
    <w:name w:val="CharSubdText"/>
    <w:basedOn w:val="OPCCharBase"/>
    <w:uiPriority w:val="1"/>
    <w:qFormat/>
    <w:rsid w:val="00356952"/>
  </w:style>
  <w:style w:type="paragraph" w:customStyle="1" w:styleId="CTA--">
    <w:name w:val="CTA --"/>
    <w:basedOn w:val="OPCParaBase"/>
    <w:next w:val="Normal"/>
    <w:rsid w:val="00356952"/>
    <w:pPr>
      <w:spacing w:before="60" w:line="240" w:lineRule="atLeast"/>
      <w:ind w:left="142" w:hanging="142"/>
    </w:pPr>
    <w:rPr>
      <w:sz w:val="20"/>
    </w:rPr>
  </w:style>
  <w:style w:type="paragraph" w:customStyle="1" w:styleId="CTA-">
    <w:name w:val="CTA -"/>
    <w:basedOn w:val="OPCParaBase"/>
    <w:rsid w:val="00356952"/>
    <w:pPr>
      <w:spacing w:before="60" w:line="240" w:lineRule="atLeast"/>
      <w:ind w:left="85" w:hanging="85"/>
    </w:pPr>
    <w:rPr>
      <w:sz w:val="20"/>
    </w:rPr>
  </w:style>
  <w:style w:type="paragraph" w:customStyle="1" w:styleId="CTA---">
    <w:name w:val="CTA ---"/>
    <w:basedOn w:val="OPCParaBase"/>
    <w:next w:val="Normal"/>
    <w:rsid w:val="00356952"/>
    <w:pPr>
      <w:spacing w:before="60" w:line="240" w:lineRule="atLeast"/>
      <w:ind w:left="198" w:hanging="198"/>
    </w:pPr>
    <w:rPr>
      <w:sz w:val="20"/>
    </w:rPr>
  </w:style>
  <w:style w:type="paragraph" w:customStyle="1" w:styleId="CTA----">
    <w:name w:val="CTA ----"/>
    <w:basedOn w:val="OPCParaBase"/>
    <w:next w:val="Normal"/>
    <w:rsid w:val="00356952"/>
    <w:pPr>
      <w:spacing w:before="60" w:line="240" w:lineRule="atLeast"/>
      <w:ind w:left="255" w:hanging="255"/>
    </w:pPr>
    <w:rPr>
      <w:sz w:val="20"/>
    </w:rPr>
  </w:style>
  <w:style w:type="paragraph" w:customStyle="1" w:styleId="CTA1a">
    <w:name w:val="CTA 1(a)"/>
    <w:basedOn w:val="OPCParaBase"/>
    <w:rsid w:val="00356952"/>
    <w:pPr>
      <w:tabs>
        <w:tab w:val="right" w:pos="414"/>
      </w:tabs>
      <w:spacing w:before="40" w:line="240" w:lineRule="atLeast"/>
      <w:ind w:left="675" w:hanging="675"/>
    </w:pPr>
    <w:rPr>
      <w:sz w:val="20"/>
    </w:rPr>
  </w:style>
  <w:style w:type="paragraph" w:customStyle="1" w:styleId="CTA1ai">
    <w:name w:val="CTA 1(a)(i)"/>
    <w:basedOn w:val="OPCParaBase"/>
    <w:rsid w:val="00356952"/>
    <w:pPr>
      <w:tabs>
        <w:tab w:val="right" w:pos="1004"/>
      </w:tabs>
      <w:spacing w:before="40" w:line="240" w:lineRule="atLeast"/>
      <w:ind w:left="1253" w:hanging="1253"/>
    </w:pPr>
    <w:rPr>
      <w:sz w:val="20"/>
    </w:rPr>
  </w:style>
  <w:style w:type="paragraph" w:customStyle="1" w:styleId="CTA2a">
    <w:name w:val="CTA 2(a)"/>
    <w:basedOn w:val="OPCParaBase"/>
    <w:rsid w:val="00356952"/>
    <w:pPr>
      <w:tabs>
        <w:tab w:val="right" w:pos="482"/>
      </w:tabs>
      <w:spacing w:before="40" w:line="240" w:lineRule="atLeast"/>
      <w:ind w:left="748" w:hanging="748"/>
    </w:pPr>
    <w:rPr>
      <w:sz w:val="20"/>
    </w:rPr>
  </w:style>
  <w:style w:type="paragraph" w:customStyle="1" w:styleId="CTA2ai">
    <w:name w:val="CTA 2(a)(i)"/>
    <w:basedOn w:val="OPCParaBase"/>
    <w:rsid w:val="00356952"/>
    <w:pPr>
      <w:tabs>
        <w:tab w:val="right" w:pos="1089"/>
      </w:tabs>
      <w:spacing w:before="40" w:line="240" w:lineRule="atLeast"/>
      <w:ind w:left="1327" w:hanging="1327"/>
    </w:pPr>
    <w:rPr>
      <w:sz w:val="20"/>
    </w:rPr>
  </w:style>
  <w:style w:type="paragraph" w:customStyle="1" w:styleId="CTA3a">
    <w:name w:val="CTA 3(a)"/>
    <w:basedOn w:val="OPCParaBase"/>
    <w:rsid w:val="00356952"/>
    <w:pPr>
      <w:tabs>
        <w:tab w:val="right" w:pos="556"/>
      </w:tabs>
      <w:spacing w:before="40" w:line="240" w:lineRule="atLeast"/>
      <w:ind w:left="805" w:hanging="805"/>
    </w:pPr>
    <w:rPr>
      <w:sz w:val="20"/>
    </w:rPr>
  </w:style>
  <w:style w:type="paragraph" w:customStyle="1" w:styleId="CTA3ai">
    <w:name w:val="CTA 3(a)(i)"/>
    <w:basedOn w:val="OPCParaBase"/>
    <w:rsid w:val="00356952"/>
    <w:pPr>
      <w:tabs>
        <w:tab w:val="right" w:pos="1140"/>
      </w:tabs>
      <w:spacing w:before="40" w:line="240" w:lineRule="atLeast"/>
      <w:ind w:left="1361" w:hanging="1361"/>
    </w:pPr>
    <w:rPr>
      <w:sz w:val="20"/>
    </w:rPr>
  </w:style>
  <w:style w:type="paragraph" w:customStyle="1" w:styleId="CTA4a">
    <w:name w:val="CTA 4(a)"/>
    <w:basedOn w:val="OPCParaBase"/>
    <w:rsid w:val="00356952"/>
    <w:pPr>
      <w:tabs>
        <w:tab w:val="right" w:pos="624"/>
      </w:tabs>
      <w:spacing w:before="40" w:line="240" w:lineRule="atLeast"/>
      <w:ind w:left="873" w:hanging="873"/>
    </w:pPr>
    <w:rPr>
      <w:sz w:val="20"/>
    </w:rPr>
  </w:style>
  <w:style w:type="paragraph" w:customStyle="1" w:styleId="CTA4ai">
    <w:name w:val="CTA 4(a)(i)"/>
    <w:basedOn w:val="OPCParaBase"/>
    <w:rsid w:val="00356952"/>
    <w:pPr>
      <w:tabs>
        <w:tab w:val="right" w:pos="1213"/>
      </w:tabs>
      <w:spacing w:before="40" w:line="240" w:lineRule="atLeast"/>
      <w:ind w:left="1452" w:hanging="1452"/>
    </w:pPr>
    <w:rPr>
      <w:sz w:val="20"/>
    </w:rPr>
  </w:style>
  <w:style w:type="paragraph" w:customStyle="1" w:styleId="CTACAPS">
    <w:name w:val="CTA CAPS"/>
    <w:basedOn w:val="OPCParaBase"/>
    <w:rsid w:val="00356952"/>
    <w:pPr>
      <w:spacing w:before="60" w:line="240" w:lineRule="atLeast"/>
    </w:pPr>
    <w:rPr>
      <w:sz w:val="20"/>
    </w:rPr>
  </w:style>
  <w:style w:type="paragraph" w:customStyle="1" w:styleId="CTAright">
    <w:name w:val="CTA right"/>
    <w:basedOn w:val="OPCParaBase"/>
    <w:rsid w:val="00356952"/>
    <w:pPr>
      <w:spacing w:before="60" w:line="240" w:lineRule="auto"/>
      <w:jc w:val="right"/>
    </w:pPr>
    <w:rPr>
      <w:sz w:val="20"/>
    </w:rPr>
  </w:style>
  <w:style w:type="paragraph" w:customStyle="1" w:styleId="subsection">
    <w:name w:val="subsection"/>
    <w:aliases w:val="ss"/>
    <w:basedOn w:val="OPCParaBase"/>
    <w:link w:val="subsectionChar"/>
    <w:rsid w:val="00356952"/>
    <w:pPr>
      <w:tabs>
        <w:tab w:val="right" w:pos="1021"/>
      </w:tabs>
      <w:spacing w:before="180" w:line="240" w:lineRule="auto"/>
      <w:ind w:left="1134" w:hanging="1134"/>
    </w:pPr>
  </w:style>
  <w:style w:type="paragraph" w:customStyle="1" w:styleId="Definition">
    <w:name w:val="Definition"/>
    <w:aliases w:val="dd"/>
    <w:basedOn w:val="OPCParaBase"/>
    <w:rsid w:val="00356952"/>
    <w:pPr>
      <w:spacing w:before="180" w:line="240" w:lineRule="auto"/>
      <w:ind w:left="1134"/>
    </w:pPr>
  </w:style>
  <w:style w:type="paragraph" w:customStyle="1" w:styleId="ETAsubitem">
    <w:name w:val="ETA(subitem)"/>
    <w:basedOn w:val="OPCParaBase"/>
    <w:rsid w:val="00356952"/>
    <w:pPr>
      <w:tabs>
        <w:tab w:val="right" w:pos="340"/>
      </w:tabs>
      <w:spacing w:before="60" w:line="240" w:lineRule="auto"/>
      <w:ind w:left="454" w:hanging="454"/>
    </w:pPr>
    <w:rPr>
      <w:sz w:val="20"/>
    </w:rPr>
  </w:style>
  <w:style w:type="paragraph" w:customStyle="1" w:styleId="ETApara">
    <w:name w:val="ETA(para)"/>
    <w:basedOn w:val="OPCParaBase"/>
    <w:rsid w:val="00356952"/>
    <w:pPr>
      <w:tabs>
        <w:tab w:val="right" w:pos="754"/>
      </w:tabs>
      <w:spacing w:before="60" w:line="240" w:lineRule="auto"/>
      <w:ind w:left="828" w:hanging="828"/>
    </w:pPr>
    <w:rPr>
      <w:sz w:val="20"/>
    </w:rPr>
  </w:style>
  <w:style w:type="paragraph" w:customStyle="1" w:styleId="ETAsubpara">
    <w:name w:val="ETA(subpara)"/>
    <w:basedOn w:val="OPCParaBase"/>
    <w:rsid w:val="00356952"/>
    <w:pPr>
      <w:tabs>
        <w:tab w:val="right" w:pos="1083"/>
      </w:tabs>
      <w:spacing w:before="60" w:line="240" w:lineRule="auto"/>
      <w:ind w:left="1191" w:hanging="1191"/>
    </w:pPr>
    <w:rPr>
      <w:sz w:val="20"/>
    </w:rPr>
  </w:style>
  <w:style w:type="paragraph" w:customStyle="1" w:styleId="ETAsub-subpara">
    <w:name w:val="ETA(sub-subpara)"/>
    <w:basedOn w:val="OPCParaBase"/>
    <w:rsid w:val="00356952"/>
    <w:pPr>
      <w:tabs>
        <w:tab w:val="right" w:pos="1412"/>
      </w:tabs>
      <w:spacing w:before="60" w:line="240" w:lineRule="auto"/>
      <w:ind w:left="1525" w:hanging="1525"/>
    </w:pPr>
    <w:rPr>
      <w:sz w:val="20"/>
    </w:rPr>
  </w:style>
  <w:style w:type="paragraph" w:customStyle="1" w:styleId="Formula">
    <w:name w:val="Formula"/>
    <w:basedOn w:val="OPCParaBase"/>
    <w:rsid w:val="00356952"/>
    <w:pPr>
      <w:spacing w:line="240" w:lineRule="auto"/>
      <w:ind w:left="1134"/>
    </w:pPr>
    <w:rPr>
      <w:sz w:val="20"/>
    </w:rPr>
  </w:style>
  <w:style w:type="paragraph" w:styleId="Header">
    <w:name w:val="header"/>
    <w:basedOn w:val="OPCParaBase"/>
    <w:link w:val="HeaderChar"/>
    <w:unhideWhenUsed/>
    <w:rsid w:val="003569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6952"/>
    <w:rPr>
      <w:rFonts w:eastAsia="Times New Roman" w:cs="Times New Roman"/>
      <w:sz w:val="16"/>
      <w:lang w:eastAsia="en-AU"/>
    </w:rPr>
  </w:style>
  <w:style w:type="paragraph" w:customStyle="1" w:styleId="House">
    <w:name w:val="House"/>
    <w:basedOn w:val="OPCParaBase"/>
    <w:rsid w:val="00356952"/>
    <w:pPr>
      <w:spacing w:line="240" w:lineRule="auto"/>
    </w:pPr>
    <w:rPr>
      <w:sz w:val="28"/>
    </w:rPr>
  </w:style>
  <w:style w:type="paragraph" w:customStyle="1" w:styleId="Item">
    <w:name w:val="Item"/>
    <w:aliases w:val="i"/>
    <w:basedOn w:val="OPCParaBase"/>
    <w:next w:val="ItemHead"/>
    <w:rsid w:val="00356952"/>
    <w:pPr>
      <w:keepLines/>
      <w:spacing w:before="80" w:line="240" w:lineRule="auto"/>
      <w:ind w:left="709"/>
    </w:pPr>
  </w:style>
  <w:style w:type="paragraph" w:customStyle="1" w:styleId="ItemHead">
    <w:name w:val="ItemHead"/>
    <w:aliases w:val="ih"/>
    <w:basedOn w:val="OPCParaBase"/>
    <w:next w:val="Item"/>
    <w:rsid w:val="003569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6952"/>
    <w:pPr>
      <w:spacing w:line="240" w:lineRule="auto"/>
    </w:pPr>
    <w:rPr>
      <w:b/>
      <w:sz w:val="32"/>
    </w:rPr>
  </w:style>
  <w:style w:type="paragraph" w:customStyle="1" w:styleId="notedraft">
    <w:name w:val="note(draft)"/>
    <w:aliases w:val="nd"/>
    <w:basedOn w:val="OPCParaBase"/>
    <w:rsid w:val="00356952"/>
    <w:pPr>
      <w:spacing w:before="240" w:line="240" w:lineRule="auto"/>
      <w:ind w:left="284" w:hanging="284"/>
    </w:pPr>
    <w:rPr>
      <w:i/>
      <w:sz w:val="24"/>
    </w:rPr>
  </w:style>
  <w:style w:type="paragraph" w:customStyle="1" w:styleId="notemargin">
    <w:name w:val="note(margin)"/>
    <w:aliases w:val="nm"/>
    <w:basedOn w:val="OPCParaBase"/>
    <w:rsid w:val="00356952"/>
    <w:pPr>
      <w:tabs>
        <w:tab w:val="left" w:pos="709"/>
      </w:tabs>
      <w:spacing w:before="122" w:line="198" w:lineRule="exact"/>
      <w:ind w:left="709" w:hanging="709"/>
    </w:pPr>
    <w:rPr>
      <w:sz w:val="18"/>
    </w:rPr>
  </w:style>
  <w:style w:type="paragraph" w:customStyle="1" w:styleId="noteToPara">
    <w:name w:val="noteToPara"/>
    <w:aliases w:val="ntp"/>
    <w:basedOn w:val="OPCParaBase"/>
    <w:rsid w:val="00356952"/>
    <w:pPr>
      <w:spacing w:before="122" w:line="198" w:lineRule="exact"/>
      <w:ind w:left="2353" w:hanging="709"/>
    </w:pPr>
    <w:rPr>
      <w:sz w:val="18"/>
    </w:rPr>
  </w:style>
  <w:style w:type="paragraph" w:customStyle="1" w:styleId="noteParlAmend">
    <w:name w:val="note(ParlAmend)"/>
    <w:aliases w:val="npp"/>
    <w:basedOn w:val="OPCParaBase"/>
    <w:next w:val="ParlAmend"/>
    <w:rsid w:val="00356952"/>
    <w:pPr>
      <w:spacing w:line="240" w:lineRule="auto"/>
      <w:jc w:val="right"/>
    </w:pPr>
    <w:rPr>
      <w:rFonts w:ascii="Arial" w:hAnsi="Arial"/>
      <w:b/>
      <w:i/>
    </w:rPr>
  </w:style>
  <w:style w:type="paragraph" w:customStyle="1" w:styleId="Page1">
    <w:name w:val="Page1"/>
    <w:basedOn w:val="OPCParaBase"/>
    <w:rsid w:val="00356952"/>
    <w:pPr>
      <w:spacing w:before="5600" w:line="240" w:lineRule="auto"/>
    </w:pPr>
    <w:rPr>
      <w:b/>
      <w:sz w:val="32"/>
    </w:rPr>
  </w:style>
  <w:style w:type="paragraph" w:customStyle="1" w:styleId="PageBreak">
    <w:name w:val="PageBreak"/>
    <w:aliases w:val="pb"/>
    <w:basedOn w:val="OPCParaBase"/>
    <w:rsid w:val="00356952"/>
    <w:pPr>
      <w:spacing w:line="240" w:lineRule="auto"/>
    </w:pPr>
    <w:rPr>
      <w:sz w:val="20"/>
    </w:rPr>
  </w:style>
  <w:style w:type="paragraph" w:customStyle="1" w:styleId="paragraphsub">
    <w:name w:val="paragraph(sub)"/>
    <w:aliases w:val="aa"/>
    <w:basedOn w:val="OPCParaBase"/>
    <w:rsid w:val="00356952"/>
    <w:pPr>
      <w:tabs>
        <w:tab w:val="right" w:pos="1985"/>
      </w:tabs>
      <w:spacing w:before="40" w:line="240" w:lineRule="auto"/>
      <w:ind w:left="2098" w:hanging="2098"/>
    </w:pPr>
  </w:style>
  <w:style w:type="paragraph" w:customStyle="1" w:styleId="paragraphsub-sub">
    <w:name w:val="paragraph(sub-sub)"/>
    <w:aliases w:val="aaa"/>
    <w:basedOn w:val="OPCParaBase"/>
    <w:rsid w:val="00356952"/>
    <w:pPr>
      <w:tabs>
        <w:tab w:val="right" w:pos="2722"/>
      </w:tabs>
      <w:spacing w:before="40" w:line="240" w:lineRule="auto"/>
      <w:ind w:left="2835" w:hanging="2835"/>
    </w:pPr>
  </w:style>
  <w:style w:type="paragraph" w:customStyle="1" w:styleId="paragraph">
    <w:name w:val="paragraph"/>
    <w:aliases w:val="a"/>
    <w:basedOn w:val="OPCParaBase"/>
    <w:rsid w:val="00356952"/>
    <w:pPr>
      <w:tabs>
        <w:tab w:val="right" w:pos="1531"/>
      </w:tabs>
      <w:spacing w:before="40" w:line="240" w:lineRule="auto"/>
      <w:ind w:left="1644" w:hanging="1644"/>
    </w:pPr>
  </w:style>
  <w:style w:type="paragraph" w:customStyle="1" w:styleId="ParlAmend">
    <w:name w:val="ParlAmend"/>
    <w:aliases w:val="pp"/>
    <w:basedOn w:val="OPCParaBase"/>
    <w:rsid w:val="00356952"/>
    <w:pPr>
      <w:spacing w:before="240" w:line="240" w:lineRule="atLeast"/>
      <w:ind w:hanging="567"/>
    </w:pPr>
    <w:rPr>
      <w:sz w:val="24"/>
    </w:rPr>
  </w:style>
  <w:style w:type="paragraph" w:customStyle="1" w:styleId="Penalty">
    <w:name w:val="Penalty"/>
    <w:basedOn w:val="OPCParaBase"/>
    <w:rsid w:val="00356952"/>
    <w:pPr>
      <w:tabs>
        <w:tab w:val="left" w:pos="2977"/>
      </w:tabs>
      <w:spacing w:before="180" w:line="240" w:lineRule="auto"/>
      <w:ind w:left="1985" w:hanging="851"/>
    </w:pPr>
  </w:style>
  <w:style w:type="paragraph" w:customStyle="1" w:styleId="Portfolio">
    <w:name w:val="Portfolio"/>
    <w:basedOn w:val="OPCParaBase"/>
    <w:rsid w:val="00356952"/>
    <w:pPr>
      <w:spacing w:line="240" w:lineRule="auto"/>
    </w:pPr>
    <w:rPr>
      <w:i/>
      <w:sz w:val="20"/>
    </w:rPr>
  </w:style>
  <w:style w:type="paragraph" w:customStyle="1" w:styleId="Preamble">
    <w:name w:val="Preamble"/>
    <w:basedOn w:val="OPCParaBase"/>
    <w:next w:val="Normal"/>
    <w:rsid w:val="003569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6952"/>
    <w:pPr>
      <w:spacing w:line="240" w:lineRule="auto"/>
    </w:pPr>
    <w:rPr>
      <w:i/>
      <w:sz w:val="20"/>
    </w:rPr>
  </w:style>
  <w:style w:type="paragraph" w:customStyle="1" w:styleId="Session">
    <w:name w:val="Session"/>
    <w:basedOn w:val="OPCParaBase"/>
    <w:rsid w:val="00356952"/>
    <w:pPr>
      <w:spacing w:line="240" w:lineRule="auto"/>
    </w:pPr>
    <w:rPr>
      <w:sz w:val="28"/>
    </w:rPr>
  </w:style>
  <w:style w:type="paragraph" w:customStyle="1" w:styleId="Sponsor">
    <w:name w:val="Sponsor"/>
    <w:basedOn w:val="OPCParaBase"/>
    <w:rsid w:val="00356952"/>
    <w:pPr>
      <w:spacing w:line="240" w:lineRule="auto"/>
    </w:pPr>
    <w:rPr>
      <w:i/>
    </w:rPr>
  </w:style>
  <w:style w:type="paragraph" w:customStyle="1" w:styleId="Subitem">
    <w:name w:val="Subitem"/>
    <w:aliases w:val="iss"/>
    <w:basedOn w:val="OPCParaBase"/>
    <w:rsid w:val="00356952"/>
    <w:pPr>
      <w:spacing w:before="180" w:line="240" w:lineRule="auto"/>
      <w:ind w:left="709" w:hanging="709"/>
    </w:pPr>
  </w:style>
  <w:style w:type="paragraph" w:customStyle="1" w:styleId="SubitemHead">
    <w:name w:val="SubitemHead"/>
    <w:aliases w:val="issh"/>
    <w:basedOn w:val="OPCParaBase"/>
    <w:rsid w:val="003569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6952"/>
    <w:pPr>
      <w:spacing w:before="40" w:line="240" w:lineRule="auto"/>
      <w:ind w:left="1134"/>
    </w:pPr>
  </w:style>
  <w:style w:type="paragraph" w:customStyle="1" w:styleId="SubsectionHead">
    <w:name w:val="SubsectionHead"/>
    <w:aliases w:val="ssh"/>
    <w:basedOn w:val="OPCParaBase"/>
    <w:next w:val="subsection"/>
    <w:rsid w:val="00356952"/>
    <w:pPr>
      <w:keepNext/>
      <w:keepLines/>
      <w:spacing w:before="240" w:line="240" w:lineRule="auto"/>
      <w:ind w:left="1134"/>
    </w:pPr>
    <w:rPr>
      <w:i/>
    </w:rPr>
  </w:style>
  <w:style w:type="paragraph" w:customStyle="1" w:styleId="Tablea">
    <w:name w:val="Table(a)"/>
    <w:aliases w:val="ta"/>
    <w:basedOn w:val="OPCParaBase"/>
    <w:rsid w:val="00356952"/>
    <w:pPr>
      <w:spacing w:before="60" w:line="240" w:lineRule="auto"/>
      <w:ind w:left="284" w:hanging="284"/>
    </w:pPr>
    <w:rPr>
      <w:sz w:val="20"/>
    </w:rPr>
  </w:style>
  <w:style w:type="paragraph" w:customStyle="1" w:styleId="TableAA">
    <w:name w:val="Table(AA)"/>
    <w:aliases w:val="taaa"/>
    <w:basedOn w:val="OPCParaBase"/>
    <w:rsid w:val="003569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69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6952"/>
    <w:pPr>
      <w:spacing w:before="60" w:line="240" w:lineRule="atLeast"/>
    </w:pPr>
    <w:rPr>
      <w:sz w:val="20"/>
    </w:rPr>
  </w:style>
  <w:style w:type="paragraph" w:customStyle="1" w:styleId="TLPBoxTextnote">
    <w:name w:val="TLPBoxText(note"/>
    <w:aliases w:val="right)"/>
    <w:basedOn w:val="OPCParaBase"/>
    <w:rsid w:val="003569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69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6952"/>
    <w:pPr>
      <w:spacing w:before="122" w:line="198" w:lineRule="exact"/>
      <w:ind w:left="1985" w:hanging="851"/>
      <w:jc w:val="right"/>
    </w:pPr>
    <w:rPr>
      <w:sz w:val="18"/>
    </w:rPr>
  </w:style>
  <w:style w:type="paragraph" w:customStyle="1" w:styleId="TLPTableBullet">
    <w:name w:val="TLPTableBullet"/>
    <w:aliases w:val="ttb"/>
    <w:basedOn w:val="OPCParaBase"/>
    <w:rsid w:val="00356952"/>
    <w:pPr>
      <w:spacing w:line="240" w:lineRule="exact"/>
      <w:ind w:left="284" w:hanging="284"/>
    </w:pPr>
    <w:rPr>
      <w:sz w:val="20"/>
    </w:rPr>
  </w:style>
  <w:style w:type="paragraph" w:styleId="TOC1">
    <w:name w:val="toc 1"/>
    <w:basedOn w:val="OPCParaBase"/>
    <w:next w:val="Normal"/>
    <w:uiPriority w:val="39"/>
    <w:semiHidden/>
    <w:unhideWhenUsed/>
    <w:rsid w:val="0035695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5695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5695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5695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569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69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69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569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69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56952"/>
    <w:pPr>
      <w:keepLines/>
      <w:spacing w:before="240" w:after="120" w:line="240" w:lineRule="auto"/>
      <w:ind w:left="794"/>
    </w:pPr>
    <w:rPr>
      <w:b/>
      <w:kern w:val="28"/>
      <w:sz w:val="20"/>
    </w:rPr>
  </w:style>
  <w:style w:type="paragraph" w:customStyle="1" w:styleId="TofSectsHeading">
    <w:name w:val="TofSects(Heading)"/>
    <w:basedOn w:val="OPCParaBase"/>
    <w:rsid w:val="00356952"/>
    <w:pPr>
      <w:spacing w:before="240" w:after="120" w:line="240" w:lineRule="auto"/>
    </w:pPr>
    <w:rPr>
      <w:b/>
      <w:sz w:val="24"/>
    </w:rPr>
  </w:style>
  <w:style w:type="paragraph" w:customStyle="1" w:styleId="TofSectsSection">
    <w:name w:val="TofSects(Section)"/>
    <w:basedOn w:val="OPCParaBase"/>
    <w:rsid w:val="00356952"/>
    <w:pPr>
      <w:keepLines/>
      <w:spacing w:before="40" w:line="240" w:lineRule="auto"/>
      <w:ind w:left="1588" w:hanging="794"/>
    </w:pPr>
    <w:rPr>
      <w:kern w:val="28"/>
      <w:sz w:val="18"/>
    </w:rPr>
  </w:style>
  <w:style w:type="paragraph" w:customStyle="1" w:styleId="TofSectsSubdiv">
    <w:name w:val="TofSects(Subdiv)"/>
    <w:basedOn w:val="OPCParaBase"/>
    <w:rsid w:val="00356952"/>
    <w:pPr>
      <w:keepLines/>
      <w:spacing w:before="80" w:line="240" w:lineRule="auto"/>
      <w:ind w:left="1588" w:hanging="794"/>
    </w:pPr>
    <w:rPr>
      <w:kern w:val="28"/>
    </w:rPr>
  </w:style>
  <w:style w:type="paragraph" w:customStyle="1" w:styleId="WRStyle">
    <w:name w:val="WR Style"/>
    <w:aliases w:val="WR"/>
    <w:basedOn w:val="OPCParaBase"/>
    <w:rsid w:val="00356952"/>
    <w:pPr>
      <w:spacing w:before="240" w:line="240" w:lineRule="auto"/>
      <w:ind w:left="284" w:hanging="284"/>
    </w:pPr>
    <w:rPr>
      <w:b/>
      <w:i/>
      <w:kern w:val="28"/>
      <w:sz w:val="24"/>
    </w:rPr>
  </w:style>
  <w:style w:type="paragraph" w:customStyle="1" w:styleId="notepara">
    <w:name w:val="note(para)"/>
    <w:aliases w:val="na"/>
    <w:basedOn w:val="OPCParaBase"/>
    <w:rsid w:val="00356952"/>
    <w:pPr>
      <w:spacing w:before="40" w:line="198" w:lineRule="exact"/>
      <w:ind w:left="2354" w:hanging="369"/>
    </w:pPr>
    <w:rPr>
      <w:sz w:val="18"/>
    </w:rPr>
  </w:style>
  <w:style w:type="paragraph" w:styleId="Footer">
    <w:name w:val="footer"/>
    <w:link w:val="FooterChar"/>
    <w:rsid w:val="003569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6952"/>
    <w:rPr>
      <w:rFonts w:eastAsia="Times New Roman" w:cs="Times New Roman"/>
      <w:sz w:val="22"/>
      <w:szCs w:val="24"/>
      <w:lang w:eastAsia="en-AU"/>
    </w:rPr>
  </w:style>
  <w:style w:type="character" w:styleId="LineNumber">
    <w:name w:val="line number"/>
    <w:basedOn w:val="OPCCharBase"/>
    <w:uiPriority w:val="99"/>
    <w:semiHidden/>
    <w:unhideWhenUsed/>
    <w:rsid w:val="00356952"/>
    <w:rPr>
      <w:sz w:val="16"/>
    </w:rPr>
  </w:style>
  <w:style w:type="table" w:customStyle="1" w:styleId="CFlag">
    <w:name w:val="CFlag"/>
    <w:basedOn w:val="TableNormal"/>
    <w:uiPriority w:val="99"/>
    <w:rsid w:val="00356952"/>
    <w:rPr>
      <w:rFonts w:eastAsia="Times New Roman" w:cs="Times New Roman"/>
      <w:lang w:eastAsia="en-AU"/>
    </w:rPr>
    <w:tblPr/>
  </w:style>
  <w:style w:type="paragraph" w:styleId="BalloonText">
    <w:name w:val="Balloon Text"/>
    <w:basedOn w:val="Normal"/>
    <w:link w:val="BalloonTextChar"/>
    <w:uiPriority w:val="99"/>
    <w:semiHidden/>
    <w:unhideWhenUsed/>
    <w:rsid w:val="003569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52"/>
    <w:rPr>
      <w:rFonts w:ascii="Tahoma" w:hAnsi="Tahoma" w:cs="Tahoma"/>
      <w:sz w:val="16"/>
      <w:szCs w:val="16"/>
    </w:rPr>
  </w:style>
  <w:style w:type="character" w:styleId="Hyperlink">
    <w:name w:val="Hyperlink"/>
    <w:basedOn w:val="DefaultParagraphFont"/>
    <w:rsid w:val="00356952"/>
    <w:rPr>
      <w:color w:val="0000FF"/>
      <w:u w:val="single"/>
    </w:rPr>
  </w:style>
  <w:style w:type="table" w:styleId="TableGrid">
    <w:name w:val="Table Grid"/>
    <w:basedOn w:val="TableNormal"/>
    <w:uiPriority w:val="59"/>
    <w:rsid w:val="0035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56952"/>
    <w:rPr>
      <w:b/>
      <w:sz w:val="28"/>
      <w:szCs w:val="32"/>
    </w:rPr>
  </w:style>
  <w:style w:type="paragraph" w:customStyle="1" w:styleId="TerritoryT">
    <w:name w:val="TerritoryT"/>
    <w:basedOn w:val="OPCParaBase"/>
    <w:next w:val="Normal"/>
    <w:rsid w:val="00356952"/>
    <w:rPr>
      <w:b/>
      <w:sz w:val="32"/>
    </w:rPr>
  </w:style>
  <w:style w:type="paragraph" w:customStyle="1" w:styleId="LegislationMadeUnder">
    <w:name w:val="LegislationMadeUnder"/>
    <w:basedOn w:val="OPCParaBase"/>
    <w:next w:val="Normal"/>
    <w:rsid w:val="00356952"/>
    <w:rPr>
      <w:i/>
      <w:sz w:val="32"/>
      <w:szCs w:val="32"/>
    </w:rPr>
  </w:style>
  <w:style w:type="paragraph" w:customStyle="1" w:styleId="SignCoverPageEnd">
    <w:name w:val="SignCoverPageEnd"/>
    <w:basedOn w:val="OPCParaBase"/>
    <w:next w:val="Normal"/>
    <w:rsid w:val="0035695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56952"/>
    <w:pPr>
      <w:pBdr>
        <w:top w:val="single" w:sz="4" w:space="1" w:color="auto"/>
      </w:pBdr>
      <w:spacing w:before="360"/>
      <w:ind w:right="397"/>
      <w:jc w:val="both"/>
    </w:pPr>
  </w:style>
  <w:style w:type="paragraph" w:customStyle="1" w:styleId="NotesHeading1">
    <w:name w:val="NotesHeading 1"/>
    <w:basedOn w:val="OPCParaBase"/>
    <w:next w:val="Normal"/>
    <w:rsid w:val="00356952"/>
    <w:rPr>
      <w:b/>
      <w:sz w:val="28"/>
      <w:szCs w:val="28"/>
    </w:rPr>
  </w:style>
  <w:style w:type="paragraph" w:customStyle="1" w:styleId="NotesHeading2">
    <w:name w:val="NotesHeading 2"/>
    <w:basedOn w:val="OPCParaBase"/>
    <w:next w:val="Normal"/>
    <w:rsid w:val="00356952"/>
    <w:rPr>
      <w:b/>
      <w:sz w:val="28"/>
      <w:szCs w:val="28"/>
    </w:rPr>
  </w:style>
  <w:style w:type="paragraph" w:customStyle="1" w:styleId="ENotesText">
    <w:name w:val="ENotesText"/>
    <w:basedOn w:val="OPCParaBase"/>
    <w:next w:val="Normal"/>
    <w:rsid w:val="00356952"/>
  </w:style>
  <w:style w:type="paragraph" w:customStyle="1" w:styleId="CompiledActNo">
    <w:name w:val="CompiledActNo"/>
    <w:basedOn w:val="OPCParaBase"/>
    <w:next w:val="Normal"/>
    <w:rsid w:val="00356952"/>
    <w:rPr>
      <w:b/>
      <w:sz w:val="24"/>
      <w:szCs w:val="24"/>
    </w:rPr>
  </w:style>
  <w:style w:type="paragraph" w:customStyle="1" w:styleId="CompiledMadeUnder">
    <w:name w:val="CompiledMadeUnder"/>
    <w:basedOn w:val="OPCParaBase"/>
    <w:next w:val="Normal"/>
    <w:rsid w:val="00356952"/>
    <w:rPr>
      <w:i/>
      <w:sz w:val="24"/>
      <w:szCs w:val="24"/>
    </w:rPr>
  </w:style>
  <w:style w:type="paragraph" w:customStyle="1" w:styleId="Paragraphsub-sub-sub">
    <w:name w:val="Paragraph(sub-sub-sub)"/>
    <w:aliases w:val="aaaa"/>
    <w:basedOn w:val="OPCParaBase"/>
    <w:rsid w:val="00356952"/>
    <w:pPr>
      <w:tabs>
        <w:tab w:val="right" w:pos="3402"/>
      </w:tabs>
      <w:spacing w:before="40" w:line="240" w:lineRule="auto"/>
      <w:ind w:left="3402" w:hanging="3402"/>
    </w:pPr>
  </w:style>
  <w:style w:type="paragraph" w:customStyle="1" w:styleId="NoteToSubpara">
    <w:name w:val="NoteToSubpara"/>
    <w:aliases w:val="nts"/>
    <w:basedOn w:val="OPCParaBase"/>
    <w:rsid w:val="00356952"/>
    <w:pPr>
      <w:spacing w:before="40" w:line="198" w:lineRule="exact"/>
      <w:ind w:left="2835" w:hanging="709"/>
    </w:pPr>
    <w:rPr>
      <w:sz w:val="18"/>
    </w:rPr>
  </w:style>
  <w:style w:type="paragraph" w:customStyle="1" w:styleId="EndNotespara">
    <w:name w:val="EndNotes(para)"/>
    <w:aliases w:val="eta"/>
    <w:basedOn w:val="OPCParaBase"/>
    <w:next w:val="Normal"/>
    <w:rsid w:val="003569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69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569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695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56952"/>
    <w:pPr>
      <w:keepNext/>
      <w:spacing w:before="60" w:line="240" w:lineRule="atLeast"/>
    </w:pPr>
    <w:rPr>
      <w:rFonts w:ascii="Arial" w:hAnsi="Arial"/>
      <w:b/>
      <w:sz w:val="16"/>
    </w:rPr>
  </w:style>
  <w:style w:type="paragraph" w:customStyle="1" w:styleId="ENoteTTi">
    <w:name w:val="ENoteTTi"/>
    <w:aliases w:val="entti"/>
    <w:basedOn w:val="OPCParaBase"/>
    <w:rsid w:val="00356952"/>
    <w:pPr>
      <w:keepNext/>
      <w:spacing w:before="60" w:line="240" w:lineRule="atLeast"/>
      <w:ind w:left="170"/>
    </w:pPr>
    <w:rPr>
      <w:sz w:val="16"/>
    </w:rPr>
  </w:style>
  <w:style w:type="paragraph" w:customStyle="1" w:styleId="ENotesHeading1">
    <w:name w:val="ENotesHeading 1"/>
    <w:aliases w:val="Enh1"/>
    <w:basedOn w:val="OPCParaBase"/>
    <w:next w:val="Normal"/>
    <w:rsid w:val="00356952"/>
    <w:pPr>
      <w:spacing w:before="120"/>
      <w:outlineLvl w:val="1"/>
    </w:pPr>
    <w:rPr>
      <w:b/>
      <w:sz w:val="28"/>
      <w:szCs w:val="28"/>
    </w:rPr>
  </w:style>
  <w:style w:type="paragraph" w:customStyle="1" w:styleId="ENotesHeading2">
    <w:name w:val="ENotesHeading 2"/>
    <w:aliases w:val="Enh2"/>
    <w:basedOn w:val="OPCParaBase"/>
    <w:next w:val="Normal"/>
    <w:rsid w:val="00356952"/>
    <w:pPr>
      <w:spacing w:before="120" w:after="120"/>
      <w:outlineLvl w:val="2"/>
    </w:pPr>
    <w:rPr>
      <w:b/>
      <w:sz w:val="24"/>
      <w:szCs w:val="28"/>
    </w:rPr>
  </w:style>
  <w:style w:type="paragraph" w:customStyle="1" w:styleId="ENoteTTIndentHeading">
    <w:name w:val="ENoteTTIndentHeading"/>
    <w:aliases w:val="enTTHi"/>
    <w:basedOn w:val="OPCParaBase"/>
    <w:rsid w:val="003569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6952"/>
    <w:pPr>
      <w:spacing w:before="60" w:line="240" w:lineRule="atLeast"/>
    </w:pPr>
    <w:rPr>
      <w:sz w:val="16"/>
    </w:rPr>
  </w:style>
  <w:style w:type="paragraph" w:customStyle="1" w:styleId="MadeunderText">
    <w:name w:val="MadeunderText"/>
    <w:basedOn w:val="OPCParaBase"/>
    <w:next w:val="CompiledMadeUnder"/>
    <w:rsid w:val="00356952"/>
    <w:pPr>
      <w:spacing w:before="240"/>
    </w:pPr>
    <w:rPr>
      <w:sz w:val="24"/>
      <w:szCs w:val="24"/>
    </w:rPr>
  </w:style>
  <w:style w:type="paragraph" w:customStyle="1" w:styleId="ENotesHeading3">
    <w:name w:val="ENotesHeading 3"/>
    <w:aliases w:val="Enh3"/>
    <w:basedOn w:val="OPCParaBase"/>
    <w:next w:val="Normal"/>
    <w:rsid w:val="00356952"/>
    <w:pPr>
      <w:keepNext/>
      <w:spacing w:before="120" w:line="240" w:lineRule="auto"/>
      <w:outlineLvl w:val="4"/>
    </w:pPr>
    <w:rPr>
      <w:b/>
      <w:szCs w:val="24"/>
    </w:rPr>
  </w:style>
  <w:style w:type="character" w:customStyle="1" w:styleId="CharSubPartTextCASA">
    <w:name w:val="CharSubPartText(CASA)"/>
    <w:basedOn w:val="OPCCharBase"/>
    <w:uiPriority w:val="1"/>
    <w:rsid w:val="00356952"/>
  </w:style>
  <w:style w:type="character" w:customStyle="1" w:styleId="CharSubPartNoCASA">
    <w:name w:val="CharSubPartNo(CASA)"/>
    <w:basedOn w:val="OPCCharBase"/>
    <w:uiPriority w:val="1"/>
    <w:rsid w:val="00356952"/>
  </w:style>
  <w:style w:type="paragraph" w:customStyle="1" w:styleId="ENoteTTIndentHeadingSub">
    <w:name w:val="ENoteTTIndentHeadingSub"/>
    <w:aliases w:val="enTTHis"/>
    <w:basedOn w:val="OPCParaBase"/>
    <w:rsid w:val="00356952"/>
    <w:pPr>
      <w:keepNext/>
      <w:spacing w:before="60" w:line="240" w:lineRule="atLeast"/>
      <w:ind w:left="340"/>
    </w:pPr>
    <w:rPr>
      <w:b/>
      <w:sz w:val="16"/>
    </w:rPr>
  </w:style>
  <w:style w:type="paragraph" w:customStyle="1" w:styleId="ENoteTTiSub">
    <w:name w:val="ENoteTTiSub"/>
    <w:aliases w:val="enttis"/>
    <w:basedOn w:val="OPCParaBase"/>
    <w:rsid w:val="00356952"/>
    <w:pPr>
      <w:keepNext/>
      <w:spacing w:before="60" w:line="240" w:lineRule="atLeast"/>
      <w:ind w:left="340"/>
    </w:pPr>
    <w:rPr>
      <w:sz w:val="16"/>
    </w:rPr>
  </w:style>
  <w:style w:type="paragraph" w:customStyle="1" w:styleId="SubDivisionMigration">
    <w:name w:val="SubDivisionMigration"/>
    <w:aliases w:val="sdm"/>
    <w:basedOn w:val="OPCParaBase"/>
    <w:rsid w:val="003569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695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5695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569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6952"/>
    <w:rPr>
      <w:sz w:val="22"/>
    </w:rPr>
  </w:style>
  <w:style w:type="paragraph" w:customStyle="1" w:styleId="SOTextNote">
    <w:name w:val="SO TextNote"/>
    <w:aliases w:val="sont"/>
    <w:basedOn w:val="SOText"/>
    <w:qFormat/>
    <w:rsid w:val="00356952"/>
    <w:pPr>
      <w:spacing w:before="122" w:line="198" w:lineRule="exact"/>
      <w:ind w:left="1843" w:hanging="709"/>
    </w:pPr>
    <w:rPr>
      <w:sz w:val="18"/>
    </w:rPr>
  </w:style>
  <w:style w:type="paragraph" w:customStyle="1" w:styleId="SOPara">
    <w:name w:val="SO Para"/>
    <w:aliases w:val="soa"/>
    <w:basedOn w:val="SOText"/>
    <w:link w:val="SOParaChar"/>
    <w:qFormat/>
    <w:rsid w:val="00356952"/>
    <w:pPr>
      <w:tabs>
        <w:tab w:val="right" w:pos="1786"/>
      </w:tabs>
      <w:spacing w:before="40"/>
      <w:ind w:left="2070" w:hanging="936"/>
    </w:pPr>
  </w:style>
  <w:style w:type="character" w:customStyle="1" w:styleId="SOParaChar">
    <w:name w:val="SO Para Char"/>
    <w:aliases w:val="soa Char"/>
    <w:basedOn w:val="DefaultParagraphFont"/>
    <w:link w:val="SOPara"/>
    <w:rsid w:val="00356952"/>
    <w:rPr>
      <w:sz w:val="22"/>
    </w:rPr>
  </w:style>
  <w:style w:type="paragraph" w:customStyle="1" w:styleId="FileName">
    <w:name w:val="FileName"/>
    <w:basedOn w:val="Normal"/>
    <w:rsid w:val="00356952"/>
  </w:style>
  <w:style w:type="paragraph" w:customStyle="1" w:styleId="TableHeading">
    <w:name w:val="TableHeading"/>
    <w:aliases w:val="th"/>
    <w:basedOn w:val="OPCParaBase"/>
    <w:next w:val="Tabletext"/>
    <w:rsid w:val="00356952"/>
    <w:pPr>
      <w:keepNext/>
      <w:spacing w:before="60" w:line="240" w:lineRule="atLeast"/>
    </w:pPr>
    <w:rPr>
      <w:b/>
      <w:sz w:val="20"/>
    </w:rPr>
  </w:style>
  <w:style w:type="paragraph" w:customStyle="1" w:styleId="SOHeadBold">
    <w:name w:val="SO HeadBold"/>
    <w:aliases w:val="sohb"/>
    <w:basedOn w:val="SOText"/>
    <w:next w:val="SOText"/>
    <w:link w:val="SOHeadBoldChar"/>
    <w:qFormat/>
    <w:rsid w:val="00356952"/>
    <w:rPr>
      <w:b/>
    </w:rPr>
  </w:style>
  <w:style w:type="character" w:customStyle="1" w:styleId="SOHeadBoldChar">
    <w:name w:val="SO HeadBold Char"/>
    <w:aliases w:val="sohb Char"/>
    <w:basedOn w:val="DefaultParagraphFont"/>
    <w:link w:val="SOHeadBold"/>
    <w:rsid w:val="00356952"/>
    <w:rPr>
      <w:b/>
      <w:sz w:val="22"/>
    </w:rPr>
  </w:style>
  <w:style w:type="paragraph" w:customStyle="1" w:styleId="SOHeadItalic">
    <w:name w:val="SO HeadItalic"/>
    <w:aliases w:val="sohi"/>
    <w:basedOn w:val="SOText"/>
    <w:next w:val="SOText"/>
    <w:link w:val="SOHeadItalicChar"/>
    <w:qFormat/>
    <w:rsid w:val="00356952"/>
    <w:rPr>
      <w:i/>
    </w:rPr>
  </w:style>
  <w:style w:type="character" w:customStyle="1" w:styleId="SOHeadItalicChar">
    <w:name w:val="SO HeadItalic Char"/>
    <w:aliases w:val="sohi Char"/>
    <w:basedOn w:val="DefaultParagraphFont"/>
    <w:link w:val="SOHeadItalic"/>
    <w:rsid w:val="00356952"/>
    <w:rPr>
      <w:i/>
      <w:sz w:val="22"/>
    </w:rPr>
  </w:style>
  <w:style w:type="paragraph" w:customStyle="1" w:styleId="SOBullet">
    <w:name w:val="SO Bullet"/>
    <w:aliases w:val="sotb"/>
    <w:basedOn w:val="SOText"/>
    <w:link w:val="SOBulletChar"/>
    <w:qFormat/>
    <w:rsid w:val="00356952"/>
    <w:pPr>
      <w:ind w:left="1559" w:hanging="425"/>
    </w:pPr>
  </w:style>
  <w:style w:type="character" w:customStyle="1" w:styleId="SOBulletChar">
    <w:name w:val="SO Bullet Char"/>
    <w:aliases w:val="sotb Char"/>
    <w:basedOn w:val="DefaultParagraphFont"/>
    <w:link w:val="SOBullet"/>
    <w:rsid w:val="00356952"/>
    <w:rPr>
      <w:sz w:val="22"/>
    </w:rPr>
  </w:style>
  <w:style w:type="paragraph" w:customStyle="1" w:styleId="SOBulletNote">
    <w:name w:val="SO BulletNote"/>
    <w:aliases w:val="sonb"/>
    <w:basedOn w:val="SOTextNote"/>
    <w:link w:val="SOBulletNoteChar"/>
    <w:qFormat/>
    <w:rsid w:val="00356952"/>
    <w:pPr>
      <w:tabs>
        <w:tab w:val="left" w:pos="1560"/>
      </w:tabs>
      <w:ind w:left="2268" w:hanging="1134"/>
    </w:pPr>
  </w:style>
  <w:style w:type="character" w:customStyle="1" w:styleId="SOBulletNoteChar">
    <w:name w:val="SO BulletNote Char"/>
    <w:aliases w:val="sonb Char"/>
    <w:basedOn w:val="DefaultParagraphFont"/>
    <w:link w:val="SOBulletNote"/>
    <w:rsid w:val="00356952"/>
    <w:rPr>
      <w:sz w:val="18"/>
    </w:rPr>
  </w:style>
  <w:style w:type="paragraph" w:customStyle="1" w:styleId="SOText2">
    <w:name w:val="SO Text2"/>
    <w:aliases w:val="sot2"/>
    <w:basedOn w:val="Normal"/>
    <w:next w:val="SOText"/>
    <w:link w:val="SOText2Char"/>
    <w:rsid w:val="003569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56952"/>
    <w:rPr>
      <w:sz w:val="22"/>
    </w:rPr>
  </w:style>
  <w:style w:type="paragraph" w:customStyle="1" w:styleId="SubPartCASA">
    <w:name w:val="SubPart(CASA)"/>
    <w:aliases w:val="csp"/>
    <w:basedOn w:val="OPCParaBase"/>
    <w:next w:val="ActHead3"/>
    <w:rsid w:val="0035695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6709A"/>
    <w:rPr>
      <w:rFonts w:eastAsia="Times New Roman" w:cs="Times New Roman"/>
      <w:sz w:val="22"/>
      <w:lang w:eastAsia="en-AU"/>
    </w:rPr>
  </w:style>
  <w:style w:type="character" w:customStyle="1" w:styleId="notetextChar">
    <w:name w:val="note(text) Char"/>
    <w:aliases w:val="n Char"/>
    <w:basedOn w:val="DefaultParagraphFont"/>
    <w:link w:val="notetext"/>
    <w:rsid w:val="00C6709A"/>
    <w:rPr>
      <w:rFonts w:eastAsia="Times New Roman" w:cs="Times New Roman"/>
      <w:sz w:val="18"/>
      <w:lang w:eastAsia="en-AU"/>
    </w:rPr>
  </w:style>
  <w:style w:type="character" w:customStyle="1" w:styleId="Heading1Char">
    <w:name w:val="Heading 1 Char"/>
    <w:basedOn w:val="DefaultParagraphFont"/>
    <w:link w:val="Heading1"/>
    <w:uiPriority w:val="9"/>
    <w:rsid w:val="00C670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670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709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6709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6709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6709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6709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670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6709A"/>
    <w:rPr>
      <w:rFonts w:asciiTheme="majorHAnsi" w:eastAsiaTheme="majorEastAsia" w:hAnsiTheme="majorHAnsi" w:cstheme="majorBidi"/>
      <w:i/>
      <w:iCs/>
      <w:color w:val="404040" w:themeColor="text1" w:themeTint="BF"/>
    </w:rPr>
  </w:style>
  <w:style w:type="character" w:customStyle="1" w:styleId="charSubscript">
    <w:name w:val="charSubscript"/>
    <w:rsid w:val="00F76A81"/>
    <w:rPr>
      <w:color w:val="auto"/>
      <w:sz w:val="20"/>
      <w:vertAlign w:val="subscript"/>
    </w:rPr>
  </w:style>
  <w:style w:type="table" w:styleId="TableContemporary">
    <w:name w:val="Table Contemporary"/>
    <w:basedOn w:val="TableNormal"/>
    <w:rsid w:val="00432AF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MessageHeader">
    <w:name w:val="Message Header"/>
    <w:basedOn w:val="Normal"/>
    <w:link w:val="MessageHeaderChar"/>
    <w:rsid w:val="00432A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32AF7"/>
    <w:rPr>
      <w:rFonts w:ascii="Arial" w:hAnsi="Arial" w:cs="Arial"/>
      <w:sz w:val="22"/>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6952"/>
    <w:pPr>
      <w:spacing w:line="260" w:lineRule="atLeast"/>
    </w:pPr>
    <w:rPr>
      <w:sz w:val="22"/>
    </w:rPr>
  </w:style>
  <w:style w:type="paragraph" w:styleId="Heading1">
    <w:name w:val="heading 1"/>
    <w:basedOn w:val="Normal"/>
    <w:next w:val="Normal"/>
    <w:link w:val="Heading1Char"/>
    <w:uiPriority w:val="9"/>
    <w:qFormat/>
    <w:rsid w:val="00C670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70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70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670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70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709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709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709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6709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56952"/>
  </w:style>
  <w:style w:type="paragraph" w:customStyle="1" w:styleId="OPCParaBase">
    <w:name w:val="OPCParaBase"/>
    <w:qFormat/>
    <w:rsid w:val="00356952"/>
    <w:pPr>
      <w:spacing w:line="260" w:lineRule="atLeast"/>
    </w:pPr>
    <w:rPr>
      <w:rFonts w:eastAsia="Times New Roman" w:cs="Times New Roman"/>
      <w:sz w:val="22"/>
      <w:lang w:eastAsia="en-AU"/>
    </w:rPr>
  </w:style>
  <w:style w:type="paragraph" w:customStyle="1" w:styleId="ShortT">
    <w:name w:val="ShortT"/>
    <w:basedOn w:val="OPCParaBase"/>
    <w:next w:val="Normal"/>
    <w:qFormat/>
    <w:rsid w:val="00356952"/>
    <w:pPr>
      <w:spacing w:line="240" w:lineRule="auto"/>
    </w:pPr>
    <w:rPr>
      <w:b/>
      <w:sz w:val="40"/>
    </w:rPr>
  </w:style>
  <w:style w:type="paragraph" w:customStyle="1" w:styleId="ActHead1">
    <w:name w:val="ActHead 1"/>
    <w:aliases w:val="c"/>
    <w:basedOn w:val="OPCParaBase"/>
    <w:next w:val="Normal"/>
    <w:qFormat/>
    <w:rsid w:val="003569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569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569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569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569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569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569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569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569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56952"/>
  </w:style>
  <w:style w:type="paragraph" w:customStyle="1" w:styleId="Blocks">
    <w:name w:val="Blocks"/>
    <w:aliases w:val="bb"/>
    <w:basedOn w:val="OPCParaBase"/>
    <w:qFormat/>
    <w:rsid w:val="00356952"/>
    <w:pPr>
      <w:spacing w:line="240" w:lineRule="auto"/>
    </w:pPr>
    <w:rPr>
      <w:sz w:val="24"/>
    </w:rPr>
  </w:style>
  <w:style w:type="paragraph" w:customStyle="1" w:styleId="BoxText">
    <w:name w:val="BoxText"/>
    <w:aliases w:val="bt"/>
    <w:basedOn w:val="OPCParaBase"/>
    <w:qFormat/>
    <w:rsid w:val="003569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56952"/>
    <w:rPr>
      <w:b/>
    </w:rPr>
  </w:style>
  <w:style w:type="paragraph" w:customStyle="1" w:styleId="BoxHeadItalic">
    <w:name w:val="BoxHeadItalic"/>
    <w:aliases w:val="bhi"/>
    <w:basedOn w:val="BoxText"/>
    <w:next w:val="BoxStep"/>
    <w:qFormat/>
    <w:rsid w:val="00356952"/>
    <w:rPr>
      <w:i/>
    </w:rPr>
  </w:style>
  <w:style w:type="paragraph" w:customStyle="1" w:styleId="BoxList">
    <w:name w:val="BoxList"/>
    <w:aliases w:val="bl"/>
    <w:basedOn w:val="BoxText"/>
    <w:qFormat/>
    <w:rsid w:val="00356952"/>
    <w:pPr>
      <w:ind w:left="1559" w:hanging="425"/>
    </w:pPr>
  </w:style>
  <w:style w:type="paragraph" w:customStyle="1" w:styleId="BoxNote">
    <w:name w:val="BoxNote"/>
    <w:aliases w:val="bn"/>
    <w:basedOn w:val="BoxText"/>
    <w:qFormat/>
    <w:rsid w:val="00356952"/>
    <w:pPr>
      <w:tabs>
        <w:tab w:val="left" w:pos="1985"/>
      </w:tabs>
      <w:spacing w:before="122" w:line="198" w:lineRule="exact"/>
      <w:ind w:left="2948" w:hanging="1814"/>
    </w:pPr>
    <w:rPr>
      <w:sz w:val="18"/>
    </w:rPr>
  </w:style>
  <w:style w:type="paragraph" w:customStyle="1" w:styleId="BoxPara">
    <w:name w:val="BoxPara"/>
    <w:aliases w:val="bp"/>
    <w:basedOn w:val="BoxText"/>
    <w:qFormat/>
    <w:rsid w:val="00356952"/>
    <w:pPr>
      <w:tabs>
        <w:tab w:val="right" w:pos="2268"/>
      </w:tabs>
      <w:ind w:left="2552" w:hanging="1418"/>
    </w:pPr>
  </w:style>
  <w:style w:type="paragraph" w:customStyle="1" w:styleId="BoxStep">
    <w:name w:val="BoxStep"/>
    <w:aliases w:val="bs"/>
    <w:basedOn w:val="BoxText"/>
    <w:qFormat/>
    <w:rsid w:val="00356952"/>
    <w:pPr>
      <w:ind w:left="1985" w:hanging="851"/>
    </w:pPr>
  </w:style>
  <w:style w:type="character" w:customStyle="1" w:styleId="CharAmPartNo">
    <w:name w:val="CharAmPartNo"/>
    <w:basedOn w:val="OPCCharBase"/>
    <w:qFormat/>
    <w:rsid w:val="00356952"/>
  </w:style>
  <w:style w:type="character" w:customStyle="1" w:styleId="CharAmPartText">
    <w:name w:val="CharAmPartText"/>
    <w:basedOn w:val="OPCCharBase"/>
    <w:qFormat/>
    <w:rsid w:val="00356952"/>
  </w:style>
  <w:style w:type="character" w:customStyle="1" w:styleId="CharAmSchNo">
    <w:name w:val="CharAmSchNo"/>
    <w:basedOn w:val="OPCCharBase"/>
    <w:qFormat/>
    <w:rsid w:val="00356952"/>
  </w:style>
  <w:style w:type="character" w:customStyle="1" w:styleId="CharAmSchText">
    <w:name w:val="CharAmSchText"/>
    <w:basedOn w:val="OPCCharBase"/>
    <w:qFormat/>
    <w:rsid w:val="00356952"/>
  </w:style>
  <w:style w:type="character" w:customStyle="1" w:styleId="CharBoldItalic">
    <w:name w:val="CharBoldItalic"/>
    <w:basedOn w:val="OPCCharBase"/>
    <w:uiPriority w:val="1"/>
    <w:qFormat/>
    <w:rsid w:val="00356952"/>
    <w:rPr>
      <w:b/>
      <w:i/>
    </w:rPr>
  </w:style>
  <w:style w:type="character" w:customStyle="1" w:styleId="CharChapNo">
    <w:name w:val="CharChapNo"/>
    <w:basedOn w:val="OPCCharBase"/>
    <w:uiPriority w:val="1"/>
    <w:qFormat/>
    <w:rsid w:val="00356952"/>
  </w:style>
  <w:style w:type="character" w:customStyle="1" w:styleId="CharChapText">
    <w:name w:val="CharChapText"/>
    <w:basedOn w:val="OPCCharBase"/>
    <w:uiPriority w:val="1"/>
    <w:qFormat/>
    <w:rsid w:val="00356952"/>
  </w:style>
  <w:style w:type="character" w:customStyle="1" w:styleId="CharDivNo">
    <w:name w:val="CharDivNo"/>
    <w:basedOn w:val="OPCCharBase"/>
    <w:uiPriority w:val="1"/>
    <w:qFormat/>
    <w:rsid w:val="00356952"/>
  </w:style>
  <w:style w:type="character" w:customStyle="1" w:styleId="CharDivText">
    <w:name w:val="CharDivText"/>
    <w:basedOn w:val="OPCCharBase"/>
    <w:uiPriority w:val="1"/>
    <w:qFormat/>
    <w:rsid w:val="00356952"/>
  </w:style>
  <w:style w:type="character" w:customStyle="1" w:styleId="CharItalic">
    <w:name w:val="CharItalic"/>
    <w:basedOn w:val="OPCCharBase"/>
    <w:uiPriority w:val="1"/>
    <w:qFormat/>
    <w:rsid w:val="00356952"/>
    <w:rPr>
      <w:i/>
    </w:rPr>
  </w:style>
  <w:style w:type="character" w:customStyle="1" w:styleId="CharPartNo">
    <w:name w:val="CharPartNo"/>
    <w:basedOn w:val="OPCCharBase"/>
    <w:uiPriority w:val="1"/>
    <w:qFormat/>
    <w:rsid w:val="00356952"/>
  </w:style>
  <w:style w:type="character" w:customStyle="1" w:styleId="CharPartText">
    <w:name w:val="CharPartText"/>
    <w:basedOn w:val="OPCCharBase"/>
    <w:uiPriority w:val="1"/>
    <w:qFormat/>
    <w:rsid w:val="00356952"/>
  </w:style>
  <w:style w:type="character" w:customStyle="1" w:styleId="CharSectno">
    <w:name w:val="CharSectno"/>
    <w:basedOn w:val="OPCCharBase"/>
    <w:qFormat/>
    <w:rsid w:val="00356952"/>
  </w:style>
  <w:style w:type="character" w:customStyle="1" w:styleId="CharSubdNo">
    <w:name w:val="CharSubdNo"/>
    <w:basedOn w:val="OPCCharBase"/>
    <w:uiPriority w:val="1"/>
    <w:qFormat/>
    <w:rsid w:val="00356952"/>
  </w:style>
  <w:style w:type="character" w:customStyle="1" w:styleId="CharSubdText">
    <w:name w:val="CharSubdText"/>
    <w:basedOn w:val="OPCCharBase"/>
    <w:uiPriority w:val="1"/>
    <w:qFormat/>
    <w:rsid w:val="00356952"/>
  </w:style>
  <w:style w:type="paragraph" w:customStyle="1" w:styleId="CTA--">
    <w:name w:val="CTA --"/>
    <w:basedOn w:val="OPCParaBase"/>
    <w:next w:val="Normal"/>
    <w:rsid w:val="00356952"/>
    <w:pPr>
      <w:spacing w:before="60" w:line="240" w:lineRule="atLeast"/>
      <w:ind w:left="142" w:hanging="142"/>
    </w:pPr>
    <w:rPr>
      <w:sz w:val="20"/>
    </w:rPr>
  </w:style>
  <w:style w:type="paragraph" w:customStyle="1" w:styleId="CTA-">
    <w:name w:val="CTA -"/>
    <w:basedOn w:val="OPCParaBase"/>
    <w:rsid w:val="00356952"/>
    <w:pPr>
      <w:spacing w:before="60" w:line="240" w:lineRule="atLeast"/>
      <w:ind w:left="85" w:hanging="85"/>
    </w:pPr>
    <w:rPr>
      <w:sz w:val="20"/>
    </w:rPr>
  </w:style>
  <w:style w:type="paragraph" w:customStyle="1" w:styleId="CTA---">
    <w:name w:val="CTA ---"/>
    <w:basedOn w:val="OPCParaBase"/>
    <w:next w:val="Normal"/>
    <w:rsid w:val="00356952"/>
    <w:pPr>
      <w:spacing w:before="60" w:line="240" w:lineRule="atLeast"/>
      <w:ind w:left="198" w:hanging="198"/>
    </w:pPr>
    <w:rPr>
      <w:sz w:val="20"/>
    </w:rPr>
  </w:style>
  <w:style w:type="paragraph" w:customStyle="1" w:styleId="CTA----">
    <w:name w:val="CTA ----"/>
    <w:basedOn w:val="OPCParaBase"/>
    <w:next w:val="Normal"/>
    <w:rsid w:val="00356952"/>
    <w:pPr>
      <w:spacing w:before="60" w:line="240" w:lineRule="atLeast"/>
      <w:ind w:left="255" w:hanging="255"/>
    </w:pPr>
    <w:rPr>
      <w:sz w:val="20"/>
    </w:rPr>
  </w:style>
  <w:style w:type="paragraph" w:customStyle="1" w:styleId="CTA1a">
    <w:name w:val="CTA 1(a)"/>
    <w:basedOn w:val="OPCParaBase"/>
    <w:rsid w:val="00356952"/>
    <w:pPr>
      <w:tabs>
        <w:tab w:val="right" w:pos="414"/>
      </w:tabs>
      <w:spacing w:before="40" w:line="240" w:lineRule="atLeast"/>
      <w:ind w:left="675" w:hanging="675"/>
    </w:pPr>
    <w:rPr>
      <w:sz w:val="20"/>
    </w:rPr>
  </w:style>
  <w:style w:type="paragraph" w:customStyle="1" w:styleId="CTA1ai">
    <w:name w:val="CTA 1(a)(i)"/>
    <w:basedOn w:val="OPCParaBase"/>
    <w:rsid w:val="00356952"/>
    <w:pPr>
      <w:tabs>
        <w:tab w:val="right" w:pos="1004"/>
      </w:tabs>
      <w:spacing w:before="40" w:line="240" w:lineRule="atLeast"/>
      <w:ind w:left="1253" w:hanging="1253"/>
    </w:pPr>
    <w:rPr>
      <w:sz w:val="20"/>
    </w:rPr>
  </w:style>
  <w:style w:type="paragraph" w:customStyle="1" w:styleId="CTA2a">
    <w:name w:val="CTA 2(a)"/>
    <w:basedOn w:val="OPCParaBase"/>
    <w:rsid w:val="00356952"/>
    <w:pPr>
      <w:tabs>
        <w:tab w:val="right" w:pos="482"/>
      </w:tabs>
      <w:spacing w:before="40" w:line="240" w:lineRule="atLeast"/>
      <w:ind w:left="748" w:hanging="748"/>
    </w:pPr>
    <w:rPr>
      <w:sz w:val="20"/>
    </w:rPr>
  </w:style>
  <w:style w:type="paragraph" w:customStyle="1" w:styleId="CTA2ai">
    <w:name w:val="CTA 2(a)(i)"/>
    <w:basedOn w:val="OPCParaBase"/>
    <w:rsid w:val="00356952"/>
    <w:pPr>
      <w:tabs>
        <w:tab w:val="right" w:pos="1089"/>
      </w:tabs>
      <w:spacing w:before="40" w:line="240" w:lineRule="atLeast"/>
      <w:ind w:left="1327" w:hanging="1327"/>
    </w:pPr>
    <w:rPr>
      <w:sz w:val="20"/>
    </w:rPr>
  </w:style>
  <w:style w:type="paragraph" w:customStyle="1" w:styleId="CTA3a">
    <w:name w:val="CTA 3(a)"/>
    <w:basedOn w:val="OPCParaBase"/>
    <w:rsid w:val="00356952"/>
    <w:pPr>
      <w:tabs>
        <w:tab w:val="right" w:pos="556"/>
      </w:tabs>
      <w:spacing w:before="40" w:line="240" w:lineRule="atLeast"/>
      <w:ind w:left="805" w:hanging="805"/>
    </w:pPr>
    <w:rPr>
      <w:sz w:val="20"/>
    </w:rPr>
  </w:style>
  <w:style w:type="paragraph" w:customStyle="1" w:styleId="CTA3ai">
    <w:name w:val="CTA 3(a)(i)"/>
    <w:basedOn w:val="OPCParaBase"/>
    <w:rsid w:val="00356952"/>
    <w:pPr>
      <w:tabs>
        <w:tab w:val="right" w:pos="1140"/>
      </w:tabs>
      <w:spacing w:before="40" w:line="240" w:lineRule="atLeast"/>
      <w:ind w:left="1361" w:hanging="1361"/>
    </w:pPr>
    <w:rPr>
      <w:sz w:val="20"/>
    </w:rPr>
  </w:style>
  <w:style w:type="paragraph" w:customStyle="1" w:styleId="CTA4a">
    <w:name w:val="CTA 4(a)"/>
    <w:basedOn w:val="OPCParaBase"/>
    <w:rsid w:val="00356952"/>
    <w:pPr>
      <w:tabs>
        <w:tab w:val="right" w:pos="624"/>
      </w:tabs>
      <w:spacing w:before="40" w:line="240" w:lineRule="atLeast"/>
      <w:ind w:left="873" w:hanging="873"/>
    </w:pPr>
    <w:rPr>
      <w:sz w:val="20"/>
    </w:rPr>
  </w:style>
  <w:style w:type="paragraph" w:customStyle="1" w:styleId="CTA4ai">
    <w:name w:val="CTA 4(a)(i)"/>
    <w:basedOn w:val="OPCParaBase"/>
    <w:rsid w:val="00356952"/>
    <w:pPr>
      <w:tabs>
        <w:tab w:val="right" w:pos="1213"/>
      </w:tabs>
      <w:spacing w:before="40" w:line="240" w:lineRule="atLeast"/>
      <w:ind w:left="1452" w:hanging="1452"/>
    </w:pPr>
    <w:rPr>
      <w:sz w:val="20"/>
    </w:rPr>
  </w:style>
  <w:style w:type="paragraph" w:customStyle="1" w:styleId="CTACAPS">
    <w:name w:val="CTA CAPS"/>
    <w:basedOn w:val="OPCParaBase"/>
    <w:rsid w:val="00356952"/>
    <w:pPr>
      <w:spacing w:before="60" w:line="240" w:lineRule="atLeast"/>
    </w:pPr>
    <w:rPr>
      <w:sz w:val="20"/>
    </w:rPr>
  </w:style>
  <w:style w:type="paragraph" w:customStyle="1" w:styleId="CTAright">
    <w:name w:val="CTA right"/>
    <w:basedOn w:val="OPCParaBase"/>
    <w:rsid w:val="00356952"/>
    <w:pPr>
      <w:spacing w:before="60" w:line="240" w:lineRule="auto"/>
      <w:jc w:val="right"/>
    </w:pPr>
    <w:rPr>
      <w:sz w:val="20"/>
    </w:rPr>
  </w:style>
  <w:style w:type="paragraph" w:customStyle="1" w:styleId="subsection">
    <w:name w:val="subsection"/>
    <w:aliases w:val="ss"/>
    <w:basedOn w:val="OPCParaBase"/>
    <w:link w:val="subsectionChar"/>
    <w:rsid w:val="00356952"/>
    <w:pPr>
      <w:tabs>
        <w:tab w:val="right" w:pos="1021"/>
      </w:tabs>
      <w:spacing w:before="180" w:line="240" w:lineRule="auto"/>
      <w:ind w:left="1134" w:hanging="1134"/>
    </w:pPr>
  </w:style>
  <w:style w:type="paragraph" w:customStyle="1" w:styleId="Definition">
    <w:name w:val="Definition"/>
    <w:aliases w:val="dd"/>
    <w:basedOn w:val="OPCParaBase"/>
    <w:rsid w:val="00356952"/>
    <w:pPr>
      <w:spacing w:before="180" w:line="240" w:lineRule="auto"/>
      <w:ind w:left="1134"/>
    </w:pPr>
  </w:style>
  <w:style w:type="paragraph" w:customStyle="1" w:styleId="ETAsubitem">
    <w:name w:val="ETA(subitem)"/>
    <w:basedOn w:val="OPCParaBase"/>
    <w:rsid w:val="00356952"/>
    <w:pPr>
      <w:tabs>
        <w:tab w:val="right" w:pos="340"/>
      </w:tabs>
      <w:spacing w:before="60" w:line="240" w:lineRule="auto"/>
      <w:ind w:left="454" w:hanging="454"/>
    </w:pPr>
    <w:rPr>
      <w:sz w:val="20"/>
    </w:rPr>
  </w:style>
  <w:style w:type="paragraph" w:customStyle="1" w:styleId="ETApara">
    <w:name w:val="ETA(para)"/>
    <w:basedOn w:val="OPCParaBase"/>
    <w:rsid w:val="00356952"/>
    <w:pPr>
      <w:tabs>
        <w:tab w:val="right" w:pos="754"/>
      </w:tabs>
      <w:spacing w:before="60" w:line="240" w:lineRule="auto"/>
      <w:ind w:left="828" w:hanging="828"/>
    </w:pPr>
    <w:rPr>
      <w:sz w:val="20"/>
    </w:rPr>
  </w:style>
  <w:style w:type="paragraph" w:customStyle="1" w:styleId="ETAsubpara">
    <w:name w:val="ETA(subpara)"/>
    <w:basedOn w:val="OPCParaBase"/>
    <w:rsid w:val="00356952"/>
    <w:pPr>
      <w:tabs>
        <w:tab w:val="right" w:pos="1083"/>
      </w:tabs>
      <w:spacing w:before="60" w:line="240" w:lineRule="auto"/>
      <w:ind w:left="1191" w:hanging="1191"/>
    </w:pPr>
    <w:rPr>
      <w:sz w:val="20"/>
    </w:rPr>
  </w:style>
  <w:style w:type="paragraph" w:customStyle="1" w:styleId="ETAsub-subpara">
    <w:name w:val="ETA(sub-subpara)"/>
    <w:basedOn w:val="OPCParaBase"/>
    <w:rsid w:val="00356952"/>
    <w:pPr>
      <w:tabs>
        <w:tab w:val="right" w:pos="1412"/>
      </w:tabs>
      <w:spacing w:before="60" w:line="240" w:lineRule="auto"/>
      <w:ind w:left="1525" w:hanging="1525"/>
    </w:pPr>
    <w:rPr>
      <w:sz w:val="20"/>
    </w:rPr>
  </w:style>
  <w:style w:type="paragraph" w:customStyle="1" w:styleId="Formula">
    <w:name w:val="Formula"/>
    <w:basedOn w:val="OPCParaBase"/>
    <w:rsid w:val="00356952"/>
    <w:pPr>
      <w:spacing w:line="240" w:lineRule="auto"/>
      <w:ind w:left="1134"/>
    </w:pPr>
    <w:rPr>
      <w:sz w:val="20"/>
    </w:rPr>
  </w:style>
  <w:style w:type="paragraph" w:styleId="Header">
    <w:name w:val="header"/>
    <w:basedOn w:val="OPCParaBase"/>
    <w:link w:val="HeaderChar"/>
    <w:unhideWhenUsed/>
    <w:rsid w:val="003569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56952"/>
    <w:rPr>
      <w:rFonts w:eastAsia="Times New Roman" w:cs="Times New Roman"/>
      <w:sz w:val="16"/>
      <w:lang w:eastAsia="en-AU"/>
    </w:rPr>
  </w:style>
  <w:style w:type="paragraph" w:customStyle="1" w:styleId="House">
    <w:name w:val="House"/>
    <w:basedOn w:val="OPCParaBase"/>
    <w:rsid w:val="00356952"/>
    <w:pPr>
      <w:spacing w:line="240" w:lineRule="auto"/>
    </w:pPr>
    <w:rPr>
      <w:sz w:val="28"/>
    </w:rPr>
  </w:style>
  <w:style w:type="paragraph" w:customStyle="1" w:styleId="Item">
    <w:name w:val="Item"/>
    <w:aliases w:val="i"/>
    <w:basedOn w:val="OPCParaBase"/>
    <w:next w:val="ItemHead"/>
    <w:rsid w:val="00356952"/>
    <w:pPr>
      <w:keepLines/>
      <w:spacing w:before="80" w:line="240" w:lineRule="auto"/>
      <w:ind w:left="709"/>
    </w:pPr>
  </w:style>
  <w:style w:type="paragraph" w:customStyle="1" w:styleId="ItemHead">
    <w:name w:val="ItemHead"/>
    <w:aliases w:val="ih"/>
    <w:basedOn w:val="OPCParaBase"/>
    <w:next w:val="Item"/>
    <w:rsid w:val="003569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56952"/>
    <w:pPr>
      <w:spacing w:line="240" w:lineRule="auto"/>
    </w:pPr>
    <w:rPr>
      <w:b/>
      <w:sz w:val="32"/>
    </w:rPr>
  </w:style>
  <w:style w:type="paragraph" w:customStyle="1" w:styleId="notedraft">
    <w:name w:val="note(draft)"/>
    <w:aliases w:val="nd"/>
    <w:basedOn w:val="OPCParaBase"/>
    <w:rsid w:val="00356952"/>
    <w:pPr>
      <w:spacing w:before="240" w:line="240" w:lineRule="auto"/>
      <w:ind w:left="284" w:hanging="284"/>
    </w:pPr>
    <w:rPr>
      <w:i/>
      <w:sz w:val="24"/>
    </w:rPr>
  </w:style>
  <w:style w:type="paragraph" w:customStyle="1" w:styleId="notemargin">
    <w:name w:val="note(margin)"/>
    <w:aliases w:val="nm"/>
    <w:basedOn w:val="OPCParaBase"/>
    <w:rsid w:val="00356952"/>
    <w:pPr>
      <w:tabs>
        <w:tab w:val="left" w:pos="709"/>
      </w:tabs>
      <w:spacing w:before="122" w:line="198" w:lineRule="exact"/>
      <w:ind w:left="709" w:hanging="709"/>
    </w:pPr>
    <w:rPr>
      <w:sz w:val="18"/>
    </w:rPr>
  </w:style>
  <w:style w:type="paragraph" w:customStyle="1" w:styleId="noteToPara">
    <w:name w:val="noteToPara"/>
    <w:aliases w:val="ntp"/>
    <w:basedOn w:val="OPCParaBase"/>
    <w:rsid w:val="00356952"/>
    <w:pPr>
      <w:spacing w:before="122" w:line="198" w:lineRule="exact"/>
      <w:ind w:left="2353" w:hanging="709"/>
    </w:pPr>
    <w:rPr>
      <w:sz w:val="18"/>
    </w:rPr>
  </w:style>
  <w:style w:type="paragraph" w:customStyle="1" w:styleId="noteParlAmend">
    <w:name w:val="note(ParlAmend)"/>
    <w:aliases w:val="npp"/>
    <w:basedOn w:val="OPCParaBase"/>
    <w:next w:val="ParlAmend"/>
    <w:rsid w:val="00356952"/>
    <w:pPr>
      <w:spacing w:line="240" w:lineRule="auto"/>
      <w:jc w:val="right"/>
    </w:pPr>
    <w:rPr>
      <w:rFonts w:ascii="Arial" w:hAnsi="Arial"/>
      <w:b/>
      <w:i/>
    </w:rPr>
  </w:style>
  <w:style w:type="paragraph" w:customStyle="1" w:styleId="Page1">
    <w:name w:val="Page1"/>
    <w:basedOn w:val="OPCParaBase"/>
    <w:rsid w:val="00356952"/>
    <w:pPr>
      <w:spacing w:before="5600" w:line="240" w:lineRule="auto"/>
    </w:pPr>
    <w:rPr>
      <w:b/>
      <w:sz w:val="32"/>
    </w:rPr>
  </w:style>
  <w:style w:type="paragraph" w:customStyle="1" w:styleId="PageBreak">
    <w:name w:val="PageBreak"/>
    <w:aliases w:val="pb"/>
    <w:basedOn w:val="OPCParaBase"/>
    <w:rsid w:val="00356952"/>
    <w:pPr>
      <w:spacing w:line="240" w:lineRule="auto"/>
    </w:pPr>
    <w:rPr>
      <w:sz w:val="20"/>
    </w:rPr>
  </w:style>
  <w:style w:type="paragraph" w:customStyle="1" w:styleId="paragraphsub">
    <w:name w:val="paragraph(sub)"/>
    <w:aliases w:val="aa"/>
    <w:basedOn w:val="OPCParaBase"/>
    <w:rsid w:val="00356952"/>
    <w:pPr>
      <w:tabs>
        <w:tab w:val="right" w:pos="1985"/>
      </w:tabs>
      <w:spacing w:before="40" w:line="240" w:lineRule="auto"/>
      <w:ind w:left="2098" w:hanging="2098"/>
    </w:pPr>
  </w:style>
  <w:style w:type="paragraph" w:customStyle="1" w:styleId="paragraphsub-sub">
    <w:name w:val="paragraph(sub-sub)"/>
    <w:aliases w:val="aaa"/>
    <w:basedOn w:val="OPCParaBase"/>
    <w:rsid w:val="00356952"/>
    <w:pPr>
      <w:tabs>
        <w:tab w:val="right" w:pos="2722"/>
      </w:tabs>
      <w:spacing w:before="40" w:line="240" w:lineRule="auto"/>
      <w:ind w:left="2835" w:hanging="2835"/>
    </w:pPr>
  </w:style>
  <w:style w:type="paragraph" w:customStyle="1" w:styleId="paragraph">
    <w:name w:val="paragraph"/>
    <w:aliases w:val="a"/>
    <w:basedOn w:val="OPCParaBase"/>
    <w:rsid w:val="00356952"/>
    <w:pPr>
      <w:tabs>
        <w:tab w:val="right" w:pos="1531"/>
      </w:tabs>
      <w:spacing w:before="40" w:line="240" w:lineRule="auto"/>
      <w:ind w:left="1644" w:hanging="1644"/>
    </w:pPr>
  </w:style>
  <w:style w:type="paragraph" w:customStyle="1" w:styleId="ParlAmend">
    <w:name w:val="ParlAmend"/>
    <w:aliases w:val="pp"/>
    <w:basedOn w:val="OPCParaBase"/>
    <w:rsid w:val="00356952"/>
    <w:pPr>
      <w:spacing w:before="240" w:line="240" w:lineRule="atLeast"/>
      <w:ind w:hanging="567"/>
    </w:pPr>
    <w:rPr>
      <w:sz w:val="24"/>
    </w:rPr>
  </w:style>
  <w:style w:type="paragraph" w:customStyle="1" w:styleId="Penalty">
    <w:name w:val="Penalty"/>
    <w:basedOn w:val="OPCParaBase"/>
    <w:rsid w:val="00356952"/>
    <w:pPr>
      <w:tabs>
        <w:tab w:val="left" w:pos="2977"/>
      </w:tabs>
      <w:spacing w:before="180" w:line="240" w:lineRule="auto"/>
      <w:ind w:left="1985" w:hanging="851"/>
    </w:pPr>
  </w:style>
  <w:style w:type="paragraph" w:customStyle="1" w:styleId="Portfolio">
    <w:name w:val="Portfolio"/>
    <w:basedOn w:val="OPCParaBase"/>
    <w:rsid w:val="00356952"/>
    <w:pPr>
      <w:spacing w:line="240" w:lineRule="auto"/>
    </w:pPr>
    <w:rPr>
      <w:i/>
      <w:sz w:val="20"/>
    </w:rPr>
  </w:style>
  <w:style w:type="paragraph" w:customStyle="1" w:styleId="Preamble">
    <w:name w:val="Preamble"/>
    <w:basedOn w:val="OPCParaBase"/>
    <w:next w:val="Normal"/>
    <w:rsid w:val="003569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6952"/>
    <w:pPr>
      <w:spacing w:line="240" w:lineRule="auto"/>
    </w:pPr>
    <w:rPr>
      <w:i/>
      <w:sz w:val="20"/>
    </w:rPr>
  </w:style>
  <w:style w:type="paragraph" w:customStyle="1" w:styleId="Session">
    <w:name w:val="Session"/>
    <w:basedOn w:val="OPCParaBase"/>
    <w:rsid w:val="00356952"/>
    <w:pPr>
      <w:spacing w:line="240" w:lineRule="auto"/>
    </w:pPr>
    <w:rPr>
      <w:sz w:val="28"/>
    </w:rPr>
  </w:style>
  <w:style w:type="paragraph" w:customStyle="1" w:styleId="Sponsor">
    <w:name w:val="Sponsor"/>
    <w:basedOn w:val="OPCParaBase"/>
    <w:rsid w:val="00356952"/>
    <w:pPr>
      <w:spacing w:line="240" w:lineRule="auto"/>
    </w:pPr>
    <w:rPr>
      <w:i/>
    </w:rPr>
  </w:style>
  <w:style w:type="paragraph" w:customStyle="1" w:styleId="Subitem">
    <w:name w:val="Subitem"/>
    <w:aliases w:val="iss"/>
    <w:basedOn w:val="OPCParaBase"/>
    <w:rsid w:val="00356952"/>
    <w:pPr>
      <w:spacing w:before="180" w:line="240" w:lineRule="auto"/>
      <w:ind w:left="709" w:hanging="709"/>
    </w:pPr>
  </w:style>
  <w:style w:type="paragraph" w:customStyle="1" w:styleId="SubitemHead">
    <w:name w:val="SubitemHead"/>
    <w:aliases w:val="issh"/>
    <w:basedOn w:val="OPCParaBase"/>
    <w:rsid w:val="003569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56952"/>
    <w:pPr>
      <w:spacing w:before="40" w:line="240" w:lineRule="auto"/>
      <w:ind w:left="1134"/>
    </w:pPr>
  </w:style>
  <w:style w:type="paragraph" w:customStyle="1" w:styleId="SubsectionHead">
    <w:name w:val="SubsectionHead"/>
    <w:aliases w:val="ssh"/>
    <w:basedOn w:val="OPCParaBase"/>
    <w:next w:val="subsection"/>
    <w:rsid w:val="00356952"/>
    <w:pPr>
      <w:keepNext/>
      <w:keepLines/>
      <w:spacing w:before="240" w:line="240" w:lineRule="auto"/>
      <w:ind w:left="1134"/>
    </w:pPr>
    <w:rPr>
      <w:i/>
    </w:rPr>
  </w:style>
  <w:style w:type="paragraph" w:customStyle="1" w:styleId="Tablea">
    <w:name w:val="Table(a)"/>
    <w:aliases w:val="ta"/>
    <w:basedOn w:val="OPCParaBase"/>
    <w:rsid w:val="00356952"/>
    <w:pPr>
      <w:spacing w:before="60" w:line="240" w:lineRule="auto"/>
      <w:ind w:left="284" w:hanging="284"/>
    </w:pPr>
    <w:rPr>
      <w:sz w:val="20"/>
    </w:rPr>
  </w:style>
  <w:style w:type="paragraph" w:customStyle="1" w:styleId="TableAA">
    <w:name w:val="Table(AA)"/>
    <w:aliases w:val="taaa"/>
    <w:basedOn w:val="OPCParaBase"/>
    <w:rsid w:val="003569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569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56952"/>
    <w:pPr>
      <w:spacing w:before="60" w:line="240" w:lineRule="atLeast"/>
    </w:pPr>
    <w:rPr>
      <w:sz w:val="20"/>
    </w:rPr>
  </w:style>
  <w:style w:type="paragraph" w:customStyle="1" w:styleId="TLPBoxTextnote">
    <w:name w:val="TLPBoxText(note"/>
    <w:aliases w:val="right)"/>
    <w:basedOn w:val="OPCParaBase"/>
    <w:rsid w:val="003569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569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56952"/>
    <w:pPr>
      <w:spacing w:before="122" w:line="198" w:lineRule="exact"/>
      <w:ind w:left="1985" w:hanging="851"/>
      <w:jc w:val="right"/>
    </w:pPr>
    <w:rPr>
      <w:sz w:val="18"/>
    </w:rPr>
  </w:style>
  <w:style w:type="paragraph" w:customStyle="1" w:styleId="TLPTableBullet">
    <w:name w:val="TLPTableBullet"/>
    <w:aliases w:val="ttb"/>
    <w:basedOn w:val="OPCParaBase"/>
    <w:rsid w:val="00356952"/>
    <w:pPr>
      <w:spacing w:line="240" w:lineRule="exact"/>
      <w:ind w:left="284" w:hanging="284"/>
    </w:pPr>
    <w:rPr>
      <w:sz w:val="20"/>
    </w:rPr>
  </w:style>
  <w:style w:type="paragraph" w:styleId="TOC1">
    <w:name w:val="toc 1"/>
    <w:basedOn w:val="OPCParaBase"/>
    <w:next w:val="Normal"/>
    <w:uiPriority w:val="39"/>
    <w:semiHidden/>
    <w:unhideWhenUsed/>
    <w:rsid w:val="0035695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5695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5695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5695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569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569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569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569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569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56952"/>
    <w:pPr>
      <w:keepLines/>
      <w:spacing w:before="240" w:after="120" w:line="240" w:lineRule="auto"/>
      <w:ind w:left="794"/>
    </w:pPr>
    <w:rPr>
      <w:b/>
      <w:kern w:val="28"/>
      <w:sz w:val="20"/>
    </w:rPr>
  </w:style>
  <w:style w:type="paragraph" w:customStyle="1" w:styleId="TofSectsHeading">
    <w:name w:val="TofSects(Heading)"/>
    <w:basedOn w:val="OPCParaBase"/>
    <w:rsid w:val="00356952"/>
    <w:pPr>
      <w:spacing w:before="240" w:after="120" w:line="240" w:lineRule="auto"/>
    </w:pPr>
    <w:rPr>
      <w:b/>
      <w:sz w:val="24"/>
    </w:rPr>
  </w:style>
  <w:style w:type="paragraph" w:customStyle="1" w:styleId="TofSectsSection">
    <w:name w:val="TofSects(Section)"/>
    <w:basedOn w:val="OPCParaBase"/>
    <w:rsid w:val="00356952"/>
    <w:pPr>
      <w:keepLines/>
      <w:spacing w:before="40" w:line="240" w:lineRule="auto"/>
      <w:ind w:left="1588" w:hanging="794"/>
    </w:pPr>
    <w:rPr>
      <w:kern w:val="28"/>
      <w:sz w:val="18"/>
    </w:rPr>
  </w:style>
  <w:style w:type="paragraph" w:customStyle="1" w:styleId="TofSectsSubdiv">
    <w:name w:val="TofSects(Subdiv)"/>
    <w:basedOn w:val="OPCParaBase"/>
    <w:rsid w:val="00356952"/>
    <w:pPr>
      <w:keepLines/>
      <w:spacing w:before="80" w:line="240" w:lineRule="auto"/>
      <w:ind w:left="1588" w:hanging="794"/>
    </w:pPr>
    <w:rPr>
      <w:kern w:val="28"/>
    </w:rPr>
  </w:style>
  <w:style w:type="paragraph" w:customStyle="1" w:styleId="WRStyle">
    <w:name w:val="WR Style"/>
    <w:aliases w:val="WR"/>
    <w:basedOn w:val="OPCParaBase"/>
    <w:rsid w:val="00356952"/>
    <w:pPr>
      <w:spacing w:before="240" w:line="240" w:lineRule="auto"/>
      <w:ind w:left="284" w:hanging="284"/>
    </w:pPr>
    <w:rPr>
      <w:b/>
      <w:i/>
      <w:kern w:val="28"/>
      <w:sz w:val="24"/>
    </w:rPr>
  </w:style>
  <w:style w:type="paragraph" w:customStyle="1" w:styleId="notepara">
    <w:name w:val="note(para)"/>
    <w:aliases w:val="na"/>
    <w:basedOn w:val="OPCParaBase"/>
    <w:rsid w:val="00356952"/>
    <w:pPr>
      <w:spacing w:before="40" w:line="198" w:lineRule="exact"/>
      <w:ind w:left="2354" w:hanging="369"/>
    </w:pPr>
    <w:rPr>
      <w:sz w:val="18"/>
    </w:rPr>
  </w:style>
  <w:style w:type="paragraph" w:styleId="Footer">
    <w:name w:val="footer"/>
    <w:link w:val="FooterChar"/>
    <w:rsid w:val="003569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56952"/>
    <w:rPr>
      <w:rFonts w:eastAsia="Times New Roman" w:cs="Times New Roman"/>
      <w:sz w:val="22"/>
      <w:szCs w:val="24"/>
      <w:lang w:eastAsia="en-AU"/>
    </w:rPr>
  </w:style>
  <w:style w:type="character" w:styleId="LineNumber">
    <w:name w:val="line number"/>
    <w:basedOn w:val="OPCCharBase"/>
    <w:uiPriority w:val="99"/>
    <w:semiHidden/>
    <w:unhideWhenUsed/>
    <w:rsid w:val="00356952"/>
    <w:rPr>
      <w:sz w:val="16"/>
    </w:rPr>
  </w:style>
  <w:style w:type="table" w:customStyle="1" w:styleId="CFlag">
    <w:name w:val="CFlag"/>
    <w:basedOn w:val="TableNormal"/>
    <w:uiPriority w:val="99"/>
    <w:rsid w:val="00356952"/>
    <w:rPr>
      <w:rFonts w:eastAsia="Times New Roman" w:cs="Times New Roman"/>
      <w:lang w:eastAsia="en-AU"/>
    </w:rPr>
    <w:tblPr/>
  </w:style>
  <w:style w:type="paragraph" w:styleId="BalloonText">
    <w:name w:val="Balloon Text"/>
    <w:basedOn w:val="Normal"/>
    <w:link w:val="BalloonTextChar"/>
    <w:uiPriority w:val="99"/>
    <w:semiHidden/>
    <w:unhideWhenUsed/>
    <w:rsid w:val="003569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52"/>
    <w:rPr>
      <w:rFonts w:ascii="Tahoma" w:hAnsi="Tahoma" w:cs="Tahoma"/>
      <w:sz w:val="16"/>
      <w:szCs w:val="16"/>
    </w:rPr>
  </w:style>
  <w:style w:type="character" w:styleId="Hyperlink">
    <w:name w:val="Hyperlink"/>
    <w:basedOn w:val="DefaultParagraphFont"/>
    <w:rsid w:val="00356952"/>
    <w:rPr>
      <w:color w:val="0000FF"/>
      <w:u w:val="single"/>
    </w:rPr>
  </w:style>
  <w:style w:type="table" w:styleId="TableGrid">
    <w:name w:val="Table Grid"/>
    <w:basedOn w:val="TableNormal"/>
    <w:uiPriority w:val="59"/>
    <w:rsid w:val="0035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56952"/>
    <w:rPr>
      <w:b/>
      <w:sz w:val="28"/>
      <w:szCs w:val="32"/>
    </w:rPr>
  </w:style>
  <w:style w:type="paragraph" w:customStyle="1" w:styleId="TerritoryT">
    <w:name w:val="TerritoryT"/>
    <w:basedOn w:val="OPCParaBase"/>
    <w:next w:val="Normal"/>
    <w:rsid w:val="00356952"/>
    <w:rPr>
      <w:b/>
      <w:sz w:val="32"/>
    </w:rPr>
  </w:style>
  <w:style w:type="paragraph" w:customStyle="1" w:styleId="LegislationMadeUnder">
    <w:name w:val="LegislationMadeUnder"/>
    <w:basedOn w:val="OPCParaBase"/>
    <w:next w:val="Normal"/>
    <w:rsid w:val="00356952"/>
    <w:rPr>
      <w:i/>
      <w:sz w:val="32"/>
      <w:szCs w:val="32"/>
    </w:rPr>
  </w:style>
  <w:style w:type="paragraph" w:customStyle="1" w:styleId="SignCoverPageEnd">
    <w:name w:val="SignCoverPageEnd"/>
    <w:basedOn w:val="OPCParaBase"/>
    <w:next w:val="Normal"/>
    <w:rsid w:val="0035695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56952"/>
    <w:pPr>
      <w:pBdr>
        <w:top w:val="single" w:sz="4" w:space="1" w:color="auto"/>
      </w:pBdr>
      <w:spacing w:before="360"/>
      <w:ind w:right="397"/>
      <w:jc w:val="both"/>
    </w:pPr>
  </w:style>
  <w:style w:type="paragraph" w:customStyle="1" w:styleId="NotesHeading1">
    <w:name w:val="NotesHeading 1"/>
    <w:basedOn w:val="OPCParaBase"/>
    <w:next w:val="Normal"/>
    <w:rsid w:val="00356952"/>
    <w:rPr>
      <w:b/>
      <w:sz w:val="28"/>
      <w:szCs w:val="28"/>
    </w:rPr>
  </w:style>
  <w:style w:type="paragraph" w:customStyle="1" w:styleId="NotesHeading2">
    <w:name w:val="NotesHeading 2"/>
    <w:basedOn w:val="OPCParaBase"/>
    <w:next w:val="Normal"/>
    <w:rsid w:val="00356952"/>
    <w:rPr>
      <w:b/>
      <w:sz w:val="28"/>
      <w:szCs w:val="28"/>
    </w:rPr>
  </w:style>
  <w:style w:type="paragraph" w:customStyle="1" w:styleId="ENotesText">
    <w:name w:val="ENotesText"/>
    <w:basedOn w:val="OPCParaBase"/>
    <w:next w:val="Normal"/>
    <w:rsid w:val="00356952"/>
  </w:style>
  <w:style w:type="paragraph" w:customStyle="1" w:styleId="CompiledActNo">
    <w:name w:val="CompiledActNo"/>
    <w:basedOn w:val="OPCParaBase"/>
    <w:next w:val="Normal"/>
    <w:rsid w:val="00356952"/>
    <w:rPr>
      <w:b/>
      <w:sz w:val="24"/>
      <w:szCs w:val="24"/>
    </w:rPr>
  </w:style>
  <w:style w:type="paragraph" w:customStyle="1" w:styleId="CompiledMadeUnder">
    <w:name w:val="CompiledMadeUnder"/>
    <w:basedOn w:val="OPCParaBase"/>
    <w:next w:val="Normal"/>
    <w:rsid w:val="00356952"/>
    <w:rPr>
      <w:i/>
      <w:sz w:val="24"/>
      <w:szCs w:val="24"/>
    </w:rPr>
  </w:style>
  <w:style w:type="paragraph" w:customStyle="1" w:styleId="Paragraphsub-sub-sub">
    <w:name w:val="Paragraph(sub-sub-sub)"/>
    <w:aliases w:val="aaaa"/>
    <w:basedOn w:val="OPCParaBase"/>
    <w:rsid w:val="00356952"/>
    <w:pPr>
      <w:tabs>
        <w:tab w:val="right" w:pos="3402"/>
      </w:tabs>
      <w:spacing w:before="40" w:line="240" w:lineRule="auto"/>
      <w:ind w:left="3402" w:hanging="3402"/>
    </w:pPr>
  </w:style>
  <w:style w:type="paragraph" w:customStyle="1" w:styleId="NoteToSubpara">
    <w:name w:val="NoteToSubpara"/>
    <w:aliases w:val="nts"/>
    <w:basedOn w:val="OPCParaBase"/>
    <w:rsid w:val="00356952"/>
    <w:pPr>
      <w:spacing w:before="40" w:line="198" w:lineRule="exact"/>
      <w:ind w:left="2835" w:hanging="709"/>
    </w:pPr>
    <w:rPr>
      <w:sz w:val="18"/>
    </w:rPr>
  </w:style>
  <w:style w:type="paragraph" w:customStyle="1" w:styleId="EndNotespara">
    <w:name w:val="EndNotes(para)"/>
    <w:aliases w:val="eta"/>
    <w:basedOn w:val="OPCParaBase"/>
    <w:next w:val="Normal"/>
    <w:rsid w:val="003569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569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569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5695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56952"/>
    <w:pPr>
      <w:keepNext/>
      <w:spacing w:before="60" w:line="240" w:lineRule="atLeast"/>
    </w:pPr>
    <w:rPr>
      <w:rFonts w:ascii="Arial" w:hAnsi="Arial"/>
      <w:b/>
      <w:sz w:val="16"/>
    </w:rPr>
  </w:style>
  <w:style w:type="paragraph" w:customStyle="1" w:styleId="ENoteTTi">
    <w:name w:val="ENoteTTi"/>
    <w:aliases w:val="entti"/>
    <w:basedOn w:val="OPCParaBase"/>
    <w:rsid w:val="00356952"/>
    <w:pPr>
      <w:keepNext/>
      <w:spacing w:before="60" w:line="240" w:lineRule="atLeast"/>
      <w:ind w:left="170"/>
    </w:pPr>
    <w:rPr>
      <w:sz w:val="16"/>
    </w:rPr>
  </w:style>
  <w:style w:type="paragraph" w:customStyle="1" w:styleId="ENotesHeading1">
    <w:name w:val="ENotesHeading 1"/>
    <w:aliases w:val="Enh1"/>
    <w:basedOn w:val="OPCParaBase"/>
    <w:next w:val="Normal"/>
    <w:rsid w:val="00356952"/>
    <w:pPr>
      <w:spacing w:before="120"/>
      <w:outlineLvl w:val="1"/>
    </w:pPr>
    <w:rPr>
      <w:b/>
      <w:sz w:val="28"/>
      <w:szCs w:val="28"/>
    </w:rPr>
  </w:style>
  <w:style w:type="paragraph" w:customStyle="1" w:styleId="ENotesHeading2">
    <w:name w:val="ENotesHeading 2"/>
    <w:aliases w:val="Enh2"/>
    <w:basedOn w:val="OPCParaBase"/>
    <w:next w:val="Normal"/>
    <w:rsid w:val="00356952"/>
    <w:pPr>
      <w:spacing w:before="120" w:after="120"/>
      <w:outlineLvl w:val="2"/>
    </w:pPr>
    <w:rPr>
      <w:b/>
      <w:sz w:val="24"/>
      <w:szCs w:val="28"/>
    </w:rPr>
  </w:style>
  <w:style w:type="paragraph" w:customStyle="1" w:styleId="ENoteTTIndentHeading">
    <w:name w:val="ENoteTTIndentHeading"/>
    <w:aliases w:val="enTTHi"/>
    <w:basedOn w:val="OPCParaBase"/>
    <w:rsid w:val="003569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56952"/>
    <w:pPr>
      <w:spacing w:before="60" w:line="240" w:lineRule="atLeast"/>
    </w:pPr>
    <w:rPr>
      <w:sz w:val="16"/>
    </w:rPr>
  </w:style>
  <w:style w:type="paragraph" w:customStyle="1" w:styleId="MadeunderText">
    <w:name w:val="MadeunderText"/>
    <w:basedOn w:val="OPCParaBase"/>
    <w:next w:val="CompiledMadeUnder"/>
    <w:rsid w:val="00356952"/>
    <w:pPr>
      <w:spacing w:before="240"/>
    </w:pPr>
    <w:rPr>
      <w:sz w:val="24"/>
      <w:szCs w:val="24"/>
    </w:rPr>
  </w:style>
  <w:style w:type="paragraph" w:customStyle="1" w:styleId="ENotesHeading3">
    <w:name w:val="ENotesHeading 3"/>
    <w:aliases w:val="Enh3"/>
    <w:basedOn w:val="OPCParaBase"/>
    <w:next w:val="Normal"/>
    <w:rsid w:val="00356952"/>
    <w:pPr>
      <w:keepNext/>
      <w:spacing w:before="120" w:line="240" w:lineRule="auto"/>
      <w:outlineLvl w:val="4"/>
    </w:pPr>
    <w:rPr>
      <w:b/>
      <w:szCs w:val="24"/>
    </w:rPr>
  </w:style>
  <w:style w:type="character" w:customStyle="1" w:styleId="CharSubPartTextCASA">
    <w:name w:val="CharSubPartText(CASA)"/>
    <w:basedOn w:val="OPCCharBase"/>
    <w:uiPriority w:val="1"/>
    <w:rsid w:val="00356952"/>
  </w:style>
  <w:style w:type="character" w:customStyle="1" w:styleId="CharSubPartNoCASA">
    <w:name w:val="CharSubPartNo(CASA)"/>
    <w:basedOn w:val="OPCCharBase"/>
    <w:uiPriority w:val="1"/>
    <w:rsid w:val="00356952"/>
  </w:style>
  <w:style w:type="paragraph" w:customStyle="1" w:styleId="ENoteTTIndentHeadingSub">
    <w:name w:val="ENoteTTIndentHeadingSub"/>
    <w:aliases w:val="enTTHis"/>
    <w:basedOn w:val="OPCParaBase"/>
    <w:rsid w:val="00356952"/>
    <w:pPr>
      <w:keepNext/>
      <w:spacing w:before="60" w:line="240" w:lineRule="atLeast"/>
      <w:ind w:left="340"/>
    </w:pPr>
    <w:rPr>
      <w:b/>
      <w:sz w:val="16"/>
    </w:rPr>
  </w:style>
  <w:style w:type="paragraph" w:customStyle="1" w:styleId="ENoteTTiSub">
    <w:name w:val="ENoteTTiSub"/>
    <w:aliases w:val="enttis"/>
    <w:basedOn w:val="OPCParaBase"/>
    <w:rsid w:val="00356952"/>
    <w:pPr>
      <w:keepNext/>
      <w:spacing w:before="60" w:line="240" w:lineRule="atLeast"/>
      <w:ind w:left="340"/>
    </w:pPr>
    <w:rPr>
      <w:sz w:val="16"/>
    </w:rPr>
  </w:style>
  <w:style w:type="paragraph" w:customStyle="1" w:styleId="SubDivisionMigration">
    <w:name w:val="SubDivisionMigration"/>
    <w:aliases w:val="sdm"/>
    <w:basedOn w:val="OPCParaBase"/>
    <w:rsid w:val="003569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5695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5695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569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56952"/>
    <w:rPr>
      <w:sz w:val="22"/>
    </w:rPr>
  </w:style>
  <w:style w:type="paragraph" w:customStyle="1" w:styleId="SOTextNote">
    <w:name w:val="SO TextNote"/>
    <w:aliases w:val="sont"/>
    <w:basedOn w:val="SOText"/>
    <w:qFormat/>
    <w:rsid w:val="00356952"/>
    <w:pPr>
      <w:spacing w:before="122" w:line="198" w:lineRule="exact"/>
      <w:ind w:left="1843" w:hanging="709"/>
    </w:pPr>
    <w:rPr>
      <w:sz w:val="18"/>
    </w:rPr>
  </w:style>
  <w:style w:type="paragraph" w:customStyle="1" w:styleId="SOPara">
    <w:name w:val="SO Para"/>
    <w:aliases w:val="soa"/>
    <w:basedOn w:val="SOText"/>
    <w:link w:val="SOParaChar"/>
    <w:qFormat/>
    <w:rsid w:val="00356952"/>
    <w:pPr>
      <w:tabs>
        <w:tab w:val="right" w:pos="1786"/>
      </w:tabs>
      <w:spacing w:before="40"/>
      <w:ind w:left="2070" w:hanging="936"/>
    </w:pPr>
  </w:style>
  <w:style w:type="character" w:customStyle="1" w:styleId="SOParaChar">
    <w:name w:val="SO Para Char"/>
    <w:aliases w:val="soa Char"/>
    <w:basedOn w:val="DefaultParagraphFont"/>
    <w:link w:val="SOPara"/>
    <w:rsid w:val="00356952"/>
    <w:rPr>
      <w:sz w:val="22"/>
    </w:rPr>
  </w:style>
  <w:style w:type="paragraph" w:customStyle="1" w:styleId="FileName">
    <w:name w:val="FileName"/>
    <w:basedOn w:val="Normal"/>
    <w:rsid w:val="00356952"/>
  </w:style>
  <w:style w:type="paragraph" w:customStyle="1" w:styleId="TableHeading">
    <w:name w:val="TableHeading"/>
    <w:aliases w:val="th"/>
    <w:basedOn w:val="OPCParaBase"/>
    <w:next w:val="Tabletext"/>
    <w:rsid w:val="00356952"/>
    <w:pPr>
      <w:keepNext/>
      <w:spacing w:before="60" w:line="240" w:lineRule="atLeast"/>
    </w:pPr>
    <w:rPr>
      <w:b/>
      <w:sz w:val="20"/>
    </w:rPr>
  </w:style>
  <w:style w:type="paragraph" w:customStyle="1" w:styleId="SOHeadBold">
    <w:name w:val="SO HeadBold"/>
    <w:aliases w:val="sohb"/>
    <w:basedOn w:val="SOText"/>
    <w:next w:val="SOText"/>
    <w:link w:val="SOHeadBoldChar"/>
    <w:qFormat/>
    <w:rsid w:val="00356952"/>
    <w:rPr>
      <w:b/>
    </w:rPr>
  </w:style>
  <w:style w:type="character" w:customStyle="1" w:styleId="SOHeadBoldChar">
    <w:name w:val="SO HeadBold Char"/>
    <w:aliases w:val="sohb Char"/>
    <w:basedOn w:val="DefaultParagraphFont"/>
    <w:link w:val="SOHeadBold"/>
    <w:rsid w:val="00356952"/>
    <w:rPr>
      <w:b/>
      <w:sz w:val="22"/>
    </w:rPr>
  </w:style>
  <w:style w:type="paragraph" w:customStyle="1" w:styleId="SOHeadItalic">
    <w:name w:val="SO HeadItalic"/>
    <w:aliases w:val="sohi"/>
    <w:basedOn w:val="SOText"/>
    <w:next w:val="SOText"/>
    <w:link w:val="SOHeadItalicChar"/>
    <w:qFormat/>
    <w:rsid w:val="00356952"/>
    <w:rPr>
      <w:i/>
    </w:rPr>
  </w:style>
  <w:style w:type="character" w:customStyle="1" w:styleId="SOHeadItalicChar">
    <w:name w:val="SO HeadItalic Char"/>
    <w:aliases w:val="sohi Char"/>
    <w:basedOn w:val="DefaultParagraphFont"/>
    <w:link w:val="SOHeadItalic"/>
    <w:rsid w:val="00356952"/>
    <w:rPr>
      <w:i/>
      <w:sz w:val="22"/>
    </w:rPr>
  </w:style>
  <w:style w:type="paragraph" w:customStyle="1" w:styleId="SOBullet">
    <w:name w:val="SO Bullet"/>
    <w:aliases w:val="sotb"/>
    <w:basedOn w:val="SOText"/>
    <w:link w:val="SOBulletChar"/>
    <w:qFormat/>
    <w:rsid w:val="00356952"/>
    <w:pPr>
      <w:ind w:left="1559" w:hanging="425"/>
    </w:pPr>
  </w:style>
  <w:style w:type="character" w:customStyle="1" w:styleId="SOBulletChar">
    <w:name w:val="SO Bullet Char"/>
    <w:aliases w:val="sotb Char"/>
    <w:basedOn w:val="DefaultParagraphFont"/>
    <w:link w:val="SOBullet"/>
    <w:rsid w:val="00356952"/>
    <w:rPr>
      <w:sz w:val="22"/>
    </w:rPr>
  </w:style>
  <w:style w:type="paragraph" w:customStyle="1" w:styleId="SOBulletNote">
    <w:name w:val="SO BulletNote"/>
    <w:aliases w:val="sonb"/>
    <w:basedOn w:val="SOTextNote"/>
    <w:link w:val="SOBulletNoteChar"/>
    <w:qFormat/>
    <w:rsid w:val="00356952"/>
    <w:pPr>
      <w:tabs>
        <w:tab w:val="left" w:pos="1560"/>
      </w:tabs>
      <w:ind w:left="2268" w:hanging="1134"/>
    </w:pPr>
  </w:style>
  <w:style w:type="character" w:customStyle="1" w:styleId="SOBulletNoteChar">
    <w:name w:val="SO BulletNote Char"/>
    <w:aliases w:val="sonb Char"/>
    <w:basedOn w:val="DefaultParagraphFont"/>
    <w:link w:val="SOBulletNote"/>
    <w:rsid w:val="00356952"/>
    <w:rPr>
      <w:sz w:val="18"/>
    </w:rPr>
  </w:style>
  <w:style w:type="paragraph" w:customStyle="1" w:styleId="SOText2">
    <w:name w:val="SO Text2"/>
    <w:aliases w:val="sot2"/>
    <w:basedOn w:val="Normal"/>
    <w:next w:val="SOText"/>
    <w:link w:val="SOText2Char"/>
    <w:rsid w:val="003569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56952"/>
    <w:rPr>
      <w:sz w:val="22"/>
    </w:rPr>
  </w:style>
  <w:style w:type="paragraph" w:customStyle="1" w:styleId="SubPartCASA">
    <w:name w:val="SubPart(CASA)"/>
    <w:aliases w:val="csp"/>
    <w:basedOn w:val="OPCParaBase"/>
    <w:next w:val="ActHead3"/>
    <w:rsid w:val="0035695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6709A"/>
    <w:rPr>
      <w:rFonts w:eastAsia="Times New Roman" w:cs="Times New Roman"/>
      <w:sz w:val="22"/>
      <w:lang w:eastAsia="en-AU"/>
    </w:rPr>
  </w:style>
  <w:style w:type="character" w:customStyle="1" w:styleId="notetextChar">
    <w:name w:val="note(text) Char"/>
    <w:aliases w:val="n Char"/>
    <w:basedOn w:val="DefaultParagraphFont"/>
    <w:link w:val="notetext"/>
    <w:rsid w:val="00C6709A"/>
    <w:rPr>
      <w:rFonts w:eastAsia="Times New Roman" w:cs="Times New Roman"/>
      <w:sz w:val="18"/>
      <w:lang w:eastAsia="en-AU"/>
    </w:rPr>
  </w:style>
  <w:style w:type="character" w:customStyle="1" w:styleId="Heading1Char">
    <w:name w:val="Heading 1 Char"/>
    <w:basedOn w:val="DefaultParagraphFont"/>
    <w:link w:val="Heading1"/>
    <w:uiPriority w:val="9"/>
    <w:rsid w:val="00C670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670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6709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6709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6709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6709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6709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670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6709A"/>
    <w:rPr>
      <w:rFonts w:asciiTheme="majorHAnsi" w:eastAsiaTheme="majorEastAsia" w:hAnsiTheme="majorHAnsi" w:cstheme="majorBidi"/>
      <w:i/>
      <w:iCs/>
      <w:color w:val="404040" w:themeColor="text1" w:themeTint="BF"/>
    </w:rPr>
  </w:style>
  <w:style w:type="character" w:customStyle="1" w:styleId="charSubscript">
    <w:name w:val="charSubscript"/>
    <w:rsid w:val="00F76A81"/>
    <w:rPr>
      <w:color w:val="auto"/>
      <w:sz w:val="20"/>
      <w:vertAlign w:val="subscript"/>
    </w:rPr>
  </w:style>
  <w:style w:type="table" w:styleId="TableContemporary">
    <w:name w:val="Table Contemporary"/>
    <w:basedOn w:val="TableNormal"/>
    <w:rsid w:val="00432AF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MessageHeader">
    <w:name w:val="Message Header"/>
    <w:basedOn w:val="Normal"/>
    <w:link w:val="MessageHeaderChar"/>
    <w:rsid w:val="00432A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32AF7"/>
    <w:rPr>
      <w:rFonts w:ascii="Arial" w:hAnsi="Arial" w:cs="Arial"/>
      <w:sz w:val="22"/>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A848-A537-458D-993A-6C9ACCE4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25</Pages>
  <Words>4042</Words>
  <Characters>23041</Characters>
  <Application>Microsoft Office Word</Application>
  <DocSecurity>4</DocSecurity>
  <PresentationFormat/>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2015-08-27T06:43:00Z</cp:lastPrinted>
  <dcterms:created xsi:type="dcterms:W3CDTF">2016-08-11T04:25:00Z</dcterms:created>
  <dcterms:modified xsi:type="dcterms:W3CDTF">2016-08-11T04:25:00Z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166, 2015</vt:lpwstr>
  </property>
  <property fmtid="{D5CDD505-2E9C-101B-9397-08002B2CF9AE}" pid="3" name="ShortT">
    <vt:lpwstr>National Greenhouse and Energy Reporting Amendment (2015 Measures No. 2)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30 September 2015</vt:lpwstr>
  </property>
  <property fmtid="{D5CDD505-2E9C-101B-9397-08002B2CF9AE}" pid="10" name="Authority">
    <vt:lpwstr/>
  </property>
  <property fmtid="{D5CDD505-2E9C-101B-9397-08002B2CF9AE}" pid="11" name="ID">
    <vt:lpwstr>OPC61224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National Greenhouse and Energy Reporting Act 2007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PreventSessionPrompt">
    <vt:lpwstr>Yes</vt:lpwstr>
  </property>
  <property fmtid="{D5CDD505-2E9C-101B-9397-08002B2CF9AE}" pid="19" name="Number">
    <vt:lpwstr>A</vt:lpwstr>
  </property>
  <property fmtid="{D5CDD505-2E9C-101B-9397-08002B2CF9AE}" pid="20" name="CounterSign">
    <vt:lpwstr/>
  </property>
  <property fmtid="{D5CDD505-2E9C-101B-9397-08002B2CF9AE}" pid="21" name="ExcoDate">
    <vt:lpwstr>30 September 2015</vt:lpwstr>
  </property>
</Properties>
</file>